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2DDFB" w14:textId="77777777" w:rsidR="004B1918" w:rsidRPr="002A664E" w:rsidRDefault="004B1918" w:rsidP="004B1918">
      <w:pPr>
        <w:pStyle w:val="Title"/>
        <w:spacing w:after="240" w:line="276" w:lineRule="auto"/>
        <w:jc w:val="center"/>
        <w:rPr>
          <w:rFonts w:asciiTheme="majorBidi" w:hAnsiTheme="majorBidi"/>
          <w:b/>
          <w:bCs/>
          <w:sz w:val="28"/>
          <w:szCs w:val="28"/>
        </w:rPr>
      </w:pPr>
      <w:r w:rsidRPr="002A664E">
        <w:rPr>
          <w:rFonts w:asciiTheme="majorBidi" w:hAnsiTheme="majorBidi"/>
          <w:b/>
          <w:bCs/>
          <w:sz w:val="28"/>
          <w:szCs w:val="28"/>
        </w:rPr>
        <w:t>A Review on Socio-technical Transition Pathway to European Super Smart Grid: Trends, Challenges and Way Forward via Enabling Technologies</w:t>
      </w:r>
    </w:p>
    <w:p w14:paraId="2C5ADFDE" w14:textId="77777777" w:rsidR="004B1918" w:rsidRPr="002A664E" w:rsidRDefault="004B1918" w:rsidP="004B1918">
      <w:pPr>
        <w:spacing w:line="276" w:lineRule="auto"/>
        <w:jc w:val="center"/>
        <w:rPr>
          <w:rFonts w:asciiTheme="majorBidi" w:hAnsiTheme="majorBidi" w:cstheme="majorBidi"/>
          <w:color w:val="0070C0"/>
          <w:sz w:val="20"/>
          <w:szCs w:val="20"/>
        </w:rPr>
      </w:pPr>
      <w:bookmarkStart w:id="0" w:name="_Hlk168995121"/>
      <w:r w:rsidRPr="008538EA">
        <w:rPr>
          <w:rFonts w:asciiTheme="majorBidi" w:hAnsiTheme="majorBidi" w:cstheme="majorBidi"/>
          <w:color w:val="0070C0"/>
          <w:sz w:val="20"/>
          <w:szCs w:val="20"/>
        </w:rPr>
        <w:t>Herman Zahid</w:t>
      </w:r>
      <w:r>
        <w:rPr>
          <w:rFonts w:asciiTheme="majorBidi" w:hAnsiTheme="majorBidi" w:cstheme="majorBidi"/>
          <w:color w:val="0070C0"/>
          <w:sz w:val="20"/>
          <w:szCs w:val="20"/>
          <w:vertAlign w:val="superscript"/>
        </w:rPr>
        <w:t>1</w:t>
      </w:r>
      <w:r>
        <w:rPr>
          <w:rFonts w:asciiTheme="majorBidi" w:hAnsiTheme="majorBidi" w:cstheme="majorBidi"/>
          <w:color w:val="0070C0"/>
          <w:sz w:val="20"/>
          <w:szCs w:val="20"/>
        </w:rPr>
        <w:t>, Adil Zulfiqar</w:t>
      </w:r>
      <w:r w:rsidRPr="001B1939">
        <w:rPr>
          <w:rFonts w:asciiTheme="majorBidi" w:hAnsiTheme="majorBidi" w:cstheme="majorBidi"/>
          <w:color w:val="0070C0"/>
          <w:sz w:val="20"/>
          <w:szCs w:val="20"/>
          <w:vertAlign w:val="superscript"/>
        </w:rPr>
        <w:t>1</w:t>
      </w:r>
      <w:r>
        <w:rPr>
          <w:rFonts w:asciiTheme="majorBidi" w:hAnsiTheme="majorBidi" w:cstheme="majorBidi"/>
          <w:color w:val="0070C0"/>
          <w:sz w:val="20"/>
          <w:szCs w:val="20"/>
        </w:rPr>
        <w:t>, Muhammad Adnan</w:t>
      </w:r>
      <w:r w:rsidRPr="001B1939">
        <w:rPr>
          <w:rFonts w:asciiTheme="majorBidi" w:hAnsiTheme="majorBidi" w:cstheme="majorBidi"/>
          <w:color w:val="0070C0"/>
          <w:sz w:val="20"/>
          <w:szCs w:val="20"/>
          <w:vertAlign w:val="superscript"/>
        </w:rPr>
        <w:t>1</w:t>
      </w:r>
      <w:r>
        <w:rPr>
          <w:rFonts w:asciiTheme="majorBidi" w:hAnsiTheme="majorBidi" w:cstheme="majorBidi"/>
          <w:color w:val="0070C0"/>
          <w:sz w:val="20"/>
          <w:szCs w:val="20"/>
        </w:rPr>
        <w:t>, Sajid Iqbal</w:t>
      </w:r>
      <w:r w:rsidRPr="001B1939">
        <w:rPr>
          <w:rFonts w:asciiTheme="majorBidi" w:hAnsiTheme="majorBidi" w:cstheme="majorBidi"/>
          <w:color w:val="0070C0"/>
          <w:sz w:val="20"/>
          <w:szCs w:val="20"/>
          <w:vertAlign w:val="superscript"/>
        </w:rPr>
        <w:t>1</w:t>
      </w:r>
      <w:r>
        <w:rPr>
          <w:rFonts w:asciiTheme="majorBidi" w:hAnsiTheme="majorBidi" w:cstheme="majorBidi"/>
          <w:color w:val="0070C0"/>
          <w:sz w:val="20"/>
          <w:szCs w:val="20"/>
          <w:vertAlign w:val="superscript"/>
        </w:rPr>
        <w:t xml:space="preserve">, </w:t>
      </w:r>
      <w:r w:rsidRPr="002A664E">
        <w:rPr>
          <w:rFonts w:asciiTheme="majorBidi" w:hAnsiTheme="majorBidi" w:cstheme="majorBidi"/>
          <w:color w:val="0070C0"/>
          <w:sz w:val="20"/>
          <w:szCs w:val="20"/>
        </w:rPr>
        <w:t xml:space="preserve">and </w:t>
      </w:r>
      <w:r>
        <w:rPr>
          <w:rFonts w:asciiTheme="majorBidi" w:hAnsiTheme="majorBidi" w:cstheme="majorBidi"/>
          <w:color w:val="0070C0"/>
          <w:sz w:val="20"/>
          <w:szCs w:val="20"/>
        </w:rPr>
        <w:t>S</w:t>
      </w:r>
      <w:r w:rsidRPr="002A664E">
        <w:rPr>
          <w:rFonts w:asciiTheme="majorBidi" w:hAnsiTheme="majorBidi" w:cstheme="majorBidi"/>
          <w:color w:val="0070C0"/>
          <w:sz w:val="20"/>
          <w:szCs w:val="20"/>
        </w:rPr>
        <w:t>alah</w:t>
      </w:r>
      <w:r>
        <w:rPr>
          <w:rFonts w:asciiTheme="majorBidi" w:hAnsiTheme="majorBidi" w:cstheme="majorBidi"/>
          <w:color w:val="0070C0"/>
          <w:sz w:val="20"/>
          <w:szCs w:val="20"/>
        </w:rPr>
        <w:t xml:space="preserve"> </w:t>
      </w:r>
      <w:r w:rsidRPr="002A664E">
        <w:rPr>
          <w:rFonts w:asciiTheme="majorBidi" w:hAnsiTheme="majorBidi" w:cstheme="majorBidi"/>
          <w:color w:val="0070C0"/>
          <w:sz w:val="20"/>
          <w:szCs w:val="20"/>
        </w:rPr>
        <w:t xml:space="preserve">Eldeen </w:t>
      </w:r>
      <w:r>
        <w:rPr>
          <w:rFonts w:asciiTheme="majorBidi" w:hAnsiTheme="majorBidi" w:cstheme="majorBidi"/>
          <w:color w:val="0070C0"/>
          <w:sz w:val="20"/>
          <w:szCs w:val="20"/>
        </w:rPr>
        <w:t>G</w:t>
      </w:r>
      <w:r w:rsidRPr="002A664E">
        <w:rPr>
          <w:rFonts w:asciiTheme="majorBidi" w:hAnsiTheme="majorBidi" w:cstheme="majorBidi"/>
          <w:color w:val="0070C0"/>
          <w:sz w:val="20"/>
          <w:szCs w:val="20"/>
        </w:rPr>
        <w:t xml:space="preserve">asim </w:t>
      </w:r>
      <w:r>
        <w:rPr>
          <w:rFonts w:asciiTheme="majorBidi" w:hAnsiTheme="majorBidi" w:cstheme="majorBidi"/>
          <w:color w:val="0070C0"/>
          <w:sz w:val="20"/>
          <w:szCs w:val="20"/>
        </w:rPr>
        <w:t>M</w:t>
      </w:r>
      <w:r w:rsidRPr="002A664E">
        <w:rPr>
          <w:rFonts w:asciiTheme="majorBidi" w:hAnsiTheme="majorBidi" w:cstheme="majorBidi"/>
          <w:color w:val="0070C0"/>
          <w:sz w:val="20"/>
          <w:szCs w:val="20"/>
        </w:rPr>
        <w:t>ohamed</w:t>
      </w:r>
      <w:r w:rsidRPr="002A664E">
        <w:rPr>
          <w:rFonts w:asciiTheme="majorBidi" w:hAnsiTheme="majorBidi" w:cstheme="majorBidi"/>
          <w:color w:val="0070C0"/>
          <w:sz w:val="20"/>
          <w:szCs w:val="20"/>
          <w:vertAlign w:val="superscript"/>
        </w:rPr>
        <w:t>2</w:t>
      </w:r>
    </w:p>
    <w:p w14:paraId="354B20E4" w14:textId="77777777" w:rsidR="004B1918" w:rsidRDefault="004B1918" w:rsidP="004B1918">
      <w:pPr>
        <w:spacing w:line="276" w:lineRule="auto"/>
        <w:jc w:val="center"/>
        <w:rPr>
          <w:rStyle w:val="Hyperlink"/>
          <w:rFonts w:asciiTheme="majorBidi" w:hAnsiTheme="majorBidi" w:cstheme="majorBidi"/>
          <w:sz w:val="20"/>
          <w:szCs w:val="20"/>
        </w:rPr>
      </w:pPr>
      <w:r>
        <w:rPr>
          <w:rFonts w:asciiTheme="majorBidi" w:hAnsiTheme="majorBidi" w:cstheme="majorBidi"/>
          <w:color w:val="0070C0"/>
          <w:sz w:val="20"/>
          <w:szCs w:val="20"/>
          <w:vertAlign w:val="superscript"/>
        </w:rPr>
        <w:t>1</w:t>
      </w:r>
      <w:r w:rsidRPr="008538EA">
        <w:rPr>
          <w:rFonts w:asciiTheme="majorBidi" w:hAnsiTheme="majorBidi" w:cstheme="majorBidi"/>
          <w:color w:val="0070C0"/>
          <w:sz w:val="20"/>
          <w:szCs w:val="20"/>
        </w:rPr>
        <w:t xml:space="preserve">Department of Electrical Engineering, National University of Computer and Emerging Sciences (FAST), Chiniot-Faisalabad Campus, Chiniot 38000, Pakistan; </w:t>
      </w:r>
      <w:hyperlink r:id="rId6" w:history="1">
        <w:r w:rsidRPr="005C0266">
          <w:rPr>
            <w:rStyle w:val="Hyperlink"/>
            <w:rFonts w:asciiTheme="majorBidi" w:hAnsiTheme="majorBidi" w:cstheme="majorBidi"/>
            <w:sz w:val="20"/>
            <w:szCs w:val="20"/>
          </w:rPr>
          <w:t>herman.zahid@gmail.com</w:t>
        </w:r>
      </w:hyperlink>
      <w:r>
        <w:rPr>
          <w:rFonts w:asciiTheme="majorBidi" w:hAnsiTheme="majorBidi" w:cstheme="majorBidi"/>
          <w:color w:val="0070C0"/>
          <w:sz w:val="20"/>
          <w:szCs w:val="20"/>
        </w:rPr>
        <w:t xml:space="preserve">, </w:t>
      </w:r>
      <w:hyperlink r:id="rId7" w:history="1">
        <w:r w:rsidRPr="005C0266">
          <w:rPr>
            <w:rStyle w:val="Hyperlink"/>
            <w:rFonts w:asciiTheme="majorBidi" w:hAnsiTheme="majorBidi" w:cstheme="majorBidi"/>
            <w:sz w:val="20"/>
            <w:szCs w:val="20"/>
          </w:rPr>
          <w:t>adil.zulfiqar@nu.edu.pk</w:t>
        </w:r>
      </w:hyperlink>
      <w:r>
        <w:rPr>
          <w:rFonts w:asciiTheme="majorBidi" w:hAnsiTheme="majorBidi" w:cstheme="majorBidi"/>
          <w:color w:val="0070C0"/>
          <w:sz w:val="20"/>
          <w:szCs w:val="20"/>
        </w:rPr>
        <w:t xml:space="preserve">, </w:t>
      </w:r>
      <w:hyperlink r:id="rId8" w:history="1">
        <w:r w:rsidRPr="005C0266">
          <w:rPr>
            <w:rStyle w:val="Hyperlink"/>
            <w:rFonts w:asciiTheme="majorBidi" w:hAnsiTheme="majorBidi" w:cstheme="majorBidi"/>
            <w:sz w:val="20"/>
            <w:szCs w:val="20"/>
          </w:rPr>
          <w:t>m.adnan@nu.edu.pk</w:t>
        </w:r>
      </w:hyperlink>
      <w:r>
        <w:rPr>
          <w:rFonts w:asciiTheme="majorBidi" w:hAnsiTheme="majorBidi" w:cstheme="majorBidi"/>
          <w:color w:val="0070C0"/>
          <w:sz w:val="20"/>
          <w:szCs w:val="20"/>
        </w:rPr>
        <w:t xml:space="preserve">, </w:t>
      </w:r>
      <w:hyperlink r:id="rId9" w:history="1">
        <w:r w:rsidRPr="005C0266">
          <w:rPr>
            <w:rStyle w:val="Hyperlink"/>
            <w:rFonts w:asciiTheme="majorBidi" w:hAnsiTheme="majorBidi" w:cstheme="majorBidi"/>
            <w:sz w:val="20"/>
            <w:szCs w:val="20"/>
          </w:rPr>
          <w:t>Iqbal.sajid@nu.edu.pk</w:t>
        </w:r>
      </w:hyperlink>
    </w:p>
    <w:p w14:paraId="1E398B1E" w14:textId="77777777" w:rsidR="004B1918" w:rsidRDefault="004B1918" w:rsidP="004B1918">
      <w:pPr>
        <w:spacing w:line="276" w:lineRule="auto"/>
        <w:jc w:val="center"/>
        <w:rPr>
          <w:rFonts w:asciiTheme="majorBidi" w:hAnsiTheme="majorBidi" w:cstheme="majorBidi"/>
          <w:color w:val="0070C0"/>
          <w:sz w:val="20"/>
          <w:szCs w:val="20"/>
        </w:rPr>
      </w:pPr>
      <w:r w:rsidRPr="002A664E">
        <w:rPr>
          <w:rFonts w:asciiTheme="majorBidi" w:hAnsiTheme="majorBidi" w:cstheme="majorBidi"/>
          <w:color w:val="0070C0"/>
          <w:sz w:val="20"/>
          <w:szCs w:val="20"/>
          <w:vertAlign w:val="superscript"/>
        </w:rPr>
        <w:t>2</w:t>
      </w:r>
      <w:r w:rsidRPr="002A664E">
        <w:rPr>
          <w:rFonts w:asciiTheme="majorBidi" w:hAnsiTheme="majorBidi" w:cstheme="majorBidi"/>
          <w:color w:val="0070C0"/>
          <w:sz w:val="20"/>
          <w:szCs w:val="20"/>
        </w:rPr>
        <w:t xml:space="preserve">Department of Electronic Engineering, Sudan </w:t>
      </w:r>
      <w:r>
        <w:rPr>
          <w:rFonts w:asciiTheme="majorBidi" w:hAnsiTheme="majorBidi" w:cstheme="majorBidi"/>
          <w:color w:val="0070C0"/>
          <w:sz w:val="20"/>
          <w:szCs w:val="20"/>
        </w:rPr>
        <w:t>U</w:t>
      </w:r>
      <w:r w:rsidRPr="002A664E">
        <w:rPr>
          <w:rFonts w:asciiTheme="majorBidi" w:hAnsiTheme="majorBidi" w:cstheme="majorBidi"/>
          <w:color w:val="0070C0"/>
          <w:sz w:val="20"/>
          <w:szCs w:val="20"/>
        </w:rPr>
        <w:t xml:space="preserve">niversity of </w:t>
      </w:r>
      <w:r>
        <w:rPr>
          <w:rFonts w:asciiTheme="majorBidi" w:hAnsiTheme="majorBidi" w:cstheme="majorBidi"/>
          <w:color w:val="0070C0"/>
          <w:sz w:val="20"/>
          <w:szCs w:val="20"/>
        </w:rPr>
        <w:t>S</w:t>
      </w:r>
      <w:r w:rsidRPr="002A664E">
        <w:rPr>
          <w:rFonts w:asciiTheme="majorBidi" w:hAnsiTheme="majorBidi" w:cstheme="majorBidi"/>
          <w:color w:val="0070C0"/>
          <w:sz w:val="20"/>
          <w:szCs w:val="20"/>
        </w:rPr>
        <w:t>cience and Technology</w:t>
      </w:r>
      <w:r>
        <w:rPr>
          <w:rFonts w:asciiTheme="majorBidi" w:hAnsiTheme="majorBidi" w:cstheme="majorBidi"/>
          <w:color w:val="0070C0"/>
          <w:sz w:val="20"/>
          <w:szCs w:val="20"/>
        </w:rPr>
        <w:t xml:space="preserve">, Sudan; </w:t>
      </w:r>
      <w:hyperlink r:id="rId10" w:history="1">
        <w:r w:rsidRPr="00047E3C">
          <w:rPr>
            <w:rStyle w:val="Hyperlink"/>
            <w:rFonts w:asciiTheme="majorBidi" w:hAnsiTheme="majorBidi" w:cstheme="majorBidi"/>
            <w:sz w:val="20"/>
            <w:szCs w:val="20"/>
          </w:rPr>
          <w:t>salahedingasim@sustech.edu</w:t>
        </w:r>
      </w:hyperlink>
      <w:r>
        <w:rPr>
          <w:rFonts w:asciiTheme="majorBidi" w:hAnsiTheme="majorBidi" w:cstheme="majorBidi"/>
          <w:color w:val="0070C0"/>
          <w:sz w:val="20"/>
          <w:szCs w:val="20"/>
        </w:rPr>
        <w:t xml:space="preserve"> </w:t>
      </w:r>
    </w:p>
    <w:p w14:paraId="209AD1E5" w14:textId="77777777" w:rsidR="004B1918" w:rsidRPr="008538EA" w:rsidRDefault="004B1918" w:rsidP="004B1918">
      <w:pPr>
        <w:spacing w:line="276" w:lineRule="auto"/>
        <w:jc w:val="center"/>
        <w:rPr>
          <w:rFonts w:asciiTheme="majorBidi" w:hAnsiTheme="majorBidi" w:cstheme="majorBidi"/>
          <w:color w:val="0070C0"/>
          <w:sz w:val="20"/>
          <w:szCs w:val="20"/>
        </w:rPr>
      </w:pPr>
      <w:r w:rsidRPr="008538EA">
        <w:rPr>
          <w:rFonts w:asciiTheme="majorBidi" w:hAnsiTheme="majorBidi" w:cstheme="majorBidi"/>
          <w:color w:val="0070C0"/>
          <w:sz w:val="20"/>
          <w:szCs w:val="20"/>
        </w:rPr>
        <w:t>*Corres</w:t>
      </w:r>
      <w:r>
        <w:rPr>
          <w:rFonts w:asciiTheme="majorBidi" w:hAnsiTheme="majorBidi" w:cstheme="majorBidi"/>
          <w:color w:val="0070C0"/>
          <w:sz w:val="20"/>
          <w:szCs w:val="20"/>
        </w:rPr>
        <w:t xml:space="preserve">pondence Authors: </w:t>
      </w:r>
      <w:hyperlink r:id="rId11" w:history="1">
        <w:r w:rsidRPr="005C0266">
          <w:rPr>
            <w:rStyle w:val="Hyperlink"/>
            <w:rFonts w:asciiTheme="majorBidi" w:hAnsiTheme="majorBidi" w:cstheme="majorBidi"/>
            <w:sz w:val="20"/>
            <w:szCs w:val="20"/>
          </w:rPr>
          <w:t>m.adnan@nu.edu.pk</w:t>
        </w:r>
      </w:hyperlink>
      <w:r w:rsidRPr="00FD7868">
        <w:rPr>
          <w:rStyle w:val="Hyperlink"/>
          <w:rFonts w:asciiTheme="majorBidi" w:hAnsiTheme="majorBidi" w:cstheme="majorBidi"/>
          <w:color w:val="auto"/>
          <w:sz w:val="20"/>
          <w:szCs w:val="20"/>
          <w:u w:val="none"/>
        </w:rPr>
        <w:t xml:space="preserve"> </w:t>
      </w:r>
    </w:p>
    <w:bookmarkEnd w:id="0"/>
    <w:p w14:paraId="2C701A70" w14:textId="6A830805" w:rsidR="00C1402C" w:rsidRPr="003676D3" w:rsidRDefault="0065459A" w:rsidP="003676D3">
      <w:pPr>
        <w:spacing w:line="276" w:lineRule="auto"/>
        <w:jc w:val="both"/>
        <w:rPr>
          <w:rFonts w:ascii="Times New Roman" w:hAnsi="Times New Roman" w:cs="Times New Roman"/>
          <w:sz w:val="24"/>
          <w:szCs w:val="24"/>
        </w:rPr>
      </w:pPr>
      <w:r w:rsidRPr="003676D3">
        <w:rPr>
          <w:rFonts w:ascii="Times New Roman" w:hAnsi="Times New Roman" w:cs="Times New Roman"/>
          <w:b/>
          <w:bCs/>
          <w:sz w:val="24"/>
          <w:szCs w:val="24"/>
        </w:rPr>
        <w:t>Abstract</w:t>
      </w:r>
      <w:r w:rsidR="008E437B" w:rsidRPr="003676D3">
        <w:rPr>
          <w:rFonts w:ascii="Times New Roman" w:hAnsi="Times New Roman" w:cs="Times New Roman"/>
          <w:b/>
          <w:bCs/>
          <w:sz w:val="24"/>
          <w:szCs w:val="24"/>
        </w:rPr>
        <w:t>:</w:t>
      </w:r>
      <w:r w:rsidR="008E437B" w:rsidRPr="003676D3">
        <w:rPr>
          <w:rFonts w:ascii="Times New Roman" w:hAnsi="Times New Roman" w:cs="Times New Roman"/>
          <w:sz w:val="24"/>
          <w:szCs w:val="24"/>
        </w:rPr>
        <w:t xml:space="preserve"> </w:t>
      </w:r>
      <w:r w:rsidR="00724E60" w:rsidRPr="003676D3">
        <w:rPr>
          <w:rFonts w:ascii="Times New Roman" w:hAnsi="Times New Roman" w:cs="Times New Roman"/>
          <w:sz w:val="24"/>
          <w:szCs w:val="24"/>
        </w:rPr>
        <w:t xml:space="preserve">This study employs retrospective empirical approach to assess the innovative methods and techniques in the European union perspective with the aim to transition from smart grid to super smart grid. The European union has embarked on a significant modernization of its electricity infrastructure. This transformation is centralized on the idea of the development of a super smart grid, which leverages on emerging technologies to enhance grid intelligence and interconnectivity all across the Europe. This study critically analyses the technical, regulatory and economic steps taken by the EU to facilitate this transition. It put forward the challenges due to the integration of RES, such as intermittency, cybersecurity threats, as well as the need for advance demand-supply balance for the network. It addresses the market hurdles for grid expansion and modernization, and also include the need for updated regulatory frameworks. This study also explores the </w:t>
      </w:r>
      <w:r w:rsidR="00416F82" w:rsidRPr="003676D3">
        <w:rPr>
          <w:rFonts w:ascii="Times New Roman" w:hAnsi="Times New Roman" w:cs="Times New Roman"/>
          <w:sz w:val="24"/>
          <w:szCs w:val="24"/>
        </w:rPr>
        <w:t>cutting-edge</w:t>
      </w:r>
      <w:r w:rsidR="00724E60" w:rsidRPr="003676D3">
        <w:rPr>
          <w:rFonts w:ascii="Times New Roman" w:hAnsi="Times New Roman" w:cs="Times New Roman"/>
          <w:sz w:val="24"/>
          <w:szCs w:val="24"/>
        </w:rPr>
        <w:t xml:space="preserve"> solutions like blockchain based decentralized energy transactions, which offers a secure platform for an efficient, and autonomous energy balance. </w:t>
      </w:r>
      <w:r w:rsidR="008E437B" w:rsidRPr="003676D3">
        <w:rPr>
          <w:rFonts w:ascii="Times New Roman" w:hAnsi="Times New Roman" w:cs="Times New Roman"/>
          <w:sz w:val="24"/>
          <w:szCs w:val="24"/>
        </w:rPr>
        <w:t xml:space="preserve">The development of a super smart grid </w:t>
      </w:r>
      <w:r w:rsidR="00C25A8C" w:rsidRPr="003676D3">
        <w:rPr>
          <w:rFonts w:ascii="Times New Roman" w:hAnsi="Times New Roman" w:cs="Times New Roman"/>
          <w:sz w:val="24"/>
          <w:szCs w:val="24"/>
        </w:rPr>
        <w:t>makes use of</w:t>
      </w:r>
      <w:r w:rsidR="008E437B" w:rsidRPr="003676D3">
        <w:rPr>
          <w:rFonts w:ascii="Times New Roman" w:hAnsi="Times New Roman" w:cs="Times New Roman"/>
          <w:sz w:val="24"/>
          <w:szCs w:val="24"/>
        </w:rPr>
        <w:t xml:space="preserve"> artificial intelligence for predictive analytics, demand forecasting, and real-time decision-making</w:t>
      </w:r>
      <w:r w:rsidR="00C25A8C" w:rsidRPr="003676D3">
        <w:rPr>
          <w:rFonts w:ascii="Times New Roman" w:hAnsi="Times New Roman" w:cs="Times New Roman"/>
          <w:sz w:val="24"/>
          <w:szCs w:val="24"/>
        </w:rPr>
        <w:t xml:space="preserve">. The </w:t>
      </w:r>
      <w:r w:rsidR="008E437B" w:rsidRPr="003676D3">
        <w:rPr>
          <w:rFonts w:ascii="Times New Roman" w:hAnsi="Times New Roman" w:cs="Times New Roman"/>
          <w:sz w:val="24"/>
          <w:szCs w:val="24"/>
        </w:rPr>
        <w:t xml:space="preserve">metaverse </w:t>
      </w:r>
      <w:r w:rsidR="00C25A8C" w:rsidRPr="003676D3">
        <w:rPr>
          <w:rFonts w:ascii="Times New Roman" w:hAnsi="Times New Roman" w:cs="Times New Roman"/>
          <w:sz w:val="24"/>
          <w:szCs w:val="24"/>
        </w:rPr>
        <w:t xml:space="preserve">and digital twin </w:t>
      </w:r>
      <w:r w:rsidR="008E437B" w:rsidRPr="003676D3">
        <w:rPr>
          <w:rFonts w:ascii="Times New Roman" w:hAnsi="Times New Roman" w:cs="Times New Roman"/>
          <w:sz w:val="24"/>
          <w:szCs w:val="24"/>
        </w:rPr>
        <w:t>f</w:t>
      </w:r>
      <w:r w:rsidR="00C25A8C" w:rsidRPr="003676D3">
        <w:rPr>
          <w:rFonts w:ascii="Times New Roman" w:hAnsi="Times New Roman" w:cs="Times New Roman"/>
          <w:sz w:val="24"/>
          <w:szCs w:val="24"/>
        </w:rPr>
        <w:t>ormulates</w:t>
      </w:r>
      <w:r w:rsidR="008E437B" w:rsidRPr="003676D3">
        <w:rPr>
          <w:rFonts w:ascii="Times New Roman" w:hAnsi="Times New Roman" w:cs="Times New Roman"/>
          <w:sz w:val="24"/>
          <w:szCs w:val="24"/>
        </w:rPr>
        <w:t xml:space="preserve"> simulation and optimization of energy systems</w:t>
      </w:r>
      <w:r w:rsidR="00724DEC" w:rsidRPr="003676D3">
        <w:rPr>
          <w:rFonts w:ascii="Times New Roman" w:hAnsi="Times New Roman" w:cs="Times New Roman"/>
          <w:sz w:val="24"/>
          <w:szCs w:val="24"/>
        </w:rPr>
        <w:t>. Furthermore, this study</w:t>
      </w:r>
      <w:r w:rsidR="008E437B" w:rsidRPr="003676D3">
        <w:rPr>
          <w:rFonts w:ascii="Times New Roman" w:hAnsi="Times New Roman" w:cs="Times New Roman"/>
          <w:sz w:val="24"/>
          <w:szCs w:val="24"/>
        </w:rPr>
        <w:t xml:space="preserve"> </w:t>
      </w:r>
      <w:r w:rsidR="00C25A8C" w:rsidRPr="003676D3">
        <w:rPr>
          <w:rFonts w:ascii="Times New Roman" w:hAnsi="Times New Roman" w:cs="Times New Roman"/>
          <w:sz w:val="24"/>
          <w:szCs w:val="24"/>
        </w:rPr>
        <w:t>put forwards</w:t>
      </w:r>
      <w:r w:rsidR="008E437B" w:rsidRPr="003676D3">
        <w:rPr>
          <w:rFonts w:ascii="Times New Roman" w:hAnsi="Times New Roman" w:cs="Times New Roman"/>
          <w:sz w:val="24"/>
          <w:szCs w:val="24"/>
        </w:rPr>
        <w:t xml:space="preserve"> a comprehensive overview of the potential challenges and issues e</w:t>
      </w:r>
      <w:r w:rsidR="00724DEC" w:rsidRPr="003676D3">
        <w:rPr>
          <w:rFonts w:ascii="Times New Roman" w:hAnsi="Times New Roman" w:cs="Times New Roman"/>
          <w:sz w:val="24"/>
          <w:szCs w:val="24"/>
        </w:rPr>
        <w:t>ncountered in super smart grids</w:t>
      </w:r>
      <w:r w:rsidR="008E437B" w:rsidRPr="003676D3">
        <w:rPr>
          <w:rFonts w:ascii="Times New Roman" w:hAnsi="Times New Roman" w:cs="Times New Roman"/>
          <w:sz w:val="24"/>
          <w:szCs w:val="24"/>
        </w:rPr>
        <w:t>, emphasizing the role of regulatory reforms and</w:t>
      </w:r>
      <w:r w:rsidR="007644A4" w:rsidRPr="003676D3">
        <w:rPr>
          <w:rFonts w:ascii="Times New Roman" w:hAnsi="Times New Roman" w:cs="Times New Roman"/>
          <w:sz w:val="24"/>
          <w:szCs w:val="24"/>
        </w:rPr>
        <w:t xml:space="preserve"> innovations in technology for</w:t>
      </w:r>
      <w:r w:rsidR="008E437B" w:rsidRPr="003676D3">
        <w:rPr>
          <w:rFonts w:ascii="Times New Roman" w:hAnsi="Times New Roman" w:cs="Times New Roman"/>
          <w:sz w:val="24"/>
          <w:szCs w:val="24"/>
        </w:rPr>
        <w:t xml:space="preserve"> achieving a sustainable, intelligent and interconnected European power grid.</w:t>
      </w:r>
    </w:p>
    <w:p w14:paraId="40E1AB29" w14:textId="40693311" w:rsidR="00C1402C" w:rsidRPr="003676D3" w:rsidRDefault="008E437B" w:rsidP="003676D3">
      <w:pPr>
        <w:spacing w:line="276" w:lineRule="auto"/>
        <w:jc w:val="both"/>
        <w:rPr>
          <w:rFonts w:ascii="Times New Roman" w:hAnsi="Times New Roman" w:cs="Times New Roman"/>
          <w:sz w:val="24"/>
          <w:szCs w:val="24"/>
        </w:rPr>
      </w:pPr>
      <w:r w:rsidRPr="003676D3">
        <w:rPr>
          <w:rFonts w:ascii="Times New Roman" w:hAnsi="Times New Roman" w:cs="Times New Roman"/>
          <w:b/>
          <w:bCs/>
          <w:sz w:val="24"/>
          <w:szCs w:val="24"/>
        </w:rPr>
        <w:t>Keywords</w:t>
      </w:r>
      <w:r w:rsidRPr="003676D3">
        <w:rPr>
          <w:rFonts w:ascii="Times New Roman" w:hAnsi="Times New Roman" w:cs="Times New Roman"/>
          <w:sz w:val="24"/>
          <w:szCs w:val="24"/>
        </w:rPr>
        <w:t>: Super Smart Grid, Energy, Metaverse, Digital Twin, Blockchain, Artificial Intelligence</w:t>
      </w:r>
    </w:p>
    <w:p w14:paraId="18E2A749" w14:textId="77777777" w:rsidR="0065459A" w:rsidRPr="003676D3" w:rsidRDefault="0065459A" w:rsidP="003676D3">
      <w:pPr>
        <w:pStyle w:val="Heading1"/>
        <w:spacing w:line="276" w:lineRule="auto"/>
        <w:jc w:val="both"/>
        <w:rPr>
          <w:sz w:val="24"/>
          <w:szCs w:val="24"/>
        </w:rPr>
      </w:pPr>
      <w:r w:rsidRPr="003676D3">
        <w:rPr>
          <w:sz w:val="24"/>
          <w:szCs w:val="24"/>
        </w:rPr>
        <w:t>1. Introduction</w:t>
      </w:r>
    </w:p>
    <w:p w14:paraId="15F0B936" w14:textId="5FCF1259" w:rsidR="00754013" w:rsidRPr="003676D3" w:rsidRDefault="00754013" w:rsidP="003676D3">
      <w:pPr>
        <w:widowControl w:val="0"/>
        <w:autoSpaceDE w:val="0"/>
        <w:autoSpaceDN w:val="0"/>
        <w:adjustRightInd w:val="0"/>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In numerous nations, the electricity sector has experienced a </w:t>
      </w:r>
      <w:r w:rsidR="00FB400D" w:rsidRPr="003676D3">
        <w:rPr>
          <w:rFonts w:ascii="Times New Roman" w:hAnsi="Times New Roman" w:cs="Times New Roman"/>
          <w:sz w:val="24"/>
          <w:szCs w:val="24"/>
        </w:rPr>
        <w:t>remarkable shift towards the fostering</w:t>
      </w:r>
      <w:r w:rsidRPr="003676D3">
        <w:rPr>
          <w:rFonts w:ascii="Times New Roman" w:hAnsi="Times New Roman" w:cs="Times New Roman"/>
          <w:sz w:val="24"/>
          <w:szCs w:val="24"/>
        </w:rPr>
        <w:t xml:space="preserve"> of Renewable Energy Systems (RESs)</w:t>
      </w:r>
      <w:r w:rsidR="00A705BC" w:rsidRPr="003676D3">
        <w:rPr>
          <w:rFonts w:ascii="Times New Roman" w:hAnsi="Times New Roman" w:cs="Times New Roman"/>
          <w:sz w:val="24"/>
          <w:szCs w:val="24"/>
        </w:rPr>
        <w:t xml:space="preserve"> </w:t>
      </w:r>
      <w:r w:rsidR="00A705BC" w:rsidRPr="003676D3">
        <w:rPr>
          <w:rFonts w:ascii="Times New Roman" w:hAnsi="Times New Roman" w:cs="Times New Roman"/>
          <w:sz w:val="24"/>
          <w:szCs w:val="24"/>
        </w:rPr>
        <w:fldChar w:fldCharType="begin" w:fldLock="1"/>
      </w:r>
      <w:r w:rsidR="00A705BC" w:rsidRPr="003676D3">
        <w:rPr>
          <w:rFonts w:ascii="Times New Roman" w:hAnsi="Times New Roman" w:cs="Times New Roman"/>
          <w:sz w:val="24"/>
          <w:szCs w:val="24"/>
        </w:rPr>
        <w:instrText>ADDIN CSL_CITATION {"citationItems":[{"id":"ITEM-1","itemData":{"DOI":"10.1109/TII.2020.3018123","ISSN":"19410050","abstract":"Emerging smart grid technologies and increased penetration of renewable energy sources (RESs) direct the power sector to focus on RESs as an alternative to meet both baseload and peak load demands in a cost-efficient way. A key issue in such schemes is the design and analysis of energy trading techniques involving complex interactions between an aggregator and multiple electricity suppliers (ESs) with RESs fulfilling a certain demand. This is challenging because ESs can be of various categories, such as small/medium/large scale, and they are self-interested and generally have different preferences toward trading based on their types and constraints. This article introduces a new contract theoretic framework to tackle this challenge by designing optimal contracts for ESs. To this end, a dynamic pricing scheme is developed such that the aggregator can utilize to incentivize the ESs to contribute to both baseload and peak load demands according to their categories. An algorithm is proposed that can be implemented in a distributed manner by trading partners to enable energy trading. It is shown that the trading strategy under a baseload scenario is feasible, and the aggregator only needs to consider the per unit generation cost of ESs to decide on its strategy. The trading strategy for a peak load scenario, however, is complex and requires consideration of different factors, such as variations in the wholesale price and its effect on the selling price of ESs, and the uncertainty of energy generation from RESs. Simulation results demonstrate the effectiveness of the proposed scheme for energy trading in the local electricity market.","author":[{"dropping-particle":"","family":"Amin","given":"Uzma","non-dropping-particle":"","parse-names":false,"suffix":""},{"dropping-particle":"","family":"Hossain","given":"M. Jahangir","non-dropping-particle":"","parse-names":false,"suffix":""},{"dropping-particle":"","family":"Tushar","given":"Wayes","non-dropping-particle":"","parse-names":false,"suffix":""},{"dropping-particle":"","family":"Mahmud","given":"Khizir","non-dropping-particle":"","parse-names":false,"suffix":""}],"container-title":"IEEE Transactions on Industrial Informatics","id":"ITEM-1","issue":"6","issued":{"date-parts":[["2021","6","1"]]},"page":"3717-3730","publisher":"IEEE Computer Society","title":"Energy Trading in Local Electricity Market with Renewables - A Contract Theoretic Approach","type":"article-journal","volume":"17"},"uris":["http://www.mendeley.com/documents/?uuid=61c4af2d-2eb6-3e78-b616-3a39a23efee6"]}],"mendeley":{"formattedCitation":"[1]","plainTextFormattedCitation":"[1]","previouslyFormattedCitation":"[1]"},"properties":{"noteIndex":0},"schema":"https://github.com/citation-style-language/schema/raw/master/csl-citation.json"}</w:instrText>
      </w:r>
      <w:r w:rsidR="00A705BC" w:rsidRPr="003676D3">
        <w:rPr>
          <w:rFonts w:ascii="Times New Roman" w:hAnsi="Times New Roman" w:cs="Times New Roman"/>
          <w:sz w:val="24"/>
          <w:szCs w:val="24"/>
        </w:rPr>
        <w:fldChar w:fldCharType="separate"/>
      </w:r>
      <w:r w:rsidR="00A705BC" w:rsidRPr="003676D3">
        <w:rPr>
          <w:rFonts w:ascii="Times New Roman" w:hAnsi="Times New Roman" w:cs="Times New Roman"/>
          <w:noProof/>
          <w:sz w:val="24"/>
          <w:szCs w:val="24"/>
        </w:rPr>
        <w:t>[1]</w:t>
      </w:r>
      <w:r w:rsidR="00A705BC" w:rsidRPr="003676D3">
        <w:rPr>
          <w:rFonts w:ascii="Times New Roman" w:hAnsi="Times New Roman" w:cs="Times New Roman"/>
          <w:sz w:val="24"/>
          <w:szCs w:val="24"/>
        </w:rPr>
        <w:fldChar w:fldCharType="end"/>
      </w:r>
      <w:r w:rsidRPr="003676D3">
        <w:rPr>
          <w:rFonts w:ascii="Times New Roman" w:hAnsi="Times New Roman" w:cs="Times New Roman"/>
          <w:sz w:val="24"/>
          <w:szCs w:val="24"/>
        </w:rPr>
        <w:t>, marking an initial phase of systemic transformation</w:t>
      </w:r>
      <w:r w:rsidR="00FF5E10" w:rsidRPr="003676D3">
        <w:rPr>
          <w:rFonts w:ascii="Times New Roman" w:hAnsi="Times New Roman" w:cs="Times New Roman"/>
          <w:sz w:val="24"/>
          <w:szCs w:val="24"/>
        </w:rPr>
        <w:t xml:space="preserve"> and disruptive innovation</w:t>
      </w:r>
      <w:r w:rsidR="00A705BC" w:rsidRPr="003676D3">
        <w:rPr>
          <w:rFonts w:ascii="Times New Roman" w:hAnsi="Times New Roman" w:cs="Times New Roman"/>
          <w:sz w:val="24"/>
          <w:szCs w:val="24"/>
        </w:rPr>
        <w:t xml:space="preserve"> </w:t>
      </w:r>
      <w:r w:rsidR="00A705BC" w:rsidRPr="003676D3">
        <w:rPr>
          <w:rFonts w:ascii="Times New Roman" w:hAnsi="Times New Roman" w:cs="Times New Roman"/>
          <w:sz w:val="24"/>
          <w:szCs w:val="24"/>
        </w:rPr>
        <w:fldChar w:fldCharType="begin" w:fldLock="1"/>
      </w:r>
      <w:r w:rsidR="00A705BC" w:rsidRPr="003676D3">
        <w:rPr>
          <w:rFonts w:ascii="Times New Roman" w:hAnsi="Times New Roman" w:cs="Times New Roman"/>
          <w:sz w:val="24"/>
          <w:szCs w:val="24"/>
        </w:rPr>
        <w:instrText>ADDIN CSL_CITATION {"citationItems":[{"id":"ITEM-1","itemData":{"DOI":"10.1016/J.ERSS.2017.10.032","ISSN":"22146296","abstract":"What are ‘disruption’ and ‘disruptive innovation’? And what relevance do they have for energy transformation? Ten critical perspectives offer ten contrasting responses to these questions. The relevance of Christensen’s canonical definition of disruptive innovation is highly contested in its applicability to energy and climate challenges, as is the usefulness of analysing discrete business models or technologies rather than socio-technical systems. Further research on disruptive innovation and energy transformation needs to tackle: (i) the social, systemic and emissions impact of widespread adoption; (ii) how to mitigate the adverse distributional consequences of disruption; (iii) the consumer appeal of ‘good enough’ products for users marginalised or excluded from mainstream markets; (iv) the role of incumbents in system transformation; and (v) the reasons for geographic variation in disruption processes currently underway.","author":[{"dropping-particle":"","family":"Wilson","given":"Charlie","non-dropping-particle":"","parse-names":false,"suffix":""},{"dropping-particle":"","family":"Tyfield","given":"David","non-dropping-particle":"","parse-names":false,"suffix":""}],"container-title":"Energy research and social science","id":"ITEM-1","issued":{"date-parts":[["2018","3","1"]]},"page":"211-215","publisher":"Elsevier Ltd","title":"Critical perspectives on disruptive innovation and energy transformation","type":"article-journal","volume":"37"},"uris":["http://www.mendeley.com/documents/?uuid=d4e2dfb8-5540-3757-a08d-8f9aa3edd21d"]}],"mendeley":{"formattedCitation":"[2]","plainTextFormattedCitation":"[2]","previouslyFormattedCitation":"[2]"},"properties":{"noteIndex":0},"schema":"https://github.com/citation-style-language/schema/raw/master/csl-citation.json"}</w:instrText>
      </w:r>
      <w:r w:rsidR="00A705BC" w:rsidRPr="003676D3">
        <w:rPr>
          <w:rFonts w:ascii="Times New Roman" w:hAnsi="Times New Roman" w:cs="Times New Roman"/>
          <w:sz w:val="24"/>
          <w:szCs w:val="24"/>
        </w:rPr>
        <w:fldChar w:fldCharType="separate"/>
      </w:r>
      <w:r w:rsidR="00A705BC" w:rsidRPr="003676D3">
        <w:rPr>
          <w:rFonts w:ascii="Times New Roman" w:hAnsi="Times New Roman" w:cs="Times New Roman"/>
          <w:noProof/>
          <w:sz w:val="24"/>
          <w:szCs w:val="24"/>
        </w:rPr>
        <w:t>[2]</w:t>
      </w:r>
      <w:r w:rsidR="00A705BC"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w:t>
      </w:r>
      <w:r w:rsidR="00FF5E10" w:rsidRPr="003676D3">
        <w:rPr>
          <w:rFonts w:ascii="Times New Roman" w:hAnsi="Times New Roman" w:cs="Times New Roman"/>
          <w:sz w:val="24"/>
          <w:szCs w:val="24"/>
        </w:rPr>
        <w:t xml:space="preserve">Regulation should not </w:t>
      </w:r>
      <w:r w:rsidR="00724DEC" w:rsidRPr="003676D3">
        <w:rPr>
          <w:rFonts w:ascii="Times New Roman" w:hAnsi="Times New Roman" w:cs="Times New Roman"/>
          <w:sz w:val="24"/>
          <w:szCs w:val="24"/>
        </w:rPr>
        <w:t xml:space="preserve">exclusively prioritize the </w:t>
      </w:r>
      <w:r w:rsidR="003A3E12" w:rsidRPr="003676D3">
        <w:rPr>
          <w:rFonts w:ascii="Times New Roman" w:hAnsi="Times New Roman" w:cs="Times New Roman"/>
          <w:sz w:val="24"/>
          <w:szCs w:val="24"/>
        </w:rPr>
        <w:t>cost-efficient</w:t>
      </w:r>
      <w:r w:rsidR="00FF5E10" w:rsidRPr="003676D3">
        <w:rPr>
          <w:rFonts w:ascii="Times New Roman" w:hAnsi="Times New Roman" w:cs="Times New Roman"/>
          <w:sz w:val="24"/>
          <w:szCs w:val="24"/>
        </w:rPr>
        <w:t xml:space="preserve"> utilization of current infrastructure and investments in </w:t>
      </w:r>
      <w:r w:rsidR="00FB400D" w:rsidRPr="003676D3">
        <w:rPr>
          <w:rFonts w:ascii="Times New Roman" w:hAnsi="Times New Roman" w:cs="Times New Roman"/>
          <w:sz w:val="24"/>
          <w:szCs w:val="24"/>
        </w:rPr>
        <w:t>reinforcement and replacement</w:t>
      </w:r>
      <w:r w:rsidR="00FF5E10" w:rsidRPr="003676D3">
        <w:rPr>
          <w:rFonts w:ascii="Times New Roman" w:hAnsi="Times New Roman" w:cs="Times New Roman"/>
          <w:sz w:val="24"/>
          <w:szCs w:val="24"/>
        </w:rPr>
        <w:t xml:space="preserve">; </w:t>
      </w:r>
      <w:r w:rsidR="00FE7E55" w:rsidRPr="003676D3">
        <w:rPr>
          <w:rFonts w:ascii="Times New Roman" w:hAnsi="Times New Roman" w:cs="Times New Roman"/>
          <w:sz w:val="24"/>
          <w:szCs w:val="24"/>
        </w:rPr>
        <w:t>innovation</w:t>
      </w:r>
      <w:r w:rsidR="00FB400D" w:rsidRPr="003676D3">
        <w:rPr>
          <w:rFonts w:ascii="Times New Roman" w:hAnsi="Times New Roman" w:cs="Times New Roman"/>
          <w:sz w:val="24"/>
          <w:szCs w:val="24"/>
        </w:rPr>
        <w:t xml:space="preserve"> should also be a factor to consider</w:t>
      </w:r>
      <w:r w:rsidR="00FF5E10" w:rsidRPr="003676D3">
        <w:rPr>
          <w:rFonts w:ascii="Times New Roman" w:hAnsi="Times New Roman" w:cs="Times New Roman"/>
          <w:sz w:val="24"/>
          <w:szCs w:val="24"/>
        </w:rPr>
        <w:t xml:space="preserve">. </w:t>
      </w:r>
      <w:r w:rsidR="00724E60" w:rsidRPr="003676D3">
        <w:rPr>
          <w:rFonts w:ascii="Times New Roman" w:hAnsi="Times New Roman" w:cs="Times New Roman"/>
          <w:sz w:val="24"/>
          <w:szCs w:val="24"/>
        </w:rPr>
        <w:t xml:space="preserve">This commencement of transition is mainly about the technical and economic feasibility of RESs, which enables their penetration into the electricity systems. In this case, the new narrative also goes further than just substitution of fossil fuel resources, but rather it is the consideration of how the whole </w:t>
      </w:r>
      <w:r w:rsidR="00724E60" w:rsidRPr="003676D3">
        <w:rPr>
          <w:rFonts w:ascii="Times New Roman" w:hAnsi="Times New Roman" w:cs="Times New Roman"/>
          <w:sz w:val="24"/>
          <w:szCs w:val="24"/>
        </w:rPr>
        <w:lastRenderedPageBreak/>
        <w:t xml:space="preserve">electricity systems should function In this regard, the composition of RESs is complemented with finely balanced supply, demand </w:t>
      </w:r>
      <w:r w:rsidR="00A705BC" w:rsidRPr="003676D3">
        <w:rPr>
          <w:rFonts w:ascii="Times New Roman" w:hAnsi="Times New Roman" w:cs="Times New Roman"/>
          <w:sz w:val="24"/>
          <w:szCs w:val="24"/>
        </w:rPr>
        <w:fldChar w:fldCharType="begin" w:fldLock="1"/>
      </w:r>
      <w:r w:rsidR="00A705BC" w:rsidRPr="003676D3">
        <w:rPr>
          <w:rFonts w:ascii="Times New Roman" w:hAnsi="Times New Roman" w:cs="Times New Roman"/>
          <w:sz w:val="24"/>
          <w:szCs w:val="24"/>
        </w:rPr>
        <w:instrText>ADDIN CSL_CITATION {"citationItems":[{"id":"ITEM-1","itemData":{"DOI":"10.1109/TSG.2015.2445794","ISSN":"19493053","abstract":"The large-scale integration of renewable generation directly affects the reliability of power grids. We investigate the problem of power balancing in a general renewable-integrated power grid with storage and flexible loads. We consider a power grid that is supplied by one conventional generator (CG) and multiple renewable generators (RGs) each co-located with storage, and is connected with external markets. An aggregator operates the power grid to maintain power balance between supply and demand. Aiming at minimizing the long-term system cost, we first propose a real-time centralized power balancing solution, taking into account the uncertainty of the renewable generation, loads, and energy prices. We then provide a distributed implementation algorithm, significantly reducing both computational burden and communication overhead. We demonstrate that our proposed algorithm is asymptotically optimal as the storage capacity increases and the CG ramping constraint loosens. Moreover, the distributed implementation enjoys a fast convergence rate, and enables each RG and the aggregator to make their own decisions. Simulation shows that our proposed algorithm outperforms alternatives and can achieve near-optimal performance for a wide range of storage capacity.","author":[{"dropping-particle":"","family":"Sun","given":"Sun","non-dropping-particle":"","parse-names":false,"suffix":""},{"dropping-particle":"","family":"Dong","given":"Min","non-dropping-particle":"","parse-names":false,"suffix":""},{"dropping-particle":"","family":"Liang","given":"Ben","non-dropping-particle":"","parse-names":false,"suffix":""}],"container-title":"IEEE Transactions on Smart Grid","id":"ITEM-1","issue":"5","issued":{"date-parts":[["2016","9","1"]]},"page":"2337-2349","publisher":"Institute of Electrical and Electronics Engineers Inc.","title":"Distributed Real-Time Power Balancing in Renewable-Integrated Power Grids With Storage and Flexible Loads","type":"article-journal","volume":"7"},"uris":["http://www.mendeley.com/documents/?uuid=17f6dbaf-f259-37c9-b2bf-12a9a115cb19"]}],"mendeley":{"formattedCitation":"[3]","plainTextFormattedCitation":"[3]","previouslyFormattedCitation":"[3]"},"properties":{"noteIndex":0},"schema":"https://github.com/citation-style-language/schema/raw/master/csl-citation.json"}</w:instrText>
      </w:r>
      <w:r w:rsidR="00A705BC" w:rsidRPr="003676D3">
        <w:rPr>
          <w:rFonts w:ascii="Times New Roman" w:hAnsi="Times New Roman" w:cs="Times New Roman"/>
          <w:sz w:val="24"/>
          <w:szCs w:val="24"/>
        </w:rPr>
        <w:fldChar w:fldCharType="separate"/>
      </w:r>
      <w:r w:rsidR="00A705BC" w:rsidRPr="003676D3">
        <w:rPr>
          <w:rFonts w:ascii="Times New Roman" w:hAnsi="Times New Roman" w:cs="Times New Roman"/>
          <w:noProof/>
          <w:sz w:val="24"/>
          <w:szCs w:val="24"/>
        </w:rPr>
        <w:t>[3]</w:t>
      </w:r>
      <w:r w:rsidR="00A705BC" w:rsidRPr="003676D3">
        <w:rPr>
          <w:rFonts w:ascii="Times New Roman" w:hAnsi="Times New Roman" w:cs="Times New Roman"/>
          <w:sz w:val="24"/>
          <w:szCs w:val="24"/>
        </w:rPr>
        <w:fldChar w:fldCharType="end"/>
      </w:r>
      <w:r w:rsidR="00FB400D" w:rsidRPr="003676D3">
        <w:rPr>
          <w:rFonts w:ascii="Times New Roman" w:hAnsi="Times New Roman" w:cs="Times New Roman"/>
          <w:sz w:val="24"/>
          <w:szCs w:val="24"/>
        </w:rPr>
        <w:t xml:space="preserve">, </w:t>
      </w:r>
      <w:r w:rsidR="004B1918" w:rsidRPr="003676D3">
        <w:rPr>
          <w:rFonts w:ascii="Times New Roman" w:hAnsi="Times New Roman" w:cs="Times New Roman"/>
          <w:sz w:val="24"/>
          <w:szCs w:val="24"/>
        </w:rPr>
        <w:t>along with</w:t>
      </w:r>
      <w:r w:rsidRPr="003676D3">
        <w:rPr>
          <w:rFonts w:ascii="Times New Roman" w:hAnsi="Times New Roman" w:cs="Times New Roman"/>
          <w:sz w:val="24"/>
          <w:szCs w:val="24"/>
        </w:rPr>
        <w:t xml:space="preserve"> storage</w:t>
      </w:r>
      <w:r w:rsidR="00724E60" w:rsidRPr="003676D3">
        <w:rPr>
          <w:rFonts w:ascii="Times New Roman" w:hAnsi="Times New Roman" w:cs="Times New Roman"/>
          <w:sz w:val="24"/>
          <w:szCs w:val="24"/>
        </w:rPr>
        <w:t>. This ensure</w:t>
      </w:r>
      <w:r w:rsidRPr="003676D3">
        <w:rPr>
          <w:rFonts w:ascii="Times New Roman" w:hAnsi="Times New Roman" w:cs="Times New Roman"/>
          <w:sz w:val="24"/>
          <w:szCs w:val="24"/>
        </w:rPr>
        <w:t xml:space="preserve"> </w:t>
      </w:r>
      <w:r w:rsidR="00724DEC" w:rsidRPr="003676D3">
        <w:rPr>
          <w:rFonts w:ascii="Times New Roman" w:hAnsi="Times New Roman" w:cs="Times New Roman"/>
          <w:sz w:val="24"/>
          <w:szCs w:val="24"/>
        </w:rPr>
        <w:t xml:space="preserve">high </w:t>
      </w:r>
      <w:r w:rsidRPr="003676D3">
        <w:rPr>
          <w:rFonts w:ascii="Times New Roman" w:hAnsi="Times New Roman" w:cs="Times New Roman"/>
          <w:sz w:val="24"/>
          <w:szCs w:val="24"/>
        </w:rPr>
        <w:t>power quality and mitigating congestion</w:t>
      </w:r>
      <w:r w:rsidR="00A705BC" w:rsidRPr="003676D3">
        <w:rPr>
          <w:rFonts w:ascii="Times New Roman" w:hAnsi="Times New Roman" w:cs="Times New Roman"/>
          <w:sz w:val="24"/>
          <w:szCs w:val="24"/>
        </w:rPr>
        <w:t xml:space="preserve"> </w:t>
      </w:r>
      <w:r w:rsidR="00A705BC" w:rsidRPr="003676D3">
        <w:rPr>
          <w:rFonts w:ascii="Times New Roman" w:hAnsi="Times New Roman" w:cs="Times New Roman"/>
          <w:sz w:val="24"/>
          <w:szCs w:val="24"/>
        </w:rPr>
        <w:fldChar w:fldCharType="begin" w:fldLock="1"/>
      </w:r>
      <w:r w:rsidR="00A705BC" w:rsidRPr="003676D3">
        <w:rPr>
          <w:rFonts w:ascii="Times New Roman" w:hAnsi="Times New Roman" w:cs="Times New Roman"/>
          <w:sz w:val="24"/>
          <w:szCs w:val="24"/>
        </w:rPr>
        <w:instrText>ADDIN CSL_CITATION {"citationItems":[{"id":"ITEM-1","itemData":{"DOI":"10.1002/ER.4847","ISSN":"1099114X","abstract":"Increased energy demands due to rapid industrialization, environmental concerns with fossil fuel–based generation, diminishing fossil energy resources, transmission network congestion, and technical performance deterioration are the motivations behind the integration of small renewable distributed generation (DG) units and turning the existing power systems into a restructured one. Optimizing the technical benefits offered by DG placement is a well‐known challenge for distribution network operators (DNOs) for both fossil and renewable energy resource–based DGs, but renewable DG systems have several power quality (PQ) challenges associated additionally. Power quality is a very significant characteristic of renewable DG systems because today's loads are more sensitive to PQ disturbances and penetration of renewable energy as well as nonlinear loads is proliferating in distribution power networks. So the need for innovative power quality improvement (PQI) techniques becomes inevitable due to ongoing reformation in traditional distribution networks by the integration of renewable energy. This article presents a comprehensive analysis of power quality challenges with grid integration of renewable DG systems and current research status of associated mitigation techniques. Firstly, this paper puts emphasis on theoretically illustrating all the crucial power quality challenges associated with grid integration of renewable energy, and secondly, a thorough survey, of all PQI techniques introduced till date, is elaborated along with highlighting the opportunities for future research. Furthermore, all the crucial power quality issues, the impact of high penetration of renewable energy and mitigation techniques on power quality, are demonstrated also by simulating a grid integrated PV‐based DG system in MATLAB/Simulink. This article is believed to be very beneficial for academics as well as industry professionals to understand existing PQ challenges, PQI techniques, and future research directions for renewable energy technologies.","author":[{"dropping-particle":"","family":"Bajaj","given":"Mohit","non-dropping-particle":"","parse-names":false,"suffix":""},{"dropping-particle":"","family":"Singh","given":"Amit Kumar","non-dropping-particle":"","parse-names":false,"suffix":""}],"container-title":"International Journal of Energy Research","id":"ITEM-1","issue":"1","issued":{"date-parts":[["2020","1","1"]]},"page":"26-69","publisher":"John Wiley and Sons Ltd","title":"Grid integrated renewable DG systems: A review of power quality challenges and state‐of‐the‐art mitigation techniques","type":"article-journal","volume":"44"},"uris":["http://www.mendeley.com/documents/?uuid=a909a287-62cb-3e02-a401-5999b44e3f46"]}],"mendeley":{"formattedCitation":"[4]","plainTextFormattedCitation":"[4]","previouslyFormattedCitation":"[4]"},"properties":{"noteIndex":0},"schema":"https://github.com/citation-style-language/schema/raw/master/csl-citation.json"}</w:instrText>
      </w:r>
      <w:r w:rsidR="00A705BC" w:rsidRPr="003676D3">
        <w:rPr>
          <w:rFonts w:ascii="Times New Roman" w:hAnsi="Times New Roman" w:cs="Times New Roman"/>
          <w:sz w:val="24"/>
          <w:szCs w:val="24"/>
        </w:rPr>
        <w:fldChar w:fldCharType="separate"/>
      </w:r>
      <w:r w:rsidR="00A705BC" w:rsidRPr="003676D3">
        <w:rPr>
          <w:rFonts w:ascii="Times New Roman" w:hAnsi="Times New Roman" w:cs="Times New Roman"/>
          <w:noProof/>
          <w:sz w:val="24"/>
          <w:szCs w:val="24"/>
        </w:rPr>
        <w:t>[4]</w:t>
      </w:r>
      <w:r w:rsidR="00A705BC"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in </w:t>
      </w:r>
      <w:r w:rsidR="00724DEC" w:rsidRPr="003676D3">
        <w:rPr>
          <w:rFonts w:ascii="Times New Roman" w:hAnsi="Times New Roman" w:cs="Times New Roman"/>
          <w:sz w:val="24"/>
          <w:szCs w:val="24"/>
        </w:rPr>
        <w:t xml:space="preserve">power transmission and distribution </w:t>
      </w:r>
      <w:r w:rsidR="004B1918" w:rsidRPr="003676D3">
        <w:rPr>
          <w:rFonts w:ascii="Times New Roman" w:hAnsi="Times New Roman" w:cs="Times New Roman"/>
          <w:sz w:val="24"/>
          <w:szCs w:val="24"/>
        </w:rPr>
        <w:t>along with</w:t>
      </w:r>
      <w:r w:rsidR="003A3E12" w:rsidRPr="003676D3">
        <w:rPr>
          <w:rFonts w:ascii="Times New Roman" w:hAnsi="Times New Roman" w:cs="Times New Roman"/>
          <w:sz w:val="24"/>
          <w:szCs w:val="24"/>
        </w:rPr>
        <w:t xml:space="preserve"> energy</w:t>
      </w:r>
      <w:r w:rsidR="00724DEC" w:rsidRPr="003676D3">
        <w:rPr>
          <w:rFonts w:ascii="Times New Roman" w:hAnsi="Times New Roman" w:cs="Times New Roman"/>
          <w:sz w:val="24"/>
          <w:szCs w:val="24"/>
        </w:rPr>
        <w:t xml:space="preserve"> </w:t>
      </w:r>
      <w:r w:rsidRPr="003676D3">
        <w:rPr>
          <w:rFonts w:ascii="Times New Roman" w:hAnsi="Times New Roman" w:cs="Times New Roman"/>
          <w:sz w:val="24"/>
          <w:szCs w:val="24"/>
        </w:rPr>
        <w:t xml:space="preserve">storage. </w:t>
      </w:r>
      <w:r w:rsidR="004B1918" w:rsidRPr="003676D3">
        <w:rPr>
          <w:rFonts w:ascii="Times New Roman" w:hAnsi="Times New Roman" w:cs="Times New Roman"/>
          <w:sz w:val="24"/>
          <w:szCs w:val="24"/>
        </w:rPr>
        <w:t>These complex combinations of factors</w:t>
      </w:r>
      <w:r w:rsidR="003A3E12" w:rsidRPr="003676D3">
        <w:rPr>
          <w:rFonts w:ascii="Times New Roman" w:hAnsi="Times New Roman" w:cs="Times New Roman"/>
          <w:sz w:val="24"/>
          <w:szCs w:val="24"/>
        </w:rPr>
        <w:t xml:space="preserve"> present new demands for electricity grids’ operational models and require that all parts of the supply chain from generation to usage be reviewed in a holistic manner.</w:t>
      </w:r>
    </w:p>
    <w:p w14:paraId="436CB1E7" w14:textId="0854208E" w:rsidR="00624D3A" w:rsidRPr="003676D3" w:rsidRDefault="00FB400D"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T</w:t>
      </w:r>
      <w:r w:rsidR="00724DEC" w:rsidRPr="003676D3">
        <w:rPr>
          <w:rFonts w:ascii="Times New Roman" w:hAnsi="Times New Roman" w:cs="Times New Roman"/>
          <w:sz w:val="24"/>
          <w:szCs w:val="24"/>
        </w:rPr>
        <w:t>he energy and power</w:t>
      </w:r>
      <w:r w:rsidRPr="003676D3">
        <w:rPr>
          <w:rFonts w:ascii="Times New Roman" w:hAnsi="Times New Roman" w:cs="Times New Roman"/>
          <w:sz w:val="24"/>
          <w:szCs w:val="24"/>
        </w:rPr>
        <w:t xml:space="preserve"> sector is expected </w:t>
      </w:r>
      <w:r w:rsidR="00724DEC" w:rsidRPr="003676D3">
        <w:rPr>
          <w:rFonts w:ascii="Times New Roman" w:hAnsi="Times New Roman" w:cs="Times New Roman"/>
          <w:sz w:val="24"/>
          <w:szCs w:val="24"/>
        </w:rPr>
        <w:t>t</w:t>
      </w:r>
      <w:r w:rsidR="004F3BF9" w:rsidRPr="003676D3">
        <w:rPr>
          <w:rFonts w:ascii="Times New Roman" w:hAnsi="Times New Roman" w:cs="Times New Roman"/>
          <w:sz w:val="24"/>
          <w:szCs w:val="24"/>
        </w:rPr>
        <w:t>o play an important</w:t>
      </w:r>
      <w:r w:rsidR="00724DEC" w:rsidRPr="003676D3">
        <w:rPr>
          <w:rFonts w:ascii="Times New Roman" w:hAnsi="Times New Roman" w:cs="Times New Roman"/>
          <w:sz w:val="24"/>
          <w:szCs w:val="24"/>
        </w:rPr>
        <w:t xml:space="preserve"> role in establishing a low </w:t>
      </w:r>
      <w:r w:rsidRPr="003676D3">
        <w:rPr>
          <w:rFonts w:ascii="Times New Roman" w:hAnsi="Times New Roman" w:cs="Times New Roman"/>
          <w:sz w:val="24"/>
          <w:szCs w:val="24"/>
        </w:rPr>
        <w:t xml:space="preserve">carbon economy </w:t>
      </w:r>
      <w:r w:rsidR="00A705BC" w:rsidRPr="003676D3">
        <w:rPr>
          <w:rFonts w:ascii="Times New Roman" w:hAnsi="Times New Roman" w:cs="Times New Roman"/>
          <w:sz w:val="24"/>
          <w:szCs w:val="24"/>
        </w:rPr>
        <w:fldChar w:fldCharType="begin" w:fldLock="1"/>
      </w:r>
      <w:r w:rsidR="00A705BC" w:rsidRPr="003676D3">
        <w:rPr>
          <w:rFonts w:ascii="Times New Roman" w:hAnsi="Times New Roman" w:cs="Times New Roman"/>
          <w:sz w:val="24"/>
          <w:szCs w:val="24"/>
        </w:rPr>
        <w:instrText>ADDIN CSL_CITATION {"citationItems":[{"id":"ITEM-1","itemData":{"author":[{"dropping-particle":"","family":"Xiaohu","given":"Zhang","non-dropping-particle":"","parse-names":false,"suffix":""}],"container-title":"Power system technology","id":"ITEM-1","issued":{"date-parts":[["2013"]]},"title":"Carbon Trading Based Low-Carbon Economic Dispatching for Power Grid Integrated With Wind Power System","type":"article-journal"},"uris":["http://www.mendeley.com/documents/?uuid=7125062b-7e2c-342b-9359-fca73186528e"]}],"mendeley":{"formattedCitation":"[5]","plainTextFormattedCitation":"[5]","previouslyFormattedCitation":"[5]"},"properties":{"noteIndex":0},"schema":"https://github.com/citation-style-language/schema/raw/master/csl-citation.json"}</w:instrText>
      </w:r>
      <w:r w:rsidR="00A705BC" w:rsidRPr="003676D3">
        <w:rPr>
          <w:rFonts w:ascii="Times New Roman" w:hAnsi="Times New Roman" w:cs="Times New Roman"/>
          <w:sz w:val="24"/>
          <w:szCs w:val="24"/>
        </w:rPr>
        <w:fldChar w:fldCharType="separate"/>
      </w:r>
      <w:r w:rsidR="00A705BC" w:rsidRPr="003676D3">
        <w:rPr>
          <w:rFonts w:ascii="Times New Roman" w:hAnsi="Times New Roman" w:cs="Times New Roman"/>
          <w:noProof/>
          <w:sz w:val="24"/>
          <w:szCs w:val="24"/>
        </w:rPr>
        <w:t>[5]</w:t>
      </w:r>
      <w:r w:rsidR="00A705BC" w:rsidRPr="003676D3">
        <w:rPr>
          <w:rFonts w:ascii="Times New Roman" w:hAnsi="Times New Roman" w:cs="Times New Roman"/>
          <w:sz w:val="24"/>
          <w:szCs w:val="24"/>
        </w:rPr>
        <w:fldChar w:fldCharType="end"/>
      </w:r>
      <w:r w:rsidR="00CE6578" w:rsidRPr="003676D3">
        <w:rPr>
          <w:rFonts w:ascii="Times New Roman" w:hAnsi="Times New Roman" w:cs="Times New Roman"/>
          <w:sz w:val="24"/>
          <w:szCs w:val="24"/>
        </w:rPr>
        <w:t xml:space="preserve">. </w:t>
      </w:r>
      <w:r w:rsidRPr="003676D3">
        <w:rPr>
          <w:rFonts w:ascii="Times New Roman" w:hAnsi="Times New Roman" w:cs="Times New Roman"/>
          <w:sz w:val="24"/>
          <w:szCs w:val="24"/>
        </w:rPr>
        <w:t>Across all European Union</w:t>
      </w:r>
      <w:r w:rsidR="00724DEC" w:rsidRPr="003676D3">
        <w:rPr>
          <w:rFonts w:ascii="Times New Roman" w:hAnsi="Times New Roman" w:cs="Times New Roman"/>
          <w:sz w:val="24"/>
          <w:szCs w:val="24"/>
        </w:rPr>
        <w:t xml:space="preserve"> (EU)</w:t>
      </w:r>
      <w:r w:rsidRPr="003676D3">
        <w:rPr>
          <w:rFonts w:ascii="Times New Roman" w:hAnsi="Times New Roman" w:cs="Times New Roman"/>
          <w:sz w:val="24"/>
          <w:szCs w:val="24"/>
        </w:rPr>
        <w:t xml:space="preserve"> decarbonisation scenarios, renewable energy sources (RES) are integral to the solution</w:t>
      </w:r>
      <w:r w:rsidR="00A705BC" w:rsidRPr="003676D3">
        <w:rPr>
          <w:rFonts w:ascii="Times New Roman" w:hAnsi="Times New Roman" w:cs="Times New Roman"/>
          <w:sz w:val="24"/>
          <w:szCs w:val="24"/>
        </w:rPr>
        <w:t xml:space="preserve"> </w:t>
      </w:r>
      <w:r w:rsidR="00A705BC" w:rsidRPr="003676D3">
        <w:rPr>
          <w:rFonts w:ascii="Times New Roman" w:hAnsi="Times New Roman" w:cs="Times New Roman"/>
          <w:sz w:val="24"/>
          <w:szCs w:val="24"/>
        </w:rPr>
        <w:fldChar w:fldCharType="begin" w:fldLock="1"/>
      </w:r>
      <w:r w:rsidR="00A705BC" w:rsidRPr="003676D3">
        <w:rPr>
          <w:rFonts w:ascii="Times New Roman" w:hAnsi="Times New Roman" w:cs="Times New Roman"/>
          <w:sz w:val="24"/>
          <w:szCs w:val="24"/>
        </w:rPr>
        <w:instrText>ADDIN CSL_CITATION {"citationItems":[{"id":"ITEM-1","itemData":{"DOI":"10.1109/EEM.2017.7982017","ISBN":"9781509054992","ISSN":"21654093","abstract":"Since the climate conferences in Paris and Marrakesh the outstanding question is not if but how and how fast to enable a decarbonization of the European electricity sector. Nuclear power has a difficult time to survive in electricity markets in all Western countries, such as the U.S., Europe, Japan, etc., and is getting increasingly under pressure due to high costs, and the falling costs of alternative sources, such as renewable energies in combination with storage technologies. This paper compares different approaches to decarbonize the electricity sector in Europe using a specific model developed by the authors called dynEL-MOD. We find that, renewables carry the major burden of decarbonization. Scenario analysis suggests that only in the case of a breakthrough of CCTS some biomass-CCTS plants can play a role by 2050 through their negative CO2-emissions. Nuclear power (3rd or 4th generation), on the contrary, is unable to compete with other fuels even by then, and will, therefore, rely on dedicated national programs to survive until 2050. Incorporating the climate targets makes the investment into any additional fossil capacity uneconomic from 2025 onwards, resulting in a coal and natural gas phase-out in the 2040s. The model is run using different foresight assumptions. Limited foresight thus results in stranded investments of fossil capacities in the 2020s. Using a CO2 budgetary approach, on the other hand, leads to an even sharper emission reduction in the early periods before 2030, reducing overall costs.","author":[{"dropping-particle":"","family":"Gerbaulet","given":"Clemens","non-dropping-particle":"","parse-names":false,"suffix":""},{"dropping-particle":"","family":"Hirschhausen","given":"Christian","non-dropping-particle":"Von","parse-names":false,"suffix":""},{"dropping-particle":"","family":"Kemfert","given":"Claudia","non-dropping-particle":"","parse-names":false,"suffix":""},{"dropping-particle":"","family":"Lorenz","given":"Casimir","non-dropping-particle":"","parse-names":false,"suffix":""},{"dropping-particle":"","family":"Gei","given":"Pao Yu","non-dropping-particle":"","parse-names":false,"suffix":""}],"container-title":"2017 14th International Conference on the European Energy Market (EEM)","id":"ITEM-1","issued":{"date-parts":[["2017","7","14"]]},"publisher":"IEEE Computer Society","title":"Scenarios for decarbonizing the European electricity sector","type":"article-journal"},"uris":["http://www.mendeley.com/documents/?uuid=b7fced23-df78-3ddc-a3f5-476924e43c8c"]},{"id":"ITEM-2","itemData":{"DOI":"10.1016/J.APENERGY.2018.08.109","ISSN":"0306-2619","abstract":"In this study, we model seven scenarios for the European power system in 2050 based on 100% renewable energy sources, assuming different levels of future demand and technology availability, and compare them with a scenario which includes low-carbon non-renewable technologies. We find that a 100% renewable European power system could operate with the same level of system adequacy as today when relying on European resources alone, even in the most challenging weather year observed in the period from 1979 to 2015. However, based on our scenario results, realising such a system by 2050 would require: (i) a 90% increase in generation capacity to at least 1.9 TW (compared with 1 TW installed today), (ii) reliable cross-border transmission capacity at least 140 GW higher than current levels (60 GW), (iii) the well-managed integration of heat pumps and electric vehicles into the power system to reduce demand peaks and biogas requirements, (iv) the implementation of energy efficiency measures to avoid even larger increases in required biomass demand, generation and transmission capacity, (v) wind deployment levels of 7.5 GW y−1 (currently 10.6 GW y−1) to be maintained, while solar photovoltaic deployment to increase to at least 15 GW y−1 (currently 10.5 GW y−1), (vi) large-scale mobilisation of Europe's biomass resources, with power sector biomass consumption reaching at least 8.5 EJ in the most challenging year (compared with 1.9 EJ today), and (vii) increasing solid biomass and biogas capacity deployment to at least 4 GW y−1 and 6 GW y−1 respectively. We find that even when wind and solar photovoltaic capacity is installed in optimum locations, the total cost of a 100% renewable power system (</w:instrText>
      </w:r>
      <w:r w:rsidR="00A705BC" w:rsidRPr="003676D3">
        <w:rPr>
          <w:rFonts w:ascii="Cambria Math" w:hAnsi="Cambria Math" w:cs="Cambria Math"/>
          <w:sz w:val="24"/>
          <w:szCs w:val="24"/>
        </w:rPr>
        <w:instrText>∼</w:instrText>
      </w:r>
      <w:r w:rsidR="00A705BC" w:rsidRPr="003676D3">
        <w:rPr>
          <w:rFonts w:ascii="Times New Roman" w:hAnsi="Times New Roman" w:cs="Times New Roman"/>
          <w:sz w:val="24"/>
          <w:szCs w:val="24"/>
        </w:rPr>
        <w:instrText>530 €bn y−1) would be approximately 30% higher than a power system which includes other low-carbon technologies such as nuclear, or carbon capture and storage (</w:instrText>
      </w:r>
      <w:r w:rsidR="00A705BC" w:rsidRPr="003676D3">
        <w:rPr>
          <w:rFonts w:ascii="Cambria Math" w:hAnsi="Cambria Math" w:cs="Cambria Math"/>
          <w:sz w:val="24"/>
          <w:szCs w:val="24"/>
        </w:rPr>
        <w:instrText>∼</w:instrText>
      </w:r>
      <w:r w:rsidR="00A705BC" w:rsidRPr="003676D3">
        <w:rPr>
          <w:rFonts w:ascii="Times New Roman" w:hAnsi="Times New Roman" w:cs="Times New Roman"/>
          <w:sz w:val="24"/>
          <w:szCs w:val="24"/>
        </w:rPr>
        <w:instrText>410 €bn y−1). Furthermore, a 100% renewable system may not deliver the level of emission reductions necessary to achieve Europe's climate goals by 2050, as negative emissions from biomass with carbon capture and storage may still be required to offset an increase in indirect emissions, or to realise more ambitious decarbonisation pathways.","author":[{"dropping-particle":"","family":"Zappa","given":"William","non-dropping-particle":"","parse-names":false,"suffix":""},{"dropping-particle":"","family":"Junginger","given":"Martin","non-dropping-particle":"","parse-names":false,"suffix":""},{"dropping-particle":"","family":"Broek","given":"Machteld","non-dropping-particle":"van den","parse-names":false,"suffix":""}],"container-title":"Applied Energy","id":"ITEM-2","issued":{"date-parts":[["2019","1","1"]]},"page":"1027-1050","publisher":"Elsevier","title":"Is a 100% renewable European power system feasible by 2050?","type":"article-journal","volume":"233-234"},"uris":["http://www.mendeley.com/documents/?uuid=909af6ed-16e7-3157-abe8-6273e0cc5885"]}],"mendeley":{"formattedCitation":"[6,7]","plainTextFormattedCitation":"[6,7]","previouslyFormattedCitation":"[6,7]"},"properties":{"noteIndex":0},"schema":"https://github.com/citation-style-language/schema/raw/master/csl-citation.json"}</w:instrText>
      </w:r>
      <w:r w:rsidR="00A705BC" w:rsidRPr="003676D3">
        <w:rPr>
          <w:rFonts w:ascii="Times New Roman" w:hAnsi="Times New Roman" w:cs="Times New Roman"/>
          <w:sz w:val="24"/>
          <w:szCs w:val="24"/>
        </w:rPr>
        <w:fldChar w:fldCharType="separate"/>
      </w:r>
      <w:r w:rsidR="00A705BC" w:rsidRPr="003676D3">
        <w:rPr>
          <w:rFonts w:ascii="Times New Roman" w:hAnsi="Times New Roman" w:cs="Times New Roman"/>
          <w:noProof/>
          <w:sz w:val="24"/>
          <w:szCs w:val="24"/>
        </w:rPr>
        <w:t>[6,7]</w:t>
      </w:r>
      <w:r w:rsidR="00A705BC"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However, existing grids present significant </w:t>
      </w:r>
      <w:r w:rsidR="00724DEC" w:rsidRPr="003676D3">
        <w:rPr>
          <w:rFonts w:ascii="Times New Roman" w:hAnsi="Times New Roman" w:cs="Times New Roman"/>
          <w:sz w:val="24"/>
          <w:szCs w:val="24"/>
        </w:rPr>
        <w:t>barriers to the future uptake</w:t>
      </w:r>
      <w:r w:rsidRPr="003676D3">
        <w:rPr>
          <w:rFonts w:ascii="Times New Roman" w:hAnsi="Times New Roman" w:cs="Times New Roman"/>
          <w:sz w:val="24"/>
          <w:szCs w:val="24"/>
        </w:rPr>
        <w:t xml:space="preserve"> of RES. </w:t>
      </w:r>
      <w:r w:rsidR="004F3BF9" w:rsidRPr="003676D3">
        <w:rPr>
          <w:rFonts w:ascii="Times New Roman" w:hAnsi="Times New Roman" w:cs="Times New Roman"/>
          <w:sz w:val="24"/>
          <w:szCs w:val="24"/>
        </w:rPr>
        <w:t>The EU has a</w:t>
      </w:r>
      <w:r w:rsidRPr="003676D3">
        <w:rPr>
          <w:rFonts w:ascii="Times New Roman" w:hAnsi="Times New Roman" w:cs="Times New Roman"/>
          <w:sz w:val="24"/>
          <w:szCs w:val="24"/>
        </w:rPr>
        <w:t>cknowl</w:t>
      </w:r>
      <w:r w:rsidR="00724DEC" w:rsidRPr="003676D3">
        <w:rPr>
          <w:rFonts w:ascii="Times New Roman" w:hAnsi="Times New Roman" w:cs="Times New Roman"/>
          <w:sz w:val="24"/>
          <w:szCs w:val="24"/>
        </w:rPr>
        <w:t>edg</w:t>
      </w:r>
      <w:r w:rsidR="004F3BF9" w:rsidRPr="003676D3">
        <w:rPr>
          <w:rFonts w:ascii="Times New Roman" w:hAnsi="Times New Roman" w:cs="Times New Roman"/>
          <w:sz w:val="24"/>
          <w:szCs w:val="24"/>
        </w:rPr>
        <w:t>ed</w:t>
      </w:r>
      <w:r w:rsidR="00724DEC" w:rsidRPr="003676D3">
        <w:rPr>
          <w:rFonts w:ascii="Times New Roman" w:hAnsi="Times New Roman" w:cs="Times New Roman"/>
          <w:sz w:val="24"/>
          <w:szCs w:val="24"/>
        </w:rPr>
        <w:t xml:space="preserve"> the need to modernize the grids</w:t>
      </w:r>
      <w:r w:rsidR="004F3BF9" w:rsidRPr="003676D3">
        <w:rPr>
          <w:rFonts w:ascii="Times New Roman" w:hAnsi="Times New Roman" w:cs="Times New Roman"/>
          <w:sz w:val="24"/>
          <w:szCs w:val="24"/>
        </w:rPr>
        <w:t xml:space="preserve"> by </w:t>
      </w:r>
      <w:r w:rsidRPr="003676D3">
        <w:rPr>
          <w:rFonts w:ascii="Times New Roman" w:hAnsi="Times New Roman" w:cs="Times New Roman"/>
          <w:sz w:val="24"/>
          <w:szCs w:val="24"/>
        </w:rPr>
        <w:t>advocat</w:t>
      </w:r>
      <w:r w:rsidR="004F3BF9" w:rsidRPr="003676D3">
        <w:rPr>
          <w:rFonts w:ascii="Times New Roman" w:hAnsi="Times New Roman" w:cs="Times New Roman"/>
          <w:sz w:val="24"/>
          <w:szCs w:val="24"/>
        </w:rPr>
        <w:t>ing</w:t>
      </w:r>
      <w:r w:rsidRPr="003676D3">
        <w:rPr>
          <w:rFonts w:ascii="Times New Roman" w:hAnsi="Times New Roman" w:cs="Times New Roman"/>
          <w:sz w:val="24"/>
          <w:szCs w:val="24"/>
        </w:rPr>
        <w:t xml:space="preserve"> the development of a "super smart grid." This initiative</w:t>
      </w:r>
      <w:r w:rsidR="00637133" w:rsidRPr="003676D3">
        <w:rPr>
          <w:rFonts w:ascii="Times New Roman" w:hAnsi="Times New Roman" w:cs="Times New Roman"/>
          <w:sz w:val="24"/>
          <w:szCs w:val="24"/>
        </w:rPr>
        <w:t xml:space="preserve"> will</w:t>
      </w:r>
      <w:r w:rsidRPr="003676D3">
        <w:rPr>
          <w:rFonts w:ascii="Times New Roman" w:hAnsi="Times New Roman" w:cs="Times New Roman"/>
          <w:sz w:val="24"/>
          <w:szCs w:val="24"/>
        </w:rPr>
        <w:t xml:space="preserve"> interconnect European grids </w:t>
      </w:r>
      <w:r w:rsidR="00637133" w:rsidRPr="003676D3">
        <w:rPr>
          <w:rFonts w:ascii="Times New Roman" w:hAnsi="Times New Roman" w:cs="Times New Roman"/>
          <w:sz w:val="24"/>
          <w:szCs w:val="24"/>
        </w:rPr>
        <w:t>on the</w:t>
      </w:r>
      <w:r w:rsidRPr="003676D3">
        <w:rPr>
          <w:rFonts w:ascii="Times New Roman" w:hAnsi="Times New Roman" w:cs="Times New Roman"/>
          <w:sz w:val="24"/>
          <w:szCs w:val="24"/>
        </w:rPr>
        <w:t xml:space="preserve"> continental level and </w:t>
      </w:r>
      <w:r w:rsidR="00637133" w:rsidRPr="003676D3">
        <w:rPr>
          <w:rFonts w:ascii="Times New Roman" w:hAnsi="Times New Roman" w:cs="Times New Roman"/>
          <w:sz w:val="24"/>
          <w:szCs w:val="24"/>
        </w:rPr>
        <w:t>connect</w:t>
      </w:r>
      <w:r w:rsidR="00724DEC" w:rsidRPr="003676D3">
        <w:rPr>
          <w:rFonts w:ascii="Times New Roman" w:hAnsi="Times New Roman" w:cs="Times New Roman"/>
          <w:sz w:val="24"/>
          <w:szCs w:val="24"/>
        </w:rPr>
        <w:t xml:space="preserve"> the grid</w:t>
      </w:r>
      <w:r w:rsidRPr="003676D3">
        <w:rPr>
          <w:rFonts w:ascii="Times New Roman" w:hAnsi="Times New Roman" w:cs="Times New Roman"/>
          <w:sz w:val="24"/>
          <w:szCs w:val="24"/>
        </w:rPr>
        <w:t xml:space="preserve"> with information and communication technology (ICT). </w:t>
      </w:r>
      <w:r w:rsidR="00A705BC" w:rsidRPr="003676D3">
        <w:rPr>
          <w:rFonts w:ascii="Times New Roman" w:hAnsi="Times New Roman" w:cs="Times New Roman"/>
          <w:sz w:val="24"/>
          <w:szCs w:val="24"/>
        </w:rPr>
        <w:fldChar w:fldCharType="begin" w:fldLock="1"/>
      </w:r>
      <w:r w:rsidR="00A705BC" w:rsidRPr="003676D3">
        <w:rPr>
          <w:rFonts w:ascii="Times New Roman" w:hAnsi="Times New Roman" w:cs="Times New Roman"/>
          <w:sz w:val="24"/>
          <w:szCs w:val="24"/>
        </w:rPr>
        <w:instrText>ADDIN CSL_CITATION {"citationItems":[{"id":"ITEM-1","itemData":{"DOI":"10.1016/J.ENPOL.2009.03.025","ISSN":"03014215","abstract":"The concept of intelligent electricity grids, which primarily involves the integration of new information and communication technologies with power transmission lines and distribution cables, is being actively explored in the European Union and the United States. Both developments share common technological developmental goals but also differ distinctly towards the role of distributed generation for their future electrical energy security. This paper looks at options that could find relevance to New Zealand (NZ), in the context of its aspiration of achieving 90% renewable energy electricity generation portfolio by 2025. It also identifies developments in technical standardization and industry investments that facilitate a pathway towards an intelligent or smart grid development for NZ. Some areas where policy can support research in NZ being a \"fast adapter\" to future grid development are also listed. This paper will help policy makers quickly review developments surrounding SmartGrid and also identify its potential to support NZ Energy Strategy in the electricity infrastructure. This paper will also help researchers and power system stakeholders for identifying international standardization, projects and potential partners in the area of future grid technologies. © 2009 Elsevier Ltd. All rights reserved.","author":[{"dropping-particle":"","family":"Nair","given":"Nirmal Kumar C.","non-dropping-particle":"","parse-names":false,"suffix":""},{"dropping-particle":"","family":"Zhang","given":"Lixi","non-dropping-particle":"","parse-names":false,"suffix":""}],"container-title":"Energy Policy","id":"ITEM-1","issue":"9","issued":{"date-parts":[["2009","9"]]},"page":"3418-3427","title":"SmartGrid: Future networks for New Zealand power systems incorporating distributed generation","type":"article-journal","volume":"37"},"uris":["http://www.mendeley.com/documents/?uuid=a58ea606-5d5a-3e9a-81fc-575a525dc629"]}],"mendeley":{"formattedCitation":"[8]","plainTextFormattedCitation":"[8]","previouslyFormattedCitation":"[8]"},"properties":{"noteIndex":0},"schema":"https://github.com/citation-style-language/schema/raw/master/csl-citation.json"}</w:instrText>
      </w:r>
      <w:r w:rsidR="00A705BC" w:rsidRPr="003676D3">
        <w:rPr>
          <w:rFonts w:ascii="Times New Roman" w:hAnsi="Times New Roman" w:cs="Times New Roman"/>
          <w:sz w:val="24"/>
          <w:szCs w:val="24"/>
        </w:rPr>
        <w:fldChar w:fldCharType="separate"/>
      </w:r>
      <w:r w:rsidR="00A705BC" w:rsidRPr="003676D3">
        <w:rPr>
          <w:rFonts w:ascii="Times New Roman" w:hAnsi="Times New Roman" w:cs="Times New Roman"/>
          <w:noProof/>
          <w:sz w:val="24"/>
          <w:szCs w:val="24"/>
        </w:rPr>
        <w:t>[8]</w:t>
      </w:r>
      <w:r w:rsidR="00A705BC" w:rsidRPr="003676D3">
        <w:rPr>
          <w:rFonts w:ascii="Times New Roman" w:hAnsi="Times New Roman" w:cs="Times New Roman"/>
          <w:sz w:val="24"/>
          <w:szCs w:val="24"/>
        </w:rPr>
        <w:fldChar w:fldCharType="end"/>
      </w:r>
      <w:r w:rsidR="00CE6578" w:rsidRPr="003676D3">
        <w:rPr>
          <w:rFonts w:ascii="Times New Roman" w:hAnsi="Times New Roman" w:cs="Times New Roman"/>
          <w:sz w:val="24"/>
          <w:szCs w:val="24"/>
        </w:rPr>
        <w:t>.</w:t>
      </w:r>
      <w:r w:rsidRPr="003676D3">
        <w:rPr>
          <w:rFonts w:ascii="Times New Roman" w:hAnsi="Times New Roman" w:cs="Times New Roman"/>
          <w:sz w:val="24"/>
          <w:szCs w:val="24"/>
        </w:rPr>
        <w:t xml:space="preserve"> To achieve this goal, the EU </w:t>
      </w:r>
      <w:r w:rsidR="00724DEC" w:rsidRPr="003676D3">
        <w:rPr>
          <w:rFonts w:ascii="Times New Roman" w:hAnsi="Times New Roman" w:cs="Times New Roman"/>
          <w:sz w:val="24"/>
          <w:szCs w:val="24"/>
        </w:rPr>
        <w:t xml:space="preserve">has </w:t>
      </w:r>
      <w:r w:rsidR="00637133" w:rsidRPr="003676D3">
        <w:rPr>
          <w:rFonts w:ascii="Times New Roman" w:hAnsi="Times New Roman" w:cs="Times New Roman"/>
          <w:sz w:val="24"/>
          <w:szCs w:val="24"/>
        </w:rPr>
        <w:t>started</w:t>
      </w:r>
      <w:r w:rsidR="00724DEC" w:rsidRPr="003676D3">
        <w:rPr>
          <w:rFonts w:ascii="Times New Roman" w:hAnsi="Times New Roman" w:cs="Times New Roman"/>
          <w:sz w:val="24"/>
          <w:szCs w:val="24"/>
        </w:rPr>
        <w:t xml:space="preserve"> research and development project</w:t>
      </w:r>
      <w:r w:rsidRPr="003676D3">
        <w:rPr>
          <w:rFonts w:ascii="Times New Roman" w:hAnsi="Times New Roman" w:cs="Times New Roman"/>
          <w:sz w:val="24"/>
          <w:szCs w:val="24"/>
        </w:rPr>
        <w:t xml:space="preserve"> and established a unified legislative framework to facilitate the </w:t>
      </w:r>
      <w:r w:rsidR="00724DEC" w:rsidRPr="003676D3">
        <w:rPr>
          <w:rFonts w:ascii="Times New Roman" w:hAnsi="Times New Roman" w:cs="Times New Roman"/>
          <w:sz w:val="24"/>
          <w:szCs w:val="24"/>
        </w:rPr>
        <w:t>indispensable</w:t>
      </w:r>
      <w:r w:rsidRPr="003676D3">
        <w:rPr>
          <w:rFonts w:ascii="Times New Roman" w:hAnsi="Times New Roman" w:cs="Times New Roman"/>
          <w:sz w:val="24"/>
          <w:szCs w:val="24"/>
        </w:rPr>
        <w:t xml:space="preserve"> grid modernization across Europe</w:t>
      </w:r>
      <w:r w:rsidR="00A705BC" w:rsidRPr="003676D3">
        <w:rPr>
          <w:rFonts w:ascii="Times New Roman" w:hAnsi="Times New Roman" w:cs="Times New Roman"/>
          <w:sz w:val="24"/>
          <w:szCs w:val="24"/>
        </w:rPr>
        <w:t xml:space="preserve"> </w:t>
      </w:r>
      <w:r w:rsidR="00A705BC" w:rsidRPr="003676D3">
        <w:rPr>
          <w:rFonts w:ascii="Times New Roman" w:hAnsi="Times New Roman" w:cs="Times New Roman"/>
          <w:sz w:val="24"/>
          <w:szCs w:val="24"/>
        </w:rPr>
        <w:fldChar w:fldCharType="begin" w:fldLock="1"/>
      </w:r>
      <w:r w:rsidR="00A705BC" w:rsidRPr="003676D3">
        <w:rPr>
          <w:rFonts w:ascii="Times New Roman" w:hAnsi="Times New Roman" w:cs="Times New Roman"/>
          <w:sz w:val="24"/>
          <w:szCs w:val="24"/>
        </w:rPr>
        <w:instrText>ADDIN CSL_CITATION {"citationItems":[{"id":"ITEM-1","itemData":{"author":[{"dropping-particle":"","family":"Yiwe","given":"Zhang","non-dropping-particle":"","parse-names":false,"suffix":""}],"container-title":"Power System and Clean Energy","id":"ITEM-1","issued":{"date-parts":[["2014"]]},"title":"Direction of Research and Innovation in the Development of European Power Grid","type":"article-journal"},"uris":["http://www.mendeley.com/documents/?uuid=0f3e9d67-35a3-3e89-b295-aae168536997"]}],"mendeley":{"formattedCitation":"[9]","plainTextFormattedCitation":"[9]","previouslyFormattedCitation":"[9]"},"properties":{"noteIndex":0},"schema":"https://github.com/citation-style-language/schema/raw/master/csl-citation.json"}</w:instrText>
      </w:r>
      <w:r w:rsidR="00A705BC" w:rsidRPr="003676D3">
        <w:rPr>
          <w:rFonts w:ascii="Times New Roman" w:hAnsi="Times New Roman" w:cs="Times New Roman"/>
          <w:sz w:val="24"/>
          <w:szCs w:val="24"/>
        </w:rPr>
        <w:fldChar w:fldCharType="separate"/>
      </w:r>
      <w:r w:rsidR="00A705BC" w:rsidRPr="003676D3">
        <w:rPr>
          <w:rFonts w:ascii="Times New Roman" w:hAnsi="Times New Roman" w:cs="Times New Roman"/>
          <w:noProof/>
          <w:sz w:val="24"/>
          <w:szCs w:val="24"/>
        </w:rPr>
        <w:t>[9]</w:t>
      </w:r>
      <w:r w:rsidR="00A705BC" w:rsidRPr="003676D3">
        <w:rPr>
          <w:rFonts w:ascii="Times New Roman" w:hAnsi="Times New Roman" w:cs="Times New Roman"/>
          <w:sz w:val="24"/>
          <w:szCs w:val="24"/>
        </w:rPr>
        <w:fldChar w:fldCharType="end"/>
      </w:r>
      <w:r w:rsidR="00CE6578" w:rsidRPr="003676D3">
        <w:rPr>
          <w:rFonts w:ascii="Times New Roman" w:hAnsi="Times New Roman" w:cs="Times New Roman"/>
          <w:sz w:val="24"/>
          <w:szCs w:val="24"/>
        </w:rPr>
        <w:t xml:space="preserve">. </w:t>
      </w:r>
    </w:p>
    <w:p w14:paraId="3526C72C" w14:textId="567D972B" w:rsidR="00CE6578" w:rsidRPr="003676D3" w:rsidRDefault="00FB400D"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Our study aims to provide both an overview and a critical assessment of the actions undertaken by the </w:t>
      </w:r>
      <w:r w:rsidR="00724DEC" w:rsidRPr="003676D3">
        <w:rPr>
          <w:rFonts w:ascii="Times New Roman" w:hAnsi="Times New Roman" w:cs="Times New Roman"/>
          <w:sz w:val="24"/>
          <w:szCs w:val="24"/>
        </w:rPr>
        <w:t>EU</w:t>
      </w:r>
      <w:r w:rsidRPr="003676D3">
        <w:rPr>
          <w:rFonts w:ascii="Times New Roman" w:hAnsi="Times New Roman" w:cs="Times New Roman"/>
          <w:sz w:val="24"/>
          <w:szCs w:val="24"/>
        </w:rPr>
        <w:t xml:space="preserve"> to transform the grids into the foundation of a decarbonized electricity system. It proposes that for an aggressive and effective deployment of super smart grids, the existing regulatory framework must be </w:t>
      </w:r>
      <w:r w:rsidR="004B1918" w:rsidRPr="003676D3">
        <w:rPr>
          <w:rFonts w:ascii="Times New Roman" w:hAnsi="Times New Roman" w:cs="Times New Roman"/>
          <w:sz w:val="24"/>
          <w:szCs w:val="24"/>
        </w:rPr>
        <w:t>re-evaluated,</w:t>
      </w:r>
      <w:r w:rsidR="00724DEC" w:rsidRPr="003676D3">
        <w:rPr>
          <w:rFonts w:ascii="Times New Roman" w:hAnsi="Times New Roman" w:cs="Times New Roman"/>
          <w:sz w:val="24"/>
          <w:szCs w:val="24"/>
        </w:rPr>
        <w:t xml:space="preserve"> and it is imperative to incorporate the enabling technologies</w:t>
      </w:r>
      <w:r w:rsidRPr="003676D3">
        <w:rPr>
          <w:rFonts w:ascii="Times New Roman" w:hAnsi="Times New Roman" w:cs="Times New Roman"/>
          <w:sz w:val="24"/>
          <w:szCs w:val="24"/>
        </w:rPr>
        <w:t>.</w:t>
      </w:r>
    </w:p>
    <w:p w14:paraId="05EE17F7" w14:textId="127C2981" w:rsidR="00C3384E" w:rsidRPr="003676D3" w:rsidRDefault="00C3384E" w:rsidP="003676D3">
      <w:pPr>
        <w:pStyle w:val="Heading2"/>
        <w:spacing w:after="240" w:line="276" w:lineRule="auto"/>
        <w:jc w:val="both"/>
        <w:rPr>
          <w:rFonts w:ascii="Times New Roman" w:hAnsi="Times New Roman" w:cs="Times New Roman"/>
          <w:b/>
          <w:bCs/>
          <w:color w:val="auto"/>
          <w:sz w:val="24"/>
          <w:szCs w:val="24"/>
        </w:rPr>
      </w:pPr>
      <w:r w:rsidRPr="003676D3">
        <w:rPr>
          <w:rFonts w:ascii="Times New Roman" w:hAnsi="Times New Roman" w:cs="Times New Roman"/>
          <w:b/>
          <w:bCs/>
          <w:color w:val="auto"/>
          <w:sz w:val="24"/>
          <w:szCs w:val="24"/>
        </w:rPr>
        <w:t>1.1. Challenges of Conventional Grid</w:t>
      </w:r>
    </w:p>
    <w:p w14:paraId="1505F183" w14:textId="1B758AB8" w:rsidR="00C3384E" w:rsidRPr="003676D3" w:rsidRDefault="00C3384E"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Even the modern power systems are prone to challenges and achieving the national goal to accommodate the RE generation is still a problem for </w:t>
      </w:r>
      <w:r w:rsidR="004B1918" w:rsidRPr="003676D3">
        <w:rPr>
          <w:rFonts w:ascii="Times New Roman" w:hAnsi="Times New Roman" w:cs="Times New Roman"/>
          <w:sz w:val="24"/>
          <w:szCs w:val="24"/>
        </w:rPr>
        <w:t>policymakers</w:t>
      </w:r>
      <w:r w:rsidRPr="003676D3">
        <w:rPr>
          <w:rFonts w:ascii="Times New Roman" w:hAnsi="Times New Roman" w:cs="Times New Roman"/>
          <w:sz w:val="24"/>
          <w:szCs w:val="24"/>
        </w:rPr>
        <w:t xml:space="preserve"> and regulators. These challenges include maintaining stable power due to intermittency, cyber-attacks, supply-demand balance, lessen the peak-demand, uninterrupted supply and the management of digital devices</w:t>
      </w:r>
      <w:r w:rsidR="00A705BC" w:rsidRPr="003676D3">
        <w:rPr>
          <w:rFonts w:ascii="Times New Roman" w:hAnsi="Times New Roman" w:cs="Times New Roman"/>
          <w:sz w:val="24"/>
          <w:szCs w:val="24"/>
        </w:rPr>
        <w:t xml:space="preserve"> </w:t>
      </w:r>
      <w:r w:rsidR="00A705BC" w:rsidRPr="003676D3">
        <w:rPr>
          <w:rFonts w:ascii="Times New Roman" w:hAnsi="Times New Roman" w:cs="Times New Roman"/>
          <w:sz w:val="24"/>
          <w:szCs w:val="24"/>
        </w:rPr>
        <w:fldChar w:fldCharType="begin" w:fldLock="1"/>
      </w:r>
      <w:r w:rsidR="00A705BC" w:rsidRPr="003676D3">
        <w:rPr>
          <w:rFonts w:ascii="Times New Roman" w:hAnsi="Times New Roman" w:cs="Times New Roman"/>
          <w:sz w:val="24"/>
          <w:szCs w:val="24"/>
        </w:rPr>
        <w:instrText>ADDIN CSL_CITATION {"citationItems":[{"id":"ITEM-1","itemData":{"DOI":"10.1002/ER.5033","ISSN":"1099114X","abstract":"In the modern world, only conventional energy resources cannot fulfil the growing energy demand. Electricity is a fundamental building block of a technological revolution. Today, most of the electricity demand is met by the burning of fossil fuels but at the cost of adverse environmental impact. In order to bridge the gap between electricity demand and supply, nonconventional and eco-friendly means of energy generation are considered. Renewable energy systems (RESs) offer an adequate solution to mitigate the challenges originated due to greenhouse gasses (GHG). However, they have an unpredictable power generation with specific site requirements. Grid integration of RESs may lead to new challenges related to power quality, reliability, power system stability, harmonics, subsynchronous oscillations (SSOs), power quality, and reactive power compensation. The integration with energy storage systems (ESSs) can reduce these complexities that arise due to the intermittent nature of RESs. In this paper, a comprehensive review of renewable energy sources has been presented. Application of ESSs in RESs and their development phase has been discussed. Role of ESSs in increasing lifetime, efficiency, and energy density of power system having RESs has been reviewed. Moreover, different techniques to solve the critical issues like low efficiency, harmonics, and inertia reduction in photovoltaic (PV) systems have been presented. Unlike most of the available review papers, this article also investigates the impact of FACTS technology in RESs-based power system using multitype flexible AC transmission system (FACTS) controllers. Three simulation models have been developed in MATLAB/Simulink. The results show that FACTS devices help to maintain the stability of RESs integrated power system. This review paper is believed to be of potential benefit for researchers from both the industry and academia to develop better understanding of challenges and solution techniques for REs-based power systems and future research dimensions in this area.","author":[{"dropping-particle":"","family":"Basit","given":"Muhammad Abdul","non-dropping-particle":"","parse-names":false,"suffix":""},{"dropping-particle":"","family":"Dilshad","given":"Saad","non-dropping-particle":"","parse-names":false,"suffix":""},{"dropping-particle":"","family":"Badar","given":"Rabiah","non-dropping-particle":"","parse-names":false,"suffix":""},{"dropping-particle":"","family":"Sami ur Rehman","given":"Syed Muhammad","non-dropping-particle":"","parse-names":false,"suffix":""}],"container-title":"International Journal of Energy Research","id":"ITEM-1","issue":"6","issued":{"date-parts":[["2020","5","1"]]},"page":"4132-4162","publisher":"John Wiley and Sons Ltd","title":"Limitations, challenges, and solution approaches in grid‐connected renewable energy systems","type":"article-journal","volume":"44"},"uris":["http://www.mendeley.com/documents/?uuid=b8e3f1c4-6630-33aa-a90d-c122d24ba2fb"]},{"id":"ITEM-2","itemData":{"DOI":"10.14445/22315381/IJETT-V37P232","author":[{"dropping-particle":"","family":"Christopher","given":"Alwin Vinifred","non-dropping-particle":"","parse-names":false,"suffix":""},{"dropping-particle":"","family":"Rex","given":"Sibiah","non-dropping-particle":"","parse-names":false,"suffix":""},{"dropping-particle":"","family":"Kumar.J","given":"Anish","non-dropping-particle":"","parse-names":false,"suffix":""}],"container-title":"International Journal of Engineering Trends and Technology","id":"ITEM-2","issue":"4","issued":{"date-parts":[["2016","7","25"]]},"page":"189-196","publisher":"Seventh Sense Research Group Journals","title":"Smart grid challenges and signal processing based solutions - A Literature survey","type":"article-journal","volume":"37"},"uris":["http://www.mendeley.com/documents/?uuid=c9b497d2-dd44-353d-805a-050d572ff978"]}],"mendeley":{"formattedCitation":"[10,11]","plainTextFormattedCitation":"[10,11]","previouslyFormattedCitation":"[10,11]"},"properties":{"noteIndex":0},"schema":"https://github.com/citation-style-language/schema/raw/master/csl-citation.json"}</w:instrText>
      </w:r>
      <w:r w:rsidR="00A705BC" w:rsidRPr="003676D3">
        <w:rPr>
          <w:rFonts w:ascii="Times New Roman" w:hAnsi="Times New Roman" w:cs="Times New Roman"/>
          <w:sz w:val="24"/>
          <w:szCs w:val="24"/>
        </w:rPr>
        <w:fldChar w:fldCharType="separate"/>
      </w:r>
      <w:r w:rsidR="00A705BC" w:rsidRPr="003676D3">
        <w:rPr>
          <w:rFonts w:ascii="Times New Roman" w:hAnsi="Times New Roman" w:cs="Times New Roman"/>
          <w:noProof/>
          <w:sz w:val="24"/>
          <w:szCs w:val="24"/>
        </w:rPr>
        <w:t>[10,11]</w:t>
      </w:r>
      <w:r w:rsidR="00A705BC" w:rsidRPr="003676D3">
        <w:rPr>
          <w:rFonts w:ascii="Times New Roman" w:hAnsi="Times New Roman" w:cs="Times New Roman"/>
          <w:sz w:val="24"/>
          <w:szCs w:val="24"/>
        </w:rPr>
        <w:fldChar w:fldCharType="end"/>
      </w:r>
      <w:r w:rsidRPr="003676D3">
        <w:rPr>
          <w:rFonts w:ascii="Times New Roman" w:hAnsi="Times New Roman" w:cs="Times New Roman"/>
          <w:sz w:val="24"/>
          <w:szCs w:val="24"/>
        </w:rPr>
        <w:t>. Hence, the need is to take a step further to develop a more resilient</w:t>
      </w:r>
      <w:r w:rsidR="001A1FD1" w:rsidRPr="003676D3">
        <w:rPr>
          <w:rFonts w:ascii="Times New Roman" w:hAnsi="Times New Roman" w:cs="Times New Roman"/>
          <w:sz w:val="24"/>
          <w:szCs w:val="24"/>
        </w:rPr>
        <w:t xml:space="preserve"> and reliable network with vitality metrics and simulations to prove their authenticity</w:t>
      </w:r>
      <w:r w:rsidR="00A705BC" w:rsidRPr="003676D3">
        <w:rPr>
          <w:rFonts w:ascii="Times New Roman" w:hAnsi="Times New Roman" w:cs="Times New Roman"/>
          <w:sz w:val="24"/>
          <w:szCs w:val="24"/>
        </w:rPr>
        <w:t xml:space="preserve"> </w:t>
      </w:r>
      <w:r w:rsidR="00A705BC" w:rsidRPr="003676D3">
        <w:rPr>
          <w:rFonts w:ascii="Times New Roman" w:hAnsi="Times New Roman" w:cs="Times New Roman"/>
          <w:sz w:val="24"/>
          <w:szCs w:val="24"/>
        </w:rPr>
        <w:fldChar w:fldCharType="begin" w:fldLock="1"/>
      </w:r>
      <w:r w:rsidR="00A705BC" w:rsidRPr="003676D3">
        <w:rPr>
          <w:rFonts w:ascii="Times New Roman" w:hAnsi="Times New Roman" w:cs="Times New Roman"/>
          <w:sz w:val="24"/>
          <w:szCs w:val="24"/>
        </w:rPr>
        <w:instrText>ADDIN CSL_CITATION {"citationItems":[{"id":"ITEM-1","itemData":{"DOI":"10.1109/ACCESS.2021.3107492","ISSN":"21693536","abstract":"Power grids are cyber-physical systems and can be modelled as network systems where individual units (generators, busbars and loads) are interconnected through physical and cyber links. Network components (nodes/edges) may undergo intentional and/or random failures. In catastrophic cases, a failure initiating from a small set of these components can quickly propagate through the whole network, leading to a cascade of failures that might force a deep whole-grid blackout. Often network components have different vitality and protecting some is more critical than others. This manuscript aims to provide a focused overview of modelling power grids as complex networks and their resilience and reliability analysis. We also perform a critical review of vitality metrics and their precision in power grid resilience analysis. The review is accompanied by some simulations on benchmark and real power grids to show the applicability of these concepts in studying resilience.","author":[{"dropping-particle":"","family":"Amani","given":"Ali Moradi","non-dropping-particle":"","parse-names":false,"suffix":""},{"dropping-particle":"","family":"Jalili","given":"Mahdi","non-dropping-particle":"","parse-names":false,"suffix":""}],"container-title":"IEEE Access","id":"ITEM-1","issued":{"date-parts":[["2021"]]},"page":"119010-119031","publisher":"Institute of Electrical and Electronics Engineers Inc.","title":"Power Grids as Complex Networks: Resilience and Reliability Analysis","type":"article-journal","volume":"9"},"uris":["http://www.mendeley.com/documents/?uuid=ba2b27ad-ddee-32af-a579-40c9ebda3a88"]}],"mendeley":{"formattedCitation":"[12]","plainTextFormattedCitation":"[12]","previouslyFormattedCitation":"[12]"},"properties":{"noteIndex":0},"schema":"https://github.com/citation-style-language/schema/raw/master/csl-citation.json"}</w:instrText>
      </w:r>
      <w:r w:rsidR="00A705BC" w:rsidRPr="003676D3">
        <w:rPr>
          <w:rFonts w:ascii="Times New Roman" w:hAnsi="Times New Roman" w:cs="Times New Roman"/>
          <w:sz w:val="24"/>
          <w:szCs w:val="24"/>
        </w:rPr>
        <w:fldChar w:fldCharType="separate"/>
      </w:r>
      <w:r w:rsidR="00A705BC" w:rsidRPr="003676D3">
        <w:rPr>
          <w:rFonts w:ascii="Times New Roman" w:hAnsi="Times New Roman" w:cs="Times New Roman"/>
          <w:noProof/>
          <w:sz w:val="24"/>
          <w:szCs w:val="24"/>
        </w:rPr>
        <w:t>[12]</w:t>
      </w:r>
      <w:r w:rsidR="00A705BC" w:rsidRPr="003676D3">
        <w:rPr>
          <w:rFonts w:ascii="Times New Roman" w:hAnsi="Times New Roman" w:cs="Times New Roman"/>
          <w:sz w:val="24"/>
          <w:szCs w:val="24"/>
        </w:rPr>
        <w:fldChar w:fldCharType="end"/>
      </w:r>
      <w:r w:rsidRPr="003676D3">
        <w:rPr>
          <w:rFonts w:ascii="Times New Roman" w:hAnsi="Times New Roman" w:cs="Times New Roman"/>
          <w:sz w:val="24"/>
          <w:szCs w:val="24"/>
        </w:rPr>
        <w:t>. According to</w:t>
      </w:r>
      <w:r w:rsidR="00A705BC" w:rsidRPr="003676D3">
        <w:rPr>
          <w:rFonts w:ascii="Times New Roman" w:hAnsi="Times New Roman" w:cs="Times New Roman"/>
          <w:sz w:val="24"/>
          <w:szCs w:val="24"/>
        </w:rPr>
        <w:t xml:space="preserve"> </w:t>
      </w:r>
      <w:r w:rsidR="00A705BC" w:rsidRPr="003676D3">
        <w:rPr>
          <w:rFonts w:ascii="Times New Roman" w:hAnsi="Times New Roman" w:cs="Times New Roman"/>
          <w:sz w:val="24"/>
          <w:szCs w:val="24"/>
        </w:rPr>
        <w:fldChar w:fldCharType="begin" w:fldLock="1"/>
      </w:r>
      <w:r w:rsidR="00A705BC" w:rsidRPr="003676D3">
        <w:rPr>
          <w:rFonts w:ascii="Times New Roman" w:hAnsi="Times New Roman" w:cs="Times New Roman"/>
          <w:sz w:val="24"/>
          <w:szCs w:val="24"/>
        </w:rPr>
        <w:instrText>ADDIN CSL_CITATION {"citationItems":[{"id":"ITEM-1","itemData":{"DOI":"10.1016/J.ENPOL.2012.04.065","ISSN":"0301-4215","abstract":"Many of the scenarios for decarbonising the European energy system involve the integration of large-scale and decentralised renewable energy sources, such as wind and solar power. However, such integration requires substantial and rapid improvements to the existing transmission grids. Using a mix of qualitative and quantitative methods, we analysed the opinions and views of stakeholders concerning the main barriers and solutions to this problem. The results suggest two conclusions. The first is that primary barriers to the currently needed level of grid expansion are not technical or financial, but the lack of appropriate regulatory frameworks and public acceptance. The second is that major changes are needed in the overall regulatory process, rather than simply minor modifications or improved implementation of existing regulations. © 2012 Elsevier Ltd.","author":[{"dropping-particle":"","family":"Battaglini","given":"Antonella","non-dropping-particle":"","parse-names":false,"suffix":""},{"dropping-particle":"","family":"Komendantova","given":"Nadejda","non-dropping-particle":"","parse-names":false,"suffix":""},{"dropping-particle":"","family":"Brtnik","given":"Patricia","non-dropping-particle":"","parse-names":false,"suffix":""},{"dropping-particle":"","family":"Patt","given":"Anthony","non-dropping-particle":"","parse-names":false,"suffix":""}],"container-title":"Energy Policy","id":"ITEM-1","issued":{"date-parts":[["2012","8","1"]]},"page":"254-259","publisher":"Elsevier","title":"Perception of barriers for expansion of electricity grids in the European Union","type":"article-journal","volume":"47"},"uris":["http://www.mendeley.com/documents/?uuid=34f43e59-53e1-3583-807e-e74e5cb076e7"]}],"mendeley":{"formattedCitation":"[13]","plainTextFormattedCitation":"[13]","previouslyFormattedCitation":"[13]"},"properties":{"noteIndex":0},"schema":"https://github.com/citation-style-language/schema/raw/master/csl-citation.json"}</w:instrText>
      </w:r>
      <w:r w:rsidR="00A705BC" w:rsidRPr="003676D3">
        <w:rPr>
          <w:rFonts w:ascii="Times New Roman" w:hAnsi="Times New Roman" w:cs="Times New Roman"/>
          <w:sz w:val="24"/>
          <w:szCs w:val="24"/>
        </w:rPr>
        <w:fldChar w:fldCharType="separate"/>
      </w:r>
      <w:r w:rsidR="00A705BC" w:rsidRPr="003676D3">
        <w:rPr>
          <w:rFonts w:ascii="Times New Roman" w:hAnsi="Times New Roman" w:cs="Times New Roman"/>
          <w:noProof/>
          <w:sz w:val="24"/>
          <w:szCs w:val="24"/>
        </w:rPr>
        <w:t>[13]</w:t>
      </w:r>
      <w:r w:rsidR="00A705BC" w:rsidRPr="003676D3">
        <w:rPr>
          <w:rFonts w:ascii="Times New Roman" w:hAnsi="Times New Roman" w:cs="Times New Roman"/>
          <w:sz w:val="24"/>
          <w:szCs w:val="24"/>
        </w:rPr>
        <w:fldChar w:fldCharType="end"/>
      </w:r>
      <w:r w:rsidR="00A705BC" w:rsidRPr="003676D3">
        <w:rPr>
          <w:rFonts w:ascii="Times New Roman" w:hAnsi="Times New Roman" w:cs="Times New Roman"/>
          <w:sz w:val="24"/>
          <w:szCs w:val="24"/>
        </w:rPr>
        <w:t xml:space="preserve"> </w:t>
      </w:r>
      <w:r w:rsidRPr="003676D3">
        <w:rPr>
          <w:rFonts w:ascii="Times New Roman" w:hAnsi="Times New Roman" w:cs="Times New Roman"/>
          <w:sz w:val="24"/>
          <w:szCs w:val="24"/>
        </w:rPr>
        <w:t>the foremost obstacle in achieving the required grid expansion do not stem from technical or financial constraints but are primarily associated with the absence of apt regulatory frameworks and constrained public acceptance. Moreover,</w:t>
      </w:r>
      <w:r w:rsidR="002C2F33" w:rsidRPr="003676D3">
        <w:rPr>
          <w:rFonts w:ascii="Times New Roman" w:hAnsi="Times New Roman" w:cs="Times New Roman"/>
          <w:sz w:val="24"/>
          <w:szCs w:val="24"/>
        </w:rPr>
        <w:t xml:space="preserve"> to address</w:t>
      </w:r>
      <w:r w:rsidRPr="003676D3">
        <w:rPr>
          <w:rFonts w:ascii="Times New Roman" w:hAnsi="Times New Roman" w:cs="Times New Roman"/>
          <w:sz w:val="24"/>
          <w:szCs w:val="24"/>
        </w:rPr>
        <w:t xml:space="preserve"> </w:t>
      </w:r>
      <w:r w:rsidR="002C2F33" w:rsidRPr="003676D3">
        <w:rPr>
          <w:rFonts w:ascii="Times New Roman" w:hAnsi="Times New Roman" w:cs="Times New Roman"/>
          <w:sz w:val="24"/>
          <w:szCs w:val="24"/>
        </w:rPr>
        <w:t>this issue</w:t>
      </w:r>
      <w:r w:rsidRPr="003676D3">
        <w:rPr>
          <w:rFonts w:ascii="Times New Roman" w:hAnsi="Times New Roman" w:cs="Times New Roman"/>
          <w:sz w:val="24"/>
          <w:szCs w:val="24"/>
        </w:rPr>
        <w:t xml:space="preserve"> substantial modifications</w:t>
      </w:r>
      <w:r w:rsidR="002C2F33" w:rsidRPr="003676D3">
        <w:rPr>
          <w:rFonts w:ascii="Times New Roman" w:hAnsi="Times New Roman" w:cs="Times New Roman"/>
          <w:sz w:val="24"/>
          <w:szCs w:val="24"/>
        </w:rPr>
        <w:t xml:space="preserve"> are required</w:t>
      </w:r>
      <w:r w:rsidRPr="003676D3">
        <w:rPr>
          <w:rFonts w:ascii="Times New Roman" w:hAnsi="Times New Roman" w:cs="Times New Roman"/>
          <w:sz w:val="24"/>
          <w:szCs w:val="24"/>
        </w:rPr>
        <w:t xml:space="preserve"> in the </w:t>
      </w:r>
      <w:r w:rsidR="002C2F33" w:rsidRPr="003676D3">
        <w:rPr>
          <w:rFonts w:ascii="Times New Roman" w:hAnsi="Times New Roman" w:cs="Times New Roman"/>
          <w:sz w:val="24"/>
          <w:szCs w:val="24"/>
        </w:rPr>
        <w:t>existing</w:t>
      </w:r>
      <w:r w:rsidRPr="003676D3">
        <w:rPr>
          <w:rFonts w:ascii="Times New Roman" w:hAnsi="Times New Roman" w:cs="Times New Roman"/>
          <w:sz w:val="24"/>
          <w:szCs w:val="24"/>
        </w:rPr>
        <w:t xml:space="preserve"> regulatory process rather than </w:t>
      </w:r>
      <w:r w:rsidR="002C2F33" w:rsidRPr="003676D3">
        <w:rPr>
          <w:rFonts w:ascii="Times New Roman" w:hAnsi="Times New Roman" w:cs="Times New Roman"/>
          <w:sz w:val="24"/>
          <w:szCs w:val="24"/>
        </w:rPr>
        <w:t>small</w:t>
      </w:r>
      <w:r w:rsidRPr="003676D3">
        <w:rPr>
          <w:rFonts w:ascii="Times New Roman" w:hAnsi="Times New Roman" w:cs="Times New Roman"/>
          <w:sz w:val="24"/>
          <w:szCs w:val="24"/>
        </w:rPr>
        <w:t xml:space="preserve"> amendments or j</w:t>
      </w:r>
      <w:r w:rsidR="001A1FD1" w:rsidRPr="003676D3">
        <w:rPr>
          <w:rFonts w:ascii="Times New Roman" w:hAnsi="Times New Roman" w:cs="Times New Roman"/>
          <w:sz w:val="24"/>
          <w:szCs w:val="24"/>
        </w:rPr>
        <w:t>ust improving the current</w:t>
      </w:r>
      <w:r w:rsidRPr="003676D3">
        <w:rPr>
          <w:rFonts w:ascii="Times New Roman" w:hAnsi="Times New Roman" w:cs="Times New Roman"/>
          <w:sz w:val="24"/>
          <w:szCs w:val="24"/>
        </w:rPr>
        <w:t xml:space="preserve"> regulations.</w:t>
      </w:r>
    </w:p>
    <w:p w14:paraId="5F17A1AC" w14:textId="05006A3E" w:rsidR="00C3384E" w:rsidRPr="003676D3" w:rsidRDefault="00C3384E"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In response to these challenges, the smart grids</w:t>
      </w:r>
      <w:r w:rsidR="002C2F33" w:rsidRPr="003676D3">
        <w:rPr>
          <w:rFonts w:ascii="Times New Roman" w:hAnsi="Times New Roman" w:cs="Times New Roman"/>
          <w:sz w:val="24"/>
          <w:szCs w:val="24"/>
        </w:rPr>
        <w:t>’ concept</w:t>
      </w:r>
      <w:r w:rsidRPr="003676D3">
        <w:rPr>
          <w:rFonts w:ascii="Times New Roman" w:hAnsi="Times New Roman" w:cs="Times New Roman"/>
          <w:sz w:val="24"/>
          <w:szCs w:val="24"/>
        </w:rPr>
        <w:t xml:space="preserve"> has emerged as a strategic framework</w:t>
      </w:r>
      <w:r w:rsidR="002C2F33" w:rsidRPr="003676D3">
        <w:rPr>
          <w:rFonts w:ascii="Times New Roman" w:hAnsi="Times New Roman" w:cs="Times New Roman"/>
          <w:sz w:val="24"/>
          <w:szCs w:val="24"/>
        </w:rPr>
        <w:t>, which could</w:t>
      </w:r>
      <w:r w:rsidRPr="003676D3">
        <w:rPr>
          <w:rFonts w:ascii="Times New Roman" w:hAnsi="Times New Roman" w:cs="Times New Roman"/>
          <w:sz w:val="24"/>
          <w:szCs w:val="24"/>
        </w:rPr>
        <w:t xml:space="preserve"> enhance the efficiency and resilience of </w:t>
      </w:r>
      <w:r w:rsidR="00845D6E" w:rsidRPr="003676D3">
        <w:rPr>
          <w:rFonts w:ascii="Times New Roman" w:hAnsi="Times New Roman" w:cs="Times New Roman"/>
          <w:sz w:val="24"/>
          <w:szCs w:val="24"/>
        </w:rPr>
        <w:t xml:space="preserve">the </w:t>
      </w:r>
      <w:r w:rsidRPr="003676D3">
        <w:rPr>
          <w:rFonts w:ascii="Times New Roman" w:hAnsi="Times New Roman" w:cs="Times New Roman"/>
          <w:sz w:val="24"/>
          <w:szCs w:val="24"/>
        </w:rPr>
        <w:t>electricity systems</w:t>
      </w:r>
      <w:r w:rsidR="00A705BC" w:rsidRPr="003676D3">
        <w:rPr>
          <w:rFonts w:ascii="Times New Roman" w:hAnsi="Times New Roman" w:cs="Times New Roman"/>
          <w:sz w:val="24"/>
          <w:szCs w:val="24"/>
        </w:rPr>
        <w:t xml:space="preserve"> </w:t>
      </w:r>
      <w:r w:rsidR="00A705BC" w:rsidRPr="003676D3">
        <w:rPr>
          <w:rFonts w:ascii="Times New Roman" w:hAnsi="Times New Roman" w:cs="Times New Roman"/>
          <w:sz w:val="24"/>
          <w:szCs w:val="24"/>
        </w:rPr>
        <w:fldChar w:fldCharType="begin" w:fldLock="1"/>
      </w:r>
      <w:r w:rsidR="00A705BC" w:rsidRPr="003676D3">
        <w:rPr>
          <w:rFonts w:ascii="Times New Roman" w:hAnsi="Times New Roman" w:cs="Times New Roman"/>
          <w:sz w:val="24"/>
          <w:szCs w:val="24"/>
        </w:rPr>
        <w:instrText>ADDIN CSL_CITATION {"citationItems":[{"id":"ITEM-1","itemData":{"DOI":"10.1016/J.ENBUILD.2015.12.033","ISSN":"03787788","abstract":"Abstract The smart grids are modern electric power grid infrastructure for enhanced efficiency and reliability through automated control, high-power converters, modern communications infrastructure, sensing and metering technologies, and modern energy management techniques based on the optimization of demand, energy and network availability. The role of buildings in this framework is very crucial. This paper addresses critical issues on smart grid technologies and the integration of buildings in this new power grid framework. The main objective of this paper is to provide a contemporary look at the current state of the art in the potential of buildings and communities to be integrated in smart grids as well as to discuss the still-open research issues in this field. The challenges for the building sector are discussed and future research prospects are analysed.","author":[{"dropping-particle":"","family":"Kolokotsa","given":"Dionysia","non-dropping-particle":"","parse-names":false,"suffix":""}],"container-title":"Energy and Buildings","id":"ITEM-1","issued":{"date-parts":[["2016","3","15"]]},"page":"703-708","publisher":"Elsevier Ltd","title":"The role of smart grids in the building sector","type":"article-journal","volume":"116"},"uris":["http://www.mendeley.com/documents/?uuid=27cb60e5-23e2-33c1-ab06-00b1db80c503"]}],"mendeley":{"formattedCitation":"[14]","plainTextFormattedCitation":"[14]","previouslyFormattedCitation":"[14]"},"properties":{"noteIndex":0},"schema":"https://github.com/citation-style-language/schema/raw/master/csl-citation.json"}</w:instrText>
      </w:r>
      <w:r w:rsidR="00A705BC" w:rsidRPr="003676D3">
        <w:rPr>
          <w:rFonts w:ascii="Times New Roman" w:hAnsi="Times New Roman" w:cs="Times New Roman"/>
          <w:sz w:val="24"/>
          <w:szCs w:val="24"/>
        </w:rPr>
        <w:fldChar w:fldCharType="separate"/>
      </w:r>
      <w:r w:rsidR="00A705BC" w:rsidRPr="003676D3">
        <w:rPr>
          <w:rFonts w:ascii="Times New Roman" w:hAnsi="Times New Roman" w:cs="Times New Roman"/>
          <w:noProof/>
          <w:sz w:val="24"/>
          <w:szCs w:val="24"/>
        </w:rPr>
        <w:t>[14]</w:t>
      </w:r>
      <w:r w:rsidR="00A705BC" w:rsidRPr="003676D3">
        <w:rPr>
          <w:rFonts w:ascii="Times New Roman" w:hAnsi="Times New Roman" w:cs="Times New Roman"/>
          <w:sz w:val="24"/>
          <w:szCs w:val="24"/>
        </w:rPr>
        <w:fldChar w:fldCharType="end"/>
      </w:r>
      <w:r w:rsidRPr="003676D3">
        <w:rPr>
          <w:rFonts w:ascii="Times New Roman" w:hAnsi="Times New Roman" w:cs="Times New Roman"/>
          <w:sz w:val="24"/>
          <w:szCs w:val="24"/>
        </w:rPr>
        <w:t>.</w:t>
      </w:r>
      <w:r w:rsidR="00845D6E" w:rsidRPr="003676D3">
        <w:rPr>
          <w:rFonts w:ascii="Times New Roman" w:hAnsi="Times New Roman" w:cs="Times New Roman"/>
          <w:sz w:val="24"/>
          <w:szCs w:val="24"/>
        </w:rPr>
        <w:t>Super</w:t>
      </w:r>
      <w:r w:rsidRPr="003676D3">
        <w:rPr>
          <w:rFonts w:ascii="Times New Roman" w:hAnsi="Times New Roman" w:cs="Times New Roman"/>
          <w:sz w:val="24"/>
          <w:szCs w:val="24"/>
        </w:rPr>
        <w:t xml:space="preserve"> Smart </w:t>
      </w:r>
      <w:r w:rsidR="00845D6E" w:rsidRPr="003676D3">
        <w:rPr>
          <w:rFonts w:ascii="Times New Roman" w:hAnsi="Times New Roman" w:cs="Times New Roman"/>
          <w:sz w:val="24"/>
          <w:szCs w:val="24"/>
        </w:rPr>
        <w:t>G</w:t>
      </w:r>
      <w:r w:rsidRPr="003676D3">
        <w:rPr>
          <w:rFonts w:ascii="Times New Roman" w:hAnsi="Times New Roman" w:cs="Times New Roman"/>
          <w:sz w:val="24"/>
          <w:szCs w:val="24"/>
        </w:rPr>
        <w:t xml:space="preserve">rids </w:t>
      </w:r>
      <w:r w:rsidR="00845D6E" w:rsidRPr="003676D3">
        <w:rPr>
          <w:rFonts w:ascii="Times New Roman" w:hAnsi="Times New Roman" w:cs="Times New Roman"/>
          <w:sz w:val="24"/>
          <w:szCs w:val="24"/>
        </w:rPr>
        <w:t>works</w:t>
      </w:r>
      <w:r w:rsidRPr="003676D3">
        <w:rPr>
          <w:rFonts w:ascii="Times New Roman" w:hAnsi="Times New Roman" w:cs="Times New Roman"/>
          <w:sz w:val="24"/>
          <w:szCs w:val="24"/>
        </w:rPr>
        <w:t xml:space="preserve"> to </w:t>
      </w:r>
      <w:r w:rsidR="00845D6E" w:rsidRPr="003676D3">
        <w:rPr>
          <w:rFonts w:ascii="Times New Roman" w:hAnsi="Times New Roman" w:cs="Times New Roman"/>
          <w:sz w:val="24"/>
          <w:szCs w:val="24"/>
        </w:rPr>
        <w:t>ease</w:t>
      </w:r>
      <w:r w:rsidRPr="003676D3">
        <w:rPr>
          <w:rFonts w:ascii="Times New Roman" w:hAnsi="Times New Roman" w:cs="Times New Roman"/>
          <w:sz w:val="24"/>
          <w:szCs w:val="24"/>
        </w:rPr>
        <w:t xml:space="preserve"> the integration of decentralized electricity </w:t>
      </w:r>
      <w:r w:rsidR="00845D6E" w:rsidRPr="003676D3">
        <w:rPr>
          <w:rFonts w:ascii="Times New Roman" w:hAnsi="Times New Roman" w:cs="Times New Roman"/>
          <w:sz w:val="24"/>
          <w:szCs w:val="24"/>
        </w:rPr>
        <w:t xml:space="preserve">generation </w:t>
      </w:r>
      <w:r w:rsidRPr="003676D3">
        <w:rPr>
          <w:rFonts w:ascii="Times New Roman" w:hAnsi="Times New Roman" w:cs="Times New Roman"/>
          <w:sz w:val="24"/>
          <w:szCs w:val="24"/>
        </w:rPr>
        <w:t>technologies</w:t>
      </w:r>
      <w:r w:rsidR="00845D6E" w:rsidRPr="003676D3">
        <w:rPr>
          <w:rFonts w:ascii="Times New Roman" w:hAnsi="Times New Roman" w:cs="Times New Roman"/>
          <w:sz w:val="24"/>
          <w:szCs w:val="24"/>
        </w:rPr>
        <w:t xml:space="preserve"> and also</w:t>
      </w:r>
      <w:r w:rsidRPr="003676D3">
        <w:rPr>
          <w:rFonts w:ascii="Times New Roman" w:hAnsi="Times New Roman" w:cs="Times New Roman"/>
          <w:sz w:val="24"/>
          <w:szCs w:val="24"/>
        </w:rPr>
        <w:t xml:space="preserve"> focu</w:t>
      </w:r>
      <w:r w:rsidR="00845D6E" w:rsidRPr="003676D3">
        <w:rPr>
          <w:rFonts w:ascii="Times New Roman" w:hAnsi="Times New Roman" w:cs="Times New Roman"/>
          <w:sz w:val="24"/>
          <w:szCs w:val="24"/>
        </w:rPr>
        <w:t>s</w:t>
      </w:r>
      <w:r w:rsidRPr="003676D3">
        <w:rPr>
          <w:rFonts w:ascii="Times New Roman" w:hAnsi="Times New Roman" w:cs="Times New Roman"/>
          <w:sz w:val="24"/>
          <w:szCs w:val="24"/>
        </w:rPr>
        <w:t xml:space="preserve"> on system operation</w:t>
      </w:r>
      <w:r w:rsidR="00845D6E" w:rsidRPr="003676D3">
        <w:rPr>
          <w:rFonts w:ascii="Times New Roman" w:hAnsi="Times New Roman" w:cs="Times New Roman"/>
          <w:sz w:val="24"/>
          <w:szCs w:val="24"/>
        </w:rPr>
        <w:t xml:space="preserve"> and</w:t>
      </w:r>
      <w:r w:rsidRPr="003676D3">
        <w:rPr>
          <w:rFonts w:ascii="Times New Roman" w:hAnsi="Times New Roman" w:cs="Times New Roman"/>
          <w:sz w:val="24"/>
          <w:szCs w:val="24"/>
        </w:rPr>
        <w:t xml:space="preserve"> transmission across national and international grids. </w:t>
      </w:r>
    </w:p>
    <w:p w14:paraId="1FA0B2E0" w14:textId="4C406B43" w:rsidR="00754013" w:rsidRPr="003676D3" w:rsidRDefault="00845D6E"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S</w:t>
      </w:r>
      <w:r w:rsidR="00754013" w:rsidRPr="003676D3">
        <w:rPr>
          <w:rFonts w:ascii="Times New Roman" w:hAnsi="Times New Roman" w:cs="Times New Roman"/>
          <w:sz w:val="24"/>
          <w:szCs w:val="24"/>
        </w:rPr>
        <w:t>mart grid</w:t>
      </w:r>
      <w:r w:rsidRPr="003676D3">
        <w:rPr>
          <w:rFonts w:ascii="Times New Roman" w:hAnsi="Times New Roman" w:cs="Times New Roman"/>
          <w:sz w:val="24"/>
          <w:szCs w:val="24"/>
        </w:rPr>
        <w:t>s being highly adaptable and versatile</w:t>
      </w:r>
      <w:r w:rsidR="00754013" w:rsidRPr="003676D3">
        <w:rPr>
          <w:rFonts w:ascii="Times New Roman" w:hAnsi="Times New Roman" w:cs="Times New Roman"/>
          <w:sz w:val="24"/>
          <w:szCs w:val="24"/>
        </w:rPr>
        <w:t xml:space="preserve"> can be </w:t>
      </w:r>
      <w:r w:rsidRPr="003676D3">
        <w:rPr>
          <w:rFonts w:ascii="Times New Roman" w:hAnsi="Times New Roman" w:cs="Times New Roman"/>
          <w:sz w:val="24"/>
          <w:szCs w:val="24"/>
        </w:rPr>
        <w:t>modified</w:t>
      </w:r>
      <w:r w:rsidR="00754013" w:rsidRPr="003676D3">
        <w:rPr>
          <w:rFonts w:ascii="Times New Roman" w:hAnsi="Times New Roman" w:cs="Times New Roman"/>
          <w:sz w:val="24"/>
          <w:szCs w:val="24"/>
        </w:rPr>
        <w:t xml:space="preserve"> according to specific applications. However, a consensus exists regarding its fundamental attributes, which serve as foundational pillars in grasping its transformative potential</w:t>
      </w:r>
      <w:r w:rsidR="00A705BC" w:rsidRPr="003676D3">
        <w:rPr>
          <w:rFonts w:ascii="Times New Roman" w:hAnsi="Times New Roman" w:cs="Times New Roman"/>
          <w:sz w:val="24"/>
          <w:szCs w:val="24"/>
        </w:rPr>
        <w:t xml:space="preserve"> </w:t>
      </w:r>
      <w:r w:rsidR="00A705BC" w:rsidRPr="003676D3">
        <w:rPr>
          <w:rFonts w:ascii="Times New Roman" w:hAnsi="Times New Roman" w:cs="Times New Roman"/>
          <w:sz w:val="24"/>
          <w:szCs w:val="24"/>
        </w:rPr>
        <w:fldChar w:fldCharType="begin" w:fldLock="1"/>
      </w:r>
      <w:r w:rsidR="00A705BC" w:rsidRPr="003676D3">
        <w:rPr>
          <w:rFonts w:ascii="Times New Roman" w:hAnsi="Times New Roman" w:cs="Times New Roman"/>
          <w:sz w:val="24"/>
          <w:szCs w:val="24"/>
        </w:rPr>
        <w:instrText>ADDIN CSL_CITATION {"citationItems":[{"id":"ITEM-1","itemData":{"DOI":"10.1109/TSG.2013.2265264","ISSN":"19493053","abstract":"Smart grid can be defined as a modern electric power grid infrastructure for improved efficiency, reliability and safety, with smooth integration of renewable and alternative energy sources through automated control and modern communications technologies. The increase need for more effective power electrical systems control turned the development of smart grids, the main object of study for many researchers. This paper proposes a digital system for condition monitoring, diagnosis and supervisory control applied to smart grids. The system is based on hybrid network architecture (HNA), consisting of a wired infrastructure, a wireless sensor network (WSN), a power line communications (PLC) and a controller area network (CAN). The system is based on three hardware topologies: remote data acquisition units (RDAUs), intelligent sensors modules (ISMs) and a PLC modem. The basic characteristics are: a) easy/low cost implementation, b) easy to set up by user, c) easy implementation of redundant routines (security), d) portability/versatility, and e) open system. To validate the developed system, it was implanted in one underground electric substation power distribution, characterized as an extremely hostile environment for supervisory control applications. In this application, the main challenge is to establish a communication system installed inside the substation with the outside (operations center-OC) considering that there are not commercial solutions appropriate to solve completely this problem.","author":[{"dropping-particle":"","family":"Salvadori","given":"F.","non-dropping-particle":"","parse-names":false,"suffix":""},{"dropping-particle":"","family":"Gehrke","given":"C. S.","non-dropping-particle":"","parse-names":false,"suffix":""},{"dropping-particle":"","family":"Oliveira","given":"A. C.","non-dropping-particle":"De","parse-names":false,"suffix":""},{"dropping-particle":"","family":"Campos","given":"M.","non-dropping-particle":"De","parse-names":false,"suffix":""},{"dropping-particle":"","family":"Sausen","given":"P. S.","non-dropping-particle":"","parse-names":false,"suffix":""}],"container-title":"IEEE Transactions on Smart Grid","id":"ITEM-1","issue":"3","issued":{"date-parts":[["2013"]]},"page":"1630-1639","title":"Smart Grid Infrastructure Using a Hybrid Network Architecture","type":"article-journal","volume":"4"},"uris":["http://www.mendeley.com/documents/?uuid=ce45721f-e385-3a22-9533-8c044cc27649"]},{"id":"ITEM-2","itemData":{"DOI":"10.1109/JPROC.2015.2503119","ISSN":"15582256","abstract":"Smart grids are electric networks that employ advanced monitoring, control, and communication technologies to deliver reliable and secure energy supply, enhance operation efficiency for generators and distributors, and provide flexible choices for prosumers. Smart grids are a combination of complex physical network systems and cyber systems that face many technological challenges. In this paper, we will first present an overview of these challenges in the context of cyber-physical systems. We will then outline potential contributions that cyber-physical systems can make to smart grids, as well as the challenges that smart grids present to cyber-physical systems. Finally, implications of current technological advances to smart grids are outlined.","author":[{"dropping-particle":"","family":"Yu","given":"Xinghuo","non-dropping-particle":"","parse-names":false,"suffix":""},{"dropping-particle":"","family":"Xue","given":"Yusheng","non-dropping-particle":"","parse-names":false,"suffix":""}],"container-title":"Proceedings of the IEEE","id":"ITEM-2","issue":"5","issued":{"date-parts":[["2016","5","1"]]},"page":"1058-1070","publisher":"Institute of Electrical and Electronics Engineers Inc.","title":"Smart Grids: A Cyber–Physical Systems Perspective","type":"article-journal","volume":"104"},"uris":["http://www.mendeley.com/documents/?uuid=b4b817f5-314c-3d7d-ae28-953d7bc18a07"]},{"id":"ITEM-3","itemData":{"DOI":"10.1016/J.RENENE.2019.08.092","ISSN":"18790682","abstract":"The Smart Grid is an advanced digital two-way power flow power system capable of self-healing, adaptive, resilient and sustainable with foresight for prediction under different uncertainties. In this paper, a survey on various Smart Grid enabling technologies, Smart Grid metering and communication, cloud computing in Smart Grid and Smart Grid applications are explored in detail. Opportunities and future of Smart Grid is also described in this paper. For Smart grid enabling technologies Smart meters, smart sensors, vehicle to grid, plug in hybrid electric vehicle technology, sensor and actuator networks are explored. Advanced metering infrastructure, intelligent electronic devices, phasor measurement units, wide area measurement systems, local area network, home access network, neighborhood area network, wide area networks and cloud computing are explored for Smart Grid metering and communication. Home and building automation, smart substation, feeder automation is explored for smart grid applications. Associations of initial studies for the next step in smart grid applications will provide an economic benefit for the authorities in the long term, and will help to establish standards to be compatible with every application so that all smart grid applications can be coordinated under the control of the same authorities. Therefore, this study is expected to be an important guiding source for researchers and engineers studying the smart grid. It also helps transmission and distribution system operators to follow the right path as they are transforming their classical grids to smart grids.","author":[{"dropping-particle":"","family":"Dileep","given":"G.","non-dropping-particle":"","parse-names":false,"suffix":""}],"container-title":"Renewable Energy","id":"ITEM-3","issued":{"date-parts":[["2020","2","1"]]},"page":"2589-2625","publisher":"Elsevier Ltd","title":"A survey on smart grid technologies and applications","type":"article-journal","volume":"146"},"uris":["http://www.mendeley.com/documents/?uuid=9c562195-5089-3fba-a978-157c445700ba"]}],"mendeley":{"formattedCitation":"[15–17]","plainTextFormattedCitation":"[15–17]","previouslyFormattedCitation":"[15–17]"},"properties":{"noteIndex":0},"schema":"https://github.com/citation-style-language/schema/raw/master/csl-citation.json"}</w:instrText>
      </w:r>
      <w:r w:rsidR="00A705BC" w:rsidRPr="003676D3">
        <w:rPr>
          <w:rFonts w:ascii="Times New Roman" w:hAnsi="Times New Roman" w:cs="Times New Roman"/>
          <w:sz w:val="24"/>
          <w:szCs w:val="24"/>
        </w:rPr>
        <w:fldChar w:fldCharType="separate"/>
      </w:r>
      <w:r w:rsidR="00A705BC" w:rsidRPr="003676D3">
        <w:rPr>
          <w:rFonts w:ascii="Times New Roman" w:hAnsi="Times New Roman" w:cs="Times New Roman"/>
          <w:noProof/>
          <w:sz w:val="24"/>
          <w:szCs w:val="24"/>
        </w:rPr>
        <w:t>[15–17]</w:t>
      </w:r>
      <w:r w:rsidR="00A705BC" w:rsidRPr="003676D3">
        <w:rPr>
          <w:rFonts w:ascii="Times New Roman" w:hAnsi="Times New Roman" w:cs="Times New Roman"/>
          <w:sz w:val="24"/>
          <w:szCs w:val="24"/>
        </w:rPr>
        <w:fldChar w:fldCharType="end"/>
      </w:r>
      <w:r w:rsidR="00754013" w:rsidRPr="003676D3">
        <w:rPr>
          <w:rFonts w:ascii="Times New Roman" w:hAnsi="Times New Roman" w:cs="Times New Roman"/>
          <w:sz w:val="24"/>
          <w:szCs w:val="24"/>
        </w:rPr>
        <w:t xml:space="preserve">. Conceptually, the smart grid </w:t>
      </w:r>
      <w:r w:rsidR="0092012F" w:rsidRPr="003676D3">
        <w:rPr>
          <w:rFonts w:ascii="Times New Roman" w:hAnsi="Times New Roman" w:cs="Times New Roman"/>
          <w:sz w:val="24"/>
          <w:szCs w:val="24"/>
        </w:rPr>
        <w:t>are a</w:t>
      </w:r>
      <w:r w:rsidR="00754013" w:rsidRPr="003676D3">
        <w:rPr>
          <w:rFonts w:ascii="Times New Roman" w:hAnsi="Times New Roman" w:cs="Times New Roman"/>
          <w:sz w:val="24"/>
          <w:szCs w:val="24"/>
        </w:rPr>
        <w:t xml:space="preserve"> refined iteration of a power distribution system, augmented with renewable energy </w:t>
      </w:r>
      <w:r w:rsidR="00754013" w:rsidRPr="003676D3">
        <w:rPr>
          <w:rFonts w:ascii="Times New Roman" w:hAnsi="Times New Roman" w:cs="Times New Roman"/>
          <w:sz w:val="24"/>
          <w:szCs w:val="24"/>
        </w:rPr>
        <w:lastRenderedPageBreak/>
        <w:t xml:space="preserve">sources, </w:t>
      </w:r>
      <w:r w:rsidR="0092012F" w:rsidRPr="003676D3">
        <w:rPr>
          <w:rFonts w:ascii="Times New Roman" w:hAnsi="Times New Roman" w:cs="Times New Roman"/>
          <w:sz w:val="24"/>
          <w:szCs w:val="24"/>
        </w:rPr>
        <w:t>power electronic devices and advanced automation</w:t>
      </w:r>
      <w:r w:rsidR="00754013" w:rsidRPr="003676D3">
        <w:rPr>
          <w:rFonts w:ascii="Times New Roman" w:hAnsi="Times New Roman" w:cs="Times New Roman"/>
          <w:sz w:val="24"/>
          <w:szCs w:val="24"/>
        </w:rPr>
        <w:t>. More recently, there has been a conceptual evolution of smart grids as clusters of interconnected microgrids</w:t>
      </w:r>
      <w:r w:rsidR="0092012F" w:rsidRPr="003676D3">
        <w:rPr>
          <w:rFonts w:ascii="Times New Roman" w:hAnsi="Times New Roman" w:cs="Times New Roman"/>
          <w:sz w:val="24"/>
          <w:szCs w:val="24"/>
        </w:rPr>
        <w:t xml:space="preserve"> and being labelled as cyber-physical systems </w:t>
      </w:r>
      <w:r w:rsidR="00A705BC" w:rsidRPr="003676D3">
        <w:rPr>
          <w:rFonts w:ascii="Times New Roman" w:hAnsi="Times New Roman" w:cs="Times New Roman"/>
          <w:sz w:val="24"/>
          <w:szCs w:val="24"/>
        </w:rPr>
        <w:t xml:space="preserve"> </w:t>
      </w:r>
      <w:r w:rsidR="00A705BC" w:rsidRPr="003676D3">
        <w:rPr>
          <w:rFonts w:ascii="Times New Roman" w:hAnsi="Times New Roman" w:cs="Times New Roman"/>
          <w:sz w:val="24"/>
          <w:szCs w:val="24"/>
        </w:rPr>
        <w:fldChar w:fldCharType="begin" w:fldLock="1"/>
      </w:r>
      <w:r w:rsidR="006C31FB" w:rsidRPr="003676D3">
        <w:rPr>
          <w:rFonts w:ascii="Times New Roman" w:hAnsi="Times New Roman" w:cs="Times New Roman"/>
          <w:sz w:val="24"/>
          <w:szCs w:val="24"/>
        </w:rPr>
        <w:instrText>ADDIN CSL_CITATION {"citationItems":[{"id":"ITEM-1","itemData":{"DOI":"10.1016/J.RSER.2023.113185","ISSN":"1364-0321","abstract":"With its potentially disruptive nature, the smart grid can be viewed from both a transformational and an innovation systems perspective. Synthesising these, a research approach is adopted in which a Technological Innovation System (TIS) analysis is combined with a transformational perspective to identify a broader range of success and failure factors. This study analyses smart grid innovation system development. The main research question is: What systemic and transformational failures are identified in the development of smart grid innovation in the Netherlands from 2001 to 2021 by combining TIS and a transformational perspective? The question is answered by mapping the events to TIS functions and identifying both ‘systemic failures’ and ‘transformational failures’. Transformational failures are linked to events outside the smart grid TIS that work against the alignment and harmonising of activities within the TIS. Results show that the smart grid innovation system experienced three periods and that it suffers from various structural and transformational failures. TIS functions like knowledge diffusion, and the creation of legitimacy were only fulfilled to a limited extent. Consequently, smart grid innovation is currently still not considered a mainstream technology in the energy transition, and there is little attention to the role of end-users. The study ends with suggestions for future research, including the suitability of the research approach for other contexts and when applied to other energy system innovations.","author":[{"dropping-particle":"","family":"Norouzi","given":"F.","non-dropping-particle":"","parse-names":false,"suffix":""},{"dropping-particle":"","family":"Hoppe","given":"T.","non-dropping-particle":"","parse-names":false,"suffix":""},{"dropping-particle":"","family":"Kamp","given":"L. M.","non-dropping-particle":"","parse-names":false,"suffix":""},{"dropping-particle":"","family":"Manktelow","given":"C.","non-dropping-particle":"","parse-names":false,"suffix":""},{"dropping-particle":"","family":"Bauer","given":"P.","non-dropping-particle":"","parse-names":false,"suffix":""}],"container-title":"Renewable and Sustainable Energy Reviews","id":"ITEM-1","issued":{"date-parts":[["2023","4","1"]]},"page":"113185","publisher":"Pergamon","title":"Diagnosis of the implementation of smart grid innovation in The Netherlands and corrective actions","type":"article-journal","volume":"175"},"uris":["http://www.mendeley.com/documents/?uuid=351964e1-9231-342c-9c47-2274e33a90e6"]}],"mendeley":{"formattedCitation":"[18]","plainTextFormattedCitation":"[18]","previouslyFormattedCitation":"[18]"},"properties":{"noteIndex":0},"schema":"https://github.com/citation-style-language/schema/raw/master/csl-citation.json"}</w:instrText>
      </w:r>
      <w:r w:rsidR="00A705BC" w:rsidRPr="003676D3">
        <w:rPr>
          <w:rFonts w:ascii="Times New Roman" w:hAnsi="Times New Roman" w:cs="Times New Roman"/>
          <w:sz w:val="24"/>
          <w:szCs w:val="24"/>
        </w:rPr>
        <w:fldChar w:fldCharType="separate"/>
      </w:r>
      <w:r w:rsidR="00A705BC" w:rsidRPr="003676D3">
        <w:rPr>
          <w:rFonts w:ascii="Times New Roman" w:hAnsi="Times New Roman" w:cs="Times New Roman"/>
          <w:noProof/>
          <w:sz w:val="24"/>
          <w:szCs w:val="24"/>
        </w:rPr>
        <w:t>[18]</w:t>
      </w:r>
      <w:r w:rsidR="00A705BC" w:rsidRPr="003676D3">
        <w:rPr>
          <w:rFonts w:ascii="Times New Roman" w:hAnsi="Times New Roman" w:cs="Times New Roman"/>
          <w:sz w:val="24"/>
          <w:szCs w:val="24"/>
        </w:rPr>
        <w:fldChar w:fldCharType="end"/>
      </w:r>
      <w:r w:rsidR="00754013" w:rsidRPr="003676D3">
        <w:rPr>
          <w:rFonts w:ascii="Times New Roman" w:hAnsi="Times New Roman" w:cs="Times New Roman"/>
          <w:sz w:val="24"/>
          <w:szCs w:val="24"/>
        </w:rPr>
        <w:t>.</w:t>
      </w:r>
    </w:p>
    <w:p w14:paraId="6D77A826" w14:textId="2758DF62" w:rsidR="00D33CAB" w:rsidRPr="003676D3" w:rsidRDefault="00D33CAB"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Smart grids with bi-directional flow of energy and automacy exhibits both transformative and disruptive </w:t>
      </w:r>
      <w:r w:rsidR="006C31FB" w:rsidRPr="003676D3">
        <w:rPr>
          <w:rFonts w:ascii="Times New Roman" w:hAnsi="Times New Roman" w:cs="Times New Roman"/>
          <w:sz w:val="24"/>
          <w:szCs w:val="24"/>
        </w:rPr>
        <w:t>characteristics</w:t>
      </w:r>
      <w:r w:rsidRPr="003676D3">
        <w:rPr>
          <w:rFonts w:ascii="Times New Roman" w:hAnsi="Times New Roman" w:cs="Times New Roman"/>
          <w:sz w:val="24"/>
          <w:szCs w:val="24"/>
        </w:rPr>
        <w:t xml:space="preserve">. The now emerging ownership models with decentralised generation require </w:t>
      </w:r>
      <w:r w:rsidR="006C31FB" w:rsidRPr="003676D3">
        <w:rPr>
          <w:rFonts w:ascii="Times New Roman" w:hAnsi="Times New Roman" w:cs="Times New Roman"/>
          <w:sz w:val="24"/>
          <w:szCs w:val="24"/>
        </w:rPr>
        <w:t>novel</w:t>
      </w:r>
      <w:r w:rsidRPr="003676D3">
        <w:rPr>
          <w:rFonts w:ascii="Times New Roman" w:hAnsi="Times New Roman" w:cs="Times New Roman"/>
          <w:sz w:val="24"/>
          <w:szCs w:val="24"/>
        </w:rPr>
        <w:t xml:space="preserve"> ways to balance demand and supply. The ownership can reside to single person or energy communities, which can influence the incumbent institutions and firms of the traditional grid, thereby disrupting the energy markets and offering support to newly emerged prosumers. This sort of disruption requires transition to upgraded technologies, such as those support direct trading, system balancing and improved demand response</w:t>
      </w:r>
      <w:r w:rsidR="006C31FB" w:rsidRPr="003676D3">
        <w:rPr>
          <w:rFonts w:ascii="Times New Roman" w:hAnsi="Times New Roman" w:cs="Times New Roman"/>
          <w:sz w:val="24"/>
          <w:szCs w:val="24"/>
        </w:rPr>
        <w:t xml:space="preserve"> </w:t>
      </w:r>
      <w:r w:rsidR="006C31FB" w:rsidRPr="003676D3">
        <w:rPr>
          <w:rFonts w:ascii="Times New Roman" w:hAnsi="Times New Roman" w:cs="Times New Roman"/>
          <w:sz w:val="24"/>
          <w:szCs w:val="24"/>
        </w:rPr>
        <w:fldChar w:fldCharType="begin" w:fldLock="1"/>
      </w:r>
      <w:r w:rsidR="006C31FB" w:rsidRPr="003676D3">
        <w:rPr>
          <w:rFonts w:ascii="Times New Roman" w:hAnsi="Times New Roman" w:cs="Times New Roman"/>
          <w:sz w:val="24"/>
          <w:szCs w:val="24"/>
        </w:rPr>
        <w:instrText>ADDIN CSL_CITATION {"citationItems":[{"id":"ITEM-1","itemData":{"DOI":"10.1016/j.enpol.2018.06.018","ISSN":"03014215","abstract":"The transformation of the electricity sector towards a sustainable energy supply and use has a disruptive potential for infrastructure and utilities. The spread of digital technologies, renewable energy, and prosumers requires a swift and well-guided adaptation of the electricity distribution industry to smart grid technologies and related business models. This paper, based on the large technical systems (LTS) conceptual framework, investigates the complex evolution and company and market design adaptation needs. Challenges and opportunities are analyzed through nine multi-stakeholder workshops, held in two EU member states (Germany and Portugal) in 2016–2017, engaging distribution system operators, researchers, academics, and integrated utility companies. The results indicate considerable uncertainty for distribution system operators regarding the value of large-scale smart meter rollouts. Also, a corporate culture with resistance to change is observed, challenging the integration of novel technologies and processes. Traditional regulation is seen as a barrier to smart grid investments, and is associated with job losses and knowledge destruction. Policy-makers can benefit from these insights on the dynamics of DSOs, which can contribute to public policy design and market reform which traditionally has often been mainly concerned about operational efficiency in a steady-state, stable economy.","author":[{"dropping-particle":"","family":"Pereira","given":"Guillermo Ivan","non-dropping-particle":"","parse-names":false,"suffix":""},{"dropping-particle":"","family":"Specht","given":"Jan Martin","non-dropping-particle":"","parse-names":false,"suffix":""},{"dropping-particle":"","family":"Silva","given":"Patrícia Pereira","non-dropping-particle":"","parse-names":false,"suffix":""},{"dropping-particle":"","family":"Madlener","given":"Reinhard","non-dropping-particle":"","parse-names":false,"suffix":""}],"container-title":"Energy Policy","id":"ITEM-1","issued":{"date-parts":[["2018","10","1"]]},"page":"426-440","publisher":"Elsevier Ltd","title":"Technology, business model, and market design adaptation toward smart electricity distribution: Insights for policy making","type":"article-journal","volume":"121"},"uris":["http://www.mendeley.com/documents/?uuid=8c6ecb6b-ab52-3c6a-ad34-9eb958dd1d62"]},{"id":"ITEM-2","itemData":{"DOI":"10.1016/J.JCLEPRO.2015.07.078","ISSN":"0959-6526","abstract":"Smart grids could revolutionize the electricity sector when they stimulate customer empowerment and allow new players such as ICT firms to participate. A key question is whether electricity firms would either benefit or lose from smart grid deployment, because their established business model might be at risk. This paper seeks to explain under which conditions smart grid deployment will have an enabling or a constraining effect on electricity firms' engagement in business model innovation. Critically reviewing existing studies on smart grids, the paper investigates the consequences of smart grid deployment on each of the elements of the business model: value creation, value delivery, and value capture. The main argument posited is that while there are many reasons to believe that electricity firms will embrace smart grids and innovate their business model to accommodate sustainable energy, there are still many uncertainties related to consumer engagement, government support, and new entrants that might induce them to wait with business model innovation until such uncertainties have been resolved. The paper contributes to the emerging literature on business models for smart grids by not only identifying factors that enable, but also those that inhibit the transition of electricity firms towards sustainable energy. In highlighting electricity firms' reasons to resist smart grid technology, the paper provides a more nuanced picture of the potential of smart grids to disrupt the long-standing business models in the electricity sector.","author":[{"dropping-particle":"","family":"Shomali","given":"Azadeh","non-dropping-particle":"","parse-names":false,"suffix":""},{"dropping-particle":"","family":"Pinkse","given":"Jonatan","non-dropping-particle":"","parse-names":false,"suffix":""}],"container-title":"Journal of Cleaner Production","id":"ITEM-2","issued":{"date-parts":[["2016","1","20"]]},"page":"3830-3841","publisher":"Elsevier","title":"The consequences of smart grids for the business model of electricity firms","type":"article-journal","volume":"112"},"uris":["http://www.mendeley.com/documents/?uuid=dc4d9575-694a-3f34-998a-76f54bd14ec4"]},{"id":"ITEM-3","itemData":{"DOI":"10.1016/j.rser.2016.10.047","ISSN":"18790690","abstract":"This paper provides a theoretical framework, based on New Institutional Economics (NIE) concepts, to guide the development of community microgrids. Given limited application thus far of such energy systems, this paper also draws on empirical studies and experiences from the planning and development of other public/community infrastructure and utility services in the development of this framework. It links an efficient ownership and governance structure with transactional characteristics such as asset idiosyncrasy, frequency, and uncertainty (defined in Section 3.1). The key role of the customers and the microgrid service provider, and more specifically their ‘bilateral monopoly’ relationship and its effects on the choice of institutional structure, is highlighted. The paper examines the optimum conditions for public, private or hybrid financial ownership, and for unified or network governance through long-term contracting. This allows ex-ante investment uncertainty and ex-post appropriation risks to be efficiently managed. The analysis suggests that long-term contract completeness, future demand for electricity and level of uncertainty are the determining factors in the selection of institutional structure. This has significant real-world implications for the communities seeking to achieve electricity self-sufficiency and environmental benefits through community microgrids, service providers and other private or public actors.","author":[{"dropping-particle":"","family":"Gui","given":"Emi Minghui","non-dropping-particle":"","parse-names":false,"suffix":""},{"dropping-particle":"","family":"Diesendorf","given":"Mark","non-dropping-particle":"","parse-names":false,"suffix":""},{"dropping-particle":"","family":"MacGill","given":"Iain","non-dropping-particle":"","parse-names":false,"suffix":""}],"container-title":"Renewable and Sustainable Energy Reviews","id":"ITEM-3","issued":{"date-parts":[["2017"]]},"page":"1355-1365","publisher":"Elsevier Ltd","title":"Distributed energy infrastructure paradigm: Community microgrids in a new institutional economics context","type":"article-journal","volume":"72"},"uris":["http://www.mendeley.com/documents/?uuid=6c103503-7c28-3d6e-b035-6aa1fc7facf6"]},{"id":"ITEM-4","itemData":{"DOI":"10.1016/J.RESPOL.2018.09.003","ISSN":"0048-7333","abstract":"Policies and politics are crucial elements of sustainability transitions. Transition pathways unfold as a result of continuous struggles of actors over policy goals and instruments. Taking a policy mix perspective, we study policies and policy preferences of key industry actors in the ongoing energy transition at the level of the European Union. We introduce two central analytical dimensions for transition pathways: the degree of sustainability (here: renewable energy ambition) and the degree of disruption (here: whether to pursue centralized or decentralized energy system configurations). We find that the current EU energy policy mix is heterogeneous with respect to the issue of (de-)centralization, whereas most policies and actors express high or moderate ambitions for renewable energy. Our paper makes three contributions. It demonstrates how actors and policy preferences can be explicitly included in the study of policy mixes. To the literature on transition pathways, we introduce sustainability as another key dimension in addition to disruption. Lastly, we propose a novel methodology for analyzing the politics of transition pathways.","author":[{"dropping-particle":"","family":"Lindberg","given":"Marie Byskov","non-dropping-particle":"","parse-names":false,"suffix":""},{"dropping-particle":"","family":"Markard","given":"Jochen","non-dropping-particle":"","parse-names":false,"suffix":""},{"dropping-particle":"","family":"Andersen","given":"Allan Dahl","non-dropping-particle":"","parse-names":false,"suffix":""}],"container-title":"Research Policy","id":"ITEM-4","issue":"10","issued":{"date-parts":[["2019","12","1"]]},"page":"103668","publisher":"North-Holland","title":"Policies, actors and sustainability transition pathways: A study of the EU’s energy policy mix","type":"article-journal","volume":"48"},"uris":["http://www.mendeley.com/documents/?uuid=af669c9b-65db-31ae-a225-4740ff4d8421"]}],"mendeley":{"formattedCitation":"[19–22]","plainTextFormattedCitation":"[19–22]","previouslyFormattedCitation":"[19–22]"},"properties":{"noteIndex":0},"schema":"https://github.com/citation-style-language/schema/raw/master/csl-citation.json"}</w:instrText>
      </w:r>
      <w:r w:rsidR="006C31FB" w:rsidRPr="003676D3">
        <w:rPr>
          <w:rFonts w:ascii="Times New Roman" w:hAnsi="Times New Roman" w:cs="Times New Roman"/>
          <w:sz w:val="24"/>
          <w:szCs w:val="24"/>
        </w:rPr>
        <w:fldChar w:fldCharType="separate"/>
      </w:r>
      <w:r w:rsidR="006C31FB" w:rsidRPr="003676D3">
        <w:rPr>
          <w:rFonts w:ascii="Times New Roman" w:hAnsi="Times New Roman" w:cs="Times New Roman"/>
          <w:noProof/>
          <w:sz w:val="24"/>
          <w:szCs w:val="24"/>
        </w:rPr>
        <w:t>[19–22]</w:t>
      </w:r>
      <w:r w:rsidR="006C31FB" w:rsidRPr="003676D3">
        <w:rPr>
          <w:rFonts w:ascii="Times New Roman" w:hAnsi="Times New Roman" w:cs="Times New Roman"/>
          <w:sz w:val="24"/>
          <w:szCs w:val="24"/>
        </w:rPr>
        <w:fldChar w:fldCharType="end"/>
      </w:r>
      <w:r w:rsidR="006C31FB" w:rsidRPr="003676D3">
        <w:rPr>
          <w:rFonts w:ascii="Times New Roman" w:hAnsi="Times New Roman" w:cs="Times New Roman"/>
          <w:sz w:val="24"/>
          <w:szCs w:val="24"/>
        </w:rPr>
        <w:t xml:space="preserve"> </w:t>
      </w:r>
      <w:r w:rsidR="001A1FD1" w:rsidRPr="003676D3">
        <w:rPr>
          <w:rFonts w:ascii="Times New Roman" w:hAnsi="Times New Roman" w:cs="Times New Roman"/>
          <w:sz w:val="24"/>
          <w:szCs w:val="24"/>
        </w:rPr>
        <w:t>.</w:t>
      </w:r>
    </w:p>
    <w:p w14:paraId="0FEE526B" w14:textId="0C6ECBC4" w:rsidR="008E437B" w:rsidRPr="003676D3" w:rsidRDefault="008E437B" w:rsidP="003676D3">
      <w:pPr>
        <w:pStyle w:val="Heading1"/>
        <w:spacing w:line="276" w:lineRule="auto"/>
        <w:jc w:val="both"/>
        <w:rPr>
          <w:sz w:val="24"/>
          <w:szCs w:val="24"/>
        </w:rPr>
      </w:pPr>
      <w:r w:rsidRPr="003676D3">
        <w:rPr>
          <w:sz w:val="24"/>
          <w:szCs w:val="24"/>
        </w:rPr>
        <w:t xml:space="preserve">2. </w:t>
      </w:r>
      <w:r w:rsidR="0084199D" w:rsidRPr="003676D3">
        <w:rPr>
          <w:sz w:val="24"/>
          <w:szCs w:val="24"/>
        </w:rPr>
        <w:t xml:space="preserve">Motivation and </w:t>
      </w:r>
      <w:r w:rsidRPr="003676D3">
        <w:rPr>
          <w:sz w:val="24"/>
          <w:szCs w:val="24"/>
        </w:rPr>
        <w:t>Methodology</w:t>
      </w:r>
    </w:p>
    <w:p w14:paraId="7E92B3C4" w14:textId="1C966BFC" w:rsidR="006C31FB" w:rsidRPr="003676D3" w:rsidRDefault="008E437B"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This review paper presents transformation pathway from smart grid to super smart grid and how it would help interconnecting all the EU member countries and allow the energy exchange between them with ease. We have also explored in detail the opportunities and challenges encountered during this transition. Super smart grid </w:t>
      </w:r>
      <w:r w:rsidR="004B1918" w:rsidRPr="003676D3">
        <w:rPr>
          <w:rFonts w:ascii="Times New Roman" w:hAnsi="Times New Roman" w:cs="Times New Roman"/>
          <w:sz w:val="24"/>
          <w:szCs w:val="24"/>
        </w:rPr>
        <w:t>is</w:t>
      </w:r>
      <w:r w:rsidRPr="003676D3">
        <w:rPr>
          <w:rFonts w:ascii="Times New Roman" w:hAnsi="Times New Roman" w:cs="Times New Roman"/>
          <w:sz w:val="24"/>
          <w:szCs w:val="24"/>
        </w:rPr>
        <w:t xml:space="preserve"> fundamentally backed by high </w:t>
      </w:r>
      <w:r w:rsidR="004B1918" w:rsidRPr="003676D3">
        <w:rPr>
          <w:rFonts w:ascii="Times New Roman" w:hAnsi="Times New Roman" w:cs="Times New Roman"/>
          <w:sz w:val="24"/>
          <w:szCs w:val="24"/>
        </w:rPr>
        <w:t>computation-based</w:t>
      </w:r>
      <w:r w:rsidRPr="003676D3">
        <w:rPr>
          <w:rFonts w:ascii="Times New Roman" w:hAnsi="Times New Roman" w:cs="Times New Roman"/>
          <w:sz w:val="24"/>
          <w:szCs w:val="24"/>
        </w:rPr>
        <w:t xml:space="preserve"> automation and advanced enabling technologies such as metaverse and artificial intelligence, which are discussed in this review. </w:t>
      </w:r>
    </w:p>
    <w:p w14:paraId="73F85EF1" w14:textId="3B28DAC9" w:rsidR="008E437B" w:rsidRPr="003676D3" w:rsidRDefault="008E437B"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In summary, this review paper answers the question, “What are the necessary steps for the transition from smart grids to super smart grids?”. Also, “Why smart gr</w:t>
      </w:r>
      <w:r w:rsidR="006C31FB" w:rsidRPr="003676D3">
        <w:rPr>
          <w:rFonts w:ascii="Times New Roman" w:hAnsi="Times New Roman" w:cs="Times New Roman"/>
          <w:sz w:val="24"/>
          <w:szCs w:val="24"/>
        </w:rPr>
        <w:t xml:space="preserve">ids </w:t>
      </w:r>
      <w:r w:rsidR="004B1918" w:rsidRPr="003676D3">
        <w:rPr>
          <w:rFonts w:ascii="Times New Roman" w:hAnsi="Times New Roman" w:cs="Times New Roman"/>
          <w:sz w:val="24"/>
          <w:szCs w:val="24"/>
        </w:rPr>
        <w:t>require</w:t>
      </w:r>
      <w:r w:rsidR="006C31FB" w:rsidRPr="003676D3">
        <w:rPr>
          <w:rFonts w:ascii="Times New Roman" w:hAnsi="Times New Roman" w:cs="Times New Roman"/>
          <w:sz w:val="24"/>
          <w:szCs w:val="24"/>
        </w:rPr>
        <w:t xml:space="preserve"> more upgradation?”. Another interesting question that this study address is “What is the role of enabling technologies amidst this transition?”. </w:t>
      </w:r>
      <w:r w:rsidRPr="003676D3">
        <w:rPr>
          <w:rFonts w:ascii="Times New Roman" w:hAnsi="Times New Roman" w:cs="Times New Roman"/>
          <w:sz w:val="24"/>
          <w:szCs w:val="24"/>
        </w:rPr>
        <w:t>This question is answered by extensively reviewing the available literature body for systematic, infrastructural and techno-</w:t>
      </w:r>
      <w:r w:rsidR="004B1918" w:rsidRPr="003676D3">
        <w:rPr>
          <w:rFonts w:ascii="Times New Roman" w:hAnsi="Times New Roman" w:cs="Times New Roman"/>
          <w:sz w:val="24"/>
          <w:szCs w:val="24"/>
        </w:rPr>
        <w:t>economic</w:t>
      </w:r>
      <w:r w:rsidRPr="003676D3">
        <w:rPr>
          <w:rFonts w:ascii="Times New Roman" w:hAnsi="Times New Roman" w:cs="Times New Roman"/>
          <w:sz w:val="24"/>
          <w:szCs w:val="24"/>
        </w:rPr>
        <w:t xml:space="preserve"> affairs. The critical point is the influence of external factors such as regulatory affairs</w:t>
      </w:r>
      <w:r w:rsidR="0092012F" w:rsidRPr="003676D3">
        <w:rPr>
          <w:rFonts w:ascii="Times New Roman" w:hAnsi="Times New Roman" w:cs="Times New Roman"/>
          <w:sz w:val="24"/>
          <w:szCs w:val="24"/>
        </w:rPr>
        <w:t xml:space="preserve"> and policy </w:t>
      </w:r>
      <w:r w:rsidR="00724DEC" w:rsidRPr="003676D3">
        <w:rPr>
          <w:rFonts w:ascii="Times New Roman" w:hAnsi="Times New Roman" w:cs="Times New Roman"/>
          <w:sz w:val="24"/>
          <w:szCs w:val="24"/>
        </w:rPr>
        <w:t>actions</w:t>
      </w:r>
      <w:r w:rsidRPr="003676D3">
        <w:rPr>
          <w:rFonts w:ascii="Times New Roman" w:hAnsi="Times New Roman" w:cs="Times New Roman"/>
          <w:sz w:val="24"/>
          <w:szCs w:val="24"/>
        </w:rPr>
        <w:t xml:space="preserve"> that has significant impact on this transition. The discussion on the role of enabling technologies in super smart g</w:t>
      </w:r>
      <w:r w:rsidR="0092012F" w:rsidRPr="003676D3">
        <w:rPr>
          <w:rFonts w:ascii="Times New Roman" w:hAnsi="Times New Roman" w:cs="Times New Roman"/>
          <w:sz w:val="24"/>
          <w:szCs w:val="24"/>
        </w:rPr>
        <w:t>rids provides a holistic view about</w:t>
      </w:r>
      <w:r w:rsidRPr="003676D3">
        <w:rPr>
          <w:rFonts w:ascii="Times New Roman" w:hAnsi="Times New Roman" w:cs="Times New Roman"/>
          <w:sz w:val="24"/>
          <w:szCs w:val="24"/>
        </w:rPr>
        <w:t xml:space="preserve"> the dynamics of </w:t>
      </w:r>
      <w:r w:rsidR="0092012F" w:rsidRPr="003676D3">
        <w:rPr>
          <w:rFonts w:ascii="Times New Roman" w:hAnsi="Times New Roman" w:cs="Times New Roman"/>
          <w:sz w:val="24"/>
          <w:szCs w:val="24"/>
        </w:rPr>
        <w:t>elements</w:t>
      </w:r>
      <w:r w:rsidRPr="003676D3">
        <w:rPr>
          <w:rFonts w:ascii="Times New Roman" w:hAnsi="Times New Roman" w:cs="Times New Roman"/>
          <w:sz w:val="24"/>
          <w:szCs w:val="24"/>
        </w:rPr>
        <w:t xml:space="preserve"> at the core of this transition. </w:t>
      </w:r>
      <w:r w:rsidR="006C31FB" w:rsidRPr="003676D3">
        <w:rPr>
          <w:rFonts w:ascii="Times New Roman" w:hAnsi="Times New Roman" w:cs="Times New Roman"/>
          <w:sz w:val="24"/>
          <w:szCs w:val="24"/>
        </w:rPr>
        <w:t xml:space="preserve">The flow of methodology is shown in </w:t>
      </w:r>
      <w:r w:rsidR="006C31FB" w:rsidRPr="003676D3">
        <w:rPr>
          <w:rFonts w:ascii="Times New Roman" w:hAnsi="Times New Roman" w:cs="Times New Roman"/>
          <w:sz w:val="24"/>
          <w:szCs w:val="24"/>
        </w:rPr>
        <w:fldChar w:fldCharType="begin"/>
      </w:r>
      <w:r w:rsidR="006C31FB" w:rsidRPr="003676D3">
        <w:rPr>
          <w:rFonts w:ascii="Times New Roman" w:hAnsi="Times New Roman" w:cs="Times New Roman"/>
          <w:sz w:val="24"/>
          <w:szCs w:val="24"/>
        </w:rPr>
        <w:instrText xml:space="preserve"> REF _Ref168034247 \h  \* MERGEFORMAT </w:instrText>
      </w:r>
      <w:r w:rsidR="006C31FB" w:rsidRPr="003676D3">
        <w:rPr>
          <w:rFonts w:ascii="Times New Roman" w:hAnsi="Times New Roman" w:cs="Times New Roman"/>
          <w:sz w:val="24"/>
          <w:szCs w:val="24"/>
        </w:rPr>
      </w:r>
      <w:r w:rsidR="006C31FB" w:rsidRPr="003676D3">
        <w:rPr>
          <w:rFonts w:ascii="Times New Roman" w:hAnsi="Times New Roman" w:cs="Times New Roman"/>
          <w:sz w:val="24"/>
          <w:szCs w:val="24"/>
        </w:rPr>
        <w:fldChar w:fldCharType="separate"/>
      </w:r>
      <w:r w:rsidR="008D1E2C" w:rsidRPr="003676D3">
        <w:rPr>
          <w:rFonts w:ascii="Times New Roman" w:hAnsi="Times New Roman" w:cs="Times New Roman"/>
          <w:b/>
          <w:bCs/>
          <w:sz w:val="24"/>
          <w:szCs w:val="24"/>
        </w:rPr>
        <w:t xml:space="preserve">Figure </w:t>
      </w:r>
      <w:r w:rsidR="008D1E2C" w:rsidRPr="003676D3">
        <w:rPr>
          <w:rFonts w:ascii="Times New Roman" w:hAnsi="Times New Roman" w:cs="Times New Roman"/>
          <w:b/>
          <w:bCs/>
          <w:noProof/>
          <w:sz w:val="24"/>
          <w:szCs w:val="24"/>
        </w:rPr>
        <w:t>1</w:t>
      </w:r>
      <w:r w:rsidR="006C31FB" w:rsidRPr="003676D3">
        <w:rPr>
          <w:rFonts w:ascii="Times New Roman" w:hAnsi="Times New Roman" w:cs="Times New Roman"/>
          <w:sz w:val="24"/>
          <w:szCs w:val="24"/>
        </w:rPr>
        <w:fldChar w:fldCharType="end"/>
      </w:r>
      <w:r w:rsidR="006C31FB" w:rsidRPr="003676D3">
        <w:rPr>
          <w:rFonts w:ascii="Times New Roman" w:hAnsi="Times New Roman" w:cs="Times New Roman"/>
          <w:sz w:val="24"/>
          <w:szCs w:val="24"/>
        </w:rPr>
        <w:t>.</w:t>
      </w:r>
    </w:p>
    <w:p w14:paraId="1A5F349F" w14:textId="5F948C31" w:rsidR="008E437B" w:rsidRPr="003676D3" w:rsidRDefault="0092012F"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The literature review indicates that most research has focused on smart grids, while the innovation of super smart grids has not yet been examined from a comprehensive socio-technical system perspective.</w:t>
      </w:r>
      <w:r w:rsidRPr="003676D3">
        <w:rPr>
          <w:rFonts w:ascii="Times New Roman" w:hAnsi="Times New Roman" w:cs="Times New Roman"/>
        </w:rPr>
        <w:t xml:space="preserve"> </w:t>
      </w:r>
      <w:r w:rsidR="008E437B" w:rsidRPr="003676D3">
        <w:rPr>
          <w:rFonts w:ascii="Times New Roman" w:hAnsi="Times New Roman" w:cs="Times New Roman"/>
          <w:sz w:val="24"/>
          <w:szCs w:val="24"/>
        </w:rPr>
        <w:t>This review is designed to identify key themes and technological advancements, as well as to understand the regulatory frameworks and economic implications associated with the transition to super smart grids. By synthesizing existing knowledge, the literature review lays a solid foundation for further analysis.</w:t>
      </w:r>
      <w:r w:rsidR="006C31FB" w:rsidRPr="003676D3">
        <w:rPr>
          <w:rFonts w:ascii="Times New Roman" w:hAnsi="Times New Roman" w:cs="Times New Roman"/>
          <w:sz w:val="24"/>
          <w:szCs w:val="24"/>
        </w:rPr>
        <w:t xml:space="preserve"> A comparison with other studies is presented in </w:t>
      </w:r>
      <w:r w:rsidR="006C31FB" w:rsidRPr="003676D3">
        <w:rPr>
          <w:rFonts w:ascii="Times New Roman" w:hAnsi="Times New Roman" w:cs="Times New Roman"/>
          <w:b/>
          <w:bCs/>
          <w:sz w:val="24"/>
          <w:szCs w:val="24"/>
        </w:rPr>
        <w:fldChar w:fldCharType="begin"/>
      </w:r>
      <w:r w:rsidR="006C31FB" w:rsidRPr="003676D3">
        <w:rPr>
          <w:rFonts w:ascii="Times New Roman" w:hAnsi="Times New Roman" w:cs="Times New Roman"/>
          <w:b/>
          <w:bCs/>
          <w:sz w:val="24"/>
          <w:szCs w:val="24"/>
        </w:rPr>
        <w:instrText xml:space="preserve"> REF _Ref168034397 \h  \* MERGEFORMAT </w:instrText>
      </w:r>
      <w:r w:rsidR="006C31FB" w:rsidRPr="003676D3">
        <w:rPr>
          <w:rFonts w:ascii="Times New Roman" w:hAnsi="Times New Roman" w:cs="Times New Roman"/>
          <w:b/>
          <w:bCs/>
          <w:sz w:val="24"/>
          <w:szCs w:val="24"/>
        </w:rPr>
      </w:r>
      <w:r w:rsidR="006C31FB" w:rsidRPr="003676D3">
        <w:rPr>
          <w:rFonts w:ascii="Times New Roman" w:hAnsi="Times New Roman" w:cs="Times New Roman"/>
          <w:b/>
          <w:bCs/>
          <w:sz w:val="24"/>
          <w:szCs w:val="24"/>
        </w:rPr>
        <w:fldChar w:fldCharType="end"/>
      </w:r>
      <w:r w:rsidR="006C31FB" w:rsidRPr="003676D3">
        <w:rPr>
          <w:rFonts w:ascii="Times New Roman" w:hAnsi="Times New Roman" w:cs="Times New Roman"/>
          <w:sz w:val="24"/>
          <w:szCs w:val="24"/>
        </w:rPr>
        <w:t>.</w:t>
      </w:r>
    </w:p>
    <w:p w14:paraId="51726EFC" w14:textId="0E26BB3A" w:rsidR="008E437B" w:rsidRPr="003676D3" w:rsidRDefault="0084199D" w:rsidP="003676D3">
      <w:pPr>
        <w:spacing w:line="276" w:lineRule="auto"/>
        <w:jc w:val="both"/>
        <w:rPr>
          <w:rFonts w:ascii="Times New Roman" w:hAnsi="Times New Roman" w:cs="Times New Roman"/>
          <w:sz w:val="24"/>
          <w:szCs w:val="24"/>
        </w:rPr>
      </w:pPr>
      <w:r w:rsidRPr="003676D3">
        <w:rPr>
          <w:rFonts w:ascii="Times New Roman" w:hAnsi="Times New Roman" w:cs="Times New Roman"/>
          <w:b/>
          <w:bCs/>
          <w:sz w:val="24"/>
          <w:szCs w:val="24"/>
        </w:rPr>
        <w:t>Explored Database</w:t>
      </w:r>
      <w:r w:rsidRPr="003676D3">
        <w:rPr>
          <w:rFonts w:ascii="Times New Roman" w:hAnsi="Times New Roman" w:cs="Times New Roman"/>
          <w:sz w:val="24"/>
          <w:szCs w:val="24"/>
        </w:rPr>
        <w:t xml:space="preserve">: </w:t>
      </w:r>
      <w:r w:rsidR="008E437B" w:rsidRPr="003676D3">
        <w:rPr>
          <w:rFonts w:ascii="Times New Roman" w:hAnsi="Times New Roman" w:cs="Times New Roman"/>
          <w:sz w:val="24"/>
          <w:szCs w:val="24"/>
        </w:rPr>
        <w:t xml:space="preserve">The </w:t>
      </w:r>
      <w:r w:rsidR="0092012F" w:rsidRPr="003676D3">
        <w:rPr>
          <w:rFonts w:ascii="Times New Roman" w:hAnsi="Times New Roman" w:cs="Times New Roman"/>
          <w:sz w:val="24"/>
          <w:szCs w:val="24"/>
        </w:rPr>
        <w:t>prime</w:t>
      </w:r>
      <w:r w:rsidR="008E437B" w:rsidRPr="003676D3">
        <w:rPr>
          <w:rFonts w:ascii="Times New Roman" w:hAnsi="Times New Roman" w:cs="Times New Roman"/>
          <w:sz w:val="24"/>
          <w:szCs w:val="24"/>
        </w:rPr>
        <w:t xml:space="preserve"> resource for the qualitative analysis </w:t>
      </w:r>
      <w:r w:rsidR="0092012F" w:rsidRPr="003676D3">
        <w:rPr>
          <w:rFonts w:ascii="Times New Roman" w:hAnsi="Times New Roman" w:cs="Times New Roman"/>
          <w:sz w:val="24"/>
          <w:szCs w:val="24"/>
        </w:rPr>
        <w:t>relates</w:t>
      </w:r>
      <w:r w:rsidR="008E437B" w:rsidRPr="003676D3">
        <w:rPr>
          <w:rFonts w:ascii="Times New Roman" w:hAnsi="Times New Roman" w:cs="Times New Roman"/>
          <w:sz w:val="24"/>
          <w:szCs w:val="24"/>
        </w:rPr>
        <w:t xml:space="preserve"> to academic journals and conferences as well as review papers. It also includes industrial reports, technical standards, official documents and </w:t>
      </w:r>
      <w:r w:rsidR="0092012F" w:rsidRPr="003676D3">
        <w:rPr>
          <w:rFonts w:ascii="Times New Roman" w:hAnsi="Times New Roman" w:cs="Times New Roman"/>
          <w:sz w:val="24"/>
          <w:szCs w:val="24"/>
        </w:rPr>
        <w:t xml:space="preserve">governmental </w:t>
      </w:r>
      <w:r w:rsidR="008E437B" w:rsidRPr="003676D3">
        <w:rPr>
          <w:rFonts w:ascii="Times New Roman" w:hAnsi="Times New Roman" w:cs="Times New Roman"/>
          <w:sz w:val="24"/>
          <w:szCs w:val="24"/>
        </w:rPr>
        <w:t>reports, think ta</w:t>
      </w:r>
      <w:r w:rsidR="0092012F" w:rsidRPr="003676D3">
        <w:rPr>
          <w:rFonts w:ascii="Times New Roman" w:hAnsi="Times New Roman" w:cs="Times New Roman"/>
          <w:sz w:val="24"/>
          <w:szCs w:val="24"/>
        </w:rPr>
        <w:t>nks and scientific research organiz</w:t>
      </w:r>
      <w:r w:rsidR="008E437B" w:rsidRPr="003676D3">
        <w:rPr>
          <w:rFonts w:ascii="Times New Roman" w:hAnsi="Times New Roman" w:cs="Times New Roman"/>
          <w:sz w:val="24"/>
          <w:szCs w:val="24"/>
        </w:rPr>
        <w:t>ations</w:t>
      </w:r>
      <w:r w:rsidR="0092012F" w:rsidRPr="003676D3">
        <w:rPr>
          <w:rFonts w:ascii="Times New Roman" w:hAnsi="Times New Roman" w:cs="Times New Roman"/>
          <w:sz w:val="24"/>
          <w:szCs w:val="24"/>
        </w:rPr>
        <w:t xml:space="preserve">. It also </w:t>
      </w:r>
      <w:r w:rsidR="004B1918" w:rsidRPr="003676D3">
        <w:rPr>
          <w:rFonts w:ascii="Times New Roman" w:hAnsi="Times New Roman" w:cs="Times New Roman"/>
          <w:sz w:val="24"/>
          <w:szCs w:val="24"/>
        </w:rPr>
        <w:t>includes</w:t>
      </w:r>
      <w:r w:rsidR="0092012F" w:rsidRPr="003676D3">
        <w:rPr>
          <w:rFonts w:ascii="Times New Roman" w:hAnsi="Times New Roman" w:cs="Times New Roman"/>
          <w:sz w:val="24"/>
          <w:szCs w:val="24"/>
        </w:rPr>
        <w:t xml:space="preserve"> some </w:t>
      </w:r>
      <w:r w:rsidR="008E437B" w:rsidRPr="003676D3">
        <w:rPr>
          <w:rFonts w:ascii="Times New Roman" w:hAnsi="Times New Roman" w:cs="Times New Roman"/>
          <w:sz w:val="24"/>
          <w:szCs w:val="24"/>
        </w:rPr>
        <w:t>archiv</w:t>
      </w:r>
      <w:r w:rsidR="0092012F" w:rsidRPr="003676D3">
        <w:rPr>
          <w:rFonts w:ascii="Times New Roman" w:hAnsi="Times New Roman" w:cs="Times New Roman"/>
          <w:sz w:val="24"/>
          <w:szCs w:val="24"/>
        </w:rPr>
        <w:t>es of news articles, technical blogs and website</w:t>
      </w:r>
      <w:r w:rsidR="008E437B" w:rsidRPr="003676D3">
        <w:rPr>
          <w:rFonts w:ascii="Times New Roman" w:hAnsi="Times New Roman" w:cs="Times New Roman"/>
          <w:sz w:val="24"/>
          <w:szCs w:val="24"/>
        </w:rPr>
        <w:t xml:space="preserve">. </w:t>
      </w:r>
      <w:r w:rsidR="0092012F" w:rsidRPr="003676D3">
        <w:rPr>
          <w:rFonts w:ascii="Times New Roman" w:hAnsi="Times New Roman" w:cs="Times New Roman"/>
          <w:sz w:val="24"/>
          <w:szCs w:val="24"/>
        </w:rPr>
        <w:t>Official documents are sourced from the European Commission's database,</w:t>
      </w:r>
      <w:r w:rsidR="00724DEC" w:rsidRPr="003676D3">
        <w:rPr>
          <w:rFonts w:ascii="Times New Roman" w:hAnsi="Times New Roman" w:cs="Times New Roman"/>
          <w:sz w:val="24"/>
          <w:szCs w:val="24"/>
        </w:rPr>
        <w:t xml:space="preserve"> along with publications of</w:t>
      </w:r>
      <w:r w:rsidR="0092012F" w:rsidRPr="003676D3">
        <w:rPr>
          <w:rFonts w:ascii="Times New Roman" w:hAnsi="Times New Roman" w:cs="Times New Roman"/>
          <w:sz w:val="24"/>
          <w:szCs w:val="24"/>
        </w:rPr>
        <w:t xml:space="preserve"> the International Energy Agency</w:t>
      </w:r>
      <w:r w:rsidR="008E437B" w:rsidRPr="003676D3">
        <w:rPr>
          <w:rFonts w:ascii="Times New Roman" w:hAnsi="Times New Roman" w:cs="Times New Roman"/>
          <w:sz w:val="24"/>
          <w:szCs w:val="24"/>
        </w:rPr>
        <w:t xml:space="preserve"> (IEA). Scopus, IEEE Explore, Springer, </w:t>
      </w:r>
      <w:r w:rsidR="0092012F" w:rsidRPr="003676D3">
        <w:rPr>
          <w:rFonts w:ascii="Times New Roman" w:hAnsi="Times New Roman" w:cs="Times New Roman"/>
          <w:sz w:val="24"/>
          <w:szCs w:val="24"/>
        </w:rPr>
        <w:t>Google Scholar, Web of Science and</w:t>
      </w:r>
      <w:r w:rsidR="008E437B" w:rsidRPr="003676D3">
        <w:rPr>
          <w:rFonts w:ascii="Times New Roman" w:hAnsi="Times New Roman" w:cs="Times New Roman"/>
          <w:sz w:val="24"/>
          <w:szCs w:val="24"/>
        </w:rPr>
        <w:t xml:space="preserve"> Wiley are used for </w:t>
      </w:r>
      <w:r w:rsidR="00724DEC" w:rsidRPr="003676D3">
        <w:rPr>
          <w:rFonts w:ascii="Times New Roman" w:hAnsi="Times New Roman" w:cs="Times New Roman"/>
          <w:sz w:val="24"/>
          <w:szCs w:val="24"/>
        </w:rPr>
        <w:t xml:space="preserve">searching </w:t>
      </w:r>
      <w:r w:rsidR="008E437B" w:rsidRPr="003676D3">
        <w:rPr>
          <w:rFonts w:ascii="Times New Roman" w:hAnsi="Times New Roman" w:cs="Times New Roman"/>
          <w:sz w:val="24"/>
          <w:szCs w:val="24"/>
        </w:rPr>
        <w:t>scientific papers</w:t>
      </w:r>
      <w:r w:rsidR="00724DEC" w:rsidRPr="003676D3">
        <w:rPr>
          <w:rFonts w:ascii="Times New Roman" w:hAnsi="Times New Roman" w:cs="Times New Roman"/>
          <w:sz w:val="24"/>
          <w:szCs w:val="24"/>
        </w:rPr>
        <w:t>.</w:t>
      </w:r>
      <w:r w:rsidR="008E437B" w:rsidRPr="003676D3">
        <w:rPr>
          <w:rFonts w:ascii="Times New Roman" w:hAnsi="Times New Roman" w:cs="Times New Roman"/>
          <w:sz w:val="24"/>
          <w:szCs w:val="24"/>
        </w:rPr>
        <w:t xml:space="preserve"> </w:t>
      </w:r>
      <w:r w:rsidR="00724DEC" w:rsidRPr="003676D3">
        <w:rPr>
          <w:rFonts w:ascii="Times New Roman" w:hAnsi="Times New Roman" w:cs="Times New Roman"/>
          <w:sz w:val="24"/>
          <w:szCs w:val="24"/>
        </w:rPr>
        <w:t xml:space="preserve">These </w:t>
      </w:r>
      <w:r w:rsidR="00724DEC" w:rsidRPr="003676D3">
        <w:rPr>
          <w:rFonts w:ascii="Times New Roman" w:hAnsi="Times New Roman" w:cs="Times New Roman"/>
          <w:sz w:val="24"/>
          <w:szCs w:val="24"/>
        </w:rPr>
        <w:lastRenderedPageBreak/>
        <w:t>databases were explored with</w:t>
      </w:r>
      <w:r w:rsidR="008E437B" w:rsidRPr="003676D3">
        <w:rPr>
          <w:rFonts w:ascii="Times New Roman" w:hAnsi="Times New Roman" w:cs="Times New Roman"/>
          <w:sz w:val="24"/>
          <w:szCs w:val="24"/>
        </w:rPr>
        <w:t xml:space="preserve"> Boolean search operators for </w:t>
      </w:r>
      <w:r w:rsidR="00724DEC" w:rsidRPr="003676D3">
        <w:rPr>
          <w:rFonts w:ascii="Times New Roman" w:hAnsi="Times New Roman" w:cs="Times New Roman"/>
          <w:sz w:val="24"/>
          <w:szCs w:val="24"/>
        </w:rPr>
        <w:t xml:space="preserve">key words </w:t>
      </w:r>
      <w:r w:rsidR="008E437B" w:rsidRPr="003676D3">
        <w:rPr>
          <w:rFonts w:ascii="Times New Roman" w:hAnsi="Times New Roman" w:cs="Times New Roman"/>
          <w:sz w:val="24"/>
          <w:szCs w:val="24"/>
        </w:rPr>
        <w:t xml:space="preserve">“Virtual Power Plants”, “innovation”, “Energy Transaction”, “regulatory affairs”, “policy”, “Technologies”, “AI”, “IoT”, “Metaverse”, and “Blockchain” </w:t>
      </w:r>
      <w:r w:rsidR="0092012F" w:rsidRPr="003676D3">
        <w:rPr>
          <w:rFonts w:ascii="Times New Roman" w:hAnsi="Times New Roman" w:cs="Times New Roman"/>
          <w:sz w:val="24"/>
          <w:szCs w:val="24"/>
        </w:rPr>
        <w:t>etc.</w:t>
      </w:r>
      <w:r w:rsidR="008E437B" w:rsidRPr="003676D3">
        <w:rPr>
          <w:rFonts w:ascii="Times New Roman" w:hAnsi="Times New Roman" w:cs="Times New Roman"/>
          <w:sz w:val="24"/>
          <w:szCs w:val="24"/>
        </w:rPr>
        <w:t xml:space="preserve"> in combination with “Super Smart Grid”, “Smart Grid”, and “European Countries”.</w:t>
      </w:r>
    </w:p>
    <w:p w14:paraId="0CF66851" w14:textId="3C39B616" w:rsidR="00970A38" w:rsidRDefault="004B1918" w:rsidP="00401836">
      <w:pPr>
        <w:pStyle w:val="Caption"/>
        <w:keepNext/>
        <w:spacing w:line="276" w:lineRule="auto"/>
        <w:jc w:val="center"/>
        <w:rPr>
          <w:rFonts w:ascii="Times New Roman" w:hAnsi="Times New Roman" w:cs="Times New Roman"/>
          <w:b/>
          <w:bCs/>
          <w:i w:val="0"/>
          <w:iCs w:val="0"/>
          <w:color w:val="auto"/>
          <w:sz w:val="20"/>
          <w:szCs w:val="20"/>
        </w:rPr>
      </w:pPr>
      <w:bookmarkStart w:id="1" w:name="_Ref168034397"/>
      <w:r w:rsidRPr="003676D3">
        <w:rPr>
          <w:rFonts w:ascii="Times New Roman" w:hAnsi="Times New Roman" w:cs="Times New Roman"/>
          <w:noProof/>
          <w:lang w:eastAsia="en-GB"/>
        </w:rPr>
        <w:drawing>
          <wp:inline distT="0" distB="0" distL="0" distR="0" wp14:anchorId="58A70E7D" wp14:editId="1BE3A39C">
            <wp:extent cx="5422900" cy="6654165"/>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low chart3.png"/>
                    <pic:cNvPicPr/>
                  </pic:nvPicPr>
                  <pic:blipFill>
                    <a:blip r:embed="rId12">
                      <a:extLst>
                        <a:ext uri="{28A0092B-C50C-407E-A947-70E740481C1C}">
                          <a14:useLocalDpi xmlns:a14="http://schemas.microsoft.com/office/drawing/2010/main" val="0"/>
                        </a:ext>
                      </a:extLst>
                    </a:blip>
                    <a:stretch>
                      <a:fillRect/>
                    </a:stretch>
                  </pic:blipFill>
                  <pic:spPr>
                    <a:xfrm>
                      <a:off x="0" y="0"/>
                      <a:ext cx="5422900" cy="6654165"/>
                    </a:xfrm>
                    <a:prstGeom prst="rect">
                      <a:avLst/>
                    </a:prstGeom>
                  </pic:spPr>
                </pic:pic>
              </a:graphicData>
            </a:graphic>
          </wp:inline>
        </w:drawing>
      </w:r>
      <w:bookmarkEnd w:id="1"/>
    </w:p>
    <w:p w14:paraId="5E9A983A" w14:textId="77777777" w:rsidR="004B1918" w:rsidRPr="006C31FB" w:rsidRDefault="004B1918" w:rsidP="004B1918">
      <w:pPr>
        <w:pStyle w:val="Caption"/>
        <w:jc w:val="center"/>
        <w:rPr>
          <w:rFonts w:asciiTheme="majorBidi" w:hAnsiTheme="majorBidi" w:cstheme="majorBidi"/>
          <w:b/>
          <w:bCs/>
          <w:i w:val="0"/>
          <w:iCs w:val="0"/>
          <w:noProof/>
          <w:color w:val="auto"/>
          <w:sz w:val="20"/>
          <w:szCs w:val="20"/>
        </w:rPr>
      </w:pPr>
      <w:bookmarkStart w:id="2" w:name="_Ref168034247"/>
      <w:r w:rsidRPr="006C31FB">
        <w:rPr>
          <w:rFonts w:asciiTheme="majorBidi" w:hAnsiTheme="majorBidi" w:cstheme="majorBidi"/>
          <w:b/>
          <w:bCs/>
          <w:i w:val="0"/>
          <w:iCs w:val="0"/>
          <w:color w:val="auto"/>
          <w:sz w:val="20"/>
          <w:szCs w:val="20"/>
        </w:rPr>
        <w:t xml:space="preserve">Figure </w:t>
      </w:r>
      <w:r w:rsidRPr="006C31FB">
        <w:rPr>
          <w:rFonts w:asciiTheme="majorBidi" w:hAnsiTheme="majorBidi" w:cstheme="majorBidi"/>
          <w:b/>
          <w:bCs/>
          <w:i w:val="0"/>
          <w:iCs w:val="0"/>
          <w:color w:val="auto"/>
          <w:sz w:val="20"/>
          <w:szCs w:val="20"/>
        </w:rPr>
        <w:fldChar w:fldCharType="begin"/>
      </w:r>
      <w:r w:rsidRPr="006C31FB">
        <w:rPr>
          <w:rFonts w:asciiTheme="majorBidi" w:hAnsiTheme="majorBidi" w:cstheme="majorBidi"/>
          <w:b/>
          <w:bCs/>
          <w:i w:val="0"/>
          <w:iCs w:val="0"/>
          <w:color w:val="auto"/>
          <w:sz w:val="20"/>
          <w:szCs w:val="20"/>
        </w:rPr>
        <w:instrText xml:space="preserve"> SEQ Figure \* ARABIC </w:instrText>
      </w:r>
      <w:r w:rsidRPr="006C31FB">
        <w:rPr>
          <w:rFonts w:asciiTheme="majorBidi" w:hAnsiTheme="majorBidi" w:cstheme="majorBidi"/>
          <w:b/>
          <w:bCs/>
          <w:i w:val="0"/>
          <w:iCs w:val="0"/>
          <w:color w:val="auto"/>
          <w:sz w:val="20"/>
          <w:szCs w:val="20"/>
        </w:rPr>
        <w:fldChar w:fldCharType="separate"/>
      </w:r>
      <w:r>
        <w:rPr>
          <w:rFonts w:asciiTheme="majorBidi" w:hAnsiTheme="majorBidi" w:cstheme="majorBidi"/>
          <w:b/>
          <w:bCs/>
          <w:i w:val="0"/>
          <w:iCs w:val="0"/>
          <w:noProof/>
          <w:color w:val="auto"/>
          <w:sz w:val="20"/>
          <w:szCs w:val="20"/>
        </w:rPr>
        <w:t>1</w:t>
      </w:r>
      <w:r w:rsidRPr="006C31FB">
        <w:rPr>
          <w:rFonts w:asciiTheme="majorBidi" w:hAnsiTheme="majorBidi" w:cstheme="majorBidi"/>
          <w:b/>
          <w:bCs/>
          <w:i w:val="0"/>
          <w:iCs w:val="0"/>
          <w:color w:val="auto"/>
          <w:sz w:val="20"/>
          <w:szCs w:val="20"/>
        </w:rPr>
        <w:fldChar w:fldCharType="end"/>
      </w:r>
      <w:bookmarkEnd w:id="2"/>
      <w:r w:rsidRPr="006C31FB">
        <w:rPr>
          <w:rFonts w:asciiTheme="majorBidi" w:hAnsiTheme="majorBidi" w:cstheme="majorBidi"/>
          <w:b/>
          <w:bCs/>
          <w:i w:val="0"/>
          <w:iCs w:val="0"/>
          <w:color w:val="auto"/>
          <w:sz w:val="20"/>
          <w:szCs w:val="20"/>
        </w:rPr>
        <w:t>. Flow Chart for this review paper.</w:t>
      </w:r>
    </w:p>
    <w:p w14:paraId="05A323A1" w14:textId="77777777" w:rsidR="004B1918" w:rsidRPr="004B1918" w:rsidRDefault="004B1918" w:rsidP="004B1918"/>
    <w:p w14:paraId="38CB7BB6" w14:textId="77777777" w:rsidR="00970A38" w:rsidRPr="003676D3" w:rsidRDefault="00970A38" w:rsidP="003676D3">
      <w:pPr>
        <w:spacing w:line="276" w:lineRule="auto"/>
        <w:jc w:val="both"/>
        <w:rPr>
          <w:rFonts w:ascii="Times New Roman" w:hAnsi="Times New Roman" w:cs="Times New Roman"/>
        </w:rPr>
      </w:pPr>
    </w:p>
    <w:p w14:paraId="7CC9A125" w14:textId="71943745" w:rsidR="00970A38" w:rsidRPr="003676D3" w:rsidRDefault="005F75B8" w:rsidP="003676D3">
      <w:pPr>
        <w:spacing w:line="276" w:lineRule="auto"/>
        <w:jc w:val="both"/>
        <w:rPr>
          <w:rFonts w:ascii="Times New Roman" w:hAnsi="Times New Roman" w:cs="Times New Roman"/>
          <w:sz w:val="24"/>
          <w:szCs w:val="24"/>
        </w:rPr>
      </w:pPr>
      <w:r w:rsidRPr="003676D3">
        <w:rPr>
          <w:rFonts w:ascii="Times New Roman" w:hAnsi="Times New Roman" w:cs="Times New Roman"/>
          <w:b/>
          <w:bCs/>
          <w:sz w:val="24"/>
          <w:szCs w:val="24"/>
        </w:rPr>
        <w:lastRenderedPageBreak/>
        <w:t>Inclusion-exclusion criteria</w:t>
      </w:r>
      <w:r w:rsidRPr="003676D3">
        <w:rPr>
          <w:rFonts w:ascii="Times New Roman" w:hAnsi="Times New Roman" w:cs="Times New Roman"/>
          <w:sz w:val="24"/>
          <w:szCs w:val="24"/>
        </w:rPr>
        <w:t xml:space="preserve">: </w:t>
      </w:r>
      <w:r w:rsidR="00970A38" w:rsidRPr="003676D3">
        <w:rPr>
          <w:rFonts w:ascii="Times New Roman" w:hAnsi="Times New Roman" w:cs="Times New Roman"/>
          <w:sz w:val="24"/>
          <w:szCs w:val="24"/>
        </w:rPr>
        <w:t xml:space="preserve">In the initial search, more than 500 journal publications, reports, website links and articles were found. The paper theme and parameters served as the key exclusion criteria. A few resources referring to power electronics and grid integration techniques related to renewable resources were excluded. Other excluded articles discussed microgrids and energy markets, which were not in the scope of this article. Moreover, some blog posts and website pages excluded because of the questionable validity of their origin. </w:t>
      </w:r>
    </w:p>
    <w:p w14:paraId="255D42F3" w14:textId="1F9FC8AA" w:rsidR="00970A38" w:rsidRPr="003676D3" w:rsidRDefault="00970A38"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This review paper is structured as follows. Section 3 presents the European power grid transition from smart grid to super smart grid. It also includes the novel techniques for energy transaction among various stakeholders in a super smart grid. Section 4 explains the regulatory framework and policy interventions pertinent to super smart grid. In Section 5, State of the art enabling technologies are discussed in detail. This section also presents the challenges associated with the uptake of super smart grid. Finally, the study concludes with Section 6 with discussion on emerging challenges with super smart grid and potential solutions as well as proposing suggestions for future research.</w:t>
      </w:r>
    </w:p>
    <w:p w14:paraId="05DE3833" w14:textId="7F112F41" w:rsidR="00970A38" w:rsidRPr="003676D3" w:rsidRDefault="00970A38" w:rsidP="00401836">
      <w:pPr>
        <w:spacing w:line="276" w:lineRule="auto"/>
        <w:jc w:val="center"/>
        <w:rPr>
          <w:rFonts w:ascii="Times New Roman" w:hAnsi="Times New Roman" w:cs="Times New Roman"/>
          <w:sz w:val="24"/>
          <w:szCs w:val="24"/>
        </w:rPr>
      </w:pPr>
      <w:r w:rsidRPr="003676D3">
        <w:rPr>
          <w:rFonts w:ascii="Times New Roman" w:hAnsi="Times New Roman" w:cs="Times New Roman"/>
          <w:b/>
          <w:bCs/>
          <w:sz w:val="20"/>
          <w:szCs w:val="20"/>
        </w:rPr>
        <w:t xml:space="preserve">Table </w:t>
      </w:r>
      <w:r w:rsidRPr="003676D3">
        <w:rPr>
          <w:rFonts w:ascii="Times New Roman" w:hAnsi="Times New Roman" w:cs="Times New Roman"/>
          <w:b/>
          <w:bCs/>
          <w:sz w:val="20"/>
          <w:szCs w:val="20"/>
        </w:rPr>
        <w:fldChar w:fldCharType="begin"/>
      </w:r>
      <w:r w:rsidRPr="003676D3">
        <w:rPr>
          <w:rFonts w:ascii="Times New Roman" w:hAnsi="Times New Roman" w:cs="Times New Roman"/>
          <w:b/>
          <w:bCs/>
          <w:sz w:val="20"/>
          <w:szCs w:val="20"/>
        </w:rPr>
        <w:instrText xml:space="preserve"> SEQ Table \* ARABIC </w:instrText>
      </w:r>
      <w:r w:rsidRPr="003676D3">
        <w:rPr>
          <w:rFonts w:ascii="Times New Roman" w:hAnsi="Times New Roman" w:cs="Times New Roman"/>
          <w:b/>
          <w:bCs/>
          <w:sz w:val="20"/>
          <w:szCs w:val="20"/>
        </w:rPr>
        <w:fldChar w:fldCharType="separate"/>
      </w:r>
      <w:r w:rsidR="008D1E2C" w:rsidRPr="003676D3">
        <w:rPr>
          <w:rFonts w:ascii="Times New Roman" w:hAnsi="Times New Roman" w:cs="Times New Roman"/>
          <w:b/>
          <w:bCs/>
          <w:noProof/>
          <w:sz w:val="20"/>
          <w:szCs w:val="20"/>
        </w:rPr>
        <w:t>1</w:t>
      </w:r>
      <w:r w:rsidRPr="003676D3">
        <w:rPr>
          <w:rFonts w:ascii="Times New Roman" w:hAnsi="Times New Roman" w:cs="Times New Roman"/>
          <w:b/>
          <w:bCs/>
          <w:sz w:val="20"/>
          <w:szCs w:val="20"/>
        </w:rPr>
        <w:fldChar w:fldCharType="end"/>
      </w:r>
      <w:r w:rsidRPr="003676D3">
        <w:rPr>
          <w:rFonts w:ascii="Times New Roman" w:hAnsi="Times New Roman" w:cs="Times New Roman"/>
          <w:b/>
          <w:bCs/>
          <w:sz w:val="20"/>
          <w:szCs w:val="20"/>
        </w:rPr>
        <w:t>. Comparison of this study with available literature</w:t>
      </w:r>
    </w:p>
    <w:tbl>
      <w:tblPr>
        <w:tblStyle w:val="GridTable4-Accent1"/>
        <w:tblW w:w="5000" w:type="pct"/>
        <w:tblLook w:val="04A0" w:firstRow="1" w:lastRow="0" w:firstColumn="1" w:lastColumn="0" w:noHBand="0" w:noVBand="1"/>
      </w:tblPr>
      <w:tblGrid>
        <w:gridCol w:w="899"/>
        <w:gridCol w:w="643"/>
        <w:gridCol w:w="1042"/>
        <w:gridCol w:w="1024"/>
        <w:gridCol w:w="926"/>
        <w:gridCol w:w="1006"/>
        <w:gridCol w:w="545"/>
        <w:gridCol w:w="989"/>
        <w:gridCol w:w="980"/>
        <w:gridCol w:w="962"/>
      </w:tblGrid>
      <w:tr w:rsidR="00CC49AF" w:rsidRPr="003676D3" w14:paraId="717496DC" w14:textId="77777777" w:rsidTr="00ED5C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pct"/>
          </w:tcPr>
          <w:p w14:paraId="391EC0CA" w14:textId="77777777" w:rsidR="00970A38" w:rsidRPr="003676D3" w:rsidRDefault="00970A38" w:rsidP="003676D3">
            <w:pPr>
              <w:spacing w:line="276" w:lineRule="auto"/>
              <w:jc w:val="both"/>
              <w:rPr>
                <w:rFonts w:ascii="Times New Roman" w:hAnsi="Times New Roman" w:cs="Times New Roman"/>
                <w:color w:val="auto"/>
                <w:sz w:val="20"/>
                <w:szCs w:val="20"/>
              </w:rPr>
            </w:pPr>
          </w:p>
        </w:tc>
        <w:tc>
          <w:tcPr>
            <w:tcW w:w="934" w:type="pct"/>
            <w:gridSpan w:val="2"/>
          </w:tcPr>
          <w:p w14:paraId="6BD6CB10" w14:textId="77777777" w:rsidR="00970A38" w:rsidRPr="003676D3" w:rsidRDefault="00970A38" w:rsidP="003676D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676D3">
              <w:rPr>
                <w:rFonts w:ascii="Times New Roman" w:hAnsi="Times New Roman" w:cs="Times New Roman"/>
                <w:color w:val="auto"/>
                <w:sz w:val="20"/>
                <w:szCs w:val="20"/>
              </w:rPr>
              <w:t>Technical Aspects</w:t>
            </w:r>
          </w:p>
        </w:tc>
        <w:tc>
          <w:tcPr>
            <w:tcW w:w="568" w:type="pct"/>
          </w:tcPr>
          <w:p w14:paraId="2A39222B" w14:textId="77777777" w:rsidR="00970A38" w:rsidRPr="003676D3" w:rsidRDefault="00970A38" w:rsidP="003676D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676D3">
              <w:rPr>
                <w:rFonts w:ascii="Times New Roman" w:hAnsi="Times New Roman" w:cs="Times New Roman"/>
                <w:color w:val="auto"/>
                <w:sz w:val="20"/>
                <w:szCs w:val="20"/>
              </w:rPr>
              <w:t>Social Aspects</w:t>
            </w:r>
          </w:p>
        </w:tc>
        <w:tc>
          <w:tcPr>
            <w:tcW w:w="2320" w:type="pct"/>
            <w:gridSpan w:val="5"/>
          </w:tcPr>
          <w:p w14:paraId="6CE0A11D" w14:textId="77777777" w:rsidR="00970A38" w:rsidRPr="003676D3" w:rsidRDefault="00970A38" w:rsidP="003676D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676D3">
              <w:rPr>
                <w:rFonts w:ascii="Times New Roman" w:hAnsi="Times New Roman" w:cs="Times New Roman"/>
                <w:color w:val="auto"/>
                <w:sz w:val="20"/>
                <w:szCs w:val="20"/>
              </w:rPr>
              <w:t>Enabling Technologies</w:t>
            </w:r>
          </w:p>
        </w:tc>
        <w:tc>
          <w:tcPr>
            <w:tcW w:w="679" w:type="pct"/>
          </w:tcPr>
          <w:p w14:paraId="0091B90B" w14:textId="77777777" w:rsidR="00970A38" w:rsidRPr="003676D3" w:rsidRDefault="00970A38" w:rsidP="003676D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676D3">
              <w:rPr>
                <w:rFonts w:ascii="Times New Roman" w:hAnsi="Times New Roman" w:cs="Times New Roman"/>
                <w:color w:val="auto"/>
                <w:sz w:val="20"/>
                <w:szCs w:val="20"/>
              </w:rPr>
              <w:t xml:space="preserve">Socio-technical </w:t>
            </w:r>
          </w:p>
        </w:tc>
      </w:tr>
      <w:tr w:rsidR="00ED5CE9" w:rsidRPr="003676D3" w14:paraId="3C498195" w14:textId="77777777" w:rsidTr="00ED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pct"/>
          </w:tcPr>
          <w:p w14:paraId="20CC7B26" w14:textId="77777777" w:rsidR="00970A38" w:rsidRPr="003676D3" w:rsidRDefault="00970A38"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Reference</w:t>
            </w:r>
          </w:p>
        </w:tc>
        <w:tc>
          <w:tcPr>
            <w:tcW w:w="357" w:type="pct"/>
          </w:tcPr>
          <w:p w14:paraId="5F9D1E2B"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3676D3">
              <w:rPr>
                <w:rFonts w:ascii="Times New Roman" w:hAnsi="Times New Roman" w:cs="Times New Roman"/>
                <w:b/>
                <w:bCs/>
                <w:sz w:val="20"/>
                <w:szCs w:val="20"/>
              </w:rPr>
              <w:t>Super Smart Grid</w:t>
            </w:r>
          </w:p>
        </w:tc>
        <w:tc>
          <w:tcPr>
            <w:tcW w:w="578" w:type="pct"/>
          </w:tcPr>
          <w:p w14:paraId="299B4EC2"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3676D3">
              <w:rPr>
                <w:rFonts w:ascii="Times New Roman" w:hAnsi="Times New Roman" w:cs="Times New Roman"/>
                <w:b/>
                <w:bCs/>
                <w:sz w:val="20"/>
                <w:szCs w:val="20"/>
              </w:rPr>
              <w:t>Energy Transaction</w:t>
            </w:r>
          </w:p>
        </w:tc>
        <w:tc>
          <w:tcPr>
            <w:tcW w:w="568" w:type="pct"/>
          </w:tcPr>
          <w:p w14:paraId="46293AF9"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3676D3">
              <w:rPr>
                <w:rFonts w:ascii="Times New Roman" w:hAnsi="Times New Roman" w:cs="Times New Roman"/>
                <w:b/>
                <w:bCs/>
                <w:sz w:val="20"/>
                <w:szCs w:val="20"/>
              </w:rPr>
              <w:t>Regulations and Policies</w:t>
            </w:r>
          </w:p>
        </w:tc>
        <w:tc>
          <w:tcPr>
            <w:tcW w:w="514" w:type="pct"/>
          </w:tcPr>
          <w:p w14:paraId="36C83BC6"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3676D3">
              <w:rPr>
                <w:rFonts w:ascii="Times New Roman" w:hAnsi="Times New Roman" w:cs="Times New Roman"/>
                <w:b/>
                <w:bCs/>
                <w:sz w:val="20"/>
                <w:szCs w:val="20"/>
              </w:rPr>
              <w:t>Metaverse and Digital Twin</w:t>
            </w:r>
          </w:p>
        </w:tc>
        <w:tc>
          <w:tcPr>
            <w:tcW w:w="558" w:type="pct"/>
          </w:tcPr>
          <w:p w14:paraId="3AA9E230"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3676D3">
              <w:rPr>
                <w:rFonts w:ascii="Times New Roman" w:hAnsi="Times New Roman" w:cs="Times New Roman"/>
                <w:b/>
                <w:bCs/>
                <w:sz w:val="20"/>
                <w:szCs w:val="20"/>
              </w:rPr>
              <w:t>Artificial Intelligence</w:t>
            </w:r>
          </w:p>
        </w:tc>
        <w:tc>
          <w:tcPr>
            <w:tcW w:w="302" w:type="pct"/>
          </w:tcPr>
          <w:p w14:paraId="22571B50"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3676D3">
              <w:rPr>
                <w:rFonts w:ascii="Times New Roman" w:hAnsi="Times New Roman" w:cs="Times New Roman"/>
                <w:b/>
                <w:bCs/>
                <w:sz w:val="20"/>
                <w:szCs w:val="20"/>
              </w:rPr>
              <w:t>Big Data</w:t>
            </w:r>
          </w:p>
        </w:tc>
        <w:tc>
          <w:tcPr>
            <w:tcW w:w="548" w:type="pct"/>
          </w:tcPr>
          <w:p w14:paraId="02BF97AB"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3676D3">
              <w:rPr>
                <w:rFonts w:ascii="Times New Roman" w:hAnsi="Times New Roman" w:cs="Times New Roman"/>
                <w:b/>
                <w:bCs/>
                <w:sz w:val="20"/>
                <w:szCs w:val="20"/>
              </w:rPr>
              <w:t>IoT, 5G and Edge Computing</w:t>
            </w:r>
          </w:p>
        </w:tc>
        <w:tc>
          <w:tcPr>
            <w:tcW w:w="398" w:type="pct"/>
          </w:tcPr>
          <w:p w14:paraId="0B2A392A"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3676D3">
              <w:rPr>
                <w:rFonts w:ascii="Times New Roman" w:hAnsi="Times New Roman" w:cs="Times New Roman"/>
                <w:b/>
                <w:bCs/>
                <w:sz w:val="20"/>
                <w:szCs w:val="20"/>
              </w:rPr>
              <w:t>Blockchain</w:t>
            </w:r>
          </w:p>
        </w:tc>
        <w:tc>
          <w:tcPr>
            <w:tcW w:w="679" w:type="pct"/>
          </w:tcPr>
          <w:p w14:paraId="6DDFC305"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3676D3">
              <w:rPr>
                <w:rFonts w:ascii="Times New Roman" w:hAnsi="Times New Roman" w:cs="Times New Roman"/>
                <w:b/>
                <w:bCs/>
                <w:sz w:val="20"/>
                <w:szCs w:val="20"/>
              </w:rPr>
              <w:t>Challenges and Solutions</w:t>
            </w:r>
          </w:p>
        </w:tc>
      </w:tr>
      <w:tr w:rsidR="00CC49AF" w:rsidRPr="003676D3" w14:paraId="7323F1D8" w14:textId="77777777" w:rsidTr="00ED5CE9">
        <w:tc>
          <w:tcPr>
            <w:cnfStyle w:val="001000000000" w:firstRow="0" w:lastRow="0" w:firstColumn="1" w:lastColumn="0" w:oddVBand="0" w:evenVBand="0" w:oddHBand="0" w:evenHBand="0" w:firstRowFirstColumn="0" w:firstRowLastColumn="0" w:lastRowFirstColumn="0" w:lastRowLastColumn="0"/>
            <w:tcW w:w="499" w:type="pct"/>
          </w:tcPr>
          <w:p w14:paraId="6AFCF589" w14:textId="77777777" w:rsidR="00970A38" w:rsidRPr="003676D3" w:rsidRDefault="00970A38"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sz w:val="20"/>
                <w:szCs w:val="20"/>
              </w:rPr>
              <w:fldChar w:fldCharType="begin" w:fldLock="1"/>
            </w:r>
            <w:r w:rsidRPr="003676D3">
              <w:rPr>
                <w:rFonts w:ascii="Times New Roman" w:hAnsi="Times New Roman" w:cs="Times New Roman"/>
                <w:b w:val="0"/>
                <w:bCs w:val="0"/>
                <w:sz w:val="20"/>
                <w:szCs w:val="20"/>
              </w:rPr>
              <w:instrText>ADDIN CSL_CITATION {"citationItems":[{"id":"ITEM-1","itemData":{"DOI":"10.1016/J.JCLEPRO.2021.126877","ISSN":"0959-6526","abstract":"This paper describes a generic methodology to develop mathematical and computational models of different components of the smart grid architecture model (SGAM). The SGAM inspired integrated mathematical modelling will help develop interoperable complex system simulations for integrating different smart grid components, associated communication models for data exchange and software modules, control, estimation, and data analytics functionalities with the business perspectives. This paper is based on the existing component models inspired by SGAM, which provides a holistic view for integrating the models under operational and security constraints. Achievable results and open research problems for the SGAM mapping have also been discussed in these models supporting the interoperability challenges. The models described in this paper can serve as a guideline to design efficient and robust control strategies for smart grids against uncertain loading, generation, and communication constraints, thus optimizing and improving the whole system's performance. Mathematical and computational models of cyber-physical systems have also been discussed along with their potential challenges. Based on the above concepts, unsolved and open challenges in the smart grid control, optimization and data analytics are highlighted.","author":[{"dropping-particle":"","family":"Panda","given":"Deepak Kumar","non-dropping-particle":"","parse-names":false,"suffix":""},{"dropping-particle":"","family":"Das","given":"Saptarshi","non-dropping-particle":"","parse-names":false,"suffix":""}],"container-title":"Journal of Cleaner Production","id":"ITEM-1","issued":{"date-parts":[["2021","6","10"]]},"page":"126877","publisher":"Elsevier","title":"Smart grid architecture model for control, optimization and data analytics of future power networks with more renewable energy","type":"article-journal","volume":"301"},"uris":["http://www.mendeley.com/documents/?uuid=7eb5f307-a2f6-3fd1-b32c-228a64dc3cbf"]}],"mendeley":{"formattedCitation":"[23]","plainTextFormattedCitation":"[23]","previouslyFormattedCitation":"[23]"},"properties":{"noteIndex":0},"schema":"https://github.com/citation-style-language/schema/raw/master/csl-citation.json"}</w:instrText>
            </w:r>
            <w:r w:rsidRPr="003676D3">
              <w:rPr>
                <w:rFonts w:ascii="Times New Roman" w:hAnsi="Times New Roman" w:cs="Times New Roman"/>
                <w:sz w:val="20"/>
                <w:szCs w:val="20"/>
              </w:rPr>
              <w:fldChar w:fldCharType="separate"/>
            </w:r>
            <w:r w:rsidRPr="003676D3">
              <w:rPr>
                <w:rFonts w:ascii="Times New Roman" w:hAnsi="Times New Roman" w:cs="Times New Roman"/>
                <w:b w:val="0"/>
                <w:bCs w:val="0"/>
                <w:noProof/>
                <w:sz w:val="20"/>
                <w:szCs w:val="20"/>
              </w:rPr>
              <w:t>[23]</w:t>
            </w:r>
            <w:r w:rsidRPr="003676D3">
              <w:rPr>
                <w:rFonts w:ascii="Times New Roman" w:hAnsi="Times New Roman" w:cs="Times New Roman"/>
                <w:sz w:val="20"/>
                <w:szCs w:val="20"/>
              </w:rPr>
              <w:fldChar w:fldCharType="end"/>
            </w:r>
          </w:p>
        </w:tc>
        <w:tc>
          <w:tcPr>
            <w:tcW w:w="357" w:type="pct"/>
          </w:tcPr>
          <w:p w14:paraId="056482C2"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78" w:type="pct"/>
          </w:tcPr>
          <w:p w14:paraId="7BF8F4DC"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68" w:type="pct"/>
          </w:tcPr>
          <w:p w14:paraId="18D69875"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514" w:type="pct"/>
          </w:tcPr>
          <w:p w14:paraId="7BA36FC8"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58" w:type="pct"/>
          </w:tcPr>
          <w:p w14:paraId="48043D19"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302" w:type="pct"/>
          </w:tcPr>
          <w:p w14:paraId="65A8C238"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48" w:type="pct"/>
          </w:tcPr>
          <w:p w14:paraId="162FCBE4"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398" w:type="pct"/>
          </w:tcPr>
          <w:p w14:paraId="42ADB2BC"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679" w:type="pct"/>
          </w:tcPr>
          <w:p w14:paraId="1CAEA606"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r>
      <w:tr w:rsidR="00ED5CE9" w:rsidRPr="003676D3" w14:paraId="5D2BC9C2" w14:textId="77777777" w:rsidTr="00ED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pct"/>
          </w:tcPr>
          <w:p w14:paraId="4501D81D" w14:textId="77777777" w:rsidR="00970A38" w:rsidRPr="003676D3" w:rsidRDefault="00970A38"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sz w:val="20"/>
                <w:szCs w:val="20"/>
              </w:rPr>
              <w:fldChar w:fldCharType="begin" w:fldLock="1"/>
            </w:r>
            <w:r w:rsidRPr="003676D3">
              <w:rPr>
                <w:rFonts w:ascii="Times New Roman" w:hAnsi="Times New Roman" w:cs="Times New Roman"/>
                <w:b w:val="0"/>
                <w:bCs w:val="0"/>
                <w:sz w:val="20"/>
                <w:szCs w:val="20"/>
              </w:rPr>
              <w:instrText>ADDIN CSL_CITATION {"citationItems":[{"id":"ITEM-1","itemData":{"DOI":"10.3390/BDCC6020047","ISSN":"2504-2289","abstract":"Smart grids (SG) are electricity grids that communicate with each other, provide reliable information, and enable administrators to operate energy supplies across the country, ensuring optimized reliability and efficiency. The smart grid contains sensors that measure and transmit data to adjust the flow of electricity automatically based on supply/demand, and thus, responding to problems becomes quicker and easier. This also plays a crucial role in controlling carbon emissions, by avoiding energy losses during peak load hours and ensuring optimal energy management. The scope of big data analytics in smart grids is huge, as they collect information from raw data and derive intelligent information from the same. However, these benefits of the smart grid are dependent on the active and voluntary participation of the consumers in real-time. Consumers need to be motivated and conscious to avail themselves of the achievable benefits. Incentivizing the appropriate actor is an absolute necessity to encourage prosumers to generate renewable energy sources (RES) and motivate industries to establish plants that support sustainable and green-energy-based processes or products. The current study emphasizes similar aspects and presents a comprehensive survey of the start-of-the-art contributions pertinent to incentive mechanisms in smart grids, which can be used in smart grids to optimize the power distribution during peak times and also reduce carbon emissions. The various technologies, such as game theory, blockchain, and artificial intelligence, used in implementing incentive mechanisms in smart grids are discussed, followed by different incentive projects being implemented across the globe. The lessons learnt, challenges faced in such implementations, and open issues such as data quality, privacy, security, and pricing related to incentive mechanisms in SG are identified to guide the future scope of research in this sector.","author":[{"dropping-particle":"","family":"Bhattacharya","given":"Sweta","non-dropping-particle":"","parse-names":false,"suffix":""},{"dropping-particle":"","family":"Chengoden","given":"Rajeswari","non-dropping-particle":"","parse-names":false,"suffix":""},{"dropping-particle":"","family":"Srivastava","given":"Gautam","non-dropping-particle":"","parse-names":false,"suffix":""},{"dropping-particle":"","family":"Alazab","given":"Mamoun","non-dropping-particle":"","parse-names":false,"suffix":""},{"dropping-particle":"","family":"Javed","given":"Abdul Rehman","non-dropping-particle":"","parse-names":false,"suffix":""},{"dropping-particle":"","family":"Victor","given":"Nancy","non-dropping-particle":"","parse-names":false,"suffix":""},{"dropping-particle":"","family":"Maddikunta","given":"Praveen Kumar Reddy","non-dropping-particle":"","parse-names":false,"suffix":""},{"dropping-particle":"","family":"Gadekallu","given":"Thippa Reddy","non-dropping-particle":"","parse-names":false,"suffix":""}],"container-title":"Big Data and Cognitive Computing 2022, Vol. 6, Page 47","id":"ITEM-1","issue":"2","issued":{"date-parts":[["2022","4","27"]]},"page":"47","publisher":"Multidisciplinary Digital Publishing Institute","title":"Incentive Mechanisms for Smart Grid: State of the Art, Challenges, Open Issues, Future Directions","type":"article-journal","volume":"6"},"uris":["http://www.mendeley.com/documents/?uuid=a46c14f4-f20b-3372-89e3-9a89c9278d14"]}],"mendeley":{"formattedCitation":"[24]","plainTextFormattedCitation":"[24]","previouslyFormattedCitation":"[24]"},"properties":{"noteIndex":0},"schema":"https://github.com/citation-style-language/schema/raw/master/csl-citation.json"}</w:instrText>
            </w:r>
            <w:r w:rsidRPr="003676D3">
              <w:rPr>
                <w:rFonts w:ascii="Times New Roman" w:hAnsi="Times New Roman" w:cs="Times New Roman"/>
                <w:sz w:val="20"/>
                <w:szCs w:val="20"/>
              </w:rPr>
              <w:fldChar w:fldCharType="separate"/>
            </w:r>
            <w:r w:rsidRPr="003676D3">
              <w:rPr>
                <w:rFonts w:ascii="Times New Roman" w:hAnsi="Times New Roman" w:cs="Times New Roman"/>
                <w:b w:val="0"/>
                <w:bCs w:val="0"/>
                <w:noProof/>
                <w:sz w:val="20"/>
                <w:szCs w:val="20"/>
              </w:rPr>
              <w:t>[24]</w:t>
            </w:r>
            <w:r w:rsidRPr="003676D3">
              <w:rPr>
                <w:rFonts w:ascii="Times New Roman" w:hAnsi="Times New Roman" w:cs="Times New Roman"/>
                <w:sz w:val="20"/>
                <w:szCs w:val="20"/>
              </w:rPr>
              <w:fldChar w:fldCharType="end"/>
            </w:r>
          </w:p>
        </w:tc>
        <w:tc>
          <w:tcPr>
            <w:tcW w:w="357" w:type="pct"/>
          </w:tcPr>
          <w:p w14:paraId="72CCB90F"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78" w:type="pct"/>
          </w:tcPr>
          <w:p w14:paraId="32E45D33"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68" w:type="pct"/>
          </w:tcPr>
          <w:p w14:paraId="7DD844F7"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14" w:type="pct"/>
          </w:tcPr>
          <w:p w14:paraId="6CDAB6F5"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58" w:type="pct"/>
          </w:tcPr>
          <w:p w14:paraId="1DA9BF54"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302" w:type="pct"/>
          </w:tcPr>
          <w:p w14:paraId="141DC9C4"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548" w:type="pct"/>
          </w:tcPr>
          <w:p w14:paraId="55D22C48"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398" w:type="pct"/>
          </w:tcPr>
          <w:p w14:paraId="7AF9BC51"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679" w:type="pct"/>
          </w:tcPr>
          <w:p w14:paraId="59BA5A6C"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r>
      <w:tr w:rsidR="00CC49AF" w:rsidRPr="003676D3" w14:paraId="51343E14" w14:textId="77777777" w:rsidTr="00ED5CE9">
        <w:tc>
          <w:tcPr>
            <w:cnfStyle w:val="001000000000" w:firstRow="0" w:lastRow="0" w:firstColumn="1" w:lastColumn="0" w:oddVBand="0" w:evenVBand="0" w:oddHBand="0" w:evenHBand="0" w:firstRowFirstColumn="0" w:firstRowLastColumn="0" w:lastRowFirstColumn="0" w:lastRowLastColumn="0"/>
            <w:tcW w:w="499" w:type="pct"/>
          </w:tcPr>
          <w:p w14:paraId="73E80039" w14:textId="77777777" w:rsidR="00970A38" w:rsidRPr="003676D3" w:rsidRDefault="00970A38"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sz w:val="20"/>
                <w:szCs w:val="20"/>
              </w:rPr>
              <w:fldChar w:fldCharType="begin" w:fldLock="1"/>
            </w:r>
            <w:r w:rsidRPr="003676D3">
              <w:rPr>
                <w:rFonts w:ascii="Times New Roman" w:hAnsi="Times New Roman" w:cs="Times New Roman"/>
                <w:b w:val="0"/>
                <w:bCs w:val="0"/>
                <w:sz w:val="20"/>
                <w:szCs w:val="20"/>
              </w:rPr>
              <w:instrText>ADDIN CSL_CITATION {"citationItems":[{"id":"ITEM-1","itemData":{"DOI":"10.1016/J.IOT.2023.100884","ISSN":"2542-6605","abstract":"Recent years have witnessed a global trend toward the metaverse. The metaverse is a collection of immersive and interconnected digital spaces in which users can interact through computer-generated environments. As smart cities aim to enhance the experiences of their citizens by improving infrastructure, modernizing government services, increasing accessibility, accelerating economic growth, and promoting sustainability, the metaverse has the potential to significantly revolutionize, reshape, and transform smart cities. In this paper, we discuss how leveraging the metaverse for smart cities can stimulate innovations and bring about major improvements. We discuss the key enabling technologies for the metaverse, along with the premier benefits of adopting this technology and the opportunities it presents for smart city applications. We present ongoing projects and case studies to showcase the practicality of metaverse technology across various industries. Furthermore, we identify and discuss critical research challenges that currently impede the realization of the full potential of the metaverse. Finally, we outline future research directions that can be pursued to further the development of the metaverse and its integration with smart cities.","author":[{"dropping-particle":"","family":"Yaqoob","given":"Ibrar","non-dropping-particle":"","parse-names":false,"suffix":""},{"dropping-particle":"","family":"Salah","given":"Khaled","non-dropping-particle":"","parse-names":false,"suffix":""},{"dropping-particle":"","family":"Jayaraman","given":"Raja","non-dropping-particle":"","parse-names":false,"suffix":""},{"dropping-particle":"","family":"Omar","given":"Mohammed","non-dropping-particle":"","parse-names":false,"suffix":""}],"container-title":"Internet of Things","id":"ITEM-1","issued":{"date-parts":[["2023","10","1"]]},"page":"100884","publisher":"Elsevier","title":"Metaverse applications in smart cities: Enabling technologies, opportunities, challenges, and future directions","type":"article-journal","volume":"23"},"uris":["http://www.mendeley.com/documents/?uuid=804308e3-d7f0-3583-85fd-b8080d27e0fa"]}],"mendeley":{"formattedCitation":"[25]","plainTextFormattedCitation":"[25]","previouslyFormattedCitation":"[25]"},"properties":{"noteIndex":0},"schema":"https://github.com/citation-style-language/schema/raw/master/csl-citation.json"}</w:instrText>
            </w:r>
            <w:r w:rsidRPr="003676D3">
              <w:rPr>
                <w:rFonts w:ascii="Times New Roman" w:hAnsi="Times New Roman" w:cs="Times New Roman"/>
                <w:sz w:val="20"/>
                <w:szCs w:val="20"/>
              </w:rPr>
              <w:fldChar w:fldCharType="separate"/>
            </w:r>
            <w:r w:rsidRPr="003676D3">
              <w:rPr>
                <w:rFonts w:ascii="Times New Roman" w:hAnsi="Times New Roman" w:cs="Times New Roman"/>
                <w:b w:val="0"/>
                <w:bCs w:val="0"/>
                <w:noProof/>
                <w:sz w:val="20"/>
                <w:szCs w:val="20"/>
              </w:rPr>
              <w:t>[25]</w:t>
            </w:r>
            <w:r w:rsidRPr="003676D3">
              <w:rPr>
                <w:rFonts w:ascii="Times New Roman" w:hAnsi="Times New Roman" w:cs="Times New Roman"/>
                <w:sz w:val="20"/>
                <w:szCs w:val="20"/>
              </w:rPr>
              <w:fldChar w:fldCharType="end"/>
            </w:r>
          </w:p>
        </w:tc>
        <w:tc>
          <w:tcPr>
            <w:tcW w:w="357" w:type="pct"/>
          </w:tcPr>
          <w:p w14:paraId="265D885D"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78" w:type="pct"/>
          </w:tcPr>
          <w:p w14:paraId="6D4522C9"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68" w:type="pct"/>
          </w:tcPr>
          <w:p w14:paraId="10547268"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14" w:type="pct"/>
          </w:tcPr>
          <w:p w14:paraId="12B5BD27"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558" w:type="pct"/>
          </w:tcPr>
          <w:p w14:paraId="61262B93"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302" w:type="pct"/>
          </w:tcPr>
          <w:p w14:paraId="10629F44"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48" w:type="pct"/>
          </w:tcPr>
          <w:p w14:paraId="3284A6A8"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398" w:type="pct"/>
          </w:tcPr>
          <w:p w14:paraId="25FA424A"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679" w:type="pct"/>
          </w:tcPr>
          <w:p w14:paraId="0CCDE0C3"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r>
      <w:tr w:rsidR="00ED5CE9" w:rsidRPr="003676D3" w14:paraId="4967942F" w14:textId="77777777" w:rsidTr="00ED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pct"/>
          </w:tcPr>
          <w:p w14:paraId="5C3E69AB" w14:textId="77777777" w:rsidR="00970A38" w:rsidRPr="003676D3" w:rsidRDefault="00970A38"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sz w:val="20"/>
                <w:szCs w:val="20"/>
              </w:rPr>
              <w:fldChar w:fldCharType="begin" w:fldLock="1"/>
            </w:r>
            <w:r w:rsidRPr="003676D3">
              <w:rPr>
                <w:rFonts w:ascii="Times New Roman" w:hAnsi="Times New Roman" w:cs="Times New Roman"/>
                <w:b w:val="0"/>
                <w:bCs w:val="0"/>
                <w:sz w:val="20"/>
                <w:szCs w:val="20"/>
              </w:rPr>
              <w:instrText>ADDIN CSL_CITATION {"citationItems":[{"id":"ITEM-1","itemData":{"DOI":"10.1016/J.ASEJ.2020.05.004","ISSN":"2090-4479","abstract":"With the advancement in technology, there is an immense increase in the demand of electrical energy that has not only become challenge for its production but also its distribution. So this rising demand is growing the complexities of power grids by increasing requirement for greater reliability, efficiency, security and environmental and energy sustainability concerns. These feature in a power grid towards smartness which eventually known as a today's concept of “Smart Grid”. This is a conceptual technique in which all smart features are implemented in order to increase the distribution system of electricity efficient, more reliable and sustainable. In this article an overview of “Smart Grids” with its features and its different aspects on power distribution industry has been presented. It is also explained that how these technologies change and have more potential to evolve and strength the distribution system.","author":[{"dropping-particle":"","family":"Majeed Butt","given":"Osama","non-dropping-particle":"","parse-names":false,"suffix":""},{"dropping-particle":"","family":"Zulqarnain","given":"Muhammad","non-dropping-particle":"","parse-names":false,"suffix":""},{"dropping-particle":"","family":"Majeed Butt","given":"Tallal","non-dropping-particle":"","parse-names":false,"suffix":""}],"container-title":"Ain Shams Engineering Journal","id":"ITEM-1","issue":"1","issued":{"date-parts":[["2021","3","1"]]},"page":"687-695","publisher":"Elsevier","title":"Recent advancement in smart grid technology: Future prospects in the electrical power network","type":"article-journal","volume":"12"},"uris":["http://www.mendeley.com/documents/?uuid=acbfdd79-3998-34b7-8240-6d64f11505f9"]}],"mendeley":{"formattedCitation":"[26]","plainTextFormattedCitation":"[26]","previouslyFormattedCitation":"[26]"},"properties":{"noteIndex":0},"schema":"https://github.com/citation-style-language/schema/raw/master/csl-citation.json"}</w:instrText>
            </w:r>
            <w:r w:rsidRPr="003676D3">
              <w:rPr>
                <w:rFonts w:ascii="Times New Roman" w:hAnsi="Times New Roman" w:cs="Times New Roman"/>
                <w:sz w:val="20"/>
                <w:szCs w:val="20"/>
              </w:rPr>
              <w:fldChar w:fldCharType="separate"/>
            </w:r>
            <w:r w:rsidRPr="003676D3">
              <w:rPr>
                <w:rFonts w:ascii="Times New Roman" w:hAnsi="Times New Roman" w:cs="Times New Roman"/>
                <w:b w:val="0"/>
                <w:bCs w:val="0"/>
                <w:noProof/>
                <w:sz w:val="20"/>
                <w:szCs w:val="20"/>
              </w:rPr>
              <w:t>[26]</w:t>
            </w:r>
            <w:r w:rsidRPr="003676D3">
              <w:rPr>
                <w:rFonts w:ascii="Times New Roman" w:hAnsi="Times New Roman" w:cs="Times New Roman"/>
                <w:sz w:val="20"/>
                <w:szCs w:val="20"/>
              </w:rPr>
              <w:fldChar w:fldCharType="end"/>
            </w:r>
          </w:p>
        </w:tc>
        <w:tc>
          <w:tcPr>
            <w:tcW w:w="357" w:type="pct"/>
          </w:tcPr>
          <w:p w14:paraId="6168AE3E"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78" w:type="pct"/>
          </w:tcPr>
          <w:p w14:paraId="07F17AA9"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68" w:type="pct"/>
          </w:tcPr>
          <w:p w14:paraId="55FB5BB7"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14" w:type="pct"/>
          </w:tcPr>
          <w:p w14:paraId="26FA6FC5"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58" w:type="pct"/>
          </w:tcPr>
          <w:p w14:paraId="709EAECE"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302" w:type="pct"/>
          </w:tcPr>
          <w:p w14:paraId="12A517AA"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548" w:type="pct"/>
          </w:tcPr>
          <w:p w14:paraId="62898DED"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398" w:type="pct"/>
          </w:tcPr>
          <w:p w14:paraId="5216ADA4"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679" w:type="pct"/>
          </w:tcPr>
          <w:p w14:paraId="4B103FAC"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r>
      <w:tr w:rsidR="00CC49AF" w:rsidRPr="003676D3" w14:paraId="55B9CFEF" w14:textId="77777777" w:rsidTr="00ED5CE9">
        <w:tc>
          <w:tcPr>
            <w:cnfStyle w:val="001000000000" w:firstRow="0" w:lastRow="0" w:firstColumn="1" w:lastColumn="0" w:oddVBand="0" w:evenVBand="0" w:oddHBand="0" w:evenHBand="0" w:firstRowFirstColumn="0" w:firstRowLastColumn="0" w:lastRowFirstColumn="0" w:lastRowLastColumn="0"/>
            <w:tcW w:w="499" w:type="pct"/>
          </w:tcPr>
          <w:p w14:paraId="25AC9BBA" w14:textId="77777777" w:rsidR="00970A38" w:rsidRPr="003676D3" w:rsidRDefault="00970A38"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sz w:val="20"/>
                <w:szCs w:val="20"/>
              </w:rPr>
              <w:fldChar w:fldCharType="begin" w:fldLock="1"/>
            </w:r>
            <w:r w:rsidRPr="003676D3">
              <w:rPr>
                <w:rFonts w:ascii="Times New Roman" w:hAnsi="Times New Roman" w:cs="Times New Roman"/>
                <w:b w:val="0"/>
                <w:bCs w:val="0"/>
                <w:sz w:val="20"/>
                <w:szCs w:val="20"/>
              </w:rPr>
              <w:instrText>ADDIN CSL_CITATION {"citationItems":[{"id":"ITEM-1","itemData":{"DOI":"10.1016/J.RSER.2023.113185","ISSN":"1364-0321","abstract":"With its potentially disruptive nature, the smart grid can be viewed from both a transformational and an innovation systems perspective. Synthesising these, a research approach is adopted in which a Technological Innovation System (TIS) analysis is combined with a transformational perspective to identify a broader range of success and failure factors. This study analyses smart grid innovation system development. The main research question is: What systemic and transformational failures are identified in the development of smart grid innovation in the Netherlands from 2001 to 2021 by combining TIS and a transformational perspective? The question is answered by mapping the events to TIS functions and identifying both ‘systemic failures’ and ‘transformational failures’. Transformational failures are linked to events outside the smart grid TIS that work against the alignment and harmonising of activities within the TIS. Results show that the smart grid innovation system experienced three periods and that it suffers from various structural and transformational failures. TIS functions like knowledge diffusion, and the creation of legitimacy were only fulfilled to a limited extent. Consequently, smart grid innovation is currently still not considered a mainstream technology in the energy transition, and there is little attention to the role of end-users. The study ends with suggestions for future research, including the suitability of the research approach for other contexts and when applied to other energy system innovations.","author":[{"dropping-particle":"","family":"Norouzi","given":"F.","non-dropping-particle":"","parse-names":false,"suffix":""},{"dropping-particle":"","family":"Hoppe","given":"T.","non-dropping-particle":"","parse-names":false,"suffix":""},{"dropping-particle":"","family":"Kamp","given":"L. M.","non-dropping-particle":"","parse-names":false,"suffix":""},{"dropping-particle":"","family":"Manktelow","given":"C.","non-dropping-particle":"","parse-names":false,"suffix":""},{"dropping-particle":"","family":"Bauer","given":"P.","non-dropping-particle":"","parse-names":false,"suffix":""}],"container-title":"Renewable and Sustainable Energy Reviews","id":"ITEM-1","issued":{"date-parts":[["2023","4","1"]]},"page":"113185","publisher":"Pergamon","title":"Diagnosis of the implementation of smart grid innovation in The Netherlands and corrective actions","type":"article-journal","volume":"175"},"uris":["http://www.mendeley.com/documents/?uuid=351964e1-9231-342c-9c47-2274e33a90e6"]}],"mendeley":{"formattedCitation":"[18]","plainTextFormattedCitation":"[18]","previouslyFormattedCitation":"[18]"},"properties":{"noteIndex":0},"schema":"https://github.com/citation-style-language/schema/raw/master/csl-citation.json"}</w:instrText>
            </w:r>
            <w:r w:rsidRPr="003676D3">
              <w:rPr>
                <w:rFonts w:ascii="Times New Roman" w:hAnsi="Times New Roman" w:cs="Times New Roman"/>
                <w:sz w:val="20"/>
                <w:szCs w:val="20"/>
              </w:rPr>
              <w:fldChar w:fldCharType="separate"/>
            </w:r>
            <w:r w:rsidRPr="003676D3">
              <w:rPr>
                <w:rFonts w:ascii="Times New Roman" w:hAnsi="Times New Roman" w:cs="Times New Roman"/>
                <w:b w:val="0"/>
                <w:bCs w:val="0"/>
                <w:noProof/>
                <w:sz w:val="20"/>
                <w:szCs w:val="20"/>
              </w:rPr>
              <w:t>[18]</w:t>
            </w:r>
            <w:r w:rsidRPr="003676D3">
              <w:rPr>
                <w:rFonts w:ascii="Times New Roman" w:hAnsi="Times New Roman" w:cs="Times New Roman"/>
                <w:sz w:val="20"/>
                <w:szCs w:val="20"/>
              </w:rPr>
              <w:fldChar w:fldCharType="end"/>
            </w:r>
          </w:p>
        </w:tc>
        <w:tc>
          <w:tcPr>
            <w:tcW w:w="357" w:type="pct"/>
          </w:tcPr>
          <w:p w14:paraId="69DF0170"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78" w:type="pct"/>
          </w:tcPr>
          <w:p w14:paraId="2B4721D8"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68" w:type="pct"/>
          </w:tcPr>
          <w:p w14:paraId="62EA347B"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514" w:type="pct"/>
          </w:tcPr>
          <w:p w14:paraId="4DEC4ACB"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58" w:type="pct"/>
          </w:tcPr>
          <w:p w14:paraId="7CFE2E1A"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302" w:type="pct"/>
          </w:tcPr>
          <w:p w14:paraId="3E3B8BEA"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48" w:type="pct"/>
          </w:tcPr>
          <w:p w14:paraId="0D735C37"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398" w:type="pct"/>
          </w:tcPr>
          <w:p w14:paraId="1DA5530B"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679" w:type="pct"/>
          </w:tcPr>
          <w:p w14:paraId="6A6F9526"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r>
      <w:tr w:rsidR="00ED5CE9" w:rsidRPr="003676D3" w14:paraId="34B712A2" w14:textId="77777777" w:rsidTr="00ED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pct"/>
          </w:tcPr>
          <w:p w14:paraId="546AEAB3" w14:textId="77777777" w:rsidR="00970A38" w:rsidRPr="003676D3" w:rsidRDefault="00970A38"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sz w:val="20"/>
                <w:szCs w:val="20"/>
              </w:rPr>
              <w:fldChar w:fldCharType="begin" w:fldLock="1"/>
            </w:r>
            <w:r w:rsidRPr="003676D3">
              <w:rPr>
                <w:rFonts w:ascii="Times New Roman" w:hAnsi="Times New Roman" w:cs="Times New Roman"/>
                <w:b w:val="0"/>
                <w:bCs w:val="0"/>
                <w:sz w:val="20"/>
                <w:szCs w:val="20"/>
              </w:rPr>
              <w:instrText>ADDIN CSL_CITATION {"citationItems":[{"id":"ITEM-1","itemData":{"DOI":"10.1109/ACCESS.2020.2968402","ISSN":"21693536","abstract":"Prosumer concept and digitilization offer the exciting potential of microgrid transactive energy systems at distribution level for reducing transmission losses, decreasing electric infrastructure expenditure, improving reliability, enhancing local energy use, and minimizing customers' electricity bills. Distributed energy resources, demand response, distributed ledger technologies, and local energy markets are integral parts of transaction energy system for emergence of decentralized smart grid system. Hence, this paper discusses transactive energy concept and proposes seven functional layers architecture for designing transactive energy system. The proposed architecture is compared with practical case study of Brooklyn microgrid. Moreover, this paper reviews the existing architectures and explains the widely known distributed ledger technologies (blockchain, directed acyclic graph, hashgraph, holochain, and tempo) alongwith their advantages and challenges. The local energy market concept is presented and critically analyzed for energy trade within a transactive energy system. This paper also reviews the potential and challenges of peer-to-peer and community-based energy markets. Proposed architecture and analytical review of distributed ledger technologies and local energy markets pave the way for advanced research and industrialization of transactive energy systems.","author":[{"dropping-particle":"","family":"Zia","given":"Muhammad F.","non-dropping-particle":"","parse-names":false,"suffix":""},{"dropping-particle":"","family":"Benbouzid","given":"Mohamed","non-dropping-particle":"","parse-names":false,"suffix":""},{"dropping-particle":"","family":"Elbouchikhi","given":"Elhoussin","non-dropping-particle":"","parse-names":false,"suffix":""},{"dropping-particle":"","family":"Muyeen","given":"S. M.","non-dropping-particle":"","parse-names":false,"suffix":""},{"dropping-particle":"","family":"Techato","given":"Kuaanan","non-dropping-particle":"","parse-names":false,"suffix":""},{"dropping-particle":"","family":"Guerrero","given":"Josep M.","non-dropping-particle":"","parse-names":false,"suffix":""}],"container-title":"IEEE Access","id":"ITEM-1","issued":{"date-parts":[["2020"]]},"page":"19410-19432","publisher":"Institute of Electrical and Electronics Engineers Inc.","title":"Microgrid transactive energy: Review, architectures, distributed ledger technologies, and market analysis","type":"article-journal","volume":"8"},"uris":["http://www.mendeley.com/documents/?uuid=6c65e3da-63ca-36fa-b642-a62d8c75c4b7"]}],"mendeley":{"formattedCitation":"[27]","plainTextFormattedCitation":"[27]","previouslyFormattedCitation":"[27]"},"properties":{"noteIndex":0},"schema":"https://github.com/citation-style-language/schema/raw/master/csl-citation.json"}</w:instrText>
            </w:r>
            <w:r w:rsidRPr="003676D3">
              <w:rPr>
                <w:rFonts w:ascii="Times New Roman" w:hAnsi="Times New Roman" w:cs="Times New Roman"/>
                <w:sz w:val="20"/>
                <w:szCs w:val="20"/>
              </w:rPr>
              <w:fldChar w:fldCharType="separate"/>
            </w:r>
            <w:r w:rsidRPr="003676D3">
              <w:rPr>
                <w:rFonts w:ascii="Times New Roman" w:hAnsi="Times New Roman" w:cs="Times New Roman"/>
                <w:b w:val="0"/>
                <w:bCs w:val="0"/>
                <w:noProof/>
                <w:sz w:val="20"/>
                <w:szCs w:val="20"/>
              </w:rPr>
              <w:t>[27]</w:t>
            </w:r>
            <w:r w:rsidRPr="003676D3">
              <w:rPr>
                <w:rFonts w:ascii="Times New Roman" w:hAnsi="Times New Roman" w:cs="Times New Roman"/>
                <w:sz w:val="20"/>
                <w:szCs w:val="20"/>
              </w:rPr>
              <w:fldChar w:fldCharType="end"/>
            </w:r>
          </w:p>
        </w:tc>
        <w:tc>
          <w:tcPr>
            <w:tcW w:w="357" w:type="pct"/>
          </w:tcPr>
          <w:p w14:paraId="24BABDEE"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78" w:type="pct"/>
          </w:tcPr>
          <w:p w14:paraId="2B151254"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568" w:type="pct"/>
          </w:tcPr>
          <w:p w14:paraId="626CE333"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514" w:type="pct"/>
          </w:tcPr>
          <w:p w14:paraId="06550EB2"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58" w:type="pct"/>
          </w:tcPr>
          <w:p w14:paraId="08217D1D"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302" w:type="pct"/>
          </w:tcPr>
          <w:p w14:paraId="07C968BA"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48" w:type="pct"/>
          </w:tcPr>
          <w:p w14:paraId="54C35AF8"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398" w:type="pct"/>
          </w:tcPr>
          <w:p w14:paraId="6585CD29"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679" w:type="pct"/>
          </w:tcPr>
          <w:p w14:paraId="591C7B67"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r>
      <w:tr w:rsidR="00CC49AF" w:rsidRPr="003676D3" w14:paraId="35520B8A" w14:textId="77777777" w:rsidTr="00ED5CE9">
        <w:tc>
          <w:tcPr>
            <w:cnfStyle w:val="001000000000" w:firstRow="0" w:lastRow="0" w:firstColumn="1" w:lastColumn="0" w:oddVBand="0" w:evenVBand="0" w:oddHBand="0" w:evenHBand="0" w:firstRowFirstColumn="0" w:firstRowLastColumn="0" w:lastRowFirstColumn="0" w:lastRowLastColumn="0"/>
            <w:tcW w:w="499" w:type="pct"/>
          </w:tcPr>
          <w:p w14:paraId="6E52A020" w14:textId="77777777" w:rsidR="00970A38" w:rsidRPr="003676D3" w:rsidRDefault="00970A38"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sz w:val="20"/>
                <w:szCs w:val="20"/>
              </w:rPr>
              <w:fldChar w:fldCharType="begin" w:fldLock="1"/>
            </w:r>
            <w:r w:rsidRPr="003676D3">
              <w:rPr>
                <w:rFonts w:ascii="Times New Roman" w:hAnsi="Times New Roman" w:cs="Times New Roman"/>
                <w:b w:val="0"/>
                <w:bCs w:val="0"/>
                <w:sz w:val="20"/>
                <w:szCs w:val="20"/>
              </w:rPr>
              <w:instrText>ADDIN CSL_CITATION {"citationItems":[{"id":"ITEM-1","itemData":{"DOI":"10.1109/ACCESS.2023.3296152","ISSN":"21693536","abstract":"For a utility company to reduce CO2} emissions along with managing load demands, it must strive for a 100 percent renewable electrical power generation. Europe takes initiatives to achieve this goal by developing a super smart grid (SSG) based on renewable energy resources (RERs) by 2050. The SSG is based on two exclusive alternatives: wide area and decentralized power generation using large number of RERs. Before developing such SSG, there is a need to address the critical issues associated with RERs, i.e., load flow balancing and transients stability. Considering a reliability issue involved with RERs and the random deviations between demand response and generation response patterns, load flow balancing and transient stability become challenging research issues in SSGs. These technical issues are also considered to be more challenging, if an unexpected outage in the form of an occurrence of three phase (L-L-L) faults (TPF) arises in SSGs, due to power quality disturbances. To address this problem, load flow balancing probabilistic modeling is performed in this research paper in order to formulate the complexity of randomness between generation and demand response patterns through transmission network planning (TNP) in the form of a super smart node (SSN) transmission network infrastructure. Moreover, a further optimization in SSN transmission network has been done with the addition of a cooperative control strategies in terms of an integrating vehicle to grid (V2G) technology in SSN transmission network in order to achieve further enhancement in load flow balancing and transient stability in SSGs. Furthermore, as SSGs power infrastructure is based on different clusters, therefore in order to accommodate various clusters for load flow balancing, a continuous spinning reserve (CSRs) probabilistic modeling has also been performed in this paper in terms of its integration in SSN transmission network. Considering above probabilistic analysis, future contingencies are easily predictable, before any kind of disruptive changes arises in a SSGs due an occurrence of a TPF. Moreover, from simulation results as performed in this paper, we can easily verified that our proposed probabilistic algorithm of load flow balancing and transients stability outperforms existing literature work and can also achieved near optimal performance, even for a broad range of variations in load and also in case of an arising of significant power quality disturbances in SSGs due to an…","author":[{"dropping-particle":"","family":"Adnan","given":"Muhammad","non-dropping-particle":"","parse-names":false,"suffix":""},{"dropping-particle":"","family":"Ghadi","given":"Yazeed","non-dropping-particle":"","parse-names":false,"suffix":""},{"dropping-particle":"","family":"Ahmed","given":"Ijaz","non-dropping-particle":"","parse-names":false,"suffix":""},{"dropping-particle":"","family":"Ali","given":"Mansoor","non-dropping-particle":"","parse-names":false,"suffix":""}],"container-title":"IEEE Access","id":"ITEM-1","issued":{"date-parts":[["2023"]]},"page":"77163-77227","publisher":"Institute of Electrical and Electronics Engineers Inc.","title":"Transmission Network Planning in Super Smart Grids: A Survey","type":"article-journal","volume":"11"},"uris":["http://www.mendeley.com/documents/?uuid=613b882a-da3b-37c4-9b98-343e80eed554"]}],"mendeley":{"formattedCitation":"[28]","plainTextFormattedCitation":"[28]","previouslyFormattedCitation":"[28]"},"properties":{"noteIndex":0},"schema":"https://github.com/citation-style-language/schema/raw/master/csl-citation.json"}</w:instrText>
            </w:r>
            <w:r w:rsidRPr="003676D3">
              <w:rPr>
                <w:rFonts w:ascii="Times New Roman" w:hAnsi="Times New Roman" w:cs="Times New Roman"/>
                <w:sz w:val="20"/>
                <w:szCs w:val="20"/>
              </w:rPr>
              <w:fldChar w:fldCharType="separate"/>
            </w:r>
            <w:r w:rsidRPr="003676D3">
              <w:rPr>
                <w:rFonts w:ascii="Times New Roman" w:hAnsi="Times New Roman" w:cs="Times New Roman"/>
                <w:b w:val="0"/>
                <w:bCs w:val="0"/>
                <w:noProof/>
                <w:sz w:val="20"/>
                <w:szCs w:val="20"/>
              </w:rPr>
              <w:t>[28]</w:t>
            </w:r>
            <w:r w:rsidRPr="003676D3">
              <w:rPr>
                <w:rFonts w:ascii="Times New Roman" w:hAnsi="Times New Roman" w:cs="Times New Roman"/>
                <w:sz w:val="20"/>
                <w:szCs w:val="20"/>
              </w:rPr>
              <w:fldChar w:fldCharType="end"/>
            </w:r>
          </w:p>
        </w:tc>
        <w:tc>
          <w:tcPr>
            <w:tcW w:w="357" w:type="pct"/>
          </w:tcPr>
          <w:p w14:paraId="72D5CC34"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578" w:type="pct"/>
          </w:tcPr>
          <w:p w14:paraId="0F07EC57"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68" w:type="pct"/>
          </w:tcPr>
          <w:p w14:paraId="3E028C6A"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14" w:type="pct"/>
          </w:tcPr>
          <w:p w14:paraId="02D18AF0"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58" w:type="pct"/>
          </w:tcPr>
          <w:p w14:paraId="3BCBD727"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302" w:type="pct"/>
          </w:tcPr>
          <w:p w14:paraId="1609D554"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548" w:type="pct"/>
          </w:tcPr>
          <w:p w14:paraId="1249C00D"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398" w:type="pct"/>
          </w:tcPr>
          <w:p w14:paraId="32595F9B"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B"/>
            </w:r>
          </w:p>
        </w:tc>
        <w:tc>
          <w:tcPr>
            <w:tcW w:w="679" w:type="pct"/>
          </w:tcPr>
          <w:p w14:paraId="29B58F95" w14:textId="77777777" w:rsidR="00970A38" w:rsidRPr="003676D3" w:rsidRDefault="00970A3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r>
      <w:tr w:rsidR="00ED5CE9" w:rsidRPr="003676D3" w14:paraId="27A42675" w14:textId="77777777" w:rsidTr="00ED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pct"/>
          </w:tcPr>
          <w:p w14:paraId="279180C1" w14:textId="77777777" w:rsidR="00970A38" w:rsidRPr="003676D3" w:rsidRDefault="00970A38"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b w:val="0"/>
                <w:bCs w:val="0"/>
                <w:sz w:val="20"/>
                <w:szCs w:val="20"/>
              </w:rPr>
              <w:t>This Study</w:t>
            </w:r>
          </w:p>
        </w:tc>
        <w:tc>
          <w:tcPr>
            <w:tcW w:w="357" w:type="pct"/>
          </w:tcPr>
          <w:p w14:paraId="14053ADE"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578" w:type="pct"/>
          </w:tcPr>
          <w:p w14:paraId="27B00674"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568" w:type="pct"/>
          </w:tcPr>
          <w:p w14:paraId="26F465A3"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514" w:type="pct"/>
          </w:tcPr>
          <w:p w14:paraId="08EBDB5C"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558" w:type="pct"/>
          </w:tcPr>
          <w:p w14:paraId="5B4B144A"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302" w:type="pct"/>
          </w:tcPr>
          <w:p w14:paraId="6A5639BD"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548" w:type="pct"/>
          </w:tcPr>
          <w:p w14:paraId="08F20638"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398" w:type="pct"/>
          </w:tcPr>
          <w:p w14:paraId="47E53DCD"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c>
          <w:tcPr>
            <w:tcW w:w="679" w:type="pct"/>
          </w:tcPr>
          <w:p w14:paraId="4080C8CD" w14:textId="77777777" w:rsidR="00970A38" w:rsidRPr="003676D3" w:rsidRDefault="00970A3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sym w:font="Wingdings" w:char="F0FC"/>
            </w:r>
          </w:p>
        </w:tc>
      </w:tr>
    </w:tbl>
    <w:p w14:paraId="6B858845" w14:textId="77777777" w:rsidR="00970A38" w:rsidRPr="003676D3" w:rsidRDefault="00970A38" w:rsidP="003676D3">
      <w:pPr>
        <w:spacing w:line="276" w:lineRule="auto"/>
        <w:jc w:val="both"/>
        <w:rPr>
          <w:rFonts w:ascii="Times New Roman" w:hAnsi="Times New Roman" w:cs="Times New Roman"/>
        </w:rPr>
      </w:pPr>
    </w:p>
    <w:p w14:paraId="02437E83" w14:textId="570C74DC" w:rsidR="008E437B" w:rsidRPr="003676D3" w:rsidRDefault="008E437B" w:rsidP="003676D3">
      <w:pPr>
        <w:pStyle w:val="Heading1"/>
        <w:spacing w:line="276" w:lineRule="auto"/>
        <w:jc w:val="both"/>
        <w:rPr>
          <w:sz w:val="24"/>
          <w:szCs w:val="24"/>
        </w:rPr>
      </w:pPr>
      <w:r w:rsidRPr="003676D3">
        <w:rPr>
          <w:sz w:val="24"/>
          <w:szCs w:val="24"/>
        </w:rPr>
        <w:t>3</w:t>
      </w:r>
      <w:r w:rsidR="00C3384E" w:rsidRPr="003676D3">
        <w:rPr>
          <w:sz w:val="24"/>
          <w:szCs w:val="24"/>
        </w:rPr>
        <w:t>. European Power Grid</w:t>
      </w:r>
    </w:p>
    <w:p w14:paraId="45D5AA27" w14:textId="43658943" w:rsidR="009122EE" w:rsidRPr="003676D3" w:rsidRDefault="009122EE"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Europe</w:t>
      </w:r>
      <w:r w:rsidR="001D6C16" w:rsidRPr="003676D3">
        <w:rPr>
          <w:rFonts w:ascii="Times New Roman" w:hAnsi="Times New Roman" w:cs="Times New Roman"/>
          <w:sz w:val="24"/>
          <w:szCs w:val="24"/>
        </w:rPr>
        <w:t>an power grid is the most</w:t>
      </w:r>
      <w:r w:rsidRPr="003676D3">
        <w:rPr>
          <w:rFonts w:ascii="Times New Roman" w:hAnsi="Times New Roman" w:cs="Times New Roman"/>
          <w:sz w:val="24"/>
          <w:szCs w:val="24"/>
        </w:rPr>
        <w:t xml:space="preserve"> intac</w:t>
      </w:r>
      <w:r w:rsidR="001D6C16" w:rsidRPr="003676D3">
        <w:rPr>
          <w:rFonts w:ascii="Times New Roman" w:hAnsi="Times New Roman" w:cs="Times New Roman"/>
          <w:sz w:val="24"/>
          <w:szCs w:val="24"/>
        </w:rPr>
        <w:t>t and resilient</w:t>
      </w:r>
      <w:r w:rsidRPr="003676D3">
        <w:rPr>
          <w:rFonts w:ascii="Times New Roman" w:hAnsi="Times New Roman" w:cs="Times New Roman"/>
          <w:sz w:val="24"/>
          <w:szCs w:val="24"/>
        </w:rPr>
        <w:t xml:space="preserve"> grids around the world, with fully integrated energy markets. This modernized infrastructure </w:t>
      </w:r>
      <w:r w:rsidR="005F75B8" w:rsidRPr="003676D3">
        <w:rPr>
          <w:rFonts w:ascii="Times New Roman" w:hAnsi="Times New Roman" w:cs="Times New Roman"/>
          <w:sz w:val="24"/>
          <w:szCs w:val="24"/>
        </w:rPr>
        <w:t>ensures</w:t>
      </w:r>
      <w:r w:rsidRPr="003676D3">
        <w:rPr>
          <w:rFonts w:ascii="Times New Roman" w:hAnsi="Times New Roman" w:cs="Times New Roman"/>
          <w:sz w:val="24"/>
          <w:szCs w:val="24"/>
        </w:rPr>
        <w:t xml:space="preserve"> the reliable and inexpensive clean energy for the consumers. However, European Union (EU) is expected to experience a rise in electricity demand by 60% till year 2030.  This high demand is attributed to increasing share of renewable energy (RE) generation, electric vehicles, heating systems, and growing demand for hydrogen production as well as storage. In realistic terms, the grid </w:t>
      </w:r>
      <w:r w:rsidR="005F75B8" w:rsidRPr="003676D3">
        <w:rPr>
          <w:rFonts w:ascii="Times New Roman" w:hAnsi="Times New Roman" w:cs="Times New Roman"/>
          <w:sz w:val="24"/>
          <w:szCs w:val="24"/>
        </w:rPr>
        <w:t>needs</w:t>
      </w:r>
      <w:r w:rsidRPr="003676D3">
        <w:rPr>
          <w:rFonts w:ascii="Times New Roman" w:hAnsi="Times New Roman" w:cs="Times New Roman"/>
          <w:sz w:val="24"/>
          <w:szCs w:val="24"/>
        </w:rPr>
        <w:t xml:space="preserve"> to be more decentralised, flexible and digitalised by the end of the decade. According to European Green Deal</w:t>
      </w:r>
      <w:r w:rsidR="006C31FB" w:rsidRPr="003676D3">
        <w:rPr>
          <w:rFonts w:ascii="Times New Roman" w:hAnsi="Times New Roman" w:cs="Times New Roman"/>
          <w:sz w:val="24"/>
          <w:szCs w:val="24"/>
        </w:rPr>
        <w:t xml:space="preserve"> </w:t>
      </w:r>
      <w:r w:rsidR="006C31FB" w:rsidRPr="003676D3">
        <w:rPr>
          <w:rFonts w:ascii="Times New Roman" w:hAnsi="Times New Roman" w:cs="Times New Roman"/>
          <w:sz w:val="24"/>
          <w:szCs w:val="24"/>
        </w:rPr>
        <w:fldChar w:fldCharType="begin" w:fldLock="1"/>
      </w:r>
      <w:r w:rsidR="006C31FB" w:rsidRPr="003676D3">
        <w:rPr>
          <w:rFonts w:ascii="Times New Roman" w:hAnsi="Times New Roman" w:cs="Times New Roman"/>
          <w:sz w:val="24"/>
          <w:szCs w:val="24"/>
        </w:rPr>
        <w:instrText>ADDIN CSL_CITATION {"citationItems":[{"id":"ITEM-1","itemData":{"URL":"https://commission.europa.eu/strategy-and-policy/priorities-2019-2024/european-green-deal_en","accessed":{"date-parts":[["2024","5","26"]]},"id":"ITEM-1","issued":{"date-parts":[["0"]]},"title":"The European Green Deal - European Commission","type":"webpage"},"uris":["http://www.mendeley.com/documents/?uuid=6769c1eb-e396-35a3-b48e-fde05232b683"]},{"id":"ITEM-2","itemData":{"URL":"https://commission.europa.eu/news/eu-wind-power-action-plan-keep-wind-power-european-success-story-2023-10-24_en","accessed":{"date-parts":[["2024","5","26"]]},"id":"ITEM-2","issued":{"date-parts":[["0"]]},"title":"An EU Wind Power Action Plan to keep wind power a European success story - European Commission","type":"webpage"},"uris":["http://www.mendeley.com/documents/?uuid=09b3f5da-a000-3344-96a0-db262dca9236"]}],"mendeley":{"formattedCitation":"[29,30]","plainTextFormattedCitation":"[29,30]","previouslyFormattedCitation":"[29,30]"},"properties":{"noteIndex":0},"schema":"https://github.com/citation-style-language/schema/raw/master/csl-citation.json"}</w:instrText>
      </w:r>
      <w:r w:rsidR="006C31FB" w:rsidRPr="003676D3">
        <w:rPr>
          <w:rFonts w:ascii="Times New Roman" w:hAnsi="Times New Roman" w:cs="Times New Roman"/>
          <w:sz w:val="24"/>
          <w:szCs w:val="24"/>
        </w:rPr>
        <w:fldChar w:fldCharType="separate"/>
      </w:r>
      <w:r w:rsidR="006C31FB" w:rsidRPr="003676D3">
        <w:rPr>
          <w:rFonts w:ascii="Times New Roman" w:hAnsi="Times New Roman" w:cs="Times New Roman"/>
          <w:noProof/>
          <w:sz w:val="24"/>
          <w:szCs w:val="24"/>
        </w:rPr>
        <w:t>[29,30]</w:t>
      </w:r>
      <w:r w:rsidR="006C31FB" w:rsidRPr="003676D3">
        <w:rPr>
          <w:rFonts w:ascii="Times New Roman" w:hAnsi="Times New Roman" w:cs="Times New Roman"/>
          <w:sz w:val="24"/>
          <w:szCs w:val="24"/>
        </w:rPr>
        <w:fldChar w:fldCharType="end"/>
      </w:r>
      <w:r w:rsidRPr="003676D3">
        <w:rPr>
          <w:rFonts w:ascii="Times New Roman" w:hAnsi="Times New Roman" w:cs="Times New Roman"/>
          <w:sz w:val="24"/>
          <w:szCs w:val="24"/>
        </w:rPr>
        <w:t>,</w:t>
      </w:r>
      <w:r w:rsidR="006C31FB" w:rsidRPr="003676D3">
        <w:rPr>
          <w:rFonts w:ascii="Times New Roman" w:hAnsi="Times New Roman" w:cs="Times New Roman"/>
          <w:sz w:val="24"/>
          <w:szCs w:val="24"/>
        </w:rPr>
        <w:fldChar w:fldCharType="begin" w:fldLock="1"/>
      </w:r>
      <w:r w:rsidR="006C31FB" w:rsidRPr="003676D3">
        <w:rPr>
          <w:rFonts w:ascii="Times New Roman" w:hAnsi="Times New Roman" w:cs="Times New Roman"/>
          <w:sz w:val="24"/>
          <w:szCs w:val="24"/>
        </w:rPr>
        <w:instrText>ADDIN CSL_CITATION {"citationItems":[{"id":"ITEM-1","itemData":{"DOI":"10.1016/J.POLGEO.2023.102925","ISSN":"0962-6298","abstract":"The recent past has seen the proposal of multiple ‘Green New Deals’ across geographies as a means to fight against the climate crisis and ecological breakdown. Of these, the European Green Deal- EGD represents the world's first public commitment to reduce greenhouse gas emissions of at least 55% by 2030 compared to 1990 levels. Because the EGD plans to “transform the EU,” in this paper we examine how it fits within a historical continuum of colonial and neo-colonial relations. We argue that the EGD is the latest discursive strategy for the ‘greening' of empire through four registers: (1) turning ecological crises into profitable opportunities; (2) portraying the EU as a ‘moral’ intervener; (3) building on a ‘green' “will to improve”; and (4) securitizing and consolidating the empire. We find how the EU acts in key policy arenas of diplomacy, trade and investment leading to the ‘greening' of the empire that ensures its continued economic and political leadership while fundamentally maintaining a status quo. We conclude with some reflections on the role of the EU to cede place to other possibilities of building anti-colonial ecologies.","author":[{"dropping-particle":"","family":"Vela Almeida","given":"Diana","non-dropping-particle":"","parse-names":false,"suffix":""},{"dropping-particle":"","family":"Kolinjivadi","given":"Vijay","non-dropping-particle":"","parse-names":false,"suffix":""},{"dropping-particle":"","family":"Ferrando","given":"Tomaso","non-dropping-particle":"","parse-names":false,"suffix":""},{"dropping-particle":"","family":"Roy","given":"Brototi","non-dropping-particle":"","parse-names":false,"suffix":""},{"dropping-particle":"","family":"Herrera","given":"Héctor","non-dropping-particle":"","parse-names":false,"suffix":""},{"dropping-particle":"","family":"Vecchione Gonçalves","given":"Marcela","non-dropping-particle":"","parse-names":false,"suffix":""},{"dropping-particle":"","family":"Hecken","given":"Gert","non-dropping-particle":"Van","parse-names":false,"suffix":""}],"container-title":"Political Geography","id":"ITEM-1","issued":{"date-parts":[["2023","8","1"]]},"page":"102925","publisher":"Pergamon","title":"The “Greening” of Empire: The European Green Deal as the EU first agenda","type":"article-journal","volume":"105"},"uris":["http://www.mendeley.com/documents/?uuid=9a0f1006-f3cd-3ad1-a0ff-8cc84c66493a"]}],"mendeley":{"formattedCitation":"[31]","plainTextFormattedCitation":"[31]","previouslyFormattedCitation":"[31]"},"properties":{"noteIndex":0},"schema":"https://github.com/citation-style-language/schema/raw/master/csl-citation.json"}</w:instrText>
      </w:r>
      <w:r w:rsidR="006C31FB" w:rsidRPr="003676D3">
        <w:rPr>
          <w:rFonts w:ascii="Times New Roman" w:hAnsi="Times New Roman" w:cs="Times New Roman"/>
          <w:sz w:val="24"/>
          <w:szCs w:val="24"/>
        </w:rPr>
        <w:fldChar w:fldCharType="separate"/>
      </w:r>
      <w:r w:rsidR="006C31FB" w:rsidRPr="003676D3">
        <w:rPr>
          <w:rFonts w:ascii="Times New Roman" w:hAnsi="Times New Roman" w:cs="Times New Roman"/>
          <w:noProof/>
          <w:sz w:val="24"/>
          <w:szCs w:val="24"/>
        </w:rPr>
        <w:t>[31]</w:t>
      </w:r>
      <w:r w:rsidR="006C31FB"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upgradation of the conventional grid and increasing the cross-border </w:t>
      </w:r>
      <w:r w:rsidRPr="003676D3">
        <w:rPr>
          <w:rFonts w:ascii="Times New Roman" w:hAnsi="Times New Roman" w:cs="Times New Roman"/>
          <w:sz w:val="24"/>
          <w:szCs w:val="24"/>
        </w:rPr>
        <w:lastRenderedPageBreak/>
        <w:t>transmission capacity requires</w:t>
      </w:r>
      <w:r w:rsidR="005E3DB3" w:rsidRPr="003676D3">
        <w:rPr>
          <w:rFonts w:ascii="Times New Roman" w:hAnsi="Times New Roman" w:cs="Times New Roman"/>
          <w:sz w:val="24"/>
          <w:szCs w:val="24"/>
        </w:rPr>
        <w:t xml:space="preserve"> an</w:t>
      </w:r>
      <w:r w:rsidRPr="003676D3">
        <w:rPr>
          <w:rFonts w:ascii="Times New Roman" w:hAnsi="Times New Roman" w:cs="Times New Roman"/>
          <w:sz w:val="24"/>
          <w:szCs w:val="24"/>
        </w:rPr>
        <w:t xml:space="preserve"> investment of 584 billion euros</w:t>
      </w:r>
      <w:r w:rsidR="006C31FB" w:rsidRPr="003676D3">
        <w:rPr>
          <w:rFonts w:ascii="Times New Roman" w:hAnsi="Times New Roman" w:cs="Times New Roman"/>
          <w:sz w:val="24"/>
          <w:szCs w:val="24"/>
        </w:rPr>
        <w:t xml:space="preserve"> </w:t>
      </w:r>
      <w:r w:rsidR="00F86D67" w:rsidRPr="003676D3">
        <w:rPr>
          <w:rFonts w:ascii="Times New Roman" w:hAnsi="Times New Roman" w:cs="Times New Roman"/>
          <w:sz w:val="24"/>
          <w:szCs w:val="24"/>
        </w:rPr>
        <w:t>, while ENTSO-E projects an investment of 700 billion euros till year 2050</w:t>
      </w:r>
      <w:r w:rsidR="006C31FB" w:rsidRPr="003676D3">
        <w:rPr>
          <w:rFonts w:ascii="Times New Roman" w:hAnsi="Times New Roman" w:cs="Times New Roman"/>
          <w:sz w:val="24"/>
          <w:szCs w:val="24"/>
        </w:rPr>
        <w:t xml:space="preserve"> </w:t>
      </w:r>
      <w:r w:rsidR="006C31FB" w:rsidRPr="003676D3">
        <w:rPr>
          <w:rFonts w:ascii="Times New Roman" w:hAnsi="Times New Roman" w:cs="Times New Roman"/>
          <w:sz w:val="24"/>
          <w:szCs w:val="24"/>
        </w:rPr>
        <w:fldChar w:fldCharType="begin" w:fldLock="1"/>
      </w:r>
      <w:r w:rsidR="006C31FB" w:rsidRPr="003676D3">
        <w:rPr>
          <w:rFonts w:ascii="Times New Roman" w:hAnsi="Times New Roman" w:cs="Times New Roman"/>
          <w:sz w:val="24"/>
          <w:szCs w:val="24"/>
        </w:rPr>
        <w:instrText>ADDIN CSL_CITATION {"citationItems":[{"id":"ITEM-1","itemData":{"URL":"https://www.entsoe.eu/news/2023/11/16/entso-es-recommendations-for-the-announced-eu-grid-action-plan/","accessed":{"date-parts":[["2024","5","26"]]},"id":"ITEM-1","issued":{"date-parts":[["0"]]},"title":"ENTSO-E's Recommendations for the Announced EU Grid Action Plan","type":"webpage"},"uris":["http://www.mendeley.com/documents/?uuid=8cca54e7-6fdb-3eed-ba1e-48d1130293fa"]}],"mendeley":{"formattedCitation":"[32]","plainTextFormattedCitation":"[32]","previouslyFormattedCitation":"[32]"},"properties":{"noteIndex":0},"schema":"https://github.com/citation-style-language/schema/raw/master/csl-citation.json"}</w:instrText>
      </w:r>
      <w:r w:rsidR="006C31FB" w:rsidRPr="003676D3">
        <w:rPr>
          <w:rFonts w:ascii="Times New Roman" w:hAnsi="Times New Roman" w:cs="Times New Roman"/>
          <w:sz w:val="24"/>
          <w:szCs w:val="24"/>
        </w:rPr>
        <w:fldChar w:fldCharType="separate"/>
      </w:r>
      <w:r w:rsidR="006C31FB" w:rsidRPr="003676D3">
        <w:rPr>
          <w:rFonts w:ascii="Times New Roman" w:hAnsi="Times New Roman" w:cs="Times New Roman"/>
          <w:noProof/>
          <w:sz w:val="24"/>
          <w:szCs w:val="24"/>
        </w:rPr>
        <w:t>[32]</w:t>
      </w:r>
      <w:r w:rsidR="006C31FB" w:rsidRPr="003676D3">
        <w:rPr>
          <w:rFonts w:ascii="Times New Roman" w:hAnsi="Times New Roman" w:cs="Times New Roman"/>
          <w:sz w:val="24"/>
          <w:szCs w:val="24"/>
        </w:rPr>
        <w:fldChar w:fldCharType="end"/>
      </w:r>
      <w:r w:rsidR="00F86D67" w:rsidRPr="003676D3">
        <w:rPr>
          <w:rFonts w:ascii="Times New Roman" w:hAnsi="Times New Roman" w:cs="Times New Roman"/>
          <w:sz w:val="24"/>
          <w:szCs w:val="24"/>
        </w:rPr>
        <w:t>.</w:t>
      </w:r>
    </w:p>
    <w:p w14:paraId="30ED78E1" w14:textId="5B03797A" w:rsidR="0079227B" w:rsidRPr="003676D3" w:rsidRDefault="0079227B"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To meet the target of achieving 50-55% energy from RE resources, European Commission (EC) needs to make significant extensions throughout the grid, both at national level as well as transnational level. In this context, the SUSPLAN project</w:t>
      </w:r>
      <w:r w:rsidR="006C31FB" w:rsidRPr="003676D3">
        <w:rPr>
          <w:rFonts w:ascii="Times New Roman" w:hAnsi="Times New Roman" w:cs="Times New Roman"/>
          <w:sz w:val="24"/>
          <w:szCs w:val="24"/>
        </w:rPr>
        <w:t xml:space="preserve"> </w:t>
      </w:r>
      <w:r w:rsidR="006C31FB" w:rsidRPr="003676D3">
        <w:rPr>
          <w:rFonts w:ascii="Times New Roman" w:hAnsi="Times New Roman" w:cs="Times New Roman"/>
          <w:sz w:val="24"/>
          <w:szCs w:val="24"/>
        </w:rPr>
        <w:fldChar w:fldCharType="begin" w:fldLock="1"/>
      </w:r>
      <w:r w:rsidR="000E2E14" w:rsidRPr="003676D3">
        <w:rPr>
          <w:rFonts w:ascii="Times New Roman" w:hAnsi="Times New Roman" w:cs="Times New Roman"/>
          <w:sz w:val="24"/>
          <w:szCs w:val="24"/>
        </w:rPr>
        <w:instrText>ADDIN CSL_CITATION {"citationItems":[{"id":"ITEM-1","itemData":{"DOI":"10.1016/J.ENPOL.2013.11.014","ISSN":"0301-4215","abstract":"As a result of the current international climate change strategy, the European Commission has agreed on ambitious targets to reduce CO2 emissions by more than 80% until 2050 as compared to 1990 levels and to increase the share of renewable energy and improve energy efficiency by 20% until 2020. Under this framework, renewable energy generation has increased considerably in the EU and it is expected to keep growing in the future years. This paper presents long-term strategies for transmission infrastructure development to integrate increasing amounts of renewable generation in the time horizon of 2030-2050. These are part of the outcomes of the SUSPLAN project,11SUSPLAN (PLANning for SUStainability) is a project initiated in 2008, and finished in 2011, under the European Union's 7th Framework Program and sponsored by the Directorate General Transport and Energy (DG-TREN). The sole responsibility for the content of this paper lies with the authors. It does not represent the opinion of the European Commission. The EC is not responsible for any use that may be made of the information contained therein. which focuses on four possible future renewable deployment scenarios in different European regions taking into account the corresponding infrastructure needs, especially electricity and gas grids, both on regional and transnational level. The main objective of the project is the development of guidelines for the integration of renewable energy into future energy infrastructures while taking account of national and regional characteristics. Therefore, the analysis is based on a two-track approach: A transnational modeling exercise (\"top-down\") and in-depth case studies for nine representative European regions (\"bottom-up\"). © 2013 Elsevier Ltd.","author":[{"dropping-particle":"","family":"Boie","given":"Inga","non-dropping-particle":"","parse-names":false,"suffix":""},{"dropping-particle":"","family":"Fernandes","given":"Camila","non-dropping-particle":"","parse-names":false,"suffix":""},{"dropping-particle":"","family":"Frías","given":"Pablo","non-dropping-particle":"","parse-names":false,"suffix":""},{"dropping-particle":"","family":"Klobasa","given":"Marian","non-dropping-particle":"","parse-names":false,"suffix":""}],"container-title":"Energy Policy","id":"ITEM-1","issued":{"date-parts":[["2014","4","1"]]},"page":"170-185","publisher":"Elsevier","title":"Efficient strategies for the integration of renewable energy into future energy infrastructures in Europe – An analysis based on transnational modeling and case studies for nine European regions","type":"article-journal","volume":"67"},"uris":["http://www.mendeley.com/documents/?uuid=edd6b275-1164-3869-b89a-7609571aa6b9"]}],"mendeley":{"formattedCitation":"[33]","plainTextFormattedCitation":"[33]","previouslyFormattedCitation":"[33]"},"properties":{"noteIndex":0},"schema":"https://github.com/citation-style-language/schema/raw/master/csl-citation.json"}</w:instrText>
      </w:r>
      <w:r w:rsidR="006C31FB" w:rsidRPr="003676D3">
        <w:rPr>
          <w:rFonts w:ascii="Times New Roman" w:hAnsi="Times New Roman" w:cs="Times New Roman"/>
          <w:sz w:val="24"/>
          <w:szCs w:val="24"/>
        </w:rPr>
        <w:fldChar w:fldCharType="separate"/>
      </w:r>
      <w:r w:rsidR="006C31FB" w:rsidRPr="003676D3">
        <w:rPr>
          <w:rFonts w:ascii="Times New Roman" w:hAnsi="Times New Roman" w:cs="Times New Roman"/>
          <w:noProof/>
          <w:sz w:val="24"/>
          <w:szCs w:val="24"/>
        </w:rPr>
        <w:t>[33]</w:t>
      </w:r>
      <w:r w:rsidR="006C31FB"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assess the barriers and strategies for RE penetration in nine different European regions. It also evaluates cost and benefit of the modernized infrastructure through economic optimization under various scenarios of RE penetration.</w:t>
      </w:r>
      <w:r w:rsidR="00F86D67" w:rsidRPr="003676D3">
        <w:rPr>
          <w:rFonts w:ascii="Times New Roman" w:hAnsi="Times New Roman" w:cs="Times New Roman"/>
          <w:sz w:val="24"/>
          <w:szCs w:val="24"/>
        </w:rPr>
        <w:t xml:space="preserve"> With reference to EU’s </w:t>
      </w:r>
      <w:r w:rsidR="001B2B30" w:rsidRPr="003676D3">
        <w:rPr>
          <w:rFonts w:ascii="Times New Roman" w:hAnsi="Times New Roman" w:cs="Times New Roman"/>
          <w:sz w:val="24"/>
          <w:szCs w:val="24"/>
        </w:rPr>
        <w:t>Grid Action Plan</w:t>
      </w:r>
      <w:r w:rsidR="006C31FB" w:rsidRPr="003676D3">
        <w:rPr>
          <w:rFonts w:ascii="Times New Roman" w:hAnsi="Times New Roman" w:cs="Times New Roman"/>
          <w:sz w:val="24"/>
          <w:szCs w:val="24"/>
        </w:rPr>
        <w:t xml:space="preserve"> </w:t>
      </w:r>
      <w:r w:rsidR="000E2E14" w:rsidRPr="003676D3">
        <w:rPr>
          <w:rFonts w:ascii="Times New Roman" w:hAnsi="Times New Roman" w:cs="Times New Roman"/>
          <w:sz w:val="24"/>
          <w:szCs w:val="24"/>
        </w:rPr>
        <w:fldChar w:fldCharType="begin" w:fldLock="1"/>
      </w:r>
      <w:r w:rsidR="000E2E14" w:rsidRPr="003676D3">
        <w:rPr>
          <w:rFonts w:ascii="Times New Roman" w:hAnsi="Times New Roman" w:cs="Times New Roman"/>
          <w:sz w:val="24"/>
          <w:szCs w:val="24"/>
        </w:rPr>
        <w:instrText>ADDIN CSL_CITATION {"citationItems":[{"id":"ITEM-1","itemData":{"author":[{"dropping-particle":"","family":"European Comission","given":"","non-dropping-particle":"","parse-names":false,"suffix":""}],"id":"ITEM-1","issued":{"date-parts":[["2023"]]},"title":"Questions and Answers on the EU Action Plan for Grids","type":"report"},"uris":["http://www.mendeley.com/documents/?uuid=e3f590a3-aaff-36c6-9ab1-c7bc0b614845"]},{"id":"ITEM-2","itemData":{"author":[{"dropping-particle":"","family":"Commission","given":"European","non-dropping-particle":"","parse-names":false,"suffix":""}],"id":"ITEM-2","issued":{"date-parts":[["2023"]]},"title":"Actions to accelerate the roll-out of electricity grids","type":"report"},"uris":["http://www.mendeley.com/documents/?uuid=b4e89f16-7659-38f6-a467-d1c174c649d7"]}],"mendeley":{"formattedCitation":"[34,35]","plainTextFormattedCitation":"[34,35]","previouslyFormattedCitation":"[34,35]"},"properties":{"noteIndex":0},"schema":"https://github.com/citation-style-language/schema/raw/master/csl-citation.json"}</w:instrText>
      </w:r>
      <w:r w:rsidR="000E2E14" w:rsidRPr="003676D3">
        <w:rPr>
          <w:rFonts w:ascii="Times New Roman" w:hAnsi="Times New Roman" w:cs="Times New Roman"/>
          <w:sz w:val="24"/>
          <w:szCs w:val="24"/>
        </w:rPr>
        <w:fldChar w:fldCharType="separate"/>
      </w:r>
      <w:r w:rsidR="000E2E14" w:rsidRPr="003676D3">
        <w:rPr>
          <w:rFonts w:ascii="Times New Roman" w:hAnsi="Times New Roman" w:cs="Times New Roman"/>
          <w:noProof/>
          <w:sz w:val="24"/>
          <w:szCs w:val="24"/>
        </w:rPr>
        <w:t>[34,35]</w:t>
      </w:r>
      <w:r w:rsidR="000E2E14" w:rsidRPr="003676D3">
        <w:rPr>
          <w:rFonts w:ascii="Times New Roman" w:hAnsi="Times New Roman" w:cs="Times New Roman"/>
          <w:sz w:val="24"/>
          <w:szCs w:val="24"/>
        </w:rPr>
        <w:fldChar w:fldCharType="end"/>
      </w:r>
      <w:r w:rsidR="001B2B30" w:rsidRPr="003676D3">
        <w:rPr>
          <w:rFonts w:ascii="Times New Roman" w:hAnsi="Times New Roman" w:cs="Times New Roman"/>
          <w:sz w:val="24"/>
          <w:szCs w:val="24"/>
        </w:rPr>
        <w:t xml:space="preserve">, establishing the cross-border linkages for energy transaction is a priority across </w:t>
      </w:r>
      <w:r w:rsidR="00F90B76" w:rsidRPr="003676D3">
        <w:rPr>
          <w:rFonts w:ascii="Times New Roman" w:hAnsi="Times New Roman" w:cs="Times New Roman"/>
          <w:sz w:val="24"/>
          <w:szCs w:val="24"/>
        </w:rPr>
        <w:t>Europe,</w:t>
      </w:r>
      <w:r w:rsidR="001B2B30" w:rsidRPr="003676D3">
        <w:rPr>
          <w:rFonts w:ascii="Times New Roman" w:hAnsi="Times New Roman" w:cs="Times New Roman"/>
          <w:sz w:val="24"/>
          <w:szCs w:val="24"/>
        </w:rPr>
        <w:t xml:space="preserve"> with an extensive transmission grid as its backbone. </w:t>
      </w:r>
    </w:p>
    <w:p w14:paraId="3F2529C2" w14:textId="14198B62" w:rsidR="00E7634E" w:rsidRPr="003676D3" w:rsidRDefault="00A75C9F"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According to the EU Wind Power Action Plan</w:t>
      </w:r>
      <w:r w:rsidR="000E2E14" w:rsidRPr="003676D3">
        <w:rPr>
          <w:rFonts w:ascii="Times New Roman" w:hAnsi="Times New Roman" w:cs="Times New Roman"/>
          <w:sz w:val="24"/>
          <w:szCs w:val="24"/>
        </w:rPr>
        <w:t xml:space="preserve"> </w:t>
      </w:r>
      <w:r w:rsidR="000E2E14" w:rsidRPr="003676D3">
        <w:rPr>
          <w:rFonts w:ascii="Times New Roman" w:hAnsi="Times New Roman" w:cs="Times New Roman"/>
          <w:sz w:val="24"/>
          <w:szCs w:val="24"/>
        </w:rPr>
        <w:fldChar w:fldCharType="begin" w:fldLock="1"/>
      </w:r>
      <w:r w:rsidR="000E2E14" w:rsidRPr="003676D3">
        <w:rPr>
          <w:rFonts w:ascii="Times New Roman" w:hAnsi="Times New Roman" w:cs="Times New Roman"/>
          <w:sz w:val="24"/>
          <w:szCs w:val="24"/>
        </w:rPr>
        <w:instrText>ADDIN CSL_CITATION {"citationItems":[{"id":"ITEM-1","itemData":{"URL":"https://commission.europa.eu/news/eu-wind-power-action-plan-keep-wind-power-european-success-story-2023-10-24_en","accessed":{"date-parts":[["2024","5","26"]]},"id":"ITEM-1","issued":{"date-parts":[["0"]]},"title":"An EU Wind Power Action Plan to keep wind power a European success story - European Commission","type":"webpage"},"uris":["http://www.mendeley.com/documents/?uuid=09b3f5da-a000-3344-96a0-db262dca9236"]},{"id":"ITEM-2","itemData":{"URL":"https://ec.europa.eu/commission/presscorner/detail/e%2Bn/ip_23_5185","accessed":{"date-parts":[["2024","5","26"]]},"id":"ITEM-2","issued":{"date-parts":[["0"]]},"title":"Immediate actions for the European wind power industry","type":"webpage"},"uris":["http://www.mendeley.com/documents/?uuid=185b35ad-8031-307a-b789-f3611e748f4b"]}],"mendeley":{"formattedCitation":"[30,36]","plainTextFormattedCitation":"[30,36]","previouslyFormattedCitation":"[30,36]"},"properties":{"noteIndex":0},"schema":"https://github.com/citation-style-language/schema/raw/master/csl-citation.json"}</w:instrText>
      </w:r>
      <w:r w:rsidR="000E2E14" w:rsidRPr="003676D3">
        <w:rPr>
          <w:rFonts w:ascii="Times New Roman" w:hAnsi="Times New Roman" w:cs="Times New Roman"/>
          <w:sz w:val="24"/>
          <w:szCs w:val="24"/>
        </w:rPr>
        <w:fldChar w:fldCharType="separate"/>
      </w:r>
      <w:r w:rsidR="000E2E14" w:rsidRPr="003676D3">
        <w:rPr>
          <w:rFonts w:ascii="Times New Roman" w:hAnsi="Times New Roman" w:cs="Times New Roman"/>
          <w:noProof/>
          <w:sz w:val="24"/>
          <w:szCs w:val="24"/>
        </w:rPr>
        <w:t>[30,36]</w:t>
      </w:r>
      <w:r w:rsidR="000E2E14"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offshore wind will </w:t>
      </w:r>
      <w:r w:rsidR="001D6C16" w:rsidRPr="003676D3">
        <w:rPr>
          <w:rFonts w:ascii="Times New Roman" w:hAnsi="Times New Roman" w:cs="Times New Roman"/>
          <w:sz w:val="24"/>
          <w:szCs w:val="24"/>
        </w:rPr>
        <w:t>have</w:t>
      </w:r>
      <w:r w:rsidR="00136F81" w:rsidRPr="003676D3">
        <w:rPr>
          <w:rFonts w:ascii="Times New Roman" w:hAnsi="Times New Roman" w:cs="Times New Roman"/>
          <w:sz w:val="24"/>
          <w:szCs w:val="24"/>
        </w:rPr>
        <w:t xml:space="preserve"> a substantial role</w:t>
      </w:r>
      <w:r w:rsidRPr="003676D3">
        <w:rPr>
          <w:rFonts w:ascii="Times New Roman" w:hAnsi="Times New Roman" w:cs="Times New Roman"/>
          <w:sz w:val="24"/>
          <w:szCs w:val="24"/>
        </w:rPr>
        <w:t xml:space="preserve"> in advancing the EU</w:t>
      </w:r>
      <w:r w:rsidR="00136F81" w:rsidRPr="003676D3">
        <w:rPr>
          <w:rFonts w:ascii="Times New Roman" w:hAnsi="Times New Roman" w:cs="Times New Roman"/>
          <w:sz w:val="24"/>
          <w:szCs w:val="24"/>
        </w:rPr>
        <w:t>'s climate and energy objectives</w:t>
      </w:r>
      <w:r w:rsidRPr="003676D3">
        <w:rPr>
          <w:rFonts w:ascii="Times New Roman" w:hAnsi="Times New Roman" w:cs="Times New Roman"/>
          <w:sz w:val="24"/>
          <w:szCs w:val="24"/>
        </w:rPr>
        <w:t xml:space="preserve"> in the coming years. </w:t>
      </w:r>
      <w:r w:rsidR="00136F81" w:rsidRPr="003676D3">
        <w:rPr>
          <w:rFonts w:ascii="Times New Roman" w:hAnsi="Times New Roman" w:cs="Times New Roman"/>
          <w:sz w:val="24"/>
          <w:szCs w:val="24"/>
        </w:rPr>
        <w:t xml:space="preserve">Member States have collaboratively established ambitious targets for offshore </w:t>
      </w:r>
      <w:r w:rsidR="001D6C16" w:rsidRPr="003676D3">
        <w:rPr>
          <w:rFonts w:ascii="Times New Roman" w:hAnsi="Times New Roman" w:cs="Times New Roman"/>
          <w:sz w:val="24"/>
          <w:szCs w:val="24"/>
        </w:rPr>
        <w:t>RE</w:t>
      </w:r>
      <w:r w:rsidR="00136F81" w:rsidRPr="003676D3">
        <w:rPr>
          <w:rFonts w:ascii="Times New Roman" w:hAnsi="Times New Roman" w:cs="Times New Roman"/>
          <w:sz w:val="24"/>
          <w:szCs w:val="24"/>
        </w:rPr>
        <w:t xml:space="preserve"> production by 2050, delineating intermediate milestones for 2030 and 2040 within each of the EU's five maritime basins.</w:t>
      </w:r>
      <w:r w:rsidRPr="003676D3">
        <w:rPr>
          <w:rFonts w:ascii="Times New Roman" w:hAnsi="Times New Roman" w:cs="Times New Roman"/>
          <w:sz w:val="24"/>
          <w:szCs w:val="24"/>
        </w:rPr>
        <w:t xml:space="preserve"> </w:t>
      </w:r>
      <w:r w:rsidR="00BA4352" w:rsidRPr="003676D3">
        <w:rPr>
          <w:rFonts w:ascii="Times New Roman" w:hAnsi="Times New Roman" w:cs="Times New Roman"/>
          <w:sz w:val="24"/>
          <w:szCs w:val="24"/>
        </w:rPr>
        <w:t xml:space="preserve">To achieve the newly established EU objective of having at least 42.5% renewable energy by 2030, with a goal to achieve 45%, necessitates a substantial augmentation in wind installed capacity. This entails a projected surge from 204 GW </w:t>
      </w:r>
      <w:r w:rsidR="001D6C16" w:rsidRPr="003676D3">
        <w:rPr>
          <w:rFonts w:ascii="Times New Roman" w:hAnsi="Times New Roman" w:cs="Times New Roman"/>
          <w:sz w:val="24"/>
          <w:szCs w:val="24"/>
        </w:rPr>
        <w:t>(</w:t>
      </w:r>
      <w:r w:rsidR="00BA4352" w:rsidRPr="003676D3">
        <w:rPr>
          <w:rFonts w:ascii="Times New Roman" w:hAnsi="Times New Roman" w:cs="Times New Roman"/>
          <w:sz w:val="24"/>
          <w:szCs w:val="24"/>
        </w:rPr>
        <w:t xml:space="preserve">in </w:t>
      </w:r>
      <w:r w:rsidR="001D6C16" w:rsidRPr="003676D3">
        <w:rPr>
          <w:rFonts w:ascii="Times New Roman" w:hAnsi="Times New Roman" w:cs="Times New Roman"/>
          <w:sz w:val="24"/>
          <w:szCs w:val="24"/>
        </w:rPr>
        <w:t xml:space="preserve">year </w:t>
      </w:r>
      <w:r w:rsidR="00BA4352" w:rsidRPr="003676D3">
        <w:rPr>
          <w:rFonts w:ascii="Times New Roman" w:hAnsi="Times New Roman" w:cs="Times New Roman"/>
          <w:sz w:val="24"/>
          <w:szCs w:val="24"/>
        </w:rPr>
        <w:t>2022</w:t>
      </w:r>
      <w:r w:rsidR="001D6C16" w:rsidRPr="003676D3">
        <w:rPr>
          <w:rFonts w:ascii="Times New Roman" w:hAnsi="Times New Roman" w:cs="Times New Roman"/>
          <w:sz w:val="24"/>
          <w:szCs w:val="24"/>
        </w:rPr>
        <w:t xml:space="preserve">) to surpass 500 GW (by year </w:t>
      </w:r>
      <w:r w:rsidR="00BA4352" w:rsidRPr="003676D3">
        <w:rPr>
          <w:rFonts w:ascii="Times New Roman" w:hAnsi="Times New Roman" w:cs="Times New Roman"/>
          <w:sz w:val="24"/>
          <w:szCs w:val="24"/>
        </w:rPr>
        <w:t>2030</w:t>
      </w:r>
      <w:r w:rsidR="001D6C16" w:rsidRPr="003676D3">
        <w:rPr>
          <w:rFonts w:ascii="Times New Roman" w:hAnsi="Times New Roman" w:cs="Times New Roman"/>
          <w:sz w:val="24"/>
          <w:szCs w:val="24"/>
        </w:rPr>
        <w:t>)</w:t>
      </w:r>
      <w:r w:rsidR="00BA4352" w:rsidRPr="003676D3">
        <w:rPr>
          <w:rFonts w:ascii="Times New Roman" w:hAnsi="Times New Roman" w:cs="Times New Roman"/>
          <w:sz w:val="24"/>
          <w:szCs w:val="24"/>
        </w:rPr>
        <w:t xml:space="preserve"> just for wind energy.</w:t>
      </w:r>
      <w:r w:rsidRPr="003676D3">
        <w:rPr>
          <w:rFonts w:ascii="Times New Roman" w:hAnsi="Times New Roman" w:cs="Times New Roman"/>
          <w:sz w:val="24"/>
          <w:szCs w:val="24"/>
        </w:rPr>
        <w:t xml:space="preserve"> </w:t>
      </w:r>
    </w:p>
    <w:p w14:paraId="3E0A2EA7" w14:textId="0ECAC0C0" w:rsidR="008E437B" w:rsidRPr="003676D3" w:rsidRDefault="00BA4352"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As of 2022, the cumulative offshore installed capacity in the EU-27 reached 16.3 GW. To address the disparity between the 111 GW pledged by Mem</w:t>
      </w:r>
      <w:r w:rsidR="00A75C9F" w:rsidRPr="003676D3">
        <w:rPr>
          <w:rFonts w:ascii="Times New Roman" w:hAnsi="Times New Roman" w:cs="Times New Roman"/>
          <w:sz w:val="24"/>
          <w:szCs w:val="24"/>
        </w:rPr>
        <w:t xml:space="preserve">ber States and the existing </w:t>
      </w:r>
      <w:r w:rsidRPr="003676D3">
        <w:rPr>
          <w:rFonts w:ascii="Times New Roman" w:hAnsi="Times New Roman" w:cs="Times New Roman"/>
          <w:sz w:val="24"/>
          <w:szCs w:val="24"/>
        </w:rPr>
        <w:t>capac</w:t>
      </w:r>
      <w:r w:rsidR="00A75C9F" w:rsidRPr="003676D3">
        <w:rPr>
          <w:rFonts w:ascii="Times New Roman" w:hAnsi="Times New Roman" w:cs="Times New Roman"/>
          <w:sz w:val="24"/>
          <w:szCs w:val="24"/>
        </w:rPr>
        <w:t xml:space="preserve">ity, the installation rate of about </w:t>
      </w:r>
      <w:r w:rsidRPr="003676D3">
        <w:rPr>
          <w:rFonts w:ascii="Times New Roman" w:hAnsi="Times New Roman" w:cs="Times New Roman"/>
          <w:sz w:val="24"/>
          <w:szCs w:val="24"/>
        </w:rPr>
        <w:t>12 GW</w:t>
      </w:r>
      <w:r w:rsidR="00A75C9F" w:rsidRPr="003676D3">
        <w:rPr>
          <w:rFonts w:ascii="Times New Roman" w:hAnsi="Times New Roman" w:cs="Times New Roman"/>
          <w:sz w:val="24"/>
          <w:szCs w:val="24"/>
        </w:rPr>
        <w:t xml:space="preserve"> annual is required</w:t>
      </w:r>
      <w:r w:rsidRPr="003676D3">
        <w:rPr>
          <w:rFonts w:ascii="Times New Roman" w:hAnsi="Times New Roman" w:cs="Times New Roman"/>
          <w:sz w:val="24"/>
          <w:szCs w:val="24"/>
        </w:rPr>
        <w:t xml:space="preserve"> – a magnitude that exceeds the recent 1.2 GW installed last year by a factor of ten</w:t>
      </w:r>
      <w:r w:rsidR="00A75C9F" w:rsidRPr="003676D3">
        <w:rPr>
          <w:rFonts w:ascii="Times New Roman" w:hAnsi="Times New Roman" w:cs="Times New Roman"/>
          <w:sz w:val="24"/>
          <w:szCs w:val="24"/>
        </w:rPr>
        <w:t xml:space="preserve"> </w:t>
      </w:r>
      <w:r w:rsidR="000E2E14" w:rsidRPr="003676D3">
        <w:rPr>
          <w:rFonts w:ascii="Times New Roman" w:hAnsi="Times New Roman" w:cs="Times New Roman"/>
          <w:sz w:val="24"/>
          <w:szCs w:val="24"/>
        </w:rPr>
        <w:fldChar w:fldCharType="begin" w:fldLock="1"/>
      </w:r>
      <w:r w:rsidR="000E2E14" w:rsidRPr="003676D3">
        <w:rPr>
          <w:rFonts w:ascii="Times New Roman" w:hAnsi="Times New Roman" w:cs="Times New Roman"/>
          <w:sz w:val="24"/>
          <w:szCs w:val="24"/>
        </w:rPr>
        <w:instrText>ADDIN CSL_CITATION {"citationItems":[{"id":"ITEM-1","itemData":{"URL":"https://ec.europa.eu/commission/presscorner/detail/e%2Bn/ip_23_5185","accessed":{"date-parts":[["2024","5","26"]]},"id":"ITEM-1","issued":{"date-parts":[["0"]]},"title":"Immediate actions for the European wind power industry","type":"webpage"},"uris":["http://www.mendeley.com/documents/?uuid=185b35ad-8031-307a-b789-f3611e748f4b"]},{"id":"ITEM-2","itemData":{"URL":"https://www.reuters.com/business/energy/eu-commission-announces-electricity-grid-action-plan-2023-11-28/","accessed":{"date-parts":[["2024","5","31"]]},"id":"ITEM-2","issued":{"date-parts":[["0"]]},"title":"EU Commission announces electricity grid action plan | Reuters","type":"webpage"},"uris":["http://www.mendeley.com/documents/?uuid=9dc80d58-276f-37d7-b8ff-c9cede0ea7d1"]},{"id":"ITEM-3","itemData":{"URL":"https://windeurope.org/newsroom/press-releases/eu-grid-action-plan-will-help-renewables-but-urgent-action-needed-on-excessive-connection-queues/","accessed":{"date-parts":[["2024","5","31"]]},"id":"ITEM-3","issued":{"date-parts":[["0"]]},"title":"EU Grid Action Plan will help renewables, but urgent action needed on excessive connection queues | WindEurope","type":"webpage"},"uris":["http://www.mendeley.com/documents/?uuid=619af09b-e2cf-3acc-b022-1703128d9d2e"]}],"mendeley":{"formattedCitation":"[36–38]","plainTextFormattedCitation":"[36–38]","previouslyFormattedCitation":"[36–38]"},"properties":{"noteIndex":0},"schema":"https://github.com/citation-style-language/schema/raw/master/csl-citation.json"}</w:instrText>
      </w:r>
      <w:r w:rsidR="000E2E14" w:rsidRPr="003676D3">
        <w:rPr>
          <w:rFonts w:ascii="Times New Roman" w:hAnsi="Times New Roman" w:cs="Times New Roman"/>
          <w:sz w:val="24"/>
          <w:szCs w:val="24"/>
        </w:rPr>
        <w:fldChar w:fldCharType="separate"/>
      </w:r>
      <w:r w:rsidR="000E2E14" w:rsidRPr="003676D3">
        <w:rPr>
          <w:rFonts w:ascii="Times New Roman" w:hAnsi="Times New Roman" w:cs="Times New Roman"/>
          <w:noProof/>
          <w:sz w:val="24"/>
          <w:szCs w:val="24"/>
        </w:rPr>
        <w:t>[36–38]</w:t>
      </w:r>
      <w:r w:rsidR="000E2E14" w:rsidRPr="003676D3">
        <w:rPr>
          <w:rFonts w:ascii="Times New Roman" w:hAnsi="Times New Roman" w:cs="Times New Roman"/>
          <w:sz w:val="24"/>
          <w:szCs w:val="24"/>
        </w:rPr>
        <w:fldChar w:fldCharType="end"/>
      </w:r>
      <w:r w:rsidRPr="003676D3">
        <w:rPr>
          <w:rFonts w:ascii="Times New Roman" w:hAnsi="Times New Roman" w:cs="Times New Roman"/>
          <w:sz w:val="24"/>
          <w:szCs w:val="24"/>
        </w:rPr>
        <w:t>.</w:t>
      </w:r>
      <w:r w:rsidR="00A75C9F" w:rsidRPr="003676D3">
        <w:rPr>
          <w:rFonts w:ascii="Times New Roman" w:hAnsi="Times New Roman" w:cs="Times New Roman"/>
          <w:sz w:val="24"/>
          <w:szCs w:val="24"/>
        </w:rPr>
        <w:t xml:space="preserve"> However, this ambitious target comes with an array of challenges among which are highly constrained grid, unfair trade practices and irregular energy markets.</w:t>
      </w:r>
    </w:p>
    <w:p w14:paraId="498F2779" w14:textId="1FB6ACA6" w:rsidR="00E7634E" w:rsidRPr="003676D3" w:rsidRDefault="00A75C9F"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Currently, almost 40% of the EU power grid is more than 40 years old infrastructure and does not support such large penetration of RE. The</w:t>
      </w:r>
      <w:r w:rsidR="005A7176" w:rsidRPr="003676D3">
        <w:rPr>
          <w:rFonts w:ascii="Times New Roman" w:hAnsi="Times New Roman" w:cs="Times New Roman"/>
          <w:sz w:val="24"/>
          <w:szCs w:val="24"/>
        </w:rPr>
        <w:t xml:space="preserve"> conventional grid topology means</w:t>
      </w:r>
      <w:r w:rsidRPr="003676D3">
        <w:rPr>
          <w:rFonts w:ascii="Times New Roman" w:hAnsi="Times New Roman" w:cs="Times New Roman"/>
          <w:sz w:val="24"/>
          <w:szCs w:val="24"/>
        </w:rPr>
        <w:t xml:space="preserve"> concentrated power generation plants having fixed points on the grid, supplying the large load centres only, before stepping down energy at consumer level. </w:t>
      </w:r>
      <w:r w:rsidR="005A7176" w:rsidRPr="003676D3">
        <w:rPr>
          <w:rFonts w:ascii="Times New Roman" w:hAnsi="Times New Roman" w:cs="Times New Roman"/>
          <w:sz w:val="24"/>
          <w:szCs w:val="24"/>
        </w:rPr>
        <w:t xml:space="preserve">With the emergence of distributed RE, this topology has become </w:t>
      </w:r>
      <w:r w:rsidR="00555017" w:rsidRPr="003676D3">
        <w:rPr>
          <w:rFonts w:ascii="Times New Roman" w:hAnsi="Times New Roman" w:cs="Times New Roman"/>
          <w:sz w:val="24"/>
          <w:szCs w:val="24"/>
        </w:rPr>
        <w:t xml:space="preserve">irrelevant and unrealistic. </w:t>
      </w:r>
      <w:r w:rsidRPr="003676D3">
        <w:rPr>
          <w:rFonts w:ascii="Times New Roman" w:hAnsi="Times New Roman" w:cs="Times New Roman"/>
          <w:sz w:val="24"/>
          <w:szCs w:val="24"/>
        </w:rPr>
        <w:t xml:space="preserve">European countries have different energy generation and load patterns. </w:t>
      </w:r>
    </w:p>
    <w:p w14:paraId="29189375" w14:textId="511B5E77" w:rsidR="00A75C9F" w:rsidRPr="003676D3" w:rsidRDefault="00A75C9F"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The future smart grid should be able to allow integration of all regional grids and maintain a balance between such a “system of systems”. An intelligent grid should be able to balance regional surplus and deficits at all </w:t>
      </w:r>
      <w:r w:rsidR="004B1918" w:rsidRPr="003676D3">
        <w:rPr>
          <w:rFonts w:ascii="Times New Roman" w:hAnsi="Times New Roman" w:cs="Times New Roman"/>
          <w:sz w:val="24"/>
          <w:szCs w:val="24"/>
        </w:rPr>
        <w:t>times</w:t>
      </w:r>
      <w:r w:rsidRPr="003676D3">
        <w:rPr>
          <w:rFonts w:ascii="Times New Roman" w:hAnsi="Times New Roman" w:cs="Times New Roman"/>
          <w:sz w:val="24"/>
          <w:szCs w:val="24"/>
        </w:rPr>
        <w:t xml:space="preserve">. </w:t>
      </w:r>
      <w:r w:rsidR="0092012F" w:rsidRPr="003676D3">
        <w:rPr>
          <w:rFonts w:ascii="Times New Roman" w:hAnsi="Times New Roman" w:cs="Times New Roman"/>
          <w:sz w:val="24"/>
          <w:szCs w:val="24"/>
        </w:rPr>
        <w:t>By 2050, a</w:t>
      </w:r>
      <w:r w:rsidR="00E6130F" w:rsidRPr="003676D3">
        <w:rPr>
          <w:rFonts w:ascii="Times New Roman" w:hAnsi="Times New Roman" w:cs="Times New Roman"/>
          <w:sz w:val="24"/>
          <w:szCs w:val="24"/>
        </w:rPr>
        <w:t xml:space="preserve">chieving a 100% </w:t>
      </w:r>
      <w:r w:rsidR="001D6C16" w:rsidRPr="003676D3">
        <w:rPr>
          <w:rFonts w:ascii="Times New Roman" w:hAnsi="Times New Roman" w:cs="Times New Roman"/>
          <w:sz w:val="24"/>
          <w:szCs w:val="24"/>
        </w:rPr>
        <w:t>RE</w:t>
      </w:r>
      <w:r w:rsidR="0092012F" w:rsidRPr="003676D3">
        <w:rPr>
          <w:rFonts w:ascii="Times New Roman" w:hAnsi="Times New Roman" w:cs="Times New Roman"/>
          <w:sz w:val="24"/>
          <w:szCs w:val="24"/>
        </w:rPr>
        <w:t xml:space="preserve"> in Europe</w:t>
      </w:r>
      <w:r w:rsidR="00E6130F" w:rsidRPr="003676D3">
        <w:rPr>
          <w:rFonts w:ascii="Times New Roman" w:hAnsi="Times New Roman" w:cs="Times New Roman"/>
          <w:sz w:val="24"/>
          <w:szCs w:val="24"/>
        </w:rPr>
        <w:t xml:space="preserve"> is economically viable and technically attainable through the implementation of cost-effective, flexible generation methods, enhanced energy storage solutions, and increased connectivity in transmission networks</w:t>
      </w:r>
      <w:r w:rsidR="000E2E14" w:rsidRPr="003676D3">
        <w:rPr>
          <w:rFonts w:ascii="Times New Roman" w:hAnsi="Times New Roman" w:cs="Times New Roman"/>
          <w:sz w:val="24"/>
          <w:szCs w:val="24"/>
        </w:rPr>
        <w:t xml:space="preserve"> </w:t>
      </w:r>
      <w:r w:rsidR="000E2E14" w:rsidRPr="003676D3">
        <w:rPr>
          <w:rFonts w:ascii="Times New Roman" w:hAnsi="Times New Roman" w:cs="Times New Roman"/>
          <w:sz w:val="24"/>
          <w:szCs w:val="24"/>
        </w:rPr>
        <w:fldChar w:fldCharType="begin" w:fldLock="1"/>
      </w:r>
      <w:r w:rsidR="000E2E14" w:rsidRPr="003676D3">
        <w:rPr>
          <w:rFonts w:ascii="Times New Roman" w:hAnsi="Times New Roman" w:cs="Times New Roman"/>
          <w:sz w:val="24"/>
          <w:szCs w:val="24"/>
        </w:rPr>
        <w:instrText>ADDIN CSL_CITATION {"citationItems":[{"id":"ITEM-1","itemData":{"DOI":"10.1016/J.RENENE.2019.02.077","ISSN":"0960-1481","abstract":"Two transition pathways towards a 100% renewable energy (RE) power sector by 2050 are simulated for Europe using the LUT Energy System Transition model. The first is a Regions scenario, whereby regions are modelled independently, and the second is an Area scenario, which has transmission interconnections between regions. Modelling is performed in hourly resolution for 5-year time intervals, from 2015 to 2050, and considers current capacities and ages of power plants, as well as projected increases in future electricity demands. Results of the optimisation suggest that the levelised cost of electricity could fall from the current 69 €/MWh to 56 €/MWh in the Regions scenario and 51 €/MWh in the Area scenario through the adoption of low cost, flexible RE generation and energy storage. Further savings can result from increasing transmission interconnections by a factor of approximately four. This suggests that there is merit in further development of a European Energy Union, one that provides clear governance at a European level, but allows for development that is appropriate for regional contexts. This is the essence of a SuperSmart approach. A 100% RE energy system for Europe is economically competitive, technologically feasible, and consistent with targets of the Paris Agreement.","author":[{"dropping-particle":"","family":"Child","given":"Michael","non-dropping-particle":"","parse-names":false,"suffix":""},{"dropping-particle":"","family":"Kemfert","given":"Claudia","non-dropping-particle":"","parse-names":false,"suffix":""},{"dropping-particle":"","family":"Bogdanov","given":"Dmitrii","non-dropping-particle":"","parse-names":false,"suffix":""},{"dropping-particle":"","family":"Breyer","given":"Christian","non-dropping-particle":"","parse-names":false,"suffix":""}],"container-title":"Renewable Energy","id":"ITEM-1","issued":{"date-parts":[["2019","8","1"]]},"page":"80-101","publisher":"Pergamon","title":"Flexible electricity generation, grid exchange and storage for the transition to a 100% renewable energy system in Europe","type":"article-journal","volume":"139"},"uris":["http://www.mendeley.com/documents/?uuid=f53bc38e-2407-306c-a568-78476f4a782f"]}],"mendeley":{"formattedCitation":"[39]","plainTextFormattedCitation":"[39]","previouslyFormattedCitation":"[39]"},"properties":{"noteIndex":0},"schema":"https://github.com/citation-style-language/schema/raw/master/csl-citation.json"}</w:instrText>
      </w:r>
      <w:r w:rsidR="000E2E14" w:rsidRPr="003676D3">
        <w:rPr>
          <w:rFonts w:ascii="Times New Roman" w:hAnsi="Times New Roman" w:cs="Times New Roman"/>
          <w:sz w:val="24"/>
          <w:szCs w:val="24"/>
        </w:rPr>
        <w:fldChar w:fldCharType="separate"/>
      </w:r>
      <w:r w:rsidR="000E2E14" w:rsidRPr="003676D3">
        <w:rPr>
          <w:rFonts w:ascii="Times New Roman" w:hAnsi="Times New Roman" w:cs="Times New Roman"/>
          <w:noProof/>
          <w:sz w:val="24"/>
          <w:szCs w:val="24"/>
        </w:rPr>
        <w:t>[39]</w:t>
      </w:r>
      <w:r w:rsidR="000E2E14" w:rsidRPr="003676D3">
        <w:rPr>
          <w:rFonts w:ascii="Times New Roman" w:hAnsi="Times New Roman" w:cs="Times New Roman"/>
          <w:sz w:val="24"/>
          <w:szCs w:val="24"/>
        </w:rPr>
        <w:fldChar w:fldCharType="end"/>
      </w:r>
      <w:r w:rsidR="00E6130F" w:rsidRPr="003676D3">
        <w:rPr>
          <w:rFonts w:ascii="Times New Roman" w:hAnsi="Times New Roman" w:cs="Times New Roman"/>
          <w:sz w:val="24"/>
          <w:szCs w:val="24"/>
        </w:rPr>
        <w:t>.</w:t>
      </w:r>
    </w:p>
    <w:p w14:paraId="594E0891" w14:textId="1CF525C5" w:rsidR="00C3384E" w:rsidRPr="003676D3" w:rsidRDefault="008E437B" w:rsidP="003676D3">
      <w:pPr>
        <w:pStyle w:val="Heading2"/>
        <w:spacing w:after="240" w:line="276" w:lineRule="auto"/>
        <w:jc w:val="both"/>
        <w:rPr>
          <w:rFonts w:ascii="Times New Roman" w:hAnsi="Times New Roman" w:cs="Times New Roman"/>
          <w:b/>
          <w:bCs/>
          <w:color w:val="auto"/>
          <w:sz w:val="24"/>
          <w:szCs w:val="24"/>
        </w:rPr>
      </w:pPr>
      <w:r w:rsidRPr="003676D3">
        <w:rPr>
          <w:rFonts w:ascii="Times New Roman" w:hAnsi="Times New Roman" w:cs="Times New Roman"/>
          <w:b/>
          <w:bCs/>
          <w:color w:val="auto"/>
          <w:sz w:val="24"/>
          <w:szCs w:val="24"/>
        </w:rPr>
        <w:t>3</w:t>
      </w:r>
      <w:r w:rsidR="00084F2D" w:rsidRPr="003676D3">
        <w:rPr>
          <w:rFonts w:ascii="Times New Roman" w:hAnsi="Times New Roman" w:cs="Times New Roman"/>
          <w:b/>
          <w:bCs/>
          <w:color w:val="auto"/>
          <w:sz w:val="24"/>
          <w:szCs w:val="24"/>
        </w:rPr>
        <w:t>.</w:t>
      </w:r>
      <w:r w:rsidRPr="003676D3">
        <w:rPr>
          <w:rFonts w:ascii="Times New Roman" w:hAnsi="Times New Roman" w:cs="Times New Roman"/>
          <w:b/>
          <w:bCs/>
          <w:color w:val="auto"/>
          <w:sz w:val="24"/>
          <w:szCs w:val="24"/>
        </w:rPr>
        <w:t>1.</w:t>
      </w:r>
      <w:r w:rsidR="00084F2D" w:rsidRPr="003676D3">
        <w:rPr>
          <w:rFonts w:ascii="Times New Roman" w:hAnsi="Times New Roman" w:cs="Times New Roman"/>
          <w:b/>
          <w:bCs/>
          <w:color w:val="auto"/>
          <w:sz w:val="24"/>
          <w:szCs w:val="24"/>
        </w:rPr>
        <w:t xml:space="preserve"> Smart to Super Smart Grid </w:t>
      </w:r>
      <w:r w:rsidR="00C3384E" w:rsidRPr="003676D3">
        <w:rPr>
          <w:rFonts w:ascii="Times New Roman" w:hAnsi="Times New Roman" w:cs="Times New Roman"/>
          <w:b/>
          <w:bCs/>
          <w:color w:val="auto"/>
          <w:sz w:val="24"/>
          <w:szCs w:val="24"/>
        </w:rPr>
        <w:t>Transformation</w:t>
      </w:r>
    </w:p>
    <w:p w14:paraId="56117A91" w14:textId="0E5E3001" w:rsidR="00CE3ABA" w:rsidRPr="003676D3" w:rsidRDefault="00555017"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The transformation of conventional grids to smart grids </w:t>
      </w:r>
      <w:r w:rsidR="004B1918" w:rsidRPr="003676D3">
        <w:rPr>
          <w:rFonts w:ascii="Times New Roman" w:hAnsi="Times New Roman" w:cs="Times New Roman"/>
          <w:sz w:val="24"/>
          <w:szCs w:val="24"/>
        </w:rPr>
        <w:t>involves</w:t>
      </w:r>
      <w:r w:rsidRPr="003676D3">
        <w:rPr>
          <w:rFonts w:ascii="Times New Roman" w:hAnsi="Times New Roman" w:cs="Times New Roman"/>
          <w:sz w:val="24"/>
          <w:szCs w:val="24"/>
        </w:rPr>
        <w:t xml:space="preserve"> substantial challenges related to policy intervention, technological upgradation and social aspect. It is essentially a convergence of </w:t>
      </w:r>
      <w:r w:rsidR="001D6C16" w:rsidRPr="003676D3">
        <w:rPr>
          <w:rFonts w:ascii="Times New Roman" w:hAnsi="Times New Roman" w:cs="Times New Roman"/>
          <w:sz w:val="24"/>
          <w:szCs w:val="24"/>
        </w:rPr>
        <w:t>ICT</w:t>
      </w:r>
      <w:r w:rsidRPr="003676D3">
        <w:rPr>
          <w:rFonts w:ascii="Times New Roman" w:hAnsi="Times New Roman" w:cs="Times New Roman"/>
          <w:sz w:val="24"/>
          <w:szCs w:val="24"/>
        </w:rPr>
        <w:t xml:space="preserve"> and the evolving energy systems</w:t>
      </w:r>
      <w:r w:rsidR="000E2E14" w:rsidRPr="003676D3">
        <w:rPr>
          <w:rFonts w:ascii="Times New Roman" w:hAnsi="Times New Roman" w:cs="Times New Roman"/>
          <w:sz w:val="24"/>
          <w:szCs w:val="24"/>
        </w:rPr>
        <w:t xml:space="preserve"> </w:t>
      </w:r>
      <w:r w:rsidR="000E2E14" w:rsidRPr="003676D3">
        <w:rPr>
          <w:rFonts w:ascii="Times New Roman" w:hAnsi="Times New Roman" w:cs="Times New Roman"/>
          <w:sz w:val="24"/>
          <w:szCs w:val="24"/>
        </w:rPr>
        <w:fldChar w:fldCharType="begin" w:fldLock="1"/>
      </w:r>
      <w:r w:rsidR="000E2E14" w:rsidRPr="003676D3">
        <w:rPr>
          <w:rFonts w:ascii="Times New Roman" w:hAnsi="Times New Roman" w:cs="Times New Roman"/>
          <w:sz w:val="24"/>
          <w:szCs w:val="24"/>
        </w:rPr>
        <w:instrText>ADDIN CSL_CITATION {"citationItems":[{"id":"ITEM-1","itemData":{"DOI":"10.1016/J.ENPOL.2012.10.026","ISSN":"03014215","abstract":"Worldwide, but in particular in North America and Europe, the grid infrastructure managers are facing demands for reinvestments in new assets with higher on-grid and off-grid functionality in order to promote energy efficiency and low-carbon conversion of the energy sector. To meet societal policy objectives in terms of carbon dioxide emissions, both the composition of the generators in favor of distributed energy resources (DER) and the load, promoting integration with downstream energy useage, will change. In this paper, we chararcterize some of the effects of new asset investments policy on the network tasks, assets and costs and contrast this with the assumptions implicit or explicit in current economic network regulation. The resulting challenge is identified as the change in the direction of higher asymmetry of information and higher capital intensity, combined with ambiguities in terms of task separation. To provide guidance, we present a model of investment provision under regulation between a distribution system operator (DSO) and a potential investor-generation. The results from the model confirm the hypothesis that network regulation should find a focal point, should integrate externalities in the performance assessment and should avoid wide delegation of contracting-billing for smart-grid investments.","author":[{"dropping-particle":"","family":"Agrell","given":"Per J.","non-dropping-particle":"","parse-names":false,"suffix":""},{"dropping-particle":"","family":"Bogetoft","given":"Peter","non-dropping-particle":"","parse-names":false,"suffix":""},{"dropping-particle":"","family":"Mikkers","given":"Misja","non-dropping-particle":"","parse-names":false,"suffix":""}],"container-title":"Energy Policy","id":"ITEM-1","issued":{"date-parts":[["2013","1"]]},"page":"656-666","title":"Smart-grid Investments, Regulation and Organization","type":"article-journal","volume":"52"},"uris":["http://www.mendeley.com/documents/?uuid=144a23ed-bddc-3b45-8275-0b000f3cbc59"]},{"id":"ITEM-2","itemData":{"DOI":"10.1016/J.RSER.2017.05.208","ISSN":"18790690","abstract":"The Smart Grid (SG) is a technological transformation from conventional electric grid, electro-mechanically controlled system, to smart, intelligent, and electronically controlled system called the “Smart Grid” (SG). There are about 20–30% losses present in the conventional electric grid due to substandard operations at generation, transmission and distribution side. The major players in the transformation are: (a) increased electricity cost, (b) aging infrastructure, (c) carbon footprint, (d) Green House Gas emissions, (e) climate change, and (f) less efficient electrical network. The promising features of the Smart Grid are: (a) intelligent de-centralized control, (b) resilience, (c) flexibility, (d) sustainability, (e) digitalization, (f) intelligence, (g) consumer empowerment, (h) green energy, and (i) smart infrastructure. The fundamental issues and open challenges in the SG are lack of awareness, consumer acceptance, cyber terrorism, data collection management, energy metering, dynamic optimization and energy control. Considering above, in this paper, a comprehensive review exploring information of development, technologies, and techniques in the SG. The main goal is to investigate and reveal the key enabling technologies, to obtain better picture about the current status of SG development. The focus areas of this review study are Architectural Model focusing Consumer Empowerment (CE), Demand Response Program (DRP), and Demand Side Management (DSM). Our survey discusses in detail the Communication Technologies, such as Wireless Advance Metering Infrastructure (AMI), Phasor Measurement Unit (PMU), Supervisory Control and Data Acquisition (SCADA), and Machine to Machine Communication (M2M). The power systems such as Micro Grid, Nano Grid, Pico Grid, Inter Grid, Virtual Power Plants, and Distributed Generation are also elaborated in this review study. Renewable Energy Resources (RERs) Integration with the SG and Integration issues related to Distributed generation (DG) are presented in this survey. This survey also analyzes Architectural Model of the Smart Grid focusing consumer empowerment and prosumers interaction. The aim of this study is to provide deep understanding of technologies and their applications in the SG.","author":[{"dropping-particle":"","family":"Shaukat","given":"N.","non-dropping-particle":"","parse-names":false,"suffix":""},{"dropping-particle":"","family":"Ali","given":"S. M.","non-dropping-particle":"","parse-names":false,"suffix":""},{"dropping-particle":"","family":"Mehmood","given":"C. A.","non-dropping-particle":"","parse-names":false,"suffix":""},{"dropping-particle":"","family":"Khan","given":"B.","non-dropping-particle":"","parse-names":false,"suffix":""},{"dropping-particle":"","family":"Jawad","given":"M.","non-dropping-particle":"","parse-names":false,"suffix":""},{"dropping-particle":"","family":"Farid","given":"U.","non-dropping-particle":"","parse-names":false,"suffix":""},{"dropping-particle":"","family":"Ullah","given":"Z.","non-dropping-particle":"","parse-names":false,"suffix":""},{"dropping-particle":"","family":"Anwar","given":"S. M.","non-dropping-particle":"","parse-names":false,"suffix":""},{"dropping-particle":"","family":"Majid","given":"M.","non-dropping-particle":"","parse-names":false,"suffix":""}],"container-title":"Renewable &amp; Sustainable Energy Reviews","id":"ITEM-2","issued":{"date-parts":[["2018","1","1"]]},"page":"1453-1475","publisher":"Elsevier Ltd","title":"A survey on consumers empowerment, communication technologies, and renewable generation penetration within Smart Grid","type":"article-journal","volume":"81"},"uris":["http://www.mendeley.com/documents/?uuid=2e48e7ad-cb5b-3872-bba5-bcaa1102a06b"]},{"id":"ITEM-3","itemData":{"DOI":"10.11591/IJECE.V10I2.PP1179-1186","ISSN":"20888708","abstract":"The development smart grids have made the power systems planning and operation more efficient by the application of renewable energy resources, electric vehicles, two-way communication, self-healing, consumer engagement, distribution intelligence, etc. The objective of this paper is to present a detailed comprehensive review of challenges, issues and opportunities for the development of smart grid. Smart grids are transforming the traditional way of meeting the electricity demand and providing the way towards an environmentally friendly, reliable and resilient power grid. This paper presents various challenges of smart grid development including interoperability, network communications, demand response, energy storage and distribution grid management. This paper also reviews various issues associated with the development of smart grid. Local, regional, national and global opportunities for the development of smart grid are also reported in this paper.","author":[{"dropping-particle":"","family":"Salkuti","given":"Surender Reddy","non-dropping-particle":"","parse-names":false,"suffix":""}],"container-title":"International Journal of Electrical and Computer Engineering","id":"ITEM-3","issue":"2","issued":{"date-parts":[["2020"]]},"page":"1179-1186","publisher":"Institute of Advanced Engineering and Science","title":"Challenges, issues and opportunities for the development of smart grid","type":"article-journal","volume":"10"},"uris":["http://www.mendeley.com/documents/?uuid=a4aefac4-8ce7-324b-95e5-6ed3c2e2cd90"]}],"mendeley":{"formattedCitation":"[40–42]","plainTextFormattedCitation":"[40–42]","previouslyFormattedCitation":"[40–42]"},"properties":{"noteIndex":0},"schema":"https://github.com/citation-style-language/schema/raw/master/csl-citation.json"}</w:instrText>
      </w:r>
      <w:r w:rsidR="000E2E14" w:rsidRPr="003676D3">
        <w:rPr>
          <w:rFonts w:ascii="Times New Roman" w:hAnsi="Times New Roman" w:cs="Times New Roman"/>
          <w:sz w:val="24"/>
          <w:szCs w:val="24"/>
        </w:rPr>
        <w:fldChar w:fldCharType="separate"/>
      </w:r>
      <w:r w:rsidR="000E2E14" w:rsidRPr="003676D3">
        <w:rPr>
          <w:rFonts w:ascii="Times New Roman" w:hAnsi="Times New Roman" w:cs="Times New Roman"/>
          <w:noProof/>
          <w:sz w:val="24"/>
          <w:szCs w:val="24"/>
        </w:rPr>
        <w:t>[40–42]</w:t>
      </w:r>
      <w:r w:rsidR="000E2E14" w:rsidRPr="003676D3">
        <w:rPr>
          <w:rFonts w:ascii="Times New Roman" w:hAnsi="Times New Roman" w:cs="Times New Roman"/>
          <w:sz w:val="24"/>
          <w:szCs w:val="24"/>
        </w:rPr>
        <w:fldChar w:fldCharType="end"/>
      </w:r>
      <w:r w:rsidR="00F25854" w:rsidRPr="003676D3">
        <w:rPr>
          <w:rFonts w:ascii="Times New Roman" w:hAnsi="Times New Roman" w:cs="Times New Roman"/>
          <w:sz w:val="24"/>
          <w:szCs w:val="24"/>
        </w:rPr>
        <w:t>. The</w:t>
      </w:r>
      <w:r w:rsidRPr="003676D3">
        <w:rPr>
          <w:rFonts w:ascii="Times New Roman" w:hAnsi="Times New Roman" w:cs="Times New Roman"/>
          <w:sz w:val="24"/>
          <w:szCs w:val="24"/>
        </w:rPr>
        <w:t xml:space="preserve"> smart grid (SG) w</w:t>
      </w:r>
      <w:r w:rsidR="00F25854" w:rsidRPr="003676D3">
        <w:rPr>
          <w:rFonts w:ascii="Times New Roman" w:hAnsi="Times New Roman" w:cs="Times New Roman"/>
          <w:sz w:val="24"/>
          <w:szCs w:val="24"/>
        </w:rPr>
        <w:t xml:space="preserve">ith </w:t>
      </w:r>
      <w:r w:rsidR="00F25854" w:rsidRPr="003676D3">
        <w:rPr>
          <w:rFonts w:ascii="Times New Roman" w:hAnsi="Times New Roman" w:cs="Times New Roman"/>
          <w:sz w:val="24"/>
          <w:szCs w:val="24"/>
        </w:rPr>
        <w:lastRenderedPageBreak/>
        <w:t>European perspective i</w:t>
      </w:r>
      <w:r w:rsidRPr="003676D3">
        <w:rPr>
          <w:rFonts w:ascii="Times New Roman" w:hAnsi="Times New Roman" w:cs="Times New Roman"/>
          <w:sz w:val="24"/>
          <w:szCs w:val="24"/>
        </w:rPr>
        <w:t xml:space="preserve">s an electricity network with intelligent integration of all stakeholders – generators, consumers, </w:t>
      </w:r>
      <w:r w:rsidR="00F90B76" w:rsidRPr="003676D3">
        <w:rPr>
          <w:rFonts w:ascii="Times New Roman" w:hAnsi="Times New Roman" w:cs="Times New Roman"/>
          <w:sz w:val="24"/>
          <w:szCs w:val="24"/>
        </w:rPr>
        <w:t>and operators</w:t>
      </w:r>
      <w:r w:rsidRPr="003676D3">
        <w:rPr>
          <w:rFonts w:ascii="Times New Roman" w:hAnsi="Times New Roman" w:cs="Times New Roman"/>
          <w:sz w:val="24"/>
          <w:szCs w:val="24"/>
        </w:rPr>
        <w:t>. They all work together to achieve the common goal of an economic, secure and sustainable electricity system.</w:t>
      </w:r>
    </w:p>
    <w:p w14:paraId="68C7F1BE" w14:textId="2E72967F" w:rsidR="00555017" w:rsidRPr="003676D3" w:rsidRDefault="00555017"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 A SG conjoins innovative technology and services in a system with inherent intelligence of control, monitoring, communication and self-healing</w:t>
      </w:r>
      <w:r w:rsidR="000E2E14" w:rsidRPr="003676D3">
        <w:rPr>
          <w:rFonts w:ascii="Times New Roman" w:hAnsi="Times New Roman" w:cs="Times New Roman"/>
          <w:sz w:val="24"/>
          <w:szCs w:val="24"/>
        </w:rPr>
        <w:t xml:space="preserve"> </w:t>
      </w:r>
      <w:r w:rsidR="000E2E14" w:rsidRPr="003676D3">
        <w:rPr>
          <w:rFonts w:ascii="Times New Roman" w:hAnsi="Times New Roman" w:cs="Times New Roman"/>
          <w:sz w:val="24"/>
          <w:szCs w:val="24"/>
        </w:rPr>
        <w:fldChar w:fldCharType="begin" w:fldLock="1"/>
      </w:r>
      <w:r w:rsidR="000E2E14" w:rsidRPr="003676D3">
        <w:rPr>
          <w:rFonts w:ascii="Times New Roman" w:hAnsi="Times New Roman" w:cs="Times New Roman"/>
          <w:sz w:val="24"/>
          <w:szCs w:val="24"/>
        </w:rPr>
        <w:instrText>ADDIN CSL_CITATION {"citationItems":[{"id":"ITEM-1","itemData":{"DOI":"10.3390/EN14217273","ISSN":"19961073","abstract":"Empowered by the emergence of novel information and communication technologies (ICTs) such as sensors and high-performance digital communication systems, Europe has adapted its electricity distribution network into a modern infrastructure known as a smart grid (SG). The benefits of this new infrastructure include precise and real-time capacity for measuring and monitoring the different energy-relevant parameters on the various points of the grid and for the remote operation and optimization of distribution. Furthermore, a new user profile is derived from this novel infrastructure, known as a prosumer (a user that can produce and consume energy to/from the grid), who can benefit from the features derived from applying advanced analytics and semantic technologies in the rich amount of big data generated by the different subsystems. However, this novel, highly interconnected infrastructure also presents some significant drawbacks, like those related to information security (IS). We provide a systematic literature survey of the ICT-empowered environments that comprise SGs and homes, and the application of modern artificial intelligence (AI) related technologies with sensor fusion systems and actuators, ensuring energy efficiency in such systems. Furthermore, we outline the current challenges and outlook for this field. These address new developments on microgrids, and data-driven energy efficiency that leads to better knowledge representation and decision-making for smart homes and SGs.","author":[{"dropping-particle":"","family":"González","given":"Lisardo Prieto","non-dropping-particle":"","parse-names":false,"suffix":""},{"dropping-particle":"","family":"Fensel","given":"Anna","non-dropping-particle":"","parse-names":false,"suffix":""},{"dropping-particle":"","family":"Berbís","given":"Juan Miguel Gómez","non-dropping-particle":"","parse-names":false,"suffix":""},{"dropping-particle":"","family":"Popa","given":"Angela","non-dropping-particle":"","parse-names":false,"suffix":""},{"dropping-particle":"","family":"Seco","given":"Antonio de Amescua","non-dropping-particle":"","parse-names":false,"suffix":""}],"container-title":"Energies","id":"ITEM-1","issue":"21","issued":{"date-parts":[["2021","11","1"]]},"publisher":"MDPI","title":"A Survey on Energy Efficiency in Smart Homes and Smart Grids","type":"article-journal","volume":"14"},"uris":["http://www.mendeley.com/documents/?uuid=7a808d63-7732-3646-bd08-8d4abcd6640a"]},{"id":"ITEM-2","itemData":{"DOI":"10.1016/J.ESR.2017.09.011","ISSN":"2211467X","abstract":"Abstract The modern struggle to generate electricity reducing our dependence on fossil fuels and decreasing greenhouse gas emissions has found an ally in Smart Grid technology. This new trend involves a renewed perspective on how to generate, transmit, distribute and manage electricity networks, which not only helps to reduce power demand and cost, but can also improve efficiency, reliability, quality and security. This paper aims to study comprehensively the Smart Grid power system by comparing experiences and success stories from around the world. Developed countries, like the United States and those in the European Union, and developing countries, like India and Brazil, have been taken as examples of the current development and state of the Smart Grid concept. Europe and the U.S. lead the development of Smart Grids systems, while Brazil and India strongly depend on foreign technology and investment for their development in their countries. Climate change represents an extra challenge for developing countries, in addition to other issues related to economic and social advancement. Nevertheless, Smart Grids offer an array of possibilities and opportunities that work towards climate change international goals. However, state motivations and national energy resources limit the advancement of Smart Grids on this matter.","author":[{"dropping-particle":"","family":"Ponce-Jara","given":"M. A.","non-dropping-particle":"","parse-names":false,"suffix":""},{"dropping-particle":"","family":"Ruiz","given":"E.","non-dropping-particle":"","parse-names":false,"suffix":""},{"dropping-particle":"","family":"Gil","given":"R.","non-dropping-particle":"","parse-names":false,"suffix":""},{"dropping-particle":"","family":"Sancristóbal","given":"E.","non-dropping-particle":"","parse-names":false,"suffix":""},{"dropping-particle":"","family":"Pérez-Molina","given":"C.","non-dropping-particle":"","parse-names":false,"suffix":""},{"dropping-particle":"","family":"Castro","given":"M.","non-dropping-particle":"","parse-names":false,"suffix":""}],"container-title":"Energy Strategy Reviews","id":"ITEM-2","issued":{"date-parts":[["2017","12","1"]]},"page":"38-52","publisher":"Elsevier Ltd","title":"Smart Grid: Assessment of the past and present in developed and developing countries","type":"article-journal","volume":"18"},"uris":["http://www.mendeley.com/documents/?uuid=78a4a67a-f66f-38de-a807-91ac3f0fc222"]},{"id":"ITEM-3","itemData":{"DOI":"10.1016/J.RSER.2016.09.014","ISSN":"18790690","abstract":"A smart grid (SG) is developed to overcome grid congestion and to meet the demand for and sustain the supply of electricity. The European SG is supported by European Union (EU) policies and the joint EU Energy and Climate Package. This study reviews the prospects, progress, policies, and challenges faced by EU countries, electricity networks, and their relevant stakeholders. European SG prospects were initiated through the EU's Strategic Energy Technologies plan and continue with the strategic research agenda that has been road-mapped for 2007–2035. The EU, with its Directorates-General, agencies, and commissions, has established directives and policies to promote SG among member states. The factors that stimulate the innovation and implementation of SG require the need to generate electricity optimally (i.e., low greenhouse gas emission and renewable or sustainable source) and to secure its supply while ensuring reliability and quality. Despite the challenges, the European SG continues to develop and progress, fulfilling renewable energy targets and customer satisfaction and addressing environmental concerns.","author":[{"dropping-particle":"","family":"IqtiyaniIlham","given":"Nur","non-dropping-particle":"","parse-names":false,"suffix":""},{"dropping-particle":"","family":"Hasanuzzaman","given":"M.","non-dropping-particle":"","parse-names":false,"suffix":""},{"dropping-particle":"","family":"Hosenuzzaman","given":"M.","non-dropping-particle":"","parse-names":false,"suffix":""}],"container-title":"Renewable &amp; Sustainable Energy Reviews","id":"ITEM-3","issued":{"date-parts":[["2017","1","1"]]},"page":"776-790","publisher":"Elsevier Ltd","title":"European smart grid prospects, policies, and challenges","type":"article-journal","volume":"67"},"uris":["http://www.mendeley.com/documents/?uuid=cafe646d-35c4-346d-9bc9-cd7aa5f0be03"]}],"mendeley":{"formattedCitation":"[43–45]","plainTextFormattedCitation":"[43–45]","previouslyFormattedCitation":"[43–45]"},"properties":{"noteIndex":0},"schema":"https://github.com/citation-style-language/schema/raw/master/csl-citation.json"}</w:instrText>
      </w:r>
      <w:r w:rsidR="000E2E14" w:rsidRPr="003676D3">
        <w:rPr>
          <w:rFonts w:ascii="Times New Roman" w:hAnsi="Times New Roman" w:cs="Times New Roman"/>
          <w:sz w:val="24"/>
          <w:szCs w:val="24"/>
        </w:rPr>
        <w:fldChar w:fldCharType="separate"/>
      </w:r>
      <w:r w:rsidR="000E2E14" w:rsidRPr="003676D3">
        <w:rPr>
          <w:rFonts w:ascii="Times New Roman" w:hAnsi="Times New Roman" w:cs="Times New Roman"/>
          <w:noProof/>
          <w:sz w:val="24"/>
          <w:szCs w:val="24"/>
        </w:rPr>
        <w:t>[43–45]</w:t>
      </w:r>
      <w:r w:rsidR="000E2E14" w:rsidRPr="003676D3">
        <w:rPr>
          <w:rFonts w:ascii="Times New Roman" w:hAnsi="Times New Roman" w:cs="Times New Roman"/>
          <w:sz w:val="24"/>
          <w:szCs w:val="24"/>
        </w:rPr>
        <w:fldChar w:fldCharType="end"/>
      </w:r>
      <w:r w:rsidRPr="003676D3">
        <w:rPr>
          <w:rFonts w:ascii="Times New Roman" w:hAnsi="Times New Roman" w:cs="Times New Roman"/>
          <w:sz w:val="24"/>
          <w:szCs w:val="24"/>
        </w:rPr>
        <w:t>. Markets and commercial aspect is also a crucial part of this new landscape, backed up with regulatory framework, environmental consideration, standardization usage</w:t>
      </w:r>
      <w:r w:rsidR="00E6130F" w:rsidRPr="003676D3">
        <w:rPr>
          <w:rFonts w:ascii="Times New Roman" w:hAnsi="Times New Roman" w:cs="Times New Roman"/>
          <w:sz w:val="24"/>
          <w:szCs w:val="24"/>
        </w:rPr>
        <w:t xml:space="preserve"> and societal requirement</w:t>
      </w:r>
      <w:r w:rsidR="000E2E14" w:rsidRPr="003676D3">
        <w:rPr>
          <w:rFonts w:ascii="Times New Roman" w:hAnsi="Times New Roman" w:cs="Times New Roman"/>
          <w:sz w:val="24"/>
          <w:szCs w:val="24"/>
        </w:rPr>
        <w:t xml:space="preserve"> </w:t>
      </w:r>
      <w:r w:rsidR="000E2E14" w:rsidRPr="003676D3">
        <w:rPr>
          <w:rFonts w:ascii="Times New Roman" w:hAnsi="Times New Roman" w:cs="Times New Roman"/>
          <w:sz w:val="24"/>
          <w:szCs w:val="24"/>
        </w:rPr>
        <w:fldChar w:fldCharType="begin" w:fldLock="1"/>
      </w:r>
      <w:r w:rsidR="000E2E14" w:rsidRPr="003676D3">
        <w:rPr>
          <w:rFonts w:ascii="Times New Roman" w:hAnsi="Times New Roman" w:cs="Times New Roman"/>
          <w:sz w:val="24"/>
          <w:szCs w:val="24"/>
        </w:rPr>
        <w:instrText>ADDIN CSL_CITATION {"citationItems":[{"id":"ITEM-1","itemData":{"abstract":"Whilst current electricity networks presently have fulfilled their function effectively, more of the same will not be sufficient to meet current challenges and policy imperatives. In this context, the European Technology Platform (ETP) SmartGrids was set up in 2005 to create a joint vision of European networks for 2020 and onwards. The platform includes representatives from industry, transmission and distribution system operators, research bodies and regulators. It has identified clear objectives and proposes a strategy for the development of future electricity networks.","author":[{"dropping-particle":"","family":"Union","given":"Publications Office of the European","non-dropping-particle":"","parse-names":false,"suffix":""}],"id":"ITEM-1","issued":{"date-parts":[["2006","4","12"]]},"publisher":"Publications Office of the European Union","title":"European SmartGrids Technology Platform : vision and strategy for Europe’s electricity networks of the future.","type":"article-journal"},"uris":["http://www.mendeley.com/documents/?uuid=e8585a7f-249e-32d3-aac4-649b3b54aa0a"]}],"mendeley":{"formattedCitation":"[46]","plainTextFormattedCitation":"[46]","previouslyFormattedCitation":"[46]"},"properties":{"noteIndex":0},"schema":"https://github.com/citation-style-language/schema/raw/master/csl-citation.json"}</w:instrText>
      </w:r>
      <w:r w:rsidR="000E2E14" w:rsidRPr="003676D3">
        <w:rPr>
          <w:rFonts w:ascii="Times New Roman" w:hAnsi="Times New Roman" w:cs="Times New Roman"/>
          <w:sz w:val="24"/>
          <w:szCs w:val="24"/>
        </w:rPr>
        <w:fldChar w:fldCharType="separate"/>
      </w:r>
      <w:r w:rsidR="000E2E14" w:rsidRPr="003676D3">
        <w:rPr>
          <w:rFonts w:ascii="Times New Roman" w:hAnsi="Times New Roman" w:cs="Times New Roman"/>
          <w:noProof/>
          <w:sz w:val="24"/>
          <w:szCs w:val="24"/>
        </w:rPr>
        <w:t>[46]</w:t>
      </w:r>
      <w:r w:rsidR="000E2E14" w:rsidRPr="003676D3">
        <w:rPr>
          <w:rFonts w:ascii="Times New Roman" w:hAnsi="Times New Roman" w:cs="Times New Roman"/>
          <w:sz w:val="24"/>
          <w:szCs w:val="24"/>
        </w:rPr>
        <w:fldChar w:fldCharType="end"/>
      </w:r>
      <w:r w:rsidR="00E6130F" w:rsidRPr="003676D3">
        <w:rPr>
          <w:rFonts w:ascii="Times New Roman" w:hAnsi="Times New Roman" w:cs="Times New Roman"/>
          <w:sz w:val="24"/>
          <w:szCs w:val="24"/>
        </w:rPr>
        <w:t xml:space="preserve">. </w:t>
      </w:r>
      <w:r w:rsidR="00645477" w:rsidRPr="003676D3">
        <w:rPr>
          <w:rFonts w:ascii="Times New Roman" w:hAnsi="Times New Roman" w:cs="Times New Roman"/>
          <w:sz w:val="24"/>
          <w:szCs w:val="24"/>
        </w:rPr>
        <w:t>A Super Smart Grid would have the capability to connect EU member countries through a single grid, without the limits of national boundaries and ensure ease in energy exchange between countries.</w:t>
      </w:r>
    </w:p>
    <w:p w14:paraId="709272ED" w14:textId="183433F7" w:rsidR="00E7634E" w:rsidRPr="003676D3" w:rsidRDefault="00E7634E"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The present-day electricity grid confronts multifaceted challenges and issues such as privacy concerns between energy providers and consumers</w:t>
      </w:r>
      <w:r w:rsidR="000E2E14" w:rsidRPr="003676D3">
        <w:rPr>
          <w:rFonts w:ascii="Times New Roman" w:hAnsi="Times New Roman" w:cs="Times New Roman"/>
          <w:sz w:val="24"/>
          <w:szCs w:val="24"/>
        </w:rPr>
        <w:t xml:space="preserve"> </w:t>
      </w:r>
      <w:r w:rsidR="000E2E14" w:rsidRPr="003676D3">
        <w:rPr>
          <w:rFonts w:ascii="Times New Roman" w:hAnsi="Times New Roman" w:cs="Times New Roman"/>
          <w:sz w:val="24"/>
          <w:szCs w:val="24"/>
        </w:rPr>
        <w:fldChar w:fldCharType="begin" w:fldLock="1"/>
      </w:r>
      <w:r w:rsidR="000E2E14" w:rsidRPr="003676D3">
        <w:rPr>
          <w:rFonts w:ascii="Times New Roman" w:hAnsi="Times New Roman" w:cs="Times New Roman"/>
          <w:sz w:val="24"/>
          <w:szCs w:val="24"/>
        </w:rPr>
        <w:instrText>ADDIN CSL_CITATION {"citationItems":[{"id":"ITEM-1","itemData":{"DOI":"10.3390/EN14051285","ISSN":"19961073","abstract":"The purpose of this review is to investigate the nature of privacy concerns in the context of smart local energy systems (SLES) to understand how SLES providers can minimize both user concerns, and cause for concern, around privacy. We conducted a rapid realist review and thematic framework analysis against Bronfenbrenner’s socio–ecological model to understand privacy concerns in different contexts. A common privacy concern was that sharing detailed energy use data had the potential to reveal information about home life, and to intrude upon people’s sense of autonomy, choice, and control. Evidence suggests that people are willing to accept new data sharing technologies if the benefits of doing so are clear, anticipated, and mutually beneficial. Building trust, through increasing knowledge and understanding, was a mechanism for overcoming privacy concerns, but this was mediated by the organization providing the information. Non-profit organizations were more trusted to ensure appropriate safeguards to privacy were in place. One key barrier to participation with good supporting evidence was that people could resist perceived intrusions on their privacy. This could be actively resisted by refusing to install data collection technologies or passively by non-participation in adapting energy use behaviours: both of which are necessary for SLES to achieve their goals of managing energy demand and building resilience in smart grids.","author":[{"dropping-particle":"","family":"Vigurs","given":"Carol","non-dropping-particle":"","parse-names":false,"suffix":""},{"dropping-particle":"","family":"Maidment","given":"Chris","non-dropping-particle":"","parse-names":false,"suffix":""},{"dropping-particle":"","family":"Fell","given":"Michael","non-dropping-particle":"","parse-names":false,"suffix":""},{"dropping-particle":"","family":"Shipworth","given":"David","non-dropping-particle":"","parse-names":false,"suffix":""}],"container-title":"Energies","id":"ITEM-1","issue":"5","issued":{"date-parts":[["2021","3","1"]]},"publisher":"MDPI AG","title":"Customer Privacy Concerns as a Barrier to Sharing Data about Energy Use in Smart Local Energy Systems: A Rapid Realist Review","type":"article-journal","volume":"14"},"uris":["http://www.mendeley.com/documents/?uuid=0d6ec87a-547e-3000-8cf2-2d2a43870b4e"]}],"mendeley":{"formattedCitation":"[47]","plainTextFormattedCitation":"[47]","previouslyFormattedCitation":"[47]"},"properties":{"noteIndex":0},"schema":"https://github.com/citation-style-language/schema/raw/master/csl-citation.json"}</w:instrText>
      </w:r>
      <w:r w:rsidR="000E2E14" w:rsidRPr="003676D3">
        <w:rPr>
          <w:rFonts w:ascii="Times New Roman" w:hAnsi="Times New Roman" w:cs="Times New Roman"/>
          <w:sz w:val="24"/>
          <w:szCs w:val="24"/>
        </w:rPr>
        <w:fldChar w:fldCharType="separate"/>
      </w:r>
      <w:r w:rsidR="000E2E14" w:rsidRPr="003676D3">
        <w:rPr>
          <w:rFonts w:ascii="Times New Roman" w:hAnsi="Times New Roman" w:cs="Times New Roman"/>
          <w:noProof/>
          <w:sz w:val="24"/>
          <w:szCs w:val="24"/>
        </w:rPr>
        <w:t>[47]</w:t>
      </w:r>
      <w:r w:rsidR="000E2E14" w:rsidRPr="003676D3">
        <w:rPr>
          <w:rFonts w:ascii="Times New Roman" w:hAnsi="Times New Roman" w:cs="Times New Roman"/>
          <w:sz w:val="24"/>
          <w:szCs w:val="24"/>
        </w:rPr>
        <w:fldChar w:fldCharType="end"/>
      </w:r>
      <w:r w:rsidRPr="003676D3">
        <w:rPr>
          <w:rFonts w:ascii="Times New Roman" w:hAnsi="Times New Roman" w:cs="Times New Roman"/>
          <w:sz w:val="24"/>
          <w:szCs w:val="24"/>
        </w:rPr>
        <w:t>, cybersecurity threats originating from potential cyber-attacks</w:t>
      </w:r>
      <w:r w:rsidR="000E2E14" w:rsidRPr="003676D3">
        <w:rPr>
          <w:rFonts w:ascii="Times New Roman" w:hAnsi="Times New Roman" w:cs="Times New Roman"/>
          <w:sz w:val="24"/>
          <w:szCs w:val="24"/>
        </w:rPr>
        <w:t xml:space="preserve"> </w:t>
      </w:r>
      <w:r w:rsidR="000E2E14" w:rsidRPr="003676D3">
        <w:rPr>
          <w:rFonts w:ascii="Times New Roman" w:hAnsi="Times New Roman" w:cs="Times New Roman"/>
          <w:sz w:val="24"/>
          <w:szCs w:val="24"/>
        </w:rPr>
        <w:fldChar w:fldCharType="begin" w:fldLock="1"/>
      </w:r>
      <w:r w:rsidR="000E2E14" w:rsidRPr="003676D3">
        <w:rPr>
          <w:rFonts w:ascii="Times New Roman" w:hAnsi="Times New Roman" w:cs="Times New Roman"/>
          <w:sz w:val="24"/>
          <w:szCs w:val="24"/>
        </w:rPr>
        <w:instrText>ADDIN CSL_CITATION {"citationItems":[{"id":"ITEM-1","itemData":{"DOI":"10.1016/J.COMPELECENG.2018.01.015","ISSN":"00457906","abstract":"Abstract Smart grid uses the power of information technology to intelligently deliver energy by using a two-way communication and wisely meet the environmental requirements by facilitating the integration of green technologies. The inherent weakness of communication technology has exposed the system to numerous security threats. Several survey papers have discussed these problems and their countermeasures. However, most of these papers classified attacks based on confidentiality, integrity, and availability, but they excluded the accountability. In addition, the existing countermeasures focus on countering some specific attacks or protecting some specific components, but there is no global approach to secure the entire system. In this paper, we review the security requirements, provide descriptions of several severe cyber-attacks, and propose a cyber-security strategy to detect and counter these attacks. Lastly, we provide some future research directions.","author":[{"dropping-particle":"El","family":"Mrabet","given":"Zakaria","non-dropping-particle":"","parse-names":false,"suffix":""},{"dropping-particle":"","family":"Kaabouch","given":"Naima","non-dropping-particle":"","parse-names":false,"suffix":""},{"dropping-particle":"El","family":"Ghazi","given":"Hassan","non-dropping-particle":"","parse-names":false,"suffix":""},{"dropping-particle":"El","family":"Ghazi","given":"Hamid","non-dropping-particle":"","parse-names":false,"suffix":""}],"container-title":"ArXiv","id":"ITEM-1","issued":{"date-parts":[["2018","4","1"]]},"page":"469-482","publisher":"Elsevier Ltd","title":"Cyber-security in smart grid: Survey and challenges","type":"article-journal","volume":"abs/1809.02609"},"uris":["http://www.mendeley.com/documents/?uuid=093a36a8-d8f5-3a92-9cb9-edd30a43859b"]}],"mendeley":{"formattedCitation":"[48]","plainTextFormattedCitation":"[48]","previouslyFormattedCitation":"[48]"},"properties":{"noteIndex":0},"schema":"https://github.com/citation-style-language/schema/raw/master/csl-citation.json"}</w:instrText>
      </w:r>
      <w:r w:rsidR="000E2E14" w:rsidRPr="003676D3">
        <w:rPr>
          <w:rFonts w:ascii="Times New Roman" w:hAnsi="Times New Roman" w:cs="Times New Roman"/>
          <w:sz w:val="24"/>
          <w:szCs w:val="24"/>
        </w:rPr>
        <w:fldChar w:fldCharType="separate"/>
      </w:r>
      <w:r w:rsidR="000E2E14" w:rsidRPr="003676D3">
        <w:rPr>
          <w:rFonts w:ascii="Times New Roman" w:hAnsi="Times New Roman" w:cs="Times New Roman"/>
          <w:noProof/>
          <w:sz w:val="24"/>
          <w:szCs w:val="24"/>
        </w:rPr>
        <w:t>[48]</w:t>
      </w:r>
      <w:r w:rsidR="000E2E14"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and the need to align with national objectives for integrating green energy sources. Moreover, the grid contends with heightened intricacy in maintaining grid stability in the event of intermittent power supply, as well as necessary action to mitigating peak demand surges to optimize energy utilization and reserve adequacy. </w:t>
      </w:r>
    </w:p>
    <w:p w14:paraId="55D611AA" w14:textId="23FFA4DB" w:rsidR="00E7634E" w:rsidRPr="003676D3" w:rsidRDefault="00E7634E"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The incessant demand for uninterrupted power supply further amplifies the complexity. Additionally, the proliferation of digitally controlled devices introduces a transformative shift in electrical load dynamics. Addressing these challenges mandates t</w:t>
      </w:r>
      <w:r w:rsidR="001D6C16" w:rsidRPr="003676D3">
        <w:rPr>
          <w:rFonts w:ascii="Times New Roman" w:hAnsi="Times New Roman" w:cs="Times New Roman"/>
          <w:sz w:val="24"/>
          <w:szCs w:val="24"/>
        </w:rPr>
        <w:t xml:space="preserve">he evolution of a </w:t>
      </w:r>
      <w:r w:rsidRPr="003676D3">
        <w:rPr>
          <w:rFonts w:ascii="Times New Roman" w:hAnsi="Times New Roman" w:cs="Times New Roman"/>
          <w:sz w:val="24"/>
          <w:szCs w:val="24"/>
        </w:rPr>
        <w:t>self-regulating,</w:t>
      </w:r>
      <w:r w:rsidR="001D6C16" w:rsidRPr="003676D3">
        <w:rPr>
          <w:rFonts w:ascii="Times New Roman" w:hAnsi="Times New Roman" w:cs="Times New Roman"/>
          <w:sz w:val="24"/>
          <w:szCs w:val="24"/>
        </w:rPr>
        <w:t xml:space="preserve"> intelligent</w:t>
      </w:r>
      <w:r w:rsidRPr="003676D3">
        <w:rPr>
          <w:rFonts w:ascii="Times New Roman" w:hAnsi="Times New Roman" w:cs="Times New Roman"/>
          <w:sz w:val="24"/>
          <w:szCs w:val="24"/>
        </w:rPr>
        <w:t xml:space="preserve"> and seamlessly integrated electric grid, facilitated by modern information and communication technology (ICT) techniques for efficient data manipulation and sharing. In this evolving landscape, Smart grids offer a responsive solution to these pressing demands, thereby </w:t>
      </w:r>
      <w:r w:rsidR="001D6C16" w:rsidRPr="003676D3">
        <w:rPr>
          <w:rFonts w:ascii="Times New Roman" w:hAnsi="Times New Roman" w:cs="Times New Roman"/>
          <w:sz w:val="24"/>
          <w:szCs w:val="24"/>
        </w:rPr>
        <w:t>making foundation</w:t>
      </w:r>
      <w:r w:rsidRPr="003676D3">
        <w:rPr>
          <w:rFonts w:ascii="Times New Roman" w:hAnsi="Times New Roman" w:cs="Times New Roman"/>
          <w:sz w:val="24"/>
          <w:szCs w:val="24"/>
        </w:rPr>
        <w:t xml:space="preserve"> for a resilient and sustainable electricity network</w:t>
      </w:r>
      <w:r w:rsidR="000E2E14" w:rsidRPr="003676D3">
        <w:rPr>
          <w:rFonts w:ascii="Times New Roman" w:hAnsi="Times New Roman" w:cs="Times New Roman"/>
          <w:sz w:val="24"/>
          <w:szCs w:val="24"/>
        </w:rPr>
        <w:t xml:space="preserve"> </w:t>
      </w:r>
      <w:r w:rsidR="000E2E14" w:rsidRPr="003676D3">
        <w:rPr>
          <w:rFonts w:ascii="Times New Roman" w:hAnsi="Times New Roman" w:cs="Times New Roman"/>
          <w:sz w:val="24"/>
          <w:szCs w:val="24"/>
        </w:rPr>
        <w:fldChar w:fldCharType="begin" w:fldLock="1"/>
      </w:r>
      <w:r w:rsidR="000E2E14" w:rsidRPr="003676D3">
        <w:rPr>
          <w:rFonts w:ascii="Times New Roman" w:hAnsi="Times New Roman" w:cs="Times New Roman"/>
          <w:sz w:val="24"/>
          <w:szCs w:val="24"/>
        </w:rPr>
        <w:instrText>ADDIN CSL_CITATION {"citationItems":[{"id":"ITEM-1","itemData":{"DOI":"10.3390/EN6010251","ISSN":"1996-1073","abstract":"The old electricity network infrastructure has proven to be inadequate, with respect to modern challenges such as alternative energy sources, electricity demand and energy saving policies. Moreover, Information and Communication Technologies (ICT) seem to have reached an adequate level of reliability and flexibility in order to support a new concept of electricity network — the smart grid. In this work, we will analyse the state-of-the-art of smart grids, in their technical, management, security, and optimization aspects. We will also provide a brief overview of the regulatory aspects involved in the development of a smart grid, mainly from the viewpoint of the European Union.","author":[{"dropping-particle":"","family":"Ardito","given":"Luca","non-dropping-particle":"","parse-names":false,"suffix":""},{"dropping-particle":"","family":"Procaccianti","given":"Giuseppe","non-dropping-particle":"","parse-names":false,"suffix":""},{"dropping-particle":"","family":"Menga","given":"Giuseppe","non-dropping-particle":"","parse-names":false,"suffix":""},{"dropping-particle":"","family":"Morisio","given":"Maurizio","non-dropping-particle":"","parse-names":false,"suffix":""}],"container-title":"Energies 2013, Vol. 6, Pages 251-281","id":"ITEM-1","issue":"1","issued":{"date-parts":[["2013","1","9"]]},"page":"251-281","publisher":"Multidisciplinary Digital Publishing Institute","title":"Smart Grid Technologies in Europe: An Overview","type":"article-journal","volume":"6"},"uris":["http://www.mendeley.com/documents/?uuid=e5c1c5b3-5c29-3ed3-b0c0-ee5f12709a45"]}],"mendeley":{"formattedCitation":"[49]","plainTextFormattedCitation":"[49]","previouslyFormattedCitation":"[49]"},"properties":{"noteIndex":0},"schema":"https://github.com/citation-style-language/schema/raw/master/csl-citation.json"}</w:instrText>
      </w:r>
      <w:r w:rsidR="000E2E14" w:rsidRPr="003676D3">
        <w:rPr>
          <w:rFonts w:ascii="Times New Roman" w:hAnsi="Times New Roman" w:cs="Times New Roman"/>
          <w:sz w:val="24"/>
          <w:szCs w:val="24"/>
        </w:rPr>
        <w:fldChar w:fldCharType="separate"/>
      </w:r>
      <w:r w:rsidR="000E2E14" w:rsidRPr="003676D3">
        <w:rPr>
          <w:rFonts w:ascii="Times New Roman" w:hAnsi="Times New Roman" w:cs="Times New Roman"/>
          <w:noProof/>
          <w:sz w:val="24"/>
          <w:szCs w:val="24"/>
        </w:rPr>
        <w:t>[49]</w:t>
      </w:r>
      <w:r w:rsidR="000E2E14"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w:t>
      </w:r>
    </w:p>
    <w:p w14:paraId="0D8656E7" w14:textId="6B5ABA79" w:rsidR="00F24BFF" w:rsidRPr="003676D3" w:rsidRDefault="00F24BFF"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The study examines surplus power generation</w:t>
      </w:r>
      <w:r w:rsidR="001D6C16" w:rsidRPr="003676D3">
        <w:rPr>
          <w:rFonts w:ascii="Times New Roman" w:hAnsi="Times New Roman" w:cs="Times New Roman"/>
          <w:sz w:val="24"/>
          <w:szCs w:val="24"/>
        </w:rPr>
        <w:t xml:space="preserve"> and the residual load</w:t>
      </w:r>
      <w:r w:rsidRPr="003676D3">
        <w:rPr>
          <w:rFonts w:ascii="Times New Roman" w:hAnsi="Times New Roman" w:cs="Times New Roman"/>
          <w:sz w:val="24"/>
          <w:szCs w:val="24"/>
        </w:rPr>
        <w:t xml:space="preserve"> scenario in 30 European countries in case of 100% RE penetration. For individual countries,</w:t>
      </w:r>
      <w:r w:rsidR="001D6C16" w:rsidRPr="003676D3">
        <w:rPr>
          <w:rFonts w:ascii="Times New Roman" w:hAnsi="Times New Roman" w:cs="Times New Roman"/>
          <w:sz w:val="24"/>
          <w:szCs w:val="24"/>
        </w:rPr>
        <w:t xml:space="preserve"> approximately 24% of the total </w:t>
      </w:r>
      <w:r w:rsidRPr="003676D3">
        <w:rPr>
          <w:rFonts w:ascii="Times New Roman" w:hAnsi="Times New Roman" w:cs="Times New Roman"/>
          <w:sz w:val="24"/>
          <w:szCs w:val="24"/>
        </w:rPr>
        <w:t>electricity consumption</w:t>
      </w:r>
      <w:r w:rsidR="001D6C16" w:rsidRPr="003676D3">
        <w:rPr>
          <w:rFonts w:ascii="Times New Roman" w:hAnsi="Times New Roman" w:cs="Times New Roman"/>
          <w:sz w:val="24"/>
          <w:szCs w:val="24"/>
        </w:rPr>
        <w:t xml:space="preserve"> in a year</w:t>
      </w:r>
      <w:r w:rsidRPr="003676D3">
        <w:rPr>
          <w:rFonts w:ascii="Times New Roman" w:hAnsi="Times New Roman" w:cs="Times New Roman"/>
          <w:sz w:val="24"/>
          <w:szCs w:val="24"/>
        </w:rPr>
        <w:t xml:space="preserve"> requires balancing. However, this lessens to 15% when all countries are interconnected with unrestricted interconnectors, thereby getting benefit of the maximum achievable transmission. The unconstrained interconnectors exhibit a Net Transfer Capacity about 11.5 times greater than current values. Nonetheless, constrained interconnector capacities, at 5.7 times the curren</w:t>
      </w:r>
      <w:r w:rsidR="00996978" w:rsidRPr="003676D3">
        <w:rPr>
          <w:rFonts w:ascii="Times New Roman" w:hAnsi="Times New Roman" w:cs="Times New Roman"/>
          <w:sz w:val="24"/>
          <w:szCs w:val="24"/>
        </w:rPr>
        <w:t>t value</w:t>
      </w:r>
      <w:r w:rsidRPr="003676D3">
        <w:rPr>
          <w:rFonts w:ascii="Times New Roman" w:hAnsi="Times New Roman" w:cs="Times New Roman"/>
          <w:sz w:val="24"/>
          <w:szCs w:val="24"/>
        </w:rPr>
        <w:t>, deliver 98% of the maximum feasible transmission benefit</w:t>
      </w:r>
      <w:r w:rsidR="000E2E14" w:rsidRPr="003676D3">
        <w:rPr>
          <w:rFonts w:ascii="Times New Roman" w:hAnsi="Times New Roman" w:cs="Times New Roman"/>
          <w:sz w:val="24"/>
          <w:szCs w:val="24"/>
        </w:rPr>
        <w:t xml:space="preserve"> </w:t>
      </w:r>
      <w:r w:rsidR="000E2E14" w:rsidRPr="003676D3">
        <w:rPr>
          <w:rFonts w:ascii="Times New Roman" w:hAnsi="Times New Roman" w:cs="Times New Roman"/>
          <w:sz w:val="24"/>
          <w:szCs w:val="24"/>
        </w:rPr>
        <w:fldChar w:fldCharType="begin" w:fldLock="1"/>
      </w:r>
      <w:r w:rsidR="000E2E14" w:rsidRPr="003676D3">
        <w:rPr>
          <w:rFonts w:ascii="Times New Roman" w:hAnsi="Times New Roman" w:cs="Times New Roman"/>
          <w:sz w:val="24"/>
          <w:szCs w:val="24"/>
        </w:rPr>
        <w:instrText>ADDIN CSL_CITATION {"citationItems":[{"id":"ITEM-1","itemData":{"DOI":"10.1016/J.RENENE.2013.10.005","ISSN":"0960-1481","abstract":"The residual load and excess power generation of 30 European countries with a 100% penetration of variable renewable energy sources are explored in order to quantify the benefit of power transmission between countries. Estimates are based on extensive weather data, which allows for modelling of hourly mismatches between the demand and renewable generation from wind and solar photovoltaics. For separated countries, balancing is required to cover around 24% of the total annual electricity consumption. This number can be reduced down to 15% once all countries are networked together with unconstrained interconnectors. The reduction represents the maximum possible benefit of transmission for the countries. The total Net Transfer Capacity of the unconstrained interconnectors is roughly 11.5 times larger than current values. However, constrained interconnector capacities 5.7 times larger than the current values are found to provide 98% of the maximum possible benefit of transmission. This motivates a detailed investigation of several constrained transmission capacity layouts to determine the export and import capabilities of countries participating in a fully renewable European electricity system. © 2013 Elsevier Ltd.","author":[{"dropping-particle":"","family":"Rodríguez","given":"Rolando A.","non-dropping-particle":"","parse-names":false,"suffix":""},{"dropping-particle":"","family":"Becker","given":"Sarah","non-dropping-particle":"","parse-names":false,"suffix":""},{"dropping-particle":"","family":"Andresen","given":"Gorm B.","non-dropping-particle":"","parse-names":false,"suffix":""},{"dropping-particle":"","family":"Heide","given":"Dominik","non-dropping-particle":"","parse-names":false,"suffix":""},{"dropping-particle":"","family":"Greiner","given":"Martin","non-dropping-particle":"","parse-names":false,"suffix":""}],"container-title":"Renewable Energy","id":"ITEM-1","issued":{"date-parts":[["2014","3","1"]]},"page":"467-476","publisher":"Pergamon","title":"Transmission needs across a fully renewable European power system","type":"article-journal","volume":"63"},"uris":["http://www.mendeley.com/documents/?uuid=1ae66115-95fc-322e-9c3e-3bf90f00783c"]}],"mendeley":{"formattedCitation":"[50]","plainTextFormattedCitation":"[50]","previouslyFormattedCitation":"[50]"},"properties":{"noteIndex":0},"schema":"https://github.com/citation-style-language/schema/raw/master/csl-citation.json"}</w:instrText>
      </w:r>
      <w:r w:rsidR="000E2E14" w:rsidRPr="003676D3">
        <w:rPr>
          <w:rFonts w:ascii="Times New Roman" w:hAnsi="Times New Roman" w:cs="Times New Roman"/>
          <w:sz w:val="24"/>
          <w:szCs w:val="24"/>
        </w:rPr>
        <w:fldChar w:fldCharType="separate"/>
      </w:r>
      <w:r w:rsidR="000E2E14" w:rsidRPr="003676D3">
        <w:rPr>
          <w:rFonts w:ascii="Times New Roman" w:hAnsi="Times New Roman" w:cs="Times New Roman"/>
          <w:noProof/>
          <w:sz w:val="24"/>
          <w:szCs w:val="24"/>
        </w:rPr>
        <w:t>[50]</w:t>
      </w:r>
      <w:r w:rsidR="000E2E14" w:rsidRPr="003676D3">
        <w:rPr>
          <w:rFonts w:ascii="Times New Roman" w:hAnsi="Times New Roman" w:cs="Times New Roman"/>
          <w:sz w:val="24"/>
          <w:szCs w:val="24"/>
        </w:rPr>
        <w:fldChar w:fldCharType="end"/>
      </w:r>
      <w:r w:rsidRPr="003676D3">
        <w:rPr>
          <w:rFonts w:ascii="Times New Roman" w:hAnsi="Times New Roman" w:cs="Times New Roman"/>
          <w:sz w:val="24"/>
          <w:szCs w:val="24"/>
        </w:rPr>
        <w:t>.</w:t>
      </w:r>
    </w:p>
    <w:p w14:paraId="7E93C68D" w14:textId="473DD4FA" w:rsidR="00540AED" w:rsidRPr="003676D3" w:rsidRDefault="00F90B76"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A research study employing "LUT Energy System Transition model" simulates two distinct pathways toward achieving a 100% </w:t>
      </w:r>
      <w:r w:rsidR="001D6C16" w:rsidRPr="003676D3">
        <w:rPr>
          <w:rFonts w:ascii="Times New Roman" w:hAnsi="Times New Roman" w:cs="Times New Roman"/>
          <w:sz w:val="24"/>
          <w:szCs w:val="24"/>
        </w:rPr>
        <w:t>RE</w:t>
      </w:r>
      <w:r w:rsidRPr="003676D3">
        <w:rPr>
          <w:rFonts w:ascii="Times New Roman" w:hAnsi="Times New Roman" w:cs="Times New Roman"/>
          <w:sz w:val="24"/>
          <w:szCs w:val="24"/>
        </w:rPr>
        <w:t xml:space="preserve"> power sector in Europe by 2050</w:t>
      </w:r>
      <w:r w:rsidR="000E2E14" w:rsidRPr="003676D3">
        <w:rPr>
          <w:rFonts w:ascii="Times New Roman" w:hAnsi="Times New Roman" w:cs="Times New Roman"/>
          <w:sz w:val="24"/>
          <w:szCs w:val="24"/>
        </w:rPr>
        <w:t xml:space="preserve"> </w:t>
      </w:r>
      <w:r w:rsidR="000E2E14" w:rsidRPr="003676D3">
        <w:rPr>
          <w:rFonts w:ascii="Times New Roman" w:hAnsi="Times New Roman" w:cs="Times New Roman"/>
          <w:sz w:val="24"/>
          <w:szCs w:val="24"/>
        </w:rPr>
        <w:fldChar w:fldCharType="begin" w:fldLock="1"/>
      </w:r>
      <w:r w:rsidR="000E2E14" w:rsidRPr="003676D3">
        <w:rPr>
          <w:rFonts w:ascii="Times New Roman" w:hAnsi="Times New Roman" w:cs="Times New Roman"/>
          <w:sz w:val="24"/>
          <w:szCs w:val="24"/>
        </w:rPr>
        <w:instrText>ADDIN CSL_CITATION {"citationItems":[{"id":"ITEM-1","itemData":{"DOI":"10.1016/J.RENENE.2019.02.077","ISSN":"0960-1481","abstract":"Two transition pathways towards a 100% renewable energy (RE) power sector by 2050 are simulated for Europe using the LUT Energy System Transition model. The first is a Regions scenario, whereby regions are modelled independently, and the second is an Area scenario, which has transmission interconnections between regions. Modelling is performed in hourly resolution for 5-year time intervals, from 2015 to 2050, and considers current capacities and ages of power plants, as well as projected increases in future electricity demands. Results of the optimisation suggest that the levelised cost of electricity could fall from the current 69 €/MWh to 56 €/MWh in the Regions scenario and 51 €/MWh in the Area scenario through the adoption of low cost, flexible RE generation and energy storage. Further savings can result from increasing transmission interconnections by a factor of approximately four. This suggests that there is merit in further development of a European Energy Union, one that provides clear governance at a European level, but allows for development that is appropriate for regional contexts. This is the essence of a SuperSmart approach. A 100% RE energy system for Europe is economically competitive, technologically feasible, and consistent with targets of the Paris Agreement.","author":[{"dropping-particle":"","family":"Child","given":"Michael","non-dropping-particle":"","parse-names":false,"suffix":""},{"dropping-particle":"","family":"Kemfert","given":"Claudia","non-dropping-particle":"","parse-names":false,"suffix":""},{"dropping-particle":"","family":"Bogdanov","given":"Dmitrii","non-dropping-particle":"","parse-names":false,"suffix":""},{"dropping-particle":"","family":"Breyer","given":"Christian","non-dropping-particle":"","parse-names":false,"suffix":""}],"container-title":"Renewable Energy","id":"ITEM-1","issued":{"date-parts":[["2019","8","1"]]},"page":"80-101","publisher":"Pergamon","title":"Flexible electricity generation, grid exchange and storage for the transition to a 100% renewable energy system in Europe","type":"article-journal","volume":"139"},"uris":["http://www.mendeley.com/documents/?uuid=f53bc38e-2407-306c-a568-78476f4a782f"]}],"mendeley":{"formattedCitation":"[39]","plainTextFormattedCitation":"[39]","previouslyFormattedCitation":"[39]"},"properties":{"noteIndex":0},"schema":"https://github.com/citation-style-language/schema/raw/master/csl-citation.json"}</w:instrText>
      </w:r>
      <w:r w:rsidR="000E2E14" w:rsidRPr="003676D3">
        <w:rPr>
          <w:rFonts w:ascii="Times New Roman" w:hAnsi="Times New Roman" w:cs="Times New Roman"/>
          <w:sz w:val="24"/>
          <w:szCs w:val="24"/>
        </w:rPr>
        <w:fldChar w:fldCharType="separate"/>
      </w:r>
      <w:r w:rsidR="000E2E14" w:rsidRPr="003676D3">
        <w:rPr>
          <w:rFonts w:ascii="Times New Roman" w:hAnsi="Times New Roman" w:cs="Times New Roman"/>
          <w:noProof/>
          <w:sz w:val="24"/>
          <w:szCs w:val="24"/>
        </w:rPr>
        <w:t>[39]</w:t>
      </w:r>
      <w:r w:rsidR="000E2E14"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The first scenario models regions independently, while the Area scenario incorporates transmission interconnections between regions. The </w:t>
      </w:r>
      <w:r w:rsidR="009D0E7D" w:rsidRPr="003676D3">
        <w:rPr>
          <w:rFonts w:ascii="Times New Roman" w:hAnsi="Times New Roman" w:cs="Times New Roman"/>
          <w:sz w:val="24"/>
          <w:szCs w:val="24"/>
        </w:rPr>
        <w:t>modelling</w:t>
      </w:r>
      <w:r w:rsidRPr="003676D3">
        <w:rPr>
          <w:rFonts w:ascii="Times New Roman" w:hAnsi="Times New Roman" w:cs="Times New Roman"/>
          <w:sz w:val="24"/>
          <w:szCs w:val="24"/>
        </w:rPr>
        <w:t xml:space="preserve"> framework accounts for current power plant capacities and ages, along with anticipated increases in future electricity demands. </w:t>
      </w:r>
      <w:r w:rsidR="00996978" w:rsidRPr="003676D3">
        <w:rPr>
          <w:rFonts w:ascii="Times New Roman" w:hAnsi="Times New Roman" w:cs="Times New Roman"/>
          <w:sz w:val="24"/>
          <w:szCs w:val="24"/>
        </w:rPr>
        <w:t>The optimization results suggest that the levelized cost of electricity could poten</w:t>
      </w:r>
      <w:r w:rsidR="001D6C16" w:rsidRPr="003676D3">
        <w:rPr>
          <w:rFonts w:ascii="Times New Roman" w:hAnsi="Times New Roman" w:cs="Times New Roman"/>
          <w:sz w:val="24"/>
          <w:szCs w:val="24"/>
        </w:rPr>
        <w:t>tially decrease from the</w:t>
      </w:r>
      <w:r w:rsidR="00996978" w:rsidRPr="003676D3">
        <w:rPr>
          <w:rFonts w:ascii="Times New Roman" w:hAnsi="Times New Roman" w:cs="Times New Roman"/>
          <w:sz w:val="24"/>
          <w:szCs w:val="24"/>
        </w:rPr>
        <w:t xml:space="preserve"> 69 €/MWh to 56 €/MWh in the regional scenario and 51 €/MWh in the area scenario, enabled by the adoption of cost-effective, flexible renewable energy generation and energy storage solutions. </w:t>
      </w:r>
      <w:r w:rsidRPr="003676D3">
        <w:rPr>
          <w:rFonts w:ascii="Times New Roman" w:hAnsi="Times New Roman" w:cs="Times New Roman"/>
          <w:sz w:val="24"/>
          <w:szCs w:val="24"/>
        </w:rPr>
        <w:t xml:space="preserve">The second scenario supports the idea of the transition from smart to super smart grid. </w:t>
      </w:r>
    </w:p>
    <w:p w14:paraId="01B44D0A" w14:textId="1060E0E3" w:rsidR="000E2E14" w:rsidRPr="003676D3" w:rsidRDefault="00F24BFF"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lastRenderedPageBreak/>
        <w:t xml:space="preserve">SG’s are imperative to take maximum advantage of most </w:t>
      </w:r>
      <w:r w:rsidR="009D0E7D" w:rsidRPr="003676D3">
        <w:rPr>
          <w:rFonts w:ascii="Times New Roman" w:hAnsi="Times New Roman" w:cs="Times New Roman"/>
          <w:sz w:val="24"/>
          <w:szCs w:val="24"/>
        </w:rPr>
        <w:t>intermittent</w:t>
      </w:r>
      <w:r w:rsidRPr="003676D3">
        <w:rPr>
          <w:rFonts w:ascii="Times New Roman" w:hAnsi="Times New Roman" w:cs="Times New Roman"/>
          <w:sz w:val="24"/>
          <w:szCs w:val="24"/>
        </w:rPr>
        <w:t xml:space="preserve"> RE resources</w:t>
      </w:r>
      <w:r w:rsidR="009D0E7D" w:rsidRPr="003676D3">
        <w:rPr>
          <w:rFonts w:ascii="Times New Roman" w:hAnsi="Times New Roman" w:cs="Times New Roman"/>
          <w:sz w:val="24"/>
          <w:szCs w:val="24"/>
        </w:rPr>
        <w:t xml:space="preserve"> (RER)</w:t>
      </w:r>
      <w:r w:rsidRPr="003676D3">
        <w:rPr>
          <w:rFonts w:ascii="Times New Roman" w:hAnsi="Times New Roman" w:cs="Times New Roman"/>
          <w:sz w:val="24"/>
          <w:szCs w:val="24"/>
        </w:rPr>
        <w:t xml:space="preserve"> due to their capability to </w:t>
      </w:r>
      <w:r w:rsidR="00886C5A" w:rsidRPr="003676D3">
        <w:rPr>
          <w:rFonts w:ascii="Times New Roman" w:hAnsi="Times New Roman" w:cs="Times New Roman"/>
          <w:sz w:val="24"/>
          <w:szCs w:val="24"/>
        </w:rPr>
        <w:t>manage and monitor</w:t>
      </w:r>
      <w:r w:rsidRPr="003676D3">
        <w:rPr>
          <w:rFonts w:ascii="Times New Roman" w:hAnsi="Times New Roman" w:cs="Times New Roman"/>
          <w:sz w:val="24"/>
          <w:szCs w:val="24"/>
        </w:rPr>
        <w:t xml:space="preserve"> </w:t>
      </w:r>
      <w:r w:rsidR="00886C5A" w:rsidRPr="003676D3">
        <w:rPr>
          <w:rFonts w:ascii="Times New Roman" w:hAnsi="Times New Roman" w:cs="Times New Roman"/>
          <w:sz w:val="24"/>
          <w:szCs w:val="24"/>
        </w:rPr>
        <w:t>the delivery the energy in real-</w:t>
      </w:r>
      <w:r w:rsidRPr="003676D3">
        <w:rPr>
          <w:rFonts w:ascii="Times New Roman" w:hAnsi="Times New Roman" w:cs="Times New Roman"/>
          <w:sz w:val="24"/>
          <w:szCs w:val="24"/>
        </w:rPr>
        <w:t>time by means of a communication devices for automatic reconfiguration of RE</w:t>
      </w:r>
      <w:r w:rsidR="009D0E7D" w:rsidRPr="003676D3">
        <w:rPr>
          <w:rFonts w:ascii="Times New Roman" w:hAnsi="Times New Roman" w:cs="Times New Roman"/>
          <w:sz w:val="24"/>
          <w:szCs w:val="24"/>
        </w:rPr>
        <w:t>R</w:t>
      </w:r>
      <w:r w:rsidRPr="003676D3">
        <w:rPr>
          <w:rFonts w:ascii="Times New Roman" w:hAnsi="Times New Roman" w:cs="Times New Roman"/>
          <w:sz w:val="24"/>
          <w:szCs w:val="24"/>
        </w:rPr>
        <w:t>. One aspect of SG deployment is to reduce the peak demand, thus making way to incorporate new loads such as, electric vehicles. The bidirectional flow of data provides consumers with insights on electricity consumed and price. Now, in case of transition from smart grids to super-grids, serving as large</w:t>
      </w:r>
      <w:r w:rsidR="009D0E7D" w:rsidRPr="003676D3">
        <w:rPr>
          <w:rFonts w:ascii="Times New Roman" w:hAnsi="Times New Roman" w:cs="Times New Roman"/>
          <w:sz w:val="24"/>
          <w:szCs w:val="24"/>
        </w:rPr>
        <w:t>-</w:t>
      </w:r>
      <w:r w:rsidRPr="003676D3">
        <w:rPr>
          <w:rFonts w:ascii="Times New Roman" w:hAnsi="Times New Roman" w:cs="Times New Roman"/>
          <w:sz w:val="24"/>
          <w:szCs w:val="24"/>
        </w:rPr>
        <w:t>scale transmission networks between wide geographical areas, make use of high-voltage direct current (HVDC) technology. One example of</w:t>
      </w:r>
      <w:r w:rsidR="009D0E7D" w:rsidRPr="003676D3">
        <w:rPr>
          <w:rFonts w:ascii="Times New Roman" w:hAnsi="Times New Roman" w:cs="Times New Roman"/>
          <w:sz w:val="24"/>
          <w:szCs w:val="24"/>
        </w:rPr>
        <w:t xml:space="preserve"> the</w:t>
      </w:r>
      <w:r w:rsidRPr="003676D3">
        <w:rPr>
          <w:rFonts w:ascii="Times New Roman" w:hAnsi="Times New Roman" w:cs="Times New Roman"/>
          <w:sz w:val="24"/>
          <w:szCs w:val="24"/>
        </w:rPr>
        <w:t xml:space="preserve"> super</w:t>
      </w:r>
      <w:r w:rsidR="009D0E7D" w:rsidRPr="003676D3">
        <w:rPr>
          <w:rFonts w:ascii="Times New Roman" w:hAnsi="Times New Roman" w:cs="Times New Roman"/>
          <w:sz w:val="24"/>
          <w:szCs w:val="24"/>
        </w:rPr>
        <w:t>-grid is the project</w:t>
      </w:r>
      <w:r w:rsidRPr="003676D3">
        <w:rPr>
          <w:rFonts w:ascii="Times New Roman" w:hAnsi="Times New Roman" w:cs="Times New Roman"/>
          <w:sz w:val="24"/>
          <w:szCs w:val="24"/>
        </w:rPr>
        <w:t xml:space="preserve"> under the </w:t>
      </w:r>
      <w:proofErr w:type="spellStart"/>
      <w:r w:rsidRPr="003676D3">
        <w:rPr>
          <w:rFonts w:ascii="Times New Roman" w:hAnsi="Times New Roman" w:cs="Times New Roman"/>
          <w:sz w:val="24"/>
          <w:szCs w:val="24"/>
        </w:rPr>
        <w:t>Desertec</w:t>
      </w:r>
      <w:proofErr w:type="spellEnd"/>
      <w:r w:rsidRPr="003676D3">
        <w:rPr>
          <w:rFonts w:ascii="Times New Roman" w:hAnsi="Times New Roman" w:cs="Times New Roman"/>
          <w:sz w:val="24"/>
          <w:szCs w:val="24"/>
        </w:rPr>
        <w:t xml:space="preserve"> progr</w:t>
      </w:r>
      <w:r w:rsidR="009D0E7D" w:rsidRPr="003676D3">
        <w:rPr>
          <w:rFonts w:ascii="Times New Roman" w:hAnsi="Times New Roman" w:cs="Times New Roman"/>
          <w:sz w:val="24"/>
          <w:szCs w:val="24"/>
        </w:rPr>
        <w:t>am, which links RER from North Africa and Europe</w:t>
      </w:r>
      <w:r w:rsidR="000E2E14" w:rsidRPr="003676D3">
        <w:rPr>
          <w:rFonts w:ascii="Times New Roman" w:hAnsi="Times New Roman" w:cs="Times New Roman"/>
          <w:sz w:val="24"/>
          <w:szCs w:val="24"/>
        </w:rPr>
        <w:t xml:space="preserve"> </w:t>
      </w:r>
      <w:r w:rsidR="000E2E14" w:rsidRPr="003676D3">
        <w:rPr>
          <w:rFonts w:ascii="Times New Roman" w:hAnsi="Times New Roman" w:cs="Times New Roman"/>
          <w:sz w:val="24"/>
          <w:szCs w:val="24"/>
        </w:rPr>
        <w:fldChar w:fldCharType="begin" w:fldLock="1"/>
      </w:r>
      <w:r w:rsidR="000E2E14" w:rsidRPr="003676D3">
        <w:rPr>
          <w:rFonts w:ascii="Times New Roman" w:hAnsi="Times New Roman" w:cs="Times New Roman"/>
          <w:sz w:val="24"/>
          <w:szCs w:val="24"/>
        </w:rPr>
        <w:instrText>ADDIN CSL_CITATION {"citationItems":[{"id":"ITEM-1","itemData":{"DOI":"10.1007/978-1-4471-4385-7_16","ISBN":"9781447143840","ISSN":"21951284","abstract":"Smart grids are necessary to take full advantage of most intermitent renewable resources such as wind and solar, since they are able to monitor and manage the delivery of power in real time. One important goal of smart grid deployment is also to reduce the peak demands, thus increasing the options for new loads such as, for example, electric vehicles. The deployment of the smart power grid will be accompanied by the development of other advanced technological areas, such as real-time monitoring of the whole power system by means of a communication meters for automatic reconfiguration of renewable resources. In addition, advanced metering enables bidirectional flow of information and, therefore, provides consumers with valuable data on electricity consumed and price. In this chapter, we also review the state of the art in supergrids, which will serve as large transmission networks between wide geographical areas. Many of the supergrids are starting to make use of high-voltage direct current (HVDC) technology, due to their very low losses specially across oceans. One interesting example of supergrid is the one projected under the Desertec program linking renewable resources from North Africa and Europe, but other supergrid projects are also in advance in other regions of the world. © Springer-Verlag London 2013.","container-title":"Lecture Notes in Energy","id":"ITEM-1","issued":{"date-parts":[["2013"]]},"page":"335-352","title":"Smart Grids and Supergrids","type":"article-journal","volume":"3"},"uris":["http://www.mendeley.com/documents/?uuid=39fc8c3c-70ad-3ede-9f75-da06f332ba55"]}],"mendeley":{"formattedCitation":"[51]","plainTextFormattedCitation":"[51]","previouslyFormattedCitation":"[51]"},"properties":{"noteIndex":0},"schema":"https://github.com/citation-style-language/schema/raw/master/csl-citation.json"}</w:instrText>
      </w:r>
      <w:r w:rsidR="000E2E14" w:rsidRPr="003676D3">
        <w:rPr>
          <w:rFonts w:ascii="Times New Roman" w:hAnsi="Times New Roman" w:cs="Times New Roman"/>
          <w:sz w:val="24"/>
          <w:szCs w:val="24"/>
        </w:rPr>
        <w:fldChar w:fldCharType="separate"/>
      </w:r>
      <w:r w:rsidR="000E2E14" w:rsidRPr="003676D3">
        <w:rPr>
          <w:rFonts w:ascii="Times New Roman" w:hAnsi="Times New Roman" w:cs="Times New Roman"/>
          <w:noProof/>
          <w:sz w:val="24"/>
          <w:szCs w:val="24"/>
        </w:rPr>
        <w:t>[51]</w:t>
      </w:r>
      <w:r w:rsidR="000E2E14" w:rsidRPr="003676D3">
        <w:rPr>
          <w:rFonts w:ascii="Times New Roman" w:hAnsi="Times New Roman" w:cs="Times New Roman"/>
          <w:sz w:val="24"/>
          <w:szCs w:val="24"/>
        </w:rPr>
        <w:fldChar w:fldCharType="end"/>
      </w:r>
      <w:r w:rsidR="000E2E14" w:rsidRPr="003676D3">
        <w:rPr>
          <w:rFonts w:ascii="Times New Roman" w:hAnsi="Times New Roman" w:cs="Times New Roman"/>
          <w:sz w:val="24"/>
          <w:szCs w:val="24"/>
        </w:rPr>
        <w:t xml:space="preserve">. </w:t>
      </w:r>
      <w:r w:rsidR="000E2E14" w:rsidRPr="003676D3">
        <w:rPr>
          <w:rFonts w:ascii="Times New Roman" w:hAnsi="Times New Roman" w:cs="Times New Roman"/>
          <w:sz w:val="24"/>
          <w:szCs w:val="24"/>
        </w:rPr>
        <w:fldChar w:fldCharType="begin"/>
      </w:r>
      <w:r w:rsidR="000E2E14" w:rsidRPr="003676D3">
        <w:rPr>
          <w:rFonts w:ascii="Times New Roman" w:hAnsi="Times New Roman" w:cs="Times New Roman"/>
          <w:sz w:val="24"/>
          <w:szCs w:val="24"/>
        </w:rPr>
        <w:instrText xml:space="preserve"> REF _Ref168036242 \h  \* MERGEFORMAT </w:instrText>
      </w:r>
      <w:r w:rsidR="000E2E14" w:rsidRPr="003676D3">
        <w:rPr>
          <w:rFonts w:ascii="Times New Roman" w:hAnsi="Times New Roman" w:cs="Times New Roman"/>
          <w:sz w:val="24"/>
          <w:szCs w:val="24"/>
        </w:rPr>
      </w:r>
      <w:r w:rsidR="000E2E14" w:rsidRPr="003676D3">
        <w:rPr>
          <w:rFonts w:ascii="Times New Roman" w:hAnsi="Times New Roman" w:cs="Times New Roman"/>
          <w:sz w:val="24"/>
          <w:szCs w:val="24"/>
        </w:rPr>
        <w:fldChar w:fldCharType="separate"/>
      </w:r>
      <w:r w:rsidR="008D1E2C" w:rsidRPr="003676D3">
        <w:rPr>
          <w:rFonts w:ascii="Times New Roman" w:hAnsi="Times New Roman" w:cs="Times New Roman"/>
          <w:b/>
          <w:bCs/>
          <w:sz w:val="24"/>
          <w:szCs w:val="24"/>
        </w:rPr>
        <w:t xml:space="preserve">Table </w:t>
      </w:r>
      <w:r w:rsidR="008D1E2C" w:rsidRPr="003676D3">
        <w:rPr>
          <w:rFonts w:ascii="Times New Roman" w:hAnsi="Times New Roman" w:cs="Times New Roman"/>
          <w:b/>
          <w:bCs/>
          <w:noProof/>
          <w:sz w:val="24"/>
          <w:szCs w:val="24"/>
        </w:rPr>
        <w:t>2</w:t>
      </w:r>
      <w:r w:rsidR="000E2E14" w:rsidRPr="003676D3">
        <w:rPr>
          <w:rFonts w:ascii="Times New Roman" w:hAnsi="Times New Roman" w:cs="Times New Roman"/>
          <w:sz w:val="24"/>
          <w:szCs w:val="24"/>
        </w:rPr>
        <w:fldChar w:fldCharType="end"/>
      </w:r>
      <w:r w:rsidR="000E2E14" w:rsidRPr="003676D3">
        <w:rPr>
          <w:rFonts w:ascii="Times New Roman" w:hAnsi="Times New Roman" w:cs="Times New Roman"/>
          <w:sz w:val="24"/>
          <w:szCs w:val="24"/>
        </w:rPr>
        <w:t xml:space="preserve"> </w:t>
      </w:r>
      <w:r w:rsidR="009D0E7D" w:rsidRPr="003676D3">
        <w:rPr>
          <w:rFonts w:ascii="Times New Roman" w:hAnsi="Times New Roman" w:cs="Times New Roman"/>
          <w:sz w:val="24"/>
          <w:szCs w:val="24"/>
        </w:rPr>
        <w:t>provides a comparison of attributes in case of transition from conventional to super grid</w:t>
      </w:r>
      <w:r w:rsidR="000E2E14" w:rsidRPr="003676D3">
        <w:rPr>
          <w:rFonts w:ascii="Times New Roman" w:hAnsi="Times New Roman" w:cs="Times New Roman"/>
          <w:sz w:val="24"/>
          <w:szCs w:val="24"/>
        </w:rPr>
        <w:t xml:space="preserve"> </w:t>
      </w:r>
      <w:r w:rsidR="000E2E14" w:rsidRPr="003676D3">
        <w:rPr>
          <w:rFonts w:ascii="Times New Roman" w:hAnsi="Times New Roman" w:cs="Times New Roman"/>
          <w:sz w:val="24"/>
          <w:szCs w:val="24"/>
        </w:rPr>
        <w:fldChar w:fldCharType="begin" w:fldLock="1"/>
      </w:r>
      <w:r w:rsidR="003E60B6" w:rsidRPr="003676D3">
        <w:rPr>
          <w:rFonts w:ascii="Times New Roman" w:hAnsi="Times New Roman" w:cs="Times New Roman"/>
          <w:sz w:val="24"/>
          <w:szCs w:val="24"/>
        </w:rPr>
        <w:instrText>ADDIN CSL_CITATION {"citationItems":[{"id":"ITEM-1","itemData":{"DOI":"10.1016/j.heliyon.2024.e25705","ISSN":"24058440","abstract":"Energy generation and management are relevant for both utilities and electricity users, and they can be improved by incorporating sophisticated technology on smart grid. This opens up the possibility of transforming existing industries into a new era of enhanced networks that will give an intelligent, responsive, and bi-directional automatic management system for power generation, transmission, and distribution. The traditional grid is transitioning from a centralized generation structure to a more dispersed smart grid structure. In order to build this new decentralized structure, loads must be fully integrated into the grid and adequately separated from the main grid. The smart grid allows for the integration of loads that are clean, cost-effective, and efficient. The growing level of distributed generation (DG) integration puts the grid under strain, resulting in perturbations with dynamic responses. This paper discussed a detailed review of current developments in smart grid through the integration of renewable energy resources (RERs) into the grid. The purpose of this study is to present a comprehensive, up-to-date review of RERs integration on grid to evaluate research directions, progress, challenges, and potential solutions. It focuses on the concepts and structure of smart grids, followed by an in-depth examination of smart grid overview, energy sources, inertia issues, and applications. This evaluation will assist other researchers investigating smart grid energy resources in identifying research problems and gaps.","author":[{"dropping-particle":"","family":"Ohanu","given":"Chibuike Peter","non-dropping-particle":"","parse-names":false,"suffix":""},{"dropping-particle":"","family":"Rufai","given":"Salihu Ahmed","non-dropping-particle":"","parse-names":false,"suffix":""},{"dropping-particle":"","family":"Oluchi","given":"Ugbe Christiana","non-dropping-particle":"","parse-names":false,"suffix":""}],"container-title":"Heliyon","id":"ITEM-1","issue":"3","issued":{"date-parts":[["2024","2","15"]]},"publisher":"Elsevier Ltd","title":"A comprehensive review of recent developments in smart grid through renewable energy resources integration","type":"article-journal","volume":"10"},"uris":["http://www.mendeley.com/documents/?uuid=93892bc4-fb03-32f2-bd3b-45d56e84a092"]},{"id":"ITEM-2","itemData":{"DOI":"10.1016/j.seta.2023.103363","ISSN":"22131388","abstract":"Renewable energy is the most promising solution to the rising problem of greenhouse gas emissions, and it also contributes to environmental protection. A typical electrical grid is a unidirectional system that converts just one-third of the fuel energy into electricity and does not recover waste heat. Almost 8% of its output is lost via transmission lines and 20% of its capacity exists primarily to meet peak demand. Smart grids are controlled power networks that provide several benefits such as expansion and effective management of renewable energy sources. The present review provides an elaborative discussion on smart technologies in terms of characteristics, energy storage systems, demand side management, communication technologies, grid security, and privacy. The present review also highlights important issues for smart grid integration with renewable energy. It is revealed that the communication network and appropriate demand side management with suitable algorithms are highly important for futuristic smart grid integration. Finally, the evolution of Indian energy legislation and regulations, as well as the main barriers are reviewed. A few policy recommendations are also tallied at the conclusion based on the assessment.","author":[{"dropping-particle":"","family":"Kataray","given":"Tarun","non-dropping-particle":"","parse-names":false,"suffix":""},{"dropping-particle":"","family":"Nitesh","given":"B.","non-dropping-particle":"","parse-names":false,"suffix":""},{"dropping-particle":"","family":"Yarram","given":"Bharath","non-dropping-particle":"","parse-names":false,"suffix":""},{"dropping-particle":"","family":"Sinha","given":"Sanyukta","non-dropping-particle":"","parse-names":false,"suffix":""},{"dropping-particle":"","family":"Cuce","given":"Erdem","non-dropping-particle":"","parse-names":false,"suffix":""},{"dropping-particle":"","family":"Shaik","given":"Saboor","non-dropping-particle":"","parse-names":false,"suffix":""},{"dropping-particle":"","family":"Vigneshwaran","given":"Pethurajan","non-dropping-particle":"","parse-names":false,"suffix":""},{"dropping-particle":"","family":"Roy","given":"Abin","non-dropping-particle":"","parse-names":false,"suffix":""}],"container-title":"Sustainable Energy Technologies and Assessments","id":"ITEM-2","issued":{"date-parts":[["2023","8","1"]]},"publisher":"Elsevier Ltd","title":"Integration of smart grid with renewable energy sources: Opportunities and challenges – A comprehensive review","type":"article-journal","volume":"58"},"uris":["http://www.mendeley.com/documents/?uuid=ec80962e-cfac-3906-8ece-8a74bc57b583"]},{"id":"ITEM-3","itemData":{"DOI":"10.1007/978-1-4471-4385-7_16","ISBN":"9781447143840","ISSN":"21951284","abstract":"Smart grids are necessary to take full advantage of most intermitent renewable resources such as wind and solar, since they are able to monitor and manage the delivery of power in real time. One important goal of smart grid deployment is also to reduce the peak demands, thus increasing the options for new loads such as, for example, electric vehicles. The deployment of the smart power grid will be accompanied by the development of other advanced technological areas, such as real-time monitoring of the whole power system by means of a communication meters for automatic reconfiguration of renewable resources. In addition, advanced metering enables bidirectional flow of information and, therefore, provides consumers with valuable data on electricity consumed and price. In this chapter, we also review the state of the art in supergrids, which will serve as large transmission networks between wide geographical areas. Many of the supergrids are starting to make use of high-voltage direct current (HVDC) technology, due to their very low losses specially across oceans. One interesting example of supergrid is the one projected under the Desertec program linking renewable resources from North Africa and Europe, but other supergrid projects are also in advance in other regions of the world. © Springer-Verlag London 2013.","container-title":"Lecture Notes in Energy","id":"ITEM-3","issued":{"date-parts":[["2013"]]},"page":"335-352","title":"Smart Grids and Supergrids","type":"article-journal","volume":"3"},"uris":["http://www.mendeley.com/documents/?uuid=39fc8c3c-70ad-3ede-9f75-da06f332ba55"]}],"mendeley":{"formattedCitation":"[51–53]","plainTextFormattedCitation":"[51–53]","previouslyFormattedCitation":"[51–53]"},"properties":{"noteIndex":0},"schema":"https://github.com/citation-style-language/schema/raw/master/csl-citation.json"}</w:instrText>
      </w:r>
      <w:r w:rsidR="000E2E14" w:rsidRPr="003676D3">
        <w:rPr>
          <w:rFonts w:ascii="Times New Roman" w:hAnsi="Times New Roman" w:cs="Times New Roman"/>
          <w:sz w:val="24"/>
          <w:szCs w:val="24"/>
        </w:rPr>
        <w:fldChar w:fldCharType="separate"/>
      </w:r>
      <w:r w:rsidR="000E2E14" w:rsidRPr="003676D3">
        <w:rPr>
          <w:rFonts w:ascii="Times New Roman" w:hAnsi="Times New Roman" w:cs="Times New Roman"/>
          <w:noProof/>
          <w:sz w:val="24"/>
          <w:szCs w:val="24"/>
        </w:rPr>
        <w:t>[51–53]</w:t>
      </w:r>
      <w:r w:rsidR="000E2E14" w:rsidRPr="003676D3">
        <w:rPr>
          <w:rFonts w:ascii="Times New Roman" w:hAnsi="Times New Roman" w:cs="Times New Roman"/>
          <w:sz w:val="24"/>
          <w:szCs w:val="24"/>
        </w:rPr>
        <w:fldChar w:fldCharType="end"/>
      </w:r>
      <w:r w:rsidR="009D0E7D" w:rsidRPr="003676D3">
        <w:rPr>
          <w:rFonts w:ascii="Times New Roman" w:hAnsi="Times New Roman" w:cs="Times New Roman"/>
          <w:sz w:val="24"/>
          <w:szCs w:val="24"/>
        </w:rPr>
        <w:t xml:space="preserve">. </w:t>
      </w:r>
    </w:p>
    <w:p w14:paraId="003105B7" w14:textId="6B523FDE" w:rsidR="000E2E14" w:rsidRPr="003676D3" w:rsidRDefault="000E2E14" w:rsidP="003676D3">
      <w:pPr>
        <w:pStyle w:val="Caption"/>
        <w:keepNext/>
        <w:spacing w:line="276" w:lineRule="auto"/>
        <w:jc w:val="both"/>
        <w:rPr>
          <w:rFonts w:ascii="Times New Roman" w:hAnsi="Times New Roman" w:cs="Times New Roman"/>
          <w:b/>
          <w:bCs/>
          <w:i w:val="0"/>
          <w:iCs w:val="0"/>
          <w:color w:val="auto"/>
          <w:sz w:val="20"/>
          <w:szCs w:val="20"/>
        </w:rPr>
      </w:pPr>
      <w:bookmarkStart w:id="3" w:name="_Ref168036242"/>
      <w:r w:rsidRPr="003676D3">
        <w:rPr>
          <w:rFonts w:ascii="Times New Roman" w:hAnsi="Times New Roman" w:cs="Times New Roman"/>
          <w:b/>
          <w:bCs/>
          <w:i w:val="0"/>
          <w:iCs w:val="0"/>
          <w:color w:val="auto"/>
          <w:sz w:val="20"/>
          <w:szCs w:val="20"/>
        </w:rPr>
        <w:t xml:space="preserve">Table </w:t>
      </w:r>
      <w:r w:rsidRPr="003676D3">
        <w:rPr>
          <w:rFonts w:ascii="Times New Roman" w:hAnsi="Times New Roman" w:cs="Times New Roman"/>
          <w:b/>
          <w:bCs/>
          <w:i w:val="0"/>
          <w:iCs w:val="0"/>
          <w:color w:val="auto"/>
          <w:sz w:val="20"/>
          <w:szCs w:val="20"/>
        </w:rPr>
        <w:fldChar w:fldCharType="begin"/>
      </w:r>
      <w:r w:rsidRPr="003676D3">
        <w:rPr>
          <w:rFonts w:ascii="Times New Roman" w:hAnsi="Times New Roman" w:cs="Times New Roman"/>
          <w:b/>
          <w:bCs/>
          <w:i w:val="0"/>
          <w:iCs w:val="0"/>
          <w:color w:val="auto"/>
          <w:sz w:val="20"/>
          <w:szCs w:val="20"/>
        </w:rPr>
        <w:instrText xml:space="preserve"> SEQ Table \* ARABIC </w:instrText>
      </w:r>
      <w:r w:rsidRPr="003676D3">
        <w:rPr>
          <w:rFonts w:ascii="Times New Roman" w:hAnsi="Times New Roman" w:cs="Times New Roman"/>
          <w:b/>
          <w:bCs/>
          <w:i w:val="0"/>
          <w:iCs w:val="0"/>
          <w:color w:val="auto"/>
          <w:sz w:val="20"/>
          <w:szCs w:val="20"/>
        </w:rPr>
        <w:fldChar w:fldCharType="separate"/>
      </w:r>
      <w:r w:rsidR="008D1E2C" w:rsidRPr="003676D3">
        <w:rPr>
          <w:rFonts w:ascii="Times New Roman" w:hAnsi="Times New Roman" w:cs="Times New Roman"/>
          <w:b/>
          <w:bCs/>
          <w:i w:val="0"/>
          <w:iCs w:val="0"/>
          <w:noProof/>
          <w:color w:val="auto"/>
          <w:sz w:val="20"/>
          <w:szCs w:val="20"/>
        </w:rPr>
        <w:t>2</w:t>
      </w:r>
      <w:r w:rsidRPr="003676D3">
        <w:rPr>
          <w:rFonts w:ascii="Times New Roman" w:hAnsi="Times New Roman" w:cs="Times New Roman"/>
          <w:b/>
          <w:bCs/>
          <w:i w:val="0"/>
          <w:iCs w:val="0"/>
          <w:color w:val="auto"/>
          <w:sz w:val="20"/>
          <w:szCs w:val="20"/>
        </w:rPr>
        <w:fldChar w:fldCharType="end"/>
      </w:r>
      <w:bookmarkEnd w:id="3"/>
      <w:r w:rsidRPr="003676D3">
        <w:rPr>
          <w:rFonts w:ascii="Times New Roman" w:hAnsi="Times New Roman" w:cs="Times New Roman"/>
          <w:b/>
          <w:bCs/>
          <w:i w:val="0"/>
          <w:iCs w:val="0"/>
          <w:color w:val="auto"/>
          <w:sz w:val="20"/>
          <w:szCs w:val="20"/>
        </w:rPr>
        <w:t>. Difference in attributes of Conventional, smart and super smart grid.</w:t>
      </w:r>
    </w:p>
    <w:tbl>
      <w:tblPr>
        <w:tblStyle w:val="GridTable4-Accent5"/>
        <w:tblW w:w="5000" w:type="pct"/>
        <w:tblLook w:val="04A0" w:firstRow="1" w:lastRow="0" w:firstColumn="1" w:lastColumn="0" w:noHBand="0" w:noVBand="1"/>
      </w:tblPr>
      <w:tblGrid>
        <w:gridCol w:w="2675"/>
        <w:gridCol w:w="1885"/>
        <w:gridCol w:w="1987"/>
        <w:gridCol w:w="2469"/>
      </w:tblGrid>
      <w:tr w:rsidR="00CC49AF" w:rsidRPr="003676D3" w14:paraId="7F8D5410" w14:textId="77777777" w:rsidTr="00CC49A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114AB0FF" w14:textId="77777777" w:rsidR="008F63AC" w:rsidRPr="003676D3" w:rsidRDefault="008F63AC" w:rsidP="003676D3">
            <w:pPr>
              <w:spacing w:line="276" w:lineRule="auto"/>
              <w:jc w:val="both"/>
              <w:rPr>
                <w:rFonts w:ascii="Times New Roman" w:hAnsi="Times New Roman" w:cs="Times New Roman"/>
                <w:color w:val="auto"/>
                <w:sz w:val="20"/>
                <w:szCs w:val="20"/>
              </w:rPr>
            </w:pPr>
            <w:r w:rsidRPr="003676D3">
              <w:rPr>
                <w:rFonts w:ascii="Times New Roman" w:hAnsi="Times New Roman" w:cs="Times New Roman"/>
                <w:color w:val="auto"/>
                <w:sz w:val="20"/>
                <w:szCs w:val="20"/>
              </w:rPr>
              <w:t>Attributes</w:t>
            </w:r>
          </w:p>
        </w:tc>
        <w:tc>
          <w:tcPr>
            <w:tcW w:w="1045" w:type="pct"/>
            <w:vAlign w:val="center"/>
          </w:tcPr>
          <w:p w14:paraId="7974D384" w14:textId="77777777" w:rsidR="008F63AC" w:rsidRPr="003676D3" w:rsidRDefault="008F63AC" w:rsidP="003676D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676D3">
              <w:rPr>
                <w:rFonts w:ascii="Times New Roman" w:hAnsi="Times New Roman" w:cs="Times New Roman"/>
                <w:color w:val="auto"/>
                <w:sz w:val="20"/>
                <w:szCs w:val="20"/>
              </w:rPr>
              <w:t>Conventional Grid</w:t>
            </w:r>
          </w:p>
        </w:tc>
        <w:tc>
          <w:tcPr>
            <w:tcW w:w="1102" w:type="pct"/>
            <w:vAlign w:val="center"/>
          </w:tcPr>
          <w:p w14:paraId="11E36797" w14:textId="77777777" w:rsidR="008F63AC" w:rsidRPr="003676D3" w:rsidRDefault="008F63AC" w:rsidP="003676D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676D3">
              <w:rPr>
                <w:rFonts w:ascii="Times New Roman" w:hAnsi="Times New Roman" w:cs="Times New Roman"/>
                <w:color w:val="auto"/>
                <w:sz w:val="20"/>
                <w:szCs w:val="20"/>
              </w:rPr>
              <w:t>Smart Grid</w:t>
            </w:r>
          </w:p>
        </w:tc>
        <w:tc>
          <w:tcPr>
            <w:tcW w:w="1369" w:type="pct"/>
            <w:vAlign w:val="center"/>
          </w:tcPr>
          <w:p w14:paraId="5C09D06A" w14:textId="77777777" w:rsidR="008F63AC" w:rsidRPr="003676D3" w:rsidRDefault="008F63AC" w:rsidP="003676D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676D3">
              <w:rPr>
                <w:rFonts w:ascii="Times New Roman" w:hAnsi="Times New Roman" w:cs="Times New Roman"/>
                <w:color w:val="auto"/>
                <w:sz w:val="20"/>
                <w:szCs w:val="20"/>
              </w:rPr>
              <w:t>Smart Super Grid</w:t>
            </w:r>
          </w:p>
        </w:tc>
      </w:tr>
      <w:tr w:rsidR="00CC49AF" w:rsidRPr="003676D3" w14:paraId="4772A4DB" w14:textId="77777777" w:rsidTr="00CC4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6BDED6AE" w14:textId="77777777" w:rsidR="008F63AC" w:rsidRPr="003676D3" w:rsidRDefault="008F63AC"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b w:val="0"/>
                <w:bCs w:val="0"/>
                <w:sz w:val="20"/>
                <w:szCs w:val="20"/>
              </w:rPr>
              <w:t>Energy Generation</w:t>
            </w:r>
          </w:p>
        </w:tc>
        <w:tc>
          <w:tcPr>
            <w:tcW w:w="1045" w:type="pct"/>
            <w:vAlign w:val="center"/>
          </w:tcPr>
          <w:p w14:paraId="5EDECE90"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Central</w:t>
            </w:r>
          </w:p>
        </w:tc>
        <w:tc>
          <w:tcPr>
            <w:tcW w:w="1102" w:type="pct"/>
            <w:vAlign w:val="center"/>
          </w:tcPr>
          <w:p w14:paraId="24A7662C"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Distributed</w:t>
            </w:r>
          </w:p>
        </w:tc>
        <w:tc>
          <w:tcPr>
            <w:tcW w:w="1369" w:type="pct"/>
            <w:vAlign w:val="center"/>
          </w:tcPr>
          <w:p w14:paraId="45076320"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Distributed</w:t>
            </w:r>
          </w:p>
        </w:tc>
      </w:tr>
      <w:tr w:rsidR="00CC49AF" w:rsidRPr="003676D3" w14:paraId="69FD78B1" w14:textId="77777777" w:rsidTr="00CC49AF">
        <w:trPr>
          <w:trHeight w:val="454"/>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142B446C" w14:textId="77777777" w:rsidR="008F63AC" w:rsidRPr="003676D3" w:rsidRDefault="008F63AC"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b w:val="0"/>
                <w:bCs w:val="0"/>
                <w:sz w:val="20"/>
                <w:szCs w:val="20"/>
              </w:rPr>
              <w:t>Grid Topology</w:t>
            </w:r>
          </w:p>
        </w:tc>
        <w:tc>
          <w:tcPr>
            <w:tcW w:w="1045" w:type="pct"/>
            <w:vAlign w:val="center"/>
          </w:tcPr>
          <w:p w14:paraId="5AEC950F" w14:textId="77777777" w:rsidR="008F63AC" w:rsidRPr="003676D3" w:rsidRDefault="008F63AC"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Radial/Ring</w:t>
            </w:r>
          </w:p>
        </w:tc>
        <w:tc>
          <w:tcPr>
            <w:tcW w:w="1102" w:type="pct"/>
            <w:vAlign w:val="center"/>
          </w:tcPr>
          <w:p w14:paraId="411F58A2" w14:textId="6638A4D3" w:rsidR="008F63AC" w:rsidRPr="003676D3" w:rsidRDefault="00F442D5"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 xml:space="preserve">Dispersed </w:t>
            </w:r>
            <w:r w:rsidR="008F63AC" w:rsidRPr="003676D3">
              <w:rPr>
                <w:rFonts w:ascii="Times New Roman" w:hAnsi="Times New Roman" w:cs="Times New Roman"/>
                <w:sz w:val="20"/>
                <w:szCs w:val="20"/>
              </w:rPr>
              <w:t>Network</w:t>
            </w:r>
          </w:p>
        </w:tc>
        <w:tc>
          <w:tcPr>
            <w:tcW w:w="1369" w:type="pct"/>
            <w:vAlign w:val="center"/>
          </w:tcPr>
          <w:p w14:paraId="6A98262D" w14:textId="6F7EFA08" w:rsidR="008F63AC" w:rsidRPr="003676D3" w:rsidRDefault="00F442D5"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 xml:space="preserve">Dispersed </w:t>
            </w:r>
            <w:r w:rsidR="008F63AC" w:rsidRPr="003676D3">
              <w:rPr>
                <w:rFonts w:ascii="Times New Roman" w:hAnsi="Times New Roman" w:cs="Times New Roman"/>
                <w:sz w:val="20"/>
                <w:szCs w:val="20"/>
              </w:rPr>
              <w:t>Network</w:t>
            </w:r>
          </w:p>
        </w:tc>
      </w:tr>
      <w:tr w:rsidR="00CC49AF" w:rsidRPr="003676D3" w14:paraId="13495D56" w14:textId="77777777" w:rsidTr="00CC4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3C0C112B" w14:textId="77777777" w:rsidR="008F63AC" w:rsidRPr="003676D3" w:rsidRDefault="008F63AC"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b w:val="0"/>
                <w:bCs w:val="0"/>
                <w:sz w:val="20"/>
                <w:szCs w:val="20"/>
              </w:rPr>
              <w:t>Provision of Distributed RE</w:t>
            </w:r>
          </w:p>
        </w:tc>
        <w:tc>
          <w:tcPr>
            <w:tcW w:w="1045" w:type="pct"/>
            <w:vAlign w:val="center"/>
          </w:tcPr>
          <w:p w14:paraId="35FB638E"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Constrained</w:t>
            </w:r>
          </w:p>
        </w:tc>
        <w:tc>
          <w:tcPr>
            <w:tcW w:w="1102" w:type="pct"/>
            <w:vAlign w:val="center"/>
          </w:tcPr>
          <w:p w14:paraId="08271CA0"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Flexible</w:t>
            </w:r>
          </w:p>
        </w:tc>
        <w:tc>
          <w:tcPr>
            <w:tcW w:w="1369" w:type="pct"/>
            <w:vAlign w:val="center"/>
          </w:tcPr>
          <w:p w14:paraId="5F81D807"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Unconstrained</w:t>
            </w:r>
          </w:p>
        </w:tc>
      </w:tr>
      <w:tr w:rsidR="00CC49AF" w:rsidRPr="003676D3" w14:paraId="2E575120" w14:textId="77777777" w:rsidTr="00CC49AF">
        <w:trPr>
          <w:trHeight w:val="454"/>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008E6917" w14:textId="77777777" w:rsidR="008F63AC" w:rsidRPr="003676D3" w:rsidRDefault="008F63AC"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b w:val="0"/>
                <w:bCs w:val="0"/>
                <w:sz w:val="20"/>
                <w:szCs w:val="20"/>
              </w:rPr>
              <w:t>Self-Monitoring and Self-Healing</w:t>
            </w:r>
          </w:p>
        </w:tc>
        <w:tc>
          <w:tcPr>
            <w:tcW w:w="1045" w:type="pct"/>
            <w:vAlign w:val="center"/>
          </w:tcPr>
          <w:p w14:paraId="72623759" w14:textId="77777777" w:rsidR="008F63AC" w:rsidRPr="003676D3" w:rsidRDefault="008F63AC"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No</w:t>
            </w:r>
          </w:p>
        </w:tc>
        <w:tc>
          <w:tcPr>
            <w:tcW w:w="1102" w:type="pct"/>
            <w:vAlign w:val="center"/>
          </w:tcPr>
          <w:p w14:paraId="3CF240AD" w14:textId="77777777" w:rsidR="008F63AC" w:rsidRPr="003676D3" w:rsidRDefault="008F63AC"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Yes</w:t>
            </w:r>
          </w:p>
        </w:tc>
        <w:tc>
          <w:tcPr>
            <w:tcW w:w="1369" w:type="pct"/>
            <w:vAlign w:val="center"/>
          </w:tcPr>
          <w:p w14:paraId="34A80F14" w14:textId="77777777" w:rsidR="008F63AC" w:rsidRPr="003676D3" w:rsidRDefault="008F63AC"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Yes</w:t>
            </w:r>
          </w:p>
        </w:tc>
      </w:tr>
      <w:tr w:rsidR="00CC49AF" w:rsidRPr="003676D3" w14:paraId="682EC0BB" w14:textId="77777777" w:rsidTr="00CC4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66D010D0" w14:textId="77777777" w:rsidR="008F63AC" w:rsidRPr="003676D3" w:rsidRDefault="008F63AC"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b w:val="0"/>
                <w:bCs w:val="0"/>
                <w:sz w:val="20"/>
                <w:szCs w:val="20"/>
              </w:rPr>
              <w:t>Flow of Energy and Information</w:t>
            </w:r>
          </w:p>
        </w:tc>
        <w:tc>
          <w:tcPr>
            <w:tcW w:w="1045" w:type="pct"/>
            <w:vAlign w:val="center"/>
          </w:tcPr>
          <w:p w14:paraId="5721F3BF"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One-way</w:t>
            </w:r>
          </w:p>
        </w:tc>
        <w:tc>
          <w:tcPr>
            <w:tcW w:w="1102" w:type="pct"/>
            <w:vAlign w:val="center"/>
          </w:tcPr>
          <w:p w14:paraId="4C90CDB6"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Two-way</w:t>
            </w:r>
          </w:p>
        </w:tc>
        <w:tc>
          <w:tcPr>
            <w:tcW w:w="1369" w:type="pct"/>
            <w:vAlign w:val="center"/>
          </w:tcPr>
          <w:p w14:paraId="6A30AB76"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Two-way</w:t>
            </w:r>
          </w:p>
        </w:tc>
      </w:tr>
      <w:tr w:rsidR="00CC49AF" w:rsidRPr="003676D3" w14:paraId="7B276E52" w14:textId="77777777" w:rsidTr="00CC49AF">
        <w:trPr>
          <w:trHeight w:val="454"/>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64A4B13B" w14:textId="77777777" w:rsidR="008F63AC" w:rsidRPr="003676D3" w:rsidRDefault="008F63AC"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b w:val="0"/>
                <w:bCs w:val="0"/>
                <w:sz w:val="20"/>
                <w:szCs w:val="20"/>
              </w:rPr>
              <w:t>System Testing</w:t>
            </w:r>
          </w:p>
        </w:tc>
        <w:tc>
          <w:tcPr>
            <w:tcW w:w="1045" w:type="pct"/>
            <w:vAlign w:val="center"/>
          </w:tcPr>
          <w:p w14:paraId="1D300279" w14:textId="77777777" w:rsidR="008F63AC" w:rsidRPr="003676D3" w:rsidRDefault="008F63AC"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Manuel</w:t>
            </w:r>
          </w:p>
        </w:tc>
        <w:tc>
          <w:tcPr>
            <w:tcW w:w="1102" w:type="pct"/>
            <w:vAlign w:val="center"/>
          </w:tcPr>
          <w:p w14:paraId="55DB8DDC" w14:textId="77777777" w:rsidR="008F63AC" w:rsidRPr="003676D3" w:rsidRDefault="008F63AC"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Remote</w:t>
            </w:r>
          </w:p>
        </w:tc>
        <w:tc>
          <w:tcPr>
            <w:tcW w:w="1369" w:type="pct"/>
            <w:vAlign w:val="center"/>
          </w:tcPr>
          <w:p w14:paraId="62DE09B6" w14:textId="77777777" w:rsidR="008F63AC" w:rsidRPr="003676D3" w:rsidRDefault="008F63AC"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Autonomous Reconfiguration</w:t>
            </w:r>
          </w:p>
        </w:tc>
      </w:tr>
      <w:tr w:rsidR="00CC49AF" w:rsidRPr="003676D3" w14:paraId="7FB95353" w14:textId="77777777" w:rsidTr="00CC4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32C02C83" w14:textId="77777777" w:rsidR="008F63AC" w:rsidRPr="003676D3" w:rsidRDefault="008F63AC"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b w:val="0"/>
                <w:bCs w:val="0"/>
                <w:sz w:val="20"/>
                <w:szCs w:val="20"/>
              </w:rPr>
              <w:t>Carbon Emissions</w:t>
            </w:r>
          </w:p>
        </w:tc>
        <w:tc>
          <w:tcPr>
            <w:tcW w:w="1045" w:type="pct"/>
            <w:vAlign w:val="center"/>
          </w:tcPr>
          <w:p w14:paraId="117866A6"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Abundant</w:t>
            </w:r>
          </w:p>
        </w:tc>
        <w:tc>
          <w:tcPr>
            <w:tcW w:w="1102" w:type="pct"/>
            <w:vAlign w:val="center"/>
          </w:tcPr>
          <w:p w14:paraId="5306A59A"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Environment Friendly</w:t>
            </w:r>
          </w:p>
        </w:tc>
        <w:tc>
          <w:tcPr>
            <w:tcW w:w="1369" w:type="pct"/>
            <w:vAlign w:val="center"/>
          </w:tcPr>
          <w:p w14:paraId="410BE0BC"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Environment Friendly</w:t>
            </w:r>
          </w:p>
        </w:tc>
      </w:tr>
      <w:tr w:rsidR="00CC49AF" w:rsidRPr="003676D3" w14:paraId="18D3EE19" w14:textId="77777777" w:rsidTr="00CC49AF">
        <w:trPr>
          <w:trHeight w:val="454"/>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03BE9EDA" w14:textId="77777777" w:rsidR="008F63AC" w:rsidRPr="003676D3" w:rsidRDefault="008F63AC"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b w:val="0"/>
                <w:bCs w:val="0"/>
                <w:sz w:val="20"/>
                <w:szCs w:val="20"/>
              </w:rPr>
              <w:t>Advanced Metering Infrastructure</w:t>
            </w:r>
          </w:p>
        </w:tc>
        <w:tc>
          <w:tcPr>
            <w:tcW w:w="1045" w:type="pct"/>
            <w:vAlign w:val="center"/>
          </w:tcPr>
          <w:p w14:paraId="42E0C2DF" w14:textId="77777777" w:rsidR="008F63AC" w:rsidRPr="003676D3" w:rsidRDefault="008F63AC"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No</w:t>
            </w:r>
          </w:p>
        </w:tc>
        <w:tc>
          <w:tcPr>
            <w:tcW w:w="1102" w:type="pct"/>
            <w:vAlign w:val="center"/>
          </w:tcPr>
          <w:p w14:paraId="43A0CF43" w14:textId="77777777" w:rsidR="008F63AC" w:rsidRPr="003676D3" w:rsidRDefault="008F63AC"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Yes</w:t>
            </w:r>
          </w:p>
        </w:tc>
        <w:tc>
          <w:tcPr>
            <w:tcW w:w="1369" w:type="pct"/>
            <w:vAlign w:val="center"/>
          </w:tcPr>
          <w:p w14:paraId="0B3C068C" w14:textId="77777777" w:rsidR="008F63AC" w:rsidRPr="003676D3" w:rsidRDefault="008F63AC"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Yes</w:t>
            </w:r>
          </w:p>
        </w:tc>
      </w:tr>
      <w:tr w:rsidR="00CC49AF" w:rsidRPr="003676D3" w14:paraId="0E6E0974" w14:textId="77777777" w:rsidTr="00CC4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1561E244" w14:textId="77777777" w:rsidR="008F63AC" w:rsidRPr="003676D3" w:rsidRDefault="008F63AC"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b w:val="0"/>
                <w:bCs w:val="0"/>
                <w:sz w:val="20"/>
                <w:szCs w:val="20"/>
              </w:rPr>
              <w:t>Accounts Demand Response</w:t>
            </w:r>
          </w:p>
        </w:tc>
        <w:tc>
          <w:tcPr>
            <w:tcW w:w="1045" w:type="pct"/>
            <w:vAlign w:val="center"/>
          </w:tcPr>
          <w:p w14:paraId="6732127B"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No</w:t>
            </w:r>
          </w:p>
        </w:tc>
        <w:tc>
          <w:tcPr>
            <w:tcW w:w="1102" w:type="pct"/>
            <w:vAlign w:val="center"/>
          </w:tcPr>
          <w:p w14:paraId="06FBF957"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Yes</w:t>
            </w:r>
          </w:p>
        </w:tc>
        <w:tc>
          <w:tcPr>
            <w:tcW w:w="1369" w:type="pct"/>
            <w:vAlign w:val="center"/>
          </w:tcPr>
          <w:p w14:paraId="0B992D5D"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Yes</w:t>
            </w:r>
          </w:p>
        </w:tc>
      </w:tr>
      <w:tr w:rsidR="00CC49AF" w:rsidRPr="003676D3" w14:paraId="3D47B291" w14:textId="77777777" w:rsidTr="00CC49AF">
        <w:trPr>
          <w:trHeight w:val="454"/>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2E6D5140" w14:textId="77777777" w:rsidR="008F63AC" w:rsidRPr="003676D3" w:rsidRDefault="008F63AC"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b w:val="0"/>
                <w:bCs w:val="0"/>
                <w:sz w:val="20"/>
                <w:szCs w:val="20"/>
              </w:rPr>
              <w:t>Ease of Data Collection</w:t>
            </w:r>
          </w:p>
        </w:tc>
        <w:tc>
          <w:tcPr>
            <w:tcW w:w="1045" w:type="pct"/>
            <w:vAlign w:val="center"/>
          </w:tcPr>
          <w:p w14:paraId="32D2E13D" w14:textId="77777777" w:rsidR="008F63AC" w:rsidRPr="003676D3" w:rsidRDefault="008F63AC"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No</w:t>
            </w:r>
          </w:p>
        </w:tc>
        <w:tc>
          <w:tcPr>
            <w:tcW w:w="1102" w:type="pct"/>
            <w:vAlign w:val="center"/>
          </w:tcPr>
          <w:p w14:paraId="5F17A498" w14:textId="77777777" w:rsidR="008F63AC" w:rsidRPr="003676D3" w:rsidRDefault="008F63AC"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Real Time</w:t>
            </w:r>
          </w:p>
        </w:tc>
        <w:tc>
          <w:tcPr>
            <w:tcW w:w="1369" w:type="pct"/>
            <w:vAlign w:val="center"/>
          </w:tcPr>
          <w:p w14:paraId="29124758" w14:textId="77777777" w:rsidR="008F63AC" w:rsidRPr="003676D3" w:rsidRDefault="008F63AC"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Real Time</w:t>
            </w:r>
          </w:p>
        </w:tc>
      </w:tr>
      <w:tr w:rsidR="00CC49AF" w:rsidRPr="003676D3" w14:paraId="51BB04B2" w14:textId="77777777" w:rsidTr="00CC4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029A35FA" w14:textId="77777777" w:rsidR="008F63AC" w:rsidRPr="003676D3" w:rsidRDefault="008F63AC"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b w:val="0"/>
                <w:bCs w:val="0"/>
                <w:sz w:val="20"/>
                <w:szCs w:val="20"/>
              </w:rPr>
              <w:t>Energy Markets</w:t>
            </w:r>
          </w:p>
        </w:tc>
        <w:tc>
          <w:tcPr>
            <w:tcW w:w="1045" w:type="pct"/>
            <w:vAlign w:val="center"/>
          </w:tcPr>
          <w:p w14:paraId="71156E5E"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Limited Scope</w:t>
            </w:r>
          </w:p>
        </w:tc>
        <w:tc>
          <w:tcPr>
            <w:tcW w:w="1102" w:type="pct"/>
            <w:vAlign w:val="center"/>
          </w:tcPr>
          <w:p w14:paraId="5E37EEFB"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Multilateral</w:t>
            </w:r>
          </w:p>
        </w:tc>
        <w:tc>
          <w:tcPr>
            <w:tcW w:w="1369" w:type="pct"/>
            <w:vAlign w:val="center"/>
          </w:tcPr>
          <w:p w14:paraId="22D7F411"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Multilateral</w:t>
            </w:r>
          </w:p>
        </w:tc>
      </w:tr>
      <w:tr w:rsidR="00CC49AF" w:rsidRPr="003676D3" w14:paraId="213A9C5A" w14:textId="77777777" w:rsidTr="00CC49AF">
        <w:trPr>
          <w:trHeight w:val="454"/>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0EAFF64F" w14:textId="77777777" w:rsidR="008F63AC" w:rsidRPr="003676D3" w:rsidRDefault="008F63AC"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b w:val="0"/>
                <w:bCs w:val="0"/>
                <w:sz w:val="20"/>
                <w:szCs w:val="20"/>
              </w:rPr>
              <w:t>Energy Trading</w:t>
            </w:r>
          </w:p>
        </w:tc>
        <w:tc>
          <w:tcPr>
            <w:tcW w:w="1045" w:type="pct"/>
            <w:vAlign w:val="center"/>
          </w:tcPr>
          <w:p w14:paraId="0F88FFC8" w14:textId="77777777" w:rsidR="008F63AC" w:rsidRPr="003676D3" w:rsidRDefault="008F63AC"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Constrained</w:t>
            </w:r>
          </w:p>
        </w:tc>
        <w:tc>
          <w:tcPr>
            <w:tcW w:w="1102" w:type="pct"/>
            <w:vAlign w:val="center"/>
          </w:tcPr>
          <w:p w14:paraId="15C94F49" w14:textId="77777777" w:rsidR="008F63AC" w:rsidRPr="003676D3" w:rsidRDefault="008F63AC"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Possible</w:t>
            </w:r>
          </w:p>
        </w:tc>
        <w:tc>
          <w:tcPr>
            <w:tcW w:w="1369" w:type="pct"/>
            <w:vAlign w:val="center"/>
          </w:tcPr>
          <w:p w14:paraId="66F35CC3" w14:textId="77777777" w:rsidR="008F63AC" w:rsidRPr="003676D3" w:rsidRDefault="008F63AC"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Possible with Ease</w:t>
            </w:r>
          </w:p>
        </w:tc>
      </w:tr>
      <w:tr w:rsidR="00CC49AF" w:rsidRPr="003676D3" w14:paraId="5BFE830A" w14:textId="77777777" w:rsidTr="00CC4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608CF7AB" w14:textId="77777777" w:rsidR="008F63AC" w:rsidRPr="003676D3" w:rsidRDefault="008F63AC"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b w:val="0"/>
                <w:bCs w:val="0"/>
                <w:sz w:val="20"/>
                <w:szCs w:val="20"/>
              </w:rPr>
              <w:t>Energy trading Geographical spread</w:t>
            </w:r>
          </w:p>
        </w:tc>
        <w:tc>
          <w:tcPr>
            <w:tcW w:w="1045" w:type="pct"/>
            <w:vAlign w:val="center"/>
          </w:tcPr>
          <w:p w14:paraId="1B064632"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Constrained</w:t>
            </w:r>
          </w:p>
        </w:tc>
        <w:tc>
          <w:tcPr>
            <w:tcW w:w="1102" w:type="pct"/>
            <w:vAlign w:val="center"/>
          </w:tcPr>
          <w:p w14:paraId="5ABFB54B"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Within Restricted Area</w:t>
            </w:r>
          </w:p>
        </w:tc>
        <w:tc>
          <w:tcPr>
            <w:tcW w:w="1369" w:type="pct"/>
            <w:vAlign w:val="center"/>
          </w:tcPr>
          <w:p w14:paraId="079AE2E1"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Wide Area</w:t>
            </w:r>
          </w:p>
        </w:tc>
      </w:tr>
      <w:tr w:rsidR="00CC49AF" w:rsidRPr="003676D3" w14:paraId="21075770" w14:textId="77777777" w:rsidTr="00CC49AF">
        <w:trPr>
          <w:trHeight w:val="454"/>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5C780F50" w14:textId="66FE5575" w:rsidR="001B2B30" w:rsidRPr="003676D3" w:rsidRDefault="001B2B30"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b w:val="0"/>
                <w:bCs w:val="0"/>
                <w:sz w:val="20"/>
                <w:szCs w:val="20"/>
              </w:rPr>
              <w:t>Cyber Security</w:t>
            </w:r>
          </w:p>
        </w:tc>
        <w:tc>
          <w:tcPr>
            <w:tcW w:w="1045" w:type="pct"/>
            <w:vAlign w:val="center"/>
          </w:tcPr>
          <w:p w14:paraId="04F06854" w14:textId="5A64F691" w:rsidR="001B2B30" w:rsidRPr="003676D3" w:rsidRDefault="001B2B30"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No provision</w:t>
            </w:r>
          </w:p>
        </w:tc>
        <w:tc>
          <w:tcPr>
            <w:tcW w:w="1102" w:type="pct"/>
            <w:vAlign w:val="center"/>
          </w:tcPr>
          <w:p w14:paraId="15DF0016" w14:textId="60B54941" w:rsidR="001B2B30" w:rsidRPr="003676D3" w:rsidRDefault="001B2B30"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Required</w:t>
            </w:r>
          </w:p>
        </w:tc>
        <w:tc>
          <w:tcPr>
            <w:tcW w:w="1369" w:type="pct"/>
            <w:vAlign w:val="center"/>
          </w:tcPr>
          <w:p w14:paraId="27130DDB" w14:textId="70E13FF9" w:rsidR="001B2B30" w:rsidRPr="003676D3" w:rsidRDefault="001B2B30"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Necessary</w:t>
            </w:r>
          </w:p>
        </w:tc>
      </w:tr>
      <w:tr w:rsidR="00CC49AF" w:rsidRPr="003676D3" w14:paraId="40A0F895" w14:textId="77777777" w:rsidTr="00CC4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4DF60467" w14:textId="77777777" w:rsidR="008F63AC" w:rsidRPr="003676D3" w:rsidRDefault="008F63AC" w:rsidP="003676D3">
            <w:pPr>
              <w:spacing w:line="276" w:lineRule="auto"/>
              <w:jc w:val="both"/>
              <w:rPr>
                <w:rFonts w:ascii="Times New Roman" w:hAnsi="Times New Roman" w:cs="Times New Roman"/>
                <w:b w:val="0"/>
                <w:bCs w:val="0"/>
                <w:sz w:val="20"/>
                <w:szCs w:val="20"/>
              </w:rPr>
            </w:pPr>
            <w:r w:rsidRPr="003676D3">
              <w:rPr>
                <w:rFonts w:ascii="Times New Roman" w:hAnsi="Times New Roman" w:cs="Times New Roman"/>
                <w:b w:val="0"/>
                <w:bCs w:val="0"/>
                <w:sz w:val="20"/>
                <w:szCs w:val="20"/>
              </w:rPr>
              <w:t>Overall Efficiency</w:t>
            </w:r>
          </w:p>
        </w:tc>
        <w:tc>
          <w:tcPr>
            <w:tcW w:w="1045" w:type="pct"/>
            <w:vAlign w:val="center"/>
          </w:tcPr>
          <w:p w14:paraId="7213C13A"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Low</w:t>
            </w:r>
          </w:p>
        </w:tc>
        <w:tc>
          <w:tcPr>
            <w:tcW w:w="1102" w:type="pct"/>
            <w:vAlign w:val="center"/>
          </w:tcPr>
          <w:p w14:paraId="7AE8B7CA"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High</w:t>
            </w:r>
          </w:p>
        </w:tc>
        <w:tc>
          <w:tcPr>
            <w:tcW w:w="1369" w:type="pct"/>
            <w:vAlign w:val="center"/>
          </w:tcPr>
          <w:p w14:paraId="4CDFCBF9" w14:textId="77777777" w:rsidR="008F63AC" w:rsidRPr="003676D3" w:rsidRDefault="008F63AC"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Very High</w:t>
            </w:r>
          </w:p>
        </w:tc>
      </w:tr>
    </w:tbl>
    <w:p w14:paraId="7A6D3FE5" w14:textId="04E62C8E" w:rsidR="0065459A" w:rsidRPr="003676D3" w:rsidRDefault="0063796A"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 </w:t>
      </w:r>
    </w:p>
    <w:p w14:paraId="1FAED312" w14:textId="6FC6E635" w:rsidR="003E60B6" w:rsidRPr="003676D3" w:rsidRDefault="008065B6"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A re</w:t>
      </w:r>
      <w:r w:rsidR="000E2E14" w:rsidRPr="003676D3">
        <w:rPr>
          <w:rFonts w:ascii="Times New Roman" w:hAnsi="Times New Roman" w:cs="Times New Roman"/>
          <w:sz w:val="24"/>
          <w:szCs w:val="24"/>
        </w:rPr>
        <w:t xml:space="preserve">view on smart grid technology </w:t>
      </w:r>
      <w:r w:rsidR="003E60B6" w:rsidRPr="003676D3">
        <w:rPr>
          <w:rFonts w:ascii="Times New Roman" w:hAnsi="Times New Roman" w:cs="Times New Roman"/>
          <w:sz w:val="24"/>
          <w:szCs w:val="24"/>
        </w:rPr>
        <w:fldChar w:fldCharType="begin" w:fldLock="1"/>
      </w:r>
      <w:r w:rsidR="003E60B6" w:rsidRPr="003676D3">
        <w:rPr>
          <w:rFonts w:ascii="Times New Roman" w:hAnsi="Times New Roman" w:cs="Times New Roman"/>
          <w:sz w:val="24"/>
          <w:szCs w:val="24"/>
        </w:rPr>
        <w:instrText>ADDIN CSL_CITATION {"citationItems":[{"id":"ITEM-1","itemData":{"DOI":"10.3390/EN6010251","ISSN":"1996-1073","abstract":"The old electricity network infrastructure has proven to be inadequate, with respect to modern challenges such as alternative energy sources, electricity demand and energy saving policies. Moreover, Information and Communication Technologies (ICT) seem to have reached an adequate level of reliability and flexibility in order to support a new concept of electricity network — the smart grid. In this work, we will analyse the state-of-the-art of smart grids, in their technical, management, security, and optimization aspects. We will also provide a brief overview of the regulatory aspects involved in the development of a smart grid, mainly from the viewpoint of the European Union.","author":[{"dropping-particle":"","family":"Ardito","given":"Luca","non-dropping-particle":"","parse-names":false,"suffix":""},{"dropping-particle":"","family":"Procaccianti","given":"Giuseppe","non-dropping-particle":"","parse-names":false,"suffix":""},{"dropping-particle":"","family":"Menga","given":"Giuseppe","non-dropping-particle":"","parse-names":false,"suffix":""},{"dropping-particle":"","family":"Morisio","given":"Maurizio","non-dropping-particle":"","parse-names":false,"suffix":""}],"container-title":"Energies 2013, Vol. 6, Pages 251-281","id":"ITEM-1","issue":"1","issued":{"date-parts":[["2013","1","9"]]},"page":"251-281","publisher":"Multidisciplinary Digital Publishing Institute","title":"Smart Grid Technologies in Europe: An Overview","type":"article-journal","volume":"6"},"uris":["http://www.mendeley.com/documents/?uuid=e5c1c5b3-5c29-3ed3-b0c0-ee5f12709a45"]},{"id":"ITEM-2","itemData":{"DOI":"10.1016/J.EGYR.2019.11.048","ISSN":"2352-4847","abstract":"Power systems networks are traditionally structured and engineered to effectively accommodate the effects of uncertainty and variability as regards energy demand and availability of resources. In order to transform the present carbon-intensive electricity generation system to one driven largely by clean energy sources, the inclusion of variable renewable energy sources (vRES) is becoming predominant. However, the inclusion of large vRES in the power plant mix increases the uncertainty, variability and consequently flexibility requirements on the power system network. The inclusion of cost effective and environment friendly flexible generators that can cancel the effects of uncertainty and variability is essential on power system networks with high levels of vRES. This study highlights flexibility as it relates to energy transition. It also provides direction for future research on the issues of flexibility in power systems planning.","author":[{"dropping-particle":"","family":"Babatunde","given":"O. M.","non-dropping-particle":"","parse-names":false,"suffix":""},{"dropping-particle":"","family":"Munda","given":"J. L.","non-dropping-particle":"","parse-names":false,"suffix":""},{"dropping-particle":"","family":"Hamam","given":"Y.","non-dropping-particle":"","parse-names":false,"suffix":""}],"container-title":"Energy Reports","id":"ITEM-2","issued":{"date-parts":[["2020","2","1"]]},"page":"101-106","publisher":"Elsevier","title":"Power system flexibility: A review","type":"article-journal","volume":"6"},"uris":["http://www.mendeley.com/documents/?uuid=25aa407a-9e64-3278-98fa-df4b766d6aab"]}],"mendeley":{"formattedCitation":"[49,54]","plainTextFormattedCitation":"[49,54]","previouslyFormattedCitation":"[49,54]"},"properties":{"noteIndex":0},"schema":"https://github.com/citation-style-language/schema/raw/master/csl-citation.json"}</w:instrText>
      </w:r>
      <w:r w:rsidR="003E60B6" w:rsidRPr="003676D3">
        <w:rPr>
          <w:rFonts w:ascii="Times New Roman" w:hAnsi="Times New Roman" w:cs="Times New Roman"/>
          <w:sz w:val="24"/>
          <w:szCs w:val="24"/>
        </w:rPr>
        <w:fldChar w:fldCharType="separate"/>
      </w:r>
      <w:r w:rsidR="003E60B6" w:rsidRPr="003676D3">
        <w:rPr>
          <w:rFonts w:ascii="Times New Roman" w:hAnsi="Times New Roman" w:cs="Times New Roman"/>
          <w:noProof/>
          <w:sz w:val="24"/>
          <w:szCs w:val="24"/>
        </w:rPr>
        <w:t>[49,54]</w:t>
      </w:r>
      <w:r w:rsidR="003E60B6" w:rsidRPr="003676D3">
        <w:rPr>
          <w:rFonts w:ascii="Times New Roman" w:hAnsi="Times New Roman" w:cs="Times New Roman"/>
          <w:sz w:val="24"/>
          <w:szCs w:val="24"/>
        </w:rPr>
        <w:fldChar w:fldCharType="end"/>
      </w:r>
      <w:r w:rsidRPr="003676D3">
        <w:rPr>
          <w:rFonts w:ascii="Times New Roman" w:hAnsi="Times New Roman" w:cs="Times New Roman"/>
          <w:sz w:val="24"/>
          <w:szCs w:val="24"/>
        </w:rPr>
        <w:t>, put forwards possible way to manage the large data and optimization of resources through cloud computing.</w:t>
      </w:r>
      <w:r w:rsidR="005D1AA4" w:rsidRPr="003676D3">
        <w:rPr>
          <w:rFonts w:ascii="Times New Roman" w:hAnsi="Times New Roman" w:cs="Times New Roman"/>
          <w:sz w:val="24"/>
          <w:szCs w:val="24"/>
        </w:rPr>
        <w:t xml:space="preserve"> </w:t>
      </w:r>
      <w:r w:rsidR="00D42231" w:rsidRPr="003676D3">
        <w:rPr>
          <w:rFonts w:ascii="Times New Roman" w:hAnsi="Times New Roman" w:cs="Times New Roman"/>
          <w:sz w:val="24"/>
          <w:szCs w:val="24"/>
        </w:rPr>
        <w:t>The</w:t>
      </w:r>
      <w:r w:rsidR="005D1AA4" w:rsidRPr="003676D3">
        <w:rPr>
          <w:rFonts w:ascii="Times New Roman" w:hAnsi="Times New Roman" w:cs="Times New Roman"/>
          <w:sz w:val="24"/>
          <w:szCs w:val="24"/>
        </w:rPr>
        <w:t xml:space="preserve"> scalable and </w:t>
      </w:r>
      <w:r w:rsidR="00B76FB3" w:rsidRPr="003676D3">
        <w:rPr>
          <w:rFonts w:ascii="Times New Roman" w:hAnsi="Times New Roman" w:cs="Times New Roman"/>
          <w:sz w:val="24"/>
          <w:szCs w:val="24"/>
        </w:rPr>
        <w:t>adaptable</w:t>
      </w:r>
      <w:r w:rsidR="005D1AA4" w:rsidRPr="003676D3">
        <w:rPr>
          <w:rFonts w:ascii="Times New Roman" w:hAnsi="Times New Roman" w:cs="Times New Roman"/>
          <w:sz w:val="24"/>
          <w:szCs w:val="24"/>
        </w:rPr>
        <w:t xml:space="preserve"> features of a cloud infrastructure can address the </w:t>
      </w:r>
      <w:r w:rsidR="00B76FB3" w:rsidRPr="003676D3">
        <w:rPr>
          <w:rFonts w:ascii="Times New Roman" w:hAnsi="Times New Roman" w:cs="Times New Roman"/>
          <w:sz w:val="24"/>
          <w:szCs w:val="24"/>
        </w:rPr>
        <w:t>security and latency issues of a SG. It can also support with ease</w:t>
      </w:r>
      <w:r w:rsidR="005D1AA4" w:rsidRPr="003676D3">
        <w:rPr>
          <w:rFonts w:ascii="Times New Roman" w:hAnsi="Times New Roman" w:cs="Times New Roman"/>
          <w:sz w:val="24"/>
          <w:szCs w:val="24"/>
        </w:rPr>
        <w:t xml:space="preserve"> the dynamic applications such as </w:t>
      </w:r>
      <w:r w:rsidR="00B76FB3" w:rsidRPr="003676D3">
        <w:rPr>
          <w:rFonts w:ascii="Times New Roman" w:hAnsi="Times New Roman" w:cs="Times New Roman"/>
          <w:sz w:val="24"/>
          <w:szCs w:val="24"/>
        </w:rPr>
        <w:t>demand response, load balancing and</w:t>
      </w:r>
      <w:r w:rsidR="005D1AA4" w:rsidRPr="003676D3">
        <w:rPr>
          <w:rFonts w:ascii="Times New Roman" w:hAnsi="Times New Roman" w:cs="Times New Roman"/>
          <w:sz w:val="24"/>
          <w:szCs w:val="24"/>
        </w:rPr>
        <w:t xml:space="preserve"> energy demand</w:t>
      </w:r>
      <w:r w:rsidR="00B76FB3" w:rsidRPr="003676D3">
        <w:rPr>
          <w:rFonts w:ascii="Times New Roman" w:hAnsi="Times New Roman" w:cs="Times New Roman"/>
          <w:sz w:val="24"/>
          <w:szCs w:val="24"/>
        </w:rPr>
        <w:t xml:space="preserve"> forecasting</w:t>
      </w:r>
      <w:r w:rsidR="005D1AA4" w:rsidRPr="003676D3">
        <w:rPr>
          <w:rFonts w:ascii="Times New Roman" w:hAnsi="Times New Roman" w:cs="Times New Roman"/>
          <w:sz w:val="24"/>
          <w:szCs w:val="24"/>
        </w:rPr>
        <w:t xml:space="preserve">. However, such a platform needs to be highly responsive in case of scheduling latency-sensitive applications as well as must have privacy preservation. Another </w:t>
      </w:r>
      <w:r w:rsidR="005D1AA4" w:rsidRPr="003676D3">
        <w:rPr>
          <w:rFonts w:ascii="Times New Roman" w:hAnsi="Times New Roman" w:cs="Times New Roman"/>
          <w:sz w:val="24"/>
          <w:szCs w:val="24"/>
        </w:rPr>
        <w:lastRenderedPageBreak/>
        <w:t xml:space="preserve">way to manage this complex network is through multi-agent systems (MAS). </w:t>
      </w:r>
      <w:r w:rsidR="00D42231" w:rsidRPr="003676D3">
        <w:rPr>
          <w:rFonts w:ascii="Times New Roman" w:hAnsi="Times New Roman" w:cs="Times New Roman"/>
          <w:sz w:val="24"/>
          <w:szCs w:val="24"/>
        </w:rPr>
        <w:t>MAS</w:t>
      </w:r>
      <w:r w:rsidR="003E60B6" w:rsidRPr="003676D3">
        <w:rPr>
          <w:rFonts w:ascii="Times New Roman" w:hAnsi="Times New Roman" w:cs="Times New Roman"/>
          <w:sz w:val="24"/>
          <w:szCs w:val="24"/>
        </w:rPr>
        <w:t xml:space="preserve"> </w:t>
      </w:r>
      <w:r w:rsidR="003E60B6" w:rsidRPr="003676D3">
        <w:rPr>
          <w:rFonts w:ascii="Times New Roman" w:hAnsi="Times New Roman" w:cs="Times New Roman"/>
          <w:sz w:val="24"/>
          <w:szCs w:val="24"/>
        </w:rPr>
        <w:fldChar w:fldCharType="begin" w:fldLock="1"/>
      </w:r>
      <w:r w:rsidR="003E60B6" w:rsidRPr="003676D3">
        <w:rPr>
          <w:rFonts w:ascii="Times New Roman" w:hAnsi="Times New Roman" w:cs="Times New Roman"/>
          <w:sz w:val="24"/>
          <w:szCs w:val="24"/>
        </w:rPr>
        <w:instrText>ADDIN CSL_CITATION {"citationItems":[{"id":"ITEM-1","itemData":{"ISSN":"1949-3053","author":[{"dropping-particle":"","family":"Ghorbani","given":"Mohammad Jawad","non-dropping-particle":"","parse-names":false,"suffix":""},{"dropping-particle":"","family":"Choudhry","given":"Muhammad Akram","non-dropping-particle":"","parse-names":false,"suffix":""},{"dropping-particle":"","family":"Feliachi","given":"Ali","non-dropping-particle":"","parse-names":false,"suffix":""}],"container-title":"IEEE Transactions on Smart Grid","id":"ITEM-1","issue":"1","issued":{"date-parts":[["2015"]]},"page":"329-339","publisher":"IEEE","title":"A multiagent design for power distribution systems automation","type":"article-journal","volume":"7"},"uris":["http://www.mendeley.com/documents/?uuid=e01bd97b-0ae9-4fdb-9e96-1e9334cacdc4"]},{"id":"ITEM-2","itemData":{"ISSN":"2168-2267","author":[{"dropping-particle":"","family":"Yu","given":"Chao","non-dropping-particle":"","parse-names":false,"suffix":""},{"dropping-particle":"","family":"Zhang","given":"Minjie","non-dropping-particle":"","parse-names":false,"suffix":""},{"dropping-particle":"","family":"Ren","given":"Fenghui","non-dropping-particle":"","parse-names":false,"suffix":""},{"dropping-particle":"","family":"Tan","given":"Guozhen","non-dropping-particle":"","parse-names":false,"suffix":""}],"container-title":"IEEE transactions on cybernetics","id":"ITEM-2","issue":"12","issued":{"date-parts":[["2015"]]},"page":"2853-2867","publisher":"IEEE","title":"Multiagent learning of coordination in loosely coupled multiagent systems","type":"article-journal","volume":"45"},"uris":["http://www.mendeley.com/documents/?uuid=cf88aa93-94a9-48b2-b417-b9892551aac7"]},{"id":"ITEM-3","itemData":{"ISBN":"153867386X","author":[{"dropping-particle":"","family":"Kalyaev","given":"Igor A","non-dropping-particle":"","parse-names":false,"suffix":""},{"dropping-particle":"","family":"Dyachenko","given":"Alexander A","non-dropping-particle":"","parse-names":false,"suffix":""},{"dropping-particle":"","family":"Usachev","given":"Leonid Zh","non-dropping-particle":"","parse-names":false,"suffix":""},{"dropping-particle":"","family":"Kapustyan","given":"Sergey G","non-dropping-particle":"","parse-names":false,"suffix":""}],"container-title":"2018 Global Smart Industry Conference (GloSIC)","id":"ITEM-3","issued":{"date-parts":[["2018"]]},"page":"1-8","publisher":"IEEE","title":"Multiagent Management of Smart Internet Production","type":"paper-conference"},"uris":["http://www.mendeley.com/documents/?uuid=927ddb38-beb2-46db-b71d-04aa003abee7"]},{"id":"ITEM-4","itemData":{"ISBN":"9075815220","author":[{"dropping-particle":"","family":"Li","given":"Chendan","non-dropping-particle":"","parse-names":false,"suffix":""},{"dropping-particle":"","family":"Savaghebi","given":"Mehdi","non-dropping-particle":"","parse-names":false,"suffix":""},{"dropping-particle":"","family":"Vasquez","given":"Juan C","non-dropping-particle":"","parse-names":false,"suffix":""},{"dropping-particle":"","family":"Guerrero","given":"Josep M","non-dropping-particle":"","parse-names":false,"suffix":""}],"container-title":"2015 17th European Conference on Power Electronics and Applications (EPE'15 ECCE-Europe)","id":"ITEM-4","issued":{"date-parts":[["2015"]]},"page":"1-9","publisher":"IEEE","title":"Multiagent based distributed control for operation cost minimization of droop controlled AC microgrid using incremental cost consensus","type":"paper-conference"},"uris":["http://www.mendeley.com/documents/?uuid=64f814f3-a2f6-4b06-b9b9-72e6917c5dcd"]}],"mendeley":{"formattedCitation":"[55–58]","plainTextFormattedCitation":"[55–58]","previouslyFormattedCitation":"[55–58]"},"properties":{"noteIndex":0},"schema":"https://github.com/citation-style-language/schema/raw/master/csl-citation.json"}</w:instrText>
      </w:r>
      <w:r w:rsidR="003E60B6" w:rsidRPr="003676D3">
        <w:rPr>
          <w:rFonts w:ascii="Times New Roman" w:hAnsi="Times New Roman" w:cs="Times New Roman"/>
          <w:sz w:val="24"/>
          <w:szCs w:val="24"/>
        </w:rPr>
        <w:fldChar w:fldCharType="separate"/>
      </w:r>
      <w:r w:rsidR="003E60B6" w:rsidRPr="003676D3">
        <w:rPr>
          <w:rFonts w:ascii="Times New Roman" w:hAnsi="Times New Roman" w:cs="Times New Roman"/>
          <w:noProof/>
          <w:sz w:val="24"/>
          <w:szCs w:val="24"/>
        </w:rPr>
        <w:t>[55–58]</w:t>
      </w:r>
      <w:r w:rsidR="003E60B6" w:rsidRPr="003676D3">
        <w:rPr>
          <w:rFonts w:ascii="Times New Roman" w:hAnsi="Times New Roman" w:cs="Times New Roman"/>
          <w:sz w:val="24"/>
          <w:szCs w:val="24"/>
        </w:rPr>
        <w:fldChar w:fldCharType="end"/>
      </w:r>
      <w:r w:rsidR="00D42231" w:rsidRPr="003676D3">
        <w:rPr>
          <w:rFonts w:ascii="Times New Roman" w:hAnsi="Times New Roman" w:cs="Times New Roman"/>
          <w:sz w:val="24"/>
          <w:szCs w:val="24"/>
        </w:rPr>
        <w:t xml:space="preserve"> is one of the pioneering distributed arc</w:t>
      </w:r>
      <w:r w:rsidR="00014F88" w:rsidRPr="003676D3">
        <w:rPr>
          <w:rFonts w:ascii="Times New Roman" w:hAnsi="Times New Roman" w:cs="Times New Roman"/>
          <w:sz w:val="24"/>
          <w:szCs w:val="24"/>
        </w:rPr>
        <w:t>hitecture for a digital market, based on Game Theory</w:t>
      </w:r>
      <w:r w:rsidR="003E60B6" w:rsidRPr="003676D3">
        <w:rPr>
          <w:rFonts w:ascii="Times New Roman" w:hAnsi="Times New Roman" w:cs="Times New Roman"/>
          <w:sz w:val="24"/>
          <w:szCs w:val="24"/>
        </w:rPr>
        <w:t xml:space="preserve"> </w:t>
      </w:r>
      <w:r w:rsidR="003E60B6" w:rsidRPr="003676D3">
        <w:rPr>
          <w:rFonts w:ascii="Times New Roman" w:hAnsi="Times New Roman" w:cs="Times New Roman"/>
          <w:sz w:val="24"/>
          <w:szCs w:val="24"/>
        </w:rPr>
        <w:fldChar w:fldCharType="begin" w:fldLock="1"/>
      </w:r>
      <w:r w:rsidR="003E60B6" w:rsidRPr="003676D3">
        <w:rPr>
          <w:rFonts w:ascii="Times New Roman" w:hAnsi="Times New Roman" w:cs="Times New Roman"/>
          <w:sz w:val="24"/>
          <w:szCs w:val="24"/>
        </w:rPr>
        <w:instrText>ADDIN CSL_CITATION {"citationItems":[{"id":"ITEM-1","itemData":{"ISSN":"1949-3053","author":[{"dropping-particle":"","family":"Wang","given":"Yao","non-dropping-particle":"","parse-names":false,"suffix":""},{"dropping-particle":"","family":"Ai","given":"Xin","non-dropping-particle":"","parse-names":false,"suffix":""},{"dropping-particle":"","family":"Tan","given":"Zhongfu","non-dropping-particle":"","parse-names":false,"suffix":""},{"dropping-particle":"","family":"Yan","given":"Lei","non-dropping-particle":"","parse-names":false,"suffix":""},{"dropping-particle":"","family":"Liu","given":"Shuting","non-dropping-particle":"","parse-names":false,"suffix":""}],"container-title":"IEEE Transactions on Smart Grid","id":"ITEM-1","issue":"1","issued":{"date-parts":[["2015"]]},"page":"510-519","publisher":"IEEE","title":"Interactive dispatch modes and bidding strategy of multiple virtual power plants based on demand response and game theory","type":"article-journal","volume":"7"},"uris":["http://www.mendeley.com/documents/?uuid=7d19eb56-8043-4f87-9087-63cef9a7e07d"]},{"id":"ITEM-2","itemData":{"ISBN":"1479952834","author":[{"dropping-particle":"","family":"Nagata","given":"Takeshi","non-dropping-particle":"","parse-names":false,"suffix":""},{"dropping-particle":"","family":"Okamoto","given":"Kazuya","non-dropping-particle":"","parse-names":false,"suffix":""}],"container-title":"2014 IEEE International Conference on Automation Science and Engineering (CASE)","id":"ITEM-2","issued":{"date-parts":[["2014"]]},"page":"50-55","publisher":"IEEE","title":"Electric power interchange between micro-grids by using multi-agent approach","type":"paper-conference"},"uris":["http://www.mendeley.com/documents/?uuid=77e302a5-f69b-42d9-9704-389ab9df1177"]},{"id":"ITEM-3","itemData":{"ISSN":"0163-6804","author":[{"dropping-particle":"","family":"Hernández","given":"Luis","non-dropping-particle":"","parse-names":false,"suffix":""},{"dropping-particle":"","family":"Baladron","given":"Carlos","non-dropping-particle":"","parse-names":false,"suffix":""},{"dropping-particle":"","family":"Aguiar","given":"Javier M","non-dropping-particle":"","parse-names":false,"suffix":""},{"dropping-particle":"","family":"Carro","given":"Belen","non-dropping-particle":"","parse-names":false,"suffix":""},{"dropping-particle":"","family":"Sanchez-Esguevillas","given":"Antonio","non-dropping-particle":"","parse-names":false,"suffix":""},{"dropping-particle":"","family":"Lloret","given":"Jaime","non-dropping-particle":"","parse-names":false,"suffix":""},{"dropping-particle":"","family":"Chinarro","given":"David","non-dropping-particle":"","parse-names":false,"suffix":""},{"dropping-particle":"","family":"Gomez-Sanz","given":"Jorge J","non-dropping-particle":"","parse-names":false,"suffix":""},{"dropping-particle":"","family":"Cook","given":"Diane","non-dropping-particle":"","parse-names":false,"suffix":""}],"container-title":"IEEE Communications Magazine","id":"ITEM-3","issue":"1","issued":{"date-parts":[["2013"]]},"page":"106-113","publisher":"IEEE","title":"A multi-agent system architecture for smart grid management and forecasting of energy demand in virtual power plants","type":"article-journal","volume":"51"},"uris":["http://www.mendeley.com/documents/?uuid=e41f4480-0ee2-4a7a-9695-9fa4068ea34c"]},{"id":"ITEM-4","itemData":{"ISSN":"1551-3203","author":[{"dropping-particle":"","family":"Esfahani","given":"Mohammad Mahmoudian","non-dropping-particle":"","parse-names":false,"suffix":""},{"dropping-particle":"","family":"Hariri","given":"Abla","non-dropping-particle":"","parse-names":false,"suffix":""},{"dropping-particle":"","family":"Mohammed","given":"Osama A","non-dropping-particle":"","parse-names":false,"suffix":""}],"container-title":"IEEE Transactions on Industrial Informatics","id":"ITEM-4","issue":"1","issued":{"date-parts":[["2018"]]},"page":"280-292","publisher":"IEEE","title":"A multiagent-based game-theoretic and optimization approach for market operation of multimicrogrid systems","type":"article-journal","volume":"15"},"uris":["http://www.mendeley.com/documents/?uuid=9c67dc1c-b553-40e1-9ea8-238630183a03"]}],"mendeley":{"formattedCitation":"[59–62]","plainTextFormattedCitation":"[59–62]","previouslyFormattedCitation":"[59–62]"},"properties":{"noteIndex":0},"schema":"https://github.com/citation-style-language/schema/raw/master/csl-citation.json"}</w:instrText>
      </w:r>
      <w:r w:rsidR="003E60B6" w:rsidRPr="003676D3">
        <w:rPr>
          <w:rFonts w:ascii="Times New Roman" w:hAnsi="Times New Roman" w:cs="Times New Roman"/>
          <w:sz w:val="24"/>
          <w:szCs w:val="24"/>
        </w:rPr>
        <w:fldChar w:fldCharType="separate"/>
      </w:r>
      <w:r w:rsidR="003E60B6" w:rsidRPr="003676D3">
        <w:rPr>
          <w:rFonts w:ascii="Times New Roman" w:hAnsi="Times New Roman" w:cs="Times New Roman"/>
          <w:noProof/>
          <w:sz w:val="24"/>
          <w:szCs w:val="24"/>
        </w:rPr>
        <w:t>[59–62]</w:t>
      </w:r>
      <w:r w:rsidR="003E60B6" w:rsidRPr="003676D3">
        <w:rPr>
          <w:rFonts w:ascii="Times New Roman" w:hAnsi="Times New Roman" w:cs="Times New Roman"/>
          <w:sz w:val="24"/>
          <w:szCs w:val="24"/>
        </w:rPr>
        <w:fldChar w:fldCharType="end"/>
      </w:r>
      <w:r w:rsidR="00014F88" w:rsidRPr="003676D3">
        <w:rPr>
          <w:rFonts w:ascii="Times New Roman" w:hAnsi="Times New Roman" w:cs="Times New Roman"/>
          <w:sz w:val="24"/>
          <w:szCs w:val="24"/>
        </w:rPr>
        <w:t xml:space="preserve"> and microeconomics</w:t>
      </w:r>
      <w:r w:rsidR="003E60B6" w:rsidRPr="003676D3">
        <w:rPr>
          <w:rFonts w:ascii="Times New Roman" w:hAnsi="Times New Roman" w:cs="Times New Roman"/>
          <w:sz w:val="24"/>
          <w:szCs w:val="24"/>
        </w:rPr>
        <w:t xml:space="preserve"> </w:t>
      </w:r>
      <w:r w:rsidR="003E60B6" w:rsidRPr="003676D3">
        <w:rPr>
          <w:rFonts w:ascii="Times New Roman" w:hAnsi="Times New Roman" w:cs="Times New Roman"/>
          <w:sz w:val="24"/>
          <w:szCs w:val="24"/>
        </w:rPr>
        <w:fldChar w:fldCharType="begin" w:fldLock="1"/>
      </w:r>
      <w:r w:rsidR="003E60B6" w:rsidRPr="003676D3">
        <w:rPr>
          <w:rFonts w:ascii="Times New Roman" w:hAnsi="Times New Roman" w:cs="Times New Roman"/>
          <w:sz w:val="24"/>
          <w:szCs w:val="24"/>
        </w:rPr>
        <w:instrText>ADDIN CSL_CITATION {"citationItems":[{"id":"ITEM-1","itemData":{"abstract":"In this paper, we consider a smart power infrastructure , where several subscribers share a common energy source. Each subscriber is equipped with an energy consumption controller (ECC) unit as part of its smart meter. Each smart meter is connected to not only the power grid but also a communication infrastructure such as a local area network. This allows two-way communication among smart meters. Considering the importance of energy pricing as an essential tool to develop efficient demand side management strategies, we propose a novel real-time pricing algorithm for the future smart grid. We focus on the interactions between the smart meters and the energy provider through the exchange of control messages which contain subscribers' energy consumption and the real-time price information. First, we analytically model the subscribers' preferences and their energy consumption patterns in form of carefully selected utility functions based on concepts from microeconomics. Second, we propose a distributed algorithm which automatically manages the interactions among the ECC units at the smart meters and the energy provider. The algorithm finds the optimal energy consumption levels for each subscriber to maximize the aggregate utility of all subscribers in the system in a fair and efficient fashion. Finally, we show that the energy provider can encourage some desirable consumption patterns among the subscribers by means of the proposed real-time pricing interactions. Simulation results confirm that the proposed distributed algorithm can potentially benefit both subscribers and the energy provider.","author":[{"dropping-particle":"","family":"Samadi","given":"Pedram","non-dropping-particle":"","parse-names":false,"suffix":""},{"dropping-particle":"","family":"Mohsenian-Rad","given":"Amir-Hamed","non-dropping-particle":"","parse-names":false,"suffix":""},{"dropping-particle":"","family":"Schober","given":"Robert","non-dropping-particle":"","parse-names":false,"suffix":""},{"dropping-particle":"","family":"Wong","given":"Vincent W S","non-dropping-particle":"","parse-names":false,"suffix":""},{"dropping-particle":"","family":"Jatskevich","given":"Juri","non-dropping-particle":"","parse-names":false,"suffix":""}],"container-title":"ieeexplore.ieee.orgP Samadi, AH Mohsenian-Rad, R Schober, VWS Wong, J Jatskevich2010 First IEEE international conference on smart grid communications, 2010•ieeexplore.ieee.org","id":"ITEM-1","issued":{"date-parts":[["0"]]},"title":"Optimal real-time pricing algorithm based on utility maximization for smart grid","type":"article-journal"},"uris":["http://www.mendeley.com/documents/?uuid=570ad672-16b5-38bc-a690-43d53a0b351c"]}],"mendeley":{"formattedCitation":"[63]","plainTextFormattedCitation":"[63]","previouslyFormattedCitation":"[63]"},"properties":{"noteIndex":0},"schema":"https://github.com/citation-style-language/schema/raw/master/csl-citation.json"}</w:instrText>
      </w:r>
      <w:r w:rsidR="003E60B6" w:rsidRPr="003676D3">
        <w:rPr>
          <w:rFonts w:ascii="Times New Roman" w:hAnsi="Times New Roman" w:cs="Times New Roman"/>
          <w:sz w:val="24"/>
          <w:szCs w:val="24"/>
        </w:rPr>
        <w:fldChar w:fldCharType="separate"/>
      </w:r>
      <w:r w:rsidR="003E60B6" w:rsidRPr="003676D3">
        <w:rPr>
          <w:rFonts w:ascii="Times New Roman" w:hAnsi="Times New Roman" w:cs="Times New Roman"/>
          <w:noProof/>
          <w:sz w:val="24"/>
          <w:szCs w:val="24"/>
        </w:rPr>
        <w:t>[63]</w:t>
      </w:r>
      <w:r w:rsidR="003E60B6" w:rsidRPr="003676D3">
        <w:rPr>
          <w:rFonts w:ascii="Times New Roman" w:hAnsi="Times New Roman" w:cs="Times New Roman"/>
          <w:sz w:val="24"/>
          <w:szCs w:val="24"/>
        </w:rPr>
        <w:fldChar w:fldCharType="end"/>
      </w:r>
      <w:r w:rsidR="00014F88" w:rsidRPr="003676D3">
        <w:rPr>
          <w:rFonts w:ascii="Times New Roman" w:hAnsi="Times New Roman" w:cs="Times New Roman"/>
          <w:sz w:val="24"/>
          <w:szCs w:val="24"/>
        </w:rPr>
        <w:t>. Later on, it is further evolved into various models like Decision Making Assistant (DMA)</w:t>
      </w:r>
      <w:r w:rsidR="003E60B6" w:rsidRPr="003676D3">
        <w:rPr>
          <w:rFonts w:ascii="Times New Roman" w:hAnsi="Times New Roman" w:cs="Times New Roman"/>
          <w:sz w:val="24"/>
          <w:szCs w:val="24"/>
        </w:rPr>
        <w:fldChar w:fldCharType="begin" w:fldLock="1"/>
      </w:r>
      <w:r w:rsidR="003E60B6" w:rsidRPr="003676D3">
        <w:rPr>
          <w:rFonts w:ascii="Times New Roman" w:hAnsi="Times New Roman" w:cs="Times New Roman"/>
          <w:sz w:val="24"/>
          <w:szCs w:val="24"/>
        </w:rPr>
        <w:instrText>ADDIN CSL_CITATION {"citationItems":[{"id":"ITEM-1","itemData":{"ISSN":"0142-0615","author":[{"dropping-particle":"","family":"Peik-Herfeh","given":"Malahat","non-dropping-particle":"","parse-names":false,"suffix":""},{"dropping-particle":"","family":"Seifi","given":"H","non-dropping-particle":"","parse-names":false,"suffix":""},{"dropping-particle":"","family":"Sheikh-El-Eslami","given":"M K","non-dropping-particle":"","parse-names":false,"suffix":""}],"container-title":"International Journal of Electrical Power &amp; Energy Systems","id":"ITEM-1","issue":"1","issued":{"date-parts":[["2013"]]},"page":"88-98","publisher":"Elsevier","title":"Decision making of a virtual power plant under uncertainties for bidding in a day-ahead market using point estimate method","type":"article-journal","volume":"44"},"uris":["http://www.mendeley.com/documents/?uuid=8b446bb1-ce7e-4601-95d5-0fa163a6cf54"]}],"mendeley":{"formattedCitation":"[64]","plainTextFormattedCitation":"[64]","previouslyFormattedCitation":"[64]"},"properties":{"noteIndex":0},"schema":"https://github.com/citation-style-language/schema/raw/master/csl-citation.json"}</w:instrText>
      </w:r>
      <w:r w:rsidR="003E60B6" w:rsidRPr="003676D3">
        <w:rPr>
          <w:rFonts w:ascii="Times New Roman" w:hAnsi="Times New Roman" w:cs="Times New Roman"/>
          <w:sz w:val="24"/>
          <w:szCs w:val="24"/>
        </w:rPr>
        <w:fldChar w:fldCharType="separate"/>
      </w:r>
      <w:r w:rsidR="003E60B6" w:rsidRPr="003676D3">
        <w:rPr>
          <w:rFonts w:ascii="Times New Roman" w:hAnsi="Times New Roman" w:cs="Times New Roman"/>
          <w:noProof/>
          <w:sz w:val="24"/>
          <w:szCs w:val="24"/>
        </w:rPr>
        <w:t>[64]</w:t>
      </w:r>
      <w:r w:rsidR="003E60B6" w:rsidRPr="003676D3">
        <w:rPr>
          <w:rFonts w:ascii="Times New Roman" w:hAnsi="Times New Roman" w:cs="Times New Roman"/>
          <w:sz w:val="24"/>
          <w:szCs w:val="24"/>
        </w:rPr>
        <w:fldChar w:fldCharType="end"/>
      </w:r>
      <w:r w:rsidR="00014F88" w:rsidRPr="003676D3">
        <w:rPr>
          <w:rFonts w:ascii="Times New Roman" w:hAnsi="Times New Roman" w:cs="Times New Roman"/>
          <w:sz w:val="24"/>
          <w:szCs w:val="24"/>
        </w:rPr>
        <w:t>, Problem Formulator and Attributes Evaluator (PROFATE), the Electricity Market Multi-Agent System (EMMAS)</w:t>
      </w:r>
      <w:r w:rsidR="003E60B6" w:rsidRPr="003676D3">
        <w:rPr>
          <w:rFonts w:ascii="Times New Roman" w:hAnsi="Times New Roman" w:cs="Times New Roman"/>
          <w:sz w:val="24"/>
          <w:szCs w:val="24"/>
        </w:rPr>
        <w:t xml:space="preserve"> </w:t>
      </w:r>
      <w:r w:rsidR="003E60B6" w:rsidRPr="003676D3">
        <w:rPr>
          <w:rFonts w:ascii="Times New Roman" w:hAnsi="Times New Roman" w:cs="Times New Roman"/>
          <w:sz w:val="24"/>
          <w:szCs w:val="24"/>
        </w:rPr>
        <w:fldChar w:fldCharType="begin" w:fldLock="1"/>
      </w:r>
      <w:r w:rsidR="003E60B6" w:rsidRPr="003676D3">
        <w:rPr>
          <w:rFonts w:ascii="Times New Roman" w:hAnsi="Times New Roman" w:cs="Times New Roman"/>
          <w:sz w:val="24"/>
          <w:szCs w:val="24"/>
        </w:rPr>
        <w:instrText>ADDIN CSL_CITATION {"citationItems":[{"id":"ITEM-1","itemData":{"ISSN":"2168-2267","author":[{"dropping-particle":"","family":"Yu","given":"Chao","non-dropping-particle":"","parse-names":false,"suffix":""},{"dropping-particle":"","family":"Zhang","given":"Minjie","non-dropping-particle":"","parse-names":false,"suffix":""},{"dropping-particle":"","family":"Ren","given":"Fenghui","non-dropping-particle":"","parse-names":false,"suffix":""},{"dropping-particle":"","family":"Tan","given":"Guozhen","non-dropping-particle":"","parse-names":false,"suffix":""}],"container-title":"IEEE transactions on cybernetics","id":"ITEM-1","issue":"12","issued":{"date-parts":[["2015"]]},"page":"2853-2867","publisher":"IEEE","title":"Multiagent learning of coordination in loosely coupled multiagent systems","type":"article-journal","volume":"45"},"uris":["http://www.mendeley.com/documents/?uuid=cf88aa93-94a9-48b2-b417-b9892551aac7"]},{"id":"ITEM-2","itemData":{"ISBN":"1509047670","author":[{"dropping-particle":"","family":"Adhikaree","given":"Amit","non-dropping-particle":"","parse-names":false,"suffix":""},{"dropping-particle":"","family":"Makani","given":"Harshvardhan","non-dropping-particle":"","parse-names":false,"suffix":""},{"dropping-particle":"","family":"Yun","given":"Jihoon","non-dropping-particle":"","parse-names":false,"suffix":""},{"dropping-particle":"","family":"Qiao","given":"Wei","non-dropping-particle":"","parse-names":false,"suffix":""},{"dropping-particle":"","family":"Kim","given":"Taesic","non-dropping-particle":"","parse-names":false,"suffix":""}],"container-title":"2017 IEEE International Conference on Electro Information Technology (EIT)","id":"ITEM-2","issued":{"date-parts":[["2017"]]},"page":"100-104","publisher":"IEEE","title":"Internet of Things-enabled multiagent system for residential DC microgrids","type":"paper-conference"},"uris":["http://www.mendeley.com/documents/?uuid=a0a2e6b9-b8fe-42e8-bc43-06798bf17a8d"]},{"id":"ITEM-3","itemData":{"ISSN":"1949-3029","author":[{"dropping-particle":"","family":"Elmitwally","given":"Akram","non-dropping-particle":"","parse-names":false,"suffix":""},{"dropping-particle":"","family":"Elsaid","given":"Mohammed","non-dropping-particle":"","parse-names":false,"suffix":""},{"dropping-particle":"","family":"Elgamal","given":"Mohammed","non-dropping-particle":"","parse-names":false,"suffix":""},{"dropping-particle":"","family":"Chen","given":"Zhe","non-dropping-particle":"","parse-names":false,"suffix":""}],"container-title":"IEEE Transactions on Sustainable Energy","id":"ITEM-3","issue":"3","issued":{"date-parts":[["2015"]]},"page":"810-821","publisher":"IEEE","title":"A fuzzy-multiagent service restoration scheme for distribution system with distributed generation","type":"article-journal","volume":"6"},"uris":["http://www.mendeley.com/documents/?uuid=86dedbc6-be8b-4e9b-ba71-80b9dec04189"]}],"mendeley":{"formattedCitation":"[56,65,66]","plainTextFormattedCitation":"[56,65,66]","previouslyFormattedCitation":"[56,65,66]"},"properties":{"noteIndex":0},"schema":"https://github.com/citation-style-language/schema/raw/master/csl-citation.json"}</w:instrText>
      </w:r>
      <w:r w:rsidR="003E60B6" w:rsidRPr="003676D3">
        <w:rPr>
          <w:rFonts w:ascii="Times New Roman" w:hAnsi="Times New Roman" w:cs="Times New Roman"/>
          <w:sz w:val="24"/>
          <w:szCs w:val="24"/>
        </w:rPr>
        <w:fldChar w:fldCharType="separate"/>
      </w:r>
      <w:r w:rsidR="003E60B6" w:rsidRPr="003676D3">
        <w:rPr>
          <w:rFonts w:ascii="Times New Roman" w:hAnsi="Times New Roman" w:cs="Times New Roman"/>
          <w:noProof/>
          <w:sz w:val="24"/>
          <w:szCs w:val="24"/>
        </w:rPr>
        <w:t>[56,65,66]</w:t>
      </w:r>
      <w:r w:rsidR="003E60B6" w:rsidRPr="003676D3">
        <w:rPr>
          <w:rFonts w:ascii="Times New Roman" w:hAnsi="Times New Roman" w:cs="Times New Roman"/>
          <w:sz w:val="24"/>
          <w:szCs w:val="24"/>
        </w:rPr>
        <w:fldChar w:fldCharType="end"/>
      </w:r>
      <w:r w:rsidR="00014F88" w:rsidRPr="003676D3">
        <w:rPr>
          <w:rFonts w:ascii="Times New Roman" w:hAnsi="Times New Roman" w:cs="Times New Roman"/>
          <w:sz w:val="24"/>
          <w:szCs w:val="24"/>
        </w:rPr>
        <w:t xml:space="preserve"> and Power-Matcher (cluster based)</w:t>
      </w:r>
      <w:r w:rsidR="003E60B6" w:rsidRPr="003676D3">
        <w:rPr>
          <w:rFonts w:ascii="Times New Roman" w:hAnsi="Times New Roman" w:cs="Times New Roman"/>
          <w:sz w:val="24"/>
          <w:szCs w:val="24"/>
        </w:rPr>
        <w:t xml:space="preserve"> </w:t>
      </w:r>
      <w:r w:rsidR="003E60B6" w:rsidRPr="003676D3">
        <w:rPr>
          <w:rFonts w:ascii="Times New Roman" w:hAnsi="Times New Roman" w:cs="Times New Roman"/>
          <w:sz w:val="24"/>
          <w:szCs w:val="24"/>
        </w:rPr>
        <w:fldChar w:fldCharType="begin" w:fldLock="1"/>
      </w:r>
      <w:r w:rsidR="003E60B6" w:rsidRPr="003676D3">
        <w:rPr>
          <w:rFonts w:ascii="Times New Roman" w:hAnsi="Times New Roman" w:cs="Times New Roman"/>
          <w:sz w:val="24"/>
          <w:szCs w:val="24"/>
        </w:rPr>
        <w:instrText>ADDIN CSL_CITATION {"citationItems":[{"id":"ITEM-1","itemData":{"DOI":"10.1109/FUZZY.2011.6007492","ISBN":"9781424473175","ISSN":"10987584","abstract":"Load forecasting is an important component for power system energy management system. Precise load forecasting helps the electric utility to make unit commitment decisions, reduce spinning reserve capacity and schedule device maintenance plan properly. This paper presents the development of a novel fuzzy wavelet neural network model and validates its prediction on the short-term electric load forecasting of the Power System of the Greek Island of Crete. In the proposed scheme, a wavelet neural network has replaced the classic TSK model in the consequent part, while subtractive clustering has been applied to the definition of fuzzy rules. The forecasting error statistical results, corresponding to the minimum and maximum load time-series, indicate that the proposed load forecasting model provides more accurate forecasts, compared to conventional neural networks models. © 2011 IEEE.","author":[{"dropping-particle":"","family":"Amina","given":"Mahdi","non-dropping-particle":"","parse-names":false,"suffix":""},{"dropping-particle":"","family":"Kodogiannis","given":"Vassilis S.","non-dropping-particle":"","parse-names":false,"suffix":""}],"container-title":"IEEE International Conference on Fuzzy Systems","id":"ITEM-1","issued":{"date-parts":[["2011"]]},"page":"1033-1040","title":"Load forecasting using fuzzy wavelet neural networks","type":"article-journal"},"uris":["http://www.mendeley.com/documents/?uuid=9f89211d-6546-3403-b4d1-b3914d1f18fa"]}],"mendeley":{"formattedCitation":"[67]","plainTextFormattedCitation":"[67]","previouslyFormattedCitation":"[67]"},"properties":{"noteIndex":0},"schema":"https://github.com/citation-style-language/schema/raw/master/csl-citation.json"}</w:instrText>
      </w:r>
      <w:r w:rsidR="003E60B6" w:rsidRPr="003676D3">
        <w:rPr>
          <w:rFonts w:ascii="Times New Roman" w:hAnsi="Times New Roman" w:cs="Times New Roman"/>
          <w:sz w:val="24"/>
          <w:szCs w:val="24"/>
        </w:rPr>
        <w:fldChar w:fldCharType="separate"/>
      </w:r>
      <w:r w:rsidR="003E60B6" w:rsidRPr="003676D3">
        <w:rPr>
          <w:rFonts w:ascii="Times New Roman" w:hAnsi="Times New Roman" w:cs="Times New Roman"/>
          <w:noProof/>
          <w:sz w:val="24"/>
          <w:szCs w:val="24"/>
        </w:rPr>
        <w:t>[67]</w:t>
      </w:r>
      <w:r w:rsidR="003E60B6" w:rsidRPr="003676D3">
        <w:rPr>
          <w:rFonts w:ascii="Times New Roman" w:hAnsi="Times New Roman" w:cs="Times New Roman"/>
          <w:sz w:val="24"/>
          <w:szCs w:val="24"/>
        </w:rPr>
        <w:fldChar w:fldCharType="end"/>
      </w:r>
      <w:r w:rsidR="00014F88" w:rsidRPr="003676D3">
        <w:rPr>
          <w:rFonts w:ascii="Times New Roman" w:hAnsi="Times New Roman" w:cs="Times New Roman"/>
          <w:sz w:val="24"/>
          <w:szCs w:val="24"/>
        </w:rPr>
        <w:t>.</w:t>
      </w:r>
      <w:r w:rsidR="00534673" w:rsidRPr="003676D3">
        <w:rPr>
          <w:rFonts w:ascii="Times New Roman" w:hAnsi="Times New Roman" w:cs="Times New Roman"/>
          <w:sz w:val="24"/>
          <w:szCs w:val="24"/>
        </w:rPr>
        <w:t xml:space="preserve"> </w:t>
      </w:r>
      <w:r w:rsidR="003E60B6" w:rsidRPr="003676D3">
        <w:rPr>
          <w:rFonts w:ascii="Times New Roman" w:hAnsi="Times New Roman" w:cs="Times New Roman"/>
          <w:sz w:val="24"/>
          <w:szCs w:val="24"/>
        </w:rPr>
        <w:fldChar w:fldCharType="begin"/>
      </w:r>
      <w:r w:rsidR="003E60B6" w:rsidRPr="003676D3">
        <w:rPr>
          <w:rFonts w:ascii="Times New Roman" w:hAnsi="Times New Roman" w:cs="Times New Roman"/>
          <w:sz w:val="24"/>
          <w:szCs w:val="24"/>
        </w:rPr>
        <w:instrText xml:space="preserve"> REF _Ref168037025 \h  \* MERGEFORMAT </w:instrText>
      </w:r>
      <w:r w:rsidR="003E60B6" w:rsidRPr="003676D3">
        <w:rPr>
          <w:rFonts w:ascii="Times New Roman" w:hAnsi="Times New Roman" w:cs="Times New Roman"/>
          <w:sz w:val="24"/>
          <w:szCs w:val="24"/>
        </w:rPr>
      </w:r>
      <w:r w:rsidR="003E60B6" w:rsidRPr="003676D3">
        <w:rPr>
          <w:rFonts w:ascii="Times New Roman" w:hAnsi="Times New Roman" w:cs="Times New Roman"/>
          <w:sz w:val="24"/>
          <w:szCs w:val="24"/>
        </w:rPr>
        <w:fldChar w:fldCharType="separate"/>
      </w:r>
      <w:r w:rsidR="008D1E2C" w:rsidRPr="003676D3">
        <w:rPr>
          <w:rFonts w:ascii="Times New Roman" w:hAnsi="Times New Roman" w:cs="Times New Roman"/>
          <w:b/>
          <w:bCs/>
          <w:sz w:val="24"/>
          <w:szCs w:val="24"/>
        </w:rPr>
        <w:t xml:space="preserve">Figure </w:t>
      </w:r>
      <w:r w:rsidR="008D1E2C" w:rsidRPr="003676D3">
        <w:rPr>
          <w:rFonts w:ascii="Times New Roman" w:hAnsi="Times New Roman" w:cs="Times New Roman"/>
          <w:b/>
          <w:bCs/>
          <w:noProof/>
          <w:sz w:val="24"/>
          <w:szCs w:val="24"/>
        </w:rPr>
        <w:t>2.</w:t>
      </w:r>
      <w:r w:rsidR="008D1E2C" w:rsidRPr="003676D3">
        <w:rPr>
          <w:rFonts w:ascii="Times New Roman" w:hAnsi="Times New Roman" w:cs="Times New Roman"/>
          <w:sz w:val="24"/>
          <w:szCs w:val="24"/>
        </w:rPr>
        <w:t xml:space="preserve"> 7-Layer architecture of a Smart Grid</w:t>
      </w:r>
      <w:r w:rsidR="003E60B6" w:rsidRPr="003676D3">
        <w:rPr>
          <w:rFonts w:ascii="Times New Roman" w:hAnsi="Times New Roman" w:cs="Times New Roman"/>
          <w:sz w:val="24"/>
          <w:szCs w:val="24"/>
        </w:rPr>
        <w:fldChar w:fldCharType="end"/>
      </w:r>
      <w:r w:rsidR="003E60B6" w:rsidRPr="003676D3">
        <w:rPr>
          <w:rFonts w:ascii="Times New Roman" w:hAnsi="Times New Roman" w:cs="Times New Roman"/>
          <w:sz w:val="24"/>
          <w:szCs w:val="24"/>
        </w:rPr>
        <w:t xml:space="preserve"> given in </w:t>
      </w:r>
      <w:r w:rsidR="003E60B6" w:rsidRPr="003676D3">
        <w:rPr>
          <w:rFonts w:ascii="Times New Roman" w:hAnsi="Times New Roman" w:cs="Times New Roman"/>
          <w:sz w:val="24"/>
          <w:szCs w:val="24"/>
        </w:rPr>
        <w:fldChar w:fldCharType="begin" w:fldLock="1"/>
      </w:r>
      <w:r w:rsidR="00E13228" w:rsidRPr="003676D3">
        <w:rPr>
          <w:rFonts w:ascii="Times New Roman" w:hAnsi="Times New Roman" w:cs="Times New Roman"/>
          <w:sz w:val="24"/>
          <w:szCs w:val="24"/>
        </w:rPr>
        <w:instrText>ADDIN CSL_CITATION {"citationItems":[{"id":"ITEM-1","itemData":{"DOI":"10.1109/ACCESS.2020.2968402","ISSN":"21693536","abstract":"Prosumer concept and digitilization offer the exciting potential of microgrid transactive energy systems at distribution level for reducing transmission losses, decreasing electric infrastructure expenditure, improving reliability, enhancing local energy use, and minimizing customers' electricity bills. Distributed energy resources, demand response, distributed ledger technologies, and local energy markets are integral parts of transaction energy system for emergence of decentralized smart grid system. Hence, this paper discusses transactive energy concept and proposes seven functional layers architecture for designing transactive energy system. The proposed architecture is compared with practical case study of Brooklyn microgrid. Moreover, this paper reviews the existing architectures and explains the widely known distributed ledger technologies (blockchain, directed acyclic graph, hashgraph, holochain, and tempo) alongwith their advantages and challenges. The local energy market concept is presented and critically analyzed for energy trade within a transactive energy system. This paper also reviews the potential and challenges of peer-to-peer and community-based energy markets. Proposed architecture and analytical review of distributed ledger technologies and local energy markets pave the way for advanced research and industrialization of transactive energy systems.","author":[{"dropping-particle":"","family":"Zia","given":"Muhammad F.","non-dropping-particle":"","parse-names":false,"suffix":""},{"dropping-particle":"","family":"Benbouzid","given":"Mohamed","non-dropping-particle":"","parse-names":false,"suffix":""},{"dropping-particle":"","family":"Elbouchikhi","given":"Elhoussin","non-dropping-particle":"","parse-names":false,"suffix":""},{"dropping-particle":"","family":"Muyeen","given":"S. M.","non-dropping-particle":"","parse-names":false,"suffix":""},{"dropping-particle":"","family":"Techato","given":"Kuaanan","non-dropping-particle":"","parse-names":false,"suffix":""},{"dropping-particle":"","family":"Guerrero","given":"Josep M.","non-dropping-particle":"","parse-names":false,"suffix":""}],"container-title":"IEEE Access","id":"ITEM-1","issued":{"date-parts":[["2020"]]},"page":"19410-19432","publisher":"Institute of Electrical and Electronics Engineers Inc.","title":"Microgrid transactive energy: Review, architectures, distributed ledger technologies, and market analysis","type":"article-journal","volume":"8"},"uris":["http://www.mendeley.com/documents/?uuid=6c65e3da-63ca-36fa-b642-a62d8c75c4b7"]}],"mendeley":{"formattedCitation":"[27]","plainTextFormattedCitation":"[27]","previouslyFormattedCitation":"[27]"},"properties":{"noteIndex":0},"schema":"https://github.com/citation-style-language/schema/raw/master/csl-citation.json"}</w:instrText>
      </w:r>
      <w:r w:rsidR="003E60B6" w:rsidRPr="003676D3">
        <w:rPr>
          <w:rFonts w:ascii="Times New Roman" w:hAnsi="Times New Roman" w:cs="Times New Roman"/>
          <w:sz w:val="24"/>
          <w:szCs w:val="24"/>
        </w:rPr>
        <w:fldChar w:fldCharType="separate"/>
      </w:r>
      <w:r w:rsidR="003E60B6" w:rsidRPr="003676D3">
        <w:rPr>
          <w:rFonts w:ascii="Times New Roman" w:hAnsi="Times New Roman" w:cs="Times New Roman"/>
          <w:noProof/>
          <w:sz w:val="24"/>
          <w:szCs w:val="24"/>
        </w:rPr>
        <w:t>[27]</w:t>
      </w:r>
      <w:r w:rsidR="003E60B6" w:rsidRPr="003676D3">
        <w:rPr>
          <w:rFonts w:ascii="Times New Roman" w:hAnsi="Times New Roman" w:cs="Times New Roman"/>
          <w:sz w:val="24"/>
          <w:szCs w:val="24"/>
        </w:rPr>
        <w:fldChar w:fldCharType="end"/>
      </w:r>
      <w:r w:rsidR="003E60B6" w:rsidRPr="003676D3">
        <w:rPr>
          <w:rFonts w:ascii="Times New Roman" w:hAnsi="Times New Roman" w:cs="Times New Roman"/>
          <w:sz w:val="24"/>
          <w:szCs w:val="24"/>
        </w:rPr>
        <w:t>.</w:t>
      </w:r>
    </w:p>
    <w:p w14:paraId="13F876F7" w14:textId="2D0C2AA8" w:rsidR="003E60B6" w:rsidRPr="003676D3" w:rsidRDefault="003E60B6" w:rsidP="003676D3">
      <w:pPr>
        <w:spacing w:line="276" w:lineRule="auto"/>
        <w:jc w:val="both"/>
        <w:rPr>
          <w:rFonts w:ascii="Times New Roman" w:hAnsi="Times New Roman" w:cs="Times New Roman"/>
          <w:sz w:val="24"/>
          <w:szCs w:val="24"/>
        </w:rPr>
      </w:pPr>
      <w:r w:rsidRPr="003676D3">
        <w:rPr>
          <w:rFonts w:ascii="Times New Roman" w:hAnsi="Times New Roman" w:cs="Times New Roman"/>
          <w:noProof/>
          <w:lang w:eastAsia="en-GB"/>
        </w:rPr>
        <mc:AlternateContent>
          <mc:Choice Requires="wps">
            <w:drawing>
              <wp:anchor distT="0" distB="0" distL="114300" distR="114300" simplePos="0" relativeHeight="251638784" behindDoc="0" locked="0" layoutInCell="1" allowOverlap="1" wp14:anchorId="13BAED15" wp14:editId="52B7453B">
                <wp:simplePos x="0" y="0"/>
                <wp:positionH relativeFrom="column">
                  <wp:posOffset>122555</wp:posOffset>
                </wp:positionH>
                <wp:positionV relativeFrom="paragraph">
                  <wp:posOffset>5267325</wp:posOffset>
                </wp:positionV>
                <wp:extent cx="5600700" cy="63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5600700" cy="635"/>
                        </a:xfrm>
                        <a:prstGeom prst="rect">
                          <a:avLst/>
                        </a:prstGeom>
                        <a:solidFill>
                          <a:prstClr val="white"/>
                        </a:solidFill>
                        <a:ln>
                          <a:noFill/>
                        </a:ln>
                      </wps:spPr>
                      <wps:txbx>
                        <w:txbxContent>
                          <w:p w14:paraId="045EAE27" w14:textId="08F1304C" w:rsidR="001F368F" w:rsidRPr="003E60B6" w:rsidRDefault="001F368F" w:rsidP="004B1918">
                            <w:pPr>
                              <w:pStyle w:val="Caption"/>
                              <w:jc w:val="center"/>
                              <w:rPr>
                                <w:rFonts w:asciiTheme="majorBidi" w:hAnsiTheme="majorBidi" w:cstheme="majorBidi"/>
                                <w:b/>
                                <w:bCs/>
                                <w:i w:val="0"/>
                                <w:iCs w:val="0"/>
                                <w:noProof/>
                                <w:color w:val="auto"/>
                                <w:sz w:val="20"/>
                                <w:szCs w:val="20"/>
                              </w:rPr>
                            </w:pPr>
                            <w:bookmarkStart w:id="4" w:name="_Ref168037025"/>
                            <w:r w:rsidRPr="003E60B6">
                              <w:rPr>
                                <w:rFonts w:asciiTheme="majorBidi" w:hAnsiTheme="majorBidi" w:cstheme="majorBidi"/>
                                <w:b/>
                                <w:bCs/>
                                <w:i w:val="0"/>
                                <w:iCs w:val="0"/>
                                <w:color w:val="auto"/>
                                <w:sz w:val="20"/>
                                <w:szCs w:val="20"/>
                              </w:rPr>
                              <w:t xml:space="preserve">Figure </w:t>
                            </w:r>
                            <w:r w:rsidRPr="003E60B6">
                              <w:rPr>
                                <w:rFonts w:asciiTheme="majorBidi" w:hAnsiTheme="majorBidi" w:cstheme="majorBidi"/>
                                <w:b/>
                                <w:bCs/>
                                <w:i w:val="0"/>
                                <w:iCs w:val="0"/>
                                <w:color w:val="auto"/>
                                <w:sz w:val="20"/>
                                <w:szCs w:val="20"/>
                              </w:rPr>
                              <w:fldChar w:fldCharType="begin"/>
                            </w:r>
                            <w:r w:rsidRPr="003E60B6">
                              <w:rPr>
                                <w:rFonts w:asciiTheme="majorBidi" w:hAnsiTheme="majorBidi" w:cstheme="majorBidi"/>
                                <w:b/>
                                <w:bCs/>
                                <w:i w:val="0"/>
                                <w:iCs w:val="0"/>
                                <w:color w:val="auto"/>
                                <w:sz w:val="20"/>
                                <w:szCs w:val="20"/>
                              </w:rPr>
                              <w:instrText xml:space="preserve"> SEQ Figure \* ARABIC </w:instrText>
                            </w:r>
                            <w:r w:rsidRPr="003E60B6">
                              <w:rPr>
                                <w:rFonts w:asciiTheme="majorBidi" w:hAnsiTheme="majorBidi" w:cstheme="majorBidi"/>
                                <w:b/>
                                <w:bCs/>
                                <w:i w:val="0"/>
                                <w:iCs w:val="0"/>
                                <w:color w:val="auto"/>
                                <w:sz w:val="20"/>
                                <w:szCs w:val="20"/>
                              </w:rPr>
                              <w:fldChar w:fldCharType="separate"/>
                            </w:r>
                            <w:r w:rsidR="008D1E2C">
                              <w:rPr>
                                <w:rFonts w:asciiTheme="majorBidi" w:hAnsiTheme="majorBidi" w:cstheme="majorBidi"/>
                                <w:b/>
                                <w:bCs/>
                                <w:i w:val="0"/>
                                <w:iCs w:val="0"/>
                                <w:noProof/>
                                <w:color w:val="auto"/>
                                <w:sz w:val="20"/>
                                <w:szCs w:val="20"/>
                              </w:rPr>
                              <w:t>2</w:t>
                            </w:r>
                            <w:r w:rsidRPr="003E60B6">
                              <w:rPr>
                                <w:rFonts w:asciiTheme="majorBidi" w:hAnsiTheme="majorBidi" w:cstheme="majorBidi"/>
                                <w:b/>
                                <w:bCs/>
                                <w:i w:val="0"/>
                                <w:iCs w:val="0"/>
                                <w:color w:val="auto"/>
                                <w:sz w:val="20"/>
                                <w:szCs w:val="20"/>
                              </w:rPr>
                              <w:fldChar w:fldCharType="end"/>
                            </w:r>
                            <w:r w:rsidRPr="003E60B6">
                              <w:rPr>
                                <w:rFonts w:asciiTheme="majorBidi" w:hAnsiTheme="majorBidi" w:cstheme="majorBidi"/>
                                <w:b/>
                                <w:bCs/>
                                <w:i w:val="0"/>
                                <w:iCs w:val="0"/>
                                <w:color w:val="auto"/>
                                <w:sz w:val="20"/>
                                <w:szCs w:val="20"/>
                              </w:rPr>
                              <w:t>. 7-Layer architecture of a Smart Grid</w:t>
                            </w:r>
                            <w:bookmarkEnd w:id="4"/>
                            <w:r w:rsidRPr="003E60B6">
                              <w:rPr>
                                <w:rFonts w:asciiTheme="majorBidi" w:hAnsiTheme="majorBidi" w:cstheme="majorBidi"/>
                                <w:b/>
                                <w:bCs/>
                                <w:i w:val="0"/>
                                <w:iCs w:val="0"/>
                                <w:color w:val="auto"/>
                                <w:sz w:val="20"/>
                                <w:szCs w:val="20"/>
                              </w:rPr>
                              <w:t xml:space="preserve"> [27]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3BAED15" id="_x0000_t202" coordsize="21600,21600" o:spt="202" path="m,l,21600r21600,l21600,xe">
                <v:stroke joinstyle="miter"/>
                <v:path gradientshapeok="t" o:connecttype="rect"/>
              </v:shapetype>
              <v:shape id="Text Box 9" o:spid="_x0000_s1026" type="#_x0000_t202" style="position:absolute;left:0;text-align:left;margin-left:9.65pt;margin-top:414.75pt;width:441pt;height:.0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" stroked="f">
                <v:textbox style="mso-fit-shape-to-text:t" inset="0,0,0,0">
                  <w:txbxContent>
                    <w:p w14:paraId="045EAE27" w14:textId="08F1304C" w:rsidR="001F368F" w:rsidRPr="003E60B6" w:rsidRDefault="001F368F" w:rsidP="004B1918">
                      <w:pPr>
                        <w:pStyle w:val="Caption"/>
                        <w:jc w:val="center"/>
                        <w:rPr>
                          <w:rFonts w:asciiTheme="majorBidi" w:hAnsiTheme="majorBidi" w:cstheme="majorBidi"/>
                          <w:b/>
                          <w:bCs/>
                          <w:i w:val="0"/>
                          <w:iCs w:val="0"/>
                          <w:noProof/>
                          <w:color w:val="auto"/>
                          <w:sz w:val="20"/>
                          <w:szCs w:val="20"/>
                        </w:rPr>
                      </w:pPr>
                      <w:bookmarkStart w:id="5" w:name="_Ref168037025"/>
                      <w:r w:rsidRPr="003E60B6">
                        <w:rPr>
                          <w:rFonts w:asciiTheme="majorBidi" w:hAnsiTheme="majorBidi" w:cstheme="majorBidi"/>
                          <w:b/>
                          <w:bCs/>
                          <w:i w:val="0"/>
                          <w:iCs w:val="0"/>
                          <w:color w:val="auto"/>
                          <w:sz w:val="20"/>
                          <w:szCs w:val="20"/>
                        </w:rPr>
                        <w:t xml:space="preserve">Figure </w:t>
                      </w:r>
                      <w:r w:rsidRPr="003E60B6">
                        <w:rPr>
                          <w:rFonts w:asciiTheme="majorBidi" w:hAnsiTheme="majorBidi" w:cstheme="majorBidi"/>
                          <w:b/>
                          <w:bCs/>
                          <w:i w:val="0"/>
                          <w:iCs w:val="0"/>
                          <w:color w:val="auto"/>
                          <w:sz w:val="20"/>
                          <w:szCs w:val="20"/>
                        </w:rPr>
                        <w:fldChar w:fldCharType="begin"/>
                      </w:r>
                      <w:r w:rsidRPr="003E60B6">
                        <w:rPr>
                          <w:rFonts w:asciiTheme="majorBidi" w:hAnsiTheme="majorBidi" w:cstheme="majorBidi"/>
                          <w:b/>
                          <w:bCs/>
                          <w:i w:val="0"/>
                          <w:iCs w:val="0"/>
                          <w:color w:val="auto"/>
                          <w:sz w:val="20"/>
                          <w:szCs w:val="20"/>
                        </w:rPr>
                        <w:instrText xml:space="preserve"> SEQ Figure \* ARABIC </w:instrText>
                      </w:r>
                      <w:r w:rsidRPr="003E60B6">
                        <w:rPr>
                          <w:rFonts w:asciiTheme="majorBidi" w:hAnsiTheme="majorBidi" w:cstheme="majorBidi"/>
                          <w:b/>
                          <w:bCs/>
                          <w:i w:val="0"/>
                          <w:iCs w:val="0"/>
                          <w:color w:val="auto"/>
                          <w:sz w:val="20"/>
                          <w:szCs w:val="20"/>
                        </w:rPr>
                        <w:fldChar w:fldCharType="separate"/>
                      </w:r>
                      <w:r w:rsidR="008D1E2C">
                        <w:rPr>
                          <w:rFonts w:asciiTheme="majorBidi" w:hAnsiTheme="majorBidi" w:cstheme="majorBidi"/>
                          <w:b/>
                          <w:bCs/>
                          <w:i w:val="0"/>
                          <w:iCs w:val="0"/>
                          <w:noProof/>
                          <w:color w:val="auto"/>
                          <w:sz w:val="20"/>
                          <w:szCs w:val="20"/>
                        </w:rPr>
                        <w:t>2</w:t>
                      </w:r>
                      <w:r w:rsidRPr="003E60B6">
                        <w:rPr>
                          <w:rFonts w:asciiTheme="majorBidi" w:hAnsiTheme="majorBidi" w:cstheme="majorBidi"/>
                          <w:b/>
                          <w:bCs/>
                          <w:i w:val="0"/>
                          <w:iCs w:val="0"/>
                          <w:color w:val="auto"/>
                          <w:sz w:val="20"/>
                          <w:szCs w:val="20"/>
                        </w:rPr>
                        <w:fldChar w:fldCharType="end"/>
                      </w:r>
                      <w:r w:rsidRPr="003E60B6">
                        <w:rPr>
                          <w:rFonts w:asciiTheme="majorBidi" w:hAnsiTheme="majorBidi" w:cstheme="majorBidi"/>
                          <w:b/>
                          <w:bCs/>
                          <w:i w:val="0"/>
                          <w:iCs w:val="0"/>
                          <w:color w:val="auto"/>
                          <w:sz w:val="20"/>
                          <w:szCs w:val="20"/>
                        </w:rPr>
                        <w:t>. 7-Layer architecture of a Smart Grid</w:t>
                      </w:r>
                      <w:bookmarkEnd w:id="5"/>
                      <w:r w:rsidRPr="003E60B6">
                        <w:rPr>
                          <w:rFonts w:asciiTheme="majorBidi" w:hAnsiTheme="majorBidi" w:cstheme="majorBidi"/>
                          <w:b/>
                          <w:bCs/>
                          <w:i w:val="0"/>
                          <w:iCs w:val="0"/>
                          <w:color w:val="auto"/>
                          <w:sz w:val="20"/>
                          <w:szCs w:val="20"/>
                        </w:rPr>
                        <w:t xml:space="preserve"> [27]</w:t>
                      </w:r>
                    </w:p>
                  </w:txbxContent>
                </v:textbox>
                <w10:wrap type="square"/>
              </v:shape>
            </w:pict>
          </mc:Fallback>
        </mc:AlternateContent>
      </w:r>
      <w:r w:rsidRPr="003676D3">
        <w:rPr>
          <w:rFonts w:ascii="Times New Roman" w:hAnsi="Times New Roman" w:cs="Times New Roman"/>
          <w:noProof/>
          <w:sz w:val="24"/>
          <w:szCs w:val="24"/>
          <w:lang w:eastAsia="en-GB"/>
        </w:rPr>
        <w:drawing>
          <wp:anchor distT="0" distB="0" distL="114300" distR="114300" simplePos="0" relativeHeight="251626496" behindDoc="0" locked="0" layoutInCell="1" allowOverlap="1" wp14:anchorId="05880FE8" wp14:editId="119CEB25">
            <wp:simplePos x="0" y="0"/>
            <wp:positionH relativeFrom="margin">
              <wp:posOffset>122555</wp:posOffset>
            </wp:positionH>
            <wp:positionV relativeFrom="paragraph">
              <wp:posOffset>57150</wp:posOffset>
            </wp:positionV>
            <wp:extent cx="5600700" cy="5048250"/>
            <wp:effectExtent l="0" t="0" r="0" b="0"/>
            <wp:wrapSquare wrapText="bothSides"/>
            <wp:docPr id="5" name="Picture 5" descr="C:\Users\AnamZahid\Desktop\techa7-2968402-lar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amZahid\Desktop\techa7-2968402-large.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0700" cy="504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534673" w:rsidRPr="003676D3">
        <w:rPr>
          <w:rFonts w:ascii="Times New Roman" w:hAnsi="Times New Roman" w:cs="Times New Roman"/>
          <w:sz w:val="24"/>
          <w:szCs w:val="24"/>
        </w:rPr>
        <w:t xml:space="preserve">Smart grids are now evolving by employing </w:t>
      </w:r>
      <w:r w:rsidR="0062682E" w:rsidRPr="003676D3">
        <w:rPr>
          <w:rFonts w:ascii="Times New Roman" w:hAnsi="Times New Roman" w:cs="Times New Roman"/>
          <w:sz w:val="24"/>
          <w:szCs w:val="24"/>
        </w:rPr>
        <w:t>efficient</w:t>
      </w:r>
      <w:r w:rsidR="00534673" w:rsidRPr="003676D3">
        <w:rPr>
          <w:rFonts w:ascii="Times New Roman" w:hAnsi="Times New Roman" w:cs="Times New Roman"/>
          <w:sz w:val="24"/>
          <w:szCs w:val="24"/>
        </w:rPr>
        <w:t xml:space="preserve"> energy management systems, better automation with internet of things, capability to balance grid with electric vehicles and providing support for big data</w:t>
      </w:r>
      <w:r w:rsidRPr="003676D3">
        <w:rPr>
          <w:rFonts w:ascii="Times New Roman" w:hAnsi="Times New Roman" w:cs="Times New Roman"/>
          <w:sz w:val="24"/>
          <w:szCs w:val="24"/>
        </w:rPr>
        <w:t xml:space="preserve"> </w:t>
      </w:r>
      <w:r w:rsidRPr="003676D3">
        <w:rPr>
          <w:rFonts w:ascii="Times New Roman" w:hAnsi="Times New Roman" w:cs="Times New Roman"/>
          <w:sz w:val="24"/>
          <w:szCs w:val="24"/>
        </w:rPr>
        <w:fldChar w:fldCharType="begin" w:fldLock="1"/>
      </w:r>
      <w:r w:rsidRPr="003676D3">
        <w:rPr>
          <w:rFonts w:ascii="Times New Roman" w:hAnsi="Times New Roman" w:cs="Times New Roman"/>
          <w:sz w:val="24"/>
          <w:szCs w:val="24"/>
        </w:rPr>
        <w:instrText>ADDIN CSL_CITATION {"citationItems":[{"id":"ITEM-1","itemData":{"DOI":"10.1016/J.ASEJ.2020.05.004","ISSN":"2090-4479","abstract":"With the advancement in technology, there is an immense increase in the demand of electrical energy that has not only become challenge for its production but also its distribution. So this rising demand is growing the complexities of power grids by increasing requirement for greater reliability, efficiency, security and environmental and energy sustainability concerns. These feature in a power grid towards smartness which eventually known as a today's concept of “Smart Grid”. This is a conceptual technique in which all smart features are implemented in order to increase the distribution system of electricity efficient, more reliable and sustainable. In this article an overview of “Smart Grids” with its features and its different aspects on power distribution industry has been presented. It is also explained that how these technologies change and have more potential to evolve and strength the distribution system.","author":[{"dropping-particle":"","family":"Majeed Butt","given":"Osama","non-dropping-particle":"","parse-names":false,"suffix":""},{"dropping-particle":"","family":"Zulqarnain","given":"Muhammad","non-dropping-particle":"","parse-names":false,"suffix":""},{"dropping-particle":"","family":"Majeed Butt","given":"Tallal","non-dropping-particle":"","parse-names":false,"suffix":""}],"container-title":"Ain Shams Engineering Journal","id":"ITEM-1","issue":"1","issued":{"date-parts":[["2021","3","1"]]},"page":"687-695","publisher":"Elsevier","title":"Recent advancement in smart grid technology: Future prospects in the electrical power network","type":"article-journal","volume":"12"},"uris":["http://www.mendeley.com/documents/?uuid=b2536c95-b724-3462-b9bb-1ce750f94d8c"]}],"mendeley":{"formattedCitation":"[26]","plainTextFormattedCitation":"[26]","previouslyFormattedCitation":"[26]"},"properties":{"noteIndex":0},"schema":"https://github.com/citation-style-language/schema/raw/master/csl-citation.json"}</w:instrText>
      </w:r>
      <w:r w:rsidRPr="003676D3">
        <w:rPr>
          <w:rFonts w:ascii="Times New Roman" w:hAnsi="Times New Roman" w:cs="Times New Roman"/>
          <w:sz w:val="24"/>
          <w:szCs w:val="24"/>
        </w:rPr>
        <w:fldChar w:fldCharType="separate"/>
      </w:r>
      <w:r w:rsidRPr="003676D3">
        <w:rPr>
          <w:rFonts w:ascii="Times New Roman" w:hAnsi="Times New Roman" w:cs="Times New Roman"/>
          <w:noProof/>
          <w:sz w:val="24"/>
          <w:szCs w:val="24"/>
        </w:rPr>
        <w:t>[26]</w:t>
      </w:r>
      <w:r w:rsidRPr="003676D3">
        <w:rPr>
          <w:rFonts w:ascii="Times New Roman" w:hAnsi="Times New Roman" w:cs="Times New Roman"/>
          <w:sz w:val="24"/>
          <w:szCs w:val="24"/>
        </w:rPr>
        <w:fldChar w:fldCharType="end"/>
      </w:r>
      <w:r w:rsidR="00534673" w:rsidRPr="003676D3">
        <w:rPr>
          <w:rFonts w:ascii="Times New Roman" w:hAnsi="Times New Roman" w:cs="Times New Roman"/>
          <w:sz w:val="24"/>
          <w:szCs w:val="24"/>
        </w:rPr>
        <w:t>.</w:t>
      </w:r>
      <w:r w:rsidR="00E7634E" w:rsidRPr="003676D3">
        <w:rPr>
          <w:rFonts w:ascii="Times New Roman" w:hAnsi="Times New Roman" w:cs="Times New Roman"/>
          <w:sz w:val="24"/>
          <w:szCs w:val="24"/>
        </w:rPr>
        <w:t xml:space="preserve"> </w:t>
      </w:r>
      <w:r w:rsidR="00705F21" w:rsidRPr="003676D3">
        <w:rPr>
          <w:rFonts w:ascii="Times New Roman" w:hAnsi="Times New Roman" w:cs="Times New Roman"/>
          <w:sz w:val="24"/>
          <w:szCs w:val="24"/>
        </w:rPr>
        <w:t>In the futuristic super smart grid environment, strategic energy demand management can be done through fuzzy logic based controller</w:t>
      </w:r>
      <w:r w:rsidRPr="003676D3">
        <w:rPr>
          <w:rFonts w:ascii="Times New Roman" w:hAnsi="Times New Roman" w:cs="Times New Roman"/>
          <w:sz w:val="24"/>
          <w:szCs w:val="24"/>
        </w:rPr>
        <w:t xml:space="preserve"> </w:t>
      </w:r>
      <w:r w:rsidRPr="003676D3">
        <w:rPr>
          <w:rFonts w:ascii="Times New Roman" w:hAnsi="Times New Roman" w:cs="Times New Roman"/>
          <w:sz w:val="24"/>
          <w:szCs w:val="24"/>
        </w:rPr>
        <w:fldChar w:fldCharType="begin" w:fldLock="1"/>
      </w:r>
      <w:r w:rsidRPr="003676D3">
        <w:rPr>
          <w:rFonts w:ascii="Times New Roman" w:hAnsi="Times New Roman" w:cs="Times New Roman"/>
          <w:sz w:val="24"/>
          <w:szCs w:val="24"/>
        </w:rPr>
        <w:instrText>ADDIN CSL_CITATION {"citationItems":[{"id":"ITEM-1","itemData":{"DOI":"10.1109/TSG.2011.2171046","ISSN":"19493053","abstract":"In future smart grids, consumers of electricity will be enabled to react to electricity prices. The aggregate reaction of consumers can potentially shift the demand curve in the market, resulting in prices that may differ from the initial forecasts. In this paper, a hybrid forecasting framework is proposed that takes such dynamics into account when forecasting electricity price and demand. The proposed framework combines a multi-input multi-output (MIMO) forecasting engine for joint price and demand prediction with data association mining (DAM) algorithms. In this framework, a DAM-based rule extraction mechanism is used to determine and extract the patterns in consumers' reaction to price forecasts. The extracted rules are then employed to fine-tune the initially generated demand and price forecasts of a MIMO engine. Simulation results are presented using Australia's and New England's electricity market data. © 2012 IEEE.","author":[{"dropping-particle":"","family":"Motamedi","given":"Amir","non-dropping-particle":"","parse-names":false,"suffix":""},{"dropping-particle":"","family":"Zareipour","given":"Hamidreza","non-dropping-particle":"","parse-names":false,"suffix":""},{"dropping-particle":"","family":"Rosehart","given":"William D.","non-dropping-particle":"","parse-names":false,"suffix":""}],"container-title":"IEEE Transactions on Smart Grid","id":"ITEM-1","issue":"2","issued":{"date-parts":[["2012"]]},"page":"664-674","title":"Electricity price and demand forecasting in smart grids","type":"article-journal","volume":"3"},"uris":["http://www.mendeley.com/documents/?uuid=34998961-2dea-3a6c-92bb-24cbde7e9488"]}],"mendeley":{"formattedCitation":"[68]","plainTextFormattedCitation":"[68]","previouslyFormattedCitation":"[68]"},"properties":{"noteIndex":0},"schema":"https://github.com/citation-style-language/schema/raw/master/csl-citation.json"}</w:instrText>
      </w:r>
      <w:r w:rsidRPr="003676D3">
        <w:rPr>
          <w:rFonts w:ascii="Times New Roman" w:hAnsi="Times New Roman" w:cs="Times New Roman"/>
          <w:sz w:val="24"/>
          <w:szCs w:val="24"/>
        </w:rPr>
        <w:fldChar w:fldCharType="separate"/>
      </w:r>
      <w:r w:rsidRPr="003676D3">
        <w:rPr>
          <w:rFonts w:ascii="Times New Roman" w:hAnsi="Times New Roman" w:cs="Times New Roman"/>
          <w:noProof/>
          <w:sz w:val="24"/>
          <w:szCs w:val="24"/>
        </w:rPr>
        <w:t>[68]</w:t>
      </w:r>
      <w:r w:rsidRPr="003676D3">
        <w:rPr>
          <w:rFonts w:ascii="Times New Roman" w:hAnsi="Times New Roman" w:cs="Times New Roman"/>
          <w:sz w:val="24"/>
          <w:szCs w:val="24"/>
        </w:rPr>
        <w:fldChar w:fldCharType="end"/>
      </w:r>
      <w:r w:rsidRPr="003676D3">
        <w:rPr>
          <w:rFonts w:ascii="Times New Roman" w:hAnsi="Times New Roman" w:cs="Times New Roman"/>
          <w:sz w:val="24"/>
          <w:szCs w:val="24"/>
        </w:rPr>
        <w:t>.</w:t>
      </w:r>
      <w:r w:rsidR="00E7634E" w:rsidRPr="003676D3">
        <w:rPr>
          <w:rFonts w:ascii="Times New Roman" w:hAnsi="Times New Roman" w:cs="Times New Roman"/>
          <w:sz w:val="24"/>
          <w:szCs w:val="24"/>
        </w:rPr>
        <w:t xml:space="preserve"> </w:t>
      </w:r>
      <w:r w:rsidR="00212972" w:rsidRPr="003676D3">
        <w:rPr>
          <w:rFonts w:ascii="Times New Roman" w:hAnsi="Times New Roman" w:cs="Times New Roman"/>
          <w:sz w:val="24"/>
          <w:szCs w:val="24"/>
        </w:rPr>
        <w:t xml:space="preserve">Ease of energy storage is one of the </w:t>
      </w:r>
      <w:r w:rsidR="00B76FB3" w:rsidRPr="003676D3">
        <w:rPr>
          <w:rFonts w:ascii="Times New Roman" w:hAnsi="Times New Roman" w:cs="Times New Roman"/>
          <w:sz w:val="24"/>
          <w:szCs w:val="24"/>
        </w:rPr>
        <w:t>unique features of a SG</w:t>
      </w:r>
      <w:r w:rsidR="005E4980" w:rsidRPr="003676D3">
        <w:rPr>
          <w:rFonts w:ascii="Times New Roman" w:hAnsi="Times New Roman" w:cs="Times New Roman"/>
          <w:sz w:val="24"/>
          <w:szCs w:val="24"/>
        </w:rPr>
        <w:t>, that makes energy readily available on the grid, thereby minimizing losses. It adds to the system efficiency but also compensates the intermittency and variabilit</w:t>
      </w:r>
      <w:r w:rsidRPr="003676D3">
        <w:rPr>
          <w:rFonts w:ascii="Times New Roman" w:hAnsi="Times New Roman" w:cs="Times New Roman"/>
          <w:sz w:val="24"/>
          <w:szCs w:val="24"/>
        </w:rPr>
        <w:t>y of the distributed resources.</w:t>
      </w:r>
    </w:p>
    <w:p w14:paraId="4139C536" w14:textId="2337E960" w:rsidR="00394175" w:rsidRPr="003676D3" w:rsidRDefault="00705F21"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In event of supply-demand imbalance, the energy storage can balance the difference by either charging or discharging itself</w:t>
      </w:r>
      <w:r w:rsidR="00E13228" w:rsidRPr="003676D3">
        <w:rPr>
          <w:rFonts w:ascii="Times New Roman" w:hAnsi="Times New Roman" w:cs="Times New Roman"/>
          <w:sz w:val="24"/>
          <w:szCs w:val="24"/>
        </w:rPr>
        <w:t xml:space="preserve"> </w:t>
      </w:r>
      <w:r w:rsidR="00E13228" w:rsidRPr="003676D3">
        <w:rPr>
          <w:rFonts w:ascii="Times New Roman" w:hAnsi="Times New Roman" w:cs="Times New Roman"/>
          <w:sz w:val="24"/>
          <w:szCs w:val="24"/>
        </w:rPr>
        <w:fldChar w:fldCharType="begin" w:fldLock="1"/>
      </w:r>
      <w:r w:rsidR="00E13228" w:rsidRPr="003676D3">
        <w:rPr>
          <w:rFonts w:ascii="Times New Roman" w:hAnsi="Times New Roman" w:cs="Times New Roman"/>
          <w:sz w:val="24"/>
          <w:szCs w:val="24"/>
        </w:rPr>
        <w:instrText>ADDIN CSL_CITATION {"citationItems":[{"id":"ITEM-1","itemData":{"abstract":"Radical changes in the energy system, at the lower network level, will require integration of smart houses in the smart grid in order to realize the full potential. Introduction of renewables, an increase of distributed generation, and the trend towards an all-electric infrastructure lead to an increase in complexity, system management effort and cost that the smart grid should provide an answer for. This calls for houses that are pro-active and flexible participants in the smart grid. The home will no longer be an extension of a utility or energy service provider, but serve as an autonomous building block in a smart grid and determine autonomously how and to whom it will accept from and deliver energy services on the smart grid.","author":[{"dropping-particle":"","family":"Warmer","given":"Cor","non-dropping-particle":"","parse-names":false,"suffix":""},{"dropping-particle":"","family":"Kok","given":"Koen","non-dropping-particle":"","parse-names":false,"suffix":""},{"dropping-particle":"","family":"Karnouskos","given":"Stamatis","non-dropping-particle":"","parse-names":false,"suffix":""},{"dropping-particle":"","family":"Weidlich","given":"Anke","non-dropping-particle":"","parse-names":false,"suffix":""},{"dropping-particle":"","family":"Nestle","given":"David","non-dropping-particle":"","parse-names":false,"suffix":""},{"dropping-particle":"","family":"Selzam","given":"Patrick","non-dropping-particle":"","parse-names":false,"suffix":""},{"dropping-particle":"","family":"Ringelstein","given":"Jan","non-dropping-particle":"","parse-names":false,"suffix":""},{"dropping-particle":"","family":"Dimeas","given":"Aris","non-dropping-particle":"","parse-names":false,"suffix":""},{"dropping-particle":"","family":"Drenkard","given":"Stefan","non-dropping-particle":"","parse-names":false,"suffix":""}],"id":"ITEM-1","issued":{"date-parts":[["2009"]]},"title":"Web services for integration of smart houses in the smart grid","type":"article-journal"},"uris":["http://www.mendeley.com/documents/?uuid=73db5d18-c9e5-31e1-9140-5d57c96183d3"]},{"id":"ITEM-2","itemData":{"DOI":"10.1109/HICSS.2010.148","ISBN":"9780769538693","ISSN":"15301605","abstract":"This paper seeks to frame one aspect of the Smart Grid discussion which has been under-recognized in regulatory and policy debates. Significant discussion has focused Smart Grid attention on the technologies and on technical interoperability, there has been, we argue, too little attention to questions of the structure or the operation of the market(s) in which the technologies will function. The authors contend that the market structure required for a successful Smart Grid is best understood considering a \"platform\" framework. We present our view of the interrelationship between that market platform, ultimate customers and power suppliers. It is our conclusion that without a thorough vetting of the market structure within which Smart Grid technologies will function, the full value of the innovations can not be realized. © 2010 IEEE.","author":[{"dropping-particle":"","family":"Tabors","given":"Richard D.","non-dropping-particle":"","parse-names":false,"suffix":""},{"dropping-particle":"","family":"Parker","given":"Geoffrey","non-dropping-particle":"","parse-names":false,"suffix":""},{"dropping-particle":"","family":"Caramanis","given":"Michael C.","non-dropping-particle":"","parse-names":false,"suffix":""}],"container-title":"Proceedings of the Annual Hawaii International Conference on System Sciences","id":"ITEM-2","issued":{"date-parts":[["2010"]]},"title":"Development of the smart grid: Missing elements in the policy process","type":"article-journal"},"uris":["http://www.mendeley.com/documents/?uuid=c09acea5-7b37-3dde-85cb-2fcb372f177b"]},{"id":"ITEM-3","itemData":{"DOI":"10.1109/ISGT.2011.5759167","ISBN":"9781612842189","abstract":"Managing distributed energy sources, energy storage, and consumer's active behavior coupled with sustainability objectives, requires significant changes in the architecture and technologies used to control the electricity infrastructure. Electricity consumers are evolving into economically motivated \"prosumers\" that not only consume, but can also produce and store electricity. Prosumers can become smart energy ecosystems if they are equipped with technology and intelligence that allow them to achieving their own objectives. This paper demonstrates that any electric power system, from large interconnections to homes and appliances can be modeled as a prosumer. It shows that the emerging interactions and transactions related to electrical energy can be implemented using a prosumer-based architecture, which would replace the traditional, one-way, generation-transmission-distribution-consumer model. We propose a prosumer-based, service-oriented architecture, that is remarkably flexible and scalable, and which would ultimately enable a \"flat\" business paradigm across the industry. We describe the major components and services of this architecture, present an application to the problem of demand response, and discus several innovative features enabled by the proposed paradigm. © 2011 IEEE.","author":[{"dropping-particle":"","family":"Grijalva","given":"Santiago","non-dropping-particle":"","parse-names":false,"suffix":""},{"dropping-particle":"","family":"Tariq","given":"Muhammad Umer","non-dropping-particle":"","parse-names":false,"suffix":""}],"container-title":"IEEE PES Innovative Smart Grid Technologies Conference","id":"ITEM-3","issued":{"date-parts":[["2011"]]},"title":"Prosumer-based smart grid architecture enables a flat, sustainable electricity industry","type":"article-journal"},"uris":["http://www.mendeley.com/documents/?uuid=2372b48b-0aea-3236-95bb-1c66319d8d0e"]},{"id":"ITEM-4","itemData":{"DOI":"10.1049/CP.2009.0990","ISBN":"9781849191265","abstract":"In this paper we present a strategic approach for energy management of distributed electric resources in low-voltage networks with special consideration of services for the distribution system operator (DSO). A system comprising Bidirectional Energy Management Interfaces (BEMIs) developed and tested at ISET, carrying out decentralized decisions and grid supervision is introduced. The paper presents operational states and possible applications of the proposed system in the distribution grid as well as a simulation designed for researching the system's behaviour. Finally first results are given on the simulation-based development of an algorithm implementing a new approach for incentive-based voltage control, which is one of the system's advanced applications.","author":[{"dropping-particle":"","family":"Ringelstein","given":"Jan","non-dropping-particle":"","parse-names":false,"suffix":""},{"dropping-particle":"","family":"Nestle","given":"David","non-dropping-particle":"","parse-names":false,"suffix":""}],"container-title":"IET Conference Publications","id":"ITEM-4","issue":"550 CP","issued":{"date-parts":[["2009"]]},"title":"APPLICATION OF BIDIRECTIONAL ENERGY MANAGEMENT INTERFACES FOR DISTRIBUTION GRID SERVICES","type":"article-journal"},"uris":["http://www.mendeley.com/documents/?uuid=2836d292-cd01-32c6-9632-581d91fbdddf"]}],"mendeley":{"formattedCitation":"[69–72]","plainTextFormattedCitation":"[69–72]","previouslyFormattedCitation":"[69–72]"},"properties":{"noteIndex":0},"schema":"https://github.com/citation-style-language/schema/raw/master/csl-citation.json"}</w:instrText>
      </w:r>
      <w:r w:rsidR="00E13228" w:rsidRPr="003676D3">
        <w:rPr>
          <w:rFonts w:ascii="Times New Roman" w:hAnsi="Times New Roman" w:cs="Times New Roman"/>
          <w:sz w:val="24"/>
          <w:szCs w:val="24"/>
        </w:rPr>
        <w:fldChar w:fldCharType="separate"/>
      </w:r>
      <w:r w:rsidR="00E13228" w:rsidRPr="003676D3">
        <w:rPr>
          <w:rFonts w:ascii="Times New Roman" w:hAnsi="Times New Roman" w:cs="Times New Roman"/>
          <w:noProof/>
          <w:sz w:val="24"/>
          <w:szCs w:val="24"/>
        </w:rPr>
        <w:t>[69–72]</w:t>
      </w:r>
      <w:r w:rsidR="00E13228" w:rsidRPr="003676D3">
        <w:rPr>
          <w:rFonts w:ascii="Times New Roman" w:hAnsi="Times New Roman" w:cs="Times New Roman"/>
          <w:sz w:val="24"/>
          <w:szCs w:val="24"/>
        </w:rPr>
        <w:fldChar w:fldCharType="end"/>
      </w:r>
      <w:r w:rsidR="00E13228" w:rsidRPr="003676D3">
        <w:rPr>
          <w:rFonts w:ascii="Times New Roman" w:hAnsi="Times New Roman" w:cs="Times New Roman"/>
          <w:color w:val="FF0000"/>
          <w:sz w:val="24"/>
          <w:szCs w:val="24"/>
        </w:rPr>
        <w:t>.</w:t>
      </w:r>
      <w:r w:rsidR="00E13228" w:rsidRPr="003676D3">
        <w:rPr>
          <w:rFonts w:ascii="Times New Roman" w:hAnsi="Times New Roman" w:cs="Times New Roman"/>
          <w:sz w:val="24"/>
          <w:szCs w:val="24"/>
        </w:rPr>
        <w:t xml:space="preserve"> E</w:t>
      </w:r>
      <w:r w:rsidR="005E4980" w:rsidRPr="003676D3">
        <w:rPr>
          <w:rFonts w:ascii="Times New Roman" w:hAnsi="Times New Roman" w:cs="Times New Roman"/>
          <w:sz w:val="24"/>
          <w:szCs w:val="24"/>
        </w:rPr>
        <w:t xml:space="preserve">lectric vehicles, pumped hydro, hydrogen storage are </w:t>
      </w:r>
      <w:r w:rsidR="005E4980" w:rsidRPr="003676D3">
        <w:rPr>
          <w:rFonts w:ascii="Times New Roman" w:hAnsi="Times New Roman" w:cs="Times New Roman"/>
          <w:sz w:val="24"/>
          <w:szCs w:val="24"/>
        </w:rPr>
        <w:lastRenderedPageBreak/>
        <w:t xml:space="preserve">the modern means of energy storage. </w:t>
      </w:r>
      <w:r w:rsidR="00EE7B24" w:rsidRPr="003676D3">
        <w:rPr>
          <w:rFonts w:ascii="Times New Roman" w:hAnsi="Times New Roman" w:cs="Times New Roman"/>
          <w:sz w:val="24"/>
          <w:szCs w:val="24"/>
        </w:rPr>
        <w:t>Till year 2021, EU has made huge funding contribution in this transformational process and invested 135 million EUR in France, 155 million EUR in Germany, 157.2 million EUR in Spain. This large investment covers the projects related to DG and storage integration, smart network and DSM</w:t>
      </w:r>
      <w:r w:rsidR="00E13228" w:rsidRPr="003676D3">
        <w:rPr>
          <w:rFonts w:ascii="Times New Roman" w:hAnsi="Times New Roman" w:cs="Times New Roman"/>
          <w:sz w:val="24"/>
          <w:szCs w:val="24"/>
        </w:rPr>
        <w:t xml:space="preserve"> </w:t>
      </w:r>
      <w:r w:rsidR="00E13228" w:rsidRPr="003676D3">
        <w:rPr>
          <w:rFonts w:ascii="Times New Roman" w:hAnsi="Times New Roman" w:cs="Times New Roman"/>
          <w:sz w:val="24"/>
          <w:szCs w:val="24"/>
        </w:rPr>
        <w:fldChar w:fldCharType="begin" w:fldLock="1"/>
      </w:r>
      <w:r w:rsidR="00E13228" w:rsidRPr="003676D3">
        <w:rPr>
          <w:rFonts w:ascii="Times New Roman" w:hAnsi="Times New Roman" w:cs="Times New Roman"/>
          <w:sz w:val="24"/>
          <w:szCs w:val="24"/>
        </w:rPr>
        <w:instrText>ADDIN CSL_CITATION {"citationItems":[{"id":"ITEM-1","itemData":{"DOI":"10.2760/705655","ISBN":"978-92-76-36194-7","ISSN":"1831-9424","abstract":"1st edition. Manuscript completed in July 2021. This edition of the EU Rural Review builds on the outcomes of the ENRD work on the long-term Vision. The publication looks at the future of rural areas in digital, environmental and social terms, as well as in terms of resilience. This edition of the EU Rural Review includes articles by experts from different fields and countries who offer distinctive visions for the future of Europe's rural areas, based on the outcomes of the ENRD TG on the Long Term Rural Vision and Rural Vision Week. The articles in this publication look at the five main aspects of a future rural Vision which were the focus of interactive workshops organised during Rural Vision Week. Just like the workshops, the articles include a 'vision' for rural areas by 2040 and the concrete steps needed to get there.","author":[{"dropping-particle":"","family":"VASILJEVSKA","given":"Julija","non-dropping-particle":"","parse-names":false,"suffix":""},{"dropping-particle":"","family":"GANGALE","given":"Flavia","non-dropping-particle":"","parse-names":false,"suffix":""},{"dropping-particle":"","family":"COVRIG","given":"Laura","non-dropping-particle":"","parse-names":false,"suffix":""},{"dropping-particle":"","family":"MENGOLINI","given":"Anna Maria","non-dropping-particle":"","parse-names":false,"suffix":""}],"id":"ITEM-1","issued":{"date-parts":[["0"]]},"title":"Smart Grids and Beyond – An EU research and innovation perspective","type":"article-journal"},"uris":["http://www.mendeley.com/documents/?uuid=631a0467-a153-323a-8613-ba105c6737fa"]}],"mendeley":{"formattedCitation":"[73]","plainTextFormattedCitation":"[73]","previouslyFormattedCitation":"[73]"},"properties":{"noteIndex":0},"schema":"https://github.com/citation-style-language/schema/raw/master/csl-citation.json"}</w:instrText>
      </w:r>
      <w:r w:rsidR="00E13228" w:rsidRPr="003676D3">
        <w:rPr>
          <w:rFonts w:ascii="Times New Roman" w:hAnsi="Times New Roman" w:cs="Times New Roman"/>
          <w:sz w:val="24"/>
          <w:szCs w:val="24"/>
        </w:rPr>
        <w:fldChar w:fldCharType="separate"/>
      </w:r>
      <w:r w:rsidR="00E13228" w:rsidRPr="003676D3">
        <w:rPr>
          <w:rFonts w:ascii="Times New Roman" w:hAnsi="Times New Roman" w:cs="Times New Roman"/>
          <w:noProof/>
          <w:sz w:val="24"/>
          <w:szCs w:val="24"/>
        </w:rPr>
        <w:t>[73]</w:t>
      </w:r>
      <w:r w:rsidR="00E13228" w:rsidRPr="003676D3">
        <w:rPr>
          <w:rFonts w:ascii="Times New Roman" w:hAnsi="Times New Roman" w:cs="Times New Roman"/>
          <w:sz w:val="24"/>
          <w:szCs w:val="24"/>
        </w:rPr>
        <w:fldChar w:fldCharType="end"/>
      </w:r>
      <w:r w:rsidR="00EE7B24" w:rsidRPr="003676D3">
        <w:rPr>
          <w:rFonts w:ascii="Times New Roman" w:hAnsi="Times New Roman" w:cs="Times New Roman"/>
          <w:sz w:val="24"/>
          <w:szCs w:val="24"/>
        </w:rPr>
        <w:t>.</w:t>
      </w:r>
      <w:r w:rsidR="00E13228" w:rsidRPr="003676D3">
        <w:rPr>
          <w:rFonts w:ascii="Times New Roman" w:hAnsi="Times New Roman" w:cs="Times New Roman"/>
          <w:sz w:val="24"/>
          <w:szCs w:val="24"/>
        </w:rPr>
        <w:t xml:space="preserve"> </w:t>
      </w:r>
      <w:r w:rsidR="00E13228" w:rsidRPr="003676D3">
        <w:rPr>
          <w:rFonts w:ascii="Times New Roman" w:eastAsia="Times New Roman" w:hAnsi="Times New Roman" w:cs="Times New Roman"/>
          <w:sz w:val="24"/>
          <w:szCs w:val="24"/>
          <w:lang w:eastAsia="en-GB"/>
        </w:rPr>
        <w:fldChar w:fldCharType="begin"/>
      </w:r>
      <w:r w:rsidR="00E13228" w:rsidRPr="003676D3">
        <w:rPr>
          <w:rFonts w:ascii="Times New Roman" w:hAnsi="Times New Roman" w:cs="Times New Roman"/>
          <w:sz w:val="24"/>
          <w:szCs w:val="24"/>
        </w:rPr>
        <w:instrText xml:space="preserve"> REF _Ref168038339 \h </w:instrText>
      </w:r>
      <w:r w:rsidR="00E13228" w:rsidRPr="003676D3">
        <w:rPr>
          <w:rFonts w:ascii="Times New Roman" w:eastAsia="Times New Roman" w:hAnsi="Times New Roman" w:cs="Times New Roman"/>
          <w:sz w:val="24"/>
          <w:szCs w:val="24"/>
          <w:lang w:eastAsia="en-GB"/>
        </w:rPr>
        <w:instrText xml:space="preserve"> \* MERGEFORMAT </w:instrText>
      </w:r>
      <w:r w:rsidR="00E13228" w:rsidRPr="003676D3">
        <w:rPr>
          <w:rFonts w:ascii="Times New Roman" w:eastAsia="Times New Roman" w:hAnsi="Times New Roman" w:cs="Times New Roman"/>
          <w:sz w:val="24"/>
          <w:szCs w:val="24"/>
          <w:lang w:eastAsia="en-GB"/>
        </w:rPr>
      </w:r>
      <w:r w:rsidR="00E13228" w:rsidRPr="003676D3">
        <w:rPr>
          <w:rFonts w:ascii="Times New Roman" w:eastAsia="Times New Roman" w:hAnsi="Times New Roman" w:cs="Times New Roman"/>
          <w:sz w:val="24"/>
          <w:szCs w:val="24"/>
          <w:lang w:eastAsia="en-GB"/>
        </w:rPr>
        <w:fldChar w:fldCharType="separate"/>
      </w:r>
      <w:r w:rsidR="008D1E2C" w:rsidRPr="003676D3">
        <w:rPr>
          <w:rFonts w:ascii="Times New Roman" w:hAnsi="Times New Roman" w:cs="Times New Roman"/>
          <w:b/>
          <w:bCs/>
          <w:sz w:val="24"/>
          <w:szCs w:val="24"/>
        </w:rPr>
        <w:t xml:space="preserve">Table </w:t>
      </w:r>
      <w:r w:rsidR="008D1E2C" w:rsidRPr="003676D3">
        <w:rPr>
          <w:rFonts w:ascii="Times New Roman" w:hAnsi="Times New Roman" w:cs="Times New Roman"/>
          <w:b/>
          <w:bCs/>
          <w:noProof/>
          <w:sz w:val="24"/>
          <w:szCs w:val="24"/>
        </w:rPr>
        <w:t>3</w:t>
      </w:r>
      <w:r w:rsidR="00E13228" w:rsidRPr="003676D3">
        <w:rPr>
          <w:rFonts w:ascii="Times New Roman" w:eastAsia="Times New Roman" w:hAnsi="Times New Roman" w:cs="Times New Roman"/>
          <w:sz w:val="24"/>
          <w:szCs w:val="24"/>
          <w:lang w:eastAsia="en-GB"/>
        </w:rPr>
        <w:fldChar w:fldCharType="end"/>
      </w:r>
      <w:r w:rsidR="00E13228" w:rsidRPr="003676D3">
        <w:rPr>
          <w:rFonts w:ascii="Times New Roman" w:eastAsia="Times New Roman" w:hAnsi="Times New Roman" w:cs="Times New Roman"/>
          <w:sz w:val="24"/>
          <w:szCs w:val="24"/>
          <w:lang w:eastAsia="en-GB"/>
        </w:rPr>
        <w:t xml:space="preserve"> Compares the</w:t>
      </w:r>
      <w:r w:rsidR="00996978" w:rsidRPr="003676D3">
        <w:rPr>
          <w:rFonts w:ascii="Times New Roman" w:eastAsia="Times New Roman" w:hAnsi="Times New Roman" w:cs="Times New Roman"/>
          <w:sz w:val="24"/>
          <w:szCs w:val="24"/>
          <w:lang w:eastAsia="en-GB"/>
        </w:rPr>
        <w:t xml:space="preserve"> indicators of SG</w:t>
      </w:r>
      <w:r w:rsidR="00394175" w:rsidRPr="003676D3">
        <w:rPr>
          <w:rFonts w:ascii="Times New Roman" w:eastAsia="Times New Roman" w:hAnsi="Times New Roman" w:cs="Times New Roman"/>
          <w:sz w:val="24"/>
          <w:szCs w:val="24"/>
          <w:lang w:eastAsia="en-GB"/>
        </w:rPr>
        <w:t xml:space="preserve"> development in the EU countries</w:t>
      </w:r>
      <w:r w:rsidR="00E13228" w:rsidRPr="003676D3">
        <w:rPr>
          <w:rFonts w:ascii="Times New Roman" w:eastAsia="Times New Roman" w:hAnsi="Times New Roman" w:cs="Times New Roman"/>
          <w:sz w:val="24"/>
          <w:szCs w:val="24"/>
          <w:lang w:eastAsia="en-GB"/>
        </w:rPr>
        <w:t xml:space="preserve"> </w:t>
      </w:r>
      <w:r w:rsidR="00E13228" w:rsidRPr="003676D3">
        <w:rPr>
          <w:rFonts w:ascii="Times New Roman" w:eastAsia="Times New Roman" w:hAnsi="Times New Roman" w:cs="Times New Roman"/>
          <w:sz w:val="24"/>
          <w:szCs w:val="24"/>
          <w:lang w:eastAsia="en-GB"/>
        </w:rPr>
        <w:fldChar w:fldCharType="begin" w:fldLock="1"/>
      </w:r>
      <w:r w:rsidR="00E13228" w:rsidRPr="003676D3">
        <w:rPr>
          <w:rFonts w:ascii="Times New Roman" w:eastAsia="Times New Roman" w:hAnsi="Times New Roman" w:cs="Times New Roman"/>
          <w:sz w:val="24"/>
          <w:szCs w:val="24"/>
          <w:lang w:eastAsia="en-GB"/>
        </w:rPr>
        <w:instrText>ADDIN CSL_CITATION {"citationItems":[{"id":"ITEM-1","itemData":{"DOI":"10.1016/J.RSER.2023.113185","ISSN":"1364-0321","abstract":"With its potentially disruptive nature, the smart grid can be viewed from both a transformational and an innovation systems perspective. Synthesising these, a research approach is adopted in which a Technological Innovation System (TIS) analysis is combined with a transformational perspective to identify a broader range of success and failure factors. This study analyses smart grid innovation system development. The main research question is: What systemic and transformational failures are identified in the development of smart grid innovation in the Netherlands from 2001 to 2021 by combining TIS and a transformational perspective? The question is answered by mapping the events to TIS functions and identifying both ‘systemic failures’ and ‘transformational failures’. Transformational failures are linked to events outside the smart grid TIS that work against the alignment and harmonising of activities within the TIS. Results show that the smart grid innovation system experienced three periods and that it suffers from various structural and transformational failures. TIS functions like knowledge diffusion, and the creation of legitimacy were only fulfilled to a limited extent. Consequently, smart grid innovation is currently still not considered a mainstream technology in the energy transition, and there is little attention to the role of end-users. The study ends with suggestions for future research, including the suitability of the research approach for other contexts and when applied to other energy system innovations.","author":[{"dropping-particle":"","family":"Norouzi","given":"F.","non-dropping-particle":"","parse-names":false,"suffix":""},{"dropping-particle":"","family":"Hoppe","given":"T.","non-dropping-particle":"","parse-names":false,"suffix":""},{"dropping-particle":"","family":"Kamp","given":"L. M.","non-dropping-particle":"","parse-names":false,"suffix":""},{"dropping-particle":"","family":"Manktelow","given":"C.","non-dropping-particle":"","parse-names":false,"suffix":""},{"dropping-particle":"","family":"Bauer","given":"P.","non-dropping-particle":"","parse-names":false,"suffix":""}],"container-title":"Renewable and Sustainable Energy Reviews","id":"ITEM-1","issued":{"date-parts":[["2023","4","1"]]},"page":"113185","publisher":"Pergamon","title":"Diagnosis of the implementation of smart grid innovation in The Netherlands and corrective actions","type":"article-journal","volume":"175"},"uris":["http://www.mendeley.com/documents/?uuid=0d98a35e-d61a-3a9f-8d59-5d4bdd138fd0"]},{"id":"ITEM-2","itemData":{"ISBN":"978-92-9260-342-7","abstract":"This data set, updated yearly, tracks renewable power generation capacity over the preceding decade (2011-2020) in comprehensive trilingual tables.","author":[{"dropping-particle":"","family":"International Renewable Energy Agency IRENA","given":"","non-dropping-particle":"","parse-names":false,"suffix":""}],"container-title":"/publications/2021/March/Renewable-Capacity-Statistics-2021","id":"ITEM-2","issued":{"date-parts":[["2021"]]},"title":"Renewable Capacity Statistics 2021","type":"report"},"uris":["http://www.mendeley.com/documents/?uuid=0485e65b-8e62-3c15-8978-cddb8beba939"]}],"mendeley":{"formattedCitation":"[18,74]","plainTextFormattedCitation":"[18,74]","previouslyFormattedCitation":"[18,74]"},"properties":{"noteIndex":0},"schema":"https://github.com/citation-style-language/schema/raw/master/csl-citation.json"}</w:instrText>
      </w:r>
      <w:r w:rsidR="00E13228" w:rsidRPr="003676D3">
        <w:rPr>
          <w:rFonts w:ascii="Times New Roman" w:eastAsia="Times New Roman" w:hAnsi="Times New Roman" w:cs="Times New Roman"/>
          <w:sz w:val="24"/>
          <w:szCs w:val="24"/>
          <w:lang w:eastAsia="en-GB"/>
        </w:rPr>
        <w:fldChar w:fldCharType="separate"/>
      </w:r>
      <w:r w:rsidR="00E13228" w:rsidRPr="003676D3">
        <w:rPr>
          <w:rFonts w:ascii="Times New Roman" w:eastAsia="Times New Roman" w:hAnsi="Times New Roman" w:cs="Times New Roman"/>
          <w:noProof/>
          <w:sz w:val="24"/>
          <w:szCs w:val="24"/>
          <w:lang w:eastAsia="en-GB"/>
        </w:rPr>
        <w:t>[18,74]</w:t>
      </w:r>
      <w:r w:rsidR="00E13228" w:rsidRPr="003676D3">
        <w:rPr>
          <w:rFonts w:ascii="Times New Roman" w:eastAsia="Times New Roman" w:hAnsi="Times New Roman" w:cs="Times New Roman"/>
          <w:sz w:val="24"/>
          <w:szCs w:val="24"/>
          <w:lang w:eastAsia="en-GB"/>
        </w:rPr>
        <w:fldChar w:fldCharType="end"/>
      </w:r>
      <w:r w:rsidR="00E13228" w:rsidRPr="003676D3">
        <w:rPr>
          <w:rFonts w:ascii="Times New Roman" w:eastAsia="Times New Roman" w:hAnsi="Times New Roman" w:cs="Times New Roman"/>
          <w:sz w:val="24"/>
          <w:szCs w:val="24"/>
          <w:lang w:eastAsia="en-GB"/>
        </w:rPr>
        <w:t xml:space="preserve"> </w:t>
      </w:r>
      <w:r w:rsidR="00E13228" w:rsidRPr="003676D3">
        <w:rPr>
          <w:rFonts w:ascii="Times New Roman" w:eastAsia="Times New Roman" w:hAnsi="Times New Roman" w:cs="Times New Roman"/>
          <w:sz w:val="24"/>
          <w:szCs w:val="24"/>
          <w:lang w:eastAsia="en-GB"/>
        </w:rPr>
        <w:fldChar w:fldCharType="begin" w:fldLock="1"/>
      </w:r>
      <w:r w:rsidR="00E13228" w:rsidRPr="003676D3">
        <w:rPr>
          <w:rFonts w:ascii="Times New Roman" w:eastAsia="Times New Roman" w:hAnsi="Times New Roman" w:cs="Times New Roman"/>
          <w:sz w:val="24"/>
          <w:szCs w:val="24"/>
          <w:lang w:eastAsia="en-GB"/>
        </w:rPr>
        <w:instrText>ADDIN CSL_CITATION {"citationItems":[{"id":"ITEM-1","itemData":{"URL":"https://www.iea.org/reports/global-ev-outlook-2021","accessed":{"date-parts":[["2024","5","27"]]},"id":"ITEM-1","issued":{"date-parts":[["0"]]},"title":"Global EV Outlook 2021 – Analysis - IEA","type":"webpage"},"uris":["http://www.mendeley.com/documents/?uuid=c22458d9-b0dd-3a44-b985-b50788321ce8"]},{"id":"ITEM-2","itemData":{"ISBN":"978-92-9260-111-9","author":[{"dropping-particle":"","family":"Renewable Energy Agency","given":"International","non-dropping-particle":"","parse-names":false,"suffix":""}],"id":"ITEM-2","issued":{"date-parts":[["2019"]]},"title":"INNOVATION LANDSCAPE FOR A RENEWABLE-POWERED FUTURE: SOLUTIONS TO INTEGRATE VARIABLE RENEWABLES","type":"article-journal"},"uris":["http://www.mendeley.com/documents/?uuid=d46f86e9-3bbe-3c43-a354-faf09d108975"]},{"id":"ITEM-3","itemData":{"URL":"https://ourworldindata.org/grapher/patents-for-renewables-by-country","accessed":{"date-parts":[["2024","5","27"]]},"id":"ITEM-3","issued":{"date-parts":[["0"]]},"title":"Annual patents filed in sustainable energy, 2021","type":"webpage"},"uris":["http://www.mendeley.com/documents/?uuid=3b4889e5-7d17-3629-9ceb-551a74fa2403"]},{"id":"ITEM-4","itemData":{"DOI":"10.2760/15583","ISBN":"978-92-79-68899-7","ISSN":"1018-5593","author":[{"dropping-particle":"","family":"GANGALE","given":"Flavia","non-dropping-particle":"","parse-names":false,"suffix":""},{"dropping-particle":"","family":"VASILJEVSKA","given":"Julija","non-dropping-particle":"","parse-names":false,"suffix":""},{"dropping-particle":"","family":"COVRIG","given":"Catalin-Felix","non-dropping-particle":"","parse-names":false,"suffix":""},{"dropping-particle":"","family":"MENGOLINI","given":"Anna Maria","non-dropping-particle":"","parse-names":false,"suffix":""},{"dropping-particle":"","family":"FULLI","given":"Gianluca","non-dropping-particle":"","parse-names":false,"suffix":""}],"id":"ITEM-4","issued":{"date-parts":[["0"]]},"title":"Smart grid projects outlook 2017: facts, figures and trends in Europe","type":"article-journal"},"uris":["http://www.mendeley.com/documents/?uuid=80052136-8827-3f68-ab54-d5174523d764"]}],"mendeley":{"formattedCitation":"[75–78]","plainTextFormattedCitation":"[75–78]","previouslyFormattedCitation":"[75–78]"},"properties":{"noteIndex":0},"schema":"https://github.com/citation-style-language/schema/raw/master/csl-citation.json"}</w:instrText>
      </w:r>
      <w:r w:rsidR="00E13228" w:rsidRPr="003676D3">
        <w:rPr>
          <w:rFonts w:ascii="Times New Roman" w:eastAsia="Times New Roman" w:hAnsi="Times New Roman" w:cs="Times New Roman"/>
          <w:sz w:val="24"/>
          <w:szCs w:val="24"/>
          <w:lang w:eastAsia="en-GB"/>
        </w:rPr>
        <w:fldChar w:fldCharType="separate"/>
      </w:r>
      <w:r w:rsidR="00E13228" w:rsidRPr="003676D3">
        <w:rPr>
          <w:rFonts w:ascii="Times New Roman" w:eastAsia="Times New Roman" w:hAnsi="Times New Roman" w:cs="Times New Roman"/>
          <w:noProof/>
          <w:sz w:val="24"/>
          <w:szCs w:val="24"/>
          <w:lang w:eastAsia="en-GB"/>
        </w:rPr>
        <w:t>[75–78]</w:t>
      </w:r>
      <w:r w:rsidR="00E13228" w:rsidRPr="003676D3">
        <w:rPr>
          <w:rFonts w:ascii="Times New Roman" w:eastAsia="Times New Roman" w:hAnsi="Times New Roman" w:cs="Times New Roman"/>
          <w:sz w:val="24"/>
          <w:szCs w:val="24"/>
          <w:lang w:eastAsia="en-GB"/>
        </w:rPr>
        <w:fldChar w:fldCharType="end"/>
      </w:r>
      <w:r w:rsidR="00394175" w:rsidRPr="003676D3">
        <w:rPr>
          <w:rFonts w:ascii="Times New Roman" w:eastAsia="Times New Roman" w:hAnsi="Times New Roman" w:cs="Times New Roman"/>
          <w:sz w:val="24"/>
          <w:szCs w:val="24"/>
          <w:lang w:eastAsia="en-GB"/>
        </w:rPr>
        <w:t>.</w:t>
      </w:r>
    </w:p>
    <w:p w14:paraId="70B0C3C8" w14:textId="677B49B2" w:rsidR="00E13228" w:rsidRPr="003676D3" w:rsidRDefault="00E13228" w:rsidP="004B1918">
      <w:pPr>
        <w:pStyle w:val="Caption"/>
        <w:keepNext/>
        <w:spacing w:line="276" w:lineRule="auto"/>
        <w:jc w:val="center"/>
        <w:rPr>
          <w:rFonts w:ascii="Times New Roman" w:hAnsi="Times New Roman" w:cs="Times New Roman"/>
          <w:b/>
          <w:bCs/>
          <w:i w:val="0"/>
          <w:iCs w:val="0"/>
          <w:color w:val="auto"/>
          <w:sz w:val="20"/>
          <w:szCs w:val="20"/>
        </w:rPr>
      </w:pPr>
      <w:bookmarkStart w:id="6" w:name="_Ref168038339"/>
      <w:r w:rsidRPr="003676D3">
        <w:rPr>
          <w:rFonts w:ascii="Times New Roman" w:hAnsi="Times New Roman" w:cs="Times New Roman"/>
          <w:b/>
          <w:bCs/>
          <w:i w:val="0"/>
          <w:iCs w:val="0"/>
          <w:color w:val="auto"/>
          <w:sz w:val="20"/>
          <w:szCs w:val="20"/>
        </w:rPr>
        <w:t xml:space="preserve">Table </w:t>
      </w:r>
      <w:r w:rsidRPr="003676D3">
        <w:rPr>
          <w:rFonts w:ascii="Times New Roman" w:hAnsi="Times New Roman" w:cs="Times New Roman"/>
          <w:b/>
          <w:bCs/>
          <w:i w:val="0"/>
          <w:iCs w:val="0"/>
          <w:color w:val="auto"/>
          <w:sz w:val="20"/>
          <w:szCs w:val="20"/>
        </w:rPr>
        <w:fldChar w:fldCharType="begin"/>
      </w:r>
      <w:r w:rsidRPr="003676D3">
        <w:rPr>
          <w:rFonts w:ascii="Times New Roman" w:hAnsi="Times New Roman" w:cs="Times New Roman"/>
          <w:b/>
          <w:bCs/>
          <w:i w:val="0"/>
          <w:iCs w:val="0"/>
          <w:color w:val="auto"/>
          <w:sz w:val="20"/>
          <w:szCs w:val="20"/>
        </w:rPr>
        <w:instrText xml:space="preserve"> SEQ Table \* ARABIC </w:instrText>
      </w:r>
      <w:r w:rsidRPr="003676D3">
        <w:rPr>
          <w:rFonts w:ascii="Times New Roman" w:hAnsi="Times New Roman" w:cs="Times New Roman"/>
          <w:b/>
          <w:bCs/>
          <w:i w:val="0"/>
          <w:iCs w:val="0"/>
          <w:color w:val="auto"/>
          <w:sz w:val="20"/>
          <w:szCs w:val="20"/>
        </w:rPr>
        <w:fldChar w:fldCharType="separate"/>
      </w:r>
      <w:r w:rsidR="008D1E2C" w:rsidRPr="003676D3">
        <w:rPr>
          <w:rFonts w:ascii="Times New Roman" w:hAnsi="Times New Roman" w:cs="Times New Roman"/>
          <w:b/>
          <w:bCs/>
          <w:i w:val="0"/>
          <w:iCs w:val="0"/>
          <w:noProof/>
          <w:color w:val="auto"/>
          <w:sz w:val="20"/>
          <w:szCs w:val="20"/>
        </w:rPr>
        <w:t>3</w:t>
      </w:r>
      <w:r w:rsidRPr="003676D3">
        <w:rPr>
          <w:rFonts w:ascii="Times New Roman" w:hAnsi="Times New Roman" w:cs="Times New Roman"/>
          <w:b/>
          <w:bCs/>
          <w:i w:val="0"/>
          <w:iCs w:val="0"/>
          <w:color w:val="auto"/>
          <w:sz w:val="20"/>
          <w:szCs w:val="20"/>
        </w:rPr>
        <w:fldChar w:fldCharType="end"/>
      </w:r>
      <w:bookmarkEnd w:id="6"/>
      <w:r w:rsidRPr="003676D3">
        <w:rPr>
          <w:rFonts w:ascii="Times New Roman" w:hAnsi="Times New Roman" w:cs="Times New Roman"/>
          <w:b/>
          <w:bCs/>
          <w:i w:val="0"/>
          <w:iCs w:val="0"/>
          <w:color w:val="auto"/>
          <w:sz w:val="20"/>
          <w:szCs w:val="20"/>
        </w:rPr>
        <w:t>. Comparing indicators of SG development in EU countries.</w:t>
      </w:r>
    </w:p>
    <w:tbl>
      <w:tblPr>
        <w:tblStyle w:val="GridTable4-Accent1"/>
        <w:tblW w:w="5000" w:type="pct"/>
        <w:tblLook w:val="04A0" w:firstRow="1" w:lastRow="0" w:firstColumn="1" w:lastColumn="0" w:noHBand="0" w:noVBand="1"/>
      </w:tblPr>
      <w:tblGrid>
        <w:gridCol w:w="3134"/>
        <w:gridCol w:w="1497"/>
        <w:gridCol w:w="1212"/>
        <w:gridCol w:w="1049"/>
        <w:gridCol w:w="1049"/>
        <w:gridCol w:w="1075"/>
      </w:tblGrid>
      <w:tr w:rsidR="00CC49AF" w:rsidRPr="003676D3" w14:paraId="3D70C5A1" w14:textId="77777777" w:rsidTr="00CC49A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38" w:type="pct"/>
            <w:vAlign w:val="center"/>
            <w:hideMark/>
          </w:tcPr>
          <w:p w14:paraId="604F7E69" w14:textId="0BA24062" w:rsidR="00996978" w:rsidRPr="003676D3" w:rsidRDefault="00996978" w:rsidP="003676D3">
            <w:pPr>
              <w:spacing w:line="276" w:lineRule="auto"/>
              <w:jc w:val="both"/>
              <w:rPr>
                <w:rFonts w:ascii="Times New Roman" w:eastAsia="Times New Roman" w:hAnsi="Times New Roman" w:cs="Times New Roman"/>
                <w:color w:val="auto"/>
                <w:sz w:val="20"/>
                <w:szCs w:val="20"/>
                <w:lang w:eastAsia="en-GB"/>
              </w:rPr>
            </w:pPr>
            <w:r w:rsidRPr="003676D3">
              <w:rPr>
                <w:rFonts w:ascii="Times New Roman" w:eastAsia="Times New Roman" w:hAnsi="Times New Roman" w:cs="Times New Roman"/>
                <w:color w:val="auto"/>
                <w:sz w:val="20"/>
                <w:szCs w:val="20"/>
                <w:lang w:eastAsia="en-GB"/>
              </w:rPr>
              <w:t>Parameter</w:t>
            </w:r>
          </w:p>
        </w:tc>
        <w:tc>
          <w:tcPr>
            <w:tcW w:w="830" w:type="pct"/>
            <w:vAlign w:val="center"/>
            <w:hideMark/>
          </w:tcPr>
          <w:p w14:paraId="64B15B28" w14:textId="1EE2B532" w:rsidR="00996978" w:rsidRPr="003676D3" w:rsidRDefault="00996978" w:rsidP="003676D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3676D3">
              <w:rPr>
                <w:rFonts w:ascii="Times New Roman" w:eastAsia="Times New Roman" w:hAnsi="Times New Roman" w:cs="Times New Roman"/>
                <w:color w:val="auto"/>
                <w:sz w:val="20"/>
                <w:szCs w:val="20"/>
                <w:lang w:eastAsia="en-GB"/>
              </w:rPr>
              <w:t>Netherlands</w:t>
            </w:r>
          </w:p>
        </w:tc>
        <w:tc>
          <w:tcPr>
            <w:tcW w:w="672" w:type="pct"/>
            <w:vAlign w:val="center"/>
            <w:hideMark/>
          </w:tcPr>
          <w:p w14:paraId="030305A5" w14:textId="77777777" w:rsidR="00996978" w:rsidRPr="003676D3" w:rsidRDefault="00996978" w:rsidP="003676D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3676D3">
              <w:rPr>
                <w:rFonts w:ascii="Times New Roman" w:eastAsia="Times New Roman" w:hAnsi="Times New Roman" w:cs="Times New Roman"/>
                <w:color w:val="auto"/>
                <w:sz w:val="20"/>
                <w:szCs w:val="20"/>
                <w:lang w:eastAsia="en-GB"/>
              </w:rPr>
              <w:t>Germany</w:t>
            </w:r>
          </w:p>
        </w:tc>
        <w:tc>
          <w:tcPr>
            <w:tcW w:w="582" w:type="pct"/>
            <w:vAlign w:val="center"/>
          </w:tcPr>
          <w:p w14:paraId="02373345" w14:textId="2A6EA9EA" w:rsidR="00996978" w:rsidRPr="003676D3" w:rsidRDefault="00996978" w:rsidP="003676D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3676D3">
              <w:rPr>
                <w:rFonts w:ascii="Times New Roman" w:hAnsi="Times New Roman" w:cs="Times New Roman"/>
                <w:color w:val="auto"/>
                <w:sz w:val="20"/>
                <w:szCs w:val="20"/>
              </w:rPr>
              <w:t>Denmark</w:t>
            </w:r>
          </w:p>
        </w:tc>
        <w:tc>
          <w:tcPr>
            <w:tcW w:w="582" w:type="pct"/>
            <w:vAlign w:val="center"/>
            <w:hideMark/>
          </w:tcPr>
          <w:p w14:paraId="25FC44F0" w14:textId="03D7A08F" w:rsidR="00996978" w:rsidRPr="003676D3" w:rsidRDefault="00996978" w:rsidP="003676D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3676D3">
              <w:rPr>
                <w:rFonts w:ascii="Times New Roman" w:eastAsia="Times New Roman" w:hAnsi="Times New Roman" w:cs="Times New Roman"/>
                <w:color w:val="auto"/>
                <w:sz w:val="20"/>
                <w:szCs w:val="20"/>
                <w:lang w:eastAsia="en-GB"/>
              </w:rPr>
              <w:t>Norway</w:t>
            </w:r>
          </w:p>
        </w:tc>
        <w:tc>
          <w:tcPr>
            <w:tcW w:w="596" w:type="pct"/>
            <w:vAlign w:val="center"/>
            <w:hideMark/>
          </w:tcPr>
          <w:p w14:paraId="59ED754B" w14:textId="77777777" w:rsidR="00996978" w:rsidRPr="003676D3" w:rsidRDefault="00996978" w:rsidP="003676D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3676D3">
              <w:rPr>
                <w:rFonts w:ascii="Times New Roman" w:eastAsia="Times New Roman" w:hAnsi="Times New Roman" w:cs="Times New Roman"/>
                <w:color w:val="auto"/>
                <w:sz w:val="20"/>
                <w:szCs w:val="20"/>
                <w:lang w:eastAsia="en-GB"/>
              </w:rPr>
              <w:t>France</w:t>
            </w:r>
          </w:p>
        </w:tc>
      </w:tr>
      <w:tr w:rsidR="00CC49AF" w:rsidRPr="003676D3" w14:paraId="7A0D5922" w14:textId="77777777" w:rsidTr="00CC4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38" w:type="pct"/>
            <w:vAlign w:val="center"/>
            <w:hideMark/>
          </w:tcPr>
          <w:p w14:paraId="2A5A7E97" w14:textId="04BA8BFC" w:rsidR="00996978" w:rsidRPr="003676D3" w:rsidRDefault="00996978" w:rsidP="003676D3">
            <w:pPr>
              <w:spacing w:line="276" w:lineRule="auto"/>
              <w:jc w:val="both"/>
              <w:rPr>
                <w:rFonts w:ascii="Times New Roman" w:eastAsia="Times New Roman" w:hAnsi="Times New Roman" w:cs="Times New Roman"/>
                <w:b w:val="0"/>
                <w:bCs w:val="0"/>
                <w:sz w:val="20"/>
                <w:szCs w:val="20"/>
                <w:lang w:eastAsia="en-GB"/>
              </w:rPr>
            </w:pPr>
            <w:r w:rsidRPr="003676D3">
              <w:rPr>
                <w:rFonts w:ascii="Times New Roman" w:eastAsia="Times New Roman" w:hAnsi="Times New Roman" w:cs="Times New Roman"/>
                <w:b w:val="0"/>
                <w:bCs w:val="0"/>
                <w:sz w:val="20"/>
                <w:szCs w:val="20"/>
                <w:lang w:eastAsia="en-GB"/>
              </w:rPr>
              <w:t>Population (millions)</w:t>
            </w:r>
          </w:p>
        </w:tc>
        <w:tc>
          <w:tcPr>
            <w:tcW w:w="830" w:type="pct"/>
            <w:vAlign w:val="center"/>
            <w:hideMark/>
          </w:tcPr>
          <w:p w14:paraId="6CB73D2C"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17.53</w:t>
            </w:r>
          </w:p>
        </w:tc>
        <w:tc>
          <w:tcPr>
            <w:tcW w:w="672" w:type="pct"/>
            <w:vAlign w:val="center"/>
            <w:hideMark/>
          </w:tcPr>
          <w:p w14:paraId="4CB2A46A"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83.13</w:t>
            </w:r>
          </w:p>
        </w:tc>
        <w:tc>
          <w:tcPr>
            <w:tcW w:w="582" w:type="pct"/>
            <w:vAlign w:val="center"/>
          </w:tcPr>
          <w:p w14:paraId="65DB371F" w14:textId="72794474"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hAnsi="Times New Roman" w:cs="Times New Roman"/>
                <w:sz w:val="20"/>
                <w:szCs w:val="20"/>
                <w:cs/>
              </w:rPr>
              <w:t>‎</w:t>
            </w:r>
            <w:r w:rsidRPr="003676D3">
              <w:rPr>
                <w:rFonts w:ascii="Times New Roman" w:hAnsi="Times New Roman" w:cs="Times New Roman"/>
                <w:sz w:val="20"/>
                <w:szCs w:val="20"/>
              </w:rPr>
              <w:t>5.85</w:t>
            </w:r>
            <w:r w:rsidRPr="003676D3">
              <w:rPr>
                <w:rFonts w:ascii="Times New Roman" w:hAnsi="Times New Roman" w:cs="Times New Roman"/>
                <w:sz w:val="20"/>
                <w:szCs w:val="20"/>
                <w:cs/>
              </w:rPr>
              <w:t>‎</w:t>
            </w:r>
          </w:p>
        </w:tc>
        <w:tc>
          <w:tcPr>
            <w:tcW w:w="582" w:type="pct"/>
            <w:vAlign w:val="center"/>
            <w:hideMark/>
          </w:tcPr>
          <w:p w14:paraId="7C5A51D8" w14:textId="1AB67CB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5.40</w:t>
            </w:r>
          </w:p>
        </w:tc>
        <w:tc>
          <w:tcPr>
            <w:tcW w:w="596" w:type="pct"/>
            <w:vAlign w:val="center"/>
            <w:hideMark/>
          </w:tcPr>
          <w:p w14:paraId="3002B56B"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67.5</w:t>
            </w:r>
          </w:p>
        </w:tc>
      </w:tr>
      <w:tr w:rsidR="00CC49AF" w:rsidRPr="003676D3" w14:paraId="71B814A4" w14:textId="77777777" w:rsidTr="00CC49AF">
        <w:trPr>
          <w:trHeight w:val="454"/>
        </w:trPr>
        <w:tc>
          <w:tcPr>
            <w:cnfStyle w:val="001000000000" w:firstRow="0" w:lastRow="0" w:firstColumn="1" w:lastColumn="0" w:oddVBand="0" w:evenVBand="0" w:oddHBand="0" w:evenHBand="0" w:firstRowFirstColumn="0" w:firstRowLastColumn="0" w:lastRowFirstColumn="0" w:lastRowLastColumn="0"/>
            <w:tcW w:w="1738" w:type="pct"/>
            <w:vAlign w:val="center"/>
            <w:hideMark/>
          </w:tcPr>
          <w:p w14:paraId="6D215DAB" w14:textId="77B28584" w:rsidR="00996978" w:rsidRPr="003676D3" w:rsidRDefault="00996978" w:rsidP="003676D3">
            <w:pPr>
              <w:spacing w:line="276" w:lineRule="auto"/>
              <w:jc w:val="both"/>
              <w:rPr>
                <w:rFonts w:ascii="Times New Roman" w:eastAsia="Times New Roman" w:hAnsi="Times New Roman" w:cs="Times New Roman"/>
                <w:b w:val="0"/>
                <w:bCs w:val="0"/>
                <w:sz w:val="20"/>
                <w:szCs w:val="20"/>
                <w:lang w:eastAsia="en-GB"/>
              </w:rPr>
            </w:pPr>
            <w:r w:rsidRPr="003676D3">
              <w:rPr>
                <w:rFonts w:ascii="Times New Roman" w:eastAsia="Times New Roman" w:hAnsi="Times New Roman" w:cs="Times New Roman"/>
                <w:b w:val="0"/>
                <w:bCs w:val="0"/>
                <w:sz w:val="20"/>
                <w:szCs w:val="20"/>
                <w:lang w:eastAsia="en-GB"/>
              </w:rPr>
              <w:t>Total investment in SG projects (EUR/capita)</w:t>
            </w:r>
          </w:p>
        </w:tc>
        <w:tc>
          <w:tcPr>
            <w:tcW w:w="830" w:type="pct"/>
            <w:vAlign w:val="center"/>
            <w:hideMark/>
          </w:tcPr>
          <w:p w14:paraId="34134DC0"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10</w:t>
            </w:r>
          </w:p>
        </w:tc>
        <w:tc>
          <w:tcPr>
            <w:tcW w:w="672" w:type="pct"/>
            <w:vAlign w:val="center"/>
            <w:hideMark/>
          </w:tcPr>
          <w:p w14:paraId="639A967D"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4.5</w:t>
            </w:r>
          </w:p>
        </w:tc>
        <w:tc>
          <w:tcPr>
            <w:tcW w:w="582" w:type="pct"/>
            <w:vAlign w:val="center"/>
          </w:tcPr>
          <w:p w14:paraId="65970B3E" w14:textId="31441D2A"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hAnsi="Times New Roman" w:cs="Times New Roman"/>
                <w:sz w:val="20"/>
                <w:szCs w:val="20"/>
                <w:cs/>
              </w:rPr>
              <w:t>‎</w:t>
            </w:r>
            <w:r w:rsidRPr="003676D3">
              <w:rPr>
                <w:rFonts w:ascii="Times New Roman" w:hAnsi="Times New Roman" w:cs="Times New Roman"/>
                <w:sz w:val="20"/>
                <w:szCs w:val="20"/>
              </w:rPr>
              <w:t>16</w:t>
            </w:r>
            <w:r w:rsidRPr="003676D3">
              <w:rPr>
                <w:rFonts w:ascii="Times New Roman" w:hAnsi="Times New Roman" w:cs="Times New Roman"/>
                <w:sz w:val="20"/>
                <w:szCs w:val="20"/>
                <w:cs/>
              </w:rPr>
              <w:t>‎</w:t>
            </w:r>
          </w:p>
        </w:tc>
        <w:tc>
          <w:tcPr>
            <w:tcW w:w="582" w:type="pct"/>
            <w:vAlign w:val="center"/>
            <w:hideMark/>
          </w:tcPr>
          <w:p w14:paraId="3C8C2E26" w14:textId="25DE8B69"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6</w:t>
            </w:r>
          </w:p>
        </w:tc>
        <w:tc>
          <w:tcPr>
            <w:tcW w:w="596" w:type="pct"/>
            <w:vAlign w:val="center"/>
            <w:hideMark/>
          </w:tcPr>
          <w:p w14:paraId="68D3417E"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4</w:t>
            </w:r>
          </w:p>
        </w:tc>
      </w:tr>
      <w:tr w:rsidR="00CC49AF" w:rsidRPr="003676D3" w14:paraId="4E71B0FF" w14:textId="77777777" w:rsidTr="00CC4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38" w:type="pct"/>
            <w:vAlign w:val="center"/>
          </w:tcPr>
          <w:p w14:paraId="3DFCCB6B" w14:textId="77777777" w:rsidR="00996978" w:rsidRPr="003676D3" w:rsidRDefault="00996978" w:rsidP="003676D3">
            <w:pPr>
              <w:spacing w:line="276" w:lineRule="auto"/>
              <w:jc w:val="both"/>
              <w:rPr>
                <w:rFonts w:ascii="Times New Roman" w:eastAsia="Times New Roman" w:hAnsi="Times New Roman" w:cs="Times New Roman"/>
                <w:b w:val="0"/>
                <w:bCs w:val="0"/>
                <w:sz w:val="20"/>
                <w:szCs w:val="20"/>
                <w:lang w:eastAsia="en-GB"/>
              </w:rPr>
            </w:pPr>
            <w:r w:rsidRPr="003676D3">
              <w:rPr>
                <w:rFonts w:ascii="Times New Roman" w:eastAsia="Times New Roman" w:hAnsi="Times New Roman" w:cs="Times New Roman"/>
                <w:b w:val="0"/>
                <w:bCs w:val="0"/>
                <w:sz w:val="20"/>
                <w:szCs w:val="20"/>
                <w:lang w:eastAsia="en-GB"/>
              </w:rPr>
              <w:t>Primary energy consumption (exajoules)</w:t>
            </w:r>
          </w:p>
        </w:tc>
        <w:tc>
          <w:tcPr>
            <w:tcW w:w="830" w:type="pct"/>
            <w:vAlign w:val="center"/>
          </w:tcPr>
          <w:p w14:paraId="26149AD2"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3.54</w:t>
            </w:r>
          </w:p>
        </w:tc>
        <w:tc>
          <w:tcPr>
            <w:tcW w:w="672" w:type="pct"/>
            <w:vAlign w:val="center"/>
          </w:tcPr>
          <w:p w14:paraId="7F8420AF"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12.3</w:t>
            </w:r>
          </w:p>
        </w:tc>
        <w:tc>
          <w:tcPr>
            <w:tcW w:w="582" w:type="pct"/>
            <w:vAlign w:val="center"/>
          </w:tcPr>
          <w:p w14:paraId="38344CF3" w14:textId="1D1F9406"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hAnsi="Times New Roman" w:cs="Times New Roman"/>
                <w:sz w:val="20"/>
                <w:szCs w:val="20"/>
                <w:cs/>
              </w:rPr>
              <w:t>‎</w:t>
            </w:r>
            <w:r w:rsidRPr="003676D3">
              <w:rPr>
                <w:rFonts w:ascii="Times New Roman" w:hAnsi="Times New Roman" w:cs="Times New Roman"/>
                <w:sz w:val="20"/>
                <w:szCs w:val="20"/>
              </w:rPr>
              <w:t>0.68</w:t>
            </w:r>
            <w:r w:rsidRPr="003676D3">
              <w:rPr>
                <w:rFonts w:ascii="Times New Roman" w:hAnsi="Times New Roman" w:cs="Times New Roman"/>
                <w:sz w:val="20"/>
                <w:szCs w:val="20"/>
                <w:cs/>
              </w:rPr>
              <w:t>‎</w:t>
            </w:r>
          </w:p>
        </w:tc>
        <w:tc>
          <w:tcPr>
            <w:tcW w:w="582" w:type="pct"/>
            <w:vAlign w:val="center"/>
          </w:tcPr>
          <w:p w14:paraId="0AE6D4D6" w14:textId="6E972A0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1.9</w:t>
            </w:r>
          </w:p>
        </w:tc>
        <w:tc>
          <w:tcPr>
            <w:tcW w:w="596" w:type="pct"/>
            <w:vAlign w:val="center"/>
          </w:tcPr>
          <w:p w14:paraId="547FC193"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8.39</w:t>
            </w:r>
          </w:p>
        </w:tc>
      </w:tr>
      <w:tr w:rsidR="00CC49AF" w:rsidRPr="003676D3" w14:paraId="147233E6" w14:textId="77777777" w:rsidTr="00CC49AF">
        <w:trPr>
          <w:trHeight w:val="454"/>
        </w:trPr>
        <w:tc>
          <w:tcPr>
            <w:cnfStyle w:val="001000000000" w:firstRow="0" w:lastRow="0" w:firstColumn="1" w:lastColumn="0" w:oddVBand="0" w:evenVBand="0" w:oddHBand="0" w:evenHBand="0" w:firstRowFirstColumn="0" w:firstRowLastColumn="0" w:lastRowFirstColumn="0" w:lastRowLastColumn="0"/>
            <w:tcW w:w="1738" w:type="pct"/>
            <w:vAlign w:val="center"/>
            <w:hideMark/>
          </w:tcPr>
          <w:p w14:paraId="7A9FF502" w14:textId="0398F32E" w:rsidR="00996978" w:rsidRPr="003676D3" w:rsidRDefault="00996978" w:rsidP="003676D3">
            <w:pPr>
              <w:spacing w:line="276" w:lineRule="auto"/>
              <w:jc w:val="both"/>
              <w:rPr>
                <w:rFonts w:ascii="Times New Roman" w:eastAsia="Times New Roman" w:hAnsi="Times New Roman" w:cs="Times New Roman"/>
                <w:b w:val="0"/>
                <w:bCs w:val="0"/>
                <w:sz w:val="20"/>
                <w:szCs w:val="20"/>
                <w:lang w:eastAsia="en-GB"/>
              </w:rPr>
            </w:pPr>
            <w:r w:rsidRPr="003676D3">
              <w:rPr>
                <w:rFonts w:ascii="Times New Roman" w:eastAsia="Times New Roman" w:hAnsi="Times New Roman" w:cs="Times New Roman"/>
                <w:b w:val="0"/>
                <w:bCs w:val="0"/>
                <w:sz w:val="20"/>
                <w:szCs w:val="20"/>
                <w:lang w:eastAsia="en-GB"/>
              </w:rPr>
              <w:t>Total electricity generation (GWh)</w:t>
            </w:r>
          </w:p>
        </w:tc>
        <w:tc>
          <w:tcPr>
            <w:tcW w:w="830" w:type="pct"/>
            <w:vAlign w:val="center"/>
            <w:hideMark/>
          </w:tcPr>
          <w:p w14:paraId="65874DC7"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117,440</w:t>
            </w:r>
          </w:p>
        </w:tc>
        <w:tc>
          <w:tcPr>
            <w:tcW w:w="672" w:type="pct"/>
            <w:vAlign w:val="center"/>
            <w:hideMark/>
          </w:tcPr>
          <w:p w14:paraId="12BFB578"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250,385</w:t>
            </w:r>
          </w:p>
        </w:tc>
        <w:tc>
          <w:tcPr>
            <w:tcW w:w="582" w:type="pct"/>
            <w:vAlign w:val="center"/>
          </w:tcPr>
          <w:p w14:paraId="39F35656" w14:textId="5F7E73C2"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hAnsi="Times New Roman" w:cs="Times New Roman"/>
                <w:sz w:val="20"/>
                <w:szCs w:val="20"/>
                <w:cs/>
              </w:rPr>
              <w:t>‎</w:t>
            </w:r>
            <w:r w:rsidRPr="003676D3">
              <w:rPr>
                <w:rFonts w:ascii="Times New Roman" w:hAnsi="Times New Roman" w:cs="Times New Roman"/>
                <w:sz w:val="20"/>
                <w:szCs w:val="20"/>
              </w:rPr>
              <w:t>32,793</w:t>
            </w:r>
            <w:r w:rsidRPr="003676D3">
              <w:rPr>
                <w:rFonts w:ascii="Times New Roman" w:hAnsi="Times New Roman" w:cs="Times New Roman"/>
                <w:sz w:val="20"/>
                <w:szCs w:val="20"/>
                <w:cs/>
              </w:rPr>
              <w:t>‎</w:t>
            </w:r>
          </w:p>
        </w:tc>
        <w:tc>
          <w:tcPr>
            <w:tcW w:w="582" w:type="pct"/>
            <w:vAlign w:val="center"/>
            <w:hideMark/>
          </w:tcPr>
          <w:p w14:paraId="5FA17ED4" w14:textId="4978CA3D"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39,412</w:t>
            </w:r>
          </w:p>
        </w:tc>
        <w:tc>
          <w:tcPr>
            <w:tcW w:w="596" w:type="pct"/>
            <w:vAlign w:val="center"/>
            <w:hideMark/>
          </w:tcPr>
          <w:p w14:paraId="518B7ABC"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530,418</w:t>
            </w:r>
          </w:p>
        </w:tc>
      </w:tr>
      <w:tr w:rsidR="00CC49AF" w:rsidRPr="003676D3" w14:paraId="61839695" w14:textId="77777777" w:rsidTr="00CC4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38" w:type="pct"/>
            <w:vAlign w:val="center"/>
            <w:hideMark/>
          </w:tcPr>
          <w:p w14:paraId="7C3DC728" w14:textId="094FF268" w:rsidR="00996978" w:rsidRPr="003676D3" w:rsidRDefault="00996978" w:rsidP="003676D3">
            <w:pPr>
              <w:spacing w:line="276" w:lineRule="auto"/>
              <w:jc w:val="both"/>
              <w:rPr>
                <w:rFonts w:ascii="Times New Roman" w:eastAsia="Times New Roman" w:hAnsi="Times New Roman" w:cs="Times New Roman"/>
                <w:b w:val="0"/>
                <w:bCs w:val="0"/>
                <w:sz w:val="20"/>
                <w:szCs w:val="20"/>
                <w:lang w:eastAsia="en-GB"/>
              </w:rPr>
            </w:pPr>
            <w:bookmarkStart w:id="7" w:name="bb51" w:colFirst="0" w:colLast="0"/>
            <w:r w:rsidRPr="003676D3">
              <w:rPr>
                <w:rFonts w:ascii="Times New Roman" w:eastAsia="Times New Roman" w:hAnsi="Times New Roman" w:cs="Times New Roman"/>
                <w:b w:val="0"/>
                <w:bCs w:val="0"/>
                <w:sz w:val="20"/>
                <w:szCs w:val="20"/>
                <w:lang w:eastAsia="en-GB"/>
              </w:rPr>
              <w:t>RE generation (%)</w:t>
            </w:r>
          </w:p>
        </w:tc>
        <w:tc>
          <w:tcPr>
            <w:tcW w:w="830" w:type="pct"/>
            <w:vAlign w:val="center"/>
            <w:hideMark/>
          </w:tcPr>
          <w:p w14:paraId="690E4A1B"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34.8</w:t>
            </w:r>
          </w:p>
        </w:tc>
        <w:tc>
          <w:tcPr>
            <w:tcW w:w="672" w:type="pct"/>
            <w:vAlign w:val="center"/>
            <w:hideMark/>
          </w:tcPr>
          <w:p w14:paraId="643DE252"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41.80</w:t>
            </w:r>
          </w:p>
        </w:tc>
        <w:tc>
          <w:tcPr>
            <w:tcW w:w="582" w:type="pct"/>
            <w:vAlign w:val="center"/>
          </w:tcPr>
          <w:p w14:paraId="124F90FB" w14:textId="112BC18E"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hAnsi="Times New Roman" w:cs="Times New Roman"/>
                <w:sz w:val="20"/>
                <w:szCs w:val="20"/>
                <w:cs/>
              </w:rPr>
              <w:t>‎</w:t>
            </w:r>
            <w:r w:rsidRPr="003676D3">
              <w:rPr>
                <w:rFonts w:ascii="Times New Roman" w:hAnsi="Times New Roman" w:cs="Times New Roman"/>
                <w:sz w:val="20"/>
                <w:szCs w:val="20"/>
              </w:rPr>
              <w:t>78.14</w:t>
            </w:r>
            <w:r w:rsidRPr="003676D3">
              <w:rPr>
                <w:rFonts w:ascii="Times New Roman" w:hAnsi="Times New Roman" w:cs="Times New Roman"/>
                <w:sz w:val="20"/>
                <w:szCs w:val="20"/>
                <w:cs/>
              </w:rPr>
              <w:t>‎</w:t>
            </w:r>
          </w:p>
        </w:tc>
        <w:tc>
          <w:tcPr>
            <w:tcW w:w="582" w:type="pct"/>
            <w:vAlign w:val="center"/>
            <w:hideMark/>
          </w:tcPr>
          <w:p w14:paraId="35204EF0" w14:textId="4743E25B"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98.80</w:t>
            </w:r>
          </w:p>
        </w:tc>
        <w:tc>
          <w:tcPr>
            <w:tcW w:w="596" w:type="pct"/>
            <w:vAlign w:val="center"/>
            <w:hideMark/>
          </w:tcPr>
          <w:p w14:paraId="33811D49"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23.25</w:t>
            </w:r>
          </w:p>
        </w:tc>
      </w:tr>
      <w:tr w:rsidR="00CC49AF" w:rsidRPr="003676D3" w14:paraId="4A5E80FC" w14:textId="77777777" w:rsidTr="00CC49AF">
        <w:trPr>
          <w:trHeight w:val="454"/>
        </w:trPr>
        <w:tc>
          <w:tcPr>
            <w:cnfStyle w:val="001000000000" w:firstRow="0" w:lastRow="0" w:firstColumn="1" w:lastColumn="0" w:oddVBand="0" w:evenVBand="0" w:oddHBand="0" w:evenHBand="0" w:firstRowFirstColumn="0" w:firstRowLastColumn="0" w:lastRowFirstColumn="0" w:lastRowLastColumn="0"/>
            <w:tcW w:w="1738" w:type="pct"/>
            <w:vAlign w:val="center"/>
          </w:tcPr>
          <w:p w14:paraId="1034BC75" w14:textId="29816BE0" w:rsidR="00996978" w:rsidRPr="003676D3" w:rsidRDefault="00996978" w:rsidP="003676D3">
            <w:pPr>
              <w:spacing w:line="276" w:lineRule="auto"/>
              <w:jc w:val="both"/>
              <w:rPr>
                <w:rFonts w:ascii="Times New Roman" w:eastAsia="Times New Roman" w:hAnsi="Times New Roman" w:cs="Times New Roman"/>
                <w:b w:val="0"/>
                <w:bCs w:val="0"/>
                <w:sz w:val="20"/>
                <w:szCs w:val="20"/>
                <w:lang w:eastAsia="en-GB"/>
              </w:rPr>
            </w:pPr>
            <w:r w:rsidRPr="003676D3">
              <w:rPr>
                <w:rFonts w:ascii="Times New Roman" w:eastAsia="Times New Roman" w:hAnsi="Times New Roman" w:cs="Times New Roman"/>
                <w:b w:val="0"/>
                <w:bCs w:val="0"/>
                <w:sz w:val="20"/>
                <w:szCs w:val="20"/>
                <w:lang w:eastAsia="en-GB"/>
              </w:rPr>
              <w:t>Electricity demand (MWh per capita)</w:t>
            </w:r>
          </w:p>
        </w:tc>
        <w:tc>
          <w:tcPr>
            <w:tcW w:w="830" w:type="pct"/>
            <w:vAlign w:val="center"/>
          </w:tcPr>
          <w:p w14:paraId="522E7E50"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6.62</w:t>
            </w:r>
          </w:p>
        </w:tc>
        <w:tc>
          <w:tcPr>
            <w:tcW w:w="672" w:type="pct"/>
            <w:vAlign w:val="center"/>
          </w:tcPr>
          <w:p w14:paraId="5CB0AA89"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6.16</w:t>
            </w:r>
          </w:p>
        </w:tc>
        <w:tc>
          <w:tcPr>
            <w:tcW w:w="582" w:type="pct"/>
            <w:vAlign w:val="center"/>
          </w:tcPr>
          <w:p w14:paraId="0499281A" w14:textId="56AD2386"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hAnsi="Times New Roman" w:cs="Times New Roman"/>
                <w:sz w:val="20"/>
                <w:szCs w:val="20"/>
                <w:cs/>
              </w:rPr>
              <w:t>‎</w:t>
            </w:r>
            <w:r w:rsidRPr="003676D3">
              <w:rPr>
                <w:rFonts w:ascii="Times New Roman" w:hAnsi="Times New Roman" w:cs="Times New Roman"/>
                <w:sz w:val="20"/>
                <w:szCs w:val="20"/>
              </w:rPr>
              <w:t>6.23</w:t>
            </w:r>
            <w:r w:rsidRPr="003676D3">
              <w:rPr>
                <w:rFonts w:ascii="Times New Roman" w:hAnsi="Times New Roman" w:cs="Times New Roman"/>
                <w:sz w:val="20"/>
                <w:szCs w:val="20"/>
                <w:cs/>
              </w:rPr>
              <w:t>‎</w:t>
            </w:r>
          </w:p>
        </w:tc>
        <w:tc>
          <w:tcPr>
            <w:tcW w:w="582" w:type="pct"/>
            <w:vAlign w:val="center"/>
          </w:tcPr>
          <w:p w14:paraId="008B440F" w14:textId="1179B172"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25.17</w:t>
            </w:r>
          </w:p>
        </w:tc>
        <w:tc>
          <w:tcPr>
            <w:tcW w:w="596" w:type="pct"/>
            <w:vAlign w:val="center"/>
          </w:tcPr>
          <w:p w14:paraId="79BE9158"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7.19</w:t>
            </w:r>
          </w:p>
        </w:tc>
      </w:tr>
      <w:tr w:rsidR="00CC49AF" w:rsidRPr="003676D3" w14:paraId="46698BA3" w14:textId="77777777" w:rsidTr="00CC4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38" w:type="pct"/>
            <w:vAlign w:val="center"/>
            <w:hideMark/>
          </w:tcPr>
          <w:p w14:paraId="268717EB" w14:textId="75CD218E" w:rsidR="00996978" w:rsidRPr="003676D3" w:rsidRDefault="00996978" w:rsidP="003676D3">
            <w:pPr>
              <w:spacing w:line="276" w:lineRule="auto"/>
              <w:jc w:val="both"/>
              <w:rPr>
                <w:rFonts w:ascii="Times New Roman" w:eastAsia="Times New Roman" w:hAnsi="Times New Roman" w:cs="Times New Roman"/>
                <w:b w:val="0"/>
                <w:bCs w:val="0"/>
                <w:sz w:val="20"/>
                <w:szCs w:val="20"/>
                <w:lang w:eastAsia="en-GB"/>
              </w:rPr>
            </w:pPr>
            <w:r w:rsidRPr="003676D3">
              <w:rPr>
                <w:rFonts w:ascii="Times New Roman" w:eastAsia="Times New Roman" w:hAnsi="Times New Roman" w:cs="Times New Roman"/>
                <w:b w:val="0"/>
                <w:bCs w:val="0"/>
                <w:sz w:val="20"/>
                <w:szCs w:val="20"/>
                <w:lang w:eastAsia="en-GB"/>
              </w:rPr>
              <w:t>PV penetration rate (%)</w:t>
            </w:r>
          </w:p>
        </w:tc>
        <w:tc>
          <w:tcPr>
            <w:tcW w:w="830" w:type="pct"/>
            <w:vAlign w:val="center"/>
            <w:hideMark/>
          </w:tcPr>
          <w:p w14:paraId="27AD5A14"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11.8</w:t>
            </w:r>
          </w:p>
        </w:tc>
        <w:tc>
          <w:tcPr>
            <w:tcW w:w="672" w:type="pct"/>
            <w:vAlign w:val="center"/>
            <w:hideMark/>
          </w:tcPr>
          <w:p w14:paraId="40658496"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10.9</w:t>
            </w:r>
          </w:p>
        </w:tc>
        <w:tc>
          <w:tcPr>
            <w:tcW w:w="582" w:type="pct"/>
            <w:vAlign w:val="center"/>
          </w:tcPr>
          <w:p w14:paraId="6D229451" w14:textId="4B38BBB2"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hAnsi="Times New Roman" w:cs="Times New Roman"/>
                <w:sz w:val="20"/>
                <w:szCs w:val="20"/>
                <w:cs/>
              </w:rPr>
              <w:t>‎</w:t>
            </w:r>
            <w:r w:rsidRPr="003676D3">
              <w:rPr>
                <w:rFonts w:ascii="Times New Roman" w:hAnsi="Times New Roman" w:cs="Times New Roman"/>
                <w:sz w:val="20"/>
                <w:szCs w:val="20"/>
              </w:rPr>
              <w:t>5.0</w:t>
            </w:r>
            <w:r w:rsidRPr="003676D3">
              <w:rPr>
                <w:rFonts w:ascii="Times New Roman" w:hAnsi="Times New Roman" w:cs="Times New Roman"/>
                <w:sz w:val="20"/>
                <w:szCs w:val="20"/>
                <w:cs/>
              </w:rPr>
              <w:t>‎</w:t>
            </w:r>
          </w:p>
        </w:tc>
        <w:tc>
          <w:tcPr>
            <w:tcW w:w="582" w:type="pct"/>
            <w:vAlign w:val="center"/>
            <w:hideMark/>
          </w:tcPr>
          <w:p w14:paraId="119C47BC" w14:textId="02A41E14"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0.1</w:t>
            </w:r>
          </w:p>
        </w:tc>
        <w:tc>
          <w:tcPr>
            <w:tcW w:w="596" w:type="pct"/>
            <w:vAlign w:val="center"/>
            <w:hideMark/>
          </w:tcPr>
          <w:p w14:paraId="3378B796"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3.6</w:t>
            </w:r>
          </w:p>
        </w:tc>
      </w:tr>
      <w:tr w:rsidR="00CC49AF" w:rsidRPr="003676D3" w14:paraId="6D8F2CDA" w14:textId="77777777" w:rsidTr="00CC49AF">
        <w:trPr>
          <w:trHeight w:val="454"/>
        </w:trPr>
        <w:tc>
          <w:tcPr>
            <w:cnfStyle w:val="001000000000" w:firstRow="0" w:lastRow="0" w:firstColumn="1" w:lastColumn="0" w:oddVBand="0" w:evenVBand="0" w:oddHBand="0" w:evenHBand="0" w:firstRowFirstColumn="0" w:firstRowLastColumn="0" w:lastRowFirstColumn="0" w:lastRowLastColumn="0"/>
            <w:tcW w:w="1738" w:type="pct"/>
            <w:vAlign w:val="center"/>
            <w:hideMark/>
          </w:tcPr>
          <w:p w14:paraId="5A1ED424" w14:textId="64B44C74" w:rsidR="00996978" w:rsidRPr="003676D3" w:rsidRDefault="00996978" w:rsidP="003676D3">
            <w:pPr>
              <w:spacing w:line="276" w:lineRule="auto"/>
              <w:jc w:val="both"/>
              <w:rPr>
                <w:rFonts w:ascii="Times New Roman" w:eastAsia="Times New Roman" w:hAnsi="Times New Roman" w:cs="Times New Roman"/>
                <w:b w:val="0"/>
                <w:bCs w:val="0"/>
                <w:sz w:val="20"/>
                <w:szCs w:val="20"/>
                <w:lang w:eastAsia="en-GB"/>
              </w:rPr>
            </w:pPr>
            <w:r w:rsidRPr="003676D3">
              <w:rPr>
                <w:rFonts w:ascii="Times New Roman" w:eastAsia="Times New Roman" w:hAnsi="Times New Roman" w:cs="Times New Roman"/>
                <w:b w:val="0"/>
                <w:bCs w:val="0"/>
                <w:sz w:val="20"/>
                <w:szCs w:val="20"/>
                <w:lang w:eastAsia="en-GB"/>
              </w:rPr>
              <w:t>Wind power capacity (%)</w:t>
            </w:r>
          </w:p>
        </w:tc>
        <w:tc>
          <w:tcPr>
            <w:tcW w:w="830" w:type="pct"/>
            <w:vAlign w:val="center"/>
            <w:hideMark/>
          </w:tcPr>
          <w:p w14:paraId="6BBD4071"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14.7</w:t>
            </w:r>
          </w:p>
        </w:tc>
        <w:tc>
          <w:tcPr>
            <w:tcW w:w="672" w:type="pct"/>
            <w:vAlign w:val="center"/>
            <w:hideMark/>
          </w:tcPr>
          <w:p w14:paraId="565E274F"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25</w:t>
            </w:r>
          </w:p>
        </w:tc>
        <w:tc>
          <w:tcPr>
            <w:tcW w:w="582" w:type="pct"/>
            <w:vAlign w:val="center"/>
          </w:tcPr>
          <w:p w14:paraId="524A6F82" w14:textId="5A858AB5"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hAnsi="Times New Roman" w:cs="Times New Roman"/>
                <w:sz w:val="20"/>
                <w:szCs w:val="20"/>
                <w:cs/>
              </w:rPr>
              <w:t>‎</w:t>
            </w:r>
            <w:r w:rsidRPr="003676D3">
              <w:rPr>
                <w:rFonts w:ascii="Times New Roman" w:hAnsi="Times New Roman" w:cs="Times New Roman"/>
                <w:sz w:val="20"/>
                <w:szCs w:val="20"/>
              </w:rPr>
              <w:t>39.1</w:t>
            </w:r>
            <w:r w:rsidRPr="003676D3">
              <w:rPr>
                <w:rFonts w:ascii="Times New Roman" w:hAnsi="Times New Roman" w:cs="Times New Roman"/>
                <w:sz w:val="20"/>
                <w:szCs w:val="20"/>
                <w:cs/>
              </w:rPr>
              <w:t>‎</w:t>
            </w:r>
          </w:p>
        </w:tc>
        <w:tc>
          <w:tcPr>
            <w:tcW w:w="582" w:type="pct"/>
            <w:vAlign w:val="center"/>
            <w:hideMark/>
          </w:tcPr>
          <w:p w14:paraId="7516F011" w14:textId="62A0EA53"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7.49</w:t>
            </w:r>
          </w:p>
        </w:tc>
        <w:tc>
          <w:tcPr>
            <w:tcW w:w="596" w:type="pct"/>
            <w:vAlign w:val="center"/>
            <w:hideMark/>
          </w:tcPr>
          <w:p w14:paraId="0C04AB5F"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6.76</w:t>
            </w:r>
          </w:p>
        </w:tc>
      </w:tr>
      <w:tr w:rsidR="00CC49AF" w:rsidRPr="003676D3" w14:paraId="40F94511" w14:textId="77777777" w:rsidTr="00CC4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38" w:type="pct"/>
            <w:vAlign w:val="center"/>
            <w:hideMark/>
          </w:tcPr>
          <w:p w14:paraId="28B89378" w14:textId="5E03B3CE" w:rsidR="00996978" w:rsidRPr="003676D3" w:rsidRDefault="00996978" w:rsidP="003676D3">
            <w:pPr>
              <w:spacing w:line="276" w:lineRule="auto"/>
              <w:jc w:val="both"/>
              <w:rPr>
                <w:rFonts w:ascii="Times New Roman" w:eastAsia="Times New Roman" w:hAnsi="Times New Roman" w:cs="Times New Roman"/>
                <w:b w:val="0"/>
                <w:bCs w:val="0"/>
                <w:sz w:val="20"/>
                <w:szCs w:val="20"/>
                <w:lang w:eastAsia="en-GB"/>
              </w:rPr>
            </w:pPr>
            <w:r w:rsidRPr="003676D3">
              <w:rPr>
                <w:rFonts w:ascii="Times New Roman" w:eastAsia="Times New Roman" w:hAnsi="Times New Roman" w:cs="Times New Roman"/>
                <w:b w:val="0"/>
                <w:bCs w:val="0"/>
                <w:sz w:val="20"/>
                <w:szCs w:val="20"/>
                <w:lang w:eastAsia="en-GB"/>
              </w:rPr>
              <w:t>Offshore power capacity (%)</w:t>
            </w:r>
          </w:p>
        </w:tc>
        <w:tc>
          <w:tcPr>
            <w:tcW w:w="830" w:type="pct"/>
            <w:vAlign w:val="center"/>
            <w:hideMark/>
          </w:tcPr>
          <w:p w14:paraId="4BFE2834"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5</w:t>
            </w:r>
          </w:p>
        </w:tc>
        <w:tc>
          <w:tcPr>
            <w:tcW w:w="672" w:type="pct"/>
            <w:vAlign w:val="center"/>
            <w:hideMark/>
          </w:tcPr>
          <w:p w14:paraId="705922E9"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3</w:t>
            </w:r>
          </w:p>
        </w:tc>
        <w:tc>
          <w:tcPr>
            <w:tcW w:w="582" w:type="pct"/>
            <w:vAlign w:val="center"/>
          </w:tcPr>
          <w:p w14:paraId="2326CD7B" w14:textId="502722EF"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hAnsi="Times New Roman" w:cs="Times New Roman"/>
                <w:sz w:val="20"/>
                <w:szCs w:val="20"/>
                <w:cs/>
              </w:rPr>
              <w:t>‎</w:t>
            </w:r>
            <w:r w:rsidRPr="003676D3">
              <w:rPr>
                <w:rFonts w:ascii="Times New Roman" w:hAnsi="Times New Roman" w:cs="Times New Roman"/>
                <w:sz w:val="20"/>
                <w:szCs w:val="20"/>
              </w:rPr>
              <w:t>12</w:t>
            </w:r>
            <w:r w:rsidRPr="003676D3">
              <w:rPr>
                <w:rFonts w:ascii="Times New Roman" w:hAnsi="Times New Roman" w:cs="Times New Roman"/>
                <w:sz w:val="20"/>
                <w:szCs w:val="20"/>
                <w:cs/>
              </w:rPr>
              <w:t>‎</w:t>
            </w:r>
          </w:p>
        </w:tc>
        <w:tc>
          <w:tcPr>
            <w:tcW w:w="582" w:type="pct"/>
            <w:vAlign w:val="center"/>
            <w:hideMark/>
          </w:tcPr>
          <w:p w14:paraId="269D448D" w14:textId="0CA4A3A6"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0.01</w:t>
            </w:r>
          </w:p>
        </w:tc>
        <w:tc>
          <w:tcPr>
            <w:tcW w:w="596" w:type="pct"/>
            <w:vAlign w:val="center"/>
            <w:hideMark/>
          </w:tcPr>
          <w:p w14:paraId="7A5B8B18" w14:textId="2310A46F"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0.01</w:t>
            </w:r>
          </w:p>
        </w:tc>
      </w:tr>
      <w:bookmarkEnd w:id="7"/>
      <w:tr w:rsidR="00CC49AF" w:rsidRPr="003676D3" w14:paraId="18844524" w14:textId="77777777" w:rsidTr="00CC49AF">
        <w:trPr>
          <w:trHeight w:val="454"/>
        </w:trPr>
        <w:tc>
          <w:tcPr>
            <w:cnfStyle w:val="001000000000" w:firstRow="0" w:lastRow="0" w:firstColumn="1" w:lastColumn="0" w:oddVBand="0" w:evenVBand="0" w:oddHBand="0" w:evenHBand="0" w:firstRowFirstColumn="0" w:firstRowLastColumn="0" w:lastRowFirstColumn="0" w:lastRowLastColumn="0"/>
            <w:tcW w:w="1738" w:type="pct"/>
            <w:vAlign w:val="center"/>
            <w:hideMark/>
          </w:tcPr>
          <w:p w14:paraId="35DB8554" w14:textId="1DB5DAC5" w:rsidR="00996978" w:rsidRPr="003676D3" w:rsidRDefault="00996978" w:rsidP="003676D3">
            <w:pPr>
              <w:spacing w:line="276" w:lineRule="auto"/>
              <w:jc w:val="both"/>
              <w:rPr>
                <w:rFonts w:ascii="Times New Roman" w:eastAsia="Times New Roman" w:hAnsi="Times New Roman" w:cs="Times New Roman"/>
                <w:b w:val="0"/>
                <w:bCs w:val="0"/>
                <w:sz w:val="20"/>
                <w:szCs w:val="20"/>
                <w:lang w:eastAsia="en-GB"/>
              </w:rPr>
            </w:pPr>
            <w:r w:rsidRPr="003676D3">
              <w:rPr>
                <w:rFonts w:ascii="Times New Roman" w:eastAsia="Times New Roman" w:hAnsi="Times New Roman" w:cs="Times New Roman"/>
                <w:b w:val="0"/>
                <w:bCs w:val="0"/>
                <w:sz w:val="20"/>
                <w:szCs w:val="20"/>
                <w:lang w:eastAsia="en-GB"/>
              </w:rPr>
              <w:t>Number of EVs per 1,000 population</w:t>
            </w:r>
            <w:bookmarkStart w:id="8" w:name="bb49" w:colFirst="0" w:colLast="0"/>
          </w:p>
        </w:tc>
        <w:tc>
          <w:tcPr>
            <w:tcW w:w="830" w:type="pct"/>
            <w:vAlign w:val="center"/>
            <w:hideMark/>
          </w:tcPr>
          <w:p w14:paraId="4196AD6D"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21.7</w:t>
            </w:r>
          </w:p>
        </w:tc>
        <w:tc>
          <w:tcPr>
            <w:tcW w:w="672" w:type="pct"/>
            <w:vAlign w:val="center"/>
            <w:hideMark/>
          </w:tcPr>
          <w:p w14:paraId="4C87F421"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15.7</w:t>
            </w:r>
          </w:p>
        </w:tc>
        <w:tc>
          <w:tcPr>
            <w:tcW w:w="582" w:type="pct"/>
            <w:vAlign w:val="center"/>
          </w:tcPr>
          <w:p w14:paraId="481E4FF8" w14:textId="08741B38"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hAnsi="Times New Roman" w:cs="Times New Roman"/>
                <w:sz w:val="20"/>
                <w:szCs w:val="20"/>
                <w:cs/>
              </w:rPr>
              <w:t>‎</w:t>
            </w:r>
            <w:r w:rsidRPr="003676D3">
              <w:rPr>
                <w:rFonts w:ascii="Times New Roman" w:hAnsi="Times New Roman" w:cs="Times New Roman"/>
                <w:sz w:val="20"/>
                <w:szCs w:val="20"/>
              </w:rPr>
              <w:t>24.7</w:t>
            </w:r>
            <w:r w:rsidRPr="003676D3">
              <w:rPr>
                <w:rFonts w:ascii="Times New Roman" w:hAnsi="Times New Roman" w:cs="Times New Roman"/>
                <w:sz w:val="20"/>
                <w:szCs w:val="20"/>
                <w:cs/>
              </w:rPr>
              <w:t>‎</w:t>
            </w:r>
          </w:p>
        </w:tc>
        <w:tc>
          <w:tcPr>
            <w:tcW w:w="582" w:type="pct"/>
            <w:vAlign w:val="center"/>
            <w:hideMark/>
          </w:tcPr>
          <w:p w14:paraId="16AD8569" w14:textId="22A5A7AD"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117.3</w:t>
            </w:r>
          </w:p>
        </w:tc>
        <w:tc>
          <w:tcPr>
            <w:tcW w:w="596" w:type="pct"/>
            <w:vAlign w:val="center"/>
            <w:hideMark/>
          </w:tcPr>
          <w:p w14:paraId="19E3C472"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11.6</w:t>
            </w:r>
          </w:p>
        </w:tc>
      </w:tr>
      <w:tr w:rsidR="00CC49AF" w:rsidRPr="003676D3" w14:paraId="15018312" w14:textId="77777777" w:rsidTr="00CC4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38" w:type="pct"/>
            <w:vAlign w:val="center"/>
            <w:hideMark/>
          </w:tcPr>
          <w:p w14:paraId="255D310C" w14:textId="4CA8193B" w:rsidR="00996978" w:rsidRPr="003676D3" w:rsidRDefault="00996978" w:rsidP="003676D3">
            <w:pPr>
              <w:spacing w:line="276" w:lineRule="auto"/>
              <w:jc w:val="both"/>
              <w:rPr>
                <w:rFonts w:ascii="Times New Roman" w:eastAsia="Times New Roman" w:hAnsi="Times New Roman" w:cs="Times New Roman"/>
                <w:b w:val="0"/>
                <w:bCs w:val="0"/>
                <w:sz w:val="20"/>
                <w:szCs w:val="20"/>
                <w:lang w:eastAsia="en-GB"/>
              </w:rPr>
            </w:pPr>
            <w:r w:rsidRPr="003676D3">
              <w:rPr>
                <w:rFonts w:ascii="Times New Roman" w:eastAsia="Times New Roman" w:hAnsi="Times New Roman" w:cs="Times New Roman"/>
                <w:b w:val="0"/>
                <w:bCs w:val="0"/>
                <w:sz w:val="20"/>
                <w:szCs w:val="20"/>
                <w:lang w:eastAsia="en-GB"/>
              </w:rPr>
              <w:t xml:space="preserve">Total charging station </w:t>
            </w:r>
            <w:r w:rsidR="00B76FB3" w:rsidRPr="003676D3">
              <w:rPr>
                <w:rFonts w:ascii="Times New Roman" w:eastAsia="Times New Roman" w:hAnsi="Times New Roman" w:cs="Times New Roman"/>
                <w:b w:val="0"/>
                <w:bCs w:val="0"/>
                <w:sz w:val="20"/>
                <w:szCs w:val="20"/>
                <w:lang w:eastAsia="en-GB"/>
              </w:rPr>
              <w:t>(</w:t>
            </w:r>
            <w:r w:rsidRPr="003676D3">
              <w:rPr>
                <w:rFonts w:ascii="Times New Roman" w:eastAsia="Times New Roman" w:hAnsi="Times New Roman" w:cs="Times New Roman"/>
                <w:b w:val="0"/>
                <w:bCs w:val="0"/>
                <w:sz w:val="20"/>
                <w:szCs w:val="20"/>
                <w:lang w:eastAsia="en-GB"/>
              </w:rPr>
              <w:t>per 1000 EV</w:t>
            </w:r>
            <w:r w:rsidR="00B76FB3" w:rsidRPr="003676D3">
              <w:rPr>
                <w:rFonts w:ascii="Times New Roman" w:eastAsia="Times New Roman" w:hAnsi="Times New Roman" w:cs="Times New Roman"/>
                <w:b w:val="0"/>
                <w:bCs w:val="0"/>
                <w:sz w:val="20"/>
                <w:szCs w:val="20"/>
                <w:lang w:eastAsia="en-GB"/>
              </w:rPr>
              <w:t>)</w:t>
            </w:r>
          </w:p>
        </w:tc>
        <w:tc>
          <w:tcPr>
            <w:tcW w:w="830" w:type="pct"/>
            <w:vAlign w:val="center"/>
            <w:hideMark/>
          </w:tcPr>
          <w:p w14:paraId="032F7154"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200</w:t>
            </w:r>
          </w:p>
        </w:tc>
        <w:tc>
          <w:tcPr>
            <w:tcW w:w="672" w:type="pct"/>
            <w:vAlign w:val="center"/>
            <w:hideMark/>
          </w:tcPr>
          <w:p w14:paraId="4E1B606F"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38</w:t>
            </w:r>
          </w:p>
        </w:tc>
        <w:tc>
          <w:tcPr>
            <w:tcW w:w="582" w:type="pct"/>
            <w:vAlign w:val="center"/>
          </w:tcPr>
          <w:p w14:paraId="5A349D43" w14:textId="6944F880"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hAnsi="Times New Roman" w:cs="Times New Roman"/>
                <w:sz w:val="20"/>
                <w:szCs w:val="20"/>
                <w:cs/>
              </w:rPr>
              <w:t>‎</w:t>
            </w:r>
            <w:r w:rsidRPr="003676D3">
              <w:rPr>
                <w:rFonts w:ascii="Times New Roman" w:hAnsi="Times New Roman" w:cs="Times New Roman"/>
                <w:sz w:val="20"/>
                <w:szCs w:val="20"/>
              </w:rPr>
              <w:t>20</w:t>
            </w:r>
            <w:r w:rsidRPr="003676D3">
              <w:rPr>
                <w:rFonts w:ascii="Times New Roman" w:hAnsi="Times New Roman" w:cs="Times New Roman"/>
                <w:sz w:val="20"/>
                <w:szCs w:val="20"/>
                <w:cs/>
              </w:rPr>
              <w:t>‎</w:t>
            </w:r>
          </w:p>
        </w:tc>
        <w:tc>
          <w:tcPr>
            <w:tcW w:w="582" w:type="pct"/>
            <w:vAlign w:val="center"/>
            <w:hideMark/>
          </w:tcPr>
          <w:p w14:paraId="0B4F4FA8" w14:textId="4DEEB8CE"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30</w:t>
            </w:r>
          </w:p>
        </w:tc>
        <w:tc>
          <w:tcPr>
            <w:tcW w:w="596" w:type="pct"/>
            <w:vAlign w:val="center"/>
            <w:hideMark/>
          </w:tcPr>
          <w:p w14:paraId="7CAF9587"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68</w:t>
            </w:r>
          </w:p>
        </w:tc>
      </w:tr>
      <w:bookmarkEnd w:id="8"/>
      <w:tr w:rsidR="00CC49AF" w:rsidRPr="003676D3" w14:paraId="47D78911" w14:textId="77777777" w:rsidTr="00CC49AF">
        <w:trPr>
          <w:trHeight w:val="454"/>
        </w:trPr>
        <w:tc>
          <w:tcPr>
            <w:cnfStyle w:val="001000000000" w:firstRow="0" w:lastRow="0" w:firstColumn="1" w:lastColumn="0" w:oddVBand="0" w:evenVBand="0" w:oddHBand="0" w:evenHBand="0" w:firstRowFirstColumn="0" w:firstRowLastColumn="0" w:lastRowFirstColumn="0" w:lastRowLastColumn="0"/>
            <w:tcW w:w="1738" w:type="pct"/>
            <w:vAlign w:val="center"/>
            <w:hideMark/>
          </w:tcPr>
          <w:p w14:paraId="760E028E" w14:textId="2565B1D4" w:rsidR="00996978" w:rsidRPr="003676D3" w:rsidRDefault="00B76FB3" w:rsidP="003676D3">
            <w:pPr>
              <w:spacing w:line="276" w:lineRule="auto"/>
              <w:jc w:val="both"/>
              <w:rPr>
                <w:rFonts w:ascii="Times New Roman" w:eastAsia="Times New Roman" w:hAnsi="Times New Roman" w:cs="Times New Roman"/>
                <w:b w:val="0"/>
                <w:bCs w:val="0"/>
                <w:sz w:val="20"/>
                <w:szCs w:val="20"/>
                <w:lang w:eastAsia="en-GB"/>
              </w:rPr>
            </w:pPr>
            <w:r w:rsidRPr="003676D3">
              <w:rPr>
                <w:rFonts w:ascii="Times New Roman" w:eastAsia="Times New Roman" w:hAnsi="Times New Roman" w:cs="Times New Roman"/>
                <w:b w:val="0"/>
                <w:bCs w:val="0"/>
                <w:sz w:val="20"/>
                <w:szCs w:val="20"/>
                <w:lang w:eastAsia="en-GB"/>
              </w:rPr>
              <w:t>Operational battery</w:t>
            </w:r>
            <w:r w:rsidR="00996978" w:rsidRPr="003676D3">
              <w:rPr>
                <w:rFonts w:ascii="Times New Roman" w:eastAsia="Times New Roman" w:hAnsi="Times New Roman" w:cs="Times New Roman"/>
                <w:b w:val="0"/>
                <w:bCs w:val="0"/>
                <w:sz w:val="20"/>
                <w:szCs w:val="20"/>
                <w:lang w:eastAsia="en-GB"/>
              </w:rPr>
              <w:t xml:space="preserve"> storage (MW)</w:t>
            </w:r>
            <w:bookmarkStart w:id="9" w:name="bb153" w:colFirst="0" w:colLast="0"/>
          </w:p>
        </w:tc>
        <w:tc>
          <w:tcPr>
            <w:tcW w:w="830" w:type="pct"/>
            <w:vAlign w:val="center"/>
            <w:hideMark/>
          </w:tcPr>
          <w:p w14:paraId="12850A8F"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37</w:t>
            </w:r>
          </w:p>
        </w:tc>
        <w:tc>
          <w:tcPr>
            <w:tcW w:w="672" w:type="pct"/>
            <w:vAlign w:val="center"/>
            <w:hideMark/>
          </w:tcPr>
          <w:p w14:paraId="14F2C4ED"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570</w:t>
            </w:r>
          </w:p>
        </w:tc>
        <w:tc>
          <w:tcPr>
            <w:tcW w:w="582" w:type="pct"/>
            <w:vAlign w:val="center"/>
          </w:tcPr>
          <w:p w14:paraId="28325B57" w14:textId="15FE3971"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hAnsi="Times New Roman" w:cs="Times New Roman"/>
                <w:sz w:val="20"/>
                <w:szCs w:val="20"/>
                <w:cs/>
              </w:rPr>
              <w:t>‎</w:t>
            </w:r>
            <w:r w:rsidRPr="003676D3">
              <w:rPr>
                <w:rFonts w:ascii="Times New Roman" w:hAnsi="Times New Roman" w:cs="Times New Roman"/>
                <w:sz w:val="20"/>
                <w:szCs w:val="20"/>
              </w:rPr>
              <w:t>2</w:t>
            </w:r>
            <w:r w:rsidRPr="003676D3">
              <w:rPr>
                <w:rFonts w:ascii="Times New Roman" w:hAnsi="Times New Roman" w:cs="Times New Roman"/>
                <w:sz w:val="20"/>
                <w:szCs w:val="20"/>
                <w:cs/>
              </w:rPr>
              <w:t>‎</w:t>
            </w:r>
          </w:p>
        </w:tc>
        <w:tc>
          <w:tcPr>
            <w:tcW w:w="582" w:type="pct"/>
            <w:vAlign w:val="center"/>
            <w:hideMark/>
          </w:tcPr>
          <w:p w14:paraId="40797BAF" w14:textId="2F81F8CB"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6</w:t>
            </w:r>
          </w:p>
        </w:tc>
        <w:tc>
          <w:tcPr>
            <w:tcW w:w="596" w:type="pct"/>
            <w:vAlign w:val="center"/>
            <w:hideMark/>
          </w:tcPr>
          <w:p w14:paraId="0F8ABC46"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19</w:t>
            </w:r>
          </w:p>
        </w:tc>
      </w:tr>
      <w:tr w:rsidR="00CC49AF" w:rsidRPr="003676D3" w14:paraId="6FFA7330" w14:textId="77777777" w:rsidTr="00CC4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38" w:type="pct"/>
            <w:vAlign w:val="center"/>
            <w:hideMark/>
          </w:tcPr>
          <w:p w14:paraId="32B2270B" w14:textId="21B448E9" w:rsidR="00996978" w:rsidRPr="003676D3" w:rsidRDefault="00996978" w:rsidP="003676D3">
            <w:pPr>
              <w:spacing w:line="276" w:lineRule="auto"/>
              <w:jc w:val="both"/>
              <w:rPr>
                <w:rFonts w:ascii="Times New Roman" w:eastAsia="Times New Roman" w:hAnsi="Times New Roman" w:cs="Times New Roman"/>
                <w:b w:val="0"/>
                <w:bCs w:val="0"/>
                <w:sz w:val="20"/>
                <w:szCs w:val="20"/>
                <w:lang w:eastAsia="en-GB"/>
              </w:rPr>
            </w:pPr>
            <w:r w:rsidRPr="003676D3">
              <w:rPr>
                <w:rFonts w:ascii="Times New Roman" w:eastAsia="Times New Roman" w:hAnsi="Times New Roman" w:cs="Times New Roman"/>
                <w:b w:val="0"/>
                <w:bCs w:val="0"/>
                <w:sz w:val="20"/>
                <w:szCs w:val="20"/>
                <w:lang w:eastAsia="en-GB"/>
              </w:rPr>
              <w:t>Effective electrochemical storage by population (W/capita)</w:t>
            </w:r>
          </w:p>
        </w:tc>
        <w:tc>
          <w:tcPr>
            <w:tcW w:w="830" w:type="pct"/>
            <w:vAlign w:val="center"/>
            <w:hideMark/>
          </w:tcPr>
          <w:p w14:paraId="7790B0FA"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2.11</w:t>
            </w:r>
          </w:p>
        </w:tc>
        <w:tc>
          <w:tcPr>
            <w:tcW w:w="672" w:type="pct"/>
            <w:vAlign w:val="center"/>
            <w:hideMark/>
          </w:tcPr>
          <w:p w14:paraId="04E25AD0"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9.02</w:t>
            </w:r>
          </w:p>
        </w:tc>
        <w:tc>
          <w:tcPr>
            <w:tcW w:w="582" w:type="pct"/>
            <w:vAlign w:val="center"/>
          </w:tcPr>
          <w:p w14:paraId="69215CED" w14:textId="54EE6FF4"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hAnsi="Times New Roman" w:cs="Times New Roman"/>
                <w:sz w:val="20"/>
                <w:szCs w:val="20"/>
                <w:cs/>
              </w:rPr>
              <w:t>‎</w:t>
            </w:r>
            <w:r w:rsidRPr="003676D3">
              <w:rPr>
                <w:rFonts w:ascii="Times New Roman" w:hAnsi="Times New Roman" w:cs="Times New Roman"/>
                <w:sz w:val="20"/>
                <w:szCs w:val="20"/>
              </w:rPr>
              <w:t>0.341</w:t>
            </w:r>
            <w:r w:rsidRPr="003676D3">
              <w:rPr>
                <w:rFonts w:ascii="Times New Roman" w:hAnsi="Times New Roman" w:cs="Times New Roman"/>
                <w:sz w:val="20"/>
                <w:szCs w:val="20"/>
                <w:cs/>
              </w:rPr>
              <w:t>‎</w:t>
            </w:r>
          </w:p>
        </w:tc>
        <w:tc>
          <w:tcPr>
            <w:tcW w:w="582" w:type="pct"/>
            <w:vAlign w:val="center"/>
            <w:hideMark/>
          </w:tcPr>
          <w:p w14:paraId="7AC297EE" w14:textId="2EE6D90C"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1.19</w:t>
            </w:r>
          </w:p>
        </w:tc>
        <w:tc>
          <w:tcPr>
            <w:tcW w:w="596" w:type="pct"/>
            <w:vAlign w:val="center"/>
            <w:hideMark/>
          </w:tcPr>
          <w:p w14:paraId="164B7269"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0.28</w:t>
            </w:r>
          </w:p>
        </w:tc>
      </w:tr>
      <w:bookmarkEnd w:id="9"/>
      <w:tr w:rsidR="00CC49AF" w:rsidRPr="003676D3" w14:paraId="40422860" w14:textId="77777777" w:rsidTr="00CC49AF">
        <w:trPr>
          <w:trHeight w:val="454"/>
        </w:trPr>
        <w:tc>
          <w:tcPr>
            <w:cnfStyle w:val="001000000000" w:firstRow="0" w:lastRow="0" w:firstColumn="1" w:lastColumn="0" w:oddVBand="0" w:evenVBand="0" w:oddHBand="0" w:evenHBand="0" w:firstRowFirstColumn="0" w:firstRowLastColumn="0" w:lastRowFirstColumn="0" w:lastRowLastColumn="0"/>
            <w:tcW w:w="1738" w:type="pct"/>
            <w:vAlign w:val="center"/>
            <w:hideMark/>
          </w:tcPr>
          <w:p w14:paraId="7621F796" w14:textId="46D60C6B" w:rsidR="00996978" w:rsidRPr="003676D3" w:rsidRDefault="00996978" w:rsidP="003676D3">
            <w:pPr>
              <w:spacing w:line="276" w:lineRule="auto"/>
              <w:jc w:val="both"/>
              <w:rPr>
                <w:rFonts w:ascii="Times New Roman" w:eastAsia="Times New Roman" w:hAnsi="Times New Roman" w:cs="Times New Roman"/>
                <w:b w:val="0"/>
                <w:bCs w:val="0"/>
                <w:sz w:val="20"/>
                <w:szCs w:val="20"/>
                <w:lang w:eastAsia="en-GB"/>
              </w:rPr>
            </w:pPr>
            <w:r w:rsidRPr="003676D3">
              <w:rPr>
                <w:rFonts w:ascii="Times New Roman" w:eastAsia="Times New Roman" w:hAnsi="Times New Roman" w:cs="Times New Roman"/>
                <w:b w:val="0"/>
                <w:bCs w:val="0"/>
                <w:sz w:val="20"/>
                <w:szCs w:val="20"/>
                <w:lang w:eastAsia="en-GB"/>
              </w:rPr>
              <w:t>Smart metering rolling out (%)</w:t>
            </w:r>
          </w:p>
        </w:tc>
        <w:tc>
          <w:tcPr>
            <w:tcW w:w="830" w:type="pct"/>
            <w:vAlign w:val="center"/>
            <w:hideMark/>
          </w:tcPr>
          <w:p w14:paraId="10243F24"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85.2</w:t>
            </w:r>
          </w:p>
        </w:tc>
        <w:tc>
          <w:tcPr>
            <w:tcW w:w="672" w:type="pct"/>
            <w:vAlign w:val="center"/>
            <w:hideMark/>
          </w:tcPr>
          <w:p w14:paraId="5996EF1D" w14:textId="16A8F4BE"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15</w:t>
            </w:r>
          </w:p>
        </w:tc>
        <w:tc>
          <w:tcPr>
            <w:tcW w:w="582" w:type="pct"/>
            <w:vAlign w:val="center"/>
          </w:tcPr>
          <w:p w14:paraId="7C00D316" w14:textId="5A49BD8E"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hAnsi="Times New Roman" w:cs="Times New Roman"/>
                <w:sz w:val="20"/>
                <w:szCs w:val="20"/>
                <w:cs/>
              </w:rPr>
              <w:t>‎</w:t>
            </w:r>
            <w:r w:rsidRPr="003676D3">
              <w:rPr>
                <w:rFonts w:ascii="Times New Roman" w:hAnsi="Times New Roman" w:cs="Times New Roman"/>
                <w:sz w:val="20"/>
                <w:szCs w:val="20"/>
              </w:rPr>
              <w:t>80</w:t>
            </w:r>
            <w:r w:rsidRPr="003676D3">
              <w:rPr>
                <w:rFonts w:ascii="Times New Roman" w:hAnsi="Times New Roman" w:cs="Times New Roman"/>
                <w:sz w:val="20"/>
                <w:szCs w:val="20"/>
                <w:cs/>
              </w:rPr>
              <w:t>‎</w:t>
            </w:r>
          </w:p>
        </w:tc>
        <w:tc>
          <w:tcPr>
            <w:tcW w:w="582" w:type="pct"/>
            <w:vAlign w:val="center"/>
            <w:hideMark/>
          </w:tcPr>
          <w:p w14:paraId="0E601DBB" w14:textId="3FF6D972"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98</w:t>
            </w:r>
          </w:p>
        </w:tc>
        <w:tc>
          <w:tcPr>
            <w:tcW w:w="596" w:type="pct"/>
            <w:vAlign w:val="center"/>
            <w:hideMark/>
          </w:tcPr>
          <w:p w14:paraId="18613B85"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80–90</w:t>
            </w:r>
          </w:p>
        </w:tc>
      </w:tr>
      <w:tr w:rsidR="00CC49AF" w:rsidRPr="003676D3" w14:paraId="7C4F9E34" w14:textId="77777777" w:rsidTr="00CC4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38" w:type="pct"/>
            <w:vAlign w:val="center"/>
            <w:hideMark/>
          </w:tcPr>
          <w:p w14:paraId="4513BCFF" w14:textId="65F0D31C" w:rsidR="00996978" w:rsidRPr="003676D3" w:rsidRDefault="00996978" w:rsidP="003676D3">
            <w:pPr>
              <w:spacing w:line="276" w:lineRule="auto"/>
              <w:jc w:val="both"/>
              <w:rPr>
                <w:rFonts w:ascii="Times New Roman" w:eastAsia="Times New Roman" w:hAnsi="Times New Roman" w:cs="Times New Roman"/>
                <w:b w:val="0"/>
                <w:bCs w:val="0"/>
                <w:sz w:val="20"/>
                <w:szCs w:val="20"/>
                <w:lang w:eastAsia="en-GB"/>
              </w:rPr>
            </w:pPr>
            <w:r w:rsidRPr="003676D3">
              <w:rPr>
                <w:rFonts w:ascii="Times New Roman" w:eastAsia="Times New Roman" w:hAnsi="Times New Roman" w:cs="Times New Roman"/>
                <w:b w:val="0"/>
                <w:bCs w:val="0"/>
                <w:sz w:val="20"/>
                <w:szCs w:val="20"/>
                <w:lang w:eastAsia="en-GB"/>
              </w:rPr>
              <w:t>CO</w:t>
            </w:r>
            <w:r w:rsidRPr="003676D3">
              <w:rPr>
                <w:rFonts w:ascii="Times New Roman" w:eastAsia="Times New Roman" w:hAnsi="Times New Roman" w:cs="Times New Roman"/>
                <w:b w:val="0"/>
                <w:bCs w:val="0"/>
                <w:sz w:val="20"/>
                <w:szCs w:val="20"/>
                <w:vertAlign w:val="subscript"/>
                <w:lang w:eastAsia="en-GB"/>
              </w:rPr>
              <w:t>2</w:t>
            </w:r>
            <w:r w:rsidRPr="003676D3">
              <w:rPr>
                <w:rFonts w:ascii="Times New Roman" w:eastAsia="Times New Roman" w:hAnsi="Times New Roman" w:cs="Times New Roman"/>
                <w:b w:val="0"/>
                <w:bCs w:val="0"/>
                <w:sz w:val="20"/>
                <w:szCs w:val="20"/>
                <w:lang w:eastAsia="en-GB"/>
              </w:rPr>
              <w:t xml:space="preserve"> emissions per capita (tonnes)</w:t>
            </w:r>
          </w:p>
        </w:tc>
        <w:tc>
          <w:tcPr>
            <w:tcW w:w="830" w:type="pct"/>
            <w:vAlign w:val="center"/>
            <w:hideMark/>
          </w:tcPr>
          <w:p w14:paraId="21465F7A"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8.06</w:t>
            </w:r>
          </w:p>
        </w:tc>
        <w:tc>
          <w:tcPr>
            <w:tcW w:w="672" w:type="pct"/>
            <w:vAlign w:val="center"/>
            <w:hideMark/>
          </w:tcPr>
          <w:p w14:paraId="23C980D2"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8.09</w:t>
            </w:r>
          </w:p>
        </w:tc>
        <w:tc>
          <w:tcPr>
            <w:tcW w:w="582" w:type="pct"/>
            <w:vAlign w:val="center"/>
          </w:tcPr>
          <w:p w14:paraId="3F478743" w14:textId="59F9C93A"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hAnsi="Times New Roman" w:cs="Times New Roman"/>
                <w:sz w:val="20"/>
                <w:szCs w:val="20"/>
                <w:cs/>
              </w:rPr>
              <w:t>‎</w:t>
            </w:r>
            <w:r w:rsidRPr="003676D3">
              <w:rPr>
                <w:rFonts w:ascii="Times New Roman" w:hAnsi="Times New Roman" w:cs="Times New Roman"/>
                <w:sz w:val="20"/>
                <w:szCs w:val="20"/>
              </w:rPr>
              <w:t>5.05</w:t>
            </w:r>
            <w:r w:rsidRPr="003676D3">
              <w:rPr>
                <w:rFonts w:ascii="Times New Roman" w:hAnsi="Times New Roman" w:cs="Times New Roman"/>
                <w:sz w:val="20"/>
                <w:szCs w:val="20"/>
                <w:cs/>
              </w:rPr>
              <w:t>‎</w:t>
            </w:r>
          </w:p>
        </w:tc>
        <w:tc>
          <w:tcPr>
            <w:tcW w:w="582" w:type="pct"/>
            <w:vAlign w:val="center"/>
            <w:hideMark/>
          </w:tcPr>
          <w:p w14:paraId="045FC64B" w14:textId="46AEE9AE"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7.57</w:t>
            </w:r>
          </w:p>
        </w:tc>
        <w:tc>
          <w:tcPr>
            <w:tcW w:w="596" w:type="pct"/>
            <w:vAlign w:val="center"/>
            <w:hideMark/>
          </w:tcPr>
          <w:p w14:paraId="6946E217"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4.74</w:t>
            </w:r>
          </w:p>
        </w:tc>
      </w:tr>
      <w:tr w:rsidR="00CC49AF" w:rsidRPr="003676D3" w14:paraId="4206D5E7" w14:textId="77777777" w:rsidTr="00CC49AF">
        <w:trPr>
          <w:trHeight w:val="454"/>
        </w:trPr>
        <w:tc>
          <w:tcPr>
            <w:cnfStyle w:val="001000000000" w:firstRow="0" w:lastRow="0" w:firstColumn="1" w:lastColumn="0" w:oddVBand="0" w:evenVBand="0" w:oddHBand="0" w:evenHBand="0" w:firstRowFirstColumn="0" w:firstRowLastColumn="0" w:lastRowFirstColumn="0" w:lastRowLastColumn="0"/>
            <w:tcW w:w="1738" w:type="pct"/>
            <w:vAlign w:val="center"/>
            <w:hideMark/>
          </w:tcPr>
          <w:p w14:paraId="2F5DF55A" w14:textId="1E9FA117" w:rsidR="00996978" w:rsidRPr="003676D3" w:rsidRDefault="00996978" w:rsidP="003676D3">
            <w:pPr>
              <w:spacing w:line="276" w:lineRule="auto"/>
              <w:jc w:val="both"/>
              <w:rPr>
                <w:rFonts w:ascii="Times New Roman" w:eastAsia="Times New Roman" w:hAnsi="Times New Roman" w:cs="Times New Roman"/>
                <w:b w:val="0"/>
                <w:bCs w:val="0"/>
                <w:sz w:val="20"/>
                <w:szCs w:val="20"/>
                <w:lang w:eastAsia="en-GB"/>
              </w:rPr>
            </w:pPr>
            <w:r w:rsidRPr="003676D3">
              <w:rPr>
                <w:rFonts w:ascii="Times New Roman" w:eastAsia="Times New Roman" w:hAnsi="Times New Roman" w:cs="Times New Roman"/>
                <w:b w:val="0"/>
                <w:bCs w:val="0"/>
                <w:sz w:val="20"/>
                <w:szCs w:val="20"/>
                <w:lang w:eastAsia="en-GB"/>
              </w:rPr>
              <w:t xml:space="preserve">Electricity market flexibility for </w:t>
            </w:r>
            <w:r w:rsidR="00B76FB3" w:rsidRPr="003676D3">
              <w:rPr>
                <w:rFonts w:ascii="Times New Roman" w:eastAsia="Times New Roman" w:hAnsi="Times New Roman" w:cs="Times New Roman"/>
                <w:b w:val="0"/>
                <w:bCs w:val="0"/>
                <w:sz w:val="20"/>
                <w:szCs w:val="20"/>
                <w:lang w:eastAsia="en-GB"/>
              </w:rPr>
              <w:t>DMS</w:t>
            </w:r>
          </w:p>
        </w:tc>
        <w:tc>
          <w:tcPr>
            <w:tcW w:w="830" w:type="pct"/>
            <w:vAlign w:val="center"/>
            <w:hideMark/>
          </w:tcPr>
          <w:p w14:paraId="429A3EA9" w14:textId="6D574318" w:rsidR="00996978" w:rsidRPr="003676D3" w:rsidRDefault="003676D3"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L</w:t>
            </w:r>
            <w:r w:rsidR="00996978" w:rsidRPr="003676D3">
              <w:rPr>
                <w:rFonts w:ascii="Times New Roman" w:eastAsia="Times New Roman" w:hAnsi="Times New Roman" w:cs="Times New Roman"/>
                <w:sz w:val="20"/>
                <w:szCs w:val="20"/>
                <w:lang w:eastAsia="en-GB"/>
              </w:rPr>
              <w:t>ow</w:t>
            </w:r>
          </w:p>
        </w:tc>
        <w:tc>
          <w:tcPr>
            <w:tcW w:w="672" w:type="pct"/>
            <w:vAlign w:val="center"/>
            <w:hideMark/>
          </w:tcPr>
          <w:p w14:paraId="32629F61"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medium</w:t>
            </w:r>
          </w:p>
        </w:tc>
        <w:tc>
          <w:tcPr>
            <w:tcW w:w="582" w:type="pct"/>
            <w:vAlign w:val="center"/>
          </w:tcPr>
          <w:p w14:paraId="0CF141D4" w14:textId="5EA98B56"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hAnsi="Times New Roman" w:cs="Times New Roman"/>
                <w:sz w:val="20"/>
                <w:szCs w:val="20"/>
              </w:rPr>
              <w:t>low</w:t>
            </w:r>
          </w:p>
        </w:tc>
        <w:tc>
          <w:tcPr>
            <w:tcW w:w="582" w:type="pct"/>
            <w:vAlign w:val="center"/>
            <w:hideMark/>
          </w:tcPr>
          <w:p w14:paraId="0C8918BE" w14:textId="361CE105"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low</w:t>
            </w:r>
          </w:p>
        </w:tc>
        <w:tc>
          <w:tcPr>
            <w:tcW w:w="596" w:type="pct"/>
            <w:vAlign w:val="center"/>
            <w:hideMark/>
          </w:tcPr>
          <w:p w14:paraId="0286F5F6"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medium</w:t>
            </w:r>
          </w:p>
        </w:tc>
      </w:tr>
      <w:tr w:rsidR="00CC49AF" w:rsidRPr="003676D3" w14:paraId="7017715D" w14:textId="77777777" w:rsidTr="00CC4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38" w:type="pct"/>
            <w:vAlign w:val="center"/>
            <w:hideMark/>
          </w:tcPr>
          <w:p w14:paraId="1B48C85A" w14:textId="1362AE97" w:rsidR="00996978" w:rsidRPr="003676D3" w:rsidRDefault="00996978" w:rsidP="003676D3">
            <w:pPr>
              <w:spacing w:line="276" w:lineRule="auto"/>
              <w:jc w:val="both"/>
              <w:rPr>
                <w:rFonts w:ascii="Times New Roman" w:eastAsia="Times New Roman" w:hAnsi="Times New Roman" w:cs="Times New Roman"/>
                <w:b w:val="0"/>
                <w:bCs w:val="0"/>
                <w:sz w:val="20"/>
                <w:szCs w:val="20"/>
                <w:lang w:eastAsia="en-GB"/>
              </w:rPr>
            </w:pPr>
            <w:r w:rsidRPr="003676D3">
              <w:rPr>
                <w:rFonts w:ascii="Times New Roman" w:eastAsia="Times New Roman" w:hAnsi="Times New Roman" w:cs="Times New Roman"/>
                <w:b w:val="0"/>
                <w:bCs w:val="0"/>
                <w:sz w:val="20"/>
                <w:szCs w:val="20"/>
                <w:lang w:eastAsia="en-GB"/>
              </w:rPr>
              <w:t>Level of concentration System operator</w:t>
            </w:r>
          </w:p>
        </w:tc>
        <w:tc>
          <w:tcPr>
            <w:tcW w:w="830" w:type="pct"/>
            <w:vAlign w:val="center"/>
            <w:hideMark/>
          </w:tcPr>
          <w:p w14:paraId="523AD878" w14:textId="29BC42BE" w:rsidR="00996978" w:rsidRPr="003676D3" w:rsidRDefault="003676D3"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M</w:t>
            </w:r>
            <w:r w:rsidR="00996978" w:rsidRPr="003676D3">
              <w:rPr>
                <w:rFonts w:ascii="Times New Roman" w:eastAsia="Times New Roman" w:hAnsi="Times New Roman" w:cs="Times New Roman"/>
                <w:sz w:val="20"/>
                <w:szCs w:val="20"/>
                <w:lang w:eastAsia="en-GB"/>
              </w:rPr>
              <w:t>edium</w:t>
            </w:r>
          </w:p>
        </w:tc>
        <w:tc>
          <w:tcPr>
            <w:tcW w:w="672" w:type="pct"/>
            <w:vAlign w:val="center"/>
            <w:hideMark/>
          </w:tcPr>
          <w:p w14:paraId="368F6124"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low</w:t>
            </w:r>
          </w:p>
        </w:tc>
        <w:tc>
          <w:tcPr>
            <w:tcW w:w="582" w:type="pct"/>
            <w:vAlign w:val="center"/>
          </w:tcPr>
          <w:p w14:paraId="5B2CA12D" w14:textId="29535735"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hAnsi="Times New Roman" w:cs="Times New Roman"/>
                <w:sz w:val="20"/>
                <w:szCs w:val="20"/>
              </w:rPr>
              <w:t>low</w:t>
            </w:r>
          </w:p>
        </w:tc>
        <w:tc>
          <w:tcPr>
            <w:tcW w:w="582" w:type="pct"/>
            <w:vAlign w:val="center"/>
            <w:hideMark/>
          </w:tcPr>
          <w:p w14:paraId="358E6AFC" w14:textId="1E7720A8"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low</w:t>
            </w:r>
          </w:p>
        </w:tc>
        <w:tc>
          <w:tcPr>
            <w:tcW w:w="596" w:type="pct"/>
            <w:vAlign w:val="center"/>
            <w:hideMark/>
          </w:tcPr>
          <w:p w14:paraId="33AB1546"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very high</w:t>
            </w:r>
          </w:p>
        </w:tc>
      </w:tr>
      <w:tr w:rsidR="00CC49AF" w:rsidRPr="003676D3" w14:paraId="1DAC5AA6" w14:textId="77777777" w:rsidTr="00CC49AF">
        <w:trPr>
          <w:trHeight w:val="454"/>
        </w:trPr>
        <w:tc>
          <w:tcPr>
            <w:cnfStyle w:val="001000000000" w:firstRow="0" w:lastRow="0" w:firstColumn="1" w:lastColumn="0" w:oddVBand="0" w:evenVBand="0" w:oddHBand="0" w:evenHBand="0" w:firstRowFirstColumn="0" w:firstRowLastColumn="0" w:lastRowFirstColumn="0" w:lastRowLastColumn="0"/>
            <w:tcW w:w="1738" w:type="pct"/>
            <w:vAlign w:val="center"/>
            <w:hideMark/>
          </w:tcPr>
          <w:p w14:paraId="0FF3C78D" w14:textId="5D2AE9F6" w:rsidR="00996978" w:rsidRPr="003676D3" w:rsidRDefault="00996978" w:rsidP="003676D3">
            <w:pPr>
              <w:spacing w:line="276" w:lineRule="auto"/>
              <w:jc w:val="both"/>
              <w:rPr>
                <w:rFonts w:ascii="Times New Roman" w:eastAsia="Times New Roman" w:hAnsi="Times New Roman" w:cs="Times New Roman"/>
                <w:b w:val="0"/>
                <w:bCs w:val="0"/>
                <w:sz w:val="20"/>
                <w:szCs w:val="20"/>
                <w:lang w:eastAsia="en-GB"/>
              </w:rPr>
            </w:pPr>
            <w:bookmarkStart w:id="10" w:name="bb156" w:colFirst="0" w:colLast="0"/>
            <w:r w:rsidRPr="003676D3">
              <w:rPr>
                <w:rFonts w:ascii="Times New Roman" w:eastAsia="Times New Roman" w:hAnsi="Times New Roman" w:cs="Times New Roman"/>
                <w:b w:val="0"/>
                <w:bCs w:val="0"/>
                <w:sz w:val="20"/>
                <w:szCs w:val="20"/>
                <w:lang w:eastAsia="en-GB"/>
              </w:rPr>
              <w:t>Companies/organisations involved in the SG projects (count)</w:t>
            </w:r>
          </w:p>
        </w:tc>
        <w:tc>
          <w:tcPr>
            <w:tcW w:w="830" w:type="pct"/>
            <w:vAlign w:val="center"/>
            <w:hideMark/>
          </w:tcPr>
          <w:p w14:paraId="163B3129"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476</w:t>
            </w:r>
          </w:p>
        </w:tc>
        <w:tc>
          <w:tcPr>
            <w:tcW w:w="672" w:type="pct"/>
            <w:vAlign w:val="center"/>
            <w:hideMark/>
          </w:tcPr>
          <w:p w14:paraId="77D9A990"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835</w:t>
            </w:r>
          </w:p>
        </w:tc>
        <w:tc>
          <w:tcPr>
            <w:tcW w:w="582" w:type="pct"/>
            <w:vAlign w:val="center"/>
          </w:tcPr>
          <w:p w14:paraId="018FC547" w14:textId="7D45547B"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hAnsi="Times New Roman" w:cs="Times New Roman"/>
                <w:sz w:val="20"/>
                <w:szCs w:val="20"/>
                <w:cs/>
              </w:rPr>
              <w:t>‎</w:t>
            </w:r>
            <w:r w:rsidRPr="003676D3">
              <w:rPr>
                <w:rFonts w:ascii="Times New Roman" w:hAnsi="Times New Roman" w:cs="Times New Roman"/>
                <w:sz w:val="20"/>
                <w:szCs w:val="20"/>
              </w:rPr>
              <w:t>430</w:t>
            </w:r>
            <w:r w:rsidRPr="003676D3">
              <w:rPr>
                <w:rFonts w:ascii="Times New Roman" w:hAnsi="Times New Roman" w:cs="Times New Roman"/>
                <w:sz w:val="20"/>
                <w:szCs w:val="20"/>
                <w:cs/>
              </w:rPr>
              <w:t>‎</w:t>
            </w:r>
          </w:p>
        </w:tc>
        <w:tc>
          <w:tcPr>
            <w:tcW w:w="582" w:type="pct"/>
            <w:vAlign w:val="center"/>
            <w:hideMark/>
          </w:tcPr>
          <w:p w14:paraId="744AF7F0" w14:textId="5A301483"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245</w:t>
            </w:r>
          </w:p>
        </w:tc>
        <w:tc>
          <w:tcPr>
            <w:tcW w:w="596" w:type="pct"/>
            <w:vAlign w:val="center"/>
            <w:hideMark/>
          </w:tcPr>
          <w:p w14:paraId="7B16B17D" w14:textId="77777777" w:rsidR="00996978" w:rsidRPr="003676D3" w:rsidRDefault="00996978"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680</w:t>
            </w:r>
          </w:p>
        </w:tc>
      </w:tr>
      <w:tr w:rsidR="00CC49AF" w:rsidRPr="003676D3" w14:paraId="372AA3E4" w14:textId="77777777" w:rsidTr="00CC4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38" w:type="pct"/>
            <w:vAlign w:val="center"/>
            <w:hideMark/>
          </w:tcPr>
          <w:p w14:paraId="781E5EE1" w14:textId="7607647A" w:rsidR="00996978" w:rsidRPr="003676D3" w:rsidRDefault="00996978" w:rsidP="003676D3">
            <w:pPr>
              <w:spacing w:line="276" w:lineRule="auto"/>
              <w:jc w:val="both"/>
              <w:rPr>
                <w:rFonts w:ascii="Times New Roman" w:eastAsia="Times New Roman" w:hAnsi="Times New Roman" w:cs="Times New Roman"/>
                <w:b w:val="0"/>
                <w:bCs w:val="0"/>
                <w:sz w:val="20"/>
                <w:szCs w:val="20"/>
                <w:lang w:eastAsia="en-GB"/>
              </w:rPr>
            </w:pPr>
            <w:r w:rsidRPr="003676D3">
              <w:rPr>
                <w:rFonts w:ascii="Times New Roman" w:eastAsia="Times New Roman" w:hAnsi="Times New Roman" w:cs="Times New Roman"/>
                <w:b w:val="0"/>
                <w:bCs w:val="0"/>
                <w:sz w:val="20"/>
                <w:szCs w:val="20"/>
                <w:lang w:eastAsia="en-GB"/>
              </w:rPr>
              <w:t>Collaborations with other EU countries for SG projects (per 1000 population) (count)</w:t>
            </w:r>
          </w:p>
        </w:tc>
        <w:tc>
          <w:tcPr>
            <w:tcW w:w="830" w:type="pct"/>
            <w:vAlign w:val="center"/>
            <w:hideMark/>
          </w:tcPr>
          <w:p w14:paraId="402AD001"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0.31</w:t>
            </w:r>
          </w:p>
        </w:tc>
        <w:tc>
          <w:tcPr>
            <w:tcW w:w="672" w:type="pct"/>
            <w:vAlign w:val="center"/>
            <w:hideMark/>
          </w:tcPr>
          <w:p w14:paraId="457A905A"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0.42</w:t>
            </w:r>
          </w:p>
        </w:tc>
        <w:tc>
          <w:tcPr>
            <w:tcW w:w="582" w:type="pct"/>
            <w:vAlign w:val="center"/>
          </w:tcPr>
          <w:p w14:paraId="428C53B7" w14:textId="67C6F6C8"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hAnsi="Times New Roman" w:cs="Times New Roman"/>
                <w:sz w:val="20"/>
                <w:szCs w:val="20"/>
                <w:cs/>
              </w:rPr>
              <w:t>‎</w:t>
            </w:r>
            <w:r w:rsidRPr="003676D3">
              <w:rPr>
                <w:rFonts w:ascii="Times New Roman" w:hAnsi="Times New Roman" w:cs="Times New Roman"/>
                <w:sz w:val="20"/>
                <w:szCs w:val="20"/>
              </w:rPr>
              <w:t>3.02</w:t>
            </w:r>
            <w:r w:rsidRPr="003676D3">
              <w:rPr>
                <w:rFonts w:ascii="Times New Roman" w:hAnsi="Times New Roman" w:cs="Times New Roman"/>
                <w:sz w:val="20"/>
                <w:szCs w:val="20"/>
                <w:cs/>
              </w:rPr>
              <w:t>‎</w:t>
            </w:r>
          </w:p>
        </w:tc>
        <w:tc>
          <w:tcPr>
            <w:tcW w:w="582" w:type="pct"/>
            <w:vAlign w:val="center"/>
            <w:hideMark/>
          </w:tcPr>
          <w:p w14:paraId="0A00AC4F" w14:textId="038FE68D"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0.87</w:t>
            </w:r>
          </w:p>
        </w:tc>
        <w:tc>
          <w:tcPr>
            <w:tcW w:w="596" w:type="pct"/>
            <w:vAlign w:val="center"/>
            <w:hideMark/>
          </w:tcPr>
          <w:p w14:paraId="56DEFD7B" w14:textId="77777777" w:rsidR="00996978" w:rsidRPr="003676D3" w:rsidRDefault="00996978"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3676D3">
              <w:rPr>
                <w:rFonts w:ascii="Times New Roman" w:eastAsia="Times New Roman" w:hAnsi="Times New Roman" w:cs="Times New Roman"/>
                <w:sz w:val="20"/>
                <w:szCs w:val="20"/>
                <w:lang w:eastAsia="en-GB"/>
              </w:rPr>
              <w:t>0.41</w:t>
            </w:r>
          </w:p>
        </w:tc>
      </w:tr>
      <w:bookmarkEnd w:id="10"/>
    </w:tbl>
    <w:p w14:paraId="09B00844" w14:textId="7D86A618" w:rsidR="00394175" w:rsidRPr="003676D3" w:rsidRDefault="00394175" w:rsidP="003676D3">
      <w:pPr>
        <w:spacing w:line="276" w:lineRule="auto"/>
        <w:jc w:val="both"/>
        <w:rPr>
          <w:rFonts w:ascii="Times New Roman" w:hAnsi="Times New Roman" w:cs="Times New Roman"/>
          <w:sz w:val="24"/>
          <w:szCs w:val="24"/>
        </w:rPr>
      </w:pPr>
    </w:p>
    <w:p w14:paraId="7A43F610" w14:textId="6A6E9A26" w:rsidR="00E7634E" w:rsidRPr="003676D3" w:rsidRDefault="008E437B" w:rsidP="003676D3">
      <w:pPr>
        <w:pStyle w:val="Heading2"/>
        <w:spacing w:after="240" w:line="276" w:lineRule="auto"/>
        <w:jc w:val="both"/>
        <w:rPr>
          <w:rFonts w:ascii="Times New Roman" w:hAnsi="Times New Roman" w:cs="Times New Roman"/>
          <w:b/>
          <w:bCs/>
          <w:color w:val="auto"/>
          <w:sz w:val="24"/>
          <w:szCs w:val="24"/>
        </w:rPr>
      </w:pPr>
      <w:r w:rsidRPr="003676D3">
        <w:rPr>
          <w:rFonts w:ascii="Times New Roman" w:hAnsi="Times New Roman" w:cs="Times New Roman"/>
          <w:b/>
          <w:bCs/>
          <w:color w:val="auto"/>
          <w:sz w:val="24"/>
          <w:szCs w:val="24"/>
        </w:rPr>
        <w:lastRenderedPageBreak/>
        <w:t>3.2.</w:t>
      </w:r>
      <w:r w:rsidR="00E7634E" w:rsidRPr="003676D3">
        <w:rPr>
          <w:rFonts w:ascii="Times New Roman" w:hAnsi="Times New Roman" w:cs="Times New Roman"/>
          <w:b/>
          <w:bCs/>
          <w:color w:val="auto"/>
          <w:sz w:val="24"/>
          <w:szCs w:val="24"/>
        </w:rPr>
        <w:t xml:space="preserve"> </w:t>
      </w:r>
      <w:r w:rsidR="00E13228" w:rsidRPr="003676D3">
        <w:rPr>
          <w:rFonts w:ascii="Times New Roman" w:hAnsi="Times New Roman" w:cs="Times New Roman"/>
          <w:b/>
          <w:bCs/>
          <w:color w:val="auto"/>
          <w:sz w:val="24"/>
          <w:szCs w:val="24"/>
        </w:rPr>
        <w:t xml:space="preserve">Way Forward to </w:t>
      </w:r>
      <w:r w:rsidR="00CE3ABA" w:rsidRPr="003676D3">
        <w:rPr>
          <w:rFonts w:ascii="Times New Roman" w:hAnsi="Times New Roman" w:cs="Times New Roman"/>
          <w:b/>
          <w:bCs/>
          <w:color w:val="auto"/>
          <w:sz w:val="24"/>
          <w:szCs w:val="24"/>
        </w:rPr>
        <w:t xml:space="preserve">Futuristic </w:t>
      </w:r>
      <w:r w:rsidR="00E7634E" w:rsidRPr="003676D3">
        <w:rPr>
          <w:rFonts w:ascii="Times New Roman" w:hAnsi="Times New Roman" w:cs="Times New Roman"/>
          <w:b/>
          <w:bCs/>
          <w:color w:val="auto"/>
          <w:sz w:val="24"/>
          <w:szCs w:val="24"/>
        </w:rPr>
        <w:t>Super Smart Grids</w:t>
      </w:r>
    </w:p>
    <w:p w14:paraId="0255CE79" w14:textId="011DDA50" w:rsidR="00515563" w:rsidRPr="003676D3" w:rsidRDefault="00DA6D8E"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The emergence of a </w:t>
      </w:r>
      <w:r w:rsidR="00E13228" w:rsidRPr="003676D3">
        <w:rPr>
          <w:rFonts w:ascii="Times New Roman" w:hAnsi="Times New Roman" w:cs="Times New Roman"/>
          <w:sz w:val="24"/>
          <w:szCs w:val="24"/>
        </w:rPr>
        <w:t>Super Smart Grid (SSG)</w:t>
      </w:r>
      <w:r w:rsidRPr="003676D3">
        <w:rPr>
          <w:rFonts w:ascii="Times New Roman" w:hAnsi="Times New Roman" w:cs="Times New Roman"/>
          <w:sz w:val="24"/>
          <w:szCs w:val="24"/>
        </w:rPr>
        <w:t xml:space="preserve"> which interconnects European</w:t>
      </w:r>
      <w:r w:rsidR="00B76FB3" w:rsidRPr="003676D3">
        <w:rPr>
          <w:rFonts w:ascii="Times New Roman" w:hAnsi="Times New Roman" w:cs="Times New Roman"/>
          <w:sz w:val="24"/>
          <w:szCs w:val="24"/>
        </w:rPr>
        <w:t xml:space="preserve"> electricity</w:t>
      </w:r>
      <w:r w:rsidRPr="003676D3">
        <w:rPr>
          <w:rFonts w:ascii="Times New Roman" w:hAnsi="Times New Roman" w:cs="Times New Roman"/>
          <w:sz w:val="24"/>
          <w:szCs w:val="24"/>
        </w:rPr>
        <w:t xml:space="preserve"> grids at the continental scale and </w:t>
      </w:r>
      <w:r w:rsidR="00DB4A86" w:rsidRPr="003676D3">
        <w:rPr>
          <w:rFonts w:ascii="Times New Roman" w:hAnsi="Times New Roman" w:cs="Times New Roman"/>
          <w:sz w:val="24"/>
          <w:szCs w:val="24"/>
        </w:rPr>
        <w:t>connects</w:t>
      </w:r>
      <w:r w:rsidRPr="003676D3">
        <w:rPr>
          <w:rFonts w:ascii="Times New Roman" w:hAnsi="Times New Roman" w:cs="Times New Roman"/>
          <w:sz w:val="24"/>
          <w:szCs w:val="24"/>
        </w:rPr>
        <w:t xml:space="preserve"> them with intelligence through </w:t>
      </w:r>
      <w:r w:rsidR="00B76FB3" w:rsidRPr="003676D3">
        <w:rPr>
          <w:rFonts w:ascii="Times New Roman" w:hAnsi="Times New Roman" w:cs="Times New Roman"/>
          <w:sz w:val="24"/>
          <w:szCs w:val="24"/>
        </w:rPr>
        <w:t xml:space="preserve">ICT and advanced computation, </w:t>
      </w:r>
      <w:r w:rsidRPr="003676D3">
        <w:rPr>
          <w:rFonts w:ascii="Times New Roman" w:hAnsi="Times New Roman" w:cs="Times New Roman"/>
          <w:sz w:val="24"/>
          <w:szCs w:val="24"/>
        </w:rPr>
        <w:t>constitutes a pivotal strategy in the European Union for th</w:t>
      </w:r>
      <w:r w:rsidR="00B76FB3" w:rsidRPr="003676D3">
        <w:rPr>
          <w:rFonts w:ascii="Times New Roman" w:hAnsi="Times New Roman" w:cs="Times New Roman"/>
          <w:sz w:val="24"/>
          <w:szCs w:val="24"/>
        </w:rPr>
        <w:t>e seamless integration of RES</w:t>
      </w:r>
      <w:r w:rsidR="00E13228" w:rsidRPr="003676D3">
        <w:rPr>
          <w:rFonts w:ascii="Times New Roman" w:hAnsi="Times New Roman" w:cs="Times New Roman"/>
          <w:sz w:val="24"/>
          <w:szCs w:val="24"/>
        </w:rPr>
        <w:t xml:space="preserve"> </w:t>
      </w:r>
      <w:r w:rsidR="00E13228" w:rsidRPr="003676D3">
        <w:rPr>
          <w:rFonts w:ascii="Times New Roman" w:hAnsi="Times New Roman" w:cs="Times New Roman"/>
          <w:sz w:val="24"/>
          <w:szCs w:val="24"/>
        </w:rPr>
        <w:fldChar w:fldCharType="begin" w:fldLock="1"/>
      </w:r>
      <w:r w:rsidR="00E13228" w:rsidRPr="003676D3">
        <w:rPr>
          <w:rFonts w:ascii="Times New Roman" w:hAnsi="Times New Roman" w:cs="Times New Roman"/>
          <w:sz w:val="24"/>
          <w:szCs w:val="24"/>
        </w:rPr>
        <w:instrText>ADDIN CSL_CITATION {"citationItems":[{"id":"ITEM-1","itemData":{"DOI":"10.7892/BORIS.49795","abstract":"The power sector is to play a central role in a low carbon economy. In all the decarbonisation scenarios of the European Union renewable energy sources (RES) will be a crucial part of the solution. Current grids constitute however major bottlenecks for the future expansion of RES. Recognising the need for a modernisation of its grids, the European Union has called for the creation of a \"smart supergrid\" interconnecting European grids at the continental level and making them \"intelligent\" through the addition of information and communication technology (ICT). To implement its agenda the EU has taken a leading role in coordinating research efforts and creating a common legislative framework for the necessary modernisation of Europe’s grids. This paper intends to give both an overview and a critical appraisal of the measures taken so far by the European Union to \"transform\" the grids into the backbone of a decarbonised electricity system. It suggests that if competition is to play a significant role in the deployment of smart grids, the current regulatory paradigm will have to be fundamentally reassessed","author":[{"dropping-particle":"","family":"Sépibus","given":"Joëlle","non-dropping-particle":"de","parse-names":false,"suffix":""}],"container-title":"de Sépibus, Joëlle (July 2013). The Integration of Electricity from Renewable Energy Sources in the European Union Electricity Market – The case for “Smart Grids” (NCCR Trade Working Paper 38).","id":"ITEM-1","issued":{"date-parts":[["2013"]]},"title":"The Integration of Electricity from Renewable Energy Sources in the European Union Electricity Market – The case for “Smart Grids”","type":"article-journal"},"uris":["http://www.mendeley.com/documents/?uuid=fed342cb-8e0f-35bc-a4a2-db79eba640f4"]},{"id":"ITEM-2","itemData":{"DOI":"10.7892/BORIS.49795","author":[{"dropping-particle":"da","family":"Encarnação","given":"Beatrice Covassi","non-dropping-particle":"","parse-names":false,"suffix":""}],"id":"ITEM-2","issued":{"date-parts":[["2013"]]},"title":"A Smart Future? The EU Digital Agenda Between Broadband, the Grid and Energy Efficiency","type":"article-journal"},"uris":["http://www.mendeley.com/documents/?uuid=a311e74c-e592-3ddd-96bb-5e44f15f1569"]}],"mendeley":{"formattedCitation":"[79,80]","plainTextFormattedCitation":"[79,80]","previouslyFormattedCitation":"[79,80]"},"properties":{"noteIndex":0},"schema":"https://github.com/citation-style-language/schema/raw/master/csl-citation.json"}</w:instrText>
      </w:r>
      <w:r w:rsidR="00E13228" w:rsidRPr="003676D3">
        <w:rPr>
          <w:rFonts w:ascii="Times New Roman" w:hAnsi="Times New Roman" w:cs="Times New Roman"/>
          <w:sz w:val="24"/>
          <w:szCs w:val="24"/>
        </w:rPr>
        <w:fldChar w:fldCharType="separate"/>
      </w:r>
      <w:r w:rsidR="00E13228" w:rsidRPr="003676D3">
        <w:rPr>
          <w:rFonts w:ascii="Times New Roman" w:hAnsi="Times New Roman" w:cs="Times New Roman"/>
          <w:noProof/>
          <w:sz w:val="24"/>
          <w:szCs w:val="24"/>
        </w:rPr>
        <w:t>[79,80]</w:t>
      </w:r>
      <w:r w:rsidR="00E13228" w:rsidRPr="003676D3">
        <w:rPr>
          <w:rFonts w:ascii="Times New Roman" w:hAnsi="Times New Roman" w:cs="Times New Roman"/>
          <w:sz w:val="24"/>
          <w:szCs w:val="24"/>
        </w:rPr>
        <w:fldChar w:fldCharType="end"/>
      </w:r>
      <w:r w:rsidR="008E437B" w:rsidRPr="003676D3">
        <w:rPr>
          <w:rFonts w:ascii="Times New Roman" w:hAnsi="Times New Roman" w:cs="Times New Roman"/>
          <w:sz w:val="24"/>
          <w:szCs w:val="24"/>
        </w:rPr>
        <w:t>.</w:t>
      </w:r>
      <w:r w:rsidR="00940258" w:rsidRPr="003676D3">
        <w:rPr>
          <w:rFonts w:ascii="Times New Roman" w:hAnsi="Times New Roman" w:cs="Times New Roman"/>
          <w:sz w:val="24"/>
          <w:szCs w:val="24"/>
        </w:rPr>
        <w:t xml:space="preserve"> </w:t>
      </w:r>
      <w:r w:rsidR="00E13228" w:rsidRPr="003676D3">
        <w:rPr>
          <w:rFonts w:ascii="Times New Roman" w:hAnsi="Times New Roman" w:cs="Times New Roman"/>
          <w:sz w:val="24"/>
          <w:szCs w:val="24"/>
        </w:rPr>
        <w:t>The SSG</w:t>
      </w:r>
      <w:r w:rsidR="00E7634E" w:rsidRPr="003676D3">
        <w:rPr>
          <w:rFonts w:ascii="Times New Roman" w:hAnsi="Times New Roman" w:cs="Times New Roman"/>
          <w:sz w:val="24"/>
          <w:szCs w:val="24"/>
        </w:rPr>
        <w:t xml:space="preserve"> is a self-reliance and intelligent system with advanced control methods, most modern sensors and latest communication devices coupled with advanced technologies. It can balance supply-demand over a more wide area than a smart grid</w:t>
      </w:r>
      <w:r w:rsidR="00E13228" w:rsidRPr="003676D3">
        <w:rPr>
          <w:rFonts w:ascii="Times New Roman" w:hAnsi="Times New Roman" w:cs="Times New Roman"/>
          <w:sz w:val="24"/>
          <w:szCs w:val="24"/>
        </w:rPr>
        <w:t xml:space="preserve">, </w:t>
      </w:r>
      <w:r w:rsidR="00E13228" w:rsidRPr="003676D3">
        <w:rPr>
          <w:rFonts w:ascii="Times New Roman" w:hAnsi="Times New Roman" w:cs="Times New Roman"/>
          <w:sz w:val="24"/>
          <w:szCs w:val="24"/>
        </w:rPr>
        <w:fldChar w:fldCharType="begin"/>
      </w:r>
      <w:r w:rsidR="00E13228" w:rsidRPr="003676D3">
        <w:rPr>
          <w:rFonts w:ascii="Times New Roman" w:hAnsi="Times New Roman" w:cs="Times New Roman"/>
          <w:sz w:val="24"/>
          <w:szCs w:val="24"/>
        </w:rPr>
        <w:instrText xml:space="preserve"> REF _Ref168038971 \h  \* MERGEFORMAT </w:instrText>
      </w:r>
      <w:r w:rsidR="00E13228" w:rsidRPr="003676D3">
        <w:rPr>
          <w:rFonts w:ascii="Times New Roman" w:hAnsi="Times New Roman" w:cs="Times New Roman"/>
          <w:sz w:val="24"/>
          <w:szCs w:val="24"/>
        </w:rPr>
      </w:r>
      <w:r w:rsidR="00E13228" w:rsidRPr="003676D3">
        <w:rPr>
          <w:rFonts w:ascii="Times New Roman" w:hAnsi="Times New Roman" w:cs="Times New Roman"/>
          <w:sz w:val="24"/>
          <w:szCs w:val="24"/>
        </w:rPr>
        <w:fldChar w:fldCharType="separate"/>
      </w:r>
      <w:r w:rsidR="008D1E2C" w:rsidRPr="003676D3">
        <w:rPr>
          <w:rFonts w:ascii="Times New Roman" w:hAnsi="Times New Roman" w:cs="Times New Roman"/>
          <w:b/>
          <w:bCs/>
          <w:sz w:val="24"/>
          <w:szCs w:val="24"/>
        </w:rPr>
        <w:t xml:space="preserve">Figure </w:t>
      </w:r>
      <w:r w:rsidR="008D1E2C" w:rsidRPr="003676D3">
        <w:rPr>
          <w:rFonts w:ascii="Times New Roman" w:hAnsi="Times New Roman" w:cs="Times New Roman"/>
          <w:b/>
          <w:bCs/>
          <w:noProof/>
          <w:sz w:val="24"/>
          <w:szCs w:val="24"/>
        </w:rPr>
        <w:t>3</w:t>
      </w:r>
      <w:r w:rsidR="00E13228" w:rsidRPr="003676D3">
        <w:rPr>
          <w:rFonts w:ascii="Times New Roman" w:hAnsi="Times New Roman" w:cs="Times New Roman"/>
          <w:sz w:val="24"/>
          <w:szCs w:val="24"/>
        </w:rPr>
        <w:fldChar w:fldCharType="end"/>
      </w:r>
      <w:r w:rsidR="00E13228" w:rsidRPr="003676D3">
        <w:rPr>
          <w:rFonts w:ascii="Times New Roman" w:hAnsi="Times New Roman" w:cs="Times New Roman"/>
          <w:sz w:val="24"/>
          <w:szCs w:val="24"/>
        </w:rPr>
        <w:t xml:space="preserve"> is a visual representation of SSG</w:t>
      </w:r>
      <w:r w:rsidR="00E7634E" w:rsidRPr="003676D3">
        <w:rPr>
          <w:rFonts w:ascii="Times New Roman" w:hAnsi="Times New Roman" w:cs="Times New Roman"/>
          <w:sz w:val="24"/>
          <w:szCs w:val="24"/>
        </w:rPr>
        <w:t xml:space="preserve">. </w:t>
      </w:r>
    </w:p>
    <w:p w14:paraId="1500E34C" w14:textId="6E0AC00C" w:rsidR="00FB1CA5" w:rsidRPr="003676D3" w:rsidRDefault="00FB1CA5"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The </w:t>
      </w:r>
      <w:r w:rsidR="00645477" w:rsidRPr="003676D3">
        <w:rPr>
          <w:rFonts w:ascii="Times New Roman" w:hAnsi="Times New Roman" w:cs="Times New Roman"/>
          <w:sz w:val="24"/>
          <w:szCs w:val="24"/>
        </w:rPr>
        <w:t>distinct attribute of super smart grids</w:t>
      </w:r>
      <w:r w:rsidRPr="003676D3">
        <w:rPr>
          <w:rFonts w:ascii="Times New Roman" w:hAnsi="Times New Roman" w:cs="Times New Roman"/>
          <w:sz w:val="24"/>
          <w:szCs w:val="24"/>
        </w:rPr>
        <w:t xml:space="preserve"> is wide area</w:t>
      </w:r>
      <w:r w:rsidR="00645477" w:rsidRPr="003676D3">
        <w:rPr>
          <w:rFonts w:ascii="Times New Roman" w:hAnsi="Times New Roman" w:cs="Times New Roman"/>
          <w:sz w:val="24"/>
          <w:szCs w:val="24"/>
        </w:rPr>
        <w:t xml:space="preserve"> coverage</w:t>
      </w:r>
      <w:r w:rsidRPr="003676D3">
        <w:rPr>
          <w:rFonts w:ascii="Times New Roman" w:hAnsi="Times New Roman" w:cs="Times New Roman"/>
          <w:sz w:val="24"/>
          <w:szCs w:val="24"/>
        </w:rPr>
        <w:t xml:space="preserve"> and</w:t>
      </w:r>
      <w:r w:rsidR="00645477" w:rsidRPr="003676D3">
        <w:rPr>
          <w:rFonts w:ascii="Times New Roman" w:hAnsi="Times New Roman" w:cs="Times New Roman"/>
          <w:sz w:val="24"/>
          <w:szCs w:val="24"/>
        </w:rPr>
        <w:t xml:space="preserve"> distributed generation (DG). The abundant use of renewable resource based DGs comes with critical issues</w:t>
      </w:r>
      <w:r w:rsidRPr="003676D3">
        <w:rPr>
          <w:rFonts w:ascii="Times New Roman" w:hAnsi="Times New Roman" w:cs="Times New Roman"/>
          <w:sz w:val="24"/>
          <w:szCs w:val="24"/>
        </w:rPr>
        <w:t xml:space="preserve"> i.e., </w:t>
      </w:r>
      <w:r w:rsidR="00645477" w:rsidRPr="003676D3">
        <w:rPr>
          <w:rFonts w:ascii="Times New Roman" w:hAnsi="Times New Roman" w:cs="Times New Roman"/>
          <w:sz w:val="24"/>
          <w:szCs w:val="24"/>
        </w:rPr>
        <w:t xml:space="preserve">transient stability and </w:t>
      </w:r>
      <w:r w:rsidRPr="003676D3">
        <w:rPr>
          <w:rFonts w:ascii="Times New Roman" w:hAnsi="Times New Roman" w:cs="Times New Roman"/>
          <w:sz w:val="24"/>
          <w:szCs w:val="24"/>
        </w:rPr>
        <w:t>load</w:t>
      </w:r>
      <w:r w:rsidR="00645477" w:rsidRPr="003676D3">
        <w:rPr>
          <w:rFonts w:ascii="Times New Roman" w:hAnsi="Times New Roman" w:cs="Times New Roman"/>
          <w:sz w:val="24"/>
          <w:szCs w:val="24"/>
        </w:rPr>
        <w:t>-</w:t>
      </w:r>
      <w:r w:rsidRPr="003676D3">
        <w:rPr>
          <w:rFonts w:ascii="Times New Roman" w:hAnsi="Times New Roman" w:cs="Times New Roman"/>
          <w:sz w:val="24"/>
          <w:szCs w:val="24"/>
        </w:rPr>
        <w:t>flow balancing</w:t>
      </w:r>
      <w:r w:rsidR="00645477" w:rsidRPr="003676D3">
        <w:rPr>
          <w:rFonts w:ascii="Times New Roman" w:hAnsi="Times New Roman" w:cs="Times New Roman"/>
          <w:sz w:val="24"/>
          <w:szCs w:val="24"/>
        </w:rPr>
        <w:t xml:space="preserve"> of the grid</w:t>
      </w:r>
      <w:r w:rsidR="00E13228" w:rsidRPr="003676D3">
        <w:rPr>
          <w:rFonts w:ascii="Times New Roman" w:hAnsi="Times New Roman" w:cs="Times New Roman"/>
          <w:sz w:val="24"/>
          <w:szCs w:val="24"/>
        </w:rPr>
        <w:t xml:space="preserve"> </w:t>
      </w:r>
      <w:r w:rsidR="00E13228" w:rsidRPr="003676D3">
        <w:rPr>
          <w:rFonts w:ascii="Times New Roman" w:hAnsi="Times New Roman" w:cs="Times New Roman"/>
          <w:sz w:val="24"/>
          <w:szCs w:val="24"/>
        </w:rPr>
        <w:fldChar w:fldCharType="begin" w:fldLock="1"/>
      </w:r>
      <w:r w:rsidR="00E13228" w:rsidRPr="003676D3">
        <w:rPr>
          <w:rFonts w:ascii="Times New Roman" w:hAnsi="Times New Roman" w:cs="Times New Roman"/>
          <w:sz w:val="24"/>
          <w:szCs w:val="24"/>
        </w:rPr>
        <w:instrText>ADDIN CSL_CITATION {"citationItems":[{"id":"ITEM-1","itemData":{"DOI":"10.1109/ACCESS.2023.3296152","ISSN":"21693536","abstract":"For a utility company to reduce CO2} emissions along with managing load demands, it must strive for a 100 percent renewable electrical power generation. Europe takes initiatives to achieve this goal by developing a super smart grid (SSG) based on renewable energy resources (RERs) by 2050. The SSG is based on two exclusive alternatives: wide area and decentralized power generation using large number of RERs. Before developing such SSG, there is a need to address the critical issues associated with RERs, i.e., load flow balancing and transients stability. Considering a reliability issue involved with RERs and the random deviations between demand response and generation response patterns, load flow balancing and transient stability become challenging research issues in SSGs. These technical issues are also considered to be more challenging, if an unexpected outage in the form of an occurrence of three phase (L-L-L) faults (TPF) arises in SSGs, due to power quality disturbances. To address this problem, load flow balancing probabilistic modeling is performed in this research paper in order to formulate the complexity of randomness between generation and demand response patterns through transmission network planning (TNP) in the form of a super smart node (SSN) transmission network infrastructure. Moreover, a further optimization in SSN transmission network has been done with the addition of a cooperative control strategies in terms of an integrating vehicle to grid (V2G) technology in SSN transmission network in order to achieve further enhancement in load flow balancing and transient stability in SSGs. Furthermore, as SSGs power infrastructure is based on different clusters, therefore in order to accommodate various clusters for load flow balancing, a continuous spinning reserve (CSRs) probabilistic modeling has also been performed in this paper in terms of its integration in SSN transmission network. Considering above probabilistic analysis, future contingencies are easily predictable, before any kind of disruptive changes arises in a SSGs due an occurrence of a TPF. Moreover, from simulation results as performed in this paper, we can easily verified that our proposed probabilistic algorithm of load flow balancing and transients stability outperforms existing literature work and can also achieved near optimal performance, even for a broad range of variations in load and also in case of an arising of significant power quality disturbances in SSGs due to an…","author":[{"dropping-particle":"","family":"Adnan","given":"Muhammad","non-dropping-particle":"","parse-names":false,"suffix":""},{"dropping-particle":"","family":"Ghadi","given":"Yazeed","non-dropping-particle":"","parse-names":false,"suffix":""},{"dropping-particle":"","family":"Ahmed","given":"Ijaz","non-dropping-particle":"","parse-names":false,"suffix":""},{"dropping-particle":"","family":"Ali","given":"Mansoor","non-dropping-particle":"","parse-names":false,"suffix":""}],"container-title":"IEEE Access","id":"ITEM-1","issued":{"date-parts":[["2023"]]},"page":"77163-77227","publisher":"Institute of Electrical and Electronics Engineers Inc.","title":"Transmission Network Planning in Super Smart Grids: A Survey","type":"article-journal","volume":"11"},"uris":["http://www.mendeley.com/documents/?uuid=6b737631-ef04-3da7-b746-afcb11316fa1"]}],"mendeley":{"formattedCitation":"[28]","plainTextFormattedCitation":"[28]","previouslyFormattedCitation":"[28]"},"properties":{"noteIndex":0},"schema":"https://github.com/citation-style-language/schema/raw/master/csl-citation.json"}</w:instrText>
      </w:r>
      <w:r w:rsidR="00E13228" w:rsidRPr="003676D3">
        <w:rPr>
          <w:rFonts w:ascii="Times New Roman" w:hAnsi="Times New Roman" w:cs="Times New Roman"/>
          <w:sz w:val="24"/>
          <w:szCs w:val="24"/>
        </w:rPr>
        <w:fldChar w:fldCharType="separate"/>
      </w:r>
      <w:r w:rsidR="00E13228" w:rsidRPr="003676D3">
        <w:rPr>
          <w:rFonts w:ascii="Times New Roman" w:hAnsi="Times New Roman" w:cs="Times New Roman"/>
          <w:noProof/>
          <w:sz w:val="24"/>
          <w:szCs w:val="24"/>
        </w:rPr>
        <w:t>[28]</w:t>
      </w:r>
      <w:r w:rsidR="00E13228" w:rsidRPr="003676D3">
        <w:rPr>
          <w:rFonts w:ascii="Times New Roman" w:hAnsi="Times New Roman" w:cs="Times New Roman"/>
          <w:sz w:val="24"/>
          <w:szCs w:val="24"/>
        </w:rPr>
        <w:fldChar w:fldCharType="end"/>
      </w:r>
      <w:r w:rsidRPr="003676D3">
        <w:rPr>
          <w:rFonts w:ascii="Times New Roman" w:hAnsi="Times New Roman" w:cs="Times New Roman"/>
          <w:sz w:val="24"/>
          <w:szCs w:val="24"/>
        </w:rPr>
        <w:t>.</w:t>
      </w:r>
      <w:r w:rsidR="00515563" w:rsidRPr="003676D3">
        <w:rPr>
          <w:rFonts w:ascii="Times New Roman" w:hAnsi="Times New Roman" w:cs="Times New Roman"/>
          <w:sz w:val="24"/>
          <w:szCs w:val="24"/>
        </w:rPr>
        <w:t xml:space="preserve"> A </w:t>
      </w:r>
      <w:r w:rsidR="00CE3ABA" w:rsidRPr="003676D3">
        <w:rPr>
          <w:rFonts w:ascii="Times New Roman" w:hAnsi="Times New Roman" w:cs="Times New Roman"/>
          <w:sz w:val="24"/>
          <w:szCs w:val="24"/>
        </w:rPr>
        <w:t xml:space="preserve">conceptual sustainable </w:t>
      </w:r>
      <w:r w:rsidR="001F368F" w:rsidRPr="003676D3">
        <w:rPr>
          <w:rFonts w:ascii="Times New Roman" w:hAnsi="Times New Roman" w:cs="Times New Roman"/>
          <w:sz w:val="24"/>
          <w:szCs w:val="24"/>
        </w:rPr>
        <w:t>grids network</w:t>
      </w:r>
      <w:r w:rsidR="00515563" w:rsidRPr="003676D3">
        <w:rPr>
          <w:rFonts w:ascii="Times New Roman" w:hAnsi="Times New Roman" w:cs="Times New Roman"/>
          <w:sz w:val="24"/>
          <w:szCs w:val="24"/>
        </w:rPr>
        <w:t xml:space="preserve"> is devised, linking Denmark and Norway, aimed at resolving transient stability concerns within SSGs. A comprehensive probabilistic model is crafted to bolster system stability. Findings </w:t>
      </w:r>
      <w:r w:rsidR="00DB4A86" w:rsidRPr="003676D3">
        <w:rPr>
          <w:rFonts w:ascii="Times New Roman" w:hAnsi="Times New Roman" w:cs="Times New Roman"/>
          <w:sz w:val="24"/>
          <w:szCs w:val="24"/>
        </w:rPr>
        <w:t>clearly</w:t>
      </w:r>
      <w:r w:rsidR="00515563" w:rsidRPr="003676D3">
        <w:rPr>
          <w:rFonts w:ascii="Times New Roman" w:hAnsi="Times New Roman" w:cs="Times New Roman"/>
          <w:sz w:val="24"/>
          <w:szCs w:val="24"/>
        </w:rPr>
        <w:t xml:space="preserve"> demonstrate that integrating Unified Power Flow Controller</w:t>
      </w:r>
      <w:r w:rsidR="00E13228" w:rsidRPr="003676D3">
        <w:rPr>
          <w:rFonts w:ascii="Times New Roman" w:hAnsi="Times New Roman" w:cs="Times New Roman"/>
          <w:sz w:val="24"/>
          <w:szCs w:val="24"/>
        </w:rPr>
        <w:t xml:space="preserve"> </w:t>
      </w:r>
      <w:r w:rsidR="00E13228" w:rsidRPr="003676D3">
        <w:rPr>
          <w:rFonts w:ascii="Times New Roman" w:hAnsi="Times New Roman" w:cs="Times New Roman"/>
          <w:sz w:val="24"/>
          <w:szCs w:val="24"/>
        </w:rPr>
        <w:fldChar w:fldCharType="begin" w:fldLock="1"/>
      </w:r>
      <w:r w:rsidR="00E13228" w:rsidRPr="003676D3">
        <w:rPr>
          <w:rFonts w:ascii="Times New Roman" w:hAnsi="Times New Roman" w:cs="Times New Roman"/>
          <w:sz w:val="24"/>
          <w:szCs w:val="24"/>
        </w:rPr>
        <w:instrText>ADDIN CSL_CITATION {"citationItems":[{"id":"ITEM-1","itemData":{"DOI":"10.3390/ELECTRONICS11193236","ISSN":"2079-9292","abstract":"Super smart grids (SSGs) are a wide area transmission network that mainly uses renewable energy resources (RERs), contributing to the reduction of greenhouse gas (GHGs) emissions and supporting the power infrastructure of multiple countries. The SSGs comprise two-way communication between the loads and sources of different countries, and these loads can be mostly served with numerous types of RERs tied with the grids. The RERs will play a pivotal role in the development of future grids and the generation of electricity. However, the main challenge to tackle in these RERs is that they are intermittent in nature. Due to intermittency in these RERs, transient stability issues have become one of the critical research challenges in SSGs. These stability issues are escalated and become more difficult to handle if a network is vulnerable to an arising of different kinds of faults. To address these problems, multiple approaches to enhance transient stability already exist in the current literature. After reviewing the literature, flexible alternating current transmission systems (FACTS) devices proved more promising in improving transient stability. Among FACTSdevices, UPFC is a versatile FACTS device, which provides complete stability to power system networks in the form of series and shunt compensations. Considering this scenario, a hypothetical network for SSGs is designed in this research work based on the interconnection between two countries, i.e., Denmark and Norway, to address the transient stability issues in SSGs. The complete probabilistic model of the system is also designed to enhance the stability of the system. The results clearly showed that the insertion of UPFC is an effective technique to enhance the transient stability and resilience of the power system networks as compared to other purposed techniques in the literature. The main contribution of this paper is that extensive simulation studies employing accurate RERs models are used to analyze and investigate various problems arising due to the integration of many clusters of RERs in SSGs.","author":[{"dropping-particle":"","family":"Alsuwian","given":"Turki","non-dropping-particle":"","parse-names":false,"suffix":""},{"dropping-particle":"","family":"Basit","given":"Abdul","non-dropping-particle":"","parse-names":false,"suffix":""},{"dropping-particle":"","family":"Amin","given":"Arslan Ahmed","non-dropping-particle":"","parse-names":false,"suffix":""},{"dropping-particle":"","family":"Adnan","given":"Muhammad","non-dropping-particle":"","parse-names":false,"suffix":""},{"dropping-particle":"","family":"Ali","given":"Mansoor","non-dropping-particle":"","parse-names":false,"suffix":""}],"container-title":"Electronics 2022, Vol. 11, Page 3236","id":"ITEM-1","issue":"19","issued":{"date-parts":[["2022","10","8"]]},"page":"3236","publisher":"Multidisciplinary Digital Publishing Institute","title":"An Optimal Control Approach for Enhancing Transients Stability and Resilience in Super Smart Grids","type":"article-journal","volume":"11"},"uris":["http://www.mendeley.com/documents/?uuid=8c00e9e2-e15c-3fb5-84e2-a3d0238dc5b1"]}],"mendeley":{"formattedCitation":"[81]","plainTextFormattedCitation":"[81]","previouslyFormattedCitation":"[81]"},"properties":{"noteIndex":0},"schema":"https://github.com/citation-style-language/schema/raw/master/csl-citation.json"}</w:instrText>
      </w:r>
      <w:r w:rsidR="00E13228" w:rsidRPr="003676D3">
        <w:rPr>
          <w:rFonts w:ascii="Times New Roman" w:hAnsi="Times New Roman" w:cs="Times New Roman"/>
          <w:sz w:val="24"/>
          <w:szCs w:val="24"/>
        </w:rPr>
        <w:fldChar w:fldCharType="separate"/>
      </w:r>
      <w:r w:rsidR="00E13228" w:rsidRPr="003676D3">
        <w:rPr>
          <w:rFonts w:ascii="Times New Roman" w:hAnsi="Times New Roman" w:cs="Times New Roman"/>
          <w:noProof/>
          <w:sz w:val="24"/>
          <w:szCs w:val="24"/>
        </w:rPr>
        <w:t>[81]</w:t>
      </w:r>
      <w:r w:rsidR="00E13228" w:rsidRPr="003676D3">
        <w:rPr>
          <w:rFonts w:ascii="Times New Roman" w:hAnsi="Times New Roman" w:cs="Times New Roman"/>
          <w:sz w:val="24"/>
          <w:szCs w:val="24"/>
        </w:rPr>
        <w:fldChar w:fldCharType="end"/>
      </w:r>
      <w:r w:rsidR="00515563" w:rsidRPr="003676D3">
        <w:rPr>
          <w:rFonts w:ascii="Times New Roman" w:hAnsi="Times New Roman" w:cs="Times New Roman"/>
          <w:sz w:val="24"/>
          <w:szCs w:val="24"/>
        </w:rPr>
        <w:t xml:space="preserve"> proves highly effective in </w:t>
      </w:r>
      <w:r w:rsidR="00DB4A86" w:rsidRPr="003676D3">
        <w:rPr>
          <w:rFonts w:ascii="Times New Roman" w:hAnsi="Times New Roman" w:cs="Times New Roman"/>
          <w:sz w:val="24"/>
          <w:szCs w:val="24"/>
        </w:rPr>
        <w:t>strengthening</w:t>
      </w:r>
      <w:r w:rsidR="00515563" w:rsidRPr="003676D3">
        <w:rPr>
          <w:rFonts w:ascii="Times New Roman" w:hAnsi="Times New Roman" w:cs="Times New Roman"/>
          <w:sz w:val="24"/>
          <w:szCs w:val="24"/>
        </w:rPr>
        <w:t xml:space="preserve"> resilience of power system networks</w:t>
      </w:r>
      <w:r w:rsidR="00B76FB3" w:rsidRPr="003676D3">
        <w:rPr>
          <w:rFonts w:ascii="Times New Roman" w:hAnsi="Times New Roman" w:cs="Times New Roman"/>
          <w:sz w:val="24"/>
          <w:szCs w:val="24"/>
        </w:rPr>
        <w:t xml:space="preserve"> as well as transient stability</w:t>
      </w:r>
      <w:r w:rsidR="00515563" w:rsidRPr="003676D3">
        <w:rPr>
          <w:rFonts w:ascii="Times New Roman" w:hAnsi="Times New Roman" w:cs="Times New Roman"/>
          <w:sz w:val="24"/>
          <w:szCs w:val="24"/>
        </w:rPr>
        <w:t>.</w:t>
      </w:r>
    </w:p>
    <w:p w14:paraId="2D89E03F" w14:textId="25CBCBE6" w:rsidR="00F44C32" w:rsidRPr="003676D3" w:rsidRDefault="00E13228" w:rsidP="003676D3">
      <w:pPr>
        <w:spacing w:line="276" w:lineRule="auto"/>
        <w:jc w:val="both"/>
        <w:rPr>
          <w:rFonts w:ascii="Times New Roman" w:hAnsi="Times New Roman" w:cs="Times New Roman"/>
          <w:sz w:val="24"/>
          <w:szCs w:val="24"/>
        </w:rPr>
      </w:pPr>
      <w:r w:rsidRPr="003676D3">
        <w:rPr>
          <w:rFonts w:ascii="Times New Roman" w:hAnsi="Times New Roman" w:cs="Times New Roman"/>
          <w:noProof/>
          <w:lang w:eastAsia="en-GB"/>
        </w:rPr>
        <mc:AlternateContent>
          <mc:Choice Requires="wps">
            <w:drawing>
              <wp:anchor distT="0" distB="0" distL="114300" distR="114300" simplePos="0" relativeHeight="251642880" behindDoc="0" locked="0" layoutInCell="1" allowOverlap="1" wp14:anchorId="165A0575" wp14:editId="0BD98049">
                <wp:simplePos x="0" y="0"/>
                <wp:positionH relativeFrom="column">
                  <wp:posOffset>838200</wp:posOffset>
                </wp:positionH>
                <wp:positionV relativeFrom="paragraph">
                  <wp:posOffset>2296795</wp:posOffset>
                </wp:positionV>
                <wp:extent cx="4429125" cy="635"/>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4429125" cy="635"/>
                        </a:xfrm>
                        <a:prstGeom prst="rect">
                          <a:avLst/>
                        </a:prstGeom>
                        <a:solidFill>
                          <a:prstClr val="white"/>
                        </a:solidFill>
                        <a:ln>
                          <a:noFill/>
                        </a:ln>
                      </wps:spPr>
                      <wps:txbx>
                        <w:txbxContent>
                          <w:p w14:paraId="26124AFE" w14:textId="55280233" w:rsidR="001F368F" w:rsidRPr="00E13228" w:rsidRDefault="001F368F" w:rsidP="004B1918">
                            <w:pPr>
                              <w:pStyle w:val="Caption"/>
                              <w:jc w:val="center"/>
                              <w:rPr>
                                <w:rFonts w:asciiTheme="majorBidi" w:hAnsiTheme="majorBidi" w:cstheme="majorBidi"/>
                                <w:b/>
                                <w:bCs/>
                                <w:i w:val="0"/>
                                <w:iCs w:val="0"/>
                                <w:noProof/>
                                <w:color w:val="auto"/>
                                <w:sz w:val="20"/>
                                <w:szCs w:val="20"/>
                              </w:rPr>
                            </w:pPr>
                            <w:bookmarkStart w:id="11" w:name="_Ref168038971"/>
                            <w:r w:rsidRPr="00E13228">
                              <w:rPr>
                                <w:rFonts w:asciiTheme="majorBidi" w:hAnsiTheme="majorBidi" w:cstheme="majorBidi"/>
                                <w:b/>
                                <w:bCs/>
                                <w:i w:val="0"/>
                                <w:iCs w:val="0"/>
                                <w:color w:val="auto"/>
                                <w:sz w:val="20"/>
                                <w:szCs w:val="20"/>
                              </w:rPr>
                              <w:t xml:space="preserve">Figure </w:t>
                            </w:r>
                            <w:r w:rsidRPr="00E13228">
                              <w:rPr>
                                <w:rFonts w:asciiTheme="majorBidi" w:hAnsiTheme="majorBidi" w:cstheme="majorBidi"/>
                                <w:b/>
                                <w:bCs/>
                                <w:i w:val="0"/>
                                <w:iCs w:val="0"/>
                                <w:color w:val="auto"/>
                                <w:sz w:val="20"/>
                                <w:szCs w:val="20"/>
                              </w:rPr>
                              <w:fldChar w:fldCharType="begin"/>
                            </w:r>
                            <w:r w:rsidRPr="00E13228">
                              <w:rPr>
                                <w:rFonts w:asciiTheme="majorBidi" w:hAnsiTheme="majorBidi" w:cstheme="majorBidi"/>
                                <w:b/>
                                <w:bCs/>
                                <w:i w:val="0"/>
                                <w:iCs w:val="0"/>
                                <w:color w:val="auto"/>
                                <w:sz w:val="20"/>
                                <w:szCs w:val="20"/>
                              </w:rPr>
                              <w:instrText xml:space="preserve"> SEQ Figure \* ARABIC </w:instrText>
                            </w:r>
                            <w:r w:rsidRPr="00E13228">
                              <w:rPr>
                                <w:rFonts w:asciiTheme="majorBidi" w:hAnsiTheme="majorBidi" w:cstheme="majorBidi"/>
                                <w:b/>
                                <w:bCs/>
                                <w:i w:val="0"/>
                                <w:iCs w:val="0"/>
                                <w:color w:val="auto"/>
                                <w:sz w:val="20"/>
                                <w:szCs w:val="20"/>
                              </w:rPr>
                              <w:fldChar w:fldCharType="separate"/>
                            </w:r>
                            <w:r w:rsidR="008D1E2C">
                              <w:rPr>
                                <w:rFonts w:asciiTheme="majorBidi" w:hAnsiTheme="majorBidi" w:cstheme="majorBidi"/>
                                <w:b/>
                                <w:bCs/>
                                <w:i w:val="0"/>
                                <w:iCs w:val="0"/>
                                <w:noProof/>
                                <w:color w:val="auto"/>
                                <w:sz w:val="20"/>
                                <w:szCs w:val="20"/>
                              </w:rPr>
                              <w:t>3</w:t>
                            </w:r>
                            <w:r w:rsidRPr="00E13228">
                              <w:rPr>
                                <w:rFonts w:asciiTheme="majorBidi" w:hAnsiTheme="majorBidi" w:cstheme="majorBidi"/>
                                <w:b/>
                                <w:bCs/>
                                <w:i w:val="0"/>
                                <w:iCs w:val="0"/>
                                <w:color w:val="auto"/>
                                <w:sz w:val="20"/>
                                <w:szCs w:val="20"/>
                              </w:rPr>
                              <w:fldChar w:fldCharType="end"/>
                            </w:r>
                            <w:bookmarkEnd w:id="11"/>
                            <w:r w:rsidRPr="00E13228">
                              <w:rPr>
                                <w:rFonts w:asciiTheme="majorBidi" w:hAnsiTheme="majorBidi" w:cstheme="majorBidi"/>
                                <w:b/>
                                <w:bCs/>
                                <w:i w:val="0"/>
                                <w:iCs w:val="0"/>
                                <w:color w:val="auto"/>
                                <w:sz w:val="20"/>
                                <w:szCs w:val="20"/>
                              </w:rPr>
                              <w:t>. Scalability of Super Smart Grid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5A0575" id="Text Box 10" o:spid="_x0000_s1027" type="#_x0000_t202" style="position:absolute;left:0;text-align:left;margin-left:66pt;margin-top:180.85pt;width:348.75pt;height:.0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" stroked="f">
                <v:textbox style="mso-fit-shape-to-text:t" inset="0,0,0,0">
                  <w:txbxContent>
                    <w:p w14:paraId="26124AFE" w14:textId="55280233" w:rsidR="001F368F" w:rsidRPr="00E13228" w:rsidRDefault="001F368F" w:rsidP="004B1918">
                      <w:pPr>
                        <w:pStyle w:val="Caption"/>
                        <w:jc w:val="center"/>
                        <w:rPr>
                          <w:rFonts w:asciiTheme="majorBidi" w:hAnsiTheme="majorBidi" w:cstheme="majorBidi"/>
                          <w:b/>
                          <w:bCs/>
                          <w:i w:val="0"/>
                          <w:iCs w:val="0"/>
                          <w:noProof/>
                          <w:color w:val="auto"/>
                          <w:sz w:val="20"/>
                          <w:szCs w:val="20"/>
                        </w:rPr>
                      </w:pPr>
                      <w:bookmarkStart w:id="12" w:name="_Ref168038971"/>
                      <w:r w:rsidRPr="00E13228">
                        <w:rPr>
                          <w:rFonts w:asciiTheme="majorBidi" w:hAnsiTheme="majorBidi" w:cstheme="majorBidi"/>
                          <w:b/>
                          <w:bCs/>
                          <w:i w:val="0"/>
                          <w:iCs w:val="0"/>
                          <w:color w:val="auto"/>
                          <w:sz w:val="20"/>
                          <w:szCs w:val="20"/>
                        </w:rPr>
                        <w:t xml:space="preserve">Figure </w:t>
                      </w:r>
                      <w:r w:rsidRPr="00E13228">
                        <w:rPr>
                          <w:rFonts w:asciiTheme="majorBidi" w:hAnsiTheme="majorBidi" w:cstheme="majorBidi"/>
                          <w:b/>
                          <w:bCs/>
                          <w:i w:val="0"/>
                          <w:iCs w:val="0"/>
                          <w:color w:val="auto"/>
                          <w:sz w:val="20"/>
                          <w:szCs w:val="20"/>
                        </w:rPr>
                        <w:fldChar w:fldCharType="begin"/>
                      </w:r>
                      <w:r w:rsidRPr="00E13228">
                        <w:rPr>
                          <w:rFonts w:asciiTheme="majorBidi" w:hAnsiTheme="majorBidi" w:cstheme="majorBidi"/>
                          <w:b/>
                          <w:bCs/>
                          <w:i w:val="0"/>
                          <w:iCs w:val="0"/>
                          <w:color w:val="auto"/>
                          <w:sz w:val="20"/>
                          <w:szCs w:val="20"/>
                        </w:rPr>
                        <w:instrText xml:space="preserve"> SEQ Figure \* ARABIC </w:instrText>
                      </w:r>
                      <w:r w:rsidRPr="00E13228">
                        <w:rPr>
                          <w:rFonts w:asciiTheme="majorBidi" w:hAnsiTheme="majorBidi" w:cstheme="majorBidi"/>
                          <w:b/>
                          <w:bCs/>
                          <w:i w:val="0"/>
                          <w:iCs w:val="0"/>
                          <w:color w:val="auto"/>
                          <w:sz w:val="20"/>
                          <w:szCs w:val="20"/>
                        </w:rPr>
                        <w:fldChar w:fldCharType="separate"/>
                      </w:r>
                      <w:r w:rsidR="008D1E2C">
                        <w:rPr>
                          <w:rFonts w:asciiTheme="majorBidi" w:hAnsiTheme="majorBidi" w:cstheme="majorBidi"/>
                          <w:b/>
                          <w:bCs/>
                          <w:i w:val="0"/>
                          <w:iCs w:val="0"/>
                          <w:noProof/>
                          <w:color w:val="auto"/>
                          <w:sz w:val="20"/>
                          <w:szCs w:val="20"/>
                        </w:rPr>
                        <w:t>3</w:t>
                      </w:r>
                      <w:r w:rsidRPr="00E13228">
                        <w:rPr>
                          <w:rFonts w:asciiTheme="majorBidi" w:hAnsiTheme="majorBidi" w:cstheme="majorBidi"/>
                          <w:b/>
                          <w:bCs/>
                          <w:i w:val="0"/>
                          <w:iCs w:val="0"/>
                          <w:color w:val="auto"/>
                          <w:sz w:val="20"/>
                          <w:szCs w:val="20"/>
                        </w:rPr>
                        <w:fldChar w:fldCharType="end"/>
                      </w:r>
                      <w:bookmarkEnd w:id="12"/>
                      <w:r w:rsidRPr="00E13228">
                        <w:rPr>
                          <w:rFonts w:asciiTheme="majorBidi" w:hAnsiTheme="majorBidi" w:cstheme="majorBidi"/>
                          <w:b/>
                          <w:bCs/>
                          <w:i w:val="0"/>
                          <w:iCs w:val="0"/>
                          <w:color w:val="auto"/>
                          <w:sz w:val="20"/>
                          <w:szCs w:val="20"/>
                        </w:rPr>
                        <w:t>. Scalability of Super Smart Grid</w:t>
                      </w:r>
                    </w:p>
                  </w:txbxContent>
                </v:textbox>
                <w10:wrap type="square"/>
              </v:shape>
            </w:pict>
          </mc:Fallback>
        </mc:AlternateContent>
      </w:r>
      <w:r w:rsidR="00F44C32" w:rsidRPr="003676D3">
        <w:rPr>
          <w:rFonts w:ascii="Times New Roman" w:hAnsi="Times New Roman" w:cs="Times New Roman"/>
          <w:noProof/>
          <w:sz w:val="24"/>
          <w:szCs w:val="24"/>
          <w:lang w:eastAsia="en-GB"/>
        </w:rPr>
        <w:drawing>
          <wp:anchor distT="0" distB="0" distL="114300" distR="114300" simplePos="0" relativeHeight="251630592" behindDoc="0" locked="0" layoutInCell="1" allowOverlap="1" wp14:anchorId="500B8F54" wp14:editId="1807E63A">
            <wp:simplePos x="0" y="0"/>
            <wp:positionH relativeFrom="margin">
              <wp:posOffset>838200</wp:posOffset>
            </wp:positionH>
            <wp:positionV relativeFrom="paragraph">
              <wp:posOffset>20320</wp:posOffset>
            </wp:positionV>
            <wp:extent cx="4429125" cy="2219325"/>
            <wp:effectExtent l="0" t="0" r="0" b="0"/>
            <wp:wrapSquare wrapText="bothSides"/>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p w14:paraId="160E6396" w14:textId="77777777" w:rsidR="00F44C32" w:rsidRPr="003676D3" w:rsidRDefault="00F44C32" w:rsidP="003676D3">
      <w:pPr>
        <w:spacing w:line="276" w:lineRule="auto"/>
        <w:jc w:val="both"/>
        <w:rPr>
          <w:rFonts w:ascii="Times New Roman" w:hAnsi="Times New Roman" w:cs="Times New Roman"/>
          <w:sz w:val="24"/>
          <w:szCs w:val="24"/>
        </w:rPr>
      </w:pPr>
    </w:p>
    <w:p w14:paraId="7DD066D7" w14:textId="77777777" w:rsidR="00F44C32" w:rsidRPr="003676D3" w:rsidRDefault="00F44C32" w:rsidP="003676D3">
      <w:pPr>
        <w:spacing w:line="276" w:lineRule="auto"/>
        <w:jc w:val="both"/>
        <w:rPr>
          <w:rFonts w:ascii="Times New Roman" w:hAnsi="Times New Roman" w:cs="Times New Roman"/>
          <w:sz w:val="24"/>
          <w:szCs w:val="24"/>
        </w:rPr>
      </w:pPr>
    </w:p>
    <w:p w14:paraId="6C545295" w14:textId="77777777" w:rsidR="00F44C32" w:rsidRPr="003676D3" w:rsidRDefault="00F44C32" w:rsidP="003676D3">
      <w:pPr>
        <w:spacing w:line="276" w:lineRule="auto"/>
        <w:jc w:val="both"/>
        <w:rPr>
          <w:rFonts w:ascii="Times New Roman" w:hAnsi="Times New Roman" w:cs="Times New Roman"/>
          <w:sz w:val="24"/>
          <w:szCs w:val="24"/>
        </w:rPr>
      </w:pPr>
    </w:p>
    <w:p w14:paraId="30342B13" w14:textId="77777777" w:rsidR="00F44C32" w:rsidRPr="003676D3" w:rsidRDefault="00F44C32" w:rsidP="003676D3">
      <w:pPr>
        <w:spacing w:line="276" w:lineRule="auto"/>
        <w:jc w:val="both"/>
        <w:rPr>
          <w:rFonts w:ascii="Times New Roman" w:hAnsi="Times New Roman" w:cs="Times New Roman"/>
          <w:sz w:val="24"/>
          <w:szCs w:val="24"/>
        </w:rPr>
      </w:pPr>
    </w:p>
    <w:p w14:paraId="35A1BBD6" w14:textId="77777777" w:rsidR="00F44C32" w:rsidRPr="003676D3" w:rsidRDefault="00F44C32" w:rsidP="003676D3">
      <w:pPr>
        <w:spacing w:line="276" w:lineRule="auto"/>
        <w:jc w:val="both"/>
        <w:rPr>
          <w:rFonts w:ascii="Times New Roman" w:hAnsi="Times New Roman" w:cs="Times New Roman"/>
          <w:sz w:val="24"/>
          <w:szCs w:val="24"/>
        </w:rPr>
      </w:pPr>
    </w:p>
    <w:p w14:paraId="2A143DD3" w14:textId="77777777" w:rsidR="00F44C32" w:rsidRPr="003676D3" w:rsidRDefault="00F44C32" w:rsidP="003676D3">
      <w:pPr>
        <w:spacing w:line="276" w:lineRule="auto"/>
        <w:jc w:val="both"/>
        <w:rPr>
          <w:rFonts w:ascii="Times New Roman" w:hAnsi="Times New Roman" w:cs="Times New Roman"/>
          <w:sz w:val="24"/>
          <w:szCs w:val="24"/>
        </w:rPr>
      </w:pPr>
    </w:p>
    <w:p w14:paraId="75C59BFB" w14:textId="77777777" w:rsidR="00F44C32" w:rsidRPr="003676D3" w:rsidRDefault="00F44C32" w:rsidP="003676D3">
      <w:pPr>
        <w:spacing w:line="276" w:lineRule="auto"/>
        <w:jc w:val="both"/>
        <w:rPr>
          <w:rFonts w:ascii="Times New Roman" w:hAnsi="Times New Roman" w:cs="Times New Roman"/>
          <w:sz w:val="24"/>
          <w:szCs w:val="24"/>
        </w:rPr>
      </w:pPr>
    </w:p>
    <w:p w14:paraId="4090F3B7" w14:textId="77777777" w:rsidR="00E13228" w:rsidRPr="003676D3" w:rsidRDefault="00E13228" w:rsidP="003676D3">
      <w:pPr>
        <w:spacing w:line="276" w:lineRule="auto"/>
        <w:jc w:val="both"/>
        <w:rPr>
          <w:rFonts w:ascii="Times New Roman" w:hAnsi="Times New Roman" w:cs="Times New Roman"/>
          <w:sz w:val="24"/>
          <w:szCs w:val="24"/>
        </w:rPr>
      </w:pPr>
    </w:p>
    <w:p w14:paraId="1C43B34F" w14:textId="79DC56A1" w:rsidR="00E7634E" w:rsidRPr="003676D3" w:rsidRDefault="00E7634E"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Energy management</w:t>
      </w:r>
      <w:r w:rsidR="00E13228" w:rsidRPr="003676D3">
        <w:rPr>
          <w:rFonts w:ascii="Times New Roman" w:hAnsi="Times New Roman" w:cs="Times New Roman"/>
          <w:sz w:val="24"/>
          <w:szCs w:val="24"/>
        </w:rPr>
        <w:t xml:space="preserve"> </w:t>
      </w:r>
      <w:r w:rsidR="00E13228" w:rsidRPr="003676D3">
        <w:rPr>
          <w:rFonts w:ascii="Times New Roman" w:hAnsi="Times New Roman" w:cs="Times New Roman"/>
          <w:sz w:val="24"/>
          <w:szCs w:val="24"/>
        </w:rPr>
        <w:fldChar w:fldCharType="begin" w:fldLock="1"/>
      </w:r>
      <w:r w:rsidR="00E13228" w:rsidRPr="003676D3">
        <w:rPr>
          <w:rFonts w:ascii="Times New Roman" w:hAnsi="Times New Roman" w:cs="Times New Roman"/>
          <w:sz w:val="24"/>
          <w:szCs w:val="24"/>
        </w:rPr>
        <w:instrText>ADDIN CSL_CITATION {"citationItems":[{"id":"ITEM-1","itemData":{"DOI":"10.1109/TSTE.2011.2161624","ISSN":"19493029","abstract":"The integration of renewable energy systems (RESs) in smart grids (SGs) is a challenging task, mainly due to the intermittent and unpredictable nature of the sources, typically wind or sun. Another issue concerns the way to support the consumers' participation in the electricity market aiming at minimizing the costs of the global energy consumption. This paper proposes an energy management system (EMS) aiming at optimizing the SG's operation. The EMS behaves as a sort of aggregator of distributed energy resources allowing the SG to participate in the open market. By integrating demand side management (DSM) and active management schemes (AMS), it allows a better exploitation of renewable energy sources and a reduction of the customers' energy consumption costs with both economic and environmental benefits. It can also improve the grid resilience and flexibility through the active participation of distribution system operators (DSOs) and electricity supply/demand that, according to their preferences and costs, respond to real-time price signals using market processes. The efficiency of the proposed EMS is verified on a 23-bus 11-kV distribution network.","author":[{"dropping-particle":"","family":"Cecati","given":"Carlo","non-dropping-particle":"","parse-names":false,"suffix":""},{"dropping-particle":"","family":"Citro","given":"Costantino","non-dropping-particle":"","parse-names":false,"suffix":""},{"dropping-particle":"","family":"Siano","given":"Pierluigi","non-dropping-particle":"","parse-names":false,"suffix":""}],"container-title":"IEEE Transactions on Sustainable Energy","id":"ITEM-1","issue":"4","issued":{"date-parts":[["2011","10"]]},"page":"468-476","title":"Combined Operations of Renewable Energy Systems and Responsive Demand in a Smart Grid","type":"article-journal","volume":"2"},"uris":["http://www.mendeley.com/documents/?uuid=a5a8e3cc-4691-3c53-bda2-02027802678e"]}],"mendeley":{"formattedCitation":"[82]","plainTextFormattedCitation":"[82]","previouslyFormattedCitation":"[82]"},"properties":{"noteIndex":0},"schema":"https://github.com/citation-style-language/schema/raw/master/csl-citation.json"}</w:instrText>
      </w:r>
      <w:r w:rsidR="00E13228" w:rsidRPr="003676D3">
        <w:rPr>
          <w:rFonts w:ascii="Times New Roman" w:hAnsi="Times New Roman" w:cs="Times New Roman"/>
          <w:sz w:val="24"/>
          <w:szCs w:val="24"/>
        </w:rPr>
        <w:fldChar w:fldCharType="separate"/>
      </w:r>
      <w:r w:rsidR="00E13228" w:rsidRPr="003676D3">
        <w:rPr>
          <w:rFonts w:ascii="Times New Roman" w:hAnsi="Times New Roman" w:cs="Times New Roman"/>
          <w:noProof/>
          <w:sz w:val="24"/>
          <w:szCs w:val="24"/>
        </w:rPr>
        <w:t>[82]</w:t>
      </w:r>
      <w:r w:rsidR="00E13228"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with c</w:t>
      </w:r>
      <w:r w:rsidR="00B76FB3" w:rsidRPr="003676D3">
        <w:rPr>
          <w:rFonts w:ascii="Times New Roman" w:hAnsi="Times New Roman" w:cs="Times New Roman"/>
          <w:sz w:val="24"/>
          <w:szCs w:val="24"/>
        </w:rPr>
        <w:t>omputational capabilities is a pivotal</w:t>
      </w:r>
      <w:r w:rsidRPr="003676D3">
        <w:rPr>
          <w:rFonts w:ascii="Times New Roman" w:hAnsi="Times New Roman" w:cs="Times New Roman"/>
          <w:sz w:val="24"/>
          <w:szCs w:val="24"/>
        </w:rPr>
        <w:t xml:space="preserve"> part of the super smart grid environment. </w:t>
      </w:r>
      <w:r w:rsidR="00CE3ABA" w:rsidRPr="003676D3">
        <w:rPr>
          <w:rFonts w:ascii="Times New Roman" w:hAnsi="Times New Roman" w:cs="Times New Roman"/>
          <w:sz w:val="24"/>
          <w:szCs w:val="24"/>
        </w:rPr>
        <w:t>It</w:t>
      </w:r>
      <w:r w:rsidRPr="003676D3">
        <w:rPr>
          <w:rFonts w:ascii="Times New Roman" w:hAnsi="Times New Roman" w:cs="Times New Roman"/>
          <w:sz w:val="24"/>
          <w:szCs w:val="24"/>
        </w:rPr>
        <w:t xml:space="preserve"> enhances the grid </w:t>
      </w:r>
      <w:r w:rsidR="00E13228" w:rsidRPr="003676D3">
        <w:rPr>
          <w:rFonts w:ascii="Times New Roman" w:hAnsi="Times New Roman" w:cs="Times New Roman"/>
          <w:sz w:val="24"/>
          <w:szCs w:val="24"/>
        </w:rPr>
        <w:t>observability;</w:t>
      </w:r>
      <w:r w:rsidRPr="003676D3">
        <w:rPr>
          <w:rFonts w:ascii="Times New Roman" w:hAnsi="Times New Roman" w:cs="Times New Roman"/>
          <w:sz w:val="24"/>
          <w:szCs w:val="24"/>
        </w:rPr>
        <w:t xml:space="preserve"> improve performance, reliability, security as well as better control over assets. It also </w:t>
      </w:r>
      <w:r w:rsidR="00F70BE1" w:rsidRPr="003676D3">
        <w:rPr>
          <w:rFonts w:ascii="Times New Roman" w:hAnsi="Times New Roman" w:cs="Times New Roman"/>
          <w:sz w:val="24"/>
          <w:szCs w:val="24"/>
        </w:rPr>
        <w:t>surpasses</w:t>
      </w:r>
      <w:r w:rsidRPr="003676D3">
        <w:rPr>
          <w:rFonts w:ascii="Times New Roman" w:hAnsi="Times New Roman" w:cs="Times New Roman"/>
          <w:sz w:val="24"/>
          <w:szCs w:val="24"/>
        </w:rPr>
        <w:t xml:space="preserve"> the smart grid in terms of benefits for the improved environmental factors. While smart grids integrates renewable resources, micro-grid and demand response</w:t>
      </w:r>
      <w:r w:rsidR="00E13228" w:rsidRPr="003676D3">
        <w:rPr>
          <w:rFonts w:ascii="Times New Roman" w:hAnsi="Times New Roman" w:cs="Times New Roman"/>
          <w:sz w:val="24"/>
          <w:szCs w:val="24"/>
        </w:rPr>
        <w:t xml:space="preserve"> </w:t>
      </w:r>
      <w:r w:rsidR="00E13228" w:rsidRPr="003676D3">
        <w:rPr>
          <w:rFonts w:ascii="Times New Roman" w:hAnsi="Times New Roman" w:cs="Times New Roman"/>
          <w:sz w:val="24"/>
          <w:szCs w:val="24"/>
        </w:rPr>
        <w:fldChar w:fldCharType="begin" w:fldLock="1"/>
      </w:r>
      <w:r w:rsidR="00E13228" w:rsidRPr="003676D3">
        <w:rPr>
          <w:rFonts w:ascii="Times New Roman" w:hAnsi="Times New Roman" w:cs="Times New Roman"/>
          <w:sz w:val="24"/>
          <w:szCs w:val="24"/>
        </w:rPr>
        <w:instrText>ADDIN CSL_CITATION {"citationItems":[{"id":"ITEM-1","itemData":{"ISSN":"1949-3053","author":[{"dropping-particle":"","family":"Mnatsakanyan","given":"Ashot","non-dropping-particle":"","parse-names":false,"suffix":""},{"dropping-particle":"","family":"Kennedy","given":"Scott W","non-dropping-particle":"","parse-names":false,"suffix":""}],"container-title":"IEEE Transactions on Smart Grid","id":"ITEM-1","issue":"1","issued":{"date-parts":[["2014"]]},"page":"230-237","publisher":"IEEE","title":"A novel demand response model with an application for a virtual power plant","type":"article-journal","volume":"6"},"uris":["http://www.mendeley.com/documents/?uuid=f58243a1-9cd7-4131-be53-788adf7919b2"]},{"id":"ITEM-2","itemData":{"DOI":"10.1016/j.scs.2013.11.001","ISSN":"22106707","abstract":"This paper mainly focuses on demand side management and demand response, including drivers and benefits, shiftable load scheduling methods and peak shaving techniques. Demand side management techniques found in literature are overviewed and a novel electricity demand control technique using real-time pricing is proposed. Currently users have no means to change their power consumption to benefit the whole system. The proposed method consists of modern system identification and control that would enable user side load control. This would potentially balance demand side with supply side more effectively and would also reduce peak demand and make the whole system more efficient. © 2013 Elsevier B.V. All rights reserved.","author":[{"dropping-particle":"","family":"Gelazanskas","given":"Linas","non-dropping-particle":"","parse-names":false,"suffix":""},{"dropping-particle":"","family":"Gamage","given":"Kelum A.A.","non-dropping-particle":"","parse-names":false,"suffix":""}],"container-title":"Sustainable Cities and Society","id":"ITEM-2","issued":{"date-parts":[["2014"]]},"page":"22-30","publisher":"Elsevier B.V.","title":"Demand side management in smart grid: A review and proposals for future direction","type":"article-journal","volume":"11"},"uris":["http://www.mendeley.com/documents/?uuid=8fe27c4c-ea66-463c-a930-a033cca4ab0a"]},{"id":"ITEM-3","itemData":{"DOI":"10.1016/j.procs.2017.09.053","ISSN":"18770509","abstract":"Complex computer systems and electric power grids share many properties of how they behave and how they are structured. A microgrid is a smaller electric grid that contains several homes, energy storage units, and distributed generators. The main idea behind microgrids is the ability to work even if the main grid is not supplying power. That is, the energy storage unit and distributed generation will supply power in that case, and if there is excess in power production from renewable energy sources, it will go to the energy storage unit. Therefore, the electric grid becomes decentralized in terms of control and production. To deal with this change, one needs to interpret the electrical grid as a system of systems (SoS) and build new models that capture the dynamic behavior of the microgrid. In this paper, different models of electric components in a microgrid are presented. These models use complex system modeling techniques such as agent-based methods and system dynamics, or a combination of different methods to represent various electric elements. Examples show the simulation of the solar microgrid is presented to show the emergent properties of the interconnected system. Results and waveforms are discussed.","author":[{"dropping-particle":"","family":"Alzahrani","given":"Ahmad","non-dropping-particle":"","parse-names":false,"suffix":""},{"dropping-particle":"","family":"Ferdowsi","given":"Mehdi","non-dropping-particle":"","parse-names":false,"suffix":""},{"dropping-particle":"","family":"Shamsi","given":"Pourya","non-dropping-particle":"","parse-names":false,"suffix":""},{"dropping-particle":"","family":"Dagli","given":"Cihan H.","non-dropping-particle":"","parse-names":false,"suffix":""}],"container-title":"Procedia Computer Science","id":"ITEM-3","issued":{"date-parts":[["2017"]]},"note":"In this paper, Authors described the microgrid as systems of system with complex models that exhibits dynamic behaviour.The goal is to develop a diverse and autonomous system consisting of decentralized subsytems that can communicate and transits energy to meet load demand during power outages. Modelling of various elements including battery system, load, photovoltaic system and wind energy system is done. Battery system modelling include calculation of battery capacity(size) in Amp-hour, which is dependent on load, no. of days for which storage required, max depth of discharge and temp correction factor. Dynamics/ uncertainities arised in case of renewable energy integrating and for this reason, charge quantity of storage system is calculates and taken as control input; which is dependent upon self discharge factor, inverter efficiency, battery efficiency and charge quantity at a previous time(t-1). Load Modelling is done stochastically by artificial neural networks. Photovoltaic are modelled using irrdidiance and tilt factors. Solar irridiance is also forecasted using neural networks. For a wind turbine model, height and wind speed are main contributing factors in power output.For wind speeds less than cut in and greater than cut out, power output is zero. For wind speed greater than rated speed and less than cut out, yields rated power and less than rated speed yields a fraction of rated power. Wind speed can be odelled using ARMA(autoregressive moving average), HMM(hidden Markov models) and SVM(Support vector Machine) However, this paper used feedforward neural networks for wind speed.\n70% data is used for training and 30% for testing. Al networks are feedforward trained using back propagation algorithm.For Solar power as 1 output, 12 input neurons and 21 hidden neurons are used. input variables are irridiance, time and temperature.Model was trained using Levenberg-Marquardt backpropagtion algorithm. Load demand network has 15 input neuron, 25 hidden neurons. inputs are power demand, weather and corresponding time. Storage elements were modelled using 6 inputs.12 hidden and 1 output neuron; state of charge of storage element. For variable with two directions such as battery current, activation function is used. Modelling of microgrid with neural networks make it System of Systems with independent sources and can have ability to add extra sources. As a Case Study, Missouri S&amp;amp;T solar village is taken which consists of four solar homes tied to grid. An ideal source with 13.8kV in considered and system is taken as constant load with active and reactive power equal to 1MW and 1kVAR.Distribution transformer is of 50kVA. Battery storage rating is 60kWh, fuel cell 5kW, inverter 50kW and PV panels 2.4kW. Simulation results did not include storage elements and shows system is balanced and voltages are contant and steady and currents are within transformer limits.","page":"392-400","publisher":"Elsevier B.V.","title":"Modeling and Simulation of Microgrid","type":"article-journal","volume":"114"},"uris":["http://www.mendeley.com/documents/?uuid=79100111-8ff8-4246-8228-a046709a5fc0"]},{"id":"ITEM-4","itemData":{"DOI":"10.3390/en10040523","ISSN":"19961073","abstract":"© 2017 by the authors. Licensee MDPI, Basel, Switzerland. The expansion of renewable energies is progressing strongly. The influence on the power supply networks by the variability of the infeed must be met with new concepts. In this paper, we investigate the possibilities of integrating microgrids as a cooperating unit in the power supply network to support further expansion of renewable energy sources (RES) power plants. In this paper, a differentiation of microgrids from similar network structures is established, and a classification of proposed groups is made. Then, after the description of the simulation of the components in a microgrid, with practical advice, an example model is shown, which AIDS the dimensioning of the components within a microgrid to achieve a specified goal.","author":[{"dropping-particle":"","family":"Porsinger","given":"Tobias","non-dropping-particle":"","parse-names":false,"suffix":""},{"dropping-particle":"","family":"Janik","given":"Przemyslaw","non-dropping-particle":"","parse-names":false,"suffix":""},{"dropping-particle":"","family":"Leonowicz","given":"Zbigniew","non-dropping-particle":"","parse-names":false,"suffix":""},{"dropping-particle":"","family":"Gono","given":"Radomir","non-dropping-particle":"","parse-names":false,"suffix":""}],"container-title":"Energies","id":"ITEM-4","issue":"4","issued":{"date-parts":[["2017"]]},"page":"1-22","title":"Modelling and optimization in microgrids","type":"article-journal","volume":"10"},"uris":["http://www.mendeley.com/documents/?uuid=86f4ddc9-b998-4ee6-83aa-4a57fabe6780"]}],"mendeley":{"formattedCitation":"[83–86]","plainTextFormattedCitation":"[83–86]","previouslyFormattedCitation":"[83–86]"},"properties":{"noteIndex":0},"schema":"https://github.com/citation-style-language/schema/raw/master/csl-citation.json"}</w:instrText>
      </w:r>
      <w:r w:rsidR="00E13228" w:rsidRPr="003676D3">
        <w:rPr>
          <w:rFonts w:ascii="Times New Roman" w:hAnsi="Times New Roman" w:cs="Times New Roman"/>
          <w:sz w:val="24"/>
          <w:szCs w:val="24"/>
        </w:rPr>
        <w:fldChar w:fldCharType="separate"/>
      </w:r>
      <w:r w:rsidR="00E13228" w:rsidRPr="003676D3">
        <w:rPr>
          <w:rFonts w:ascii="Times New Roman" w:hAnsi="Times New Roman" w:cs="Times New Roman"/>
          <w:noProof/>
          <w:sz w:val="24"/>
          <w:szCs w:val="24"/>
        </w:rPr>
        <w:t>[83–86]</w:t>
      </w:r>
      <w:r w:rsidR="00E13228" w:rsidRPr="003676D3">
        <w:rPr>
          <w:rFonts w:ascii="Times New Roman" w:hAnsi="Times New Roman" w:cs="Times New Roman"/>
          <w:sz w:val="24"/>
          <w:szCs w:val="24"/>
        </w:rPr>
        <w:fldChar w:fldCharType="end"/>
      </w:r>
      <w:r w:rsidRPr="003676D3">
        <w:rPr>
          <w:rFonts w:ascii="Times New Roman" w:hAnsi="Times New Roman" w:cs="Times New Roman"/>
          <w:sz w:val="24"/>
          <w:szCs w:val="24"/>
        </w:rPr>
        <w:t>, the super smart grids manages the ever-increasing size and complexity of smart grids paired with advanced communication system thereby increasing the reliability</w:t>
      </w:r>
      <w:r w:rsidR="00E13228" w:rsidRPr="003676D3">
        <w:rPr>
          <w:rFonts w:ascii="Times New Roman" w:hAnsi="Times New Roman" w:cs="Times New Roman"/>
          <w:sz w:val="24"/>
          <w:szCs w:val="24"/>
        </w:rPr>
        <w:t xml:space="preserve"> </w:t>
      </w:r>
      <w:r w:rsidR="00E13228" w:rsidRPr="003676D3">
        <w:rPr>
          <w:rFonts w:ascii="Times New Roman" w:hAnsi="Times New Roman" w:cs="Times New Roman"/>
          <w:sz w:val="24"/>
          <w:szCs w:val="24"/>
        </w:rPr>
        <w:fldChar w:fldCharType="begin" w:fldLock="1"/>
      </w:r>
      <w:r w:rsidR="00E13228" w:rsidRPr="003676D3">
        <w:rPr>
          <w:rFonts w:ascii="Times New Roman" w:hAnsi="Times New Roman" w:cs="Times New Roman"/>
          <w:sz w:val="24"/>
          <w:szCs w:val="24"/>
        </w:rPr>
        <w:instrText>ADDIN CSL_CITATION {"citationItems":[{"id":"ITEM-1","itemData":{"author":[{"dropping-particle":"","family":"Cortes","given":"Camilo A","non-dropping-particle":"","parse-names":false,"suffix":""},{"dropping-particle":"","family":"Contreras","given":"Sergio F","non-dropping-particle":"","parse-names":false,"suffix":""},{"dropping-particle":"","family":"Shahidehpour","given":"Mohammad","non-dropping-particle":"","parse-names":false,"suffix":""}],"container-title":"IEEE Transactions on Smart Grid","id":"ITEM-1","issue":"6","issued":{"date-parts":[["2018"]]},"page":"6369-6377","publisher":"IEEE","title":"Microgrid topology planning for enhancing the reliability of active distribution networks","type":"article-journal","volume":"9"},"uris":["http://www.mendeley.com/documents/?uuid=34bfc9af-ce82-4381-9951-16b776bf0d52"]},{"id":"ITEM-2","itemData":{"ISSN":"0885-8950","author":[{"dropping-particle":"","family":"Bie","given":"Zhaohong","non-dropping-particle":"","parse-names":false,"suffix":""},{"dropping-particle":"","family":"Zhang","given":"Peng","non-dropping-particle":"","parse-names":false,"suffix":""},{"dropping-particle":"","family":"Li","given":"Gengfeng","non-dropping-particle":"","parse-names":false,"suffix":""},{"dropping-particle":"","family":"Hua","given":"Bowen","non-dropping-particle":"","parse-names":false,"suffix":""},{"dropping-particle":"","family":"Meehan","given":"Matthew","non-dropping-particle":"","parse-names":false,"suffix":""},{"dropping-particle":"","family":"Wang","given":"Xifan","non-dropping-particle":"","parse-names":false,"suffix":""}],"container-title":"IEEE Transactions on power systems","id":"ITEM-2","issue":"4","issued":{"date-parts":[["2012"]]},"page":"2342-2350","publisher":"IEEE","title":"Reliability evaluation of active distribution systems including microgrids","type":"article-journal","volume":"27"},"uris":["http://www.mendeley.com/documents/?uuid=feb31658-1bba-4139-9db3-e81a5b5a9d4d"]}],"mendeley":{"formattedCitation":"[87,88]","plainTextFormattedCitation":"[87,88]","previouslyFormattedCitation":"[87,88]"},"properties":{"noteIndex":0},"schema":"https://github.com/citation-style-language/schema/raw/master/csl-citation.json"}</w:instrText>
      </w:r>
      <w:r w:rsidR="00E13228" w:rsidRPr="003676D3">
        <w:rPr>
          <w:rFonts w:ascii="Times New Roman" w:hAnsi="Times New Roman" w:cs="Times New Roman"/>
          <w:sz w:val="24"/>
          <w:szCs w:val="24"/>
        </w:rPr>
        <w:fldChar w:fldCharType="separate"/>
      </w:r>
      <w:r w:rsidR="00E13228" w:rsidRPr="003676D3">
        <w:rPr>
          <w:rFonts w:ascii="Times New Roman" w:hAnsi="Times New Roman" w:cs="Times New Roman"/>
          <w:noProof/>
          <w:sz w:val="24"/>
          <w:szCs w:val="24"/>
        </w:rPr>
        <w:t>[87,88]</w:t>
      </w:r>
      <w:r w:rsidR="00E13228"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for the prosumers. </w:t>
      </w:r>
    </w:p>
    <w:p w14:paraId="7DE6B7B6" w14:textId="35A53F36" w:rsidR="002431D5" w:rsidRPr="003676D3" w:rsidRDefault="00CE3ABA"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In true nature, SSG are large-scale smart grids with enhanced automation, even higher computation and complex control strategies.</w:t>
      </w:r>
      <w:r w:rsidR="0036426F" w:rsidRPr="003676D3">
        <w:rPr>
          <w:rFonts w:ascii="Times New Roman" w:hAnsi="Times New Roman" w:cs="Times New Roman"/>
          <w:sz w:val="24"/>
          <w:szCs w:val="24"/>
        </w:rPr>
        <w:t xml:space="preserve"> Connecting</w:t>
      </w:r>
      <w:r w:rsidR="002431D5" w:rsidRPr="003676D3">
        <w:rPr>
          <w:rFonts w:ascii="Times New Roman" w:hAnsi="Times New Roman" w:cs="Times New Roman"/>
          <w:sz w:val="24"/>
          <w:szCs w:val="24"/>
        </w:rPr>
        <w:t xml:space="preserve"> national and regional </w:t>
      </w:r>
      <w:r w:rsidR="0036426F" w:rsidRPr="003676D3">
        <w:rPr>
          <w:rFonts w:ascii="Times New Roman" w:hAnsi="Times New Roman" w:cs="Times New Roman"/>
          <w:sz w:val="24"/>
          <w:szCs w:val="24"/>
        </w:rPr>
        <w:t xml:space="preserve">level </w:t>
      </w:r>
      <w:r w:rsidR="002431D5" w:rsidRPr="003676D3">
        <w:rPr>
          <w:rFonts w:ascii="Times New Roman" w:hAnsi="Times New Roman" w:cs="Times New Roman"/>
          <w:sz w:val="24"/>
          <w:szCs w:val="24"/>
        </w:rPr>
        <w:t>smart grid</w:t>
      </w:r>
      <w:r w:rsidR="0036426F" w:rsidRPr="003676D3">
        <w:rPr>
          <w:rFonts w:ascii="Times New Roman" w:hAnsi="Times New Roman" w:cs="Times New Roman"/>
          <w:sz w:val="24"/>
          <w:szCs w:val="24"/>
        </w:rPr>
        <w:t>s, thereby making SSG could</w:t>
      </w:r>
      <w:r w:rsidR="002431D5" w:rsidRPr="003676D3">
        <w:rPr>
          <w:rFonts w:ascii="Times New Roman" w:hAnsi="Times New Roman" w:cs="Times New Roman"/>
          <w:sz w:val="24"/>
          <w:szCs w:val="24"/>
        </w:rPr>
        <w:t xml:space="preserve"> bring together various stakeholders to facilitate th</w:t>
      </w:r>
      <w:r w:rsidR="0036426F" w:rsidRPr="003676D3">
        <w:rPr>
          <w:rFonts w:ascii="Times New Roman" w:hAnsi="Times New Roman" w:cs="Times New Roman"/>
          <w:sz w:val="24"/>
          <w:szCs w:val="24"/>
        </w:rPr>
        <w:t>is</w:t>
      </w:r>
      <w:r w:rsidR="002431D5" w:rsidRPr="003676D3">
        <w:rPr>
          <w:rFonts w:ascii="Times New Roman" w:hAnsi="Times New Roman" w:cs="Times New Roman"/>
          <w:sz w:val="24"/>
          <w:szCs w:val="24"/>
        </w:rPr>
        <w:t xml:space="preserve"> transition</w:t>
      </w:r>
      <w:r w:rsidR="0036426F" w:rsidRPr="003676D3">
        <w:rPr>
          <w:rFonts w:ascii="Times New Roman" w:hAnsi="Times New Roman" w:cs="Times New Roman"/>
          <w:sz w:val="24"/>
          <w:szCs w:val="24"/>
        </w:rPr>
        <w:t xml:space="preserve"> by making collaborating platforms</w:t>
      </w:r>
      <w:r w:rsidR="002431D5" w:rsidRPr="003676D3">
        <w:rPr>
          <w:rFonts w:ascii="Times New Roman" w:hAnsi="Times New Roman" w:cs="Times New Roman"/>
          <w:sz w:val="24"/>
          <w:szCs w:val="24"/>
        </w:rPr>
        <w:t xml:space="preserve">. </w:t>
      </w:r>
      <w:r w:rsidR="0036426F" w:rsidRPr="003676D3">
        <w:rPr>
          <w:rFonts w:ascii="Times New Roman" w:hAnsi="Times New Roman" w:cs="Times New Roman"/>
          <w:sz w:val="24"/>
          <w:szCs w:val="24"/>
        </w:rPr>
        <w:t>Through which they can</w:t>
      </w:r>
      <w:r w:rsidR="002431D5" w:rsidRPr="003676D3">
        <w:rPr>
          <w:rFonts w:ascii="Times New Roman" w:hAnsi="Times New Roman" w:cs="Times New Roman"/>
          <w:sz w:val="24"/>
          <w:szCs w:val="24"/>
        </w:rPr>
        <w:t xml:space="preserve"> promote collaborative initiatives, </w:t>
      </w:r>
      <w:r w:rsidR="002431D5" w:rsidRPr="003676D3">
        <w:rPr>
          <w:rFonts w:ascii="Times New Roman" w:hAnsi="Times New Roman" w:cs="Times New Roman"/>
          <w:sz w:val="24"/>
          <w:szCs w:val="24"/>
        </w:rPr>
        <w:lastRenderedPageBreak/>
        <w:t xml:space="preserve">share best practices, and exchange </w:t>
      </w:r>
      <w:r w:rsidR="0036426F" w:rsidRPr="003676D3">
        <w:rPr>
          <w:rFonts w:ascii="Times New Roman" w:hAnsi="Times New Roman" w:cs="Times New Roman"/>
          <w:sz w:val="24"/>
          <w:szCs w:val="24"/>
        </w:rPr>
        <w:t xml:space="preserve">the </w:t>
      </w:r>
      <w:r w:rsidR="002431D5" w:rsidRPr="003676D3">
        <w:rPr>
          <w:rFonts w:ascii="Times New Roman" w:hAnsi="Times New Roman" w:cs="Times New Roman"/>
          <w:sz w:val="24"/>
          <w:szCs w:val="24"/>
        </w:rPr>
        <w:t>lessons learned</w:t>
      </w:r>
      <w:r w:rsidR="00A10F90" w:rsidRPr="003676D3">
        <w:rPr>
          <w:rFonts w:ascii="Times New Roman" w:hAnsi="Times New Roman" w:cs="Times New Roman"/>
          <w:sz w:val="24"/>
          <w:szCs w:val="24"/>
        </w:rPr>
        <w:t>. This</w:t>
      </w:r>
      <w:r w:rsidR="0036426F" w:rsidRPr="003676D3">
        <w:rPr>
          <w:rFonts w:ascii="Times New Roman" w:hAnsi="Times New Roman" w:cs="Times New Roman"/>
          <w:sz w:val="24"/>
          <w:szCs w:val="24"/>
        </w:rPr>
        <w:t xml:space="preserve"> </w:t>
      </w:r>
      <w:r w:rsidR="002431D5" w:rsidRPr="003676D3">
        <w:rPr>
          <w:rFonts w:ascii="Times New Roman" w:hAnsi="Times New Roman" w:cs="Times New Roman"/>
          <w:sz w:val="24"/>
          <w:szCs w:val="24"/>
        </w:rPr>
        <w:t>foster</w:t>
      </w:r>
      <w:r w:rsidR="00A10F90" w:rsidRPr="003676D3">
        <w:rPr>
          <w:rFonts w:ascii="Times New Roman" w:hAnsi="Times New Roman" w:cs="Times New Roman"/>
          <w:sz w:val="24"/>
          <w:szCs w:val="24"/>
        </w:rPr>
        <w:t>s</w:t>
      </w:r>
      <w:r w:rsidR="002431D5" w:rsidRPr="003676D3">
        <w:rPr>
          <w:rFonts w:ascii="Times New Roman" w:hAnsi="Times New Roman" w:cs="Times New Roman"/>
          <w:sz w:val="24"/>
          <w:szCs w:val="24"/>
        </w:rPr>
        <w:t xml:space="preserve"> innovation and progress in smart grid technology on both local and national levels</w:t>
      </w:r>
      <w:r w:rsidR="00E13228" w:rsidRPr="003676D3">
        <w:rPr>
          <w:rFonts w:ascii="Times New Roman" w:hAnsi="Times New Roman" w:cs="Times New Roman"/>
          <w:sz w:val="24"/>
          <w:szCs w:val="24"/>
        </w:rPr>
        <w:t xml:space="preserve"> </w:t>
      </w:r>
      <w:r w:rsidR="00E13228" w:rsidRPr="003676D3">
        <w:rPr>
          <w:rFonts w:ascii="Times New Roman" w:hAnsi="Times New Roman" w:cs="Times New Roman"/>
          <w:sz w:val="24"/>
          <w:szCs w:val="24"/>
        </w:rPr>
        <w:fldChar w:fldCharType="begin" w:fldLock="1"/>
      </w:r>
      <w:r w:rsidR="006628AC" w:rsidRPr="003676D3">
        <w:rPr>
          <w:rFonts w:ascii="Times New Roman" w:hAnsi="Times New Roman" w:cs="Times New Roman"/>
          <w:sz w:val="24"/>
          <w:szCs w:val="24"/>
        </w:rPr>
        <w:instrText>ADDIN CSL_CITATION {"citationItems":[{"id":"ITEM-1","itemData":{"DOI":"10.2760/15583","ISBN":"978-92-79-68899-7","ISSN":"1018-5593","author":[{"dropping-particle":"","family":"GANGALE","given":"Flavia","non-dropping-particle":"","parse-names":false,"suffix":""},{"dropping-particle":"","family":"VASILJEVSKA","given":"Julija","non-dropping-particle":"","parse-names":false,"suffix":""},{"dropping-particle":"","family":"COVRIG","given":"Catalin-Felix","non-dropping-particle":"","parse-names":false,"suffix":""},{"dropping-particle":"","family":"MENGOLINI","given":"Anna Maria","non-dropping-particle":"","parse-names":false,"suffix":""},{"dropping-particle":"","family":"FULLI","given":"Gianluca","non-dropping-particle":"","parse-names":false,"suffix":""}],"id":"ITEM-1","issued":{"date-parts":[["0"]]},"title":"Smart grid projects outlook 2017: facts, figures and trends in Europe","type":"article-journal"},"uris":["http://www.mendeley.com/documents/?uuid=80052136-8827-3f68-ab54-d5174523d764"]},{"id":"ITEM-2","itemData":{"author":[{"dropping-particle":"","family":"Arefifar","given":"Seyed Ali","non-dropping-particle":"","parse-names":false,"suffix":""},{"dropping-particle":"","family":"Yasser","given":"A-RI Mohamed","non-dropping-particle":"","parse-names":false,"suffix":""},{"dropping-particle":"","family":"El-Fouly","given":"Tarek H M","non-dropping-particle":"","parse-names":false,"suffix":""}],"container-title":"IEEE Transactions on Smart Grid","id":"ITEM-2","issue":"3","issued":{"date-parts":[["2013"]]},"page":"1567-1575","publisher":"IEEE","title":"Optimum microgrid design for enhancing reliability and supply-security","type":"article-journal","volume":"4"},"uris":["http://www.mendeley.com/documents/?uuid=87ba286a-cc6e-4e93-9a33-576f8b744847"]}],"mendeley":{"formattedCitation":"[78,89]","plainTextFormattedCitation":"[78,89]","previouslyFormattedCitation":"[78,89]"},"properties":{"noteIndex":0},"schema":"https://github.com/citation-style-language/schema/raw/master/csl-citation.json"}</w:instrText>
      </w:r>
      <w:r w:rsidR="00E13228" w:rsidRPr="003676D3">
        <w:rPr>
          <w:rFonts w:ascii="Times New Roman" w:hAnsi="Times New Roman" w:cs="Times New Roman"/>
          <w:sz w:val="24"/>
          <w:szCs w:val="24"/>
        </w:rPr>
        <w:fldChar w:fldCharType="separate"/>
      </w:r>
      <w:r w:rsidR="00E13228" w:rsidRPr="003676D3">
        <w:rPr>
          <w:rFonts w:ascii="Times New Roman" w:hAnsi="Times New Roman" w:cs="Times New Roman"/>
          <w:noProof/>
          <w:sz w:val="24"/>
          <w:szCs w:val="24"/>
        </w:rPr>
        <w:t>[78,89]</w:t>
      </w:r>
      <w:r w:rsidR="00E13228" w:rsidRPr="003676D3">
        <w:rPr>
          <w:rFonts w:ascii="Times New Roman" w:hAnsi="Times New Roman" w:cs="Times New Roman"/>
          <w:sz w:val="24"/>
          <w:szCs w:val="24"/>
        </w:rPr>
        <w:fldChar w:fldCharType="end"/>
      </w:r>
      <w:r w:rsidR="002431D5" w:rsidRPr="003676D3">
        <w:rPr>
          <w:rFonts w:ascii="Times New Roman" w:hAnsi="Times New Roman" w:cs="Times New Roman"/>
          <w:sz w:val="24"/>
          <w:szCs w:val="24"/>
        </w:rPr>
        <w:t xml:space="preserve">. </w:t>
      </w:r>
    </w:p>
    <w:p w14:paraId="7077F4B6" w14:textId="69399771" w:rsidR="00CE6578" w:rsidRPr="003676D3" w:rsidRDefault="00CE6578"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Three principal systems of </w:t>
      </w:r>
      <w:r w:rsidR="00CE3ABA" w:rsidRPr="003676D3">
        <w:rPr>
          <w:rFonts w:ascii="Times New Roman" w:hAnsi="Times New Roman" w:cs="Times New Roman"/>
          <w:sz w:val="24"/>
          <w:szCs w:val="24"/>
        </w:rPr>
        <w:t xml:space="preserve">any </w:t>
      </w:r>
      <w:r w:rsidR="00B76FB3" w:rsidRPr="003676D3">
        <w:rPr>
          <w:rFonts w:ascii="Times New Roman" w:hAnsi="Times New Roman" w:cs="Times New Roman"/>
          <w:sz w:val="24"/>
          <w:szCs w:val="24"/>
        </w:rPr>
        <w:t>SG</w:t>
      </w:r>
      <w:r w:rsidRPr="003676D3">
        <w:rPr>
          <w:rFonts w:ascii="Times New Roman" w:hAnsi="Times New Roman" w:cs="Times New Roman"/>
          <w:sz w:val="24"/>
          <w:szCs w:val="24"/>
        </w:rPr>
        <w:t xml:space="preserve"> are investigated in</w:t>
      </w:r>
      <w:r w:rsidR="006628AC" w:rsidRPr="003676D3">
        <w:rPr>
          <w:rFonts w:ascii="Times New Roman" w:hAnsi="Times New Roman" w:cs="Times New Roman"/>
          <w:sz w:val="24"/>
          <w:szCs w:val="24"/>
        </w:rPr>
        <w:t xml:space="preserve"> </w:t>
      </w:r>
      <w:r w:rsidR="006628AC" w:rsidRPr="003676D3">
        <w:rPr>
          <w:rFonts w:ascii="Times New Roman" w:hAnsi="Times New Roman" w:cs="Times New Roman"/>
          <w:sz w:val="24"/>
          <w:szCs w:val="24"/>
        </w:rPr>
        <w:fldChar w:fldCharType="begin" w:fldLock="1"/>
      </w:r>
      <w:r w:rsidR="006628AC" w:rsidRPr="003676D3">
        <w:rPr>
          <w:rFonts w:ascii="Times New Roman" w:hAnsi="Times New Roman" w:cs="Times New Roman"/>
          <w:sz w:val="24"/>
          <w:szCs w:val="24"/>
        </w:rPr>
        <w:instrText>ADDIN CSL_CITATION {"citationItems":[{"id":"ITEM-1","itemData":{"DOI":"10.1109/SURV.2011.101911.00087","ISSN":"1553-877X","abstract":"The Smart Grid, regarded as the next generation power grid, uses two-way flows of electricity and information to create a widely distributed automated energy delivery network. In this article, we survey the literature till 2011 on the enabling technologies for the Smart Grid. We explore three major systems, namely the smart infrastructure system, the smart management system, and the smart protection system. We also propose possible future directions in each system. Specifically, for the smart infrastructure system, we explore the smart energy subsystem, the smart information subsystem, and the smart communication subsystem. For the smart management system, we explore various management objectives, such as improving energy efficiency, profiling demand, maximizing utility, reducing cost, and controlling emission. We also explore various management methods to achieve these objectives. For the smart protection system, we explore various failure protection mechanisms which improve the reliability of the Smart Grid, and explore the security and privacy issues in the Smart Grid. © 2012 IEEE.","author":[{"dropping-particle":"","family":"Fang","given":"Xi","non-dropping-particle":"","parse-names":false,"suffix":""},{"dropping-particle":"","family":"Misra","given":"Satyajayant","non-dropping-particle":"","parse-names":false,"suffix":""},{"dropping-particle":"","family":"Xue","given":"Guoliang","non-dropping-particle":"","parse-names":false,"suffix":""},{"dropping-particle":"","family":"Yang","given":"Dejun","non-dropping-particle":"","parse-names":false,"suffix":""}],"container-title":"IEEE Communications Surveys and Tutorials","id":"ITEM-1","issue":"4","issued":{"date-parts":[["2012"]]},"page":"944-980","publisher":"Institute of Electrical and Electronics Engineers Inc.","title":"Smart grid - The new and improved power grid: A survey","type":"article-journal","volume":"14"},"uris":["http://www.mendeley.com/documents/?uuid=a43feeae-5983-3a0f-b12f-41fdc3d4bd34"]},{"id":"ITEM-2","itemData":{"DOI":"10.1109/JIOT.2016.2640563","ISSN":"23274662","abstract":"The smart grid, as one of typical applications supported by Internet of Things, denoted as a re-engineering and a modernization of the traditional power grid, aims to provide reliable, secure, and efficient energy transmission and distribution to consumers. How to effectively integrate distributed (renewable) energy resources and storage devices to satisfy the energy service requirements of users, while minimizing the power generation and transmission cost, remains a highly pressing challenge in the smart grid. To address this challenge and assess the effectiveness of integrating distributed energy resources and storage devices, in this paper, we develop a theoretical framework to model and analyze three types of power grid systems: 1) the power grid with only bulk energy generators; 2) the power grid with distributed energy resources; and 3) the power grid with both distributed energy resources and storage devices. Based on the metrics of the power cumulative cost and the service reliability to users, we formally model and analyze the impact of integrating distributed energy resources and storage devices in the power grid. We also use the concept of network calculus, which has been traditionally used for carrying out traffic engineering in computer networks, to derive the bounds of both power supply and user demand to achieve a high service reliability to users. Through an extensive performance evaluation, our evaluation results show that integrating distributed energy resources conjointly with energy storage devices can reduce generation costs, smooth the curve of bulk power generation over time, reduce bulk power generation and power distribution losses, and provide a sustainable service reliability to users in the power grid.","author":[{"dropping-particle":"","family":"Xu","given":"Guobin","non-dropping-particle":"","parse-names":false,"suffix":""},{"dropping-particle":"","family":"Yu","given":"Wei","non-dropping-particle":"","parse-names":false,"suffix":""},{"dropping-particle":"","family":"Griffith","given":"David","non-dropping-particle":"","parse-names":false,"suffix":""},{"dropping-particle":"","family":"Golmie","given":"Nada","non-dropping-particle":"","parse-names":false,"suffix":""},{"dropping-particle":"","family":"Moulema","given":"Paul","non-dropping-particle":"","parse-names":false,"suffix":""}],"container-title":"IEEE Internet of Things Journal","id":"ITEM-2","issue":"1","issued":{"date-parts":[["2017"]]},"page":"192-204","title":"Toward Integrating Distributed Energy Resources and Storage Devices in Smart Grid","type":"article-journal","volume":"4"},"uris":["http://www.mendeley.com/documents/?uuid=58032328-68be-4b1f-9089-f28d89101f40"]},{"id":"ITEM-3","itemData":{"ISBN":"1118978773","author":[{"dropping-particle":"","family":"Keyhani","given":"Ali","non-dropping-particle":"","parse-names":false,"suffix":""}],"id":"ITEM-3","issued":{"date-parts":[["2016"]]},"publisher":"John Wiley &amp; Sons","title":"Design of smart power grid renewable energy systems","type":"book"},"uris":["http://www.mendeley.com/documents/?uuid=0ac0f7e5-e6e8-47ca-bb8e-9a3c7641dbf5"]},{"id":"ITEM-4","itemData":{"ISBN":"1479913030","author":[{"dropping-particle":"","family":"Morais","given":"Hugo","non-dropping-particle":"","parse-names":false,"suffix":""},{"dropping-particle":"","family":"Sousa","given":"Tiago","non-dropping-particle":"","parse-names":false,"suffix":""},{"dropping-particle":"","family":"Faria","given":"Pedro","non-dropping-particle":"","parse-names":false,"suffix":""},{"dropping-particle":"","family":"Vale","given":"Zita","non-dropping-particle":"","parse-names":false,"suffix":""}],"container-title":"2013 IEEE Power &amp; Energy Society General Meeting","id":"ITEM-4","issued":{"date-parts":[["2013"]]},"page":"1-5","publisher":"IEEE","title":"Reactive power management strategies in future smart grids","type":"paper-conference"},"uris":["http://www.mendeley.com/documents/?uuid=915bb2e2-8910-43ae-8354-588e65809bfd"]}],"mendeley":{"formattedCitation":"[90–93]","plainTextFormattedCitation":"[90–93]","previouslyFormattedCitation":"[90–93]"},"properties":{"noteIndex":0},"schema":"https://github.com/citation-style-language/schema/raw/master/csl-citation.json"}</w:instrText>
      </w:r>
      <w:r w:rsidR="006628AC" w:rsidRPr="003676D3">
        <w:rPr>
          <w:rFonts w:ascii="Times New Roman" w:hAnsi="Times New Roman" w:cs="Times New Roman"/>
          <w:sz w:val="24"/>
          <w:szCs w:val="24"/>
        </w:rPr>
        <w:fldChar w:fldCharType="separate"/>
      </w:r>
      <w:r w:rsidR="006628AC" w:rsidRPr="003676D3">
        <w:rPr>
          <w:rFonts w:ascii="Times New Roman" w:hAnsi="Times New Roman" w:cs="Times New Roman"/>
          <w:noProof/>
          <w:sz w:val="24"/>
          <w:szCs w:val="24"/>
        </w:rPr>
        <w:t>[90–93]</w:t>
      </w:r>
      <w:r w:rsidR="006628AC" w:rsidRPr="003676D3">
        <w:rPr>
          <w:rFonts w:ascii="Times New Roman" w:hAnsi="Times New Roman" w:cs="Times New Roman"/>
          <w:sz w:val="24"/>
          <w:szCs w:val="24"/>
        </w:rPr>
        <w:fldChar w:fldCharType="end"/>
      </w:r>
      <w:r w:rsidRPr="003676D3">
        <w:rPr>
          <w:rFonts w:ascii="Times New Roman" w:hAnsi="Times New Roman" w:cs="Times New Roman"/>
          <w:sz w:val="24"/>
          <w:szCs w:val="24"/>
        </w:rPr>
        <w:t>, the smart infrastructure system, the smart management system, and the smart protection system. Within the smart infrastructure system, the study delve into the constituent subsystems including smart energy, smart information, and smart communication. Within the smart management system, diverse management objectives such as enhancing energy efficiency, demand profiling,</w:t>
      </w:r>
      <w:r w:rsidR="006628AC" w:rsidRPr="003676D3">
        <w:rPr>
          <w:rFonts w:ascii="Times New Roman" w:hAnsi="Times New Roman" w:cs="Times New Roman"/>
          <w:sz w:val="24"/>
          <w:szCs w:val="24"/>
        </w:rPr>
        <w:t xml:space="preserve"> load forecasting,</w:t>
      </w:r>
      <w:r w:rsidRPr="003676D3">
        <w:rPr>
          <w:rFonts w:ascii="Times New Roman" w:hAnsi="Times New Roman" w:cs="Times New Roman"/>
          <w:sz w:val="24"/>
          <w:szCs w:val="24"/>
        </w:rPr>
        <w:t xml:space="preserve"> maximizing utility, cost reduction, and emission control, along with corresponding management strategies were analyzed</w:t>
      </w:r>
      <w:r w:rsidR="006628AC" w:rsidRPr="003676D3">
        <w:rPr>
          <w:rFonts w:ascii="Times New Roman" w:hAnsi="Times New Roman" w:cs="Times New Roman"/>
          <w:sz w:val="24"/>
          <w:szCs w:val="24"/>
        </w:rPr>
        <w:t xml:space="preserve"> </w:t>
      </w:r>
      <w:r w:rsidR="006628AC" w:rsidRPr="003676D3">
        <w:rPr>
          <w:rFonts w:ascii="Times New Roman" w:hAnsi="Times New Roman" w:cs="Times New Roman"/>
          <w:sz w:val="24"/>
          <w:szCs w:val="24"/>
        </w:rPr>
        <w:fldChar w:fldCharType="begin" w:fldLock="1"/>
      </w:r>
      <w:r w:rsidR="006628AC" w:rsidRPr="003676D3">
        <w:rPr>
          <w:rFonts w:ascii="Times New Roman" w:hAnsi="Times New Roman" w:cs="Times New Roman"/>
          <w:sz w:val="24"/>
          <w:szCs w:val="24"/>
        </w:rPr>
        <w:instrText>ADDIN CSL_CITATION {"citationItems":[{"id":"ITEM-1","itemData":{"DOI":"10.1109/MIE.2011.942176","ISSN":"19324529","abstract":"The power grid is a massive interconnected network used to deliver electricity from suppliers to consumers and has been a vital energy supply. To minimize the impact of climate change while at the same time maintaining social prosperity, smart energy must be embraced to ensure a balanced economical growth and environmental sustainability. Therefore, in the last few years, the new concept of a smart grid (SG) became a critical enabler in the contemporary world and has attracted increasing attention of policy makers and engineers. This article introduces the main concepts and technological challenges of SGs and presents the authors views on some required challenges and opportunities presented to the IEEE Industrial Electronics Society (IES) in this new and exciting frontier. © 2011 IEEE.","author":[{"dropping-particle":"","family":"Yu","given":"Xinghuo","non-dropping-particle":"","parse-names":false,"suffix":""},{"dropping-particle":"","family":"Cecati","given":"Carlo","non-dropping-particle":"","parse-names":false,"suffix":""},{"dropping-particle":"","family":"Dillon","given":"Tharam","non-dropping-particle":"","parse-names":false,"suffix":""},{"dropping-particle":"","family":"Simes","given":"M. Godoy","non-dropping-particle":"","parse-names":false,"suffix":""}],"container-title":"IEEE Industrial Electronics Magazine","id":"ITEM-1","issue":"3","issued":{"date-parts":[["2011","9"]]},"page":"49-63","title":"The new frontier of smart grids","type":"article-journal","volume":"5"},"uris":["http://www.mendeley.com/documents/?uuid=701bdda0-c453-35a9-8343-67678d7a5dcd"]}],"mendeley":{"formattedCitation":"[94]","plainTextFormattedCitation":"[94]","previouslyFormattedCitation":"[94]"},"properties":{"noteIndex":0},"schema":"https://github.com/citation-style-language/schema/raw/master/csl-citation.json"}</w:instrText>
      </w:r>
      <w:r w:rsidR="006628AC" w:rsidRPr="003676D3">
        <w:rPr>
          <w:rFonts w:ascii="Times New Roman" w:hAnsi="Times New Roman" w:cs="Times New Roman"/>
          <w:sz w:val="24"/>
          <w:szCs w:val="24"/>
        </w:rPr>
        <w:fldChar w:fldCharType="separate"/>
      </w:r>
      <w:r w:rsidR="006628AC" w:rsidRPr="003676D3">
        <w:rPr>
          <w:rFonts w:ascii="Times New Roman" w:hAnsi="Times New Roman" w:cs="Times New Roman"/>
          <w:noProof/>
          <w:sz w:val="24"/>
          <w:szCs w:val="24"/>
        </w:rPr>
        <w:t>[94]</w:t>
      </w:r>
      <w:r w:rsidR="006628AC" w:rsidRPr="003676D3">
        <w:rPr>
          <w:rFonts w:ascii="Times New Roman" w:hAnsi="Times New Roman" w:cs="Times New Roman"/>
          <w:sz w:val="24"/>
          <w:szCs w:val="24"/>
        </w:rPr>
        <w:fldChar w:fldCharType="end"/>
      </w:r>
      <w:r w:rsidR="006628AC" w:rsidRPr="003676D3">
        <w:rPr>
          <w:rFonts w:ascii="Times New Roman" w:hAnsi="Times New Roman" w:cs="Times New Roman"/>
          <w:sz w:val="24"/>
          <w:szCs w:val="24"/>
        </w:rPr>
        <w:fldChar w:fldCharType="begin" w:fldLock="1"/>
      </w:r>
      <w:r w:rsidR="006628AC" w:rsidRPr="003676D3">
        <w:rPr>
          <w:rFonts w:ascii="Times New Roman" w:hAnsi="Times New Roman" w:cs="Times New Roman"/>
          <w:sz w:val="24"/>
          <w:szCs w:val="24"/>
        </w:rPr>
        <w:instrText>ADDIN CSL_CITATION {"citationItems":[{"id":"ITEM-1","itemData":{"DOI":"10.1016/J.ENERGY.2015.04.039","ISSN":"0360-5442","abstract":"Scientific community is currently doing a great effort of research in the area of Smart Grids because energy production, distribution, and consumption play a critical role in the sustainability of the planet. The main challenge lies in intelligently integrating the actions of all users connected to the grid. In this context, electricity load forecasting methodologies is a key component for demand-side management. This research compares the accuracy of different Machine Learning methodologies for the hourly energy forecasting in buildings. The main goal of this work is to demonstrate the performance of these models and their scalability for different consumption profiles. We propose a hybrid methodology that combines feature selection based on entropies with soft computing and machine learning approaches, i.e. Fuzzy Inductive Reasoning, Random Forest and Neural Networks. They are also compared with a traditional statistical technique ARIMA (AutoRegressive Integrated Moving Average). In addition, in contrast to the general approaches where offline modelling takes considerable time, the approaches discussed in this work generate fast and reliable models, with low computational costs. These approaches could be embedded, for instance, in a second generation of smart meters, where they could generate on-site electricity forecasting of the next hours, or even trade the excess of energy.","author":[{"dropping-particle":"","family":"Jurado","given":"Sergio","non-dropping-particle":"","parse-names":false,"suffix":""},{"dropping-particle":"","family":"Nebot","given":"Àngela","non-dropping-particle":"","parse-names":false,"suffix":""},{"dropping-particle":"","family":"Mugica","given":"Fransisco","non-dropping-particle":"","parse-names":false,"suffix":""},{"dropping-particle":"","family":"Avellana","given":"Narcís","non-dropping-particle":"","parse-names":false,"suffix":""}],"container-title":"Energy","id":"ITEM-1","issued":{"date-parts":[["2015","6","15"]]},"page":"276-291","publisher":"Pergamon","title":"Hybrid methodologies for electricity load forecasting: Entropy-based feature selection with machine learning and soft computing techniques","type":"article-journal","volume":"86"},"uris":["http://www.mendeley.com/documents/?uuid=efd045d6-d660-3b47-8653-b5eef82a30fd"]},{"id":"ITEM-2","itemData":{"DOI":"10.1109/TSTE.2011.2161624","ISSN":"19493029","abstract":"The integration of renewable energy systems (RESs) in smart grids (SGs) is a challenging task, mainly due to the intermittent and unpredictable nature of the sources, typically wind or sun. Another issue concerns the way to support the consumers' participation in the electricity market aiming at minimizing the costs of the global energy consumption. This paper proposes an energy management system (EMS) aiming at optimizing the SG's operation. The EMS behaves as a sort of aggregator of distributed energy resources allowing the SG to participate in the open market. By integrating demand side management (DSM) and active management schemes (AMS), it allows a better exploitation of renewable energy sources and a reduction of the customers' energy consumption costs with both economic and environmental benefits. It can also improve the grid resilience and flexibility through the active participation of distribution system operators (DSOs) and electricity supply/demand that, according to their preferences and costs, respond to real-time price signals using market processes. The efficiency of the proposed EMS is verified on a 23-bus 11-kV distribution network.","author":[{"dropping-particle":"","family":"Cecati","given":"Carlo","non-dropping-particle":"","parse-names":false,"suffix":""},{"dropping-particle":"","family":"Citro","given":"Costantino","non-dropping-particle":"","parse-names":false,"suffix":""},{"dropping-particle":"","family":"Siano","given":"Pierluigi","non-dropping-particle":"","parse-names":false,"suffix":""}],"container-title":"IEEE Transactions on Sustainable Energy","id":"ITEM-2","issue":"4","issued":{"date-parts":[["2011","10"]]},"page":"468-476","title":"Combined Operations of Renewable Energy Systems and Responsive Demand in a Smart Grid","type":"article-journal","volume":"2"},"uris":["http://www.mendeley.com/documents/?uuid=a5a8e3cc-4691-3c53-bda2-02027802678e"]},{"id":"ITEM-3","itemData":{"DOI":"10.1049/CP.2009.0990","ISBN":"9781849191265","abstract":"In this paper we present a strategic approach for energy management of distributed electric resources in low-voltage networks with special consideration of services for the distribution system operator (DSO). A system comprising Bidirectional Energy Management Interfaces (BEMIs) developed and tested at ISET, carrying out decentralized decisions and grid supervision is introduced. The paper presents operational states and possible applications of the proposed system in the distribution grid as well as a simulation designed for researching the system's behaviour. Finally first results are given on the simulation-based development of an algorithm implementing a new approach for incentive-based voltage control, which is one of the system's advanced applications.","author":[{"dropping-particle":"","family":"Ringelstein","given":"Jan","non-dropping-particle":"","parse-names":false,"suffix":""},{"dropping-particle":"","family":"Nestle","given":"David","non-dropping-particle":"","parse-names":false,"suffix":""}],"container-title":"IET Conference Publications","id":"ITEM-3","issue":"550 CP","issued":{"date-parts":[["2009"]]},"title":"APPLICATION OF BIDIRECTIONAL ENERGY MANAGEMENT INTERFACES FOR DISTRIBUTION GRID SERVICES","type":"article-journal"},"uris":["http://www.mendeley.com/documents/?uuid=2836d292-cd01-32c6-9632-581d91fbdddf"]},{"id":"ITEM-4","itemData":{"DOI":"10.1016/j.scs.2013.11.001","ISSN":"22106707","abstract":"This paper mainly focuses on demand side management and demand response, including drivers and benefits, shiftable load scheduling methods and peak shaving techniques. Demand side management techniques found in literature are overviewed and a novel electricity demand control technique using real-time pricing is proposed. Currently users have no means to change their power consumption to benefit the whole system. The proposed method consists of modern system identification and control that would enable user side load control. This would potentially balance demand side with supply side more effectively and would also reduce peak demand and make the whole system more efficient. © 2013 Elsevier B.V. All rights reserved.","author":[{"dropping-particle":"","family":"Gelazanskas","given":"Linas","non-dropping-particle":"","parse-names":false,"suffix":""},{"dropping-particle":"","family":"Gamage","given":"Kelum A.A.","non-dropping-particle":"","parse-names":false,"suffix":""}],"container-title":"Sustainable Cities and Society","id":"ITEM-4","issued":{"date-parts":[["2014"]]},"page":"22-30","publisher":"Elsevier B.V.","title":"Demand side management in smart grid: A review and proposals for future direction","type":"article-journal","volume":"11"},"uris":["http://www.mendeley.com/documents/?uuid=8fe27c4c-ea66-463c-a930-a033cca4ab0a"]}],"mendeley":{"formattedCitation":"[72,82,84,95]","plainTextFormattedCitation":"[72,82,84,95]","previouslyFormattedCitation":"[72,82,84,95]"},"properties":{"noteIndex":0},"schema":"https://github.com/citation-style-language/schema/raw/master/csl-citation.json"}</w:instrText>
      </w:r>
      <w:r w:rsidR="006628AC" w:rsidRPr="003676D3">
        <w:rPr>
          <w:rFonts w:ascii="Times New Roman" w:hAnsi="Times New Roman" w:cs="Times New Roman"/>
          <w:sz w:val="24"/>
          <w:szCs w:val="24"/>
        </w:rPr>
        <w:fldChar w:fldCharType="separate"/>
      </w:r>
      <w:r w:rsidR="006628AC" w:rsidRPr="003676D3">
        <w:rPr>
          <w:rFonts w:ascii="Times New Roman" w:hAnsi="Times New Roman" w:cs="Times New Roman"/>
          <w:noProof/>
          <w:sz w:val="24"/>
          <w:szCs w:val="24"/>
        </w:rPr>
        <w:t>[72,82,84,95]</w:t>
      </w:r>
      <w:r w:rsidR="006628AC"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Within the smart protection system, various mechanisms </w:t>
      </w:r>
      <w:r w:rsidR="00CD7701" w:rsidRPr="003676D3">
        <w:rPr>
          <w:rFonts w:ascii="Times New Roman" w:hAnsi="Times New Roman" w:cs="Times New Roman"/>
          <w:sz w:val="24"/>
          <w:szCs w:val="24"/>
        </w:rPr>
        <w:t>aimed at enhancing SG</w:t>
      </w:r>
      <w:r w:rsidRPr="003676D3">
        <w:rPr>
          <w:rFonts w:ascii="Times New Roman" w:hAnsi="Times New Roman" w:cs="Times New Roman"/>
          <w:sz w:val="24"/>
          <w:szCs w:val="24"/>
        </w:rPr>
        <w:t xml:space="preserve"> reliability, as well as the privacy</w:t>
      </w:r>
      <w:r w:rsidR="00CD7701" w:rsidRPr="003676D3">
        <w:rPr>
          <w:rFonts w:ascii="Times New Roman" w:hAnsi="Times New Roman" w:cs="Times New Roman"/>
          <w:sz w:val="24"/>
          <w:szCs w:val="24"/>
        </w:rPr>
        <w:t xml:space="preserve"> and security</w:t>
      </w:r>
      <w:r w:rsidRPr="003676D3">
        <w:rPr>
          <w:rFonts w:ascii="Times New Roman" w:hAnsi="Times New Roman" w:cs="Times New Roman"/>
          <w:sz w:val="24"/>
          <w:szCs w:val="24"/>
        </w:rPr>
        <w:t xml:space="preserve"> concerns </w:t>
      </w:r>
      <w:r w:rsidR="00EC0D66" w:rsidRPr="003676D3">
        <w:rPr>
          <w:rFonts w:ascii="Times New Roman" w:hAnsi="Times New Roman" w:cs="Times New Roman"/>
          <w:sz w:val="24"/>
          <w:szCs w:val="24"/>
        </w:rPr>
        <w:t>associated in</w:t>
      </w:r>
      <w:r w:rsidRPr="003676D3">
        <w:rPr>
          <w:rFonts w:ascii="Times New Roman" w:hAnsi="Times New Roman" w:cs="Times New Roman"/>
          <w:sz w:val="24"/>
          <w:szCs w:val="24"/>
        </w:rPr>
        <w:t xml:space="preserve"> </w:t>
      </w:r>
      <w:r w:rsidR="00CD7701" w:rsidRPr="003676D3">
        <w:rPr>
          <w:rFonts w:ascii="Times New Roman" w:hAnsi="Times New Roman" w:cs="Times New Roman"/>
          <w:sz w:val="24"/>
          <w:szCs w:val="24"/>
        </w:rPr>
        <w:t>SG</w:t>
      </w:r>
      <w:r w:rsidRPr="003676D3">
        <w:rPr>
          <w:rFonts w:ascii="Times New Roman" w:hAnsi="Times New Roman" w:cs="Times New Roman"/>
          <w:sz w:val="24"/>
          <w:szCs w:val="24"/>
        </w:rPr>
        <w:t xml:space="preserve"> operations were </w:t>
      </w:r>
      <w:r w:rsidR="00940258" w:rsidRPr="003676D3">
        <w:rPr>
          <w:rFonts w:ascii="Times New Roman" w:hAnsi="Times New Roman" w:cs="Times New Roman"/>
          <w:sz w:val="24"/>
          <w:szCs w:val="24"/>
        </w:rPr>
        <w:t>reviewed</w:t>
      </w:r>
      <w:r w:rsidRPr="003676D3">
        <w:rPr>
          <w:rFonts w:ascii="Times New Roman" w:hAnsi="Times New Roman" w:cs="Times New Roman"/>
          <w:sz w:val="24"/>
          <w:szCs w:val="24"/>
        </w:rPr>
        <w:t>.</w:t>
      </w:r>
    </w:p>
    <w:p w14:paraId="6E36FB54" w14:textId="349B5ABC" w:rsidR="00CE6578" w:rsidRPr="003676D3" w:rsidRDefault="00CE3ABA"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SSGs</w:t>
      </w:r>
      <w:r w:rsidR="00CE6578" w:rsidRPr="003676D3">
        <w:rPr>
          <w:rFonts w:ascii="Times New Roman" w:hAnsi="Times New Roman" w:cs="Times New Roman"/>
          <w:sz w:val="24"/>
          <w:szCs w:val="24"/>
        </w:rPr>
        <w:t xml:space="preserve"> accelerate the </w:t>
      </w:r>
      <w:r w:rsidR="00EC0D66" w:rsidRPr="003676D3">
        <w:rPr>
          <w:rFonts w:ascii="Times New Roman" w:hAnsi="Times New Roman" w:cs="Times New Roman"/>
          <w:sz w:val="24"/>
          <w:szCs w:val="24"/>
        </w:rPr>
        <w:t>unbundling</w:t>
      </w:r>
      <w:r w:rsidR="00CD7701" w:rsidRPr="003676D3">
        <w:rPr>
          <w:rFonts w:ascii="Times New Roman" w:hAnsi="Times New Roman" w:cs="Times New Roman"/>
          <w:sz w:val="24"/>
          <w:szCs w:val="24"/>
        </w:rPr>
        <w:t xml:space="preserve"> process in the power</w:t>
      </w:r>
      <w:r w:rsidR="00CE6578" w:rsidRPr="003676D3">
        <w:rPr>
          <w:rFonts w:ascii="Times New Roman" w:hAnsi="Times New Roman" w:cs="Times New Roman"/>
          <w:sz w:val="24"/>
          <w:szCs w:val="24"/>
        </w:rPr>
        <w:t xml:space="preserve"> sector, grow energy efficiency, and save money in electricity consumption, benefiting economic development and energy security in Europe</w:t>
      </w:r>
      <w:r w:rsidR="006628AC" w:rsidRPr="003676D3">
        <w:rPr>
          <w:rFonts w:ascii="Times New Roman" w:hAnsi="Times New Roman" w:cs="Times New Roman"/>
          <w:sz w:val="24"/>
          <w:szCs w:val="24"/>
        </w:rPr>
        <w:t xml:space="preserve"> </w:t>
      </w:r>
      <w:r w:rsidR="006628AC" w:rsidRPr="003676D3">
        <w:rPr>
          <w:rFonts w:ascii="Times New Roman" w:hAnsi="Times New Roman" w:cs="Times New Roman"/>
          <w:sz w:val="24"/>
          <w:szCs w:val="24"/>
        </w:rPr>
        <w:fldChar w:fldCharType="begin" w:fldLock="1"/>
      </w:r>
      <w:r w:rsidR="006628AC" w:rsidRPr="003676D3">
        <w:rPr>
          <w:rFonts w:ascii="Times New Roman" w:hAnsi="Times New Roman" w:cs="Times New Roman"/>
          <w:sz w:val="24"/>
          <w:szCs w:val="24"/>
        </w:rPr>
        <w:instrText>ADDIN CSL_CITATION {"citationItems":[{"id":"ITEM-1","itemData":{"DOI":"10.2478/FMAN-2013-0009","ISSN":"2300-5661","abstract":"Article aims to present the technological innovation - Smart Grids in the process of maintaining Europ's energy security, competitiveness of economy and environmental protection. Innovative intelligent networks are the solution to accelerate the liberalization process of the energy sector, and also to grow energy efficiency and savings in the consumption of electricity. Management of energy production and efficient planning of consumption will bring benefits for the economic development. Technology of smart grids will change in the future the structure of the supply of energy towards a decentralization system. This article consist of three main parts, the first concerns the analysis of energy policy in Europe with the most significant factors that shape this policy, the seconde part concerns the presentation of the smart grids solutions essence for electricity and the benefits generated by the process of implementing in the energy system. The third part is devoted to European and Polish projects in the subject of smart meters. © 2012, Versita. All rights reserved.","author":[{"dropping-particle":"","family":"Ludynia","given":"Anna","non-dropping-particle":"","parse-names":false,"suffix":""}],"container-title":"Foundations of Management","id":"ITEM-1","issue":"2","issued":{"date-parts":[["2012"]]},"page":"37-50","publisher":"Sciendo","title":"Smart Grids in the Process of Building a Competitive Economy and Energy Security in Europe","type":"article-journal","volume":"4"},"uris":["http://www.mendeley.com/documents/?uuid=d92bd437-3d54-3adc-925c-2e853c23827e"]}],"mendeley":{"formattedCitation":"[96]","plainTextFormattedCitation":"[96]","previouslyFormattedCitation":"[96]"},"properties":{"noteIndex":0},"schema":"https://github.com/citation-style-language/schema/raw/master/csl-citation.json"}</w:instrText>
      </w:r>
      <w:r w:rsidR="006628AC" w:rsidRPr="003676D3">
        <w:rPr>
          <w:rFonts w:ascii="Times New Roman" w:hAnsi="Times New Roman" w:cs="Times New Roman"/>
          <w:sz w:val="24"/>
          <w:szCs w:val="24"/>
        </w:rPr>
        <w:fldChar w:fldCharType="separate"/>
      </w:r>
      <w:r w:rsidR="006628AC" w:rsidRPr="003676D3">
        <w:rPr>
          <w:rFonts w:ascii="Times New Roman" w:hAnsi="Times New Roman" w:cs="Times New Roman"/>
          <w:noProof/>
          <w:sz w:val="24"/>
          <w:szCs w:val="24"/>
        </w:rPr>
        <w:t>[96]</w:t>
      </w:r>
      <w:r w:rsidR="006628AC" w:rsidRPr="003676D3">
        <w:rPr>
          <w:rFonts w:ascii="Times New Roman" w:hAnsi="Times New Roman" w:cs="Times New Roman"/>
          <w:sz w:val="24"/>
          <w:szCs w:val="24"/>
        </w:rPr>
        <w:fldChar w:fldCharType="end"/>
      </w:r>
      <w:r w:rsidR="00CE6578" w:rsidRPr="003676D3">
        <w:rPr>
          <w:rFonts w:ascii="Times New Roman" w:hAnsi="Times New Roman" w:cs="Times New Roman"/>
          <w:sz w:val="24"/>
          <w:szCs w:val="24"/>
        </w:rPr>
        <w:t>.</w:t>
      </w:r>
      <w:r w:rsidR="00CD7701" w:rsidRPr="003676D3">
        <w:rPr>
          <w:rFonts w:ascii="Times New Roman" w:hAnsi="Times New Roman" w:cs="Times New Roman"/>
          <w:sz w:val="24"/>
          <w:szCs w:val="24"/>
        </w:rPr>
        <w:t xml:space="preserve"> SSG</w:t>
      </w:r>
      <w:r w:rsidR="00EB2F53" w:rsidRPr="003676D3">
        <w:rPr>
          <w:rFonts w:ascii="Times New Roman" w:hAnsi="Times New Roman" w:cs="Times New Roman"/>
          <w:sz w:val="24"/>
          <w:szCs w:val="24"/>
        </w:rPr>
        <w:t xml:space="preserve"> and </w:t>
      </w:r>
      <w:r w:rsidR="00CD7701" w:rsidRPr="003676D3">
        <w:rPr>
          <w:rFonts w:ascii="Times New Roman" w:hAnsi="Times New Roman" w:cs="Times New Roman"/>
          <w:sz w:val="24"/>
          <w:szCs w:val="24"/>
        </w:rPr>
        <w:t>SG</w:t>
      </w:r>
      <w:r w:rsidR="00EB2F53" w:rsidRPr="003676D3">
        <w:rPr>
          <w:rFonts w:ascii="Times New Roman" w:hAnsi="Times New Roman" w:cs="Times New Roman"/>
          <w:sz w:val="24"/>
          <w:szCs w:val="24"/>
        </w:rPr>
        <w:t xml:space="preserve"> allow electricity</w:t>
      </w:r>
      <w:r w:rsidR="00CD7701" w:rsidRPr="003676D3">
        <w:rPr>
          <w:rFonts w:ascii="Times New Roman" w:hAnsi="Times New Roman" w:cs="Times New Roman"/>
          <w:sz w:val="24"/>
          <w:szCs w:val="24"/>
        </w:rPr>
        <w:t xml:space="preserve"> buying and selling (exchange)</w:t>
      </w:r>
      <w:r w:rsidR="00EB2F53" w:rsidRPr="003676D3">
        <w:rPr>
          <w:rFonts w:ascii="Times New Roman" w:hAnsi="Times New Roman" w:cs="Times New Roman"/>
          <w:sz w:val="24"/>
          <w:szCs w:val="24"/>
        </w:rPr>
        <w:t xml:space="preserve"> generated by large scale concentrated solar power plants, and can reduce cl</w:t>
      </w:r>
      <w:r w:rsidR="00397923" w:rsidRPr="003676D3">
        <w:rPr>
          <w:rFonts w:ascii="Times New Roman" w:hAnsi="Times New Roman" w:cs="Times New Roman"/>
          <w:sz w:val="24"/>
          <w:szCs w:val="24"/>
        </w:rPr>
        <w:t>imate policy costs by up to</w:t>
      </w:r>
      <w:r w:rsidR="00EB2F53" w:rsidRPr="003676D3">
        <w:rPr>
          <w:rFonts w:ascii="Times New Roman" w:hAnsi="Times New Roman" w:cs="Times New Roman"/>
          <w:sz w:val="24"/>
          <w:szCs w:val="24"/>
        </w:rPr>
        <w:t xml:space="preserve"> 34%, and 24%, </w:t>
      </w:r>
      <w:r w:rsidR="00397923" w:rsidRPr="003676D3">
        <w:rPr>
          <w:rFonts w:ascii="Times New Roman" w:hAnsi="Times New Roman" w:cs="Times New Roman"/>
          <w:sz w:val="24"/>
          <w:szCs w:val="24"/>
        </w:rPr>
        <w:t xml:space="preserve">for Western Europe and Eastern Europe </w:t>
      </w:r>
      <w:r w:rsidR="00EB2F53" w:rsidRPr="003676D3">
        <w:rPr>
          <w:rFonts w:ascii="Times New Roman" w:hAnsi="Times New Roman" w:cs="Times New Roman"/>
          <w:sz w:val="24"/>
          <w:szCs w:val="24"/>
        </w:rPr>
        <w:t>respectively</w:t>
      </w:r>
      <w:r w:rsidR="006628AC" w:rsidRPr="003676D3">
        <w:rPr>
          <w:rFonts w:ascii="Times New Roman" w:hAnsi="Times New Roman" w:cs="Times New Roman"/>
          <w:sz w:val="24"/>
          <w:szCs w:val="24"/>
        </w:rPr>
        <w:t xml:space="preserve"> </w:t>
      </w:r>
      <w:r w:rsidR="006628AC" w:rsidRPr="003676D3">
        <w:rPr>
          <w:rFonts w:ascii="Times New Roman" w:hAnsi="Times New Roman" w:cs="Times New Roman"/>
          <w:sz w:val="24"/>
          <w:szCs w:val="24"/>
        </w:rPr>
        <w:fldChar w:fldCharType="begin" w:fldLock="1"/>
      </w:r>
      <w:r w:rsidR="006628AC" w:rsidRPr="003676D3">
        <w:rPr>
          <w:rFonts w:ascii="Times New Roman" w:hAnsi="Times New Roman" w:cs="Times New Roman"/>
          <w:sz w:val="24"/>
          <w:szCs w:val="24"/>
        </w:rPr>
        <w:instrText>ADDIN CSL_CITATION {"citationItems":[{"id":"ITEM-1","itemData":{"DOI":"10.2139/SSRN.2340415","abstract":"We assess the optimality of investments in power grid innovation, under both technological options of Super and Smart Grids, using the WITCH model in the version that includes Super-Grids. Super Grids allow producing and trading of electricity generated by large scale concentrated solar power (CSP) plants in highly productive areas that are connected to the demand centres through High Voltage Direct Current (HVDC) cables. We extend the model to include also Smart-Grids that allow: i) to increase the share of renewable power manageable by the power network, ii) to reduce the costs of customer relationships via Smart Meters; iii) residential consumer to generate electricity via micro-photovoltaic plants, and iv) residential consumer to generate virtual electricity via consumption management. We find that it becomes optimal to invest in grid innovation, in order to start gaining the management benefits and taking advantage of consumer generating opportunities (of electricity and “nega-watts”), starting in 2010 and to exploit the increased possible penetration of renewable energy sources from 2035. Long-distance CSP generation becomes optimal only from 2040, and trade from 2050; but it reaches very high shares in the second half of the century, especially when penetration limits are imposed on nuclear power and on carbon capture and storage operations (CCS). On the whole, climate policy costs can be reduced by large percentages, up to 48%, 34%, 24% for the USA, Western Europe, Eastern Europe, respectively, with respect to corresponding scenarios without the grid innovation via Super and Smart Grid option and with limits on nuclear power, CCS, and CSP import. The analysis is then extended to compare these options considering, at least qualitatively, the differentiated impacts on the environment, technology, organization, society, local and national economies and geopolitics.","author":[{"dropping-particle":"","family":"Ricci","given":"Elena Claire","non-dropping-particle":"","parse-names":false,"suffix":""}],"container-title":"SSRN Electronic Journal","id":"ITEM-1","issued":{"date-parts":[["2013","10","23"]]},"publisher":"Elsevier BV","title":"An Integrated Assessment of Super &amp; Smart Grids","type":"article-journal"},"uris":["http://www.mendeley.com/documents/?uuid=ebe5e5fc-bd41-34fc-b0d6-7e8aec626924"]}],"mendeley":{"formattedCitation":"[97]","plainTextFormattedCitation":"[97]","previouslyFormattedCitation":"[97]"},"properties":{"noteIndex":0},"schema":"https://github.com/citation-style-language/schema/raw/master/csl-citation.json"}</w:instrText>
      </w:r>
      <w:r w:rsidR="006628AC" w:rsidRPr="003676D3">
        <w:rPr>
          <w:rFonts w:ascii="Times New Roman" w:hAnsi="Times New Roman" w:cs="Times New Roman"/>
          <w:sz w:val="24"/>
          <w:szCs w:val="24"/>
        </w:rPr>
        <w:fldChar w:fldCharType="separate"/>
      </w:r>
      <w:r w:rsidR="006628AC" w:rsidRPr="003676D3">
        <w:rPr>
          <w:rFonts w:ascii="Times New Roman" w:hAnsi="Times New Roman" w:cs="Times New Roman"/>
          <w:noProof/>
          <w:sz w:val="24"/>
          <w:szCs w:val="24"/>
        </w:rPr>
        <w:t>[97]</w:t>
      </w:r>
      <w:r w:rsidR="006628AC" w:rsidRPr="003676D3">
        <w:rPr>
          <w:rFonts w:ascii="Times New Roman" w:hAnsi="Times New Roman" w:cs="Times New Roman"/>
          <w:sz w:val="24"/>
          <w:szCs w:val="24"/>
        </w:rPr>
        <w:fldChar w:fldCharType="end"/>
      </w:r>
      <w:r w:rsidR="00397923" w:rsidRPr="003676D3">
        <w:rPr>
          <w:rFonts w:ascii="Times New Roman" w:hAnsi="Times New Roman" w:cs="Times New Roman"/>
          <w:sz w:val="24"/>
          <w:szCs w:val="24"/>
        </w:rPr>
        <w:t>, calculated through WITCH model</w:t>
      </w:r>
      <w:r w:rsidR="00EB2F53" w:rsidRPr="003676D3">
        <w:rPr>
          <w:rFonts w:ascii="Times New Roman" w:hAnsi="Times New Roman" w:cs="Times New Roman"/>
          <w:sz w:val="24"/>
          <w:szCs w:val="24"/>
        </w:rPr>
        <w:t>.</w:t>
      </w:r>
    </w:p>
    <w:p w14:paraId="7BD8F814" w14:textId="5C7BFAA5" w:rsidR="00CE6578" w:rsidRPr="003676D3" w:rsidRDefault="00CE6578"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The Dual-Primal Distributed (DPDA) </w:t>
      </w:r>
      <w:r w:rsidR="00A10F90" w:rsidRPr="003676D3">
        <w:rPr>
          <w:rFonts w:ascii="Times New Roman" w:hAnsi="Times New Roman" w:cs="Times New Roman"/>
          <w:sz w:val="24"/>
          <w:szCs w:val="24"/>
        </w:rPr>
        <w:t xml:space="preserve">is an efficient algorithm </w:t>
      </w:r>
      <w:r w:rsidRPr="003676D3">
        <w:rPr>
          <w:rFonts w:ascii="Times New Roman" w:hAnsi="Times New Roman" w:cs="Times New Roman"/>
          <w:sz w:val="24"/>
          <w:szCs w:val="24"/>
        </w:rPr>
        <w:t>with a network-independent step</w:t>
      </w:r>
      <w:r w:rsidR="00940258" w:rsidRPr="003676D3">
        <w:rPr>
          <w:rFonts w:ascii="Times New Roman" w:hAnsi="Times New Roman" w:cs="Times New Roman"/>
          <w:sz w:val="24"/>
          <w:szCs w:val="24"/>
        </w:rPr>
        <w:t>-</w:t>
      </w:r>
      <w:r w:rsidRPr="003676D3">
        <w:rPr>
          <w:rFonts w:ascii="Times New Roman" w:hAnsi="Times New Roman" w:cs="Times New Roman"/>
          <w:sz w:val="24"/>
          <w:szCs w:val="24"/>
        </w:rPr>
        <w:t>size</w:t>
      </w:r>
      <w:r w:rsidR="00A10F90" w:rsidRPr="003676D3">
        <w:rPr>
          <w:rFonts w:ascii="Times New Roman" w:hAnsi="Times New Roman" w:cs="Times New Roman"/>
          <w:sz w:val="24"/>
          <w:szCs w:val="24"/>
        </w:rPr>
        <w:t xml:space="preserve"> that can manage energy in smart grids. This results in</w:t>
      </w:r>
      <w:r w:rsidRPr="003676D3">
        <w:rPr>
          <w:rFonts w:ascii="Times New Roman" w:hAnsi="Times New Roman" w:cs="Times New Roman"/>
          <w:sz w:val="24"/>
          <w:szCs w:val="24"/>
        </w:rPr>
        <w:t xml:space="preserve"> faster convergence and </w:t>
      </w:r>
      <w:r w:rsidR="00DB4A86" w:rsidRPr="003676D3">
        <w:rPr>
          <w:rFonts w:ascii="Times New Roman" w:hAnsi="Times New Roman" w:cs="Times New Roman"/>
          <w:sz w:val="24"/>
          <w:szCs w:val="24"/>
        </w:rPr>
        <w:t xml:space="preserve">a </w:t>
      </w:r>
      <w:r w:rsidR="00A10F90" w:rsidRPr="003676D3">
        <w:rPr>
          <w:rFonts w:ascii="Times New Roman" w:hAnsi="Times New Roman" w:cs="Times New Roman"/>
          <w:sz w:val="24"/>
          <w:szCs w:val="24"/>
        </w:rPr>
        <w:t>low</w:t>
      </w:r>
      <w:r w:rsidRPr="003676D3">
        <w:rPr>
          <w:rFonts w:ascii="Times New Roman" w:hAnsi="Times New Roman" w:cs="Times New Roman"/>
          <w:sz w:val="24"/>
          <w:szCs w:val="24"/>
        </w:rPr>
        <w:t xml:space="preserve"> gradient information exchange</w:t>
      </w:r>
      <w:r w:rsidR="006628AC" w:rsidRPr="003676D3">
        <w:rPr>
          <w:rFonts w:ascii="Times New Roman" w:hAnsi="Times New Roman" w:cs="Times New Roman"/>
          <w:sz w:val="24"/>
          <w:szCs w:val="24"/>
        </w:rPr>
        <w:t xml:space="preserve"> </w:t>
      </w:r>
      <w:r w:rsidR="006628AC" w:rsidRPr="003676D3">
        <w:rPr>
          <w:rFonts w:ascii="Times New Roman" w:hAnsi="Times New Roman" w:cs="Times New Roman"/>
          <w:sz w:val="24"/>
          <w:szCs w:val="24"/>
        </w:rPr>
        <w:fldChar w:fldCharType="begin" w:fldLock="1"/>
      </w:r>
      <w:r w:rsidR="006628AC" w:rsidRPr="003676D3">
        <w:rPr>
          <w:rFonts w:ascii="Times New Roman" w:hAnsi="Times New Roman" w:cs="Times New Roman"/>
          <w:sz w:val="24"/>
          <w:szCs w:val="24"/>
        </w:rPr>
        <w:instrText>ADDIN CSL_CITATION {"citationItems":[{"id":"ITEM-1","itemData":{"DOI":"10.1109/ICIST59754.2023.10367147","ISBN":"9798350313925","abstract":"We propose a novel distributed algorithm, Dual-Primal Distributed Algorithm (DPDA), designed to achieve optimal energy management for supply-demand balance in a smart grid. For DPDA, a fixed and network-independent stepsize β &gt; 0 is used, which is sufficient to guarantee its convergence. Distinct from existing algorithms, each smart device does not need to access and exchange gradient information at each round of iteration. Furthermore, with general convexity, an o(1/k) convergence rate of DPDA is established, which is faster than O(1/k) rate.","author":[{"dropping-particle":"","family":"Guo","given":"Luyao","non-dropping-particle":"","parse-names":false,"suffix":""},{"dropping-particle":"","family":"Shi","given":"Xinli","non-dropping-particle":"","parse-names":false,"suffix":""},{"dropping-particle":"","family":"Zhou","given":"Yuan","non-dropping-particle":"","parse-names":false,"suffix":""},{"dropping-particle":"","family":"Cao","given":"Jinde","non-dropping-particle":"","parse-names":false,"suffix":""}],"container-title":"International Conference on Information and Software Technologies","id":"ITEM-1","issued":{"date-parts":[["2023"]]},"page":"424-431","publisher":"Institute of Electrical and Electronics Engineers Inc.","title":"A Distributed Algorithm for Optimal Energy Management With Network-Independent Stepsize","type":"article-journal"},"uris":["http://www.mendeley.com/documents/?uuid=41d935fe-d0fd-3d2a-b422-9338deac79d3"]}],"mendeley":{"formattedCitation":"[98]","plainTextFormattedCitation":"[98]","previouslyFormattedCitation":"[98]"},"properties":{"noteIndex":0},"schema":"https://github.com/citation-style-language/schema/raw/master/csl-citation.json"}</w:instrText>
      </w:r>
      <w:r w:rsidR="006628AC" w:rsidRPr="003676D3">
        <w:rPr>
          <w:rFonts w:ascii="Times New Roman" w:hAnsi="Times New Roman" w:cs="Times New Roman"/>
          <w:sz w:val="24"/>
          <w:szCs w:val="24"/>
        </w:rPr>
        <w:fldChar w:fldCharType="separate"/>
      </w:r>
      <w:r w:rsidR="006628AC" w:rsidRPr="003676D3">
        <w:rPr>
          <w:rFonts w:ascii="Times New Roman" w:hAnsi="Times New Roman" w:cs="Times New Roman"/>
          <w:noProof/>
          <w:sz w:val="24"/>
          <w:szCs w:val="24"/>
        </w:rPr>
        <w:t>[98]</w:t>
      </w:r>
      <w:r w:rsidR="006628AC"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w:t>
      </w:r>
      <w:r w:rsidR="00DB4A86" w:rsidRPr="003676D3">
        <w:rPr>
          <w:rFonts w:ascii="Times New Roman" w:hAnsi="Times New Roman" w:cs="Times New Roman"/>
          <w:sz w:val="24"/>
          <w:szCs w:val="24"/>
        </w:rPr>
        <w:t>To ensure the security of energy transaction while energy trading</w:t>
      </w:r>
      <w:r w:rsidR="00CD7701" w:rsidRPr="003676D3">
        <w:rPr>
          <w:rFonts w:ascii="Times New Roman" w:hAnsi="Times New Roman" w:cs="Times New Roman"/>
          <w:sz w:val="24"/>
          <w:szCs w:val="24"/>
        </w:rPr>
        <w:t xml:space="preserve"> in decentralized SG</w:t>
      </w:r>
      <w:r w:rsidRPr="003676D3">
        <w:rPr>
          <w:rFonts w:ascii="Times New Roman" w:hAnsi="Times New Roman" w:cs="Times New Roman"/>
          <w:sz w:val="24"/>
          <w:szCs w:val="24"/>
        </w:rPr>
        <w:t xml:space="preserve"> was explored in</w:t>
      </w:r>
      <w:r w:rsidR="006628AC" w:rsidRPr="003676D3">
        <w:rPr>
          <w:rFonts w:ascii="Times New Roman" w:hAnsi="Times New Roman" w:cs="Times New Roman"/>
          <w:sz w:val="24"/>
          <w:szCs w:val="24"/>
        </w:rPr>
        <w:t xml:space="preserve"> </w:t>
      </w:r>
      <w:r w:rsidR="006628AC" w:rsidRPr="003676D3">
        <w:rPr>
          <w:rFonts w:ascii="Times New Roman" w:hAnsi="Times New Roman" w:cs="Times New Roman"/>
          <w:sz w:val="24"/>
          <w:szCs w:val="24"/>
        </w:rPr>
        <w:fldChar w:fldCharType="begin" w:fldLock="1"/>
      </w:r>
      <w:r w:rsidR="006628AC" w:rsidRPr="003676D3">
        <w:rPr>
          <w:rFonts w:ascii="Times New Roman" w:hAnsi="Times New Roman" w:cs="Times New Roman"/>
          <w:sz w:val="24"/>
          <w:szCs w:val="24"/>
        </w:rPr>
        <w:instrText>ADDIN CSL_CITATION {"citationItems":[{"id":"ITEM-1","itemData":{"DOI":"10.1109/TDSC.2016.2616861","ISSN":"19410018","abstract":"Smart grids equipped with bi-directional communication flow are expected to provide more sophisticated consumption monitoring and energy trading. However, the issues related to the security and privacy of consumption and trading data present serious challenges. In this paper we address the problem of providing transaction security in decentralized smart grid energy trading without reliance on trusted third parties. We have implemented a proof-of-concept for decentralized energy trading system using blockchain technology, multi-signatures, and anonymous encrypted messaging streams, enabling peers to anonymously negotiate energy prices and securely perform trading transactions. We conducted case studies to perform security analysis and performance evaluation within the context of the elicited security and privacy requirements.","author":[{"dropping-particle":"","family":"Aitzhan","given":"Nurzhan Zhumabekuly","non-dropping-particle":"","parse-names":false,"suffix":""},{"dropping-particle":"","family":"Svetinovic","given":"Davor","non-dropping-particle":"","parse-names":false,"suffix":""}],"container-title":"IEEE Transactions on Dependable and Secure Computing","id":"ITEM-1","issue":"5","issued":{"date-parts":[["2018","9","1"]]},"page":"840-852","publisher":"Institute of Electrical and Electronics Engineers Inc.","title":"Security and Privacy in Decentralized Energy Trading Through Multi-Signatures, Blockchain and Anonymous Messaging Streams","type":"article-journal","volume":"15"},"uris":["http://www.mendeley.com/documents/?uuid=83f78094-f292-3c23-9d66-7718ac48d066"]}],"mendeley":{"formattedCitation":"[99]","plainTextFormattedCitation":"[99]","previouslyFormattedCitation":"[99]"},"properties":{"noteIndex":0},"schema":"https://github.com/citation-style-language/schema/raw/master/csl-citation.json"}</w:instrText>
      </w:r>
      <w:r w:rsidR="006628AC" w:rsidRPr="003676D3">
        <w:rPr>
          <w:rFonts w:ascii="Times New Roman" w:hAnsi="Times New Roman" w:cs="Times New Roman"/>
          <w:sz w:val="24"/>
          <w:szCs w:val="24"/>
        </w:rPr>
        <w:fldChar w:fldCharType="separate"/>
      </w:r>
      <w:r w:rsidR="006628AC" w:rsidRPr="003676D3">
        <w:rPr>
          <w:rFonts w:ascii="Times New Roman" w:hAnsi="Times New Roman" w:cs="Times New Roman"/>
          <w:noProof/>
          <w:sz w:val="24"/>
          <w:szCs w:val="24"/>
        </w:rPr>
        <w:t>[99]</w:t>
      </w:r>
      <w:r w:rsidR="006628AC"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without relying on third parties. By leveraging blockchain technology, </w:t>
      </w:r>
      <w:r w:rsidR="00B76FB3" w:rsidRPr="003676D3">
        <w:rPr>
          <w:rFonts w:ascii="Times New Roman" w:hAnsi="Times New Roman" w:cs="Times New Roman"/>
          <w:sz w:val="24"/>
          <w:szCs w:val="24"/>
        </w:rPr>
        <w:t xml:space="preserve">multi-signatures and </w:t>
      </w:r>
      <w:r w:rsidRPr="003676D3">
        <w:rPr>
          <w:rFonts w:ascii="Times New Roman" w:hAnsi="Times New Roman" w:cs="Times New Roman"/>
          <w:sz w:val="24"/>
          <w:szCs w:val="24"/>
        </w:rPr>
        <w:t xml:space="preserve">anonymous encrypted messaging streams, it </w:t>
      </w:r>
      <w:r w:rsidR="004B1918" w:rsidRPr="003676D3">
        <w:rPr>
          <w:rFonts w:ascii="Times New Roman" w:hAnsi="Times New Roman" w:cs="Times New Roman"/>
          <w:sz w:val="24"/>
          <w:szCs w:val="24"/>
        </w:rPr>
        <w:t>presents</w:t>
      </w:r>
      <w:r w:rsidRPr="003676D3">
        <w:rPr>
          <w:rFonts w:ascii="Times New Roman" w:hAnsi="Times New Roman" w:cs="Times New Roman"/>
          <w:sz w:val="24"/>
          <w:szCs w:val="24"/>
        </w:rPr>
        <w:t xml:space="preserve"> a proof-of-co</w:t>
      </w:r>
      <w:r w:rsidR="00CD7701" w:rsidRPr="003676D3">
        <w:rPr>
          <w:rFonts w:ascii="Times New Roman" w:hAnsi="Times New Roman" w:cs="Times New Roman"/>
          <w:sz w:val="24"/>
          <w:szCs w:val="24"/>
        </w:rPr>
        <w:t>ncept for a decentralized power</w:t>
      </w:r>
      <w:r w:rsidRPr="003676D3">
        <w:rPr>
          <w:rFonts w:ascii="Times New Roman" w:hAnsi="Times New Roman" w:cs="Times New Roman"/>
          <w:sz w:val="24"/>
          <w:szCs w:val="24"/>
        </w:rPr>
        <w:t xml:space="preserve"> </w:t>
      </w:r>
      <w:r w:rsidR="00CD7701" w:rsidRPr="003676D3">
        <w:rPr>
          <w:rFonts w:ascii="Times New Roman" w:hAnsi="Times New Roman" w:cs="Times New Roman"/>
          <w:sz w:val="24"/>
          <w:szCs w:val="24"/>
        </w:rPr>
        <w:t>transaction</w:t>
      </w:r>
      <w:r w:rsidRPr="003676D3">
        <w:rPr>
          <w:rFonts w:ascii="Times New Roman" w:hAnsi="Times New Roman" w:cs="Times New Roman"/>
          <w:sz w:val="24"/>
          <w:szCs w:val="24"/>
        </w:rPr>
        <w:t xml:space="preserve"> sys</w:t>
      </w:r>
      <w:r w:rsidR="00CD7701" w:rsidRPr="003676D3">
        <w:rPr>
          <w:rFonts w:ascii="Times New Roman" w:hAnsi="Times New Roman" w:cs="Times New Roman"/>
          <w:sz w:val="24"/>
          <w:szCs w:val="24"/>
        </w:rPr>
        <w:t>tem. This approach enables stakeholders to anonymously negotiate power</w:t>
      </w:r>
      <w:r w:rsidRPr="003676D3">
        <w:rPr>
          <w:rFonts w:ascii="Times New Roman" w:hAnsi="Times New Roman" w:cs="Times New Roman"/>
          <w:sz w:val="24"/>
          <w:szCs w:val="24"/>
        </w:rPr>
        <w:t xml:space="preserve"> prices and securely exec</w:t>
      </w:r>
      <w:r w:rsidR="00B76FB3" w:rsidRPr="003676D3">
        <w:rPr>
          <w:rFonts w:ascii="Times New Roman" w:hAnsi="Times New Roman" w:cs="Times New Roman"/>
          <w:sz w:val="24"/>
          <w:szCs w:val="24"/>
        </w:rPr>
        <w:t>ute energy exchange</w:t>
      </w:r>
      <w:r w:rsidRPr="003676D3">
        <w:rPr>
          <w:rFonts w:ascii="Times New Roman" w:hAnsi="Times New Roman" w:cs="Times New Roman"/>
          <w:sz w:val="24"/>
          <w:szCs w:val="24"/>
        </w:rPr>
        <w:t>, addressing concerns related to the security and pr</w:t>
      </w:r>
      <w:r w:rsidR="00B76FB3" w:rsidRPr="003676D3">
        <w:rPr>
          <w:rFonts w:ascii="Times New Roman" w:hAnsi="Times New Roman" w:cs="Times New Roman"/>
          <w:sz w:val="24"/>
          <w:szCs w:val="24"/>
        </w:rPr>
        <w:t>ivacy of load consumption and energy trading</w:t>
      </w:r>
      <w:r w:rsidRPr="003676D3">
        <w:rPr>
          <w:rFonts w:ascii="Times New Roman" w:hAnsi="Times New Roman" w:cs="Times New Roman"/>
          <w:sz w:val="24"/>
          <w:szCs w:val="24"/>
        </w:rPr>
        <w:t xml:space="preserve"> data. </w:t>
      </w:r>
    </w:p>
    <w:p w14:paraId="3936B7D5" w14:textId="74FE96F4" w:rsidR="00CE6578" w:rsidRPr="003676D3" w:rsidRDefault="00CE6578"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Utilizing mean-var</w:t>
      </w:r>
      <w:r w:rsidR="00B17738" w:rsidRPr="003676D3">
        <w:rPr>
          <w:rFonts w:ascii="Times New Roman" w:hAnsi="Times New Roman" w:cs="Times New Roman"/>
          <w:sz w:val="24"/>
          <w:szCs w:val="24"/>
        </w:rPr>
        <w:t>iance portfolio optimization</w:t>
      </w:r>
      <w:r w:rsidR="006628AC" w:rsidRPr="003676D3">
        <w:rPr>
          <w:rFonts w:ascii="Times New Roman" w:hAnsi="Times New Roman" w:cs="Times New Roman"/>
          <w:sz w:val="24"/>
          <w:szCs w:val="24"/>
        </w:rPr>
        <w:t xml:space="preserve">, </w:t>
      </w:r>
      <w:r w:rsidR="006628AC" w:rsidRPr="003676D3">
        <w:rPr>
          <w:rFonts w:ascii="Times New Roman" w:hAnsi="Times New Roman" w:cs="Times New Roman"/>
          <w:sz w:val="24"/>
          <w:szCs w:val="24"/>
        </w:rPr>
        <w:fldChar w:fldCharType="begin" w:fldLock="1"/>
      </w:r>
      <w:r w:rsidR="006628AC" w:rsidRPr="003676D3">
        <w:rPr>
          <w:rFonts w:ascii="Times New Roman" w:hAnsi="Times New Roman" w:cs="Times New Roman"/>
          <w:sz w:val="24"/>
          <w:szCs w:val="24"/>
        </w:rPr>
        <w:instrText xml:space="preserve">ADDIN CSL_CITATION {"citationItems":[{"id":"ITEM-1","itemData":{"DOI":"10.1088/1748-9326/AA8F18","ISSN":"1748-9326","abstract":"The concept of a European super-grid for electricity presents clear advantages for a reliable and affordable renewable power production (photovoltaics and wind). Based on the mean-variance portfolio optimization analysis, we explore optimal scenarios for the allocation of new renewable capacity at national level in order to provide to energy decision-makers guidance about which regions should be mostly targeted to either maximize total production or reduce its day-to-day variability. The results show that the existing distribution of renewable generation capacity across Europe is far from optimal: i.e. a 'better' spatial distribution of resources could have been achieved with either a </w:instrText>
      </w:r>
      <w:r w:rsidR="006628AC" w:rsidRPr="003676D3">
        <w:rPr>
          <w:rFonts w:ascii="Cambria Math" w:hAnsi="Cambria Math" w:cs="Cambria Math"/>
          <w:sz w:val="24"/>
          <w:szCs w:val="24"/>
        </w:rPr>
        <w:instrText>∼</w:instrText>
      </w:r>
      <w:r w:rsidR="006628AC" w:rsidRPr="003676D3">
        <w:rPr>
          <w:rFonts w:ascii="Times New Roman" w:hAnsi="Times New Roman" w:cs="Times New Roman"/>
          <w:sz w:val="24"/>
          <w:szCs w:val="24"/>
        </w:rPr>
        <w:instrText xml:space="preserve">31% increase in mean power supply (for the same level of day-to-day variability) or a </w:instrText>
      </w:r>
      <w:r w:rsidR="006628AC" w:rsidRPr="003676D3">
        <w:rPr>
          <w:rFonts w:ascii="Cambria Math" w:hAnsi="Cambria Math" w:cs="Cambria Math"/>
          <w:sz w:val="24"/>
          <w:szCs w:val="24"/>
        </w:rPr>
        <w:instrText>∼</w:instrText>
      </w:r>
      <w:r w:rsidR="006628AC" w:rsidRPr="003676D3">
        <w:rPr>
          <w:rFonts w:ascii="Times New Roman" w:hAnsi="Times New Roman" w:cs="Times New Roman"/>
          <w:sz w:val="24"/>
          <w:szCs w:val="24"/>
        </w:rPr>
        <w:instrText>37.5% reduction in day-to-day variability (for the same level of mean productivity). Careful planning of additional increments in renewable capacity at the European level could, however, act to significantly ameliorate this deficiency. The choice of where to deploy resources depends, however, on the objective being pursued - if the goal is to maximize average output, then new capacity is best allocated in the countries with highest resources, whereas investment in additional capacity in a north/south dipole pattern across Europe would act to most reduce daily variations and thus decrease the day-to-day volatility of renewable power supply.","author":[{"dropping-particle":"","family":"Santos-Alamillos","given":"Francisco J.","non-dropping-particle":"","parse-names":false,"suffix":""},{"dropping-particle":"","family":"Brayshaw","given":"David J.","non-dropping-particle":"","parse-names":false,"suffix":""},{"dropping-particle":"","family":"Methven","given":"John","non-dropping-particle":"","parse-names":false,"suffix":""},{"dropping-particle":"","family":"Thomaidis","given":"Nikolaos S.","non-dropping-particle":"","parse-names":false,"suffix":""},{"dropping-particle":"","family":"Ruiz-Arias","given":"José A.","non-dropping-particle":"","parse-names":false,"suffix":""},{"dropping-particle":"","family":"Pozo-Vázquez","given":"David","non-dropping-particle":"","parse-names":false,"suffix":""}],"container-title":"Environmental Research Letters","id":"ITEM-1","issue":"11","issued":{"date-parts":[["2017","11","13"]]},"page":"114030","publisher":"IOP Publishing","title":"Exploring the meteorological potential for planning a high performance European electricity super-grid: optimal power capacity distribution among countries","type":"article-journal","volume":"12"},"uris":["http://www.mendeley.com/documents/?uuid=e1e14e44-51e7-3d50-a4b2-f7975fa45a15"]}],"mendeley":{"formattedCitation":"[100]","plainTextFormattedCitation":"[100]","previouslyFormattedCitation":"[100]"},"properties":{"noteIndex":0},"schema":"https://github.com/citation-style-language/schema/raw/master/csl-citation.json"}</w:instrText>
      </w:r>
      <w:r w:rsidR="006628AC" w:rsidRPr="003676D3">
        <w:rPr>
          <w:rFonts w:ascii="Times New Roman" w:hAnsi="Times New Roman" w:cs="Times New Roman"/>
          <w:sz w:val="24"/>
          <w:szCs w:val="24"/>
        </w:rPr>
        <w:fldChar w:fldCharType="separate"/>
      </w:r>
      <w:r w:rsidR="006628AC" w:rsidRPr="003676D3">
        <w:rPr>
          <w:rFonts w:ascii="Times New Roman" w:hAnsi="Times New Roman" w:cs="Times New Roman"/>
          <w:noProof/>
          <w:sz w:val="24"/>
          <w:szCs w:val="24"/>
        </w:rPr>
        <w:t>[100]</w:t>
      </w:r>
      <w:r w:rsidR="006628AC"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investigate optimal scenarios for allocating new renewable capacity nationally to guide e</w:t>
      </w:r>
      <w:r w:rsidR="00B17738" w:rsidRPr="003676D3">
        <w:rPr>
          <w:rFonts w:ascii="Times New Roman" w:hAnsi="Times New Roman" w:cs="Times New Roman"/>
          <w:sz w:val="24"/>
          <w:szCs w:val="24"/>
        </w:rPr>
        <w:t>nergy decision-makers. The</w:t>
      </w:r>
      <w:r w:rsidRPr="003676D3">
        <w:rPr>
          <w:rFonts w:ascii="Times New Roman" w:hAnsi="Times New Roman" w:cs="Times New Roman"/>
          <w:sz w:val="24"/>
          <w:szCs w:val="24"/>
        </w:rPr>
        <w:t xml:space="preserve"> findings </w:t>
      </w:r>
      <w:r w:rsidR="00B75CD2" w:rsidRPr="003676D3">
        <w:rPr>
          <w:rFonts w:ascii="Times New Roman" w:hAnsi="Times New Roman" w:cs="Times New Roman"/>
          <w:sz w:val="24"/>
          <w:szCs w:val="24"/>
        </w:rPr>
        <w:t>tells</w:t>
      </w:r>
      <w:r w:rsidRPr="003676D3">
        <w:rPr>
          <w:rFonts w:ascii="Times New Roman" w:hAnsi="Times New Roman" w:cs="Times New Roman"/>
          <w:sz w:val="24"/>
          <w:szCs w:val="24"/>
        </w:rPr>
        <w:t xml:space="preserve"> that the current</w:t>
      </w:r>
      <w:r w:rsidR="003A3F44" w:rsidRPr="003676D3">
        <w:rPr>
          <w:rFonts w:ascii="Times New Roman" w:hAnsi="Times New Roman" w:cs="Times New Roman"/>
          <w:sz w:val="24"/>
          <w:szCs w:val="24"/>
        </w:rPr>
        <w:t xml:space="preserve"> capacity of distributed generation</w:t>
      </w:r>
      <w:r w:rsidRPr="003676D3">
        <w:rPr>
          <w:rFonts w:ascii="Times New Roman" w:hAnsi="Times New Roman" w:cs="Times New Roman"/>
          <w:sz w:val="24"/>
          <w:szCs w:val="24"/>
        </w:rPr>
        <w:t xml:space="preserve"> in Europe is sub</w:t>
      </w:r>
      <w:r w:rsidR="00B75CD2" w:rsidRPr="003676D3">
        <w:rPr>
          <w:rFonts w:ascii="Times New Roman" w:hAnsi="Times New Roman" w:cs="Times New Roman"/>
          <w:sz w:val="24"/>
          <w:szCs w:val="24"/>
        </w:rPr>
        <w:t>-</w:t>
      </w:r>
      <w:r w:rsidRPr="003676D3">
        <w:rPr>
          <w:rFonts w:ascii="Times New Roman" w:hAnsi="Times New Roman" w:cs="Times New Roman"/>
          <w:sz w:val="24"/>
          <w:szCs w:val="24"/>
        </w:rPr>
        <w:t>optimal</w:t>
      </w:r>
      <w:r w:rsidR="00B75CD2" w:rsidRPr="003676D3">
        <w:rPr>
          <w:rFonts w:ascii="Times New Roman" w:hAnsi="Times New Roman" w:cs="Times New Roman"/>
          <w:sz w:val="24"/>
          <w:szCs w:val="24"/>
        </w:rPr>
        <w:t>. This</w:t>
      </w:r>
      <w:r w:rsidRPr="003676D3">
        <w:rPr>
          <w:rFonts w:ascii="Times New Roman" w:hAnsi="Times New Roman" w:cs="Times New Roman"/>
          <w:sz w:val="24"/>
          <w:szCs w:val="24"/>
        </w:rPr>
        <w:t xml:space="preserve"> sugges</w:t>
      </w:r>
      <w:r w:rsidR="00B75CD2" w:rsidRPr="003676D3">
        <w:rPr>
          <w:rFonts w:ascii="Times New Roman" w:hAnsi="Times New Roman" w:cs="Times New Roman"/>
          <w:sz w:val="24"/>
          <w:szCs w:val="24"/>
        </w:rPr>
        <w:t>ts that</w:t>
      </w:r>
      <w:r w:rsidRPr="003676D3">
        <w:rPr>
          <w:rFonts w:ascii="Times New Roman" w:hAnsi="Times New Roman" w:cs="Times New Roman"/>
          <w:sz w:val="24"/>
          <w:szCs w:val="24"/>
        </w:rPr>
        <w:t xml:space="preserve"> a potential increase of approximately 31% in mean power supply or a reduct</w:t>
      </w:r>
      <w:r w:rsidR="003A3F44" w:rsidRPr="003676D3">
        <w:rPr>
          <w:rFonts w:ascii="Times New Roman" w:hAnsi="Times New Roman" w:cs="Times New Roman"/>
          <w:sz w:val="24"/>
          <w:szCs w:val="24"/>
        </w:rPr>
        <w:t>ion of about 37.5% in daily</w:t>
      </w:r>
      <w:r w:rsidRPr="003676D3">
        <w:rPr>
          <w:rFonts w:ascii="Times New Roman" w:hAnsi="Times New Roman" w:cs="Times New Roman"/>
          <w:sz w:val="24"/>
          <w:szCs w:val="24"/>
        </w:rPr>
        <w:t xml:space="preserve"> variability with a more efficient spatial distribution. Strategic planning at the European level could significantly improve this distribution imbalance. However, the optimal deployment of resources depends on the </w:t>
      </w:r>
      <w:r w:rsidR="00EC0D66" w:rsidRPr="003676D3">
        <w:rPr>
          <w:rFonts w:ascii="Times New Roman" w:hAnsi="Times New Roman" w:cs="Times New Roman"/>
          <w:sz w:val="24"/>
          <w:szCs w:val="24"/>
        </w:rPr>
        <w:t>objective</w:t>
      </w:r>
      <w:r w:rsidR="00B75CD2" w:rsidRPr="003676D3">
        <w:rPr>
          <w:rFonts w:ascii="Times New Roman" w:hAnsi="Times New Roman" w:cs="Times New Roman"/>
          <w:sz w:val="24"/>
          <w:szCs w:val="24"/>
        </w:rPr>
        <w:t xml:space="preserve">. This means that </w:t>
      </w:r>
      <w:r w:rsidRPr="003676D3">
        <w:rPr>
          <w:rFonts w:ascii="Times New Roman" w:hAnsi="Times New Roman" w:cs="Times New Roman"/>
          <w:sz w:val="24"/>
          <w:szCs w:val="24"/>
        </w:rPr>
        <w:t xml:space="preserve">maximizing average output </w:t>
      </w:r>
      <w:r w:rsidR="00EB2F53" w:rsidRPr="003676D3">
        <w:rPr>
          <w:rFonts w:ascii="Times New Roman" w:hAnsi="Times New Roman" w:cs="Times New Roman"/>
          <w:sz w:val="24"/>
          <w:szCs w:val="24"/>
        </w:rPr>
        <w:t>favours</w:t>
      </w:r>
      <w:r w:rsidRPr="003676D3">
        <w:rPr>
          <w:rFonts w:ascii="Times New Roman" w:hAnsi="Times New Roman" w:cs="Times New Roman"/>
          <w:sz w:val="24"/>
          <w:szCs w:val="24"/>
        </w:rPr>
        <w:t xml:space="preserve"> count</w:t>
      </w:r>
      <w:r w:rsidR="00B17738" w:rsidRPr="003676D3">
        <w:rPr>
          <w:rFonts w:ascii="Times New Roman" w:hAnsi="Times New Roman" w:cs="Times New Roman"/>
          <w:sz w:val="24"/>
          <w:szCs w:val="24"/>
        </w:rPr>
        <w:t xml:space="preserve">ries </w:t>
      </w:r>
      <w:r w:rsidR="00B75CD2" w:rsidRPr="003676D3">
        <w:rPr>
          <w:rFonts w:ascii="Times New Roman" w:hAnsi="Times New Roman" w:cs="Times New Roman"/>
          <w:sz w:val="24"/>
          <w:szCs w:val="24"/>
        </w:rPr>
        <w:t>those have</w:t>
      </w:r>
      <w:r w:rsidR="00B17738" w:rsidRPr="003676D3">
        <w:rPr>
          <w:rFonts w:ascii="Times New Roman" w:hAnsi="Times New Roman" w:cs="Times New Roman"/>
          <w:sz w:val="24"/>
          <w:szCs w:val="24"/>
        </w:rPr>
        <w:t xml:space="preserve"> abundant resources.</w:t>
      </w:r>
    </w:p>
    <w:p w14:paraId="12E755BF" w14:textId="4FA64527" w:rsidR="0062682E" w:rsidRPr="003676D3" w:rsidRDefault="0062682E"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The primary barriers to grid expansion in the European Union are</w:t>
      </w:r>
      <w:r w:rsidR="00392332" w:rsidRPr="003676D3">
        <w:rPr>
          <w:rFonts w:ascii="Times New Roman" w:hAnsi="Times New Roman" w:cs="Times New Roman"/>
          <w:sz w:val="24"/>
          <w:szCs w:val="24"/>
        </w:rPr>
        <w:t xml:space="preserve"> </w:t>
      </w:r>
      <w:r w:rsidR="000B4329" w:rsidRPr="003676D3">
        <w:rPr>
          <w:rFonts w:ascii="Times New Roman" w:hAnsi="Times New Roman" w:cs="Times New Roman"/>
          <w:sz w:val="24"/>
          <w:szCs w:val="24"/>
        </w:rPr>
        <w:t>neither</w:t>
      </w:r>
      <w:r w:rsidR="00392332" w:rsidRPr="003676D3">
        <w:rPr>
          <w:rFonts w:ascii="Times New Roman" w:hAnsi="Times New Roman" w:cs="Times New Roman"/>
          <w:sz w:val="24"/>
          <w:szCs w:val="24"/>
        </w:rPr>
        <w:t xml:space="preserve"> financial nor technical</w:t>
      </w:r>
      <w:r w:rsidR="003A3F44" w:rsidRPr="003676D3">
        <w:rPr>
          <w:rFonts w:ascii="Times New Roman" w:hAnsi="Times New Roman" w:cs="Times New Roman"/>
          <w:sz w:val="24"/>
          <w:szCs w:val="24"/>
        </w:rPr>
        <w:t>, rather</w:t>
      </w:r>
      <w:r w:rsidRPr="003676D3">
        <w:rPr>
          <w:rFonts w:ascii="Times New Roman" w:hAnsi="Times New Roman" w:cs="Times New Roman"/>
          <w:sz w:val="24"/>
          <w:szCs w:val="24"/>
        </w:rPr>
        <w:t xml:space="preserve"> lack of appropriate regulatory frameworks and public acceptance, requiring major changes in the overall regulatory process</w:t>
      </w:r>
      <w:r w:rsidR="006628AC" w:rsidRPr="003676D3">
        <w:rPr>
          <w:rFonts w:ascii="Times New Roman" w:hAnsi="Times New Roman" w:cs="Times New Roman"/>
          <w:sz w:val="24"/>
          <w:szCs w:val="24"/>
        </w:rPr>
        <w:t xml:space="preserve"> </w:t>
      </w:r>
      <w:r w:rsidR="006628AC" w:rsidRPr="003676D3">
        <w:rPr>
          <w:rFonts w:ascii="Times New Roman" w:hAnsi="Times New Roman" w:cs="Times New Roman"/>
          <w:sz w:val="24"/>
          <w:szCs w:val="24"/>
        </w:rPr>
        <w:fldChar w:fldCharType="begin" w:fldLock="1"/>
      </w:r>
      <w:r w:rsidR="006628AC" w:rsidRPr="003676D3">
        <w:rPr>
          <w:rFonts w:ascii="Times New Roman" w:hAnsi="Times New Roman" w:cs="Times New Roman"/>
          <w:sz w:val="24"/>
          <w:szCs w:val="24"/>
        </w:rPr>
        <w:instrText>ADDIN CSL_CITATION {"citationItems":[{"id":"ITEM-1","itemData":{"DOI":"10.1016/J.ENPOL.2012.04.065","ISSN":"0301-4215","abstract":"Many of the scenarios for decarbonising the European energy system involve the integration of large-scale and decentralised renewable energy sources, such as wind and solar power. However, such integration requires substantial and rapid improvements to the existing transmission grids. Using a mix of qualitative and quantitative methods, we analysed the opinions and views of stakeholders concerning the main barriers and solutions to this problem. The results suggest two conclusions. The first is that primary barriers to the currently needed level of grid expansion are not technical or financial, but the lack of appropriate regulatory frameworks and public acceptance. The second is that major changes are needed in the overall regulatory process, rather than simply minor modifications or improved implementation of existing regulations. © 2012 Elsevier Ltd.","author":[{"dropping-particle":"","family":"Battaglini","given":"Antonella","non-dropping-particle":"","parse-names":false,"suffix":""},{"dropping-particle":"","family":"Komendantova","given":"Nadejda","non-dropping-particle":"","parse-names":false,"suffix":""},{"dropping-particle":"","family":"Brtnik","given":"Patricia","non-dropping-particle":"","parse-names":false,"suffix":""},{"dropping-particle":"","family":"Patt","given":"Anthony","non-dropping-particle":"","parse-names":false,"suffix":""}],"container-title":"Energy Policy","id":"ITEM-1","issued":{"date-parts":[["2012","8","1"]]},"page":"254-259","publisher":"Elsevier","title":"Perception of barriers for expansion of electricity grids in the European Union","type":"article-journal","volume":"47"},"uris":["http://www.mendeley.com/documents/?uuid=34f43e59-53e1-3583-807e-e74e5cb076e7"]}],"mendeley":{"formattedCitation":"[13]","plainTextFormattedCitation":"[13]","previouslyFormattedCitation":"[13]"},"properties":{"noteIndex":0},"schema":"https://github.com/citation-style-language/schema/raw/master/csl-citation.json"}</w:instrText>
      </w:r>
      <w:r w:rsidR="006628AC" w:rsidRPr="003676D3">
        <w:rPr>
          <w:rFonts w:ascii="Times New Roman" w:hAnsi="Times New Roman" w:cs="Times New Roman"/>
          <w:sz w:val="24"/>
          <w:szCs w:val="24"/>
        </w:rPr>
        <w:fldChar w:fldCharType="separate"/>
      </w:r>
      <w:r w:rsidR="006628AC" w:rsidRPr="003676D3">
        <w:rPr>
          <w:rFonts w:ascii="Times New Roman" w:hAnsi="Times New Roman" w:cs="Times New Roman"/>
          <w:noProof/>
          <w:sz w:val="24"/>
          <w:szCs w:val="24"/>
        </w:rPr>
        <w:t>[13]</w:t>
      </w:r>
      <w:r w:rsidR="006628AC"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This study examines </w:t>
      </w:r>
      <w:r w:rsidR="00392332" w:rsidRPr="003676D3">
        <w:rPr>
          <w:rFonts w:ascii="Times New Roman" w:hAnsi="Times New Roman" w:cs="Times New Roman"/>
          <w:sz w:val="24"/>
          <w:szCs w:val="24"/>
        </w:rPr>
        <w:t>e</w:t>
      </w:r>
      <w:r w:rsidRPr="003676D3">
        <w:rPr>
          <w:rFonts w:ascii="Times New Roman" w:hAnsi="Times New Roman" w:cs="Times New Roman"/>
          <w:sz w:val="24"/>
          <w:szCs w:val="24"/>
        </w:rPr>
        <w:t>xcess power generation</w:t>
      </w:r>
      <w:r w:rsidR="00392332" w:rsidRPr="003676D3">
        <w:rPr>
          <w:rFonts w:ascii="Times New Roman" w:hAnsi="Times New Roman" w:cs="Times New Roman"/>
          <w:sz w:val="24"/>
          <w:szCs w:val="24"/>
        </w:rPr>
        <w:t xml:space="preserve"> and the residual load</w:t>
      </w:r>
      <w:r w:rsidRPr="003676D3">
        <w:rPr>
          <w:rFonts w:ascii="Times New Roman" w:hAnsi="Times New Roman" w:cs="Times New Roman"/>
          <w:sz w:val="24"/>
          <w:szCs w:val="24"/>
        </w:rPr>
        <w:t xml:space="preserve"> across 30 European countries with 100% variable renewable energy penetration, assessing the benefit of power trans</w:t>
      </w:r>
      <w:r w:rsidR="00CD7701" w:rsidRPr="003676D3">
        <w:rPr>
          <w:rFonts w:ascii="Times New Roman" w:hAnsi="Times New Roman" w:cs="Times New Roman"/>
          <w:sz w:val="24"/>
          <w:szCs w:val="24"/>
        </w:rPr>
        <w:t>action</w:t>
      </w:r>
      <w:r w:rsidRPr="003676D3">
        <w:rPr>
          <w:rFonts w:ascii="Times New Roman" w:hAnsi="Times New Roman" w:cs="Times New Roman"/>
          <w:sz w:val="24"/>
          <w:szCs w:val="24"/>
        </w:rPr>
        <w:t xml:space="preserve"> between them. Using extensive weather data, hourly mismatc</w:t>
      </w:r>
      <w:r w:rsidR="00CD7701" w:rsidRPr="003676D3">
        <w:rPr>
          <w:rFonts w:ascii="Times New Roman" w:hAnsi="Times New Roman" w:cs="Times New Roman"/>
          <w:sz w:val="24"/>
          <w:szCs w:val="24"/>
        </w:rPr>
        <w:t>hes between demand and distributed</w:t>
      </w:r>
      <w:r w:rsidRPr="003676D3">
        <w:rPr>
          <w:rFonts w:ascii="Times New Roman" w:hAnsi="Times New Roman" w:cs="Times New Roman"/>
          <w:sz w:val="24"/>
          <w:szCs w:val="24"/>
        </w:rPr>
        <w:t xml:space="preserve"> generation are </w:t>
      </w:r>
      <w:r w:rsidR="00940258" w:rsidRPr="003676D3">
        <w:rPr>
          <w:rFonts w:ascii="Times New Roman" w:hAnsi="Times New Roman" w:cs="Times New Roman"/>
          <w:sz w:val="24"/>
          <w:szCs w:val="24"/>
        </w:rPr>
        <w:t>modelled</w:t>
      </w:r>
      <w:r w:rsidRPr="003676D3">
        <w:rPr>
          <w:rFonts w:ascii="Times New Roman" w:hAnsi="Times New Roman" w:cs="Times New Roman"/>
          <w:sz w:val="24"/>
          <w:szCs w:val="24"/>
        </w:rPr>
        <w:t xml:space="preserve">. </w:t>
      </w:r>
      <w:r w:rsidR="001C72F0" w:rsidRPr="003676D3">
        <w:rPr>
          <w:rFonts w:ascii="Times New Roman" w:hAnsi="Times New Roman" w:cs="Times New Roman"/>
          <w:sz w:val="24"/>
          <w:szCs w:val="24"/>
        </w:rPr>
        <w:t>The various</w:t>
      </w:r>
      <w:r w:rsidRPr="003676D3">
        <w:rPr>
          <w:rFonts w:ascii="Times New Roman" w:hAnsi="Times New Roman" w:cs="Times New Roman"/>
          <w:sz w:val="24"/>
          <w:szCs w:val="24"/>
        </w:rPr>
        <w:t xml:space="preserve"> countries require balancing for approximately 24% of their total </w:t>
      </w:r>
      <w:r w:rsidR="000B4329" w:rsidRPr="003676D3">
        <w:rPr>
          <w:rFonts w:ascii="Times New Roman" w:hAnsi="Times New Roman" w:cs="Times New Roman"/>
          <w:sz w:val="24"/>
          <w:szCs w:val="24"/>
        </w:rPr>
        <w:t xml:space="preserve">yearly </w:t>
      </w:r>
      <w:r w:rsidRPr="003676D3">
        <w:rPr>
          <w:rFonts w:ascii="Times New Roman" w:hAnsi="Times New Roman" w:cs="Times New Roman"/>
          <w:sz w:val="24"/>
          <w:szCs w:val="24"/>
        </w:rPr>
        <w:t xml:space="preserve">electricity </w:t>
      </w:r>
      <w:r w:rsidRPr="003676D3">
        <w:rPr>
          <w:rFonts w:ascii="Times New Roman" w:hAnsi="Times New Roman" w:cs="Times New Roman"/>
          <w:sz w:val="24"/>
          <w:szCs w:val="24"/>
        </w:rPr>
        <w:lastRenderedPageBreak/>
        <w:t>consumption</w:t>
      </w:r>
      <w:r w:rsidR="001C72F0" w:rsidRPr="003676D3">
        <w:rPr>
          <w:rFonts w:ascii="Times New Roman" w:hAnsi="Times New Roman" w:cs="Times New Roman"/>
          <w:sz w:val="24"/>
          <w:szCs w:val="24"/>
        </w:rPr>
        <w:t xml:space="preserve">. Upon </w:t>
      </w:r>
      <w:r w:rsidRPr="003676D3">
        <w:rPr>
          <w:rFonts w:ascii="Times New Roman" w:hAnsi="Times New Roman" w:cs="Times New Roman"/>
          <w:sz w:val="24"/>
          <w:szCs w:val="24"/>
        </w:rPr>
        <w:t>networking all countries with unconstrained interconnectors</w:t>
      </w:r>
      <w:r w:rsidR="001C72F0" w:rsidRPr="003676D3">
        <w:rPr>
          <w:rFonts w:ascii="Times New Roman" w:hAnsi="Times New Roman" w:cs="Times New Roman"/>
          <w:sz w:val="24"/>
          <w:szCs w:val="24"/>
        </w:rPr>
        <w:t>,</w:t>
      </w:r>
      <w:r w:rsidRPr="003676D3">
        <w:rPr>
          <w:rFonts w:ascii="Times New Roman" w:hAnsi="Times New Roman" w:cs="Times New Roman"/>
          <w:sz w:val="24"/>
          <w:szCs w:val="24"/>
        </w:rPr>
        <w:t xml:space="preserve"> this</w:t>
      </w:r>
      <w:r w:rsidR="001C72F0" w:rsidRPr="003676D3">
        <w:rPr>
          <w:rFonts w:ascii="Times New Roman" w:hAnsi="Times New Roman" w:cs="Times New Roman"/>
          <w:sz w:val="24"/>
          <w:szCs w:val="24"/>
        </w:rPr>
        <w:t xml:space="preserve"> reduces</w:t>
      </w:r>
      <w:r w:rsidRPr="003676D3">
        <w:rPr>
          <w:rFonts w:ascii="Times New Roman" w:hAnsi="Times New Roman" w:cs="Times New Roman"/>
          <w:sz w:val="24"/>
          <w:szCs w:val="24"/>
        </w:rPr>
        <w:t xml:space="preserve"> to 15%, representing the maximum achievable transmission benefit. Constrained interconnector c</w:t>
      </w:r>
      <w:r w:rsidR="000B4329" w:rsidRPr="003676D3">
        <w:rPr>
          <w:rFonts w:ascii="Times New Roman" w:hAnsi="Times New Roman" w:cs="Times New Roman"/>
          <w:sz w:val="24"/>
          <w:szCs w:val="24"/>
        </w:rPr>
        <w:t>apacities, just 5.7 times more</w:t>
      </w:r>
      <w:r w:rsidRPr="003676D3">
        <w:rPr>
          <w:rFonts w:ascii="Times New Roman" w:hAnsi="Times New Roman" w:cs="Times New Roman"/>
          <w:sz w:val="24"/>
          <w:szCs w:val="24"/>
        </w:rPr>
        <w:t xml:space="preserve"> than current values, provide 98% of this maximum benefit</w:t>
      </w:r>
      <w:r w:rsidR="001C72F0" w:rsidRPr="003676D3">
        <w:rPr>
          <w:rFonts w:ascii="Times New Roman" w:hAnsi="Times New Roman" w:cs="Times New Roman"/>
          <w:sz w:val="24"/>
          <w:szCs w:val="24"/>
        </w:rPr>
        <w:t>. This generates the need of</w:t>
      </w:r>
      <w:r w:rsidRPr="003676D3">
        <w:rPr>
          <w:rFonts w:ascii="Times New Roman" w:hAnsi="Times New Roman" w:cs="Times New Roman"/>
          <w:sz w:val="24"/>
          <w:szCs w:val="24"/>
        </w:rPr>
        <w:t xml:space="preserve"> further investigation into various constrained transmission capacity layouts for a fully renewable </w:t>
      </w:r>
      <w:r w:rsidR="000B4329" w:rsidRPr="003676D3">
        <w:rPr>
          <w:rFonts w:ascii="Times New Roman" w:hAnsi="Times New Roman" w:cs="Times New Roman"/>
          <w:sz w:val="24"/>
          <w:szCs w:val="24"/>
        </w:rPr>
        <w:t xml:space="preserve">energy based </w:t>
      </w:r>
      <w:r w:rsidRPr="003676D3">
        <w:rPr>
          <w:rFonts w:ascii="Times New Roman" w:hAnsi="Times New Roman" w:cs="Times New Roman"/>
          <w:sz w:val="24"/>
          <w:szCs w:val="24"/>
        </w:rPr>
        <w:t>European electricity system</w:t>
      </w:r>
      <w:r w:rsidR="006628AC" w:rsidRPr="003676D3">
        <w:rPr>
          <w:rFonts w:ascii="Times New Roman" w:hAnsi="Times New Roman" w:cs="Times New Roman"/>
          <w:sz w:val="24"/>
          <w:szCs w:val="24"/>
        </w:rPr>
        <w:t xml:space="preserve"> </w:t>
      </w:r>
      <w:r w:rsidR="006628AC" w:rsidRPr="003676D3">
        <w:rPr>
          <w:rFonts w:ascii="Times New Roman" w:hAnsi="Times New Roman" w:cs="Times New Roman"/>
          <w:sz w:val="24"/>
          <w:szCs w:val="24"/>
        </w:rPr>
        <w:fldChar w:fldCharType="begin" w:fldLock="1"/>
      </w:r>
      <w:r w:rsidR="006628AC" w:rsidRPr="003676D3">
        <w:rPr>
          <w:rFonts w:ascii="Times New Roman" w:hAnsi="Times New Roman" w:cs="Times New Roman"/>
          <w:sz w:val="24"/>
          <w:szCs w:val="24"/>
        </w:rPr>
        <w:instrText>ADDIN CSL_CITATION {"citationItems":[{"id":"ITEM-1","itemData":{"DOI":"10.1016/J.RENENE.2013.10.005","ISSN":"0960-1481","abstract":"The residual load and excess power generation of 30 European countries with a 100% penetration of variable renewable energy sources are explored in order to quantify the benefit of power transmission between countries. Estimates are based on extensive weather data, which allows for modelling of hourly mismatches between the demand and renewable generation from wind and solar photovoltaics. For separated countries, balancing is required to cover around 24% of the total annual electricity consumption. This number can be reduced down to 15% once all countries are networked together with unconstrained interconnectors. The reduction represents the maximum possible benefit of transmission for the countries. The total Net Transfer Capacity of the unconstrained interconnectors is roughly 11.5 times larger than current values. However, constrained interconnector capacities 5.7 times larger than the current values are found to provide 98% of the maximum possible benefit of transmission. This motivates a detailed investigation of several constrained transmission capacity layouts to determine the export and import capabilities of countries participating in a fully renewable European electricity system. © 2013 Elsevier Ltd.","author":[{"dropping-particle":"","family":"Rodríguez","given":"Rolando A.","non-dropping-particle":"","parse-names":false,"suffix":""},{"dropping-particle":"","family":"Becker","given":"Sarah","non-dropping-particle":"","parse-names":false,"suffix":""},{"dropping-particle":"","family":"Andresen","given":"Gorm B.","non-dropping-particle":"","parse-names":false,"suffix":""},{"dropping-particle":"","family":"Heide","given":"Dominik","non-dropping-particle":"","parse-names":false,"suffix":""},{"dropping-particle":"","family":"Greiner","given":"Martin","non-dropping-particle":"","parse-names":false,"suffix":""}],"container-title":"Renewable Energy","id":"ITEM-1","issued":{"date-parts":[["2014","3","1"]]},"page":"467-476","publisher":"Pergamon","title":"Transmission needs across a fully renewable European power system","type":"article-journal","volume":"63"},"uris":["http://www.mendeley.com/documents/?uuid=1ae66115-95fc-322e-9c3e-3bf90f00783c"]}],"mendeley":{"formattedCitation":"[50]","plainTextFormattedCitation":"[50]","previouslyFormattedCitation":"[50]"},"properties":{"noteIndex":0},"schema":"https://github.com/citation-style-language/schema/raw/master/csl-citation.json"}</w:instrText>
      </w:r>
      <w:r w:rsidR="006628AC" w:rsidRPr="003676D3">
        <w:rPr>
          <w:rFonts w:ascii="Times New Roman" w:hAnsi="Times New Roman" w:cs="Times New Roman"/>
          <w:sz w:val="24"/>
          <w:szCs w:val="24"/>
        </w:rPr>
        <w:fldChar w:fldCharType="separate"/>
      </w:r>
      <w:r w:rsidR="006628AC" w:rsidRPr="003676D3">
        <w:rPr>
          <w:rFonts w:ascii="Times New Roman" w:hAnsi="Times New Roman" w:cs="Times New Roman"/>
          <w:noProof/>
          <w:sz w:val="24"/>
          <w:szCs w:val="24"/>
        </w:rPr>
        <w:t>[50]</w:t>
      </w:r>
      <w:r w:rsidR="006628AC" w:rsidRPr="003676D3">
        <w:rPr>
          <w:rFonts w:ascii="Times New Roman" w:hAnsi="Times New Roman" w:cs="Times New Roman"/>
          <w:sz w:val="24"/>
          <w:szCs w:val="24"/>
        </w:rPr>
        <w:fldChar w:fldCharType="end"/>
      </w:r>
      <w:r w:rsidR="006628AC" w:rsidRPr="003676D3">
        <w:rPr>
          <w:rFonts w:ascii="Times New Roman" w:hAnsi="Times New Roman" w:cs="Times New Roman"/>
          <w:sz w:val="24"/>
          <w:szCs w:val="24"/>
        </w:rPr>
        <w:t xml:space="preserve"> </w:t>
      </w:r>
      <w:r w:rsidR="006628AC" w:rsidRPr="003676D3">
        <w:rPr>
          <w:rFonts w:ascii="Times New Roman" w:hAnsi="Times New Roman" w:cs="Times New Roman"/>
          <w:sz w:val="24"/>
          <w:szCs w:val="24"/>
        </w:rPr>
        <w:fldChar w:fldCharType="begin" w:fldLock="1"/>
      </w:r>
      <w:r w:rsidR="006628AC" w:rsidRPr="003676D3">
        <w:rPr>
          <w:rFonts w:ascii="Times New Roman" w:hAnsi="Times New Roman" w:cs="Times New Roman"/>
          <w:sz w:val="24"/>
          <w:szCs w:val="24"/>
        </w:rPr>
        <w:instrText>ADDIN CSL_CITATION {"citationItems":[{"id":"ITEM-1","itemData":{"DOI":"10.1016/J.JCLEPRO.2021.126877","ISSN":"0959-6526","abstract":"This paper describes a generic methodology to develop mathematical and computational models of different components of the smart grid architecture model (SGAM). The SGAM inspired integrated mathematical modelling will help develop interoperable complex system simulations for integrating different smart grid components, associated communication models for data exchange and software modules, control, estimation, and data analytics functionalities with the business perspectives. This paper is based on the existing component models inspired by SGAM, which provides a holistic view for integrating the models under operational and security constraints. Achievable results and open research problems for the SGAM mapping have also been discussed in these models supporting the interoperability challenges. The models described in this paper can serve as a guideline to design efficient and robust control strategies for smart grids against uncertain loading, generation, and communication constraints, thus optimizing and improving the whole system's performance. Mathematical and computational models of cyber-physical systems have also been discussed along with their potential challenges. Based on the above concepts, unsolved and open challenges in the smart grid control, optimization and data analytics are highlighted.","author":[{"dropping-particle":"","family":"Panda","given":"Deepak Kumar","non-dropping-particle":"","parse-names":false,"suffix":""},{"dropping-particle":"","family":"Das","given":"Saptarshi","non-dropping-particle":"","parse-names":false,"suffix":""}],"container-title":"Journal of Cleaner Production","id":"ITEM-1","issued":{"date-parts":[["2021","6","10"]]},"page":"126877","publisher":"Elsevier","title":"Smart grid architecture model for control, optimization and data analytics of future power networks with more renewable energy","type":"article-journal","volume":"301"},"uris":["http://www.mendeley.com/documents/?uuid=f91adc9d-0091-3d22-ae10-84bcaed7fab6"]},{"id":"ITEM-2","itemData":{"URL":"https://syc-se.iec.ch/deliveries/sgam-basics/","accessed":{"date-parts":[["2024","5","27"]]},"id":"ITEM-2","issued":{"date-parts":[["0"]]},"title":"IEC SRD 63200 - SGAM basics - SyC Smart Energy","type":"webpage"},"uris":["http://www.mendeley.com/documents/?uuid=58974884-fa6e-3bfb-b2e6-a9ccd21c87d4"]}],"mendeley":{"formattedCitation":"[23,101]","plainTextFormattedCitation":"[23,101]","previouslyFormattedCitation":"[23,101]"},"properties":{"noteIndex":0},"schema":"https://github.com/citation-style-language/schema/raw/master/csl-citation.json"}</w:instrText>
      </w:r>
      <w:r w:rsidR="006628AC" w:rsidRPr="003676D3">
        <w:rPr>
          <w:rFonts w:ascii="Times New Roman" w:hAnsi="Times New Roman" w:cs="Times New Roman"/>
          <w:sz w:val="24"/>
          <w:szCs w:val="24"/>
        </w:rPr>
        <w:fldChar w:fldCharType="separate"/>
      </w:r>
      <w:r w:rsidR="006628AC" w:rsidRPr="003676D3">
        <w:rPr>
          <w:rFonts w:ascii="Times New Roman" w:hAnsi="Times New Roman" w:cs="Times New Roman"/>
          <w:noProof/>
          <w:sz w:val="24"/>
          <w:szCs w:val="24"/>
        </w:rPr>
        <w:t>[23,101]</w:t>
      </w:r>
      <w:r w:rsidR="006628AC" w:rsidRPr="003676D3">
        <w:rPr>
          <w:rFonts w:ascii="Times New Roman" w:hAnsi="Times New Roman" w:cs="Times New Roman"/>
          <w:sz w:val="24"/>
          <w:szCs w:val="24"/>
        </w:rPr>
        <w:fldChar w:fldCharType="end"/>
      </w:r>
      <w:r w:rsidRPr="003676D3">
        <w:rPr>
          <w:rFonts w:ascii="Times New Roman" w:hAnsi="Times New Roman" w:cs="Times New Roman"/>
          <w:sz w:val="24"/>
          <w:szCs w:val="24"/>
        </w:rPr>
        <w:t>.</w:t>
      </w:r>
    </w:p>
    <w:p w14:paraId="2D13C1E3" w14:textId="7F4FE5A1" w:rsidR="00094C6B" w:rsidRPr="003676D3" w:rsidRDefault="00CE3ABA"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SSGs relied on s</w:t>
      </w:r>
      <w:r w:rsidR="0062682E" w:rsidRPr="003676D3">
        <w:rPr>
          <w:rFonts w:ascii="Times New Roman" w:hAnsi="Times New Roman" w:cs="Times New Roman"/>
          <w:sz w:val="24"/>
          <w:szCs w:val="24"/>
        </w:rPr>
        <w:t>mart grid technologies</w:t>
      </w:r>
      <w:r w:rsidRPr="003676D3">
        <w:rPr>
          <w:rFonts w:ascii="Times New Roman" w:hAnsi="Times New Roman" w:cs="Times New Roman"/>
          <w:sz w:val="24"/>
          <w:szCs w:val="24"/>
        </w:rPr>
        <w:t>, which</w:t>
      </w:r>
      <w:r w:rsidR="0062682E" w:rsidRPr="003676D3">
        <w:rPr>
          <w:rFonts w:ascii="Times New Roman" w:hAnsi="Times New Roman" w:cs="Times New Roman"/>
          <w:sz w:val="24"/>
          <w:szCs w:val="24"/>
        </w:rPr>
        <w:t xml:space="preserve"> are rapidly progressing in both the U.S. and Europe, with the U.S. smart grid initiative focusing on timely consumer information and control, while Europe is unified in research and development.</w:t>
      </w:r>
      <w:r w:rsidR="00094C6B" w:rsidRPr="003676D3">
        <w:rPr>
          <w:rFonts w:ascii="Times New Roman" w:hAnsi="Times New Roman" w:cs="Times New Roman"/>
          <w:sz w:val="24"/>
          <w:szCs w:val="24"/>
        </w:rPr>
        <w:t xml:space="preserve"> The Smart Grid Architecture Model (SGAM</w:t>
      </w:r>
      <w:r w:rsidR="006628AC" w:rsidRPr="003676D3">
        <w:rPr>
          <w:rFonts w:ascii="Times New Roman" w:hAnsi="Times New Roman" w:cs="Times New Roman"/>
          <w:sz w:val="24"/>
          <w:szCs w:val="24"/>
        </w:rPr>
        <w:t xml:space="preserve">) </w:t>
      </w:r>
      <w:r w:rsidR="006628AC" w:rsidRPr="003676D3">
        <w:rPr>
          <w:rFonts w:ascii="Times New Roman" w:hAnsi="Times New Roman" w:cs="Times New Roman"/>
          <w:sz w:val="24"/>
          <w:szCs w:val="24"/>
        </w:rPr>
        <w:fldChar w:fldCharType="begin" w:fldLock="1"/>
      </w:r>
      <w:r w:rsidR="006628AC" w:rsidRPr="003676D3">
        <w:rPr>
          <w:rFonts w:ascii="Times New Roman" w:hAnsi="Times New Roman" w:cs="Times New Roman"/>
          <w:sz w:val="24"/>
          <w:szCs w:val="24"/>
        </w:rPr>
        <w:instrText>ADDIN CSL_CITATION {"citationItems":[{"id":"ITEM-1","itemData":{"DOI":"10.3390/EN12020258","ISSN":"1996-1073","abstract":"The continuously increasing complexity of modern and sustainable power and energy systems leads to a wide range of solutions developed by industry and academia. To manage such complex system-of-systems, proper engineering and validation approaches, methods, concepts, and corresponding tools are necessary. The Smart Grid Architecture Model (SGAM), an approach that has been developed during the last couple of years, provides a very good and structured basis for the design, development, and validation of new solutions and technologies. This review therefore provides a comprehensive overview of the state-of-the-art and related work for the theory, distribution, and use of the aforementioned architectural concept. The article itself provides an overview of the overall method and introduces the theoretical fundamentals behind this approach. Its usage is demonstrated in several European and national research and development projects. Finally, an outlook about future trends, potential adaptations, and extensions is provided as well.","author":[{"dropping-particle":"","family":"Uslar","given":"Mathias","non-dropping-particle":"","parse-names":false,"suffix":""},{"dropping-particle":"","family":"Rohjans","given":"Sebastian","non-dropping-particle":"","parse-names":false,"suffix":""},{"dropping-particle":"","family":"Neureiter","given":"Christian","non-dropping-particle":"","parse-names":false,"suffix":""},{"dropping-particle":"","family":"Andrén","given":"Filip Pröstl","non-dropping-particle":"","parse-names":false,"suffix":""},{"dropping-particle":"","family":"Velasquez","given":"Jorge","non-dropping-particle":"","parse-names":false,"suffix":""},{"dropping-particle":"","family":"Steinbrink","given":"Cornelius","non-dropping-particle":"","parse-names":false,"suffix":""},{"dropping-particle":"","family":"Efthymiou","given":"Venizelos","non-dropping-particle":"","parse-names":false,"suffix":""},{"dropping-particle":"","family":"Migliavacca","given":"Gianluigi","non-dropping-particle":"","parse-names":false,"suffix":""},{"dropping-particle":"","family":"Horsmanheimo","given":"Seppo","non-dropping-particle":"","parse-names":false,"suffix":""},{"dropping-particle":"","family":"Brunner","given":"Helfried","non-dropping-particle":"","parse-names":false,"suffix":""},{"dropping-particle":"","family":"Strasser","given":"Thomas I.","non-dropping-particle":"","parse-names":false,"suffix":""}],"container-title":"Energies 2019, Vol. 12, Page 258","id":"ITEM-1","issue":"2","issued":{"date-parts":[["2019","1","15"]]},"page":"258","publisher":"Multidisciplinary Digital Publishing Institute","title":"Applying the Smart Grid Architecture Model for Designing and Validating System-of-Systems in the Power and Energy Domain: A European Perspective","type":"article-journal","volume":"12"},"uris":["http://www.mendeley.com/documents/?uuid=8782fc70-b838-34e1-87f7-66f065ce097a"]},{"id":"ITEM-2","itemData":{"DOI":"10.1109/TIA.2012.2199730","ISSN":"00939994","abstract":"This paper discusses historical and technical events in the U.S. and Europe over the last few years that are aimed at modernizing the electric power grid. The U.S. federal government has ratified the smart grid initiative as the official policy for modernizing the electricity grid including unprecedented provisions for timely information and control options to consumers and deployment of smart technologies. European countries are unified in researching and developing related technologies through various structures supported by the European Union. This paper presents the development of smart grids and an analysis of the methodologies, milestones, and expected evolutions of grid technologies that will transform society in the near future. © 1972-2012 IEEE.","author":[{"dropping-particle":"","family":"Simoes","given":"Marcelo Godoy","non-dropping-particle":"","parse-names":false,"suffix":""},{"dropping-particle":"","family":"Roche","given":"Robin","non-dropping-particle":"","parse-names":false,"suffix":""},{"dropping-particle":"","family":"Kyriakides","given":"Elias","non-dropping-particle":"","parse-names":false,"suffix":""},{"dropping-particle":"","family":"Suryanarayanan","given":"Sid","non-dropping-particle":"","parse-names":false,"suffix":""},{"dropping-particle":"","family":"Blunier","given":"Benjamin","non-dropping-particle":"","parse-names":false,"suffix":""},{"dropping-particle":"","family":"McBee","given":"Kerry D.","non-dropping-particle":"","parse-names":false,"suffix":""},{"dropping-particle":"","family":"Nguyen","given":"Phuong H.","non-dropping-particle":"","parse-names":false,"suffix":""},{"dropping-particle":"","family":"Ribeiro","given":"Paulo F.","non-dropping-particle":"","parse-names":false,"suffix":""},{"dropping-particle":"","family":"Miraoui","given":"Abdellatif","non-dropping-particle":"","parse-names":false,"suffix":""}],"container-title":"IEEE Transactions on Industry Applications","id":"ITEM-2","issue":"4","issued":{"date-parts":[["2012"]]},"page":"1154-1162","title":"A comparison of smart grid technologies and progresses in Europe and the U.S.","type":"article-journal","volume":"48"},"uris":["http://www.mendeley.com/documents/?uuid=c552a5c3-7604-3ffd-a03f-02345538e283"]}],"mendeley":{"formattedCitation":"[102,103]","plainTextFormattedCitation":"[102,103]","previouslyFormattedCitation":"[102,103]"},"properties":{"noteIndex":0},"schema":"https://github.com/citation-style-language/schema/raw/master/csl-citation.json"}</w:instrText>
      </w:r>
      <w:r w:rsidR="006628AC" w:rsidRPr="003676D3">
        <w:rPr>
          <w:rFonts w:ascii="Times New Roman" w:hAnsi="Times New Roman" w:cs="Times New Roman"/>
          <w:sz w:val="24"/>
          <w:szCs w:val="24"/>
        </w:rPr>
        <w:fldChar w:fldCharType="separate"/>
      </w:r>
      <w:r w:rsidR="006628AC" w:rsidRPr="003676D3">
        <w:rPr>
          <w:rFonts w:ascii="Times New Roman" w:hAnsi="Times New Roman" w:cs="Times New Roman"/>
          <w:noProof/>
          <w:sz w:val="24"/>
          <w:szCs w:val="24"/>
        </w:rPr>
        <w:t>[102,103]</w:t>
      </w:r>
      <w:r w:rsidR="006628AC" w:rsidRPr="003676D3">
        <w:rPr>
          <w:rFonts w:ascii="Times New Roman" w:hAnsi="Times New Roman" w:cs="Times New Roman"/>
          <w:sz w:val="24"/>
          <w:szCs w:val="24"/>
        </w:rPr>
        <w:fldChar w:fldCharType="end"/>
      </w:r>
      <w:r w:rsidR="006628AC" w:rsidRPr="003676D3">
        <w:rPr>
          <w:rFonts w:ascii="Times New Roman" w:hAnsi="Times New Roman" w:cs="Times New Roman"/>
          <w:sz w:val="24"/>
          <w:szCs w:val="24"/>
        </w:rPr>
        <w:t xml:space="preserve"> </w:t>
      </w:r>
      <w:r w:rsidR="00094C6B" w:rsidRPr="003676D3">
        <w:rPr>
          <w:rFonts w:ascii="Times New Roman" w:hAnsi="Times New Roman" w:cs="Times New Roman"/>
          <w:sz w:val="24"/>
          <w:szCs w:val="24"/>
        </w:rPr>
        <w:t>effectively aids in designing, developing, and validating complex power and energy systems, with potential for future adaptations and extensions.</w:t>
      </w:r>
      <w:r w:rsidR="006628AC" w:rsidRPr="003676D3">
        <w:rPr>
          <w:rFonts w:ascii="Times New Roman" w:hAnsi="Times New Roman" w:cs="Times New Roman"/>
          <w:sz w:val="24"/>
          <w:szCs w:val="24"/>
        </w:rPr>
        <w:t xml:space="preserve"> A multi-layered SSG architecture is devised in this paper after reviewing all the attributes of SSG mentioned in available literature body in </w:t>
      </w:r>
      <w:r w:rsidR="006628AC" w:rsidRPr="003676D3">
        <w:rPr>
          <w:rFonts w:ascii="Times New Roman" w:hAnsi="Times New Roman" w:cs="Times New Roman"/>
          <w:sz w:val="24"/>
          <w:szCs w:val="24"/>
        </w:rPr>
        <w:fldChar w:fldCharType="begin"/>
      </w:r>
      <w:r w:rsidR="006628AC" w:rsidRPr="003676D3">
        <w:rPr>
          <w:rFonts w:ascii="Times New Roman" w:hAnsi="Times New Roman" w:cs="Times New Roman"/>
          <w:sz w:val="24"/>
          <w:szCs w:val="24"/>
        </w:rPr>
        <w:instrText xml:space="preserve"> REF _Ref168040123 \h  \* MERGEFORMAT </w:instrText>
      </w:r>
      <w:r w:rsidR="006628AC" w:rsidRPr="003676D3">
        <w:rPr>
          <w:rFonts w:ascii="Times New Roman" w:hAnsi="Times New Roman" w:cs="Times New Roman"/>
          <w:sz w:val="24"/>
          <w:szCs w:val="24"/>
        </w:rPr>
      </w:r>
      <w:r w:rsidR="006628AC" w:rsidRPr="003676D3">
        <w:rPr>
          <w:rFonts w:ascii="Times New Roman" w:hAnsi="Times New Roman" w:cs="Times New Roman"/>
          <w:sz w:val="24"/>
          <w:szCs w:val="24"/>
        </w:rPr>
        <w:fldChar w:fldCharType="separate"/>
      </w:r>
      <w:r w:rsidR="008D1E2C" w:rsidRPr="003676D3">
        <w:rPr>
          <w:rFonts w:ascii="Times New Roman" w:hAnsi="Times New Roman" w:cs="Times New Roman"/>
          <w:b/>
          <w:bCs/>
          <w:sz w:val="24"/>
          <w:szCs w:val="24"/>
        </w:rPr>
        <w:t xml:space="preserve">Figure </w:t>
      </w:r>
      <w:r w:rsidR="008D1E2C" w:rsidRPr="003676D3">
        <w:rPr>
          <w:rFonts w:ascii="Times New Roman" w:hAnsi="Times New Roman" w:cs="Times New Roman"/>
          <w:b/>
          <w:bCs/>
          <w:noProof/>
          <w:sz w:val="24"/>
          <w:szCs w:val="24"/>
        </w:rPr>
        <w:t>4</w:t>
      </w:r>
      <w:r w:rsidR="006628AC" w:rsidRPr="003676D3">
        <w:rPr>
          <w:rFonts w:ascii="Times New Roman" w:hAnsi="Times New Roman" w:cs="Times New Roman"/>
          <w:sz w:val="24"/>
          <w:szCs w:val="24"/>
        </w:rPr>
        <w:fldChar w:fldCharType="end"/>
      </w:r>
      <w:r w:rsidR="006628AC" w:rsidRPr="003676D3">
        <w:rPr>
          <w:rFonts w:ascii="Times New Roman" w:hAnsi="Times New Roman" w:cs="Times New Roman"/>
          <w:sz w:val="24"/>
          <w:szCs w:val="24"/>
        </w:rPr>
        <w:t>.</w:t>
      </w:r>
    </w:p>
    <w:p w14:paraId="6D30A5FA" w14:textId="10526F77" w:rsidR="006750D2" w:rsidRPr="003676D3" w:rsidRDefault="006628AC" w:rsidP="003676D3">
      <w:pPr>
        <w:spacing w:line="276" w:lineRule="auto"/>
        <w:jc w:val="both"/>
        <w:rPr>
          <w:rFonts w:ascii="Times New Roman" w:hAnsi="Times New Roman" w:cs="Times New Roman"/>
          <w:sz w:val="24"/>
          <w:szCs w:val="24"/>
        </w:rPr>
      </w:pPr>
      <w:r w:rsidRPr="003676D3">
        <w:rPr>
          <w:rFonts w:ascii="Times New Roman" w:hAnsi="Times New Roman" w:cs="Times New Roman"/>
          <w:noProof/>
          <w:lang w:eastAsia="en-GB"/>
        </w:rPr>
        <mc:AlternateContent>
          <mc:Choice Requires="wps">
            <w:drawing>
              <wp:anchor distT="0" distB="0" distL="114300" distR="114300" simplePos="0" relativeHeight="251646976" behindDoc="0" locked="0" layoutInCell="1" allowOverlap="1" wp14:anchorId="458AE8D2" wp14:editId="162ABA0B">
                <wp:simplePos x="0" y="0"/>
                <wp:positionH relativeFrom="column">
                  <wp:posOffset>57150</wp:posOffset>
                </wp:positionH>
                <wp:positionV relativeFrom="paragraph">
                  <wp:posOffset>4481195</wp:posOffset>
                </wp:positionV>
                <wp:extent cx="5543550" cy="635"/>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5543550" cy="635"/>
                        </a:xfrm>
                        <a:prstGeom prst="rect">
                          <a:avLst/>
                        </a:prstGeom>
                        <a:solidFill>
                          <a:prstClr val="white"/>
                        </a:solidFill>
                        <a:ln>
                          <a:noFill/>
                        </a:ln>
                      </wps:spPr>
                      <wps:txbx>
                        <w:txbxContent>
                          <w:p w14:paraId="3FF2BB50" w14:textId="4D4AFC12" w:rsidR="001F368F" w:rsidRPr="006628AC" w:rsidRDefault="001F368F" w:rsidP="004B1918">
                            <w:pPr>
                              <w:pStyle w:val="Caption"/>
                              <w:jc w:val="center"/>
                              <w:rPr>
                                <w:rFonts w:asciiTheme="majorBidi" w:hAnsiTheme="majorBidi" w:cstheme="majorBidi"/>
                                <w:b/>
                                <w:bCs/>
                                <w:i w:val="0"/>
                                <w:iCs w:val="0"/>
                                <w:noProof/>
                                <w:color w:val="auto"/>
                                <w:sz w:val="20"/>
                                <w:szCs w:val="20"/>
                              </w:rPr>
                            </w:pPr>
                            <w:bookmarkStart w:id="13" w:name="_Ref168040123"/>
                            <w:r w:rsidRPr="006628AC">
                              <w:rPr>
                                <w:rFonts w:asciiTheme="majorBidi" w:hAnsiTheme="majorBidi" w:cstheme="majorBidi"/>
                                <w:b/>
                                <w:bCs/>
                                <w:i w:val="0"/>
                                <w:iCs w:val="0"/>
                                <w:color w:val="auto"/>
                                <w:sz w:val="20"/>
                                <w:szCs w:val="20"/>
                              </w:rPr>
                              <w:t xml:space="preserve">Figure </w:t>
                            </w:r>
                            <w:r w:rsidRPr="006628AC">
                              <w:rPr>
                                <w:rFonts w:asciiTheme="majorBidi" w:hAnsiTheme="majorBidi" w:cstheme="majorBidi"/>
                                <w:b/>
                                <w:bCs/>
                                <w:i w:val="0"/>
                                <w:iCs w:val="0"/>
                                <w:color w:val="auto"/>
                                <w:sz w:val="20"/>
                                <w:szCs w:val="20"/>
                              </w:rPr>
                              <w:fldChar w:fldCharType="begin"/>
                            </w:r>
                            <w:r w:rsidRPr="006628AC">
                              <w:rPr>
                                <w:rFonts w:asciiTheme="majorBidi" w:hAnsiTheme="majorBidi" w:cstheme="majorBidi"/>
                                <w:b/>
                                <w:bCs/>
                                <w:i w:val="0"/>
                                <w:iCs w:val="0"/>
                                <w:color w:val="auto"/>
                                <w:sz w:val="20"/>
                                <w:szCs w:val="20"/>
                              </w:rPr>
                              <w:instrText xml:space="preserve"> SEQ Figure \* ARABIC </w:instrText>
                            </w:r>
                            <w:r w:rsidRPr="006628AC">
                              <w:rPr>
                                <w:rFonts w:asciiTheme="majorBidi" w:hAnsiTheme="majorBidi" w:cstheme="majorBidi"/>
                                <w:b/>
                                <w:bCs/>
                                <w:i w:val="0"/>
                                <w:iCs w:val="0"/>
                                <w:color w:val="auto"/>
                                <w:sz w:val="20"/>
                                <w:szCs w:val="20"/>
                              </w:rPr>
                              <w:fldChar w:fldCharType="separate"/>
                            </w:r>
                            <w:r w:rsidR="008D1E2C">
                              <w:rPr>
                                <w:rFonts w:asciiTheme="majorBidi" w:hAnsiTheme="majorBidi" w:cstheme="majorBidi"/>
                                <w:b/>
                                <w:bCs/>
                                <w:i w:val="0"/>
                                <w:iCs w:val="0"/>
                                <w:noProof/>
                                <w:color w:val="auto"/>
                                <w:sz w:val="20"/>
                                <w:szCs w:val="20"/>
                              </w:rPr>
                              <w:t>4</w:t>
                            </w:r>
                            <w:r w:rsidRPr="006628AC">
                              <w:rPr>
                                <w:rFonts w:asciiTheme="majorBidi" w:hAnsiTheme="majorBidi" w:cstheme="majorBidi"/>
                                <w:b/>
                                <w:bCs/>
                                <w:i w:val="0"/>
                                <w:iCs w:val="0"/>
                                <w:color w:val="auto"/>
                                <w:sz w:val="20"/>
                                <w:szCs w:val="20"/>
                              </w:rPr>
                              <w:fldChar w:fldCharType="end"/>
                            </w:r>
                            <w:bookmarkEnd w:id="13"/>
                            <w:r w:rsidRPr="006628AC">
                              <w:rPr>
                                <w:rFonts w:asciiTheme="majorBidi" w:hAnsiTheme="majorBidi" w:cstheme="majorBidi"/>
                                <w:b/>
                                <w:bCs/>
                                <w:i w:val="0"/>
                                <w:iCs w:val="0"/>
                                <w:color w:val="auto"/>
                                <w:sz w:val="20"/>
                                <w:szCs w:val="20"/>
                              </w:rPr>
                              <w:t>. Multi-layered Super Smart Grid Architecture</w:t>
                            </w:r>
                            <w:r w:rsidRPr="006628AC">
                              <w:rPr>
                                <w:rFonts w:asciiTheme="majorBidi" w:hAnsiTheme="majorBidi" w:cstheme="majorBidi"/>
                                <w:b/>
                                <w:bCs/>
                                <w:i w:val="0"/>
                                <w:iCs w:val="0"/>
                                <w:noProof/>
                                <w:color w:val="auto"/>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8AE8D2" id="Text Box 11" o:spid="_x0000_s1028" type="#_x0000_t202" style="position:absolute;left:0;text-align:left;margin-left:4.5pt;margin-top:352.85pt;width:436.5pt;height:.0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" stroked="f">
                <v:textbox style="mso-fit-shape-to-text:t" inset="0,0,0,0">
                  <w:txbxContent>
                    <w:p w14:paraId="3FF2BB50" w14:textId="4D4AFC12" w:rsidR="001F368F" w:rsidRPr="006628AC" w:rsidRDefault="001F368F" w:rsidP="004B1918">
                      <w:pPr>
                        <w:pStyle w:val="Caption"/>
                        <w:jc w:val="center"/>
                        <w:rPr>
                          <w:rFonts w:asciiTheme="majorBidi" w:hAnsiTheme="majorBidi" w:cstheme="majorBidi"/>
                          <w:b/>
                          <w:bCs/>
                          <w:i w:val="0"/>
                          <w:iCs w:val="0"/>
                          <w:noProof/>
                          <w:color w:val="auto"/>
                          <w:sz w:val="20"/>
                          <w:szCs w:val="20"/>
                        </w:rPr>
                      </w:pPr>
                      <w:bookmarkStart w:id="14" w:name="_Ref168040123"/>
                      <w:r w:rsidRPr="006628AC">
                        <w:rPr>
                          <w:rFonts w:asciiTheme="majorBidi" w:hAnsiTheme="majorBidi" w:cstheme="majorBidi"/>
                          <w:b/>
                          <w:bCs/>
                          <w:i w:val="0"/>
                          <w:iCs w:val="0"/>
                          <w:color w:val="auto"/>
                          <w:sz w:val="20"/>
                          <w:szCs w:val="20"/>
                        </w:rPr>
                        <w:t xml:space="preserve">Figure </w:t>
                      </w:r>
                      <w:r w:rsidRPr="006628AC">
                        <w:rPr>
                          <w:rFonts w:asciiTheme="majorBidi" w:hAnsiTheme="majorBidi" w:cstheme="majorBidi"/>
                          <w:b/>
                          <w:bCs/>
                          <w:i w:val="0"/>
                          <w:iCs w:val="0"/>
                          <w:color w:val="auto"/>
                          <w:sz w:val="20"/>
                          <w:szCs w:val="20"/>
                        </w:rPr>
                        <w:fldChar w:fldCharType="begin"/>
                      </w:r>
                      <w:r w:rsidRPr="006628AC">
                        <w:rPr>
                          <w:rFonts w:asciiTheme="majorBidi" w:hAnsiTheme="majorBidi" w:cstheme="majorBidi"/>
                          <w:b/>
                          <w:bCs/>
                          <w:i w:val="0"/>
                          <w:iCs w:val="0"/>
                          <w:color w:val="auto"/>
                          <w:sz w:val="20"/>
                          <w:szCs w:val="20"/>
                        </w:rPr>
                        <w:instrText xml:space="preserve"> SEQ Figure \* ARABIC </w:instrText>
                      </w:r>
                      <w:r w:rsidRPr="006628AC">
                        <w:rPr>
                          <w:rFonts w:asciiTheme="majorBidi" w:hAnsiTheme="majorBidi" w:cstheme="majorBidi"/>
                          <w:b/>
                          <w:bCs/>
                          <w:i w:val="0"/>
                          <w:iCs w:val="0"/>
                          <w:color w:val="auto"/>
                          <w:sz w:val="20"/>
                          <w:szCs w:val="20"/>
                        </w:rPr>
                        <w:fldChar w:fldCharType="separate"/>
                      </w:r>
                      <w:r w:rsidR="008D1E2C">
                        <w:rPr>
                          <w:rFonts w:asciiTheme="majorBidi" w:hAnsiTheme="majorBidi" w:cstheme="majorBidi"/>
                          <w:b/>
                          <w:bCs/>
                          <w:i w:val="0"/>
                          <w:iCs w:val="0"/>
                          <w:noProof/>
                          <w:color w:val="auto"/>
                          <w:sz w:val="20"/>
                          <w:szCs w:val="20"/>
                        </w:rPr>
                        <w:t>4</w:t>
                      </w:r>
                      <w:r w:rsidRPr="006628AC">
                        <w:rPr>
                          <w:rFonts w:asciiTheme="majorBidi" w:hAnsiTheme="majorBidi" w:cstheme="majorBidi"/>
                          <w:b/>
                          <w:bCs/>
                          <w:i w:val="0"/>
                          <w:iCs w:val="0"/>
                          <w:color w:val="auto"/>
                          <w:sz w:val="20"/>
                          <w:szCs w:val="20"/>
                        </w:rPr>
                        <w:fldChar w:fldCharType="end"/>
                      </w:r>
                      <w:bookmarkEnd w:id="14"/>
                      <w:r w:rsidRPr="006628AC">
                        <w:rPr>
                          <w:rFonts w:asciiTheme="majorBidi" w:hAnsiTheme="majorBidi" w:cstheme="majorBidi"/>
                          <w:b/>
                          <w:bCs/>
                          <w:i w:val="0"/>
                          <w:iCs w:val="0"/>
                          <w:color w:val="auto"/>
                          <w:sz w:val="20"/>
                          <w:szCs w:val="20"/>
                        </w:rPr>
                        <w:t>. Multi-layered Super Smart Grid Architecture</w:t>
                      </w:r>
                      <w:r w:rsidRPr="006628AC">
                        <w:rPr>
                          <w:rFonts w:asciiTheme="majorBidi" w:hAnsiTheme="majorBidi" w:cstheme="majorBidi"/>
                          <w:b/>
                          <w:bCs/>
                          <w:i w:val="0"/>
                          <w:iCs w:val="0"/>
                          <w:noProof/>
                          <w:color w:val="auto"/>
                          <w:sz w:val="20"/>
                          <w:szCs w:val="20"/>
                        </w:rPr>
                        <w:t>.</w:t>
                      </w:r>
                    </w:p>
                  </w:txbxContent>
                </v:textbox>
                <w10:wrap type="square"/>
              </v:shape>
            </w:pict>
          </mc:Fallback>
        </mc:AlternateContent>
      </w:r>
      <w:r w:rsidR="006750D2" w:rsidRPr="003676D3">
        <w:rPr>
          <w:rFonts w:ascii="Times New Roman" w:hAnsi="Times New Roman" w:cs="Times New Roman"/>
          <w:noProof/>
          <w:sz w:val="24"/>
          <w:szCs w:val="24"/>
          <w:lang w:eastAsia="en-GB"/>
        </w:rPr>
        <w:drawing>
          <wp:anchor distT="0" distB="0" distL="114300" distR="114300" simplePos="0" relativeHeight="251622400" behindDoc="0" locked="0" layoutInCell="1" allowOverlap="1" wp14:anchorId="1610470F" wp14:editId="1C751787">
            <wp:simplePos x="0" y="0"/>
            <wp:positionH relativeFrom="margin">
              <wp:posOffset>57150</wp:posOffset>
            </wp:positionH>
            <wp:positionV relativeFrom="paragraph">
              <wp:posOffset>247650</wp:posOffset>
            </wp:positionV>
            <wp:extent cx="5543550" cy="4176395"/>
            <wp:effectExtent l="0" t="0" r="0" b="0"/>
            <wp:wrapSquare wrapText="bothSides"/>
            <wp:docPr id="4" name="Picture 4" descr="C:\Users\AnamZahid\Desktop\Project European grid\infographics for paper\SS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amZahid\Desktop\Project European grid\infographics for paper\SSG.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43550" cy="4176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257FD3" w14:textId="39B17391" w:rsidR="00747DDB" w:rsidRPr="003676D3" w:rsidRDefault="00747DDB" w:rsidP="003676D3">
      <w:pPr>
        <w:spacing w:line="276" w:lineRule="auto"/>
        <w:jc w:val="both"/>
        <w:rPr>
          <w:rFonts w:ascii="Times New Roman" w:hAnsi="Times New Roman" w:cs="Times New Roman"/>
          <w:sz w:val="24"/>
          <w:szCs w:val="24"/>
        </w:rPr>
      </w:pPr>
    </w:p>
    <w:p w14:paraId="65536DB1" w14:textId="0F621F3E" w:rsidR="00084F2D" w:rsidRPr="003676D3" w:rsidRDefault="00132774" w:rsidP="003676D3">
      <w:pPr>
        <w:pStyle w:val="Heading2"/>
        <w:spacing w:after="240" w:line="276" w:lineRule="auto"/>
        <w:jc w:val="both"/>
        <w:rPr>
          <w:rFonts w:ascii="Times New Roman" w:hAnsi="Times New Roman" w:cs="Times New Roman"/>
          <w:b/>
          <w:bCs/>
          <w:color w:val="auto"/>
          <w:sz w:val="24"/>
          <w:szCs w:val="24"/>
        </w:rPr>
      </w:pPr>
      <w:r w:rsidRPr="003676D3">
        <w:rPr>
          <w:rFonts w:ascii="Times New Roman" w:hAnsi="Times New Roman" w:cs="Times New Roman"/>
          <w:b/>
          <w:bCs/>
          <w:color w:val="auto"/>
          <w:sz w:val="24"/>
          <w:szCs w:val="24"/>
        </w:rPr>
        <w:t>3.3</w:t>
      </w:r>
      <w:r w:rsidR="00084F2D" w:rsidRPr="003676D3">
        <w:rPr>
          <w:rFonts w:ascii="Times New Roman" w:hAnsi="Times New Roman" w:cs="Times New Roman"/>
          <w:b/>
          <w:bCs/>
          <w:color w:val="auto"/>
          <w:sz w:val="24"/>
          <w:szCs w:val="24"/>
        </w:rPr>
        <w:t>. Innovative Ways for Energy Transactions</w:t>
      </w:r>
    </w:p>
    <w:p w14:paraId="297F900C" w14:textId="185B4E2E" w:rsidR="009248F7" w:rsidRPr="003676D3" w:rsidRDefault="00084F2D"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Energy Transaction</w:t>
      </w:r>
      <w:r w:rsidR="00940258" w:rsidRPr="003676D3">
        <w:rPr>
          <w:rFonts w:ascii="Times New Roman" w:hAnsi="Times New Roman" w:cs="Times New Roman"/>
          <w:sz w:val="24"/>
          <w:szCs w:val="24"/>
        </w:rPr>
        <w:t xml:space="preserve"> or Energy Exchange are terms used interchangeably in the literature.</w:t>
      </w:r>
      <w:r w:rsidR="004C7490" w:rsidRPr="003676D3">
        <w:rPr>
          <w:rFonts w:ascii="Times New Roman" w:hAnsi="Times New Roman" w:cs="Times New Roman"/>
          <w:sz w:val="24"/>
          <w:szCs w:val="24"/>
        </w:rPr>
        <w:t xml:space="preserve"> Transactive Energy (TE) is a system where coordinated accomplices utilize automation tools to communicate and exchange energy, adhering to grid reliability indexes and constraints.</w:t>
      </w:r>
      <w:r w:rsidR="00940258" w:rsidRPr="003676D3">
        <w:rPr>
          <w:rFonts w:ascii="Times New Roman" w:hAnsi="Times New Roman" w:cs="Times New Roman"/>
          <w:sz w:val="24"/>
          <w:szCs w:val="24"/>
        </w:rPr>
        <w:t xml:space="preserve"> </w:t>
      </w:r>
      <w:r w:rsidR="009248F7" w:rsidRPr="003676D3">
        <w:rPr>
          <w:rFonts w:ascii="Times New Roman" w:hAnsi="Times New Roman" w:cs="Times New Roman"/>
          <w:sz w:val="24"/>
          <w:szCs w:val="24"/>
        </w:rPr>
        <w:t xml:space="preserve">The </w:t>
      </w:r>
      <w:r w:rsidR="009248F7" w:rsidRPr="003676D3">
        <w:rPr>
          <w:rFonts w:ascii="Times New Roman" w:hAnsi="Times New Roman" w:cs="Times New Roman"/>
          <w:sz w:val="24"/>
          <w:szCs w:val="24"/>
        </w:rPr>
        <w:lastRenderedPageBreak/>
        <w:t xml:space="preserve">growing number of prosumers highlights the necessity of establishing an electricity trading mechanism to facilitate peer-to-peer energy exchange. </w:t>
      </w:r>
      <w:r w:rsidR="004C7490" w:rsidRPr="003676D3">
        <w:rPr>
          <w:rFonts w:ascii="Times New Roman" w:hAnsi="Times New Roman" w:cs="Times New Roman"/>
          <w:sz w:val="24"/>
          <w:szCs w:val="24"/>
        </w:rPr>
        <w:t>Within an electric power system, i</w:t>
      </w:r>
      <w:r w:rsidR="00CD7701" w:rsidRPr="003676D3">
        <w:rPr>
          <w:rFonts w:ascii="Times New Roman" w:hAnsi="Times New Roman" w:cs="Times New Roman"/>
          <w:sz w:val="24"/>
          <w:szCs w:val="24"/>
        </w:rPr>
        <w:t xml:space="preserve">t employs market </w:t>
      </w:r>
      <w:r w:rsidR="009248F7" w:rsidRPr="003676D3">
        <w:rPr>
          <w:rFonts w:ascii="Times New Roman" w:hAnsi="Times New Roman" w:cs="Times New Roman"/>
          <w:sz w:val="24"/>
          <w:szCs w:val="24"/>
        </w:rPr>
        <w:t xml:space="preserve">based </w:t>
      </w:r>
      <w:r w:rsidR="004C7490" w:rsidRPr="003676D3">
        <w:rPr>
          <w:rFonts w:ascii="Times New Roman" w:hAnsi="Times New Roman" w:cs="Times New Roman"/>
          <w:sz w:val="24"/>
          <w:szCs w:val="24"/>
        </w:rPr>
        <w:t>financial</w:t>
      </w:r>
      <w:r w:rsidR="009248F7" w:rsidRPr="003676D3">
        <w:rPr>
          <w:rFonts w:ascii="Times New Roman" w:hAnsi="Times New Roman" w:cs="Times New Roman"/>
          <w:sz w:val="24"/>
          <w:szCs w:val="24"/>
        </w:rPr>
        <w:t xml:space="preserve"> transactions and control functionalities to facilitate energy </w:t>
      </w:r>
      <w:r w:rsidR="00CD7701" w:rsidRPr="003676D3">
        <w:rPr>
          <w:rFonts w:ascii="Times New Roman" w:hAnsi="Times New Roman" w:cs="Times New Roman"/>
          <w:sz w:val="24"/>
          <w:szCs w:val="24"/>
        </w:rPr>
        <w:t>exchange (</w:t>
      </w:r>
      <w:r w:rsidR="009248F7" w:rsidRPr="003676D3">
        <w:rPr>
          <w:rFonts w:ascii="Times New Roman" w:hAnsi="Times New Roman" w:cs="Times New Roman"/>
          <w:sz w:val="24"/>
          <w:szCs w:val="24"/>
        </w:rPr>
        <w:t>trading and sharing</w:t>
      </w:r>
      <w:r w:rsidR="00CD7701" w:rsidRPr="003676D3">
        <w:rPr>
          <w:rFonts w:ascii="Times New Roman" w:hAnsi="Times New Roman" w:cs="Times New Roman"/>
          <w:sz w:val="24"/>
          <w:szCs w:val="24"/>
        </w:rPr>
        <w:t xml:space="preserve">) among prosumers, </w:t>
      </w:r>
      <w:r w:rsidR="009248F7" w:rsidRPr="003676D3">
        <w:rPr>
          <w:rFonts w:ascii="Times New Roman" w:hAnsi="Times New Roman" w:cs="Times New Roman"/>
          <w:sz w:val="24"/>
          <w:szCs w:val="24"/>
        </w:rPr>
        <w:t>conventional</w:t>
      </w:r>
      <w:r w:rsidR="00CD7701" w:rsidRPr="003676D3">
        <w:rPr>
          <w:rFonts w:ascii="Times New Roman" w:hAnsi="Times New Roman" w:cs="Times New Roman"/>
          <w:sz w:val="24"/>
          <w:szCs w:val="24"/>
        </w:rPr>
        <w:t xml:space="preserve"> and renewable</w:t>
      </w:r>
      <w:r w:rsidR="009248F7" w:rsidRPr="003676D3">
        <w:rPr>
          <w:rFonts w:ascii="Times New Roman" w:hAnsi="Times New Roman" w:cs="Times New Roman"/>
          <w:sz w:val="24"/>
          <w:szCs w:val="24"/>
        </w:rPr>
        <w:t xml:space="preserve"> power producers, storage systems, and active consumers. Transactive Energy Systems (TES) transform energy into a tradable commodity, allowing customers to trade surplus energy either in real-time or on a deferred basis</w:t>
      </w:r>
      <w:r w:rsidR="006628AC" w:rsidRPr="003676D3">
        <w:rPr>
          <w:rFonts w:ascii="Times New Roman" w:hAnsi="Times New Roman" w:cs="Times New Roman"/>
          <w:sz w:val="24"/>
          <w:szCs w:val="24"/>
        </w:rPr>
        <w:t xml:space="preserve"> </w:t>
      </w:r>
      <w:r w:rsidR="006628AC" w:rsidRPr="003676D3">
        <w:rPr>
          <w:rFonts w:ascii="Times New Roman" w:hAnsi="Times New Roman" w:cs="Times New Roman"/>
          <w:sz w:val="24"/>
          <w:szCs w:val="24"/>
        </w:rPr>
        <w:fldChar w:fldCharType="begin" w:fldLock="1"/>
      </w:r>
      <w:r w:rsidR="006628AC" w:rsidRPr="003676D3">
        <w:rPr>
          <w:rFonts w:ascii="Times New Roman" w:hAnsi="Times New Roman" w:cs="Times New Roman"/>
          <w:sz w:val="24"/>
          <w:szCs w:val="24"/>
        </w:rPr>
        <w:instrText>ADDIN CSL_CITATION {"citationItems":[{"id":"ITEM-1","itemData":{"ISSN":"10.1109/MELE.2016.2614198","author":[{"dropping-particle":"","family":"Ron Melton and Jason Fuller","given":"","non-dropping-particle":"","parse-names":false,"suffix":""}],"id":"ITEM-1","issued":{"date-parts":[["2016"]]},"title":"Transactive energy: Envisioning the future","type":"report"},"uris":["http://www.mendeley.com/documents/?uuid=ee27c968-aea8-3226-896c-01de40771591"]},{"id":"ITEM-2","itemData":{"abstract":"As the distributed energy generation and storage technologies are becoming economically viable, energy trading is gradually becoming a profit making option for end-users. This trend is further supported by the regulators and the policy makers as it aids the efficiency of power grid operations, reduces power generation cost and the Green House Gas (GHG) emissions. To that end, in this paper we provide an overview of distributed energy trading concepts in smart grid. First, we identify the motivation and the desired outcomes of energy trading framework. Then we present the enabling technologies that are required to generate, store, and communicate with the trading agencies. Finally, we survey on the existing literature and present an array of mathematical frameworks employed.","author":[{"dropping-particle":"","family":"Safak Bayram","given":"I","non-dropping-particle":"","parse-names":false,"suffix":""},{"dropping-particle":"","family":"Shakir","given":"Muhammad Z","non-dropping-particle":"","parse-names":false,"suffix":""},{"dropping-particle":"","family":"Abdallah","given":"Mohamed","non-dropping-particle":"","parse-names":false,"suffix":""},{"dropping-particle":"","family":"Member","given":"Senior","non-dropping-particle":"","parse-names":false,"suffix":""},{"dropping-particle":"","family":"Qaraqe","given":"Khalid","non-dropping-particle":"","parse-names":false,"suffix":""}],"id":"ITEM-2","issued":{"date-parts":[["2014"]]},"title":"A Survey on Energy Trading in Smart Grid","type":"article-journal"},"uris":["http://www.mendeley.com/documents/?uuid=f2b95fa7-7d0f-3700-9b1a-d4e708c6cbc4"]},{"id":"ITEM-3","itemData":{"DOI":"10.1049/iet-gtd.2016.1072","ISSN":"17518687","abstract":"Distribution systems of the future will definitely encompass numerous distributed energy resources, and thereby, the physical connection and commercial contribution among virtual power plants (VPPs) will be inevitable. Accordingly, this study proposes a methodology to address the trading strategies of a VPP in cooperation with its neighbouring VPPs. This cooperation is modelled based on some available cross-regional contracts and the problem faced by the VPP is how to determine its bilateral contracting portfolio. To this end, a decision-making framework for medium-term self-scheduling of a VPP with the aim of exercising arbitrage between two different trading floors, i.e. bilateral contracts and the electricity market, is presented. Moreover, an efficient risk management approach based on the concept of first-order stochastic dominance constraints is used to enable informed decision making under different levels of uncertainty. The resulting model is formulated as a mixed-integer linear programming problem that can be solved using off-the-shelf software packages. The efficiency of the proposed model is analysed through a detailed case study, and finally relevant conclusions are duly drawn.","author":[{"dropping-particle":"","family":"Shabanzadeh","given":"Morteza","non-dropping-particle":"","parse-names":false,"suffix":""},{"dropping-particle":"","family":"Sheikh-El-Eslami","given":"Mohammad Kazem","non-dropping-particle":"","parse-names":false,"suffix":""},{"dropping-particle":"","family":"Haghifam","given":"Mahmoud Reza","non-dropping-particle":"","parse-names":false,"suffix":""}],"container-title":"IET Generation, Transmission and Distribution","id":"ITEM-3","issued":{"date-parts":[["2017"]]},"title":"Risk-based medium-term trading strategy for a virtual power plant with first-order stochastic dominance constraints","type":"article-journal"},"uris":["http://www.mendeley.com/documents/?uuid=0347b715-2805-46ab-a173-4cca3784c57e"]}],"mendeley":{"formattedCitation":"[104–106]","plainTextFormattedCitation":"[104–106]","previouslyFormattedCitation":"[104–106]"},"properties":{"noteIndex":0},"schema":"https://github.com/citation-style-language/schema/raw/master/csl-citation.json"}</w:instrText>
      </w:r>
      <w:r w:rsidR="006628AC" w:rsidRPr="003676D3">
        <w:rPr>
          <w:rFonts w:ascii="Times New Roman" w:hAnsi="Times New Roman" w:cs="Times New Roman"/>
          <w:sz w:val="24"/>
          <w:szCs w:val="24"/>
        </w:rPr>
        <w:fldChar w:fldCharType="separate"/>
      </w:r>
      <w:r w:rsidR="006628AC" w:rsidRPr="003676D3">
        <w:rPr>
          <w:rFonts w:ascii="Times New Roman" w:hAnsi="Times New Roman" w:cs="Times New Roman"/>
          <w:noProof/>
          <w:sz w:val="24"/>
          <w:szCs w:val="24"/>
        </w:rPr>
        <w:t>[104–106]</w:t>
      </w:r>
      <w:r w:rsidR="006628AC" w:rsidRPr="003676D3">
        <w:rPr>
          <w:rFonts w:ascii="Times New Roman" w:hAnsi="Times New Roman" w:cs="Times New Roman"/>
          <w:sz w:val="24"/>
          <w:szCs w:val="24"/>
        </w:rPr>
        <w:fldChar w:fldCharType="end"/>
      </w:r>
      <w:r w:rsidR="009248F7" w:rsidRPr="003676D3">
        <w:rPr>
          <w:rFonts w:ascii="Times New Roman" w:hAnsi="Times New Roman" w:cs="Times New Roman"/>
          <w:sz w:val="24"/>
          <w:szCs w:val="24"/>
        </w:rPr>
        <w:t>.</w:t>
      </w:r>
      <w:r w:rsidR="00F44C32" w:rsidRPr="003676D3">
        <w:rPr>
          <w:rFonts w:ascii="Times New Roman" w:hAnsi="Times New Roman" w:cs="Times New Roman"/>
          <w:sz w:val="24"/>
          <w:szCs w:val="24"/>
        </w:rPr>
        <w:t xml:space="preserve"> </w:t>
      </w:r>
    </w:p>
    <w:p w14:paraId="6091BED8" w14:textId="258ACE77" w:rsidR="00940258" w:rsidRPr="003676D3" w:rsidRDefault="00940258"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It</w:t>
      </w:r>
      <w:r w:rsidR="00084F2D" w:rsidRPr="003676D3">
        <w:rPr>
          <w:rFonts w:ascii="Times New Roman" w:hAnsi="Times New Roman" w:cs="Times New Roman"/>
          <w:sz w:val="24"/>
          <w:szCs w:val="24"/>
        </w:rPr>
        <w:t xml:space="preserve"> is ideally bas</w:t>
      </w:r>
      <w:r w:rsidR="004C7490" w:rsidRPr="003676D3">
        <w:rPr>
          <w:rFonts w:ascii="Times New Roman" w:hAnsi="Times New Roman" w:cs="Times New Roman"/>
          <w:sz w:val="24"/>
          <w:szCs w:val="24"/>
        </w:rPr>
        <w:t>ed on a system of c</w:t>
      </w:r>
      <w:r w:rsidR="00084F2D" w:rsidRPr="003676D3">
        <w:rPr>
          <w:rFonts w:ascii="Times New Roman" w:hAnsi="Times New Roman" w:cs="Times New Roman"/>
          <w:sz w:val="24"/>
          <w:szCs w:val="24"/>
        </w:rPr>
        <w:t>ontrol mechanisms</w:t>
      </w:r>
      <w:r w:rsidR="004C7490" w:rsidRPr="003676D3">
        <w:rPr>
          <w:rFonts w:ascii="Times New Roman" w:hAnsi="Times New Roman" w:cs="Times New Roman"/>
          <w:sz w:val="24"/>
          <w:szCs w:val="24"/>
        </w:rPr>
        <w:t xml:space="preserve"> and economics</w:t>
      </w:r>
      <w:r w:rsidR="00084F2D" w:rsidRPr="003676D3">
        <w:rPr>
          <w:rFonts w:ascii="Times New Roman" w:hAnsi="Times New Roman" w:cs="Times New Roman"/>
          <w:sz w:val="24"/>
          <w:szCs w:val="24"/>
        </w:rPr>
        <w:t xml:space="preserve"> that allows the dynamic balance of </w:t>
      </w:r>
      <w:r w:rsidR="004C7490" w:rsidRPr="003676D3">
        <w:rPr>
          <w:rFonts w:ascii="Times New Roman" w:hAnsi="Times New Roman" w:cs="Times New Roman"/>
          <w:sz w:val="24"/>
          <w:szCs w:val="24"/>
        </w:rPr>
        <w:t>demand and supply</w:t>
      </w:r>
      <w:r w:rsidR="006628AC" w:rsidRPr="003676D3">
        <w:rPr>
          <w:rFonts w:ascii="Times New Roman" w:hAnsi="Times New Roman" w:cs="Times New Roman"/>
          <w:sz w:val="24"/>
          <w:szCs w:val="24"/>
        </w:rPr>
        <w:t xml:space="preserve"> </w:t>
      </w:r>
      <w:r w:rsidR="006628AC" w:rsidRPr="003676D3">
        <w:rPr>
          <w:rFonts w:ascii="Times New Roman" w:hAnsi="Times New Roman" w:cs="Times New Roman"/>
          <w:sz w:val="24"/>
          <w:szCs w:val="24"/>
        </w:rPr>
        <w:fldChar w:fldCharType="begin" w:fldLock="1"/>
      </w:r>
      <w:r w:rsidR="006628AC" w:rsidRPr="003676D3">
        <w:rPr>
          <w:rFonts w:ascii="Times New Roman" w:hAnsi="Times New Roman" w:cs="Times New Roman"/>
          <w:sz w:val="24"/>
          <w:szCs w:val="24"/>
        </w:rPr>
        <w:instrText>ADDIN CSL_CITATION {"citationItems":[{"id":"ITEM-1","itemData":{"DOI":"10.1007/S40565-016-0256-X/TABLES/2","ISSN":"21965420","abstract":"This paper reviews the state of the art of research and industry practice on demand response and the new methodology of transactive energy. Demand response programs incentivize consumers to align their demand with power supply conditions, enhancing power system reliability and economic operation. The design of demand response programs, performance of pilot projects and programs, consumer behaviors, and barriers are discussed. Transactive energy is a variant and a generalized form of demand response in that it manages both the supply and demand sides. It is intended for a changing environment with an increasing number of distributed resources and intelligent devices. It utilizes the flexibility of various generation/load resources to maintain a dynamic balance of supply and demand. These distributed resources are controlled by their owners. However, the design of transaction mechanisms should align the individual behaviors with the interests of the entire system. Transactive energy features real-time, autonomous, and decentralized decision making. The transition from demand response to transactive energy is also discussed.","author":[{"dropping-particle":"","family":"Chen","given":"Sijie","non-dropping-particle":"","parse-names":false,"suffix":""},{"dropping-particle":"","family":"Liu","given":"Chen Ching","non-dropping-particle":"","parse-names":false,"suffix":""}],"container-title":"Journal of Modern Power Systems and Clean Energy","id":"ITEM-1","issue":"1","issued":{"date-parts":[["2017","1","1"]]},"page":"10-19","publisher":"Springer Heidelberg","title":"From demand response to transactive energy: state of the art","type":"article-journal","volume":"5"},"uris":["http://www.mendeley.com/documents/?uuid=f55f0a13-1638-32ef-b978-cc9837b115af"]}],"mendeley":{"formattedCitation":"[107]","plainTextFormattedCitation":"[107]","previouslyFormattedCitation":"[107]"},"properties":{"noteIndex":0},"schema":"https://github.com/citation-style-language/schema/raw/master/csl-citation.json"}</w:instrText>
      </w:r>
      <w:r w:rsidR="006628AC" w:rsidRPr="003676D3">
        <w:rPr>
          <w:rFonts w:ascii="Times New Roman" w:hAnsi="Times New Roman" w:cs="Times New Roman"/>
          <w:sz w:val="24"/>
          <w:szCs w:val="24"/>
        </w:rPr>
        <w:fldChar w:fldCharType="separate"/>
      </w:r>
      <w:r w:rsidR="006628AC" w:rsidRPr="003676D3">
        <w:rPr>
          <w:rFonts w:ascii="Times New Roman" w:hAnsi="Times New Roman" w:cs="Times New Roman"/>
          <w:noProof/>
          <w:sz w:val="24"/>
          <w:szCs w:val="24"/>
        </w:rPr>
        <w:t>[107]</w:t>
      </w:r>
      <w:r w:rsidR="006628AC" w:rsidRPr="003676D3">
        <w:rPr>
          <w:rFonts w:ascii="Times New Roman" w:hAnsi="Times New Roman" w:cs="Times New Roman"/>
          <w:sz w:val="24"/>
          <w:szCs w:val="24"/>
        </w:rPr>
        <w:fldChar w:fldCharType="end"/>
      </w:r>
      <w:r w:rsidR="00CD7701" w:rsidRPr="003676D3">
        <w:rPr>
          <w:rFonts w:ascii="Times New Roman" w:hAnsi="Times New Roman" w:cs="Times New Roman"/>
          <w:sz w:val="24"/>
          <w:szCs w:val="24"/>
        </w:rPr>
        <w:t xml:space="preserve"> </w:t>
      </w:r>
      <w:r w:rsidR="004C7490" w:rsidRPr="003676D3">
        <w:rPr>
          <w:rFonts w:ascii="Times New Roman" w:hAnsi="Times New Roman" w:cs="Times New Roman"/>
          <w:sz w:val="24"/>
          <w:szCs w:val="24"/>
        </w:rPr>
        <w:t>through</w:t>
      </w:r>
      <w:r w:rsidR="00CD7701" w:rsidRPr="003676D3">
        <w:rPr>
          <w:rFonts w:ascii="Times New Roman" w:hAnsi="Times New Roman" w:cs="Times New Roman"/>
          <w:sz w:val="24"/>
          <w:szCs w:val="24"/>
        </w:rPr>
        <w:t xml:space="preserve"> the entire grid</w:t>
      </w:r>
      <w:r w:rsidR="00084F2D" w:rsidRPr="003676D3">
        <w:rPr>
          <w:rFonts w:ascii="Times New Roman" w:hAnsi="Times New Roman" w:cs="Times New Roman"/>
          <w:sz w:val="24"/>
          <w:szCs w:val="24"/>
        </w:rPr>
        <w:t xml:space="preserve"> infrastructure and allow energy give and take at multiple points across the network. </w:t>
      </w:r>
      <w:r w:rsidR="00CD7701" w:rsidRPr="003676D3">
        <w:rPr>
          <w:rFonts w:ascii="Times New Roman" w:hAnsi="Times New Roman" w:cs="Times New Roman"/>
          <w:sz w:val="24"/>
          <w:szCs w:val="24"/>
        </w:rPr>
        <w:t xml:space="preserve">This model requires equitable grid access for both </w:t>
      </w:r>
      <w:r w:rsidR="004C7490" w:rsidRPr="003676D3">
        <w:rPr>
          <w:rFonts w:ascii="Times New Roman" w:hAnsi="Times New Roman" w:cs="Times New Roman"/>
          <w:sz w:val="24"/>
          <w:szCs w:val="24"/>
        </w:rPr>
        <w:t>demand and supply</w:t>
      </w:r>
      <w:r w:rsidR="00CD7701" w:rsidRPr="003676D3">
        <w:rPr>
          <w:rFonts w:ascii="Times New Roman" w:hAnsi="Times New Roman" w:cs="Times New Roman"/>
          <w:sz w:val="24"/>
          <w:szCs w:val="24"/>
        </w:rPr>
        <w:t xml:space="preserve"> side energy resources in both bulk and retail power networks.</w:t>
      </w:r>
      <w:r w:rsidR="00084F2D" w:rsidRPr="003676D3">
        <w:rPr>
          <w:rFonts w:ascii="Times New Roman" w:hAnsi="Times New Roman" w:cs="Times New Roman"/>
          <w:sz w:val="24"/>
          <w:szCs w:val="24"/>
        </w:rPr>
        <w:t>, as well as open and transparent pricing of energy services</w:t>
      </w:r>
      <w:r w:rsidR="006628AC" w:rsidRPr="003676D3">
        <w:rPr>
          <w:rFonts w:ascii="Times New Roman" w:hAnsi="Times New Roman" w:cs="Times New Roman"/>
          <w:sz w:val="24"/>
          <w:szCs w:val="24"/>
        </w:rPr>
        <w:t xml:space="preserve"> </w:t>
      </w:r>
      <w:r w:rsidR="006628AC" w:rsidRPr="003676D3">
        <w:rPr>
          <w:rFonts w:ascii="Times New Roman" w:hAnsi="Times New Roman" w:cs="Times New Roman"/>
          <w:sz w:val="24"/>
          <w:szCs w:val="24"/>
        </w:rPr>
        <w:fldChar w:fldCharType="begin" w:fldLock="1"/>
      </w:r>
      <w:r w:rsidR="006628AC" w:rsidRPr="003676D3">
        <w:rPr>
          <w:rFonts w:ascii="Times New Roman" w:hAnsi="Times New Roman" w:cs="Times New Roman"/>
          <w:sz w:val="24"/>
          <w:szCs w:val="24"/>
        </w:rPr>
        <w:instrText>ADDIN CSL_CITATION {"citationItems":[{"id":"ITEM-1","itemData":{"DOI":"10.1016/J.EGYR.2021.05.037","ISSN":"2352-4847","abstract":"Transactive energy is an effective way to share and trade energy among peers. A transactive energy framework is composed of several integrated blocks such as an energy market, service providers, generation companies, transmission and distribution networks, prosumers, etc. The success of such a framework can be measured by analyzing the effectiveness of its major building blocks. This paper provides a basic definition of transactive energy which helps in identifying its primary building blocks. Based on the identified building blocks, each block of the transactive energy system is discussed briefly to highlight its significant role and effectiveness. Some enabling technologies for such systems are then reviewed along with pilot projects. In the end, some policy guidelines are presented to speed up their implementation.","author":[{"dropping-particle":"","family":"Huang","given":"Qi","non-dropping-particle":"","parse-names":false,"suffix":""},{"dropping-particle":"","family":"Amin","given":"Waqas","non-dropping-particle":"","parse-names":false,"suffix":""},{"dropping-particle":"","family":"Umer","given":"Khalid","non-dropping-particle":"","parse-names":false,"suffix":""},{"dropping-particle":"","family":"Gooi","given":"Hoay Beng","non-dropping-particle":"","parse-names":false,"suffix":""},{"dropping-particle":"","family":"Eddy","given":"Foo Yi Shyh","non-dropping-particle":"","parse-names":false,"suffix":""},{"dropping-particle":"","family":"Afzal","given":"Muhammad","non-dropping-particle":"","parse-names":false,"suffix":""},{"dropping-particle":"","family":"Shahzadi","given":"Mahnoor","non-dropping-particle":"","parse-names":false,"suffix":""},{"dropping-particle":"","family":"Khan","given":"Abdullah Aman","non-dropping-particle":"","parse-names":false,"suffix":""},{"dropping-particle":"","family":"Ahmad","given":"Syed Adrees","non-dropping-particle":"","parse-names":false,"suffix":""}],"container-title":"Energy Reports","id":"ITEM-1","issued":{"date-parts":[["2021","11","1"]]},"page":"7804-7824","publisher":"Elsevier","title":"A review of transactive energy systems: Concept and implementation","type":"article-journal","volume":"7"},"uris":["http://www.mendeley.com/documents/?uuid=e9b36103-7a03-3bbf-ac9c-f99325d78859"]}],"mendeley":{"formattedCitation":"[108]","plainTextFormattedCitation":"[108]","previouslyFormattedCitation":"[108]"},"properties":{"noteIndex":0},"schema":"https://github.com/citation-style-language/schema/raw/master/csl-citation.json"}</w:instrText>
      </w:r>
      <w:r w:rsidR="006628AC" w:rsidRPr="003676D3">
        <w:rPr>
          <w:rFonts w:ascii="Times New Roman" w:hAnsi="Times New Roman" w:cs="Times New Roman"/>
          <w:sz w:val="24"/>
          <w:szCs w:val="24"/>
        </w:rPr>
        <w:fldChar w:fldCharType="separate"/>
      </w:r>
      <w:r w:rsidR="006628AC" w:rsidRPr="003676D3">
        <w:rPr>
          <w:rFonts w:ascii="Times New Roman" w:hAnsi="Times New Roman" w:cs="Times New Roman"/>
          <w:noProof/>
          <w:sz w:val="24"/>
          <w:szCs w:val="24"/>
        </w:rPr>
        <w:t>[108]</w:t>
      </w:r>
      <w:r w:rsidR="006628AC" w:rsidRPr="003676D3">
        <w:rPr>
          <w:rFonts w:ascii="Times New Roman" w:hAnsi="Times New Roman" w:cs="Times New Roman"/>
          <w:sz w:val="24"/>
          <w:szCs w:val="24"/>
        </w:rPr>
        <w:fldChar w:fldCharType="end"/>
      </w:r>
      <w:r w:rsidR="00084F2D" w:rsidRPr="003676D3">
        <w:rPr>
          <w:rFonts w:ascii="Times New Roman" w:hAnsi="Times New Roman" w:cs="Times New Roman"/>
          <w:sz w:val="24"/>
          <w:szCs w:val="24"/>
        </w:rPr>
        <w:t>. The purpose of such a system would be to combine all available resources within a specific geographic footprint in order to fulfil lo</w:t>
      </w:r>
      <w:r w:rsidR="00B308EE" w:rsidRPr="003676D3">
        <w:rPr>
          <w:rFonts w:ascii="Times New Roman" w:hAnsi="Times New Roman" w:cs="Times New Roman"/>
          <w:sz w:val="24"/>
          <w:szCs w:val="24"/>
        </w:rPr>
        <w:t xml:space="preserve">ad at the lowest possible cost. Virtual Power Plants (VPPs) stands as a significant stride towards advancing future Sustainable Smart Grids (SSGs). </w:t>
      </w:r>
    </w:p>
    <w:p w14:paraId="6D0E2DC0" w14:textId="47BAF32C" w:rsidR="00940258" w:rsidRPr="003676D3" w:rsidRDefault="00370893"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In </w:t>
      </w:r>
      <w:r w:rsidR="00940258" w:rsidRPr="003676D3">
        <w:rPr>
          <w:rFonts w:ascii="Times New Roman" w:hAnsi="Times New Roman" w:cs="Times New Roman"/>
          <w:sz w:val="24"/>
          <w:szCs w:val="24"/>
        </w:rPr>
        <w:t>centralized energy exchange</w:t>
      </w:r>
      <w:r w:rsidRPr="003676D3">
        <w:rPr>
          <w:rFonts w:ascii="Times New Roman" w:hAnsi="Times New Roman" w:cs="Times New Roman"/>
          <w:sz w:val="24"/>
          <w:szCs w:val="24"/>
        </w:rPr>
        <w:t>, a central authority manages and controls transactions between prosumers</w:t>
      </w:r>
      <w:r w:rsidR="00BE2F97" w:rsidRPr="003676D3">
        <w:rPr>
          <w:rFonts w:ascii="Times New Roman" w:hAnsi="Times New Roman" w:cs="Times New Roman"/>
          <w:sz w:val="24"/>
          <w:szCs w:val="24"/>
        </w:rPr>
        <w:t xml:space="preserve">. This </w:t>
      </w:r>
      <w:r w:rsidRPr="003676D3">
        <w:rPr>
          <w:rFonts w:ascii="Times New Roman" w:hAnsi="Times New Roman" w:cs="Times New Roman"/>
          <w:sz w:val="24"/>
          <w:szCs w:val="24"/>
        </w:rPr>
        <w:t>ensur</w:t>
      </w:r>
      <w:r w:rsidR="00BE2F97" w:rsidRPr="003676D3">
        <w:rPr>
          <w:rFonts w:ascii="Times New Roman" w:hAnsi="Times New Roman" w:cs="Times New Roman"/>
          <w:sz w:val="24"/>
          <w:szCs w:val="24"/>
        </w:rPr>
        <w:t>es</w:t>
      </w:r>
      <w:r w:rsidRPr="003676D3">
        <w:rPr>
          <w:rFonts w:ascii="Times New Roman" w:hAnsi="Times New Roman" w:cs="Times New Roman"/>
          <w:sz w:val="24"/>
          <w:szCs w:val="24"/>
        </w:rPr>
        <w:t xml:space="preserve"> transparency and imposing penalties for contract violations. However, this central control poses significant risks to the security and privacy of participants</w:t>
      </w:r>
      <w:r w:rsidR="00BE2F97" w:rsidRPr="003676D3">
        <w:rPr>
          <w:rFonts w:ascii="Times New Roman" w:hAnsi="Times New Roman" w:cs="Times New Roman"/>
          <w:sz w:val="24"/>
          <w:szCs w:val="24"/>
        </w:rPr>
        <w:t xml:space="preserve">. It </w:t>
      </w:r>
      <w:r w:rsidRPr="003676D3">
        <w:rPr>
          <w:rFonts w:ascii="Times New Roman" w:hAnsi="Times New Roman" w:cs="Times New Roman"/>
          <w:sz w:val="24"/>
          <w:szCs w:val="24"/>
        </w:rPr>
        <w:t>adds</w:t>
      </w:r>
      <w:r w:rsidR="00BE2F97" w:rsidRPr="003676D3">
        <w:rPr>
          <w:rFonts w:ascii="Times New Roman" w:hAnsi="Times New Roman" w:cs="Times New Roman"/>
          <w:sz w:val="24"/>
          <w:szCs w:val="24"/>
        </w:rPr>
        <w:t xml:space="preserve"> to the</w:t>
      </w:r>
      <w:r w:rsidRPr="003676D3">
        <w:rPr>
          <w:rFonts w:ascii="Times New Roman" w:hAnsi="Times New Roman" w:cs="Times New Roman"/>
          <w:sz w:val="24"/>
          <w:szCs w:val="24"/>
        </w:rPr>
        <w:t xml:space="preserve"> time, cost, and computational burdens</w:t>
      </w:r>
      <w:r w:rsidR="006628AC" w:rsidRPr="003676D3">
        <w:rPr>
          <w:rFonts w:ascii="Times New Roman" w:hAnsi="Times New Roman" w:cs="Times New Roman"/>
          <w:sz w:val="24"/>
          <w:szCs w:val="24"/>
        </w:rPr>
        <w:t xml:space="preserve"> </w:t>
      </w:r>
      <w:r w:rsidR="006628AC" w:rsidRPr="003676D3">
        <w:rPr>
          <w:rFonts w:ascii="Times New Roman" w:hAnsi="Times New Roman" w:cs="Times New Roman"/>
          <w:sz w:val="24"/>
          <w:szCs w:val="24"/>
        </w:rPr>
        <w:fldChar w:fldCharType="begin" w:fldLock="1"/>
      </w:r>
      <w:r w:rsidR="006628AC" w:rsidRPr="003676D3">
        <w:rPr>
          <w:rFonts w:ascii="Times New Roman" w:hAnsi="Times New Roman" w:cs="Times New Roman"/>
          <w:sz w:val="24"/>
          <w:szCs w:val="24"/>
        </w:rPr>
        <w:instrText>ADDIN CSL_CITATION {"citationItems":[{"id":"ITEM-1","itemData":{"DOI":"10.1109/PADSW.2018.8645001","ISBN":"9781538673089","ISSN":"15219097","abstract":"Power grids are undergoing major changes due to rapid growth in renewable energy and improvements in battery technology. Prompted by the increasing complexity of power systems, decentralized IoT solutions are emerging, which arrange local communities into transactive microgrids. The core functionality of these solutions is to provide mechanisms for matching producers with consumers while ensuring system safety. However, there are multiple challenges that these solutions still face: privacy, trust, and resilience. The privacy challenge arises because the time series of production and consumption data for each participant is sensitive and may be used to infer personal information. Trust is an issue because a producer or consumer can renege on the promised energy transfer. Providing resilience is challenging due to the possibility of failures in the infrastructure that is required to support these market based solutions. In this paper, we develop a rigorous solution for transactive microgrids that addresses all three challenges by providing an innovative combination of MILP solvers, smart contracts, and publish-subscribe middleware within a framework of a novel distributed application platform, called Resilient Information Architecture Platform for Smart Grid. Towards this purpose, we describe the key architectural concepts, including fault tolerance, and show the trade-off between market efficiency and resource requirements,","author":[{"dropping-particle":"","family":"Laszka","given":"Aron","non-dropping-particle":"","parse-names":false,"suffix":""},{"dropping-particle":"","family":"Eisele","given":"Scott","non-dropping-particle":"","parse-names":false,"suffix":""},{"dropping-particle":"","family":"Dubey","given":"Abhishek","non-dropping-particle":"","parse-names":false,"suffix":""},{"dropping-particle":"","family":"Karsai","given":"Gabor","non-dropping-particle":"","parse-names":false,"suffix":""},{"dropping-particle":"","family":"Kvaternik","given":"Karla","non-dropping-particle":"","parse-names":false,"suffix":""}],"container-title":"Proceedings of the International Conference on Parallel and Distributed Systems - ICPADS","id":"ITEM-1","issued":{"date-parts":[["2018","7","2"]]},"page":"918-927","publisher":"IEEE Computer Society","title":"TRANSAX: A Blockchain-Based Decentralized Forward-Trading Energy Exchanged for Transactive Microgrids","type":"article-journal","volume":"2018-December"},"uris":["http://www.mendeley.com/documents/?uuid=f1d2ec20-0601-35c9-936d-01f72038ddbe"]},{"id":"ITEM-2","itemData":{"DOI":"10.1109/TII.2020.3018123","ISSN":"19410050","abstract":"Emerging smart grid technologies and increased penetration of renewable energy sources (RESs) direct the power sector to focus on RESs as an alternative to meet both baseload and peak load demands in a cost-efficient way. A key issue in such schemes is the design and analysis of energy trading techniques involving complex interactions between an aggregator and multiple electricity suppliers (ESs) with RESs fulfilling a certain demand. This is challenging because ESs can be of various categories, such as small/medium/large scale, and they are self-interested and generally have different preferences toward trading based on their types and constraints. This article introduces a new contract theoretic framework to tackle this challenge by designing optimal contracts for ESs. To this end, a dynamic pricing scheme is developed such that the aggregator can utilize to incentivize the ESs to contribute to both baseload and peak load demands according to their categories. An algorithm is proposed that can be implemented in a distributed manner by trading partners to enable energy trading. It is shown that the trading strategy under a baseload scenario is feasible, and the aggregator only needs to consider the per unit generation cost of ESs to decide on its strategy. The trading strategy for a peak load scenario, however, is complex and requires consideration of different factors, such as variations in the wholesale price and its effect on the selling price of ESs, and the uncertainty of energy generation from RESs. Simulation results demonstrate the effectiveness of the proposed scheme for energy trading in the local electricity market.","author":[{"dropping-particle":"","family":"Amin","given":"Uzma","non-dropping-particle":"","parse-names":false,"suffix":""},{"dropping-particle":"","family":"Hossain","given":"M. Jahangir","non-dropping-particle":"","parse-names":false,"suffix":""},{"dropping-particle":"","family":"Tushar","given":"Wayes","non-dropping-particle":"","parse-names":false,"suffix":""},{"dropping-particle":"","family":"Mahmud","given":"Khizir","non-dropping-particle":"","parse-names":false,"suffix":""}],"container-title":"IEEE Transactions on Industrial Informatics","id":"ITEM-2","issue":"6","issued":{"date-parts":[["2021","6","1"]]},"page":"3717-3730","publisher":"IEEE Computer Society","title":"Energy Trading in Local Electricity Market with Renewables - A Contract Theoretic Approach","type":"article-journal","volume":"17"},"uris":["http://www.mendeley.com/documents/?uuid=61c4af2d-2eb6-3e78-b616-3a39a23efee6"]},{"id":"ITEM-3","itemData":{"DOI":"10.1109/ACCESS.2020.3041931","ISSN":"21693536","abstract":"The rapid deployment of Electric Vehicles (EVs) and the integration of renewable energy sources have ameliorated the existing power systems and contributed to the development of greener smart communities. However, load balancing problems, security threats, privacy leakage issues, etc., remain unresolved. Many blockchain-based approaches have been used in literature to solve the aforementioned challenges. However, they are not sufficient to obtain satisfactory results because of the inefficient energy management methods and time-intensiveness of the primitive cryptographic executions on the network devices. In this paper, an efficient and secure blockchain-based Energy Trading (ET) model is proposed. It leverages the contract theory, incentive mechanism, and a reputation system for information asymmetry scenario. In order to motivate the ET entities to trade energy locally and EVs to participate in smart energy management, the proposed incentive provisioning mechanism plays a vital role. Besides, a reputation system improves the reliability and efficiency of the system and discourages the blockchain nodes from acting maliciously. A novel consensus algorithm, i.e., Proof of Work based on Reputation (PoWR), is proposed to reduce transaction confirmation latency and block creation time. Moreover, a shortest route algorithm, i.e., the Dijkstra algorithm, is implemented in order to reduce the traveling distance and energy consumption of the EVs during ET. The performance of the proposed model is evaluated using peak to average ratio, social welfare, utility of local aggregator, etc., as performance metrics. Moreover, privacy and security analyses of the system are also presented.","author":[{"dropping-particle":"","family":"Yahaya","given":"Adamu Sani","non-dropping-particle":"","parse-names":false,"suffix":""},{"dropping-particle":"","family":"Javaid","given":"Nadeem","non-dropping-particle":"","parse-names":false,"suffix":""},{"dropping-particle":"","family":"Javed","given":"Muhammad Umar","non-dropping-particle":"","parse-names":false,"suffix":""},{"dropping-particle":"","family":"Shafiq","given":"Muhammad","non-dropping-particle":"","parse-names":false,"suffix":""},{"dropping-particle":"","family":"Khan","given":"Wazir Zada","non-dropping-particle":"","parse-names":false,"suffix":""},{"dropping-particle":"","family":"Aalsalem","given":"Mohammed Y.","non-dropping-particle":"","parse-names":false,"suffix":""}],"container-title":"IEEE Access","id":"ITEM-3","issued":{"date-parts":[["2020"]]},"page":"222168-222186","publisher":"Institute of Electrical and Electronics Engineers Inc.","title":"Blockchain-Based Energy Trading and Load Balancing Using Contract Theory and Reputation in a Smart Community","type":"article-journal","volume":"8"},"uris":["http://www.mendeley.com/documents/?uuid=8661265a-fad3-329e-bd5b-a823f65754a3"]},{"id":"ITEM-4","itemData":{"DOI":"10.1109/ACCESS.2020.3038824","ISSN":"21693536","abstract":"Interconnected microgrids are becoming a building block in smart systems. Initiating secure and efficient energy trading mechanisms among networked microgrids for reliability and economic mutual benefits have become a crucial task. Recently, integrating blockchain technologies into the energy sector have gained significant amount of interest, e.g. transactive grid. This paper proposes a two-layer secured smart contract-based energy trading mechanism to allow microgrids to establish coalitions, adjust the electricity-trading price, and achieve transparent and decentralized secure transactions without intervention of a third trusted party. Since reliability benefits are main drivers of microgrids operation in islanded mode, a new decentralized smart contract based-energy trading model for islanded networked microgrids is proposed in the first layer with an objective to achieve demand generation balance. In the second layer, and to achieve a higher security, all executed contracts are verified and saved in a blockchain based on a new developed two-phase consensus method that utilizes practical Byzantine Fault Tolerance (pBFT), and a modified Proof of Stake (PoS). Simulations are conducted in Python environment to validate the proposed energy trading model.","author":[{"dropping-particle":"","family":"Masaud","given":"Tarek Medalel","non-dropping-particle":"","parse-names":false,"suffix":""},{"dropping-particle":"","family":"Warner","given":"Jonathan","non-dropping-particle":"","parse-names":false,"suffix":""},{"dropping-particle":"","family":"El-Saadany","given":"Ehab Fahmy","non-dropping-particle":"","parse-names":false,"suffix":""}],"container-title":"IEEE Access","id":"ITEM-4","issued":{"date-parts":[["2020"]]},"page":"211291-211302","publisher":"Institute of Electrical and Electronics Engineers Inc.","title":"A Blockchain-Enabled Decentralized Energy Trading Mechanism for Islanded Networked Microgrids","type":"article-journal","volume":"8"},"uris":["http://www.mendeley.com/documents/?uuid=9b3edba0-78b5-3d86-89f6-8f001db69dab"]}],"mendeley":{"formattedCitation":"[1,109–111]","plainTextFormattedCitation":"[1,109–111]","previouslyFormattedCitation":"[1,109–111]"},"properties":{"noteIndex":0},"schema":"https://github.com/citation-style-language/schema/raw/master/csl-citation.json"}</w:instrText>
      </w:r>
      <w:r w:rsidR="006628AC" w:rsidRPr="003676D3">
        <w:rPr>
          <w:rFonts w:ascii="Times New Roman" w:hAnsi="Times New Roman" w:cs="Times New Roman"/>
          <w:sz w:val="24"/>
          <w:szCs w:val="24"/>
        </w:rPr>
        <w:fldChar w:fldCharType="separate"/>
      </w:r>
      <w:r w:rsidR="006628AC" w:rsidRPr="003676D3">
        <w:rPr>
          <w:rFonts w:ascii="Times New Roman" w:hAnsi="Times New Roman" w:cs="Times New Roman"/>
          <w:noProof/>
          <w:sz w:val="24"/>
          <w:szCs w:val="24"/>
        </w:rPr>
        <w:t>[1,109–111]</w:t>
      </w:r>
      <w:r w:rsidR="006628AC"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To address these issues, </w:t>
      </w:r>
      <w:r w:rsidR="009E094F" w:rsidRPr="003676D3">
        <w:rPr>
          <w:rFonts w:ascii="Times New Roman" w:hAnsi="Times New Roman" w:cs="Times New Roman"/>
          <w:sz w:val="24"/>
          <w:szCs w:val="24"/>
        </w:rPr>
        <w:t>authors</w:t>
      </w:r>
      <w:r w:rsidRPr="003676D3">
        <w:rPr>
          <w:rFonts w:ascii="Times New Roman" w:hAnsi="Times New Roman" w:cs="Times New Roman"/>
          <w:sz w:val="24"/>
          <w:szCs w:val="24"/>
        </w:rPr>
        <w:t xml:space="preserve"> propose Blockchain-based decentralized energy transactions in Smart Grids (SG)</w:t>
      </w:r>
      <w:r w:rsidR="006628AC" w:rsidRPr="003676D3">
        <w:rPr>
          <w:rFonts w:ascii="Times New Roman" w:hAnsi="Times New Roman" w:cs="Times New Roman"/>
          <w:sz w:val="24"/>
          <w:szCs w:val="24"/>
        </w:rPr>
        <w:t xml:space="preserve"> </w:t>
      </w:r>
      <w:r w:rsidR="006628AC" w:rsidRPr="003676D3">
        <w:rPr>
          <w:rFonts w:ascii="Times New Roman" w:hAnsi="Times New Roman" w:cs="Times New Roman"/>
          <w:sz w:val="24"/>
          <w:szCs w:val="24"/>
        </w:rPr>
        <w:fldChar w:fldCharType="begin" w:fldLock="1"/>
      </w:r>
      <w:r w:rsidR="006628AC" w:rsidRPr="003676D3">
        <w:rPr>
          <w:rFonts w:ascii="Times New Roman" w:hAnsi="Times New Roman" w:cs="Times New Roman"/>
          <w:sz w:val="24"/>
          <w:szCs w:val="24"/>
        </w:rPr>
        <w:instrText>ADDIN CSL_CITATION {"citationItems":[{"id":"ITEM-1","itemData":{"DOI":"10.1016/J.RSER.2019.03.002","ISSN":"18790690","abstract":"The future of energy is complex, with fluctuating renewable resources in increasingly distributed systems. It is suggested that blockchain technology is a timely innovation with potential to facilitate this future. Peer-to-peer (P2P) microgrids can support renewable energy as well as economically empower consumers and prosumers. However, the rapid development of blockchain and prospects for P2P energy networks is coupled with several grey areas in the institutional landscape. The purpose of this paper is to holistically explore potential challenges of blockchain-based P2P microgrids, and propose practical implications for institutional development as well as academia. An analytical framework for P2P microgrids is developed based on literature review as well as expert interviews. The framework incorporates 1) Technological, 2) Economic, 3) Social, 4) Environmental and 5) Institutional dimensions. Directions for future work in practical and academic contexts are identified. It is suggested that bridging the gap from technological to institutional readiness would require the incorporation of all dimensions as well as their inter-relatedness. Gradual institutional change leveraging community-building and regulatory sandbox approaches are proposed as potential pathways in incorporating this multi-dimensionality, reducing cross-sectoral silos, and facilitating interoperability between current and future systems. By offering insight through holistic conceptualization, this paper aims to contribute to expanding research in building the pillars of a more substantiated institutional arch for blockchain in the energy sector.","author":[{"dropping-particle":"","family":"Ahl","given":"Amanda","non-dropping-particle":"","parse-names":false,"suffix":""},{"dropping-particle":"","family":"Yarime","given":"Masaru","non-dropping-particle":"","parse-names":false,"suffix":""},{"dropping-particle":"","family":"Tanaka","given":"Kenji","non-dropping-particle":"","parse-names":false,"suffix":""},{"dropping-particle":"","family":"Sagawa","given":"Daishi","non-dropping-particle":"","parse-names":false,"suffix":""}],"container-title":"Renewable and Sustainable Energy Reviews","id":"ITEM-1","issued":{"date-parts":[["2019","6","1"]]},"page":"200-211","publisher":"Elsevier Ltd","title":"Review of blockchain-based distributed energy: Implications for institutional development","type":"article-journal","volume":"107"},"uris":["http://www.mendeley.com/documents/?uuid=d1a4d1f4-944a-35e6-b79d-c9b36876d537"]}],"mendeley":{"formattedCitation":"[112]","plainTextFormattedCitation":"[112]","previouslyFormattedCitation":"[112]"},"properties":{"noteIndex":0},"schema":"https://github.com/citation-style-language/schema/raw/master/csl-citation.json"}</w:instrText>
      </w:r>
      <w:r w:rsidR="006628AC" w:rsidRPr="003676D3">
        <w:rPr>
          <w:rFonts w:ascii="Times New Roman" w:hAnsi="Times New Roman" w:cs="Times New Roman"/>
          <w:sz w:val="24"/>
          <w:szCs w:val="24"/>
        </w:rPr>
        <w:fldChar w:fldCharType="separate"/>
      </w:r>
      <w:r w:rsidR="006628AC" w:rsidRPr="003676D3">
        <w:rPr>
          <w:rFonts w:ascii="Times New Roman" w:hAnsi="Times New Roman" w:cs="Times New Roman"/>
          <w:noProof/>
          <w:sz w:val="24"/>
          <w:szCs w:val="24"/>
        </w:rPr>
        <w:t>[112]</w:t>
      </w:r>
      <w:r w:rsidR="006628AC"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w:t>
      </w:r>
      <w:r w:rsidR="00BE2F97" w:rsidRPr="003676D3">
        <w:rPr>
          <w:rFonts w:ascii="Times New Roman" w:hAnsi="Times New Roman" w:cs="Times New Roman"/>
          <w:sz w:val="24"/>
          <w:szCs w:val="24"/>
        </w:rPr>
        <w:t>and</w:t>
      </w:r>
      <w:r w:rsidRPr="003676D3">
        <w:rPr>
          <w:rFonts w:ascii="Times New Roman" w:hAnsi="Times New Roman" w:cs="Times New Roman"/>
          <w:sz w:val="24"/>
          <w:szCs w:val="24"/>
        </w:rPr>
        <w:t xml:space="preserve"> Peer-to-Peer (P2P) trading</w:t>
      </w:r>
      <w:r w:rsidR="006628AC" w:rsidRPr="003676D3">
        <w:rPr>
          <w:rFonts w:ascii="Times New Roman" w:hAnsi="Times New Roman" w:cs="Times New Roman"/>
          <w:sz w:val="24"/>
          <w:szCs w:val="24"/>
        </w:rPr>
        <w:t xml:space="preserve"> </w:t>
      </w:r>
      <w:r w:rsidR="006628AC" w:rsidRPr="003676D3">
        <w:rPr>
          <w:rFonts w:ascii="Times New Roman" w:hAnsi="Times New Roman" w:cs="Times New Roman"/>
          <w:sz w:val="24"/>
          <w:szCs w:val="24"/>
        </w:rPr>
        <w:fldChar w:fldCharType="begin" w:fldLock="1"/>
      </w:r>
      <w:r w:rsidR="0075169D" w:rsidRPr="003676D3">
        <w:rPr>
          <w:rFonts w:ascii="Times New Roman" w:hAnsi="Times New Roman" w:cs="Times New Roman"/>
          <w:sz w:val="24"/>
          <w:szCs w:val="24"/>
        </w:rPr>
        <w:instrText>ADDIN CSL_CITATION {"citationItems":[{"id":"ITEM-1","itemData":{"DOI":"10.1109/ISEEIE55684.2022.00049","ISBN":"9781665468749","abstract":"Smart energy and grid systems are leading to more affordable solutions for the transformation of the existing main grid into a system that can easily incorporate renewable and sustainable channels. Developing smaller microgrids is an effective approach to integrating smart energy into the main grid. Smart energy transactions for the units in the microgrid are done through peer-to-peer (P2P) technology. Coupled with distributed generation, it is enabling increased self-consumption of sustainably sourced energy, and the rise of prosumers' monetary benefits. Now with the advent of efficient solar arrays and microturbines, as well as smart battery management systems, a microgrid can be as small as a single house. Alternatively, houses can form smaller cells of a larger microgrid. Irrespective of the microgrid structure and scale, the current P2P transaction system makes it necessary to have an optimization strategy. This paper proposes the creation of a model that manages the highest energy-consuming loads in a residential scenario while maximizing revenue earned.","author":[{"dropping-particle":"","family":"Phadke","given":"Abhishek","non-dropping-particle":"","parse-names":false,"suffix":""},{"dropping-particle":"","family":"Antonio Medrano","given":"F.","non-dropping-particle":"","parse-names":false,"suffix":""},{"dropping-particle":"","family":"Brahmbhatt","given":"Jaimin","non-dropping-particle":"","parse-names":false,"suffix":""},{"dropping-particle":"","family":"Ustymenko","given":"Stanislav","non-dropping-particle":"","parse-names":false,"suffix":""}],"container-title":"2022 International Symposium on Electrical, Electronics and Information Engineering (ISEEIE)","id":"ITEM-1","issued":{"date-parts":[["2022"]]},"page":"240-246","publisher":"Institute of Electrical and Electronics Engineers Inc.","title":"A Framework for an Optimized Smart Energy System","type":"article-journal"},"uris":["http://www.mendeley.com/documents/?uuid=04e63f2e-d794-3537-a72c-669d1f2e9991"]},{"id":"ITEM-2","itemData":{"abstract":"UNFCCC (2020), “ME SOLshare: Peer-to-peer \nLastNameLastNameLastNamesmart village grids | Bangladesh”, United Nations Framework Convention on Climate Change, \nhttps://unfccc.int/climate-action/momentum-for\u0002change/ict-solutions/solshare.","author":[{"dropping-particle":"","family":"UNFCCC","given":"","non-dropping-particle":"","parse-names":false,"suffix":""}],"container-title":"United Nations Framework Convention on Climate Change","id":"ITEM-2","issued":{"date-parts":[["2020"]]},"title":"ME SOLshare: Peer-to-Peer Smart Village Grids | Bangladesh","type":"article-journal"},"uris":["http://www.mendeley.com/documents/?uuid=45af2f84-e5cd-46c6-afb1-ce9b54dc4a83"]}],"mendeley":{"formattedCitation":"[113,114]","plainTextFormattedCitation":"[113,114]","previouslyFormattedCitation":"[113,114]"},"properties":{"noteIndex":0},"schema":"https://github.com/citation-style-language/schema/raw/master/csl-citation.json"}</w:instrText>
      </w:r>
      <w:r w:rsidR="006628AC" w:rsidRPr="003676D3">
        <w:rPr>
          <w:rFonts w:ascii="Times New Roman" w:hAnsi="Times New Roman" w:cs="Times New Roman"/>
          <w:sz w:val="24"/>
          <w:szCs w:val="24"/>
        </w:rPr>
        <w:fldChar w:fldCharType="separate"/>
      </w:r>
      <w:r w:rsidR="0075169D" w:rsidRPr="003676D3">
        <w:rPr>
          <w:rFonts w:ascii="Times New Roman" w:hAnsi="Times New Roman" w:cs="Times New Roman"/>
          <w:noProof/>
          <w:sz w:val="24"/>
          <w:szCs w:val="24"/>
        </w:rPr>
        <w:t>[113,114]</w:t>
      </w:r>
      <w:r w:rsidR="006628AC"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without a central authority. This approach includes models like the </w:t>
      </w:r>
      <w:proofErr w:type="spellStart"/>
      <w:r w:rsidRPr="003676D3">
        <w:rPr>
          <w:rFonts w:ascii="Times New Roman" w:hAnsi="Times New Roman" w:cs="Times New Roman"/>
          <w:sz w:val="24"/>
          <w:szCs w:val="24"/>
        </w:rPr>
        <w:t>SolarCoin</w:t>
      </w:r>
      <w:proofErr w:type="spellEnd"/>
      <w:r w:rsidR="00BE2F97" w:rsidRPr="003676D3">
        <w:rPr>
          <w:rFonts w:ascii="Times New Roman" w:hAnsi="Times New Roman" w:cs="Times New Roman"/>
          <w:sz w:val="24"/>
          <w:szCs w:val="24"/>
        </w:rPr>
        <w:t xml:space="preserve">, which is a </w:t>
      </w:r>
      <w:r w:rsidRPr="003676D3">
        <w:rPr>
          <w:rFonts w:ascii="Times New Roman" w:hAnsi="Times New Roman" w:cs="Times New Roman"/>
          <w:sz w:val="24"/>
          <w:szCs w:val="24"/>
        </w:rPr>
        <w:t xml:space="preserve">digital currency for transactions among </w:t>
      </w:r>
      <w:r w:rsidR="00BE2F97" w:rsidRPr="003676D3">
        <w:rPr>
          <w:rFonts w:ascii="Times New Roman" w:hAnsi="Times New Roman" w:cs="Times New Roman"/>
          <w:sz w:val="24"/>
          <w:szCs w:val="24"/>
        </w:rPr>
        <w:t>p</w:t>
      </w:r>
      <w:r w:rsidRPr="003676D3">
        <w:rPr>
          <w:rFonts w:ascii="Times New Roman" w:hAnsi="Times New Roman" w:cs="Times New Roman"/>
          <w:sz w:val="24"/>
          <w:szCs w:val="24"/>
        </w:rPr>
        <w:t xml:space="preserve">rosumers </w:t>
      </w:r>
      <w:r w:rsidR="004B1918" w:rsidRPr="003676D3">
        <w:rPr>
          <w:rFonts w:ascii="Times New Roman" w:hAnsi="Times New Roman" w:cs="Times New Roman"/>
          <w:sz w:val="24"/>
          <w:szCs w:val="24"/>
        </w:rPr>
        <w:t>or energy</w:t>
      </w:r>
      <w:r w:rsidRPr="003676D3">
        <w:rPr>
          <w:rFonts w:ascii="Times New Roman" w:hAnsi="Times New Roman" w:cs="Times New Roman"/>
          <w:sz w:val="24"/>
          <w:szCs w:val="24"/>
        </w:rPr>
        <w:t xml:space="preserve"> </w:t>
      </w:r>
      <w:r w:rsidR="00BE2F97" w:rsidRPr="003676D3">
        <w:rPr>
          <w:rFonts w:ascii="Times New Roman" w:hAnsi="Times New Roman" w:cs="Times New Roman"/>
          <w:sz w:val="24"/>
          <w:szCs w:val="24"/>
        </w:rPr>
        <w:t xml:space="preserve">communities. This might </w:t>
      </w:r>
      <w:r w:rsidRPr="003676D3">
        <w:rPr>
          <w:rFonts w:ascii="Times New Roman" w:hAnsi="Times New Roman" w:cs="Times New Roman"/>
          <w:sz w:val="24"/>
          <w:szCs w:val="24"/>
        </w:rPr>
        <w:t>enhanc</w:t>
      </w:r>
      <w:r w:rsidR="00BE2F97" w:rsidRPr="003676D3">
        <w:rPr>
          <w:rFonts w:ascii="Times New Roman" w:hAnsi="Times New Roman" w:cs="Times New Roman"/>
          <w:sz w:val="24"/>
          <w:szCs w:val="24"/>
        </w:rPr>
        <w:t>e</w:t>
      </w:r>
      <w:r w:rsidRPr="003676D3">
        <w:rPr>
          <w:rFonts w:ascii="Times New Roman" w:hAnsi="Times New Roman" w:cs="Times New Roman"/>
          <w:sz w:val="24"/>
          <w:szCs w:val="24"/>
        </w:rPr>
        <w:t xml:space="preserve"> security, efficiency, and autonomy in energy trading</w:t>
      </w:r>
      <w:r w:rsidR="0075169D" w:rsidRPr="003676D3">
        <w:rPr>
          <w:rFonts w:ascii="Times New Roman" w:hAnsi="Times New Roman" w:cs="Times New Roman"/>
          <w:sz w:val="24"/>
          <w:szCs w:val="24"/>
        </w:rPr>
        <w:t xml:space="preserve"> </w:t>
      </w:r>
      <w:r w:rsidR="0075169D" w:rsidRPr="003676D3">
        <w:rPr>
          <w:rFonts w:ascii="Times New Roman" w:hAnsi="Times New Roman" w:cs="Times New Roman"/>
          <w:sz w:val="24"/>
          <w:szCs w:val="24"/>
        </w:rPr>
        <w:fldChar w:fldCharType="begin" w:fldLock="1"/>
      </w:r>
      <w:r w:rsidR="0075169D" w:rsidRPr="003676D3">
        <w:rPr>
          <w:rFonts w:ascii="Times New Roman" w:hAnsi="Times New Roman" w:cs="Times New Roman"/>
          <w:sz w:val="24"/>
          <w:szCs w:val="24"/>
        </w:rPr>
        <w:instrText>ADDIN CSL_CITATION {"citationItems":[{"id":"ITEM-1","itemData":{"DOI":"10.3390/S21093088","ISSN":"14248220","PMID":"33946631","abstract":"A central authority, in a conventional centralized energy trading market, superintends energy and financial transactions. The central authority manages and controls transparent energy trading between producer and consumer, imposes a penalty in case of contract violation, and disburses numerous rewards. However, the management and control through the third party pose a significant threat to the security and privacy of consumers’/producers’ (participants) profiles. The energy transactions between participants involving central authority utilize users’ time, money, and impose a computational burden over the central controlling authority. The Blockchain-based decentralized energy transaction concept, bypassing the central authority, is proposed in Smart Grid (SG) by researchers. Blockchain technology braces the concept of Peer-to-Peer (P2P) energy transactions. This work encompasses the SolarCoin-based digital currency blockchain model for SG incorporating RE. Energy transactions from Prosumer (P) to Prosumer, Energy District to Energy District, and Energy District to SG are thoroughly investigated and analyzed in this work. A robust demand-side optimized model is proposed using Genetic Algorithm (GA) and Particle Swarm Optimization (PSO) to maximize Prosumer Energy Surplus (PES), Grid revenue (GR), percentage energy transactions accomplished, and decreased Prosumer Energy Cost (PEC). Real-time averaged energy data of Australia are employed, and a piece-wise energy price mechanism is implemented in this work. The graphical analysis and tabular statistics manifest the efficacy of the proposed model.","author":[{"dropping-particle":"","family":"Rehman","given":"Sana","non-dropping-particle":"","parse-names":false,"suffix":""},{"dropping-particle":"","family":"Khan","given":"Bilal","non-dropping-particle":"","parse-names":false,"suffix":""},{"dropping-particle":"","family":"Arif","given":"Jawad","non-dropping-particle":"","parse-names":false,"suffix":""},{"dropping-particle":"","family":"Ullah","given":"Zahid","non-dropping-particle":"","parse-names":false,"suffix":""},{"dropping-particle":"","family":"Aljuhani","given":"Abdullah J.","non-dropping-particle":"","parse-names":false,"suffix":""},{"dropping-particle":"","family":"Alhindi","given":"Ahmad","non-dropping-particle":"","parse-names":false,"suffix":""},{"dropping-particle":"","family":"Ali","given":"Sahibzada M.","non-dropping-particle":"","parse-names":false,"suffix":""}],"container-title":"Sensors (Basel, Switzerland)","id":"ITEM-1","issue":"9","issued":{"date-parts":[["2021","5","1"]]},"publisher":"MDPI AG","title":"Bi-Directional Mutual Energy Trade between Smart Grid and Energy Districts Using Renewable Energy Credits","type":"article-journal","volume":"21"},"uris":["http://www.mendeley.com/documents/?uuid=7e6643ae-6d00-333c-995e-337ee583ddf0"]},{"id":"ITEM-2","itemData":{"DOI":"10.1016/j.apenergy.2017.05.066","ISSN":"03062619","abstract":"Future distribution systems will accommodate an increasing share of distributed energy resources (DERs). Facing with this new reality, virtual power plants (VPPs) play a key role to aggregate DERs with the aim of facilitating their involvement in wholesale electricity markets. In this paper, the trading strategies of a VPP in cooperation with its neighboring VPPs are addressed. Toward this aim, a portfolio of inter-regional contracts is considered to model this cooperation and maximize the energy trade opportunities of the VPP within a medium-term horizon. To hedge against profit variability caused by market price uncertainties, two efficient risk management approaches are also implemented in the VPP decision-making problem based on the concepts of conditional value at risk (CVaR) and second-order stochastic dominance constraints (SSD). The resulting models are formulated as mixed-integer linear programming (MILP) problems that can be solved using off-the-shelf software packages. The efficiency of the proposed risk-hedging models is analyzed through a detailed case study, and thereby relevant conclusions are drawn.","author":[{"dropping-particle":"","family":"Shabanzadeh","given":"Morteza","non-dropping-particle":"","parse-names":false,"suffix":""},{"dropping-particle":"","family":"Sheikh-El-Eslami","given":"Mohammad Kazem","non-dropping-particle":"","parse-names":false,"suffix":""},{"dropping-particle":"","family":"Haghifam","given":"Mahmoud Reza","non-dropping-particle":"","parse-names":false,"suffix":""}],"container-title":"Applied Energy","id":"ITEM-2","issued":{"date-parts":[["2017"]]},"title":"An interactive cooperation model for neighboring virtual power plants","type":"article-journal"},"uris":["http://www.mendeley.com/documents/?uuid=93406976-9afa-4273-8c3d-0c690cb2eab6"]},{"id":"ITEM-3","itemData":{"abstract":"As the distributed energy generation and storage technologies are becoming economically viable, energy trading is gradually becoming a profit making option for end-users. This trend is further supported by the regulators and the policy makers as it aids the efficiency of power grid operations, reduces power generation cost and the Green House Gas (GHG) emissions. To that end, in this paper we provide an overview of distributed energy trading concepts in smart grid. First, we identify the motivation and the desired outcomes of energy trading framework. Then we present the enabling technologies that are required to generate, store, and communicate with the trading agencies. Finally, we survey on the existing literature and present an array of mathematical frameworks employed.","author":[{"dropping-particle":"","family":"Safak Bayram","given":"I","non-dropping-particle":"","parse-names":false,"suffix":""},{"dropping-particle":"","family":"Shakir","given":"Muhammad Z","non-dropping-particle":"","parse-names":false,"suffix":""},{"dropping-particle":"","family":"Abdallah","given":"Mohamed","non-dropping-particle":"","parse-names":false,"suffix":""},{"dropping-particle":"","family":"Member","given":"Senior","non-dropping-particle":"","parse-names":false,"suffix":""},{"dropping-particle":"","family":"Qaraqe","given":"Khalid","non-dropping-particle":"","parse-names":false,"suffix":""}],"id":"ITEM-3","issued":{"date-parts":[["2014"]]},"title":"A Survey on Energy Trading in Smart Grid","type":"article-journal"},"uris":["http://www.mendeley.com/documents/?uuid=f2b95fa7-7d0f-3700-9b1a-d4e708c6cbc4"]},{"id":"ITEM-4","itemData":{"author":[{"dropping-particle":"","family":"Xiaohu","given":"Zhang","non-dropping-particle":"","parse-names":false,"suffix":""}],"container-title":"Power system technology","id":"ITEM-4","issued":{"date-parts":[["2013"]]},"title":"Carbon Trading Based Low-Carbon Economic Dispatching for Power Grid Integrated With Wind Power System","type":"article-journal"},"uris":["http://www.mendeley.com/documents/?uuid=7125062b-7e2c-342b-9359-fca73186528e"]}],"mendeley":{"formattedCitation":"[5,105,115,116]","plainTextFormattedCitation":"[5,105,115,116]","previouslyFormattedCitation":"[5,105,115,116]"},"properties":{"noteIndex":0},"schema":"https://github.com/citation-style-language/schema/raw/master/csl-citation.json"}</w:instrText>
      </w:r>
      <w:r w:rsidR="0075169D" w:rsidRPr="003676D3">
        <w:rPr>
          <w:rFonts w:ascii="Times New Roman" w:hAnsi="Times New Roman" w:cs="Times New Roman"/>
          <w:sz w:val="24"/>
          <w:szCs w:val="24"/>
        </w:rPr>
        <w:fldChar w:fldCharType="separate"/>
      </w:r>
      <w:r w:rsidR="0075169D" w:rsidRPr="003676D3">
        <w:rPr>
          <w:rFonts w:ascii="Times New Roman" w:hAnsi="Times New Roman" w:cs="Times New Roman"/>
          <w:noProof/>
          <w:sz w:val="24"/>
          <w:szCs w:val="24"/>
        </w:rPr>
        <w:t>[5,105,115,116]</w:t>
      </w:r>
      <w:r w:rsidR="0075169D"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w:t>
      </w:r>
    </w:p>
    <w:p w14:paraId="52B7B946" w14:textId="773273D5" w:rsidR="00940258" w:rsidRPr="003676D3" w:rsidRDefault="00370893"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Decentralized energy markets typically prioritize resilience and safety but</w:t>
      </w:r>
      <w:r w:rsidR="00BE2F97" w:rsidRPr="003676D3">
        <w:rPr>
          <w:rFonts w:ascii="Times New Roman" w:hAnsi="Times New Roman" w:cs="Times New Roman"/>
          <w:sz w:val="24"/>
          <w:szCs w:val="24"/>
        </w:rPr>
        <w:t xml:space="preserve"> also</w:t>
      </w:r>
      <w:r w:rsidRPr="003676D3">
        <w:rPr>
          <w:rFonts w:ascii="Times New Roman" w:hAnsi="Times New Roman" w:cs="Times New Roman"/>
          <w:sz w:val="24"/>
          <w:szCs w:val="24"/>
        </w:rPr>
        <w:t xml:space="preserve"> often </w:t>
      </w:r>
      <w:r w:rsidR="00BE2F97" w:rsidRPr="003676D3">
        <w:rPr>
          <w:rFonts w:ascii="Times New Roman" w:hAnsi="Times New Roman" w:cs="Times New Roman"/>
          <w:sz w:val="24"/>
          <w:szCs w:val="24"/>
        </w:rPr>
        <w:t>at the expense of</w:t>
      </w:r>
      <w:r w:rsidRPr="003676D3">
        <w:rPr>
          <w:rFonts w:ascii="Times New Roman" w:hAnsi="Times New Roman" w:cs="Times New Roman"/>
          <w:sz w:val="24"/>
          <w:szCs w:val="24"/>
        </w:rPr>
        <w:t xml:space="preserve"> privacy. TRANSAX model enables efficient energy trading by matching </w:t>
      </w:r>
      <w:r w:rsidR="002E7150" w:rsidRPr="003676D3">
        <w:rPr>
          <w:rFonts w:ascii="Times New Roman" w:hAnsi="Times New Roman" w:cs="Times New Roman"/>
          <w:sz w:val="24"/>
          <w:szCs w:val="24"/>
        </w:rPr>
        <w:t>possible</w:t>
      </w:r>
      <w:r w:rsidRPr="003676D3">
        <w:rPr>
          <w:rFonts w:ascii="Times New Roman" w:hAnsi="Times New Roman" w:cs="Times New Roman"/>
          <w:sz w:val="24"/>
          <w:szCs w:val="24"/>
        </w:rPr>
        <w:t xml:space="preserve"> </w:t>
      </w:r>
      <w:r w:rsidR="002E7150" w:rsidRPr="003676D3">
        <w:rPr>
          <w:rFonts w:ascii="Times New Roman" w:hAnsi="Times New Roman" w:cs="Times New Roman"/>
          <w:sz w:val="24"/>
          <w:szCs w:val="24"/>
        </w:rPr>
        <w:t>exchange</w:t>
      </w:r>
      <w:r w:rsidRPr="003676D3">
        <w:rPr>
          <w:rFonts w:ascii="Times New Roman" w:hAnsi="Times New Roman" w:cs="Times New Roman"/>
          <w:sz w:val="24"/>
          <w:szCs w:val="24"/>
        </w:rPr>
        <w:t>, aiding system operators in planning their energy needs. TRANSAX</w:t>
      </w:r>
      <w:r w:rsidR="0075169D" w:rsidRPr="003676D3">
        <w:rPr>
          <w:rFonts w:ascii="Times New Roman" w:hAnsi="Times New Roman" w:cs="Times New Roman"/>
          <w:sz w:val="24"/>
          <w:szCs w:val="24"/>
        </w:rPr>
        <w:t xml:space="preserve"> </w:t>
      </w:r>
      <w:r w:rsidR="0075169D" w:rsidRPr="003676D3">
        <w:rPr>
          <w:rFonts w:ascii="Times New Roman" w:hAnsi="Times New Roman" w:cs="Times New Roman"/>
          <w:sz w:val="24"/>
          <w:szCs w:val="24"/>
        </w:rPr>
        <w:fldChar w:fldCharType="begin" w:fldLock="1"/>
      </w:r>
      <w:r w:rsidR="00560079" w:rsidRPr="003676D3">
        <w:rPr>
          <w:rFonts w:ascii="Times New Roman" w:hAnsi="Times New Roman" w:cs="Times New Roman"/>
          <w:sz w:val="24"/>
          <w:szCs w:val="24"/>
        </w:rPr>
        <w:instrText>ADDIN CSL_CITATION {"citationItems":[{"id":"ITEM-1","itemData":{"DOI":"10.1109/PADSW.2018.8645001","ISBN":"9781538673089","ISSN":"15219097","abstract":"Power grids are undergoing major changes due to rapid growth in renewable energy and improvements in battery technology. Prompted by the increasing complexity of power systems, decentralized IoT solutions are emerging, which arrange local communities into transactive microgrids. The core functionality of these solutions is to provide mechanisms for matching producers with consumers while ensuring system safety. However, there are multiple challenges that these solutions still face: privacy, trust, and resilience. The privacy challenge arises because the time series of production and consumption data for each participant is sensitive and may be used to infer personal information. Trust is an issue because a producer or consumer can renege on the promised energy transfer. Providing resilience is challenging due to the possibility of failures in the infrastructure that is required to support these market based solutions. In this paper, we develop a rigorous solution for transactive microgrids that addresses all three challenges by providing an innovative combination of MILP solvers, smart contracts, and publish-subscribe middleware within a framework of a novel distributed application platform, called Resilient Information Architecture Platform for Smart Grid. Towards this purpose, we describe the key architectural concepts, including fault tolerance, and show the trade-off between market efficiency and resource requirements,","author":[{"dropping-particle":"","family":"Laszka","given":"Aron","non-dropping-particle":"","parse-names":false,"suffix":""},{"dropping-particle":"","family":"Eisele","given":"Scott","non-dropping-particle":"","parse-names":false,"suffix":""},{"dropping-particle":"","family":"Dubey","given":"Abhishek","non-dropping-particle":"","parse-names":false,"suffix":""},{"dropping-particle":"","family":"Karsai","given":"Gabor","non-dropping-particle":"","parse-names":false,"suffix":""},{"dropping-particle":"","family":"Kvaternik","given":"Karla","non-dropping-particle":"","parse-names":false,"suffix":""}],"container-title":"Proceedings of the International Conference on Parallel and Distributed Systems - ICPADS","id":"ITEM-1","issued":{"date-parts":[["2018","7","2"]]},"page":"918-927","publisher":"IEEE Computer Society","title":"TRANSAX: A Blockchain-Based Decentralized Forward-Trading Energy Exchanged for Transactive Microgrids","type":"article-journal","volume":"2018-December"},"uris":["http://www.mendeley.com/documents/?uuid=f1d2ec20-0601-35c9-936d-01f72038ddbe"]}],"mendeley":{"formattedCitation":"[109]","plainTextFormattedCitation":"[109]","previouslyFormattedCitation":"[109]"},"properties":{"noteIndex":0},"schema":"https://github.com/citation-style-language/schema/raw/master/csl-citation.json"}</w:instrText>
      </w:r>
      <w:r w:rsidR="0075169D" w:rsidRPr="003676D3">
        <w:rPr>
          <w:rFonts w:ascii="Times New Roman" w:hAnsi="Times New Roman" w:cs="Times New Roman"/>
          <w:sz w:val="24"/>
          <w:szCs w:val="24"/>
        </w:rPr>
        <w:fldChar w:fldCharType="separate"/>
      </w:r>
      <w:r w:rsidR="0075169D" w:rsidRPr="003676D3">
        <w:rPr>
          <w:rFonts w:ascii="Times New Roman" w:hAnsi="Times New Roman" w:cs="Times New Roman"/>
          <w:noProof/>
          <w:sz w:val="24"/>
          <w:szCs w:val="24"/>
        </w:rPr>
        <w:t>[109]</w:t>
      </w:r>
      <w:r w:rsidR="0075169D"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ensures participant privacy through anonym</w:t>
      </w:r>
      <w:r w:rsidR="002E7150" w:rsidRPr="003676D3">
        <w:rPr>
          <w:rFonts w:ascii="Times New Roman" w:hAnsi="Times New Roman" w:cs="Times New Roman"/>
          <w:sz w:val="24"/>
          <w:szCs w:val="24"/>
        </w:rPr>
        <w:t>ous</w:t>
      </w:r>
      <w:r w:rsidRPr="003676D3">
        <w:rPr>
          <w:rFonts w:ascii="Times New Roman" w:hAnsi="Times New Roman" w:cs="Times New Roman"/>
          <w:sz w:val="24"/>
          <w:szCs w:val="24"/>
        </w:rPr>
        <w:t xml:space="preserve"> trading activities</w:t>
      </w:r>
      <w:r w:rsidR="002E7150" w:rsidRPr="003676D3">
        <w:rPr>
          <w:rFonts w:ascii="Times New Roman" w:hAnsi="Times New Roman" w:cs="Times New Roman"/>
          <w:sz w:val="24"/>
          <w:szCs w:val="24"/>
        </w:rPr>
        <w:t>. It</w:t>
      </w:r>
      <w:r w:rsidRPr="003676D3">
        <w:rPr>
          <w:rFonts w:ascii="Times New Roman" w:hAnsi="Times New Roman" w:cs="Times New Roman"/>
          <w:sz w:val="24"/>
          <w:szCs w:val="24"/>
        </w:rPr>
        <w:t xml:space="preserve"> enforc</w:t>
      </w:r>
      <w:r w:rsidR="002E7150" w:rsidRPr="003676D3">
        <w:rPr>
          <w:rFonts w:ascii="Times New Roman" w:hAnsi="Times New Roman" w:cs="Times New Roman"/>
          <w:sz w:val="24"/>
          <w:szCs w:val="24"/>
        </w:rPr>
        <w:t>e</w:t>
      </w:r>
      <w:r w:rsidRPr="003676D3">
        <w:rPr>
          <w:rFonts w:ascii="Times New Roman" w:hAnsi="Times New Roman" w:cs="Times New Roman"/>
          <w:sz w:val="24"/>
          <w:szCs w:val="24"/>
        </w:rPr>
        <w:t xml:space="preserve"> safety constraints like maintaining energy flow within line capacities</w:t>
      </w:r>
      <w:r w:rsidR="0075169D" w:rsidRPr="003676D3">
        <w:rPr>
          <w:rFonts w:ascii="Times New Roman" w:hAnsi="Times New Roman" w:cs="Times New Roman"/>
          <w:sz w:val="24"/>
          <w:szCs w:val="24"/>
        </w:rPr>
        <w:t xml:space="preserve"> </w:t>
      </w:r>
      <w:r w:rsidR="0075169D" w:rsidRPr="003676D3">
        <w:rPr>
          <w:rFonts w:ascii="Times New Roman" w:hAnsi="Times New Roman" w:cs="Times New Roman"/>
          <w:sz w:val="24"/>
          <w:szCs w:val="24"/>
        </w:rPr>
        <w:fldChar w:fldCharType="begin" w:fldLock="1"/>
      </w:r>
      <w:r w:rsidR="0075169D" w:rsidRPr="003676D3">
        <w:rPr>
          <w:rFonts w:ascii="Times New Roman" w:hAnsi="Times New Roman" w:cs="Times New Roman"/>
          <w:sz w:val="24"/>
          <w:szCs w:val="24"/>
        </w:rPr>
        <w:instrText>ADDIN CSL_CITATION {"citationItems":[{"id":"ITEM-1","itemData":{"DOI":"10.1145/3403711","ISSN":"23789638","abstract":"Power grids are evolving at an unprecedented pace due to the rapid growth of distributed energy resources (DER) in communities. These resources are very different from traditional power sources, as they are located closer to loads and thus can significantly reduce transmission losses and carbon emissions. However, their intermittent and variable nature often results in spikes in the overall demand on distribution system operators (DSO). To manage these challenges, there has been a surge of interest in building decentralized control schemes, where a pool of DERs combined with energy storage devices can exchange energy locally to smooth fluctuations in net demand. Building a decentralized market for transactive microgrids is challenging, because even though a decentralized system provides resilience, it also must satisfy requirements such as privacy, efficiency, safety, and security, which are often in conflict with each other. As such, existing implementations of decentralized markets often focus on resilience and safety but compromise on privacy. In this article, we describe our platform, called TRANSAX, which enables participants to trade in an energy futures market, which improves efficiency by finding feasible matches for energy trades, enabling DSOs to plan their energy needs better. TRANSAX provides privacy to participants by anonymizing their trading activity using a distributed mixing service, while also enforcing constraints that limit trading activity based on safety requirements, such as keeping planned energy flow below line capacity. We show that TRANSAX can satisfy the seemingly conflicting requirements of efficiency, safety, and privacy. We also provide an analysis of how much trading efficiency is lost. Trading efficiency is improved through the problem formulation, which accounts for temporal flexibility, and system efficiency is improved using a hybrid-solver architecture. Finally, we describe a testbed to run experiments and demonstrate its performance using simulation results.","author":[{"dropping-particle":"","family":"Eisele","given":"Scott","non-dropping-particle":"","parse-names":false,"suffix":""},{"dropping-particle":"","family":"Eghtesad","given":"Taha","non-dropping-particle":"","parse-names":false,"suffix":""},{"dropping-particle":"","family":"Campanelli","given":"Keegan","non-dropping-particle":"","parse-names":false,"suffix":""},{"dropping-particle":"","family":"Agrawal","given":"Prakhar","non-dropping-particle":"","parse-names":false,"suffix":""},{"dropping-particle":"","family":"Laszka","given":"Aron","non-dropping-particle":"","parse-names":false,"suffix":""},{"dropping-particle":"","family":"Dubey","given":"Abhishek","non-dropping-particle":"","parse-names":false,"suffix":""}],"container-title":"ACM Transactions on Cyber-Physical Systems","id":"ITEM-1","issue":"1","issued":{"date-parts":[["2021","1","1"]]},"publisher":"Association for Computing Machinery","title":"Safe and private forward-trading platform for transactive microgrids","type":"article-journal","volume":"5"},"uris":["http://www.mendeley.com/documents/?uuid=9dae1e41-2677-3473-b0d7-ae26d2d05edb"]}],"mendeley":{"formattedCitation":"[117]","plainTextFormattedCitation":"[117]","previouslyFormattedCitation":"[117]"},"properties":{"noteIndex":0},"schema":"https://github.com/citation-style-language/schema/raw/master/csl-citation.json"}</w:instrText>
      </w:r>
      <w:r w:rsidR="0075169D" w:rsidRPr="003676D3">
        <w:rPr>
          <w:rFonts w:ascii="Times New Roman" w:hAnsi="Times New Roman" w:cs="Times New Roman"/>
          <w:sz w:val="24"/>
          <w:szCs w:val="24"/>
        </w:rPr>
        <w:fldChar w:fldCharType="separate"/>
      </w:r>
      <w:r w:rsidR="0075169D" w:rsidRPr="003676D3">
        <w:rPr>
          <w:rFonts w:ascii="Times New Roman" w:hAnsi="Times New Roman" w:cs="Times New Roman"/>
          <w:noProof/>
          <w:sz w:val="24"/>
          <w:szCs w:val="24"/>
        </w:rPr>
        <w:t>[117]</w:t>
      </w:r>
      <w:r w:rsidR="0075169D" w:rsidRPr="003676D3">
        <w:rPr>
          <w:rFonts w:ascii="Times New Roman" w:hAnsi="Times New Roman" w:cs="Times New Roman"/>
          <w:sz w:val="24"/>
          <w:szCs w:val="24"/>
        </w:rPr>
        <w:fldChar w:fldCharType="end"/>
      </w:r>
      <w:r w:rsidR="00940258" w:rsidRPr="003676D3">
        <w:rPr>
          <w:rFonts w:ascii="Times New Roman" w:hAnsi="Times New Roman" w:cs="Times New Roman"/>
          <w:sz w:val="24"/>
          <w:szCs w:val="24"/>
        </w:rPr>
        <w:t xml:space="preserve">. </w:t>
      </w:r>
      <w:r w:rsidR="00AA5672" w:rsidRPr="003676D3">
        <w:rPr>
          <w:rFonts w:ascii="Times New Roman" w:hAnsi="Times New Roman" w:cs="Times New Roman"/>
          <w:sz w:val="24"/>
          <w:szCs w:val="24"/>
        </w:rPr>
        <w:t>Prosumers and active users can be managed through Distributed Ledger Technology (DLT), particularly blockchain</w:t>
      </w:r>
      <w:r w:rsidR="00A715A2" w:rsidRPr="003676D3">
        <w:rPr>
          <w:rFonts w:ascii="Times New Roman" w:hAnsi="Times New Roman" w:cs="Times New Roman"/>
          <w:sz w:val="24"/>
          <w:szCs w:val="24"/>
        </w:rPr>
        <w:t xml:space="preserve"> for energy exchange. It </w:t>
      </w:r>
      <w:r w:rsidR="00AA5672" w:rsidRPr="003676D3">
        <w:rPr>
          <w:rFonts w:ascii="Times New Roman" w:hAnsi="Times New Roman" w:cs="Times New Roman"/>
          <w:sz w:val="24"/>
          <w:szCs w:val="24"/>
        </w:rPr>
        <w:t xml:space="preserve">enables secure smart contracts between </w:t>
      </w:r>
      <w:r w:rsidR="00A715A2" w:rsidRPr="003676D3">
        <w:rPr>
          <w:rFonts w:ascii="Times New Roman" w:hAnsi="Times New Roman" w:cs="Times New Roman"/>
          <w:sz w:val="24"/>
          <w:szCs w:val="24"/>
        </w:rPr>
        <w:t>them</w:t>
      </w:r>
      <w:r w:rsidR="00AA5672" w:rsidRPr="003676D3">
        <w:rPr>
          <w:rFonts w:ascii="Times New Roman" w:hAnsi="Times New Roman" w:cs="Times New Roman"/>
          <w:sz w:val="24"/>
          <w:szCs w:val="24"/>
        </w:rPr>
        <w:t>, safeguarded by cryptographic hashes</w:t>
      </w:r>
      <w:r w:rsidR="0075169D" w:rsidRPr="003676D3">
        <w:rPr>
          <w:rFonts w:ascii="Times New Roman" w:hAnsi="Times New Roman" w:cs="Times New Roman"/>
          <w:sz w:val="24"/>
          <w:szCs w:val="24"/>
        </w:rPr>
        <w:t xml:space="preserve"> </w:t>
      </w:r>
      <w:r w:rsidR="0075169D" w:rsidRPr="003676D3">
        <w:rPr>
          <w:rFonts w:ascii="Times New Roman" w:hAnsi="Times New Roman" w:cs="Times New Roman"/>
          <w:sz w:val="24"/>
          <w:szCs w:val="24"/>
        </w:rPr>
        <w:fldChar w:fldCharType="begin" w:fldLock="1"/>
      </w:r>
      <w:r w:rsidR="0075169D" w:rsidRPr="003676D3">
        <w:rPr>
          <w:rFonts w:ascii="Times New Roman" w:hAnsi="Times New Roman" w:cs="Times New Roman"/>
          <w:sz w:val="24"/>
          <w:szCs w:val="24"/>
        </w:rPr>
        <w:instrText>ADDIN CSL_CITATION {"citationItems":[{"id":"ITEM-1","itemData":{"DOI":"10.1109/JSYST.2019.2903172","ISSN":"19379234","abstract":"The unpredictability and intermittency introduced by Renewable Energy Sources (RESs) in power systems may lead to unforeseen peaks of energy production, which might differ from energy demand. To manage these mismatches, a proper communication between prosumers (i.e., users with RESs that can either inject or absorb energy) and active users (i.e., users that agree to have their loads changed according to the system needs) is required. To achieve this goal, the centralized approach used in traditional power systems is no longer possible because both prosumers and active users would like to take part in energy transactions, and a decentralized approach based on transactive energy systems (TESs) and Peer-to-Peer (P2P) energy transactions should be adopted. In this context, the Distributed Ledger Technology (DLT), based on the blockchain concept arises as the most promising solution to enable smart contracts between prosumers and active users, which are safely guarded in blocks with cryptographic hashes. The aim of this paper is to provide a review about the deployment of decentralized TESs and to propose and discuss a transactive management infrastructure. In this context, the concept of Proof of Energy is proposed as a novel consensus protocol for P2P energy exchanges managed by DLT. An application of the proposed infrastructure considering a Virtual Power Plant (VPP) aggregator and residential prosumers endowed with a new transactive controller to manage the electrical storage system is discussed.","author":[{"dropping-particle":"","family":"Siano","given":"Pierluigi","non-dropping-particle":"","parse-names":false,"suffix":""},{"dropping-particle":"","family":"Marco","given":"Giuseppe","non-dropping-particle":"De","parse-names":false,"suffix":""},{"dropping-particle":"","family":"Rolan","given":"Alejandro","non-dropping-particle":"","parse-names":false,"suffix":""},{"dropping-particle":"","family":"Loia","given":"Vincenzo","non-dropping-particle":"","parse-names":false,"suffix":""}],"container-title":"IEEE Systems Journal","id":"ITEM-1","issue":"3","issued":{"date-parts":[["2019","9","1"]]},"page":"3454-3466","publisher":"Institute of Electrical and Electronics Engineers Inc.","title":"A Survey and Evaluation of the Potentials of Distributed Ledger Technology for Peer-to-Peer Transactive Energy Exchanges in Local Energy Markets","type":"article-journal","volume":"13"},"uris":["http://www.mendeley.com/documents/?uuid=4371349b-a2eb-38c5-a3f7-cea3d3dcfa82"]}],"mendeley":{"formattedCitation":"[118]","plainTextFormattedCitation":"[118]","previouslyFormattedCitation":"[118]"},"properties":{"noteIndex":0},"schema":"https://github.com/citation-style-language/schema/raw/master/csl-citation.json"}</w:instrText>
      </w:r>
      <w:r w:rsidR="0075169D" w:rsidRPr="003676D3">
        <w:rPr>
          <w:rFonts w:ascii="Times New Roman" w:hAnsi="Times New Roman" w:cs="Times New Roman"/>
          <w:sz w:val="24"/>
          <w:szCs w:val="24"/>
        </w:rPr>
        <w:fldChar w:fldCharType="separate"/>
      </w:r>
      <w:r w:rsidR="0075169D" w:rsidRPr="003676D3">
        <w:rPr>
          <w:rFonts w:ascii="Times New Roman" w:hAnsi="Times New Roman" w:cs="Times New Roman"/>
          <w:noProof/>
          <w:sz w:val="24"/>
          <w:szCs w:val="24"/>
        </w:rPr>
        <w:t>[118]</w:t>
      </w:r>
      <w:r w:rsidR="0075169D" w:rsidRPr="003676D3">
        <w:rPr>
          <w:rFonts w:ascii="Times New Roman" w:hAnsi="Times New Roman" w:cs="Times New Roman"/>
          <w:sz w:val="24"/>
          <w:szCs w:val="24"/>
        </w:rPr>
        <w:fldChar w:fldCharType="end"/>
      </w:r>
      <w:r w:rsidR="00AA5672" w:rsidRPr="003676D3">
        <w:rPr>
          <w:rFonts w:ascii="Times New Roman" w:hAnsi="Times New Roman" w:cs="Times New Roman"/>
          <w:sz w:val="24"/>
          <w:szCs w:val="24"/>
        </w:rPr>
        <w:t>.</w:t>
      </w:r>
      <w:r w:rsidR="0075169D" w:rsidRPr="003676D3">
        <w:rPr>
          <w:rFonts w:ascii="Times New Roman" w:hAnsi="Times New Roman" w:cs="Times New Roman"/>
          <w:sz w:val="24"/>
          <w:szCs w:val="24"/>
        </w:rPr>
        <w:t xml:space="preserve"> </w:t>
      </w:r>
      <w:r w:rsidR="0075169D" w:rsidRPr="003676D3">
        <w:rPr>
          <w:rFonts w:ascii="Times New Roman" w:hAnsi="Times New Roman" w:cs="Times New Roman"/>
          <w:sz w:val="24"/>
          <w:szCs w:val="24"/>
        </w:rPr>
        <w:fldChar w:fldCharType="begin" w:fldLock="1"/>
      </w:r>
      <w:r w:rsidR="0075169D" w:rsidRPr="003676D3">
        <w:rPr>
          <w:rFonts w:ascii="Times New Roman" w:hAnsi="Times New Roman" w:cs="Times New Roman"/>
          <w:sz w:val="24"/>
          <w:szCs w:val="24"/>
        </w:rPr>
        <w:instrText>ADDIN CSL_CITATION {"citationItems":[{"id":"ITEM-1","itemData":{"DOI":"10.3390/EN15218047","ISSN":"1996-1073","abstract":"Transactive energy is a highly effective technique for peers to exchange and trade energy resources. Several interconnected blocks, such as generation businesses, prosumers, the energy market, energy service providers, transmission and distribution networks, and so on, make up a transactive energy framework. By incorporating the prosumers concept and digitalization into energy systems at the transmission and distribution levels, transactive energy systems have the exciting potential to reduce transmission losses, lower electric infrastructure costs, increase reliability, increase local energy use, and lower customers’ electricity bills at the transmission and distribution levels. This article provides a state-of-the-art review of transactive energy concepts, primary drivers, architecture, the energy market, control and management, network management, new technologies, and the flexibility of the power system, which will help researchers comprehend the various concepts involved.","author":[{"dropping-particle":"","family":"Gupta","given":"Neeraj","non-dropping-particle":"","parse-names":false,"suffix":""},{"dropping-particle":"","family":"Prusty","given":"B. Rajanarayan","non-dropping-particle":"","parse-names":false,"suffix":""},{"dropping-particle":"","family":"Alrumayh","given":"Omar","non-dropping-particle":"","parse-names":false,"suffix":""},{"dropping-particle":"","family":"Almutairi","given":"Abdulaziz","non-dropping-particle":"","parse-names":false,"suffix":""},{"dropping-particle":"","family":"Alharbi","given":"Talal","non-dropping-particle":"","parse-names":false,"suffix":""}],"container-title":"Energies 2022, Vol. 15, Page 8047","id":"ITEM-1","issue":"21","issued":{"date-parts":[["2022","10","29"]]},"page":"8047","publisher":"Multidisciplinary Digital Publishing Institute","title":"The Role of Transactive Energy in the Future Energy Industry: A Critical Review","type":"article-journal","volume":"15"},"uris":["http://www.mendeley.com/documents/?uuid=d67b64b5-b3dc-3635-aad5-9e163a854bdb"]}],"mendeley":{"formattedCitation":"[119]","plainTextFormattedCitation":"[119]","previouslyFormattedCitation":"[119]"},"properties":{"noteIndex":0},"schema":"https://github.com/citation-style-language/schema/raw/master/csl-citation.json"}</w:instrText>
      </w:r>
      <w:r w:rsidR="0075169D" w:rsidRPr="003676D3">
        <w:rPr>
          <w:rFonts w:ascii="Times New Roman" w:hAnsi="Times New Roman" w:cs="Times New Roman"/>
          <w:sz w:val="24"/>
          <w:szCs w:val="24"/>
        </w:rPr>
        <w:fldChar w:fldCharType="separate"/>
      </w:r>
      <w:r w:rsidR="0075169D" w:rsidRPr="003676D3">
        <w:rPr>
          <w:rFonts w:ascii="Times New Roman" w:hAnsi="Times New Roman" w:cs="Times New Roman"/>
          <w:noProof/>
          <w:sz w:val="24"/>
          <w:szCs w:val="24"/>
        </w:rPr>
        <w:t>[119]</w:t>
      </w:r>
      <w:r w:rsidR="0075169D" w:rsidRPr="003676D3">
        <w:rPr>
          <w:rFonts w:ascii="Times New Roman" w:hAnsi="Times New Roman" w:cs="Times New Roman"/>
          <w:sz w:val="24"/>
          <w:szCs w:val="24"/>
        </w:rPr>
        <w:fldChar w:fldCharType="end"/>
      </w:r>
      <w:r w:rsidR="00374E65" w:rsidRPr="003676D3">
        <w:rPr>
          <w:rFonts w:ascii="Times New Roman" w:hAnsi="Times New Roman" w:cs="Times New Roman"/>
          <w:sz w:val="24"/>
          <w:szCs w:val="24"/>
        </w:rPr>
        <w:t xml:space="preserve"> highlights the </w:t>
      </w:r>
      <w:r w:rsidR="004B1918" w:rsidRPr="003676D3">
        <w:rPr>
          <w:rFonts w:ascii="Times New Roman" w:hAnsi="Times New Roman" w:cs="Times New Roman"/>
          <w:sz w:val="24"/>
          <w:szCs w:val="24"/>
        </w:rPr>
        <w:t>3-layer</w:t>
      </w:r>
      <w:r w:rsidR="00374E65" w:rsidRPr="003676D3">
        <w:rPr>
          <w:rFonts w:ascii="Times New Roman" w:hAnsi="Times New Roman" w:cs="Times New Roman"/>
          <w:sz w:val="24"/>
          <w:szCs w:val="24"/>
        </w:rPr>
        <w:t>, 5 layer and 7 layer architecture as well as energy market, control and network management for a flexible power system.</w:t>
      </w:r>
      <w:r w:rsidR="00EB5C74" w:rsidRPr="003676D3">
        <w:rPr>
          <w:rFonts w:ascii="Times New Roman" w:hAnsi="Times New Roman" w:cs="Times New Roman"/>
          <w:sz w:val="24"/>
          <w:szCs w:val="24"/>
        </w:rPr>
        <w:t xml:space="preserve"> </w:t>
      </w:r>
    </w:p>
    <w:p w14:paraId="016AD7D1" w14:textId="64BAA8EB" w:rsidR="00F44C32" w:rsidRPr="003676D3" w:rsidRDefault="00EB5C74"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In a super smart grid environment, the energy transactions would be immense and would require high computation. A possible solution is the study</w:t>
      </w:r>
      <w:r w:rsidR="0075169D" w:rsidRPr="003676D3">
        <w:rPr>
          <w:rFonts w:ascii="Times New Roman" w:hAnsi="Times New Roman" w:cs="Times New Roman"/>
          <w:sz w:val="24"/>
          <w:szCs w:val="24"/>
        </w:rPr>
        <w:t xml:space="preserve"> </w:t>
      </w:r>
      <w:r w:rsidR="0075169D" w:rsidRPr="003676D3">
        <w:rPr>
          <w:rFonts w:ascii="Times New Roman" w:hAnsi="Times New Roman" w:cs="Times New Roman"/>
          <w:sz w:val="24"/>
          <w:szCs w:val="24"/>
        </w:rPr>
        <w:fldChar w:fldCharType="begin" w:fldLock="1"/>
      </w:r>
      <w:r w:rsidR="0075169D" w:rsidRPr="003676D3">
        <w:rPr>
          <w:rFonts w:ascii="Times New Roman" w:hAnsi="Times New Roman" w:cs="Times New Roman"/>
          <w:sz w:val="24"/>
          <w:szCs w:val="24"/>
        </w:rPr>
        <w:instrText>ADDIN CSL_CITATION {"citationItems":[{"id":"ITEM-1","itemData":{"DOI":"10.1016/J.EPSR.2022.108202","ISSN":"0378-7796","abstract":"Electric distribution systems are becoming bidirectional and active due to rise of distributed energy resources, electric vehicles and prosumers. In this environment, a transactive energy system is required to not only coordinate the network with respect to the technical constraints, but also model P2P transactions between end-users, taking into account their data privacy and scalability issues. Therefore, a new two-stage transactive energy system is developed to balance the distribution network considering the behavior of different participants. At stage one, the role of orchestrator is modeled to manage the distribution network and its constraints by purchasing energy from up-stream grid, defining dynamic distribution locational marginal prices (DLMPs) or tapping on its storages. At stage two, prosumers make distributed decisions to use grid-sourced/self-generated energy or participate in P2P transactions based on the received DLMPs from stage one and their preferences. This two stage mechanism is solved through an iterative process until stopping criteria are met. The results indicate reduction in total import cost and energy from grid, compared to when no P2P transaction is considered. It is also shown that the proposed model converges to the optimal solution in proper time when the number of participants is increased.","author":[{"dropping-particle":"","family":"Zomorodi Moghadam","given":"Atefeh","non-dropping-particle":"","parse-names":false,"suffix":""},{"dropping-particle":"","family":"Javidi","given":"Mohammad Hossein","non-dropping-particle":"","parse-names":false,"suffix":""}],"container-title":"Electric Power Systems Research","id":"ITEM-1","issued":{"date-parts":[["2022","10","1"]]},"page":"108202","publisher":"Elsevier","title":"Designing a two-stage transactive energy system for future distribution networks in the presence of prosumers’ P2P transactions","type":"article-journal","volume":"211"},"uris":["http://www.mendeley.com/documents/?uuid=f8cfe824-cc94-3515-9e75-718286966e16"]}],"mendeley":{"formattedCitation":"[120]","plainTextFormattedCitation":"[120]","previouslyFormattedCitation":"[120]"},"properties":{"noteIndex":0},"schema":"https://github.com/citation-style-language/schema/raw/master/csl-citation.json"}</w:instrText>
      </w:r>
      <w:r w:rsidR="0075169D" w:rsidRPr="003676D3">
        <w:rPr>
          <w:rFonts w:ascii="Times New Roman" w:hAnsi="Times New Roman" w:cs="Times New Roman"/>
          <w:sz w:val="24"/>
          <w:szCs w:val="24"/>
        </w:rPr>
        <w:fldChar w:fldCharType="separate"/>
      </w:r>
      <w:r w:rsidR="0075169D" w:rsidRPr="003676D3">
        <w:rPr>
          <w:rFonts w:ascii="Times New Roman" w:hAnsi="Times New Roman" w:cs="Times New Roman"/>
          <w:noProof/>
          <w:sz w:val="24"/>
          <w:szCs w:val="24"/>
        </w:rPr>
        <w:t>[120]</w:t>
      </w:r>
      <w:r w:rsidR="0075169D" w:rsidRPr="003676D3">
        <w:rPr>
          <w:rFonts w:ascii="Times New Roman" w:hAnsi="Times New Roman" w:cs="Times New Roman"/>
          <w:sz w:val="24"/>
          <w:szCs w:val="24"/>
        </w:rPr>
        <w:fldChar w:fldCharType="end"/>
      </w:r>
      <w:r w:rsidR="004C7490" w:rsidRPr="003676D3">
        <w:rPr>
          <w:rFonts w:ascii="Times New Roman" w:hAnsi="Times New Roman" w:cs="Times New Roman"/>
          <w:sz w:val="24"/>
          <w:szCs w:val="24"/>
        </w:rPr>
        <w:t>, which proposes a</w:t>
      </w:r>
      <w:r w:rsidRPr="003676D3">
        <w:rPr>
          <w:rFonts w:ascii="Times New Roman" w:hAnsi="Times New Roman" w:cs="Times New Roman"/>
          <w:sz w:val="24"/>
          <w:szCs w:val="24"/>
        </w:rPr>
        <w:t xml:space="preserve"> transactive energy system</w:t>
      </w:r>
      <w:r w:rsidR="004C7490" w:rsidRPr="003676D3">
        <w:rPr>
          <w:rFonts w:ascii="Times New Roman" w:hAnsi="Times New Roman" w:cs="Times New Roman"/>
          <w:sz w:val="24"/>
          <w:szCs w:val="24"/>
        </w:rPr>
        <w:t xml:space="preserve"> of two stages</w:t>
      </w:r>
      <w:r w:rsidRPr="003676D3">
        <w:rPr>
          <w:rFonts w:ascii="Times New Roman" w:hAnsi="Times New Roman" w:cs="Times New Roman"/>
          <w:sz w:val="24"/>
          <w:szCs w:val="24"/>
        </w:rPr>
        <w:t xml:space="preserve"> to balance distribution networks, accommodating various participant </w:t>
      </w:r>
      <w:r w:rsidR="00940258" w:rsidRPr="003676D3">
        <w:rPr>
          <w:rFonts w:ascii="Times New Roman" w:hAnsi="Times New Roman" w:cs="Times New Roman"/>
          <w:sz w:val="24"/>
          <w:szCs w:val="24"/>
        </w:rPr>
        <w:t>behaviours</w:t>
      </w:r>
      <w:r w:rsidRPr="003676D3">
        <w:rPr>
          <w:rFonts w:ascii="Times New Roman" w:hAnsi="Times New Roman" w:cs="Times New Roman"/>
          <w:sz w:val="24"/>
          <w:szCs w:val="24"/>
        </w:rPr>
        <w:t xml:space="preserve">. In the first stage, </w:t>
      </w:r>
      <w:r w:rsidR="00AF7C09" w:rsidRPr="003676D3">
        <w:rPr>
          <w:rFonts w:ascii="Times New Roman" w:hAnsi="Times New Roman" w:cs="Times New Roman"/>
          <w:sz w:val="24"/>
          <w:szCs w:val="24"/>
        </w:rPr>
        <w:t xml:space="preserve">an </w:t>
      </w:r>
      <w:r w:rsidR="00A715A2" w:rsidRPr="003676D3">
        <w:rPr>
          <w:rFonts w:ascii="Times New Roman" w:hAnsi="Times New Roman" w:cs="Times New Roman"/>
          <w:sz w:val="24"/>
          <w:szCs w:val="24"/>
        </w:rPr>
        <w:t>operator</w:t>
      </w:r>
      <w:r w:rsidR="00AF7C09" w:rsidRPr="003676D3">
        <w:rPr>
          <w:rFonts w:ascii="Times New Roman" w:hAnsi="Times New Roman" w:cs="Times New Roman"/>
          <w:sz w:val="24"/>
          <w:szCs w:val="24"/>
        </w:rPr>
        <w:t xml:space="preserve"> </w:t>
      </w:r>
      <w:r w:rsidRPr="003676D3">
        <w:rPr>
          <w:rFonts w:ascii="Times New Roman" w:hAnsi="Times New Roman" w:cs="Times New Roman"/>
          <w:sz w:val="24"/>
          <w:szCs w:val="24"/>
        </w:rPr>
        <w:t>manages the network by purchasing energy</w:t>
      </w:r>
      <w:r w:rsidR="00AF7C09" w:rsidRPr="003676D3">
        <w:rPr>
          <w:rFonts w:ascii="Times New Roman" w:hAnsi="Times New Roman" w:cs="Times New Roman"/>
          <w:sz w:val="24"/>
          <w:szCs w:val="24"/>
        </w:rPr>
        <w:t xml:space="preserve"> and </w:t>
      </w:r>
      <w:r w:rsidRPr="003676D3">
        <w:rPr>
          <w:rFonts w:ascii="Times New Roman" w:hAnsi="Times New Roman" w:cs="Times New Roman"/>
          <w:sz w:val="24"/>
          <w:szCs w:val="24"/>
        </w:rPr>
        <w:t>setting dynamic locational marginal prices (DLMPs) or utilizing storage. In the second stage, prosumers make decisions based on DLMPs and preferences</w:t>
      </w:r>
      <w:r w:rsidR="00AF7C09" w:rsidRPr="003676D3">
        <w:rPr>
          <w:rFonts w:ascii="Times New Roman" w:hAnsi="Times New Roman" w:cs="Times New Roman"/>
          <w:sz w:val="24"/>
          <w:szCs w:val="24"/>
        </w:rPr>
        <w:t>. They</w:t>
      </w:r>
      <w:r w:rsidRPr="003676D3">
        <w:rPr>
          <w:rFonts w:ascii="Times New Roman" w:hAnsi="Times New Roman" w:cs="Times New Roman"/>
          <w:sz w:val="24"/>
          <w:szCs w:val="24"/>
        </w:rPr>
        <w:t xml:space="preserve"> either using grid energy or engaging in peer-to-peer</w:t>
      </w:r>
      <w:r w:rsidR="00AF7C09" w:rsidRPr="003676D3">
        <w:rPr>
          <w:rFonts w:ascii="Times New Roman" w:hAnsi="Times New Roman" w:cs="Times New Roman"/>
          <w:sz w:val="24"/>
          <w:szCs w:val="24"/>
        </w:rPr>
        <w:t xml:space="preserve"> (P2P)</w:t>
      </w:r>
      <w:r w:rsidRPr="003676D3">
        <w:rPr>
          <w:rFonts w:ascii="Times New Roman" w:hAnsi="Times New Roman" w:cs="Times New Roman"/>
          <w:sz w:val="24"/>
          <w:szCs w:val="24"/>
        </w:rPr>
        <w:t xml:space="preserve"> transactions. </w:t>
      </w:r>
      <w:r w:rsidR="00AF7C09" w:rsidRPr="003676D3">
        <w:rPr>
          <w:rFonts w:ascii="Times New Roman" w:hAnsi="Times New Roman" w:cs="Times New Roman"/>
          <w:sz w:val="24"/>
          <w:szCs w:val="24"/>
        </w:rPr>
        <w:t>This results in</w:t>
      </w:r>
      <w:r w:rsidRPr="003676D3">
        <w:rPr>
          <w:rFonts w:ascii="Times New Roman" w:hAnsi="Times New Roman" w:cs="Times New Roman"/>
          <w:sz w:val="24"/>
          <w:szCs w:val="24"/>
        </w:rPr>
        <w:t xml:space="preserve"> reduced import costs and grid energy usage. The model converges to optimal solutions efficiently </w:t>
      </w:r>
      <w:r w:rsidR="009E094F" w:rsidRPr="003676D3">
        <w:rPr>
          <w:rFonts w:ascii="Times New Roman" w:hAnsi="Times New Roman" w:cs="Times New Roman"/>
          <w:sz w:val="24"/>
          <w:szCs w:val="24"/>
        </w:rPr>
        <w:t>with the increase in</w:t>
      </w:r>
      <w:r w:rsidR="00CD7701" w:rsidRPr="003676D3">
        <w:rPr>
          <w:rFonts w:ascii="Times New Roman" w:hAnsi="Times New Roman" w:cs="Times New Roman"/>
          <w:sz w:val="24"/>
          <w:szCs w:val="24"/>
        </w:rPr>
        <w:t xml:space="preserve"> </w:t>
      </w:r>
      <w:r w:rsidRPr="003676D3">
        <w:rPr>
          <w:rFonts w:ascii="Times New Roman" w:hAnsi="Times New Roman" w:cs="Times New Roman"/>
          <w:sz w:val="24"/>
          <w:szCs w:val="24"/>
        </w:rPr>
        <w:t>participant numbers.</w:t>
      </w:r>
      <w:r w:rsidR="0075169D" w:rsidRPr="003676D3">
        <w:rPr>
          <w:rFonts w:ascii="Times New Roman" w:hAnsi="Times New Roman" w:cs="Times New Roman"/>
          <w:sz w:val="24"/>
          <w:szCs w:val="24"/>
        </w:rPr>
        <w:t xml:space="preserve"> </w:t>
      </w:r>
      <w:r w:rsidR="0075169D" w:rsidRPr="003676D3">
        <w:rPr>
          <w:rFonts w:ascii="Times New Roman" w:hAnsi="Times New Roman" w:cs="Times New Roman"/>
          <w:sz w:val="24"/>
          <w:szCs w:val="24"/>
        </w:rPr>
        <w:fldChar w:fldCharType="begin"/>
      </w:r>
      <w:r w:rsidR="0075169D" w:rsidRPr="003676D3">
        <w:rPr>
          <w:rFonts w:ascii="Times New Roman" w:hAnsi="Times New Roman" w:cs="Times New Roman"/>
          <w:sz w:val="24"/>
          <w:szCs w:val="24"/>
        </w:rPr>
        <w:instrText xml:space="preserve"> REF _Ref168040990 \h  \* MERGEFORMAT </w:instrText>
      </w:r>
      <w:r w:rsidR="0075169D" w:rsidRPr="003676D3">
        <w:rPr>
          <w:rFonts w:ascii="Times New Roman" w:hAnsi="Times New Roman" w:cs="Times New Roman"/>
          <w:sz w:val="24"/>
          <w:szCs w:val="24"/>
        </w:rPr>
      </w:r>
      <w:r w:rsidR="0075169D" w:rsidRPr="003676D3">
        <w:rPr>
          <w:rFonts w:ascii="Times New Roman" w:hAnsi="Times New Roman" w:cs="Times New Roman"/>
          <w:sz w:val="24"/>
          <w:szCs w:val="24"/>
        </w:rPr>
        <w:fldChar w:fldCharType="separate"/>
      </w:r>
      <w:r w:rsidR="008D1E2C" w:rsidRPr="003676D3">
        <w:rPr>
          <w:rFonts w:ascii="Times New Roman" w:hAnsi="Times New Roman" w:cs="Times New Roman"/>
          <w:b/>
          <w:bCs/>
          <w:sz w:val="24"/>
          <w:szCs w:val="24"/>
        </w:rPr>
        <w:t xml:space="preserve">Figure </w:t>
      </w:r>
      <w:r w:rsidR="008D1E2C" w:rsidRPr="003676D3">
        <w:rPr>
          <w:rFonts w:ascii="Times New Roman" w:hAnsi="Times New Roman" w:cs="Times New Roman"/>
          <w:b/>
          <w:bCs/>
          <w:noProof/>
          <w:sz w:val="24"/>
          <w:szCs w:val="24"/>
        </w:rPr>
        <w:t>5</w:t>
      </w:r>
      <w:r w:rsidR="0075169D" w:rsidRPr="003676D3">
        <w:rPr>
          <w:rFonts w:ascii="Times New Roman" w:hAnsi="Times New Roman" w:cs="Times New Roman"/>
          <w:sz w:val="24"/>
          <w:szCs w:val="24"/>
        </w:rPr>
        <w:fldChar w:fldCharType="end"/>
      </w:r>
      <w:r w:rsidR="0075169D" w:rsidRPr="003676D3">
        <w:rPr>
          <w:rFonts w:ascii="Times New Roman" w:hAnsi="Times New Roman" w:cs="Times New Roman"/>
          <w:sz w:val="24"/>
          <w:szCs w:val="24"/>
        </w:rPr>
        <w:t xml:space="preserve"> presents the distinct features of transactive energy network.</w:t>
      </w:r>
    </w:p>
    <w:p w14:paraId="049EEA2D" w14:textId="05598D25" w:rsidR="00F423F9" w:rsidRPr="003676D3" w:rsidRDefault="00CD7701" w:rsidP="003676D3">
      <w:pPr>
        <w:pStyle w:val="Heading1"/>
        <w:spacing w:line="276" w:lineRule="auto"/>
        <w:jc w:val="both"/>
        <w:rPr>
          <w:sz w:val="24"/>
          <w:szCs w:val="24"/>
        </w:rPr>
      </w:pPr>
      <w:r w:rsidRPr="003676D3">
        <w:rPr>
          <w:noProof/>
        </w:rPr>
        <w:lastRenderedPageBreak/>
        <mc:AlternateContent>
          <mc:Choice Requires="wps">
            <w:drawing>
              <wp:anchor distT="0" distB="0" distL="114300" distR="114300" simplePos="0" relativeHeight="251651072" behindDoc="0" locked="0" layoutInCell="1" allowOverlap="1" wp14:anchorId="1C872D16" wp14:editId="70427346">
                <wp:simplePos x="0" y="0"/>
                <wp:positionH relativeFrom="column">
                  <wp:posOffset>228600</wp:posOffset>
                </wp:positionH>
                <wp:positionV relativeFrom="paragraph">
                  <wp:posOffset>3408680</wp:posOffset>
                </wp:positionV>
                <wp:extent cx="5410200" cy="635"/>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5410200" cy="635"/>
                        </a:xfrm>
                        <a:prstGeom prst="rect">
                          <a:avLst/>
                        </a:prstGeom>
                        <a:solidFill>
                          <a:prstClr val="white"/>
                        </a:solidFill>
                        <a:ln>
                          <a:noFill/>
                        </a:ln>
                      </wps:spPr>
                      <wps:txbx>
                        <w:txbxContent>
                          <w:p w14:paraId="0A5C1965" w14:textId="413BD030" w:rsidR="001F368F" w:rsidRPr="0075169D" w:rsidRDefault="001F368F" w:rsidP="004B1918">
                            <w:pPr>
                              <w:pStyle w:val="Caption"/>
                              <w:jc w:val="center"/>
                              <w:rPr>
                                <w:rFonts w:asciiTheme="majorBidi" w:hAnsiTheme="majorBidi" w:cstheme="majorBidi"/>
                                <w:b/>
                                <w:bCs/>
                                <w:i w:val="0"/>
                                <w:iCs w:val="0"/>
                                <w:noProof/>
                                <w:color w:val="auto"/>
                                <w:sz w:val="28"/>
                                <w:szCs w:val="28"/>
                              </w:rPr>
                            </w:pPr>
                            <w:bookmarkStart w:id="15" w:name="_Ref168040990"/>
                            <w:r w:rsidRPr="0075169D">
                              <w:rPr>
                                <w:rFonts w:asciiTheme="majorBidi" w:hAnsiTheme="majorBidi" w:cstheme="majorBidi"/>
                                <w:b/>
                                <w:bCs/>
                                <w:i w:val="0"/>
                                <w:iCs w:val="0"/>
                                <w:color w:val="auto"/>
                                <w:sz w:val="20"/>
                                <w:szCs w:val="20"/>
                              </w:rPr>
                              <w:t xml:space="preserve">Figure </w:t>
                            </w:r>
                            <w:r w:rsidRPr="0075169D">
                              <w:rPr>
                                <w:rFonts w:asciiTheme="majorBidi" w:hAnsiTheme="majorBidi" w:cstheme="majorBidi"/>
                                <w:b/>
                                <w:bCs/>
                                <w:i w:val="0"/>
                                <w:iCs w:val="0"/>
                                <w:color w:val="auto"/>
                                <w:sz w:val="20"/>
                                <w:szCs w:val="20"/>
                              </w:rPr>
                              <w:fldChar w:fldCharType="begin"/>
                            </w:r>
                            <w:r w:rsidRPr="0075169D">
                              <w:rPr>
                                <w:rFonts w:asciiTheme="majorBidi" w:hAnsiTheme="majorBidi" w:cstheme="majorBidi"/>
                                <w:b/>
                                <w:bCs/>
                                <w:i w:val="0"/>
                                <w:iCs w:val="0"/>
                                <w:color w:val="auto"/>
                                <w:sz w:val="20"/>
                                <w:szCs w:val="20"/>
                              </w:rPr>
                              <w:instrText xml:space="preserve"> SEQ Figure \* ARABIC </w:instrText>
                            </w:r>
                            <w:r w:rsidRPr="0075169D">
                              <w:rPr>
                                <w:rFonts w:asciiTheme="majorBidi" w:hAnsiTheme="majorBidi" w:cstheme="majorBidi"/>
                                <w:b/>
                                <w:bCs/>
                                <w:i w:val="0"/>
                                <w:iCs w:val="0"/>
                                <w:color w:val="auto"/>
                                <w:sz w:val="20"/>
                                <w:szCs w:val="20"/>
                              </w:rPr>
                              <w:fldChar w:fldCharType="separate"/>
                            </w:r>
                            <w:r w:rsidR="008D1E2C">
                              <w:rPr>
                                <w:rFonts w:asciiTheme="majorBidi" w:hAnsiTheme="majorBidi" w:cstheme="majorBidi"/>
                                <w:b/>
                                <w:bCs/>
                                <w:i w:val="0"/>
                                <w:iCs w:val="0"/>
                                <w:noProof/>
                                <w:color w:val="auto"/>
                                <w:sz w:val="20"/>
                                <w:szCs w:val="20"/>
                              </w:rPr>
                              <w:t>5</w:t>
                            </w:r>
                            <w:r w:rsidRPr="0075169D">
                              <w:rPr>
                                <w:rFonts w:asciiTheme="majorBidi" w:hAnsiTheme="majorBidi" w:cstheme="majorBidi"/>
                                <w:b/>
                                <w:bCs/>
                                <w:i w:val="0"/>
                                <w:iCs w:val="0"/>
                                <w:color w:val="auto"/>
                                <w:sz w:val="20"/>
                                <w:szCs w:val="20"/>
                              </w:rPr>
                              <w:fldChar w:fldCharType="end"/>
                            </w:r>
                            <w:bookmarkEnd w:id="15"/>
                            <w:r w:rsidRPr="0075169D">
                              <w:rPr>
                                <w:rFonts w:asciiTheme="majorBidi" w:hAnsiTheme="majorBidi" w:cstheme="majorBidi"/>
                                <w:b/>
                                <w:bCs/>
                                <w:i w:val="0"/>
                                <w:iCs w:val="0"/>
                                <w:color w:val="auto"/>
                                <w:sz w:val="20"/>
                                <w:szCs w:val="20"/>
                              </w:rPr>
                              <w:t>. Distinct features of Transactive Energy.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C872D16" id="Text Box 12" o:spid="_x0000_s1029" type="#_x0000_t202" style="position:absolute;left:0;text-align:left;margin-left:18pt;margin-top:268.4pt;width:426pt;height:.0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" stroked="f">
                <v:textbox style="mso-fit-shape-to-text:t" inset="0,0,0,0">
                  <w:txbxContent>
                    <w:p w14:paraId="0A5C1965" w14:textId="413BD030" w:rsidR="001F368F" w:rsidRPr="0075169D" w:rsidRDefault="001F368F" w:rsidP="004B1918">
                      <w:pPr>
                        <w:pStyle w:val="Caption"/>
                        <w:jc w:val="center"/>
                        <w:rPr>
                          <w:rFonts w:asciiTheme="majorBidi" w:hAnsiTheme="majorBidi" w:cstheme="majorBidi"/>
                          <w:b/>
                          <w:bCs/>
                          <w:i w:val="0"/>
                          <w:iCs w:val="0"/>
                          <w:noProof/>
                          <w:color w:val="auto"/>
                          <w:sz w:val="28"/>
                          <w:szCs w:val="28"/>
                        </w:rPr>
                      </w:pPr>
                      <w:bookmarkStart w:id="16" w:name="_Ref168040990"/>
                      <w:r w:rsidRPr="0075169D">
                        <w:rPr>
                          <w:rFonts w:asciiTheme="majorBidi" w:hAnsiTheme="majorBidi" w:cstheme="majorBidi"/>
                          <w:b/>
                          <w:bCs/>
                          <w:i w:val="0"/>
                          <w:iCs w:val="0"/>
                          <w:color w:val="auto"/>
                          <w:sz w:val="20"/>
                          <w:szCs w:val="20"/>
                        </w:rPr>
                        <w:t xml:space="preserve">Figure </w:t>
                      </w:r>
                      <w:r w:rsidRPr="0075169D">
                        <w:rPr>
                          <w:rFonts w:asciiTheme="majorBidi" w:hAnsiTheme="majorBidi" w:cstheme="majorBidi"/>
                          <w:b/>
                          <w:bCs/>
                          <w:i w:val="0"/>
                          <w:iCs w:val="0"/>
                          <w:color w:val="auto"/>
                          <w:sz w:val="20"/>
                          <w:szCs w:val="20"/>
                        </w:rPr>
                        <w:fldChar w:fldCharType="begin"/>
                      </w:r>
                      <w:r w:rsidRPr="0075169D">
                        <w:rPr>
                          <w:rFonts w:asciiTheme="majorBidi" w:hAnsiTheme="majorBidi" w:cstheme="majorBidi"/>
                          <w:b/>
                          <w:bCs/>
                          <w:i w:val="0"/>
                          <w:iCs w:val="0"/>
                          <w:color w:val="auto"/>
                          <w:sz w:val="20"/>
                          <w:szCs w:val="20"/>
                        </w:rPr>
                        <w:instrText xml:space="preserve"> SEQ Figure \* ARABIC </w:instrText>
                      </w:r>
                      <w:r w:rsidRPr="0075169D">
                        <w:rPr>
                          <w:rFonts w:asciiTheme="majorBidi" w:hAnsiTheme="majorBidi" w:cstheme="majorBidi"/>
                          <w:b/>
                          <w:bCs/>
                          <w:i w:val="0"/>
                          <w:iCs w:val="0"/>
                          <w:color w:val="auto"/>
                          <w:sz w:val="20"/>
                          <w:szCs w:val="20"/>
                        </w:rPr>
                        <w:fldChar w:fldCharType="separate"/>
                      </w:r>
                      <w:r w:rsidR="008D1E2C">
                        <w:rPr>
                          <w:rFonts w:asciiTheme="majorBidi" w:hAnsiTheme="majorBidi" w:cstheme="majorBidi"/>
                          <w:b/>
                          <w:bCs/>
                          <w:i w:val="0"/>
                          <w:iCs w:val="0"/>
                          <w:noProof/>
                          <w:color w:val="auto"/>
                          <w:sz w:val="20"/>
                          <w:szCs w:val="20"/>
                        </w:rPr>
                        <w:t>5</w:t>
                      </w:r>
                      <w:r w:rsidRPr="0075169D">
                        <w:rPr>
                          <w:rFonts w:asciiTheme="majorBidi" w:hAnsiTheme="majorBidi" w:cstheme="majorBidi"/>
                          <w:b/>
                          <w:bCs/>
                          <w:i w:val="0"/>
                          <w:iCs w:val="0"/>
                          <w:color w:val="auto"/>
                          <w:sz w:val="20"/>
                          <w:szCs w:val="20"/>
                        </w:rPr>
                        <w:fldChar w:fldCharType="end"/>
                      </w:r>
                      <w:bookmarkEnd w:id="16"/>
                      <w:r w:rsidRPr="0075169D">
                        <w:rPr>
                          <w:rFonts w:asciiTheme="majorBidi" w:hAnsiTheme="majorBidi" w:cstheme="majorBidi"/>
                          <w:b/>
                          <w:bCs/>
                          <w:i w:val="0"/>
                          <w:iCs w:val="0"/>
                          <w:color w:val="auto"/>
                          <w:sz w:val="20"/>
                          <w:szCs w:val="20"/>
                        </w:rPr>
                        <w:t>. Distinct features of Transactive Energy.</w:t>
                      </w:r>
                    </w:p>
                  </w:txbxContent>
                </v:textbox>
                <w10:wrap type="square"/>
              </v:shape>
            </w:pict>
          </mc:Fallback>
        </mc:AlternateContent>
      </w:r>
      <w:r w:rsidRPr="003676D3">
        <w:rPr>
          <w:noProof/>
          <w:sz w:val="24"/>
          <w:szCs w:val="24"/>
        </w:rPr>
        <w:drawing>
          <wp:anchor distT="0" distB="0" distL="114300" distR="114300" simplePos="0" relativeHeight="251634688" behindDoc="0" locked="0" layoutInCell="1" allowOverlap="1" wp14:anchorId="43C1AF26" wp14:editId="18E56DCC">
            <wp:simplePos x="0" y="0"/>
            <wp:positionH relativeFrom="column">
              <wp:posOffset>0</wp:posOffset>
            </wp:positionH>
            <wp:positionV relativeFrom="paragraph">
              <wp:posOffset>76200</wp:posOffset>
            </wp:positionV>
            <wp:extent cx="5486400" cy="3200400"/>
            <wp:effectExtent l="0" t="57150" r="0" b="38100"/>
            <wp:wrapSquare wrapText="bothSides"/>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anchor>
        </w:drawing>
      </w:r>
      <w:r w:rsidR="00132774" w:rsidRPr="003676D3">
        <w:rPr>
          <w:sz w:val="24"/>
          <w:szCs w:val="24"/>
        </w:rPr>
        <w:t>4</w:t>
      </w:r>
      <w:r w:rsidR="00E7634E" w:rsidRPr="003676D3">
        <w:rPr>
          <w:sz w:val="24"/>
          <w:szCs w:val="24"/>
        </w:rPr>
        <w:t>. Regulatory Framework and Policy Interventions</w:t>
      </w:r>
    </w:p>
    <w:p w14:paraId="6DC020AD" w14:textId="3FD906F2" w:rsidR="002431D5" w:rsidRPr="003676D3" w:rsidRDefault="002431D5"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Studies on rene</w:t>
      </w:r>
      <w:r w:rsidR="00CD7701" w:rsidRPr="003676D3">
        <w:rPr>
          <w:rFonts w:ascii="Times New Roman" w:hAnsi="Times New Roman" w:cs="Times New Roman"/>
          <w:sz w:val="24"/>
          <w:szCs w:val="24"/>
        </w:rPr>
        <w:t>wable technologies analyse both</w:t>
      </w:r>
      <w:r w:rsidRPr="003676D3">
        <w:rPr>
          <w:rFonts w:ascii="Times New Roman" w:hAnsi="Times New Roman" w:cs="Times New Roman"/>
          <w:sz w:val="24"/>
          <w:szCs w:val="24"/>
        </w:rPr>
        <w:t xml:space="preserve"> transfo</w:t>
      </w:r>
      <w:r w:rsidR="00560079" w:rsidRPr="003676D3">
        <w:rPr>
          <w:rFonts w:ascii="Times New Roman" w:hAnsi="Times New Roman" w:cs="Times New Roman"/>
          <w:sz w:val="24"/>
          <w:szCs w:val="24"/>
        </w:rPr>
        <w:t>rmational</w:t>
      </w:r>
      <w:r w:rsidR="00CD7701" w:rsidRPr="003676D3">
        <w:rPr>
          <w:rFonts w:ascii="Times New Roman" w:hAnsi="Times New Roman" w:cs="Times New Roman"/>
          <w:sz w:val="24"/>
          <w:szCs w:val="24"/>
        </w:rPr>
        <w:t xml:space="preserve"> and systemic</w:t>
      </w:r>
      <w:r w:rsidR="00560079" w:rsidRPr="003676D3">
        <w:rPr>
          <w:rFonts w:ascii="Times New Roman" w:hAnsi="Times New Roman" w:cs="Times New Roman"/>
          <w:sz w:val="24"/>
          <w:szCs w:val="24"/>
        </w:rPr>
        <w:t xml:space="preserve"> approaches such as </w:t>
      </w:r>
      <w:r w:rsidR="00560079" w:rsidRPr="003676D3">
        <w:rPr>
          <w:rFonts w:ascii="Times New Roman" w:hAnsi="Times New Roman" w:cs="Times New Roman"/>
          <w:sz w:val="24"/>
          <w:szCs w:val="24"/>
        </w:rPr>
        <w:fldChar w:fldCharType="begin" w:fldLock="1"/>
      </w:r>
      <w:r w:rsidR="00560079" w:rsidRPr="003676D3">
        <w:rPr>
          <w:rFonts w:ascii="Times New Roman" w:hAnsi="Times New Roman" w:cs="Times New Roman"/>
          <w:sz w:val="24"/>
          <w:szCs w:val="24"/>
        </w:rPr>
        <w:instrText>ADDIN CSL_CITATION {"citationItems":[{"id":"ITEM-1","itemData":{"DOI":"10.1016/J.RSER.2012.03.043","ISSN":"1364-0321","abstract":"In this paper we present a literature review of studies that have analysed the troublesome trajectory of different renewable energy technologies (RETs) development and diffusion in different, mainly European countries. We present an overview of typical systemic problems in the development of innovation systems around RETs. We make use of the literature on innovation system failures to develop a categorisation of typical systemic problems that hamper the development and diffusion of RETs. Based on this categorisation the paper suggests several policy recommendations to overcome the systemic problems and accelerate the diffusion and implementation of RETs. © 2012 Elsevier Ltd. All right reserved.","author":[{"dropping-particle":"","family":"Negro","given":"Simona O.","non-dropping-particle":"","parse-names":false,"suffix":""},{"dropping-particle":"","family":"Alkemade","given":"Floortje","non-dropping-particle":"","parse-names":false,"suffix":""},{"dropping-particle":"","family":"Hekkert","given":"Marko P.","non-dropping-particle":"","parse-names":false,"suffix":""}],"container-title":"Renewable and Sustainable Energy Reviews","id":"ITEM-1","issue":"6","issued":{"date-parts":[["2012","8","1"]]},"page":"3836-3846","publisher":"Pergamon","title":"Why does renewable energy diffuse so slowly? A review of innovation system problems","type":"article-journal","volume":"16"},"uris":["http://www.mendeley.com/documents/?uuid=359c67af-0e72-356e-baa3-07cf8f41e87e"]}],"mendeley":{"formattedCitation":"[121]","plainTextFormattedCitation":"[121]","previouslyFormattedCitation":"[121]"},"properties":{"noteIndex":0},"schema":"https://github.com/citation-style-language/schema/raw/master/csl-citation.json"}</w:instrText>
      </w:r>
      <w:r w:rsidR="00560079" w:rsidRPr="003676D3">
        <w:rPr>
          <w:rFonts w:ascii="Times New Roman" w:hAnsi="Times New Roman" w:cs="Times New Roman"/>
          <w:sz w:val="24"/>
          <w:szCs w:val="24"/>
        </w:rPr>
        <w:fldChar w:fldCharType="separate"/>
      </w:r>
      <w:r w:rsidR="00560079" w:rsidRPr="003676D3">
        <w:rPr>
          <w:rFonts w:ascii="Times New Roman" w:hAnsi="Times New Roman" w:cs="Times New Roman"/>
          <w:noProof/>
          <w:sz w:val="24"/>
          <w:szCs w:val="24"/>
        </w:rPr>
        <w:t>[121]</w:t>
      </w:r>
      <w:r w:rsidR="00560079" w:rsidRPr="003676D3">
        <w:rPr>
          <w:rFonts w:ascii="Times New Roman" w:hAnsi="Times New Roman" w:cs="Times New Roman"/>
          <w:sz w:val="24"/>
          <w:szCs w:val="24"/>
        </w:rPr>
        <w:fldChar w:fldCharType="end"/>
      </w:r>
      <w:r w:rsidR="00560079" w:rsidRPr="003676D3">
        <w:rPr>
          <w:rFonts w:ascii="Times New Roman" w:hAnsi="Times New Roman" w:cs="Times New Roman"/>
          <w:sz w:val="24"/>
          <w:szCs w:val="24"/>
        </w:rPr>
        <w:t xml:space="preserve"> </w:t>
      </w:r>
      <w:r w:rsidRPr="003676D3">
        <w:rPr>
          <w:rFonts w:ascii="Times New Roman" w:hAnsi="Times New Roman" w:cs="Times New Roman"/>
          <w:sz w:val="24"/>
          <w:szCs w:val="24"/>
        </w:rPr>
        <w:t xml:space="preserve">studies systematic problems faced by European countries in developing renewable technologies and diffusing these technologies at a slow rate. Systematic failure is attributed to market structure, where dominant </w:t>
      </w:r>
      <w:r w:rsidR="007345F4" w:rsidRPr="003676D3">
        <w:rPr>
          <w:rFonts w:ascii="Times New Roman" w:hAnsi="Times New Roman" w:cs="Times New Roman"/>
          <w:sz w:val="24"/>
          <w:szCs w:val="24"/>
        </w:rPr>
        <w:t>characters</w:t>
      </w:r>
      <w:r w:rsidRPr="003676D3">
        <w:rPr>
          <w:rFonts w:ascii="Times New Roman" w:hAnsi="Times New Roman" w:cs="Times New Roman"/>
          <w:sz w:val="24"/>
          <w:szCs w:val="24"/>
        </w:rPr>
        <w:t xml:space="preserve"> control the market. Systematic failures as well as markets are reviewed in</w:t>
      </w:r>
      <w:r w:rsidR="00560079" w:rsidRPr="003676D3">
        <w:rPr>
          <w:rFonts w:ascii="Times New Roman" w:hAnsi="Times New Roman" w:cs="Times New Roman"/>
          <w:sz w:val="24"/>
          <w:szCs w:val="24"/>
        </w:rPr>
        <w:t xml:space="preserve"> </w:t>
      </w:r>
      <w:r w:rsidR="00560079" w:rsidRPr="003676D3">
        <w:rPr>
          <w:rFonts w:ascii="Times New Roman" w:hAnsi="Times New Roman" w:cs="Times New Roman"/>
          <w:sz w:val="24"/>
          <w:szCs w:val="24"/>
        </w:rPr>
        <w:fldChar w:fldCharType="begin" w:fldLock="1"/>
      </w:r>
      <w:r w:rsidR="00560079" w:rsidRPr="003676D3">
        <w:rPr>
          <w:rFonts w:ascii="Times New Roman" w:hAnsi="Times New Roman" w:cs="Times New Roman"/>
          <w:sz w:val="24"/>
          <w:szCs w:val="24"/>
        </w:rPr>
        <w:instrText>ADDIN CSL_CITATION {"citationItems":[{"id":"ITEM-1","itemData":{"DOI":"10.1093/SCIPOL/SCR008","ISSN":"0302-3427","abstract":"Systemic policy instruments are receiving increased attention among innovation scholars as a means to stimulate sustainability oriented technological innovation. The instruments are called systemic in the expectation that they will improve the functioning of entire (innovation) systems. A first step in designing systemic instruments is an analysis of the systemic problems that hinder the development of a specific technological trajectory. This paper argues that two approaches to studying innovation systems-structural and functional analyses-can be combined in a systemic policy framework that helps to first, identify the systemic problems; and second, to suggest the systemic instruments that would address these problems. © The Author 2012. Published by Oxford University Press. All rights reserved.","author":[{"dropping-particle":"","family":"Wieczorek","given":"Anna J.","non-dropping-particle":"","parse-names":false,"suffix":""},{"dropping-particle":"","family":"Hekkert","given":"Marko P.","non-dropping-particle":"","parse-names":false,"suffix":""}],"container-title":"Science and Public Policy","id":"ITEM-1","issue":"1","issued":{"date-parts":[["2012","2","1"]]},"page":"74-87","publisher":"Beech Tree Publishing","title":"Systemic instruments for systemic innovation problems: a framework for policy makers and innovation scholars","type":"article-journal","volume":"39"},"uris":["http://www.mendeley.com/documents/?uuid=216b5139-fa3f-335c-9ce9-32404c6c8ec2"]}],"mendeley":{"formattedCitation":"[122]","plainTextFormattedCitation":"[122]","previouslyFormattedCitation":"[122]"},"properties":{"noteIndex":0},"schema":"https://github.com/citation-style-language/schema/raw/master/csl-citation.json"}</w:instrText>
      </w:r>
      <w:r w:rsidR="00560079" w:rsidRPr="003676D3">
        <w:rPr>
          <w:rFonts w:ascii="Times New Roman" w:hAnsi="Times New Roman" w:cs="Times New Roman"/>
          <w:sz w:val="24"/>
          <w:szCs w:val="24"/>
        </w:rPr>
        <w:fldChar w:fldCharType="separate"/>
      </w:r>
      <w:r w:rsidR="00560079" w:rsidRPr="003676D3">
        <w:rPr>
          <w:rFonts w:ascii="Times New Roman" w:hAnsi="Times New Roman" w:cs="Times New Roman"/>
          <w:noProof/>
          <w:sz w:val="24"/>
          <w:szCs w:val="24"/>
        </w:rPr>
        <w:t>[122]</w:t>
      </w:r>
      <w:r w:rsidR="00560079" w:rsidRPr="003676D3">
        <w:rPr>
          <w:rFonts w:ascii="Times New Roman" w:hAnsi="Times New Roman" w:cs="Times New Roman"/>
          <w:sz w:val="24"/>
          <w:szCs w:val="24"/>
        </w:rPr>
        <w:fldChar w:fldCharType="end"/>
      </w:r>
      <w:r w:rsidR="00560079" w:rsidRPr="003676D3">
        <w:rPr>
          <w:rFonts w:ascii="Times New Roman" w:hAnsi="Times New Roman" w:cs="Times New Roman"/>
          <w:sz w:val="24"/>
          <w:szCs w:val="24"/>
        </w:rPr>
        <w:t xml:space="preserve"> </w:t>
      </w:r>
      <w:r w:rsidR="00560079" w:rsidRPr="003676D3">
        <w:rPr>
          <w:rFonts w:ascii="Times New Roman" w:hAnsi="Times New Roman" w:cs="Times New Roman"/>
          <w:sz w:val="24"/>
          <w:szCs w:val="24"/>
        </w:rPr>
        <w:fldChar w:fldCharType="begin" w:fldLock="1"/>
      </w:r>
      <w:r w:rsidR="00560079" w:rsidRPr="003676D3">
        <w:rPr>
          <w:rFonts w:ascii="Times New Roman" w:hAnsi="Times New Roman" w:cs="Times New Roman"/>
          <w:sz w:val="24"/>
          <w:szCs w:val="24"/>
        </w:rPr>
        <w:instrText>ADDIN CSL_CITATION {"citationItems":[{"id":"ITEM-1","itemData":{"DOI":"10.1016/J.ENPOL.2012.04.065","ISSN":"0301-4215","abstract":"Many of the scenarios for decarbonising the European energy system involve the integration of large-scale and decentralised renewable energy sources, such as wind and solar power. However, such integration requires substantial and rapid improvements to the existing transmission grids. Using a mix of qualitative and quantitative methods, we analysed the opinions and views of stakeholders concerning the main barriers and solutions to this problem. The results suggest two conclusions. The first is that primary barriers to the currently needed level of grid expansion are not technical or financial, but the lack of appropriate regulatory frameworks and public acceptance. The second is that major changes are needed in the overall regulatory process, rather than simply minor modifications or improved implementation of existing regulations. © 2012 Elsevier Ltd.","author":[{"dropping-particle":"","family":"Battaglini","given":"Antonella","non-dropping-particle":"","parse-names":false,"suffix":""},{"dropping-particle":"","family":"Komendantova","given":"Nadejda","non-dropping-particle":"","parse-names":false,"suffix":""},{"dropping-particle":"","family":"Brtnik","given":"Patricia","non-dropping-particle":"","parse-names":false,"suffix":""},{"dropping-particle":"","family":"Patt","given":"Anthony","non-dropping-particle":"","parse-names":false,"suffix":""}],"container-title":"Energy Policy","id":"ITEM-1","issued":{"date-parts":[["2012","8","1"]]},"page":"254-259","publisher":"Elsevier","title":"Perception of barriers for expansion of electricity grids in the European Union","type":"article-journal","volume":"47"},"uris":["http://www.mendeley.com/documents/?uuid=2ae5e609-033f-3a3a-bdaf-29107d421723"]},{"id":"ITEM-2","itemData":{"ISSN":"0360-5442","author":[{"dropping-particle":"","family":"Shafie-khah","given":"Miadreza","non-dropping-particle":"","parse-names":false,"suffix":""},{"dropping-particle":"","family":"Moghaddam","given":"Mohsen Parsa","non-dropping-particle":"","parse-names":false,"suffix":""},{"dropping-particle":"","family":"Sheikh-El-Eslami","given":"Mohamad Kazem","non-dropping-particle":"","parse-names":false,"suffix":""},{"dropping-particle":"","family":"Rahmani-Andebili","given":"Mehdi","non-dropping-particle":"","parse-names":false,"suffix":""}],"container-title":"Energy","id":"ITEM-2","issue":"1","issued":{"date-parts":[["2012"]]},"page":"139-150","publisher":"Elsevier","title":"Modeling of interactions between market regulations and behavior of plug-in electric vehicle aggregators in a virtual power market environment","type":"article-journal","volume":"40"},"uris":["http://www.mendeley.com/documents/?uuid=8c1203c6-8abc-4d66-ac30-d95af7c926d0"]}],"mendeley":{"formattedCitation":"[13,123]","plainTextFormattedCitation":"[13,123]","previouslyFormattedCitation":"[13,123]"},"properties":{"noteIndex":0},"schema":"https://github.com/citation-style-language/schema/raw/master/csl-citation.json"}</w:instrText>
      </w:r>
      <w:r w:rsidR="00560079" w:rsidRPr="003676D3">
        <w:rPr>
          <w:rFonts w:ascii="Times New Roman" w:hAnsi="Times New Roman" w:cs="Times New Roman"/>
          <w:sz w:val="24"/>
          <w:szCs w:val="24"/>
        </w:rPr>
        <w:fldChar w:fldCharType="separate"/>
      </w:r>
      <w:r w:rsidR="00560079" w:rsidRPr="003676D3">
        <w:rPr>
          <w:rFonts w:ascii="Times New Roman" w:hAnsi="Times New Roman" w:cs="Times New Roman"/>
          <w:noProof/>
          <w:sz w:val="24"/>
          <w:szCs w:val="24"/>
        </w:rPr>
        <w:t>[13,123]</w:t>
      </w:r>
      <w:r w:rsidR="00560079" w:rsidRPr="003676D3">
        <w:rPr>
          <w:rFonts w:ascii="Times New Roman" w:hAnsi="Times New Roman" w:cs="Times New Roman"/>
          <w:sz w:val="24"/>
          <w:szCs w:val="24"/>
        </w:rPr>
        <w:fldChar w:fldCharType="end"/>
      </w:r>
      <w:r w:rsidR="009E094F" w:rsidRPr="003676D3">
        <w:rPr>
          <w:rFonts w:ascii="Times New Roman" w:hAnsi="Times New Roman" w:cs="Times New Roman"/>
          <w:sz w:val="24"/>
          <w:szCs w:val="24"/>
        </w:rPr>
        <w:t xml:space="preserve"> </w:t>
      </w:r>
      <w:r w:rsidRPr="003676D3">
        <w:rPr>
          <w:rFonts w:ascii="Times New Roman" w:hAnsi="Times New Roman" w:cs="Times New Roman"/>
          <w:sz w:val="24"/>
          <w:szCs w:val="24"/>
        </w:rPr>
        <w:t>although it lacks to discuss transformational failures.</w:t>
      </w:r>
    </w:p>
    <w:p w14:paraId="73BEA11E" w14:textId="24504B6C" w:rsidR="00E7634E" w:rsidRPr="003676D3" w:rsidRDefault="004C7490"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The development of a SG</w:t>
      </w:r>
      <w:r w:rsidR="00E7634E" w:rsidRPr="003676D3">
        <w:rPr>
          <w:rFonts w:ascii="Times New Roman" w:hAnsi="Times New Roman" w:cs="Times New Roman"/>
          <w:sz w:val="24"/>
          <w:szCs w:val="24"/>
        </w:rPr>
        <w:t xml:space="preserve"> </w:t>
      </w:r>
      <w:r w:rsidRPr="003676D3">
        <w:rPr>
          <w:rFonts w:ascii="Times New Roman" w:hAnsi="Times New Roman" w:cs="Times New Roman"/>
          <w:sz w:val="24"/>
          <w:szCs w:val="24"/>
        </w:rPr>
        <w:t>necessitates</w:t>
      </w:r>
      <w:r w:rsidR="00E7634E" w:rsidRPr="003676D3">
        <w:rPr>
          <w:rFonts w:ascii="Times New Roman" w:hAnsi="Times New Roman" w:cs="Times New Roman"/>
          <w:sz w:val="24"/>
          <w:szCs w:val="24"/>
        </w:rPr>
        <w:t xml:space="preserve"> a precise regulatory framework having an important aspect of market liberalization. it is an imperative step to keep the energy prices affordable for all stakeholder as well as increase system flexibility by ensuring interoperability between various prosumers. This gives prosumers a choice to opt for suitable energy provider based on their need and financial situation</w:t>
      </w:r>
      <w:r w:rsidR="006326DB" w:rsidRPr="003676D3">
        <w:rPr>
          <w:rFonts w:ascii="Times New Roman" w:hAnsi="Times New Roman" w:cs="Times New Roman"/>
          <w:sz w:val="24"/>
          <w:szCs w:val="24"/>
        </w:rPr>
        <w:t xml:space="preserve"> </w:t>
      </w:r>
      <w:r w:rsidR="006326DB" w:rsidRPr="003676D3">
        <w:rPr>
          <w:rFonts w:ascii="Times New Roman" w:hAnsi="Times New Roman" w:cs="Times New Roman"/>
          <w:sz w:val="24"/>
          <w:szCs w:val="24"/>
        </w:rPr>
        <w:fldChar w:fldCharType="begin" w:fldLock="1"/>
      </w:r>
      <w:r w:rsidR="006326DB" w:rsidRPr="003676D3">
        <w:rPr>
          <w:rFonts w:ascii="Times New Roman" w:hAnsi="Times New Roman" w:cs="Times New Roman"/>
          <w:sz w:val="24"/>
          <w:szCs w:val="24"/>
        </w:rPr>
        <w:instrText>ADDIN CSL_CITATION {"citationItems":[{"id":"ITEM-1","itemData":{"DOI":"10.1145/3599733.3600247","ISBN":"9798400702273","abstract":"A stable supply of electrical energy is essential for the functioning of our society. Therefore, energy and balancing markets of power grids are strictly regulated. With changes in technology, the economy and society, these regulations are also constantly adapted. However, whether these regulatory changes lead to the intended results is not easy to assess. Could eXplainable Artificial Intelligence (XAI) models distinguish regulatory settings and support the understanding of the effects of these changes? In this article, we explore two examples of regulatory changes: The splitting of the German-Austrian bidding zone and changes in the pricing schemes of the German balancing energy market. We find that boosted tree models and feedforward neural networks before and after a regulatory change differ in their respective parametrizations. Using Shapley additive explanations, we reveal model differences, e.g., in terms of feature importance, and identify key features of these distinct models. With this study, we demonstrate how XAI can be applied to investigate system changes in power systems.","author":[{"dropping-particle":"","family":"Pütz","given":"Sebastian","non-dropping-particle":"","parse-names":false,"suffix":""},{"dropping-particle":"","family":"Kruse","given":"Johannes","non-dropping-particle":"","parse-names":false,"suffix":""},{"dropping-particle":"","family":"Witthaut","given":"Dirk","non-dropping-particle":"","parse-names":false,"suffix":""},{"dropping-particle":"","family":"Hagenmeyer","given":"Veit","non-dropping-particle":"","parse-names":false,"suffix":""},{"dropping-particle":"","family":"Schäfer","given":"Benjamin","non-dropping-particle":"","parse-names":false,"suffix":""}],"container-title":"e-Energy 2023 Companion - Proceedings of the 14th ACM International Conference on Future Energy Systems","id":"ITEM-1","issued":{"date-parts":[["2023","6","20"]]},"page":"26-31","publisher":"Association for Computing Machinery, Inc","title":"Regulatory Changes in German and Austrian Power Systems Explored with Explainable Artificial Intelligence","type":"article-journal"},"uris":["http://www.mendeley.com/documents/?uuid=43ed3284-08d1-3f14-b039-0886c0002e35"]}],"mendeley":{"formattedCitation":"[124]","plainTextFormattedCitation":"[124]","previouslyFormattedCitation":"[124]"},"properties":{"noteIndex":0},"schema":"https://github.com/citation-style-language/schema/raw/master/csl-citation.json"}</w:instrText>
      </w:r>
      <w:r w:rsidR="006326DB" w:rsidRPr="003676D3">
        <w:rPr>
          <w:rFonts w:ascii="Times New Roman" w:hAnsi="Times New Roman" w:cs="Times New Roman"/>
          <w:sz w:val="24"/>
          <w:szCs w:val="24"/>
        </w:rPr>
        <w:fldChar w:fldCharType="separate"/>
      </w:r>
      <w:r w:rsidR="006326DB" w:rsidRPr="003676D3">
        <w:rPr>
          <w:rFonts w:ascii="Times New Roman" w:hAnsi="Times New Roman" w:cs="Times New Roman"/>
          <w:noProof/>
          <w:sz w:val="24"/>
          <w:szCs w:val="24"/>
        </w:rPr>
        <w:t>[124]</w:t>
      </w:r>
      <w:r w:rsidR="006326DB" w:rsidRPr="003676D3">
        <w:rPr>
          <w:rFonts w:ascii="Times New Roman" w:hAnsi="Times New Roman" w:cs="Times New Roman"/>
          <w:sz w:val="24"/>
          <w:szCs w:val="24"/>
        </w:rPr>
        <w:fldChar w:fldCharType="end"/>
      </w:r>
      <w:r w:rsidR="00E7634E" w:rsidRPr="003676D3">
        <w:rPr>
          <w:rFonts w:ascii="Times New Roman" w:hAnsi="Times New Roman" w:cs="Times New Roman"/>
          <w:sz w:val="24"/>
          <w:szCs w:val="24"/>
        </w:rPr>
        <w:t xml:space="preserve">. </w:t>
      </w:r>
    </w:p>
    <w:p w14:paraId="3950FE51" w14:textId="0D6BCE98" w:rsidR="00E7634E" w:rsidRPr="003676D3" w:rsidRDefault="00D77A74"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For smart grid transition, the case study of Netherlands can be taken as reference, which sustains many socio-technological setbacks but continued to evolve. </w:t>
      </w:r>
      <w:r w:rsidR="00402291" w:rsidRPr="003676D3">
        <w:rPr>
          <w:rFonts w:ascii="Times New Roman" w:hAnsi="Times New Roman" w:cs="Times New Roman"/>
          <w:sz w:val="24"/>
          <w:szCs w:val="24"/>
        </w:rPr>
        <w:t xml:space="preserve">In Netherland, </w:t>
      </w:r>
      <w:r w:rsidR="00896CD2" w:rsidRPr="003676D3">
        <w:rPr>
          <w:rFonts w:ascii="Times New Roman" w:hAnsi="Times New Roman" w:cs="Times New Roman"/>
          <w:sz w:val="24"/>
          <w:szCs w:val="24"/>
        </w:rPr>
        <w:t>t</w:t>
      </w:r>
      <w:r w:rsidRPr="003676D3">
        <w:rPr>
          <w:rFonts w:ascii="Times New Roman" w:hAnsi="Times New Roman" w:cs="Times New Roman"/>
          <w:sz w:val="24"/>
          <w:szCs w:val="24"/>
        </w:rPr>
        <w:t>he Dutch national government’s motivation resulted in rapid</w:t>
      </w:r>
      <w:r w:rsidR="00896CD2" w:rsidRPr="003676D3">
        <w:rPr>
          <w:rFonts w:ascii="Times New Roman" w:hAnsi="Times New Roman" w:cs="Times New Roman"/>
          <w:sz w:val="24"/>
          <w:szCs w:val="24"/>
        </w:rPr>
        <w:t xml:space="preserve"> </w:t>
      </w:r>
      <w:r w:rsidRPr="003676D3">
        <w:rPr>
          <w:rFonts w:ascii="Times New Roman" w:hAnsi="Times New Roman" w:cs="Times New Roman"/>
          <w:sz w:val="24"/>
          <w:szCs w:val="24"/>
        </w:rPr>
        <w:t>adaptation of smart grid technology. Consequently, it caught the attention of policymakers and attracted the investment from firms and scientists for R&amp;D. However, the lack of leadership, learning opportunities, regulatory frameworks</w:t>
      </w:r>
      <w:r w:rsidR="006326DB" w:rsidRPr="003676D3">
        <w:rPr>
          <w:rFonts w:ascii="Times New Roman" w:hAnsi="Times New Roman" w:cs="Times New Roman"/>
          <w:sz w:val="24"/>
          <w:szCs w:val="24"/>
        </w:rPr>
        <w:t xml:space="preserve"> </w:t>
      </w:r>
      <w:r w:rsidR="006326DB" w:rsidRPr="003676D3">
        <w:rPr>
          <w:rFonts w:ascii="Times New Roman" w:hAnsi="Times New Roman" w:cs="Times New Roman"/>
          <w:sz w:val="24"/>
          <w:szCs w:val="24"/>
        </w:rPr>
        <w:fldChar w:fldCharType="begin" w:fldLock="1"/>
      </w:r>
      <w:r w:rsidR="006326DB" w:rsidRPr="003676D3">
        <w:rPr>
          <w:rFonts w:ascii="Times New Roman" w:hAnsi="Times New Roman" w:cs="Times New Roman"/>
          <w:sz w:val="24"/>
          <w:szCs w:val="24"/>
        </w:rPr>
        <w:instrText>ADDIN CSL_CITATION {"citationItems":[{"id":"ITEM-1","itemData":{"ISSN":"0360-5442","author":[{"dropping-particle":"","family":"Shafie-khah","given":"Miadreza","non-dropping-particle":"","parse-names":false,"suffix":""},{"dropping-particle":"","family":"Moghaddam","given":"Mohsen Parsa","non-dropping-particle":"","parse-names":false,"suffix":""},{"dropping-particle":"","family":"Sheikh-El-Eslami","given":"Mohamad Kazem","non-dropping-particle":"","parse-names":false,"suffix":""},{"dropping-particle":"","family":"Rahmani-Andebili","given":"Mehdi","non-dropping-particle":"","parse-names":false,"suffix":""}],"container-title":"Energy","id":"ITEM-1","issue":"1","issued":{"date-parts":[["2012"]]},"page":"139-150","publisher":"Elsevier","title":"Modeling of interactions between market regulations and behavior of plug-in electric vehicle aggregators in a virtual power market environment","type":"article-journal","volume":"40"},"uris":["http://www.mendeley.com/documents/?uuid=8c1203c6-8abc-4d66-ac30-d95af7c926d0"]}],"mendeley":{"formattedCitation":"[123]","plainTextFormattedCitation":"[123]","previouslyFormattedCitation":"[123]"},"properties":{"noteIndex":0},"schema":"https://github.com/citation-style-language/schema/raw/master/csl-citation.json"}</w:instrText>
      </w:r>
      <w:r w:rsidR="006326DB" w:rsidRPr="003676D3">
        <w:rPr>
          <w:rFonts w:ascii="Times New Roman" w:hAnsi="Times New Roman" w:cs="Times New Roman"/>
          <w:sz w:val="24"/>
          <w:szCs w:val="24"/>
        </w:rPr>
        <w:fldChar w:fldCharType="separate"/>
      </w:r>
      <w:r w:rsidR="006326DB" w:rsidRPr="003676D3">
        <w:rPr>
          <w:rFonts w:ascii="Times New Roman" w:hAnsi="Times New Roman" w:cs="Times New Roman"/>
          <w:noProof/>
          <w:sz w:val="24"/>
          <w:szCs w:val="24"/>
        </w:rPr>
        <w:t>[123]</w:t>
      </w:r>
      <w:r w:rsidR="006326DB"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slowed the smart grid diffusion by stakeholders. </w:t>
      </w:r>
    </w:p>
    <w:p w14:paraId="6E0F4185" w14:textId="2F78D81F" w:rsidR="00AE5731" w:rsidRPr="003676D3" w:rsidRDefault="00AE5731"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The energy system is subject to extensive regulation to ensure a secure electricity supply. These regulations are continually reviewed and adjusted</w:t>
      </w:r>
      <w:r w:rsidR="007345F4" w:rsidRPr="003676D3">
        <w:rPr>
          <w:rFonts w:ascii="Times New Roman" w:hAnsi="Times New Roman" w:cs="Times New Roman"/>
          <w:sz w:val="24"/>
          <w:szCs w:val="24"/>
        </w:rPr>
        <w:t xml:space="preserve">. This is because </w:t>
      </w:r>
      <w:r w:rsidR="00E00505" w:rsidRPr="003676D3">
        <w:rPr>
          <w:rFonts w:ascii="Times New Roman" w:hAnsi="Times New Roman" w:cs="Times New Roman"/>
          <w:sz w:val="24"/>
          <w:szCs w:val="24"/>
        </w:rPr>
        <w:t>of the need</w:t>
      </w:r>
      <w:r w:rsidRPr="003676D3">
        <w:rPr>
          <w:rFonts w:ascii="Times New Roman" w:hAnsi="Times New Roman" w:cs="Times New Roman"/>
          <w:sz w:val="24"/>
          <w:szCs w:val="24"/>
        </w:rPr>
        <w:t xml:space="preserve"> to address evolving external </w:t>
      </w:r>
      <w:r w:rsidR="00C81155" w:rsidRPr="003676D3">
        <w:rPr>
          <w:rFonts w:ascii="Times New Roman" w:hAnsi="Times New Roman" w:cs="Times New Roman"/>
          <w:sz w:val="24"/>
          <w:szCs w:val="24"/>
        </w:rPr>
        <w:t xml:space="preserve">economic, technical, </w:t>
      </w:r>
      <w:r w:rsidRPr="003676D3">
        <w:rPr>
          <w:rFonts w:ascii="Times New Roman" w:hAnsi="Times New Roman" w:cs="Times New Roman"/>
          <w:sz w:val="24"/>
          <w:szCs w:val="24"/>
        </w:rPr>
        <w:t xml:space="preserve">or social factors. For </w:t>
      </w:r>
      <w:r w:rsidR="00E00505" w:rsidRPr="003676D3">
        <w:rPr>
          <w:rFonts w:ascii="Times New Roman" w:hAnsi="Times New Roman" w:cs="Times New Roman"/>
          <w:sz w:val="24"/>
          <w:szCs w:val="24"/>
        </w:rPr>
        <w:t>example</w:t>
      </w:r>
      <w:r w:rsidRPr="003676D3">
        <w:rPr>
          <w:rFonts w:ascii="Times New Roman" w:hAnsi="Times New Roman" w:cs="Times New Roman"/>
          <w:sz w:val="24"/>
          <w:szCs w:val="24"/>
        </w:rPr>
        <w:t xml:space="preserve">, </w:t>
      </w:r>
      <w:r w:rsidR="00C81155" w:rsidRPr="003676D3">
        <w:rPr>
          <w:rFonts w:ascii="Times New Roman" w:hAnsi="Times New Roman" w:cs="Times New Roman"/>
          <w:sz w:val="24"/>
          <w:szCs w:val="24"/>
        </w:rPr>
        <w:t>the Germany's electricity system regulation</w:t>
      </w:r>
      <w:r w:rsidRPr="003676D3">
        <w:rPr>
          <w:rFonts w:ascii="Times New Roman" w:hAnsi="Times New Roman" w:cs="Times New Roman"/>
          <w:sz w:val="24"/>
          <w:szCs w:val="24"/>
        </w:rPr>
        <w:t>, particularly the EEG (German Renewable Energy Sources Act), has undergone multiple revisions in th</w:t>
      </w:r>
      <w:r w:rsidR="00836A62" w:rsidRPr="003676D3">
        <w:rPr>
          <w:rFonts w:ascii="Times New Roman" w:hAnsi="Times New Roman" w:cs="Times New Roman"/>
          <w:sz w:val="24"/>
          <w:szCs w:val="24"/>
        </w:rPr>
        <w:t xml:space="preserve">e past decade. These </w:t>
      </w:r>
      <w:r w:rsidRPr="003676D3">
        <w:rPr>
          <w:rFonts w:ascii="Times New Roman" w:hAnsi="Times New Roman" w:cs="Times New Roman"/>
          <w:sz w:val="24"/>
          <w:szCs w:val="24"/>
        </w:rPr>
        <w:t>changes</w:t>
      </w:r>
      <w:r w:rsidR="00836A62" w:rsidRPr="003676D3">
        <w:rPr>
          <w:rFonts w:ascii="Times New Roman" w:hAnsi="Times New Roman" w:cs="Times New Roman"/>
          <w:sz w:val="24"/>
          <w:szCs w:val="24"/>
        </w:rPr>
        <w:t xml:space="preserve"> in regulations</w:t>
      </w:r>
      <w:r w:rsidRPr="003676D3">
        <w:rPr>
          <w:rFonts w:ascii="Times New Roman" w:hAnsi="Times New Roman" w:cs="Times New Roman"/>
          <w:sz w:val="24"/>
          <w:szCs w:val="24"/>
        </w:rPr>
        <w:t xml:space="preserve"> necessitate </w:t>
      </w:r>
      <w:r w:rsidRPr="003676D3">
        <w:rPr>
          <w:rFonts w:ascii="Times New Roman" w:hAnsi="Times New Roman" w:cs="Times New Roman"/>
          <w:sz w:val="24"/>
          <w:szCs w:val="24"/>
        </w:rPr>
        <w:lastRenderedPageBreak/>
        <w:t>careful evaluations</w:t>
      </w:r>
      <w:r w:rsidR="0075375C" w:rsidRPr="003676D3">
        <w:rPr>
          <w:rFonts w:ascii="Times New Roman" w:hAnsi="Times New Roman" w:cs="Times New Roman"/>
          <w:sz w:val="24"/>
          <w:szCs w:val="24"/>
        </w:rPr>
        <w:t xml:space="preserve">. This is done </w:t>
      </w:r>
      <w:r w:rsidR="00E00505" w:rsidRPr="003676D3">
        <w:rPr>
          <w:rFonts w:ascii="Times New Roman" w:hAnsi="Times New Roman" w:cs="Times New Roman"/>
          <w:sz w:val="24"/>
          <w:szCs w:val="24"/>
        </w:rPr>
        <w:t>to</w:t>
      </w:r>
      <w:r w:rsidRPr="003676D3">
        <w:rPr>
          <w:rFonts w:ascii="Times New Roman" w:hAnsi="Times New Roman" w:cs="Times New Roman"/>
          <w:sz w:val="24"/>
          <w:szCs w:val="24"/>
        </w:rPr>
        <w:t xml:space="preserve"> </w:t>
      </w:r>
      <w:r w:rsidR="00836A62" w:rsidRPr="003676D3">
        <w:rPr>
          <w:rFonts w:ascii="Times New Roman" w:hAnsi="Times New Roman" w:cs="Times New Roman"/>
          <w:sz w:val="24"/>
          <w:szCs w:val="24"/>
        </w:rPr>
        <w:t>define</w:t>
      </w:r>
      <w:r w:rsidRPr="003676D3">
        <w:rPr>
          <w:rFonts w:ascii="Times New Roman" w:hAnsi="Times New Roman" w:cs="Times New Roman"/>
          <w:sz w:val="24"/>
          <w:szCs w:val="24"/>
        </w:rPr>
        <w:t xml:space="preserve"> their effectiveness and identify any potential </w:t>
      </w:r>
      <w:r w:rsidR="00E00505" w:rsidRPr="003676D3">
        <w:rPr>
          <w:rFonts w:ascii="Times New Roman" w:hAnsi="Times New Roman" w:cs="Times New Roman"/>
          <w:sz w:val="24"/>
          <w:szCs w:val="24"/>
        </w:rPr>
        <w:t>harmful</w:t>
      </w:r>
      <w:r w:rsidRPr="003676D3">
        <w:rPr>
          <w:rFonts w:ascii="Times New Roman" w:hAnsi="Times New Roman" w:cs="Times New Roman"/>
          <w:sz w:val="24"/>
          <w:szCs w:val="24"/>
        </w:rPr>
        <w:t xml:space="preserve"> consequences. For example, research </w:t>
      </w:r>
      <w:r w:rsidR="00836A62" w:rsidRPr="003676D3">
        <w:rPr>
          <w:rFonts w:ascii="Times New Roman" w:hAnsi="Times New Roman" w:cs="Times New Roman"/>
          <w:sz w:val="24"/>
          <w:szCs w:val="24"/>
        </w:rPr>
        <w:t xml:space="preserve">on electricity market design in Germany </w:t>
      </w:r>
      <w:r w:rsidRPr="003676D3">
        <w:rPr>
          <w:rFonts w:ascii="Times New Roman" w:hAnsi="Times New Roman" w:cs="Times New Roman"/>
          <w:sz w:val="24"/>
          <w:szCs w:val="24"/>
        </w:rPr>
        <w:t>indicates that t</w:t>
      </w:r>
      <w:r w:rsidR="00836A62" w:rsidRPr="003676D3">
        <w:rPr>
          <w:rFonts w:ascii="Times New Roman" w:hAnsi="Times New Roman" w:cs="Times New Roman"/>
          <w:sz w:val="24"/>
          <w:szCs w:val="24"/>
        </w:rPr>
        <w:t xml:space="preserve">he previous design of market encouraged </w:t>
      </w:r>
      <w:r w:rsidRPr="003676D3">
        <w:rPr>
          <w:rFonts w:ascii="Times New Roman" w:hAnsi="Times New Roman" w:cs="Times New Roman"/>
          <w:sz w:val="24"/>
          <w:szCs w:val="24"/>
        </w:rPr>
        <w:t>participants to systematically under-provide energy</w:t>
      </w:r>
      <w:r w:rsidR="0075375C" w:rsidRPr="003676D3">
        <w:rPr>
          <w:rFonts w:ascii="Times New Roman" w:hAnsi="Times New Roman" w:cs="Times New Roman"/>
          <w:sz w:val="24"/>
          <w:szCs w:val="24"/>
        </w:rPr>
        <w:t xml:space="preserve"> which</w:t>
      </w:r>
      <w:r w:rsidRPr="003676D3">
        <w:rPr>
          <w:rFonts w:ascii="Times New Roman" w:hAnsi="Times New Roman" w:cs="Times New Roman"/>
          <w:sz w:val="24"/>
          <w:szCs w:val="24"/>
        </w:rPr>
        <w:t xml:space="preserve"> negatively impact system stability</w:t>
      </w:r>
      <w:r w:rsidR="006326DB" w:rsidRPr="003676D3">
        <w:rPr>
          <w:rFonts w:ascii="Times New Roman" w:hAnsi="Times New Roman" w:cs="Times New Roman"/>
          <w:sz w:val="24"/>
          <w:szCs w:val="24"/>
        </w:rPr>
        <w:t xml:space="preserve"> </w:t>
      </w:r>
      <w:r w:rsidR="006326DB" w:rsidRPr="003676D3">
        <w:rPr>
          <w:rFonts w:ascii="Times New Roman" w:hAnsi="Times New Roman" w:cs="Times New Roman"/>
          <w:sz w:val="24"/>
          <w:szCs w:val="24"/>
        </w:rPr>
        <w:fldChar w:fldCharType="begin" w:fldLock="1"/>
      </w:r>
      <w:r w:rsidR="006326DB" w:rsidRPr="003676D3">
        <w:rPr>
          <w:rFonts w:ascii="Times New Roman" w:hAnsi="Times New Roman" w:cs="Times New Roman"/>
          <w:sz w:val="24"/>
          <w:szCs w:val="24"/>
        </w:rPr>
        <w:instrText>ADDIN CSL_CITATION {"citationItems":[{"id":"ITEM-1","itemData":{"DOI":"10.1016/J.PATTER.2021.100365","ISSN":"26663899","abstract":"Stable operation of an electric power system requires strict operational limits for the grid frequency. Fluctuations and external impacts can cause large frequency deviations and increased control efforts. Although these complex interdependencies can be modeled using machine learning algorithms, the black box character of many models limits insights and applicability. In this article, we introduce an explainable machine learning model that accurately predicts frequency stability indicators for three European synchronous areas. Using Shapley additive explanations, we identify key features and risk factors for frequency stability. We show how load and generation ramps determine frequency gradients, and we identify three classes of generation technologies with converse impacts. Control efforts vary strongly depending on the grid and time of day and are driven by ramps as well as electricity prices. Notably, renewable power generation is central only in the British grid, while forecasting errors play a major role in the Nordic grid.","author":[{"dropping-particle":"","family":"Kruse","given":"Johannes","non-dropping-particle":"","parse-names":false,"suffix":""},{"dropping-particle":"","family":"Schäfer","given":"Benjamin","non-dropping-particle":"","parse-names":false,"suffix":""},{"dropping-particle":"","family":"Witthaut","given":"Dirk","non-dropping-particle":"","parse-names":false,"suffix":""}],"container-title":"Patterns","id":"ITEM-1","issue":"11","issued":{"date-parts":[["2021","11","12"]]},"publisher":"Cell Press","title":"Revealing drivers and risks for power grid frequency stability with explainable AI","type":"article-journal","volume":"2"},"uris":["http://www.mendeley.com/documents/?uuid=9dbe740f-025f-3304-8ec9-cebd183fe1ee"]},{"id":"ITEM-2","itemData":{"DOI":"10.1007/S11149-021-09430-7","ISSN":"15730468","abstract":"We present an integrated market model which considers the dependencies between the wholesale market and the highly regulated balancing power markets. This fosters the understanding of the mechanisms of these markets and, thus, allows the evaluation of the designs of these markets and their interplay. In contrast to existing literature, in our model the prices on the different markets are interdependent and endogenously determined, which also applies to the switch from inframarginal suppliers to extramarginal suppliers. Linked to this, the implementation of a specific assignment of the suppliers to the different markets is according to their production costs and their ability to provide balancing power. We prove the existence of a market equilibrium, analyze its outcome and contrast this with German market data. Based on this model, we assess design changes, partly stipulated by recent European regulation. This includes uniform pricing as a common settlement rule (effect: no truthful bidding in general), standardized prequalification criteria (promising measure for cost reduction), market flexibilization via “free energy bids” (no increased competition) and the alternative score “mixed-price rule” (no effect on the equilibrium).","author":[{"dropping-particle":"","family":"Ehrhart","given":"Karl Martin","non-dropping-particle":"","parse-names":false,"suffix":""},{"dropping-particle":"","family":"Ocker","given":"Fabian","non-dropping-particle":"","parse-names":false,"suffix":""}],"container-title":"Journal of Regulatory Economics","id":"ITEM-2","issue":"1","issued":{"date-parts":[["2021","8","1"]]},"page":"55-73","publisher":"Springer","title":"Design and regulation of balancing power auctions: an integrated market model approach","type":"article-journal","volume":"60"},"uris":["http://www.mendeley.com/documents/?uuid=36848faf-bc22-37f0-9e15-714ee52d2553"]},{"id":"ITEM-3","itemData":{"DOI":"10.1016/J.ENECO.2021.105455","ISSN":"01409883","abstract":"Frequency stability requires equalizing supply and demand for electricity at short time scales. Such electricity balancing is often understood as a sequential process in which random shocks, such as weather events, cause imbalances that system operators close by activating balancing reserves. By contrast, we study electricity balancing as a market where the equilibrium price (imbalance price) and quantity (system imbalance) are determined by supply and demand. System operators supply imbalance energy by activating reserves; market parties that, deliberately or not, deviate from schedules create a demand for imbalance energy. The incentives for deliberate strategic deviations emerge from wholesale market prices and the imbalance price. We empirically estimate the demand curve of imbalance energy, which describes how sensitive market parties are to imbalance prices. To overcome the classical endogeneity problem of price and quantity, we deploy instruments derived from a novel theoretical framework. Using data from Germany, we find a decline in the demand for imbalance energy by 2.2 MW for each increase in the imbalance price by EUR 1 per MWh. This significant price response is remarkable because the German regulator prohibits strategic deviations. We also estimate cross-market equilibriums between intraday and imbalance markets, finding that a shock to the imbalance price triggers a subsequent adjustment of the intraday price.","author":[{"dropping-particle":"","family":"Eicke","given":"Anselm","non-dropping-particle":"","parse-names":false,"suffix":""},{"dropping-particle":"","family":"Ruhnau","given":"Oliver","non-dropping-particle":"","parse-names":false,"suffix":""},{"dropping-particle":"","family":"Hirth","given":"Lion","non-dropping-particle":"","parse-names":false,"suffix":""}],"container-title":"Energy Economics","id":"ITEM-3","issued":{"date-parts":[["2021","10","1"]]},"publisher":"Elsevier B.V.","title":"Electricity balancing as a market equilibrium: An instrument-based estimation of supply and demand for imbalance energy","type":"article-journal","volume":"102"},"uris":["http://www.mendeley.com/documents/?uuid=de37540b-6c07-3813-a1e1-21bdbf2d431b"]}],"mendeley":{"formattedCitation":"[125–127]","plainTextFormattedCitation":"[125–127]","previouslyFormattedCitation":"[125–127]"},"properties":{"noteIndex":0},"schema":"https://github.com/citation-style-language/schema/raw/master/csl-citation.json"}</w:instrText>
      </w:r>
      <w:r w:rsidR="006326DB" w:rsidRPr="003676D3">
        <w:rPr>
          <w:rFonts w:ascii="Times New Roman" w:hAnsi="Times New Roman" w:cs="Times New Roman"/>
          <w:sz w:val="24"/>
          <w:szCs w:val="24"/>
        </w:rPr>
        <w:fldChar w:fldCharType="separate"/>
      </w:r>
      <w:r w:rsidR="006326DB" w:rsidRPr="003676D3">
        <w:rPr>
          <w:rFonts w:ascii="Times New Roman" w:hAnsi="Times New Roman" w:cs="Times New Roman"/>
          <w:noProof/>
          <w:sz w:val="24"/>
          <w:szCs w:val="24"/>
        </w:rPr>
        <w:t>[125–127]</w:t>
      </w:r>
      <w:r w:rsidR="006326DB" w:rsidRPr="003676D3">
        <w:rPr>
          <w:rFonts w:ascii="Times New Roman" w:hAnsi="Times New Roman" w:cs="Times New Roman"/>
          <w:sz w:val="24"/>
          <w:szCs w:val="24"/>
        </w:rPr>
        <w:fldChar w:fldCharType="end"/>
      </w:r>
      <w:r w:rsidRPr="003676D3">
        <w:rPr>
          <w:rFonts w:ascii="Times New Roman" w:hAnsi="Times New Roman" w:cs="Times New Roman"/>
          <w:sz w:val="24"/>
          <w:szCs w:val="24"/>
        </w:rPr>
        <w:t>.</w:t>
      </w:r>
    </w:p>
    <w:p w14:paraId="3B54E9AD" w14:textId="54804791" w:rsidR="0062682E" w:rsidRPr="003676D3" w:rsidRDefault="00D77A74"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The action plan should have been to involve corporate sector and relevant stakeholders like energy communities into the policymaking. Also, upgradation of the grid to incorporate smart technologies, should be emphasized in the legislation. Turning smart grids into super smart grids can only be possible with the involvement of innovative entrepreneurs</w:t>
      </w:r>
      <w:r w:rsidR="007D65CB" w:rsidRPr="003676D3">
        <w:rPr>
          <w:rFonts w:ascii="Times New Roman" w:hAnsi="Times New Roman" w:cs="Times New Roman"/>
          <w:sz w:val="24"/>
          <w:szCs w:val="24"/>
        </w:rPr>
        <w:t xml:space="preserve"> and technological start-ups</w:t>
      </w:r>
      <w:r w:rsidRPr="003676D3">
        <w:rPr>
          <w:rFonts w:ascii="Times New Roman" w:hAnsi="Times New Roman" w:cs="Times New Roman"/>
          <w:sz w:val="24"/>
          <w:szCs w:val="24"/>
        </w:rPr>
        <w:t xml:space="preserve"> in the process. They can be supported through legislation, transparent regulations and robust economic policy instruments</w:t>
      </w:r>
      <w:r w:rsidR="006326DB" w:rsidRPr="003676D3">
        <w:rPr>
          <w:rFonts w:ascii="Times New Roman" w:hAnsi="Times New Roman" w:cs="Times New Roman"/>
          <w:sz w:val="24"/>
          <w:szCs w:val="24"/>
        </w:rPr>
        <w:t xml:space="preserve"> </w:t>
      </w:r>
      <w:r w:rsidR="006326DB" w:rsidRPr="003676D3">
        <w:rPr>
          <w:rFonts w:ascii="Times New Roman" w:hAnsi="Times New Roman" w:cs="Times New Roman"/>
          <w:sz w:val="24"/>
          <w:szCs w:val="24"/>
        </w:rPr>
        <w:fldChar w:fldCharType="begin" w:fldLock="1"/>
      </w:r>
      <w:r w:rsidR="006326DB" w:rsidRPr="003676D3">
        <w:rPr>
          <w:rFonts w:ascii="Times New Roman" w:hAnsi="Times New Roman" w:cs="Times New Roman"/>
          <w:sz w:val="24"/>
          <w:szCs w:val="24"/>
        </w:rPr>
        <w:instrText>ADDIN CSL_CITATION {"citationItems":[{"id":"ITEM-1","itemData":{"DOI":"10.1016/J.ENPOL.2021.112382","ISSN":"0301-4215","abstract":"Regulatory experimentation is a novel approach to enable innovation in the energy sector, while maintaining the protection of consumers. We define regulatory experimentation as a temporary removal of regulatory barriers. This can be in the form of a derogation from a rule, but it can also mean assigning responsibility to players to conduct activities that they are normally not allowed to engage in. The outcomes of regulatory experiments inform future regulation. In this paper, we discuss experiences with regulatory experimentation in the energy sector of three pioneering countries: the Netherlands, Great Britain, and Italy. We compare the implementations along six design dimensions: eligible project promoters, scope of the derogations, length of the derogations, administration of the experiments, the access to public funding, and transparency. We also discuss how the early approaches have evolved in these countries. Finally, we look ahead and discuss how regulatory experimentation can evolve in the future European context to contribute to the green transition.","author":[{"dropping-particle":"","family":"Schittekatte","given":"Tim","non-dropping-particle":"","parse-names":false,"suffix":""},{"dropping-particle":"","family":"Meeus","given":"Leonardo","non-dropping-particle":"","parse-names":false,"suffix":""},{"dropping-particle":"","family":"Jamasb","given":"Tooraj","non-dropping-particle":"","parse-names":false,"suffix":""},{"dropping-particle":"","family":"Llorca","given":"Manuel","non-dropping-particle":"","parse-names":false,"suffix":""}],"container-title":"Energy Policy","id":"ITEM-1","issued":{"date-parts":[["2021","9","1"]]},"page":"112382","publisher":"Elsevier","title":"Regulatory experimentation in energy: Three pioneer countries and lessons for the green transition","type":"article-journal","volume":"156"},"uris":["http://www.mendeley.com/documents/?uuid=342cf991-e5f2-3db6-a101-2adc7e01bae5"]}],"mendeley":{"formattedCitation":"[128]","plainTextFormattedCitation":"[128]","previouslyFormattedCitation":"[128]"},"properties":{"noteIndex":0},"schema":"https://github.com/citation-style-language/schema/raw/master/csl-citation.json"}</w:instrText>
      </w:r>
      <w:r w:rsidR="006326DB" w:rsidRPr="003676D3">
        <w:rPr>
          <w:rFonts w:ascii="Times New Roman" w:hAnsi="Times New Roman" w:cs="Times New Roman"/>
          <w:sz w:val="24"/>
          <w:szCs w:val="24"/>
        </w:rPr>
        <w:fldChar w:fldCharType="separate"/>
      </w:r>
      <w:r w:rsidR="006326DB" w:rsidRPr="003676D3">
        <w:rPr>
          <w:rFonts w:ascii="Times New Roman" w:hAnsi="Times New Roman" w:cs="Times New Roman"/>
          <w:noProof/>
          <w:sz w:val="24"/>
          <w:szCs w:val="24"/>
        </w:rPr>
        <w:t>[128]</w:t>
      </w:r>
      <w:r w:rsidR="006326DB" w:rsidRPr="003676D3">
        <w:rPr>
          <w:rFonts w:ascii="Times New Roman" w:hAnsi="Times New Roman" w:cs="Times New Roman"/>
          <w:sz w:val="24"/>
          <w:szCs w:val="24"/>
        </w:rPr>
        <w:fldChar w:fldCharType="end"/>
      </w:r>
      <w:r w:rsidR="00AE5338" w:rsidRPr="003676D3">
        <w:rPr>
          <w:rFonts w:ascii="Times New Roman" w:hAnsi="Times New Roman" w:cs="Times New Roman"/>
          <w:sz w:val="24"/>
          <w:szCs w:val="24"/>
        </w:rPr>
        <w:t>.</w:t>
      </w:r>
      <w:r w:rsidR="0062682E" w:rsidRPr="003676D3">
        <w:rPr>
          <w:rFonts w:ascii="Times New Roman" w:hAnsi="Times New Roman" w:cs="Times New Roman"/>
          <w:sz w:val="24"/>
          <w:szCs w:val="24"/>
        </w:rPr>
        <w:t xml:space="preserve"> </w:t>
      </w:r>
    </w:p>
    <w:p w14:paraId="6873D658" w14:textId="726754C7" w:rsidR="008C530B" w:rsidRPr="003676D3" w:rsidRDefault="008C530B"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In order to </w:t>
      </w:r>
      <w:r w:rsidR="00836A62" w:rsidRPr="003676D3">
        <w:rPr>
          <w:rFonts w:ascii="Times New Roman" w:hAnsi="Times New Roman" w:cs="Times New Roman"/>
          <w:sz w:val="24"/>
          <w:szCs w:val="24"/>
        </w:rPr>
        <w:t>facilitate the</w:t>
      </w:r>
      <w:r w:rsidRPr="003676D3">
        <w:rPr>
          <w:rFonts w:ascii="Times New Roman" w:hAnsi="Times New Roman" w:cs="Times New Roman"/>
          <w:sz w:val="24"/>
          <w:szCs w:val="24"/>
        </w:rPr>
        <w:t xml:space="preserve"> innovation</w:t>
      </w:r>
      <w:r w:rsidR="006326DB" w:rsidRPr="003676D3">
        <w:rPr>
          <w:rFonts w:ascii="Times New Roman" w:hAnsi="Times New Roman" w:cs="Times New Roman"/>
          <w:sz w:val="24"/>
          <w:szCs w:val="24"/>
        </w:rPr>
        <w:t xml:space="preserve"> </w:t>
      </w:r>
      <w:r w:rsidR="006326DB" w:rsidRPr="003676D3">
        <w:rPr>
          <w:rFonts w:ascii="Times New Roman" w:hAnsi="Times New Roman" w:cs="Times New Roman"/>
          <w:sz w:val="24"/>
          <w:szCs w:val="24"/>
        </w:rPr>
        <w:fldChar w:fldCharType="begin" w:fldLock="1"/>
      </w:r>
      <w:r w:rsidR="006326DB" w:rsidRPr="003676D3">
        <w:rPr>
          <w:rFonts w:ascii="Times New Roman" w:hAnsi="Times New Roman" w:cs="Times New Roman"/>
          <w:sz w:val="24"/>
          <w:szCs w:val="24"/>
        </w:rPr>
        <w:instrText>ADDIN CSL_CITATION {"citationItems":[{"id":"ITEM-1","itemData":{"DOI":"10.1093/SCIPOL/SCR008","ISSN":"0302-3427","abstract":"Systemic policy instruments are receiving increased attention among innovation scholars as a means to stimulate sustainability oriented technological innovation. The instruments are called systemic in the expectation that they will improve the functioning of entire (innovation) systems. A first step in designing systemic instruments is an analysis of the systemic problems that hinder the development of a specific technological trajectory. This paper argues that two approaches to studying innovation systems-structural and functional analyses-can be combined in a systemic policy framework that helps to first, identify the systemic problems; and second, to suggest the systemic instruments that would address these problems. © The Author 2012. Published by Oxford University Press. All rights reserved.","author":[{"dropping-particle":"","family":"Wieczorek","given":"Anna J.","non-dropping-particle":"","parse-names":false,"suffix":""},{"dropping-particle":"","family":"Hekkert","given":"Marko P.","non-dropping-particle":"","parse-names":false,"suffix":""}],"container-title":"Science and Public Policy","id":"ITEM-1","issue":"1","issued":{"date-parts":[["2012","2","1"]]},"page":"74-87","publisher":"Beech Tree Publishing","title":"Systemic instruments for systemic innovation problems: a framework for policy makers and innovation scholars","type":"article-journal","volume":"39"},"uris":["http://www.mendeley.com/documents/?uuid=216b5139-fa3f-335c-9ce9-32404c6c8ec2"]}],"mendeley":{"formattedCitation":"[122]","plainTextFormattedCitation":"[122]","previouslyFormattedCitation":"[122]"},"properties":{"noteIndex":0},"schema":"https://github.com/citation-style-language/schema/raw/master/csl-citation.json"}</w:instrText>
      </w:r>
      <w:r w:rsidR="006326DB" w:rsidRPr="003676D3">
        <w:rPr>
          <w:rFonts w:ascii="Times New Roman" w:hAnsi="Times New Roman" w:cs="Times New Roman"/>
          <w:sz w:val="24"/>
          <w:szCs w:val="24"/>
        </w:rPr>
        <w:fldChar w:fldCharType="separate"/>
      </w:r>
      <w:r w:rsidR="006326DB" w:rsidRPr="003676D3">
        <w:rPr>
          <w:rFonts w:ascii="Times New Roman" w:hAnsi="Times New Roman" w:cs="Times New Roman"/>
          <w:noProof/>
          <w:sz w:val="24"/>
          <w:szCs w:val="24"/>
        </w:rPr>
        <w:t>[122]</w:t>
      </w:r>
      <w:r w:rsidR="006326DB" w:rsidRPr="003676D3">
        <w:rPr>
          <w:rFonts w:ascii="Times New Roman" w:hAnsi="Times New Roman" w:cs="Times New Roman"/>
          <w:sz w:val="24"/>
          <w:szCs w:val="24"/>
        </w:rPr>
        <w:fldChar w:fldCharType="end"/>
      </w:r>
      <w:r w:rsidR="00836A62" w:rsidRPr="003676D3">
        <w:rPr>
          <w:rFonts w:ascii="Times New Roman" w:hAnsi="Times New Roman" w:cs="Times New Roman"/>
          <w:sz w:val="24"/>
          <w:szCs w:val="24"/>
        </w:rPr>
        <w:t xml:space="preserve"> by</w:t>
      </w:r>
      <w:r w:rsidRPr="003676D3">
        <w:rPr>
          <w:rFonts w:ascii="Times New Roman" w:hAnsi="Times New Roman" w:cs="Times New Roman"/>
          <w:sz w:val="24"/>
          <w:szCs w:val="24"/>
        </w:rPr>
        <w:t xml:space="preserve"> network companies, regulators found it necessary to </w:t>
      </w:r>
      <w:r w:rsidR="00836A62" w:rsidRPr="003676D3">
        <w:rPr>
          <w:rFonts w:ascii="Times New Roman" w:hAnsi="Times New Roman" w:cs="Times New Roman"/>
          <w:sz w:val="24"/>
          <w:szCs w:val="24"/>
        </w:rPr>
        <w:t>review</w:t>
      </w:r>
      <w:r w:rsidRPr="003676D3">
        <w:rPr>
          <w:rFonts w:ascii="Times New Roman" w:hAnsi="Times New Roman" w:cs="Times New Roman"/>
          <w:sz w:val="24"/>
          <w:szCs w:val="24"/>
        </w:rPr>
        <w:t xml:space="preserve"> their regulatory frameworks. </w:t>
      </w:r>
      <w:r w:rsidR="00836A62" w:rsidRPr="003676D3">
        <w:rPr>
          <w:rFonts w:ascii="Times New Roman" w:hAnsi="Times New Roman" w:cs="Times New Roman"/>
          <w:sz w:val="24"/>
          <w:szCs w:val="24"/>
        </w:rPr>
        <w:t>Conventionally</w:t>
      </w:r>
      <w:r w:rsidRPr="003676D3">
        <w:rPr>
          <w:rFonts w:ascii="Times New Roman" w:hAnsi="Times New Roman" w:cs="Times New Roman"/>
          <w:sz w:val="24"/>
          <w:szCs w:val="24"/>
        </w:rPr>
        <w:t xml:space="preserve">, the </w:t>
      </w:r>
      <w:r w:rsidR="00836A62" w:rsidRPr="003676D3">
        <w:rPr>
          <w:rFonts w:ascii="Times New Roman" w:hAnsi="Times New Roman" w:cs="Times New Roman"/>
          <w:sz w:val="24"/>
          <w:szCs w:val="24"/>
        </w:rPr>
        <w:t>principal</w:t>
      </w:r>
      <w:r w:rsidRPr="003676D3">
        <w:rPr>
          <w:rFonts w:ascii="Times New Roman" w:hAnsi="Times New Roman" w:cs="Times New Roman"/>
          <w:sz w:val="24"/>
          <w:szCs w:val="24"/>
        </w:rPr>
        <w:t xml:space="preserve"> focus of monopoly regulation was cost reduction, achieved in various count</w:t>
      </w:r>
      <w:r w:rsidR="00836A62" w:rsidRPr="003676D3">
        <w:rPr>
          <w:rFonts w:ascii="Times New Roman" w:hAnsi="Times New Roman" w:cs="Times New Roman"/>
          <w:sz w:val="24"/>
          <w:szCs w:val="24"/>
        </w:rPr>
        <w:t xml:space="preserve">ries by transitioning from cost </w:t>
      </w:r>
      <w:r w:rsidR="002D2AB0" w:rsidRPr="003676D3">
        <w:rPr>
          <w:rFonts w:ascii="Times New Roman" w:hAnsi="Times New Roman" w:cs="Times New Roman"/>
          <w:sz w:val="24"/>
          <w:szCs w:val="24"/>
        </w:rPr>
        <w:t>plus to regulations based on incentives</w:t>
      </w:r>
      <w:r w:rsidRPr="003676D3">
        <w:rPr>
          <w:rFonts w:ascii="Times New Roman" w:hAnsi="Times New Roman" w:cs="Times New Roman"/>
          <w:sz w:val="24"/>
          <w:szCs w:val="24"/>
        </w:rPr>
        <w:t xml:space="preserve">. However, to efficiently integrate increasing renewables and maximize opportunities presented by digitalization, additional incentives for innovation uptake became essential. </w:t>
      </w:r>
      <w:r w:rsidR="002D2AB0" w:rsidRPr="003676D3">
        <w:rPr>
          <w:rFonts w:ascii="Times New Roman" w:hAnsi="Times New Roman" w:cs="Times New Roman"/>
          <w:sz w:val="24"/>
          <w:szCs w:val="24"/>
        </w:rPr>
        <w:t>Instances</w:t>
      </w:r>
      <w:r w:rsidRPr="003676D3">
        <w:rPr>
          <w:rFonts w:ascii="Times New Roman" w:hAnsi="Times New Roman" w:cs="Times New Roman"/>
          <w:sz w:val="24"/>
          <w:szCs w:val="24"/>
        </w:rPr>
        <w:t xml:space="preserve"> of such regulatory mechanisms include output regulation, incentivizing </w:t>
      </w:r>
      <w:r w:rsidR="002D2AB0" w:rsidRPr="003676D3">
        <w:rPr>
          <w:rFonts w:ascii="Times New Roman" w:hAnsi="Times New Roman" w:cs="Times New Roman"/>
          <w:sz w:val="24"/>
          <w:szCs w:val="24"/>
        </w:rPr>
        <w:t xml:space="preserve">the </w:t>
      </w:r>
      <w:r w:rsidRPr="003676D3">
        <w:rPr>
          <w:rFonts w:ascii="Times New Roman" w:hAnsi="Times New Roman" w:cs="Times New Roman"/>
          <w:sz w:val="24"/>
          <w:szCs w:val="24"/>
        </w:rPr>
        <w:t>investments with higher returns</w:t>
      </w:r>
      <w:r w:rsidR="002D2AB0" w:rsidRPr="003676D3">
        <w:rPr>
          <w:rFonts w:ascii="Times New Roman" w:hAnsi="Times New Roman" w:cs="Times New Roman"/>
          <w:sz w:val="24"/>
          <w:szCs w:val="24"/>
        </w:rPr>
        <w:t xml:space="preserve"> in innovative network</w:t>
      </w:r>
      <w:r w:rsidRPr="003676D3">
        <w:rPr>
          <w:rFonts w:ascii="Times New Roman" w:hAnsi="Times New Roman" w:cs="Times New Roman"/>
          <w:sz w:val="24"/>
          <w:szCs w:val="24"/>
        </w:rPr>
        <w:t>, and fostering competition for innovation grants</w:t>
      </w:r>
      <w:r w:rsidR="006326DB" w:rsidRPr="003676D3">
        <w:rPr>
          <w:rFonts w:ascii="Times New Roman" w:hAnsi="Times New Roman" w:cs="Times New Roman"/>
          <w:sz w:val="24"/>
          <w:szCs w:val="24"/>
        </w:rPr>
        <w:t xml:space="preserve"> </w:t>
      </w:r>
      <w:r w:rsidR="006326DB" w:rsidRPr="003676D3">
        <w:rPr>
          <w:rFonts w:ascii="Times New Roman" w:hAnsi="Times New Roman" w:cs="Times New Roman"/>
          <w:sz w:val="24"/>
          <w:szCs w:val="24"/>
        </w:rPr>
        <w:fldChar w:fldCharType="begin" w:fldLock="1"/>
      </w:r>
      <w:r w:rsidR="006326DB" w:rsidRPr="003676D3">
        <w:rPr>
          <w:rFonts w:ascii="Times New Roman" w:hAnsi="Times New Roman" w:cs="Times New Roman"/>
          <w:sz w:val="24"/>
          <w:szCs w:val="24"/>
        </w:rPr>
        <w:instrText>ADDIN CSL_CITATION {"citationItems":[{"id":"ITEM-1","itemData":{"DOI":"10.22439/csei.pb.008","author":[{"dropping-particle":"","family":"Jamasb","given":"Tooraj ;","non-dropping-particle":"","parse-names":false,"suffix":""},{"dropping-particle":"","family":"Llorca","given":"Manuel ;","non-dropping-particle":"","parse-names":false,"suffix":""},{"dropping-particle":"","family":"Meeus","given":"Leonardo ;","non-dropping-particle":"","parse-names":false,"suffix":""},{"dropping-particle":"","family":"Schittekatte","given":"Tim","non-dropping-particle":"","parse-names":false,"suffix":""}],"id":"ITEM-1","issued":{"date-parts":[["0"]]},"title":"Energy Network Innovation for Green Transition Economic Issues and Regulatory Options","type":"article-journal"},"uris":["http://www.mendeley.com/documents/?uuid=4ea280fa-a246-34b3-9186-0a41009a5260"]}],"mendeley":{"formattedCitation":"[129]","plainTextFormattedCitation":"[129]","previouslyFormattedCitation":"[129]"},"properties":{"noteIndex":0},"schema":"https://github.com/citation-style-language/schema/raw/master/csl-citation.json"}</w:instrText>
      </w:r>
      <w:r w:rsidR="006326DB" w:rsidRPr="003676D3">
        <w:rPr>
          <w:rFonts w:ascii="Times New Roman" w:hAnsi="Times New Roman" w:cs="Times New Roman"/>
          <w:sz w:val="24"/>
          <w:szCs w:val="24"/>
        </w:rPr>
        <w:fldChar w:fldCharType="separate"/>
      </w:r>
      <w:r w:rsidR="006326DB" w:rsidRPr="003676D3">
        <w:rPr>
          <w:rFonts w:ascii="Times New Roman" w:hAnsi="Times New Roman" w:cs="Times New Roman"/>
          <w:noProof/>
          <w:sz w:val="24"/>
          <w:szCs w:val="24"/>
        </w:rPr>
        <w:t>[129]</w:t>
      </w:r>
      <w:r w:rsidR="006326DB" w:rsidRPr="003676D3">
        <w:rPr>
          <w:rFonts w:ascii="Times New Roman" w:hAnsi="Times New Roman" w:cs="Times New Roman"/>
          <w:sz w:val="24"/>
          <w:szCs w:val="24"/>
        </w:rPr>
        <w:fldChar w:fldCharType="end"/>
      </w:r>
      <w:r w:rsidR="006326DB" w:rsidRPr="003676D3">
        <w:rPr>
          <w:rFonts w:ascii="Times New Roman" w:hAnsi="Times New Roman" w:cs="Times New Roman"/>
          <w:sz w:val="24"/>
          <w:szCs w:val="24"/>
        </w:rPr>
        <w:t>.</w:t>
      </w:r>
    </w:p>
    <w:p w14:paraId="4E3973A6" w14:textId="2C2A81E1" w:rsidR="006326DB" w:rsidRPr="003676D3" w:rsidRDefault="00263862" w:rsidP="003676D3">
      <w:pPr>
        <w:pStyle w:val="NormalWeb"/>
        <w:spacing w:line="276" w:lineRule="auto"/>
        <w:jc w:val="both"/>
      </w:pPr>
      <w:r w:rsidRPr="003676D3">
        <w:t xml:space="preserve">Among energy regulators, the </w:t>
      </w:r>
      <w:r w:rsidR="006326DB" w:rsidRPr="003676D3">
        <w:t>regulatory experimentation remains relatively underutilized</w:t>
      </w:r>
      <w:r w:rsidRPr="003676D3">
        <w:t xml:space="preserve">. Still, </w:t>
      </w:r>
      <w:r w:rsidR="00DD0FB4" w:rsidRPr="003676D3">
        <w:t>instead of</w:t>
      </w:r>
      <w:r w:rsidR="006326DB" w:rsidRPr="003676D3">
        <w:t xml:space="preserve"> repla</w:t>
      </w:r>
      <w:r w:rsidR="00DD0FB4" w:rsidRPr="003676D3">
        <w:t>cing</w:t>
      </w:r>
      <w:r w:rsidR="006326DB" w:rsidRPr="003676D3">
        <w:t xml:space="preserve"> </w:t>
      </w:r>
      <w:r w:rsidR="00DD0FB4" w:rsidRPr="003676D3">
        <w:t>the</w:t>
      </w:r>
      <w:r w:rsidR="006326DB" w:rsidRPr="003676D3">
        <w:t xml:space="preserve"> traditional regulatory methods in fostering </w:t>
      </w:r>
      <w:r w:rsidR="002D2AB0" w:rsidRPr="003676D3">
        <w:t>innovation</w:t>
      </w:r>
      <w:r w:rsidR="00DD0FB4" w:rsidRPr="003676D3">
        <w:t>, they enhance it</w:t>
      </w:r>
      <w:r w:rsidR="002D2AB0" w:rsidRPr="003676D3">
        <w:t xml:space="preserve">. </w:t>
      </w:r>
      <w:r w:rsidR="006326DB" w:rsidRPr="003676D3">
        <w:t>The insights gained from such experiments help bridge the information gap between regulators and innovators</w:t>
      </w:r>
      <w:r w:rsidR="00DD0FB4" w:rsidRPr="003676D3">
        <w:t xml:space="preserve"> which help in</w:t>
      </w:r>
      <w:r w:rsidR="006326DB" w:rsidRPr="003676D3">
        <w:t xml:space="preserve"> the revision of exis</w:t>
      </w:r>
      <w:r w:rsidR="002D2AB0" w:rsidRPr="003676D3">
        <w:t xml:space="preserve">ting regulations </w:t>
      </w:r>
      <w:r w:rsidR="00DD0FB4" w:rsidRPr="003676D3">
        <w:t>and also helps in</w:t>
      </w:r>
      <w:r w:rsidR="002D2AB0" w:rsidRPr="003676D3">
        <w:t xml:space="preserve"> the formulation</w:t>
      </w:r>
      <w:r w:rsidR="006326DB" w:rsidRPr="003676D3">
        <w:t xml:space="preserve"> of </w:t>
      </w:r>
      <w:r w:rsidR="002D2AB0" w:rsidRPr="003676D3">
        <w:t>innovative</w:t>
      </w:r>
      <w:r w:rsidR="006326DB" w:rsidRPr="003676D3">
        <w:t xml:space="preserve"> ones.</w:t>
      </w:r>
    </w:p>
    <w:p w14:paraId="0D167E99" w14:textId="1B4D5E7B" w:rsidR="006326DB" w:rsidRPr="003676D3" w:rsidRDefault="006326DB" w:rsidP="003676D3">
      <w:pPr>
        <w:pStyle w:val="NormalWeb"/>
        <w:spacing w:line="276" w:lineRule="auto"/>
        <w:jc w:val="both"/>
      </w:pPr>
      <w:r w:rsidRPr="003676D3">
        <w:t>In only a few Member States, regulatory frameworks for network companies include specific compensation for innovation</w:t>
      </w:r>
      <w:r w:rsidR="00DD0FB4" w:rsidRPr="003676D3">
        <w:t>.</w:t>
      </w:r>
      <w:r w:rsidRPr="003676D3">
        <w:t xml:space="preserve"> </w:t>
      </w:r>
      <w:r w:rsidR="00DD0FB4" w:rsidRPr="003676D3">
        <w:t>This</w:t>
      </w:r>
      <w:r w:rsidRPr="003676D3">
        <w:t xml:space="preserve"> can incentivize innovation by reducing financial risk for Distribution System Operators (DSOs). DSOs, subject to economic regulation, face the risk of not recovering costs if </w:t>
      </w:r>
      <w:r w:rsidR="00DD0FB4" w:rsidRPr="003676D3">
        <w:t>the</w:t>
      </w:r>
      <w:r w:rsidRPr="003676D3">
        <w:t xml:space="preserve"> projects fail</w:t>
      </w:r>
      <w:r w:rsidR="00DD0FB4" w:rsidRPr="003676D3">
        <w:t>. This is especially true for</w:t>
      </w:r>
      <w:r w:rsidRPr="003676D3">
        <w:t xml:space="preserve"> large-scale demonstrations that </w:t>
      </w:r>
      <w:r w:rsidR="00DD0FB4" w:rsidRPr="003676D3">
        <w:t>are subject to</w:t>
      </w:r>
      <w:r w:rsidRPr="003676D3">
        <w:t xml:space="preserve"> high risks and costs </w:t>
      </w:r>
      <w:r w:rsidRPr="003676D3">
        <w:fldChar w:fldCharType="begin" w:fldLock="1"/>
      </w:r>
      <w:r w:rsidRPr="003676D3">
        <w:instrText>ADDIN CSL_CITATION {"citationItems":[{"id":"ITEM-1","itemData":{"DOI":"10.2760/15583","ISBN":"978-92-79-68899-7","ISSN":"1018-5593","author":[{"dropping-particle":"","family":"GANGALE","given":"Flavia","non-dropping-particle":"","parse-names":false,"suffix":""},{"dropping-particle":"","family":"VASILJEVSKA","given":"Julija","non-dropping-particle":"","parse-names":false,"suffix":""},{"dropping-particle":"","family":"COVRIG","given":"Catalin-Felix","non-dropping-particle":"","parse-names":false,"suffix":""},{"dropping-particle":"","family":"MENGOLINI","given":"Anna Maria","non-dropping-particle":"","parse-names":false,"suffix":""},{"dropping-particle":"","family":"FULLI","given":"Gianluca","non-dropping-particle":"","parse-names":false,"suffix":""}],"id":"ITEM-1","issued":{"date-parts":[["0"]]},"title":"Smart grid projects outlook 2017: facts, figures and trends in Europe","type":"article-journal"},"uris":["http://www.mendeley.com/documents/?uuid=80052136-8827-3f68-ab54-d5174523d764"]}],"mendeley":{"formattedCitation":"[78]","plainTextFormattedCitation":"[78]","previouslyFormattedCitation":"[78]"},"properties":{"noteIndex":0},"schema":"https://github.com/citation-style-language/schema/raw/master/csl-citation.json"}</w:instrText>
      </w:r>
      <w:r w:rsidRPr="003676D3">
        <w:fldChar w:fldCharType="separate"/>
      </w:r>
      <w:r w:rsidRPr="003676D3">
        <w:rPr>
          <w:noProof/>
        </w:rPr>
        <w:t>[78]</w:t>
      </w:r>
      <w:r w:rsidRPr="003676D3">
        <w:fldChar w:fldCharType="end"/>
      </w:r>
      <w:r w:rsidRPr="003676D3">
        <w:t>. To accelerate smart grid development, it</w:t>
      </w:r>
      <w:r w:rsidR="00DD0FB4" w:rsidRPr="003676D3">
        <w:t xml:space="preserve"> is</w:t>
      </w:r>
      <w:r w:rsidRPr="003676D3">
        <w:t xml:space="preserve"> essential to fund </w:t>
      </w:r>
      <w:r w:rsidR="00DD0FB4" w:rsidRPr="003676D3">
        <w:t>these</w:t>
      </w:r>
      <w:r w:rsidRPr="003676D3">
        <w:t xml:space="preserve"> projects through special mechanisms rather than relying solely on the regular regulatory framework.</w:t>
      </w:r>
    </w:p>
    <w:p w14:paraId="07EAE989" w14:textId="4541CDAD" w:rsidR="00EF6E48" w:rsidRPr="003676D3" w:rsidRDefault="006326DB" w:rsidP="003676D3">
      <w:pPr>
        <w:pStyle w:val="NormalWeb"/>
        <w:spacing w:line="276" w:lineRule="auto"/>
        <w:jc w:val="both"/>
      </w:pPr>
      <w:r w:rsidRPr="003676D3">
        <w:t xml:space="preserve">To </w:t>
      </w:r>
      <w:r w:rsidR="00EF6E48" w:rsidRPr="003676D3">
        <w:t>attract</w:t>
      </w:r>
      <w:r w:rsidRPr="003676D3">
        <w:t xml:space="preserve"> new market players and activities, regulators often utilize waivers as a key instrument. These waivers </w:t>
      </w:r>
      <w:r w:rsidR="004B1918" w:rsidRPr="003676D3">
        <w:t>specify</w:t>
      </w:r>
      <w:r w:rsidR="00EF6E48" w:rsidRPr="003676D3">
        <w:t xml:space="preserve"> the</w:t>
      </w:r>
      <w:r w:rsidRPr="003676D3">
        <w:t xml:space="preserve"> exemptions for specific </w:t>
      </w:r>
      <w:r w:rsidR="002D2AB0" w:rsidRPr="003676D3">
        <w:t xml:space="preserve">actions or types of </w:t>
      </w:r>
      <w:r w:rsidR="009E094F" w:rsidRPr="003676D3">
        <w:t>stakeholders</w:t>
      </w:r>
      <w:r w:rsidRPr="003676D3">
        <w:t xml:space="preserve">. They are explicitly granted by regulatory decisions and may be revisited once the innovation has matured sufficiently. Additionally, waivers can also be granted when regulators choose to overlook new activities or actors. For instance, in the case of wind and solar generators, </w:t>
      </w:r>
      <w:r w:rsidR="00EF6E48" w:rsidRPr="003676D3">
        <w:t xml:space="preserve">in 2013, </w:t>
      </w:r>
      <w:r w:rsidRPr="003676D3">
        <w:t xml:space="preserve">some European Union Member States waived financial obligations for balancing, as reported by the European Commission </w:t>
      </w:r>
      <w:r w:rsidRPr="003676D3">
        <w:fldChar w:fldCharType="begin" w:fldLock="1"/>
      </w:r>
      <w:r w:rsidR="004C03B2" w:rsidRPr="003676D3">
        <w:instrText>ADDIN CSL_CITATION {"citationItems":[{"id":"ITEM-1","itemData":{"URL":"https://energy.ec.europa.eu/topics/renewable-energy/financing/support-schemes-renewable-energy_en","accessed":{"date-parts":[["2024","5","31"]]},"author":[{"dropping-particle":"","family":"Union","given":"Publications Office of the European","non-dropping-particle":"","parse-names":false,"suffix":""}],"id":"ITEM-1","issued":{"date-parts":[["0"]]},"title":"Support schemes for renewable energy","type":"webpage"},"uris":["http://www.mendeley.com/documents/?uuid=7b56a45c-c50a-32fc-aeb4-d5939986e11c"]},{"id":"ITEM-2","itemData":{"URL":"https://energy.ec.europa.eu/publications/european-commission-guidance-design-renewables-support-schemes-swd2013-439_en","accessed":{"date-parts":[["2024","5","31"]]},"author":[{"dropping-particle":"","family":"Union","given":"Publications Office of the European","non-dropping-particle":"","parse-names":false,"suffix":""}],"id":"ITEM-2","issued":{"date-parts":[["2024"]]},"title":"European Commission guidance for the design of renewables support schemes [SWD(2013) 439] - European Commission","type":"webpage"},"uris":["http://www.mendeley.com/documents/?uuid=bb92360b-139b-3218-a9d6-82e53ff33c1d"]}],"mendeley":{"formattedCitation":"[130,131]","plainTextFormattedCitation":"[130,131]","previouslyFormattedCitation":"[130,131]"},"properties":{"noteIndex":0},"schema":"https://github.com/citation-style-language/schema/raw/master/csl-citation.json"}</w:instrText>
      </w:r>
      <w:r w:rsidRPr="003676D3">
        <w:fldChar w:fldCharType="separate"/>
      </w:r>
      <w:r w:rsidRPr="003676D3">
        <w:rPr>
          <w:noProof/>
        </w:rPr>
        <w:t>[130,131]</w:t>
      </w:r>
      <w:r w:rsidRPr="003676D3">
        <w:fldChar w:fldCharType="end"/>
      </w:r>
      <w:r w:rsidRPr="003676D3">
        <w:t xml:space="preserve">. </w:t>
      </w:r>
      <w:r w:rsidRPr="003676D3">
        <w:fldChar w:fldCharType="begin"/>
      </w:r>
      <w:r w:rsidRPr="003676D3">
        <w:instrText xml:space="preserve"> REF _Ref168042823 \h  \* MERGEFORMAT </w:instrText>
      </w:r>
      <w:r w:rsidRPr="003676D3">
        <w:fldChar w:fldCharType="separate"/>
      </w:r>
      <w:r w:rsidR="008D1E2C" w:rsidRPr="003676D3">
        <w:rPr>
          <w:b/>
          <w:bCs/>
        </w:rPr>
        <w:t xml:space="preserve">Figure </w:t>
      </w:r>
      <w:r w:rsidR="008D1E2C" w:rsidRPr="003676D3">
        <w:rPr>
          <w:b/>
          <w:bCs/>
          <w:noProof/>
        </w:rPr>
        <w:t>6</w:t>
      </w:r>
      <w:r w:rsidRPr="003676D3">
        <w:fldChar w:fldCharType="end"/>
      </w:r>
      <w:r w:rsidRPr="003676D3">
        <w:t xml:space="preserve"> demonstrates the key action points for the uptake of SSG from the regulatory perspective.</w:t>
      </w:r>
    </w:p>
    <w:p w14:paraId="13AF3754" w14:textId="6B9C72FD" w:rsidR="008C530B" w:rsidRPr="003676D3" w:rsidRDefault="00AA2AD6" w:rsidP="003676D3">
      <w:pPr>
        <w:pStyle w:val="NoSpacing"/>
        <w:spacing w:line="276" w:lineRule="auto"/>
        <w:jc w:val="both"/>
        <w:rPr>
          <w:rFonts w:ascii="Times New Roman" w:hAnsi="Times New Roman" w:cs="Times New Roman"/>
        </w:rPr>
      </w:pPr>
      <w:r w:rsidRPr="003676D3">
        <w:rPr>
          <w:rFonts w:ascii="Times New Roman" w:hAnsi="Times New Roman" w:cs="Times New Roman"/>
          <w:noProof/>
        </w:rPr>
        <w:lastRenderedPageBreak/>
        <mc:AlternateContent>
          <mc:Choice Requires="wps">
            <w:drawing>
              <wp:anchor distT="0" distB="0" distL="114300" distR="114300" simplePos="0" relativeHeight="251659264" behindDoc="0" locked="0" layoutInCell="1" allowOverlap="1" wp14:anchorId="622F515A" wp14:editId="079E3AD9">
                <wp:simplePos x="0" y="0"/>
                <wp:positionH relativeFrom="column">
                  <wp:posOffset>255270</wp:posOffset>
                </wp:positionH>
                <wp:positionV relativeFrom="paragraph">
                  <wp:posOffset>5285740</wp:posOffset>
                </wp:positionV>
                <wp:extent cx="5391150" cy="28575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5391150" cy="285750"/>
                        </a:xfrm>
                        <a:prstGeom prst="rect">
                          <a:avLst/>
                        </a:prstGeom>
                        <a:solidFill>
                          <a:prstClr val="white"/>
                        </a:solidFill>
                        <a:ln>
                          <a:noFill/>
                        </a:ln>
                      </wps:spPr>
                      <wps:txbx>
                        <w:txbxContent>
                          <w:p w14:paraId="3A6E3CE8" w14:textId="621FFB36" w:rsidR="001F368F" w:rsidRPr="006326DB" w:rsidRDefault="001F368F" w:rsidP="004B1918">
                            <w:pPr>
                              <w:pStyle w:val="Caption"/>
                              <w:jc w:val="center"/>
                              <w:rPr>
                                <w:rFonts w:asciiTheme="majorBidi" w:eastAsia="Times New Roman" w:hAnsiTheme="majorBidi" w:cstheme="majorBidi"/>
                                <w:b/>
                                <w:bCs/>
                                <w:i w:val="0"/>
                                <w:iCs w:val="0"/>
                                <w:noProof/>
                                <w:color w:val="auto"/>
                                <w:sz w:val="28"/>
                                <w:szCs w:val="28"/>
                              </w:rPr>
                            </w:pPr>
                            <w:bookmarkStart w:id="17" w:name="_Ref168042823"/>
                            <w:r w:rsidRPr="006326DB">
                              <w:rPr>
                                <w:rFonts w:asciiTheme="majorBidi" w:hAnsiTheme="majorBidi" w:cstheme="majorBidi"/>
                                <w:b/>
                                <w:bCs/>
                                <w:i w:val="0"/>
                                <w:iCs w:val="0"/>
                                <w:color w:val="auto"/>
                                <w:sz w:val="20"/>
                                <w:szCs w:val="20"/>
                              </w:rPr>
                              <w:t xml:space="preserve">Figure </w:t>
                            </w:r>
                            <w:r w:rsidRPr="006326DB">
                              <w:rPr>
                                <w:rFonts w:asciiTheme="majorBidi" w:hAnsiTheme="majorBidi" w:cstheme="majorBidi"/>
                                <w:b/>
                                <w:bCs/>
                                <w:i w:val="0"/>
                                <w:iCs w:val="0"/>
                                <w:color w:val="auto"/>
                                <w:sz w:val="20"/>
                                <w:szCs w:val="20"/>
                              </w:rPr>
                              <w:fldChar w:fldCharType="begin"/>
                            </w:r>
                            <w:r w:rsidRPr="006326DB">
                              <w:rPr>
                                <w:rFonts w:asciiTheme="majorBidi" w:hAnsiTheme="majorBidi" w:cstheme="majorBidi"/>
                                <w:b/>
                                <w:bCs/>
                                <w:i w:val="0"/>
                                <w:iCs w:val="0"/>
                                <w:color w:val="auto"/>
                                <w:sz w:val="20"/>
                                <w:szCs w:val="20"/>
                              </w:rPr>
                              <w:instrText xml:space="preserve"> SEQ Figure \* ARABIC </w:instrText>
                            </w:r>
                            <w:r w:rsidRPr="006326DB">
                              <w:rPr>
                                <w:rFonts w:asciiTheme="majorBidi" w:hAnsiTheme="majorBidi" w:cstheme="majorBidi"/>
                                <w:b/>
                                <w:bCs/>
                                <w:i w:val="0"/>
                                <w:iCs w:val="0"/>
                                <w:color w:val="auto"/>
                                <w:sz w:val="20"/>
                                <w:szCs w:val="20"/>
                              </w:rPr>
                              <w:fldChar w:fldCharType="separate"/>
                            </w:r>
                            <w:r w:rsidR="008D1E2C">
                              <w:rPr>
                                <w:rFonts w:asciiTheme="majorBidi" w:hAnsiTheme="majorBidi" w:cstheme="majorBidi"/>
                                <w:b/>
                                <w:bCs/>
                                <w:i w:val="0"/>
                                <w:iCs w:val="0"/>
                                <w:noProof/>
                                <w:color w:val="auto"/>
                                <w:sz w:val="20"/>
                                <w:szCs w:val="20"/>
                              </w:rPr>
                              <w:t>6</w:t>
                            </w:r>
                            <w:r w:rsidRPr="006326DB">
                              <w:rPr>
                                <w:rFonts w:asciiTheme="majorBidi" w:hAnsiTheme="majorBidi" w:cstheme="majorBidi"/>
                                <w:b/>
                                <w:bCs/>
                                <w:i w:val="0"/>
                                <w:iCs w:val="0"/>
                                <w:color w:val="auto"/>
                                <w:sz w:val="20"/>
                                <w:szCs w:val="20"/>
                              </w:rPr>
                              <w:fldChar w:fldCharType="end"/>
                            </w:r>
                            <w:bookmarkEnd w:id="17"/>
                            <w:r w:rsidRPr="006326DB">
                              <w:rPr>
                                <w:rFonts w:asciiTheme="majorBidi" w:hAnsiTheme="majorBidi" w:cstheme="majorBidi"/>
                                <w:b/>
                                <w:bCs/>
                                <w:i w:val="0"/>
                                <w:iCs w:val="0"/>
                                <w:color w:val="auto"/>
                                <w:sz w:val="20"/>
                                <w:szCs w:val="20"/>
                              </w:rPr>
                              <w:t xml:space="preserve">. key </w:t>
                            </w:r>
                            <w:r>
                              <w:rPr>
                                <w:rFonts w:asciiTheme="majorBidi" w:hAnsiTheme="majorBidi" w:cstheme="majorBidi"/>
                                <w:b/>
                                <w:bCs/>
                                <w:i w:val="0"/>
                                <w:iCs w:val="0"/>
                                <w:color w:val="auto"/>
                                <w:sz w:val="20"/>
                                <w:szCs w:val="20"/>
                              </w:rPr>
                              <w:t xml:space="preserve">regulatory </w:t>
                            </w:r>
                            <w:r w:rsidRPr="006326DB">
                              <w:rPr>
                                <w:rFonts w:asciiTheme="majorBidi" w:hAnsiTheme="majorBidi" w:cstheme="majorBidi"/>
                                <w:b/>
                                <w:bCs/>
                                <w:i w:val="0"/>
                                <w:iCs w:val="0"/>
                                <w:color w:val="auto"/>
                                <w:sz w:val="20"/>
                                <w:szCs w:val="20"/>
                              </w:rPr>
                              <w:t>action</w:t>
                            </w:r>
                            <w:r>
                              <w:rPr>
                                <w:rFonts w:asciiTheme="majorBidi" w:hAnsiTheme="majorBidi" w:cstheme="majorBidi"/>
                                <w:b/>
                                <w:bCs/>
                                <w:i w:val="0"/>
                                <w:iCs w:val="0"/>
                                <w:color w:val="auto"/>
                                <w:sz w:val="20"/>
                                <w:szCs w:val="20"/>
                              </w:rPr>
                              <w:t>s</w:t>
                            </w:r>
                            <w:r w:rsidRPr="006326DB">
                              <w:rPr>
                                <w:rFonts w:asciiTheme="majorBidi" w:hAnsiTheme="majorBidi" w:cstheme="majorBidi"/>
                                <w:b/>
                                <w:bCs/>
                                <w:i w:val="0"/>
                                <w:iCs w:val="0"/>
                                <w:color w:val="auto"/>
                                <w:sz w:val="20"/>
                                <w:szCs w:val="20"/>
                              </w:rPr>
                              <w:t xml:space="preserve"> for</w:t>
                            </w:r>
                            <w:r>
                              <w:rPr>
                                <w:rFonts w:asciiTheme="majorBidi" w:hAnsiTheme="majorBidi" w:cstheme="majorBidi"/>
                                <w:b/>
                                <w:bCs/>
                                <w:i w:val="0"/>
                                <w:iCs w:val="0"/>
                                <w:color w:val="auto"/>
                                <w:sz w:val="20"/>
                                <w:szCs w:val="20"/>
                              </w:rPr>
                              <w:t xml:space="preserve"> the</w:t>
                            </w:r>
                            <w:r w:rsidRPr="006326DB">
                              <w:rPr>
                                <w:rFonts w:asciiTheme="majorBidi" w:hAnsiTheme="majorBidi" w:cstheme="majorBidi"/>
                                <w:b/>
                                <w:bCs/>
                                <w:i w:val="0"/>
                                <w:iCs w:val="0"/>
                                <w:color w:val="auto"/>
                                <w:sz w:val="20"/>
                                <w:szCs w:val="20"/>
                              </w:rPr>
                              <w:t xml:space="preserve"> fast-track uplifting of super smart grids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F515A" id="Text Box 13" o:spid="_x0000_s1030" type="#_x0000_t202" style="position:absolute;left:0;text-align:left;margin-left:20.1pt;margin-top:416.2pt;width:424.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" stroked="f">
                <v:textbox inset="0,0,0,0">
                  <w:txbxContent>
                    <w:p w14:paraId="3A6E3CE8" w14:textId="621FFB36" w:rsidR="001F368F" w:rsidRPr="006326DB" w:rsidRDefault="001F368F" w:rsidP="004B1918">
                      <w:pPr>
                        <w:pStyle w:val="Caption"/>
                        <w:jc w:val="center"/>
                        <w:rPr>
                          <w:rFonts w:asciiTheme="majorBidi" w:eastAsia="Times New Roman" w:hAnsiTheme="majorBidi" w:cstheme="majorBidi"/>
                          <w:b/>
                          <w:bCs/>
                          <w:i w:val="0"/>
                          <w:iCs w:val="0"/>
                          <w:noProof/>
                          <w:color w:val="auto"/>
                          <w:sz w:val="28"/>
                          <w:szCs w:val="28"/>
                        </w:rPr>
                      </w:pPr>
                      <w:bookmarkStart w:id="18" w:name="_Ref168042823"/>
                      <w:r w:rsidRPr="006326DB">
                        <w:rPr>
                          <w:rFonts w:asciiTheme="majorBidi" w:hAnsiTheme="majorBidi" w:cstheme="majorBidi"/>
                          <w:b/>
                          <w:bCs/>
                          <w:i w:val="0"/>
                          <w:iCs w:val="0"/>
                          <w:color w:val="auto"/>
                          <w:sz w:val="20"/>
                          <w:szCs w:val="20"/>
                        </w:rPr>
                        <w:t xml:space="preserve">Figure </w:t>
                      </w:r>
                      <w:r w:rsidRPr="006326DB">
                        <w:rPr>
                          <w:rFonts w:asciiTheme="majorBidi" w:hAnsiTheme="majorBidi" w:cstheme="majorBidi"/>
                          <w:b/>
                          <w:bCs/>
                          <w:i w:val="0"/>
                          <w:iCs w:val="0"/>
                          <w:color w:val="auto"/>
                          <w:sz w:val="20"/>
                          <w:szCs w:val="20"/>
                        </w:rPr>
                        <w:fldChar w:fldCharType="begin"/>
                      </w:r>
                      <w:r w:rsidRPr="006326DB">
                        <w:rPr>
                          <w:rFonts w:asciiTheme="majorBidi" w:hAnsiTheme="majorBidi" w:cstheme="majorBidi"/>
                          <w:b/>
                          <w:bCs/>
                          <w:i w:val="0"/>
                          <w:iCs w:val="0"/>
                          <w:color w:val="auto"/>
                          <w:sz w:val="20"/>
                          <w:szCs w:val="20"/>
                        </w:rPr>
                        <w:instrText xml:space="preserve"> SEQ Figure \* ARABIC </w:instrText>
                      </w:r>
                      <w:r w:rsidRPr="006326DB">
                        <w:rPr>
                          <w:rFonts w:asciiTheme="majorBidi" w:hAnsiTheme="majorBidi" w:cstheme="majorBidi"/>
                          <w:b/>
                          <w:bCs/>
                          <w:i w:val="0"/>
                          <w:iCs w:val="0"/>
                          <w:color w:val="auto"/>
                          <w:sz w:val="20"/>
                          <w:szCs w:val="20"/>
                        </w:rPr>
                        <w:fldChar w:fldCharType="separate"/>
                      </w:r>
                      <w:r w:rsidR="008D1E2C">
                        <w:rPr>
                          <w:rFonts w:asciiTheme="majorBidi" w:hAnsiTheme="majorBidi" w:cstheme="majorBidi"/>
                          <w:b/>
                          <w:bCs/>
                          <w:i w:val="0"/>
                          <w:iCs w:val="0"/>
                          <w:noProof/>
                          <w:color w:val="auto"/>
                          <w:sz w:val="20"/>
                          <w:szCs w:val="20"/>
                        </w:rPr>
                        <w:t>6</w:t>
                      </w:r>
                      <w:r w:rsidRPr="006326DB">
                        <w:rPr>
                          <w:rFonts w:asciiTheme="majorBidi" w:hAnsiTheme="majorBidi" w:cstheme="majorBidi"/>
                          <w:b/>
                          <w:bCs/>
                          <w:i w:val="0"/>
                          <w:iCs w:val="0"/>
                          <w:color w:val="auto"/>
                          <w:sz w:val="20"/>
                          <w:szCs w:val="20"/>
                        </w:rPr>
                        <w:fldChar w:fldCharType="end"/>
                      </w:r>
                      <w:bookmarkEnd w:id="18"/>
                      <w:r w:rsidRPr="006326DB">
                        <w:rPr>
                          <w:rFonts w:asciiTheme="majorBidi" w:hAnsiTheme="majorBidi" w:cstheme="majorBidi"/>
                          <w:b/>
                          <w:bCs/>
                          <w:i w:val="0"/>
                          <w:iCs w:val="0"/>
                          <w:color w:val="auto"/>
                          <w:sz w:val="20"/>
                          <w:szCs w:val="20"/>
                        </w:rPr>
                        <w:t xml:space="preserve">. key </w:t>
                      </w:r>
                      <w:r>
                        <w:rPr>
                          <w:rFonts w:asciiTheme="majorBidi" w:hAnsiTheme="majorBidi" w:cstheme="majorBidi"/>
                          <w:b/>
                          <w:bCs/>
                          <w:i w:val="0"/>
                          <w:iCs w:val="0"/>
                          <w:color w:val="auto"/>
                          <w:sz w:val="20"/>
                          <w:szCs w:val="20"/>
                        </w:rPr>
                        <w:t xml:space="preserve">regulatory </w:t>
                      </w:r>
                      <w:r w:rsidRPr="006326DB">
                        <w:rPr>
                          <w:rFonts w:asciiTheme="majorBidi" w:hAnsiTheme="majorBidi" w:cstheme="majorBidi"/>
                          <w:b/>
                          <w:bCs/>
                          <w:i w:val="0"/>
                          <w:iCs w:val="0"/>
                          <w:color w:val="auto"/>
                          <w:sz w:val="20"/>
                          <w:szCs w:val="20"/>
                        </w:rPr>
                        <w:t>action</w:t>
                      </w:r>
                      <w:r>
                        <w:rPr>
                          <w:rFonts w:asciiTheme="majorBidi" w:hAnsiTheme="majorBidi" w:cstheme="majorBidi"/>
                          <w:b/>
                          <w:bCs/>
                          <w:i w:val="0"/>
                          <w:iCs w:val="0"/>
                          <w:color w:val="auto"/>
                          <w:sz w:val="20"/>
                          <w:szCs w:val="20"/>
                        </w:rPr>
                        <w:t>s</w:t>
                      </w:r>
                      <w:r w:rsidRPr="006326DB">
                        <w:rPr>
                          <w:rFonts w:asciiTheme="majorBidi" w:hAnsiTheme="majorBidi" w:cstheme="majorBidi"/>
                          <w:b/>
                          <w:bCs/>
                          <w:i w:val="0"/>
                          <w:iCs w:val="0"/>
                          <w:color w:val="auto"/>
                          <w:sz w:val="20"/>
                          <w:szCs w:val="20"/>
                        </w:rPr>
                        <w:t xml:space="preserve"> for</w:t>
                      </w:r>
                      <w:r>
                        <w:rPr>
                          <w:rFonts w:asciiTheme="majorBidi" w:hAnsiTheme="majorBidi" w:cstheme="majorBidi"/>
                          <w:b/>
                          <w:bCs/>
                          <w:i w:val="0"/>
                          <w:iCs w:val="0"/>
                          <w:color w:val="auto"/>
                          <w:sz w:val="20"/>
                          <w:szCs w:val="20"/>
                        </w:rPr>
                        <w:t xml:space="preserve"> the</w:t>
                      </w:r>
                      <w:r w:rsidRPr="006326DB">
                        <w:rPr>
                          <w:rFonts w:asciiTheme="majorBidi" w:hAnsiTheme="majorBidi" w:cstheme="majorBidi"/>
                          <w:b/>
                          <w:bCs/>
                          <w:i w:val="0"/>
                          <w:iCs w:val="0"/>
                          <w:color w:val="auto"/>
                          <w:sz w:val="20"/>
                          <w:szCs w:val="20"/>
                        </w:rPr>
                        <w:t xml:space="preserve"> fast-track uplifting of super smart grids</w:t>
                      </w:r>
                    </w:p>
                  </w:txbxContent>
                </v:textbox>
                <w10:wrap type="square"/>
              </v:shape>
            </w:pict>
          </mc:Fallback>
        </mc:AlternateContent>
      </w:r>
      <w:r w:rsidR="006326DB" w:rsidRPr="003676D3">
        <w:rPr>
          <w:rFonts w:ascii="Times New Roman" w:hAnsi="Times New Roman" w:cs="Times New Roman"/>
          <w:noProof/>
          <w:lang w:eastAsia="en-GB"/>
        </w:rPr>
        <w:drawing>
          <wp:anchor distT="0" distB="0" distL="114300" distR="114300" simplePos="0" relativeHeight="251618304" behindDoc="0" locked="0" layoutInCell="1" allowOverlap="1" wp14:anchorId="7A321C7A" wp14:editId="09514B03">
            <wp:simplePos x="0" y="0"/>
            <wp:positionH relativeFrom="column">
              <wp:posOffset>0</wp:posOffset>
            </wp:positionH>
            <wp:positionV relativeFrom="paragraph">
              <wp:posOffset>75565</wp:posOffset>
            </wp:positionV>
            <wp:extent cx="5734050" cy="5076825"/>
            <wp:effectExtent l="19050" t="0" r="76200" b="47625"/>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margin">
              <wp14:pctWidth>0</wp14:pctWidth>
            </wp14:sizeRelH>
            <wp14:sizeRelV relativeFrom="margin">
              <wp14:pctHeight>0</wp14:pctHeight>
            </wp14:sizeRelV>
          </wp:anchor>
        </w:drawing>
      </w:r>
    </w:p>
    <w:p w14:paraId="7EE6C321" w14:textId="454F5A49" w:rsidR="00892BF8" w:rsidRPr="003676D3" w:rsidRDefault="00132774" w:rsidP="003676D3">
      <w:pPr>
        <w:pStyle w:val="Heading1"/>
        <w:spacing w:before="0" w:beforeAutospacing="0" w:line="276" w:lineRule="auto"/>
        <w:jc w:val="both"/>
        <w:rPr>
          <w:sz w:val="24"/>
          <w:szCs w:val="24"/>
        </w:rPr>
      </w:pPr>
      <w:r w:rsidRPr="003676D3">
        <w:rPr>
          <w:sz w:val="24"/>
          <w:szCs w:val="24"/>
        </w:rPr>
        <w:t xml:space="preserve">5. </w:t>
      </w:r>
      <w:r w:rsidR="00892BF8" w:rsidRPr="003676D3">
        <w:rPr>
          <w:sz w:val="24"/>
          <w:szCs w:val="24"/>
        </w:rPr>
        <w:t>Enabling Technologies</w:t>
      </w:r>
      <w:r w:rsidR="009573AC" w:rsidRPr="003676D3">
        <w:rPr>
          <w:sz w:val="24"/>
          <w:szCs w:val="24"/>
        </w:rPr>
        <w:t xml:space="preserve"> in Super Smart Grid</w:t>
      </w:r>
    </w:p>
    <w:p w14:paraId="3D0CF0C7" w14:textId="2CEFB71B" w:rsidR="00FA4AC4" w:rsidRPr="003676D3" w:rsidRDefault="00892BF8" w:rsidP="003676D3">
      <w:pPr>
        <w:pStyle w:val="NormalWeb"/>
        <w:spacing w:line="276" w:lineRule="auto"/>
        <w:jc w:val="both"/>
      </w:pPr>
      <w:r w:rsidRPr="003676D3">
        <w:t xml:space="preserve">This section </w:t>
      </w:r>
      <w:r w:rsidR="004B1918" w:rsidRPr="003676D3">
        <w:t>discusses</w:t>
      </w:r>
      <w:r w:rsidRPr="003676D3">
        <w:t xml:space="preserve"> leveraging the key enabling technologies to transform the smart grids into super smart grids through innovation and improvements. </w:t>
      </w:r>
      <w:r w:rsidR="00FA4AC4" w:rsidRPr="003676D3">
        <w:t>In the modern world, cities</w:t>
      </w:r>
      <w:r w:rsidR="002D2AB0" w:rsidRPr="003676D3">
        <w:t xml:space="preserve"> generate nearly 80% of greenhouse gases</w:t>
      </w:r>
      <w:r w:rsidR="00FA4AC4" w:rsidRPr="003676D3">
        <w:t xml:space="preserve"> </w:t>
      </w:r>
      <w:r w:rsidR="002D2AB0" w:rsidRPr="003676D3">
        <w:t xml:space="preserve">and </w:t>
      </w:r>
      <w:r w:rsidR="00FA4AC4" w:rsidRPr="003676D3">
        <w:t>con</w:t>
      </w:r>
      <w:r w:rsidR="002D2AB0" w:rsidRPr="003676D3">
        <w:t>sume 75% of the total energy</w:t>
      </w:r>
      <w:r w:rsidR="00FA4AC4" w:rsidRPr="003676D3">
        <w:t xml:space="preserve"> </w:t>
      </w:r>
      <w:r w:rsidR="004C03B2" w:rsidRPr="003676D3">
        <w:fldChar w:fldCharType="begin" w:fldLock="1"/>
      </w:r>
      <w:r w:rsidR="004C03B2" w:rsidRPr="003676D3">
        <w:instrText>ADDIN CSL_CITATION {"citationItems":[{"id":"ITEM-1","itemData":{"URL":"https://unhabitat.org/topic/urban-energy","accessed":{"date-parts":[["2024","5","27"]]},"author":[{"dropping-particle":"","family":"United Nations","given":"","non-dropping-particle":"","parse-names":false,"suffix":""}],"id":"ITEM-1","issued":{"date-parts":[["0"]]},"title":"Urban Energy | UN-Habitat","type":"webpage"},"uris":["http://www.mendeley.com/documents/?uuid=79e9bd3e-3407-3544-94ab-fee91836d060"]}],"mendeley":{"formattedCitation":"[132]","plainTextFormattedCitation":"[132]","previouslyFormattedCitation":"[132]"},"properties":{"noteIndex":0},"schema":"https://github.com/citation-style-language/schema/raw/master/csl-citation.json"}</w:instrText>
      </w:r>
      <w:r w:rsidR="004C03B2" w:rsidRPr="003676D3">
        <w:fldChar w:fldCharType="separate"/>
      </w:r>
      <w:r w:rsidR="004C03B2" w:rsidRPr="003676D3">
        <w:rPr>
          <w:noProof/>
        </w:rPr>
        <w:t>[132]</w:t>
      </w:r>
      <w:r w:rsidR="004C03B2" w:rsidRPr="003676D3">
        <w:fldChar w:fldCharType="end"/>
      </w:r>
      <w:r w:rsidR="00FA4AC4" w:rsidRPr="003676D3">
        <w:t xml:space="preserve">, leading to severe environmental impacts. Experts from both industry and academia recognize smart cities as the </w:t>
      </w:r>
      <w:r w:rsidR="002D2AB0" w:rsidRPr="003676D3">
        <w:t>ultimate</w:t>
      </w:r>
      <w:r w:rsidR="00FA4AC4" w:rsidRPr="003676D3">
        <w:t xml:space="preserve"> solution to the challeng</w:t>
      </w:r>
      <w:r w:rsidR="002D2AB0" w:rsidRPr="003676D3">
        <w:t>es posed by population growth, rapid urbanization</w:t>
      </w:r>
      <w:r w:rsidR="00FA4AC4" w:rsidRPr="003676D3">
        <w:t xml:space="preserve">, energy resource depletion, and environmental pollution. The </w:t>
      </w:r>
      <w:r w:rsidR="002D2AB0" w:rsidRPr="003676D3">
        <w:t>foundation</w:t>
      </w:r>
      <w:r w:rsidR="00FA4AC4" w:rsidRPr="003676D3">
        <w:t xml:space="preserve"> of smart cities are the Internet of Things (IoT)</w:t>
      </w:r>
      <w:r w:rsidR="004C03B2" w:rsidRPr="003676D3">
        <w:t xml:space="preserve"> </w:t>
      </w:r>
      <w:r w:rsidR="004C03B2" w:rsidRPr="003676D3">
        <w:fldChar w:fldCharType="begin" w:fldLock="1"/>
      </w:r>
      <w:r w:rsidR="004C03B2" w:rsidRPr="003676D3">
        <w:instrText>ADDIN CSL_CITATION {"citationItems":[{"id":"ITEM-1","itemData":{"DOI":"10.1007/978-3-030-35291-2_6","ISSN":"21991081","abstract":"Our planet has abundant renewable and conventional energy resources but technological capability and capacity gaps coupled with water-energy needs limit the benefits of these resources to citizens. Through IoT technology solutions and state-of-the-art IoT sensing and communications approaches, the sustainable energy-related research and innovation can bring a revolution in this area. Moreover, by the leveraging current infrastructure, including renewable energy technologies, microgrids, and power-to-gas (P2G) hydrogen systems, the Internet of Things in sustainable energy systems can address challenges in energy security to the community, with a minimal trade-off to environment and culture. In this chapter, the IoT in sustainable energy systems approaches, methodologies, scenarios, and tools is presented with a detailed discussion of different sensing and communications techniques. This IoT approach in energy systems is envisioned to enhance the bidirectional interchange of network services in grid by using Internet of Things in grid that will result in enhanced system resilience, reliable data flow, and connectivity optimization. Moreover, the sustainable energy IoT research challenges and innovation opportunities are also discussed to address the complex energy needs of our community and promote a strong energy sector economy.","author":[{"dropping-particle":"","family":"Salam","given":"Abdul","non-dropping-particle":"","parse-names":false,"suffix":""}],"container-title":"Internet of Things","id":"ITEM-1","issued":{"date-parts":[["2020"]]},"page":"183-216","title":"Internet of things in sustainable energy systems","type":"chapter"},"uris":["http://www.mendeley.com/documents/?uuid=01024d5f-9885-4c67-888c-ab9eef405758"]},{"id":"ITEM-2","itemData":{"DOI":"10.3390/en13020494","ISSN":"1996-1073","abstract":"Integration of renewable energy and optimization of energy use are key enablers of sustainable energy transitions and mitigating climate change. Modern technologies such the Internet of Things (IoT) offer a wide number of applications in the energy sector, i.e, in energy supply, transmission and distribution, and demand. IoT can be employed for improving energy efficiency, increasing the share of renewable energy, and reducing environmental impacts of the energy use. This paper reviews the existing literature on the application of IoT in in energy systems, in general, and in the context of smart grids particularly. Furthermore, we discuss enabling technologies of IoT, including cloud computing and different platforms for data analysis. Furthermore, we review challenges of deploying IoT in the energy sector, including privacy and security, with some solutions to these challenges such as blockchain technology. This survey provides energy policy-makers, energy economists, and managers with an overview of the role of IoT in optimization of energy systems.","author":[{"dropping-particle":"","family":"Hossein Motlagh","given":"Naser","non-dropping-particle":"","parse-names":false,"suffix":""},{"dropping-particle":"","family":"Mohammadrezaei","given":"Mahsa","non-dropping-particle":"","parse-names":false,"suffix":""},{"dropping-particle":"","family":"Hunt","given":"Julian","non-dropping-particle":"","parse-names":false,"suffix":""},{"dropping-particle":"","family":"Zakeri","given":"Behnam","non-dropping-particle":"","parse-names":false,"suffix":""}],"container-title":"Energies","id":"ITEM-2","issue":"2","issued":{"date-parts":[["2020","1","19"]]},"page":"494","title":"Internet of Things (IoT) and the Energy Sector","type":"article-journal","volume":"13"},"uris":["http://www.mendeley.com/documents/?uuid=80b52096-5c80-4a56-bcbc-fa8238b03c95"]},{"id":"ITEM-3","itemData":{"DOI":"10.1088/1742-6596/1187/2/022017","ISSN":"17426596","abstract":"This paper introduces various concepts that relate to information technology and the development of energy transmission and distribution. Key challenges need to be addressed in relation to energy consumption, such as the need to be responsive to current demand, which have been addressed through information technology systems. With the increased connectedness of energy systems, there has also been an increased need to ensure the information security of these systems. The Internet of Things (IoT) concept will be reviewed in relation to the connection of objects in energy systems as well as the concepts of Big Data and Cloud Computing. The former has developed in response to the need to predict energy usage more accurately and the latter offers the advantages of increased failover potential as well as much faster provisioning of enhanced capacity in IT systems to meet consumer demand.","author":[{"dropping-particle":"","family":"Ren","given":"Jiyuan","non-dropping-particle":"","parse-names":false,"suffix":""},{"dropping-particle":"","family":"Wang","given":"Zhe","non-dropping-particle":"","parse-names":false,"suffix":""},{"dropping-particle":"","family":"Luo","given":"Zhen","non-dropping-particle":"","parse-names":false,"suffix":""},{"dropping-particle":"","family":"Liu","given":"Fuyang","non-dropping-particle":"","parse-names":false,"suffix":""}],"container-title":"Journal of Physics: Conference Series","id":"ITEM-3","issued":{"date-parts":[["2019"]]},"publisher":"IOP Publishing","title":"Smart Grid and Electric Power Informatization","type":"paper-conference"},"uris":["http://www.mendeley.com/documents/?uuid=999e3304-2874-4fcc-ba1a-eeb05be32793"]}],"mendeley":{"formattedCitation":"[133–135]","plainTextFormattedCitation":"[133–135]","previouslyFormattedCitation":"[133–135]"},"properties":{"noteIndex":0},"schema":"https://github.com/citation-style-language/schema/raw/master/csl-citation.json"}</w:instrText>
      </w:r>
      <w:r w:rsidR="004C03B2" w:rsidRPr="003676D3">
        <w:fldChar w:fldCharType="separate"/>
      </w:r>
      <w:r w:rsidR="004C03B2" w:rsidRPr="003676D3">
        <w:rPr>
          <w:noProof/>
        </w:rPr>
        <w:t>[133–135]</w:t>
      </w:r>
      <w:r w:rsidR="004C03B2" w:rsidRPr="003676D3">
        <w:fldChar w:fldCharType="end"/>
      </w:r>
      <w:r w:rsidR="00FA4AC4" w:rsidRPr="003676D3">
        <w:t xml:space="preserve">, which has evolved from conventional networks to connects billions of devices. Technological </w:t>
      </w:r>
      <w:r w:rsidR="002D2AB0" w:rsidRPr="003676D3">
        <w:t>progress</w:t>
      </w:r>
      <w:r w:rsidR="00FA4AC4" w:rsidRPr="003676D3">
        <w:t xml:space="preserve"> in</w:t>
      </w:r>
      <w:r w:rsidR="00CD7701" w:rsidRPr="003676D3">
        <w:t xml:space="preserve"> wireless sensor networks (WSN), ubiquitous computing (UC),</w:t>
      </w:r>
      <w:r w:rsidR="00FA4AC4" w:rsidRPr="003676D3">
        <w:t xml:space="preserve"> and machine-to-machine (M2M) communication have further enhanced the IoT, supporting the development</w:t>
      </w:r>
      <w:r w:rsidR="002D2AB0" w:rsidRPr="003676D3">
        <w:t xml:space="preserve"> of smart cities and SG</w:t>
      </w:r>
      <w:r w:rsidR="004C03B2" w:rsidRPr="003676D3">
        <w:t xml:space="preserve"> </w:t>
      </w:r>
      <w:r w:rsidR="004C03B2" w:rsidRPr="003676D3">
        <w:fldChar w:fldCharType="begin" w:fldLock="1"/>
      </w:r>
      <w:r w:rsidR="004C03B2" w:rsidRPr="003676D3">
        <w:instrText>ADDIN CSL_CITATION {"citationItems":[{"id":"ITEM-1","itemData":{"DOI":"10.1016/J.SCS.2018.01.053","ISSN":"2210-6707","abstract":"Smart city is an application of Internet of Things (IoT) notion. Unceasing growth of population and urbanization have intensified innovative ways to handle urbanization with minimal impact on environment, citizen lifestyles, and governance. Initial integration of information communication technology (ICT) into city operations have promoted telicity, information city, and digital city concepts. Later, the conception of IoT has founded the smart cities, which support the city operations intelligently with minimal human interaction. Smart city emerged as a solution to address the challenges arise with exponential growth of urbanization and population. However, smart city concept is still evolving and not mainstreamed throughout the globe due to technological, economical, and governing barriers. Therefore, this paper aims to deliver the essence of smart cities. The paper presents a brief overview of smart cities, followed by the features and characteristics, generic architecture, composition, and real-world implementations of smart cities. Finally, we present some challenges and opportunities identified through extensive literature survey on smart cities.","author":[{"dropping-particle":"","family":"Silva","given":"Bhagya Nathali","non-dropping-particle":"","parse-names":false,"suffix":""},{"dropping-particle":"","family":"Khan","given":"Murad","non-dropping-particle":"","parse-names":false,"suffix":""},{"dropping-particle":"","family":"Han","given":"Kijun","non-dropping-particle":"","parse-names":false,"suffix":""}],"container-title":"Sustainable Cities and Society","id":"ITEM-1","issued":{"date-parts":[["2018","4","1"]]},"page":"697-713","publisher":"Elsevier","title":"Towards sustainable smart cities: A review of trends, architectures, components, and open challenges in smart cities","type":"article-journal","volume":"38"},"uris":["http://www.mendeley.com/documents/?uuid=0385b947-f599-37d5-bba8-0fb20e961bc0"]}],"mendeley":{"formattedCitation":"[136]","plainTextFormattedCitation":"[136]","previouslyFormattedCitation":"[136]"},"properties":{"noteIndex":0},"schema":"https://github.com/citation-style-language/schema/raw/master/csl-citation.json"}</w:instrText>
      </w:r>
      <w:r w:rsidR="004C03B2" w:rsidRPr="003676D3">
        <w:fldChar w:fldCharType="separate"/>
      </w:r>
      <w:r w:rsidR="004C03B2" w:rsidRPr="003676D3">
        <w:rPr>
          <w:noProof/>
        </w:rPr>
        <w:t>[136]</w:t>
      </w:r>
      <w:r w:rsidR="004C03B2" w:rsidRPr="003676D3">
        <w:fldChar w:fldCharType="end"/>
      </w:r>
      <w:r w:rsidR="00FA4AC4" w:rsidRPr="003676D3">
        <w:t>.</w:t>
      </w:r>
    </w:p>
    <w:p w14:paraId="357F223B" w14:textId="3BEF251E" w:rsidR="002E3991" w:rsidRPr="003676D3" w:rsidRDefault="009573AC"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Employing latest technologies has multifaceted advantages for energy industry; enhance the communication protocol for smart grids, provide virtual experience to customers and ensure </w:t>
      </w:r>
      <w:r w:rsidRPr="003676D3">
        <w:rPr>
          <w:rFonts w:ascii="Times New Roman" w:hAnsi="Times New Roman" w:cs="Times New Roman"/>
          <w:sz w:val="24"/>
          <w:szCs w:val="24"/>
        </w:rPr>
        <w:lastRenderedPageBreak/>
        <w:t xml:space="preserve">supplier support. </w:t>
      </w:r>
      <w:r w:rsidR="002E3991" w:rsidRPr="003676D3">
        <w:rPr>
          <w:rFonts w:ascii="Times New Roman" w:hAnsi="Times New Roman" w:cs="Times New Roman"/>
          <w:sz w:val="24"/>
          <w:szCs w:val="24"/>
        </w:rPr>
        <w:t>These cutting-edge technologies facilitates</w:t>
      </w:r>
      <w:r w:rsidR="002D2AB0" w:rsidRPr="003676D3">
        <w:rPr>
          <w:rFonts w:ascii="Times New Roman" w:hAnsi="Times New Roman" w:cs="Times New Roman"/>
          <w:sz w:val="24"/>
          <w:szCs w:val="24"/>
        </w:rPr>
        <w:t xml:space="preserve"> real-time system monitoring, </w:t>
      </w:r>
      <w:r w:rsidR="002E3991" w:rsidRPr="003676D3">
        <w:rPr>
          <w:rFonts w:ascii="Times New Roman" w:hAnsi="Times New Roman" w:cs="Times New Roman"/>
          <w:sz w:val="24"/>
          <w:szCs w:val="24"/>
        </w:rPr>
        <w:t>remote monitoring and maintenance of assets, virtual site visits, and accurate energy accounting</w:t>
      </w:r>
      <w:r w:rsidR="004C03B2" w:rsidRPr="003676D3">
        <w:rPr>
          <w:rFonts w:ascii="Times New Roman" w:hAnsi="Times New Roman" w:cs="Times New Roman"/>
          <w:sz w:val="24"/>
          <w:szCs w:val="24"/>
        </w:rPr>
        <w:t xml:space="preserve"> </w:t>
      </w:r>
      <w:r w:rsidR="004C03B2" w:rsidRPr="003676D3">
        <w:rPr>
          <w:rFonts w:ascii="Times New Roman" w:hAnsi="Times New Roman" w:cs="Times New Roman"/>
          <w:sz w:val="24"/>
          <w:szCs w:val="24"/>
        </w:rPr>
        <w:fldChar w:fldCharType="begin" w:fldLock="1"/>
      </w:r>
      <w:r w:rsidR="004C03B2" w:rsidRPr="003676D3">
        <w:rPr>
          <w:rFonts w:ascii="Times New Roman" w:hAnsi="Times New Roman" w:cs="Times New Roman"/>
          <w:sz w:val="24"/>
          <w:szCs w:val="24"/>
        </w:rPr>
        <w:instrText>ADDIN CSL_CITATION {"citationItems":[{"id":"ITEM-1","itemData":{"DOI":"10.1016/J.IOT.2023.100884","ISSN":"2542-6605","abstract":"Recent years have witnessed a global trend toward the metaverse. The metaverse is a collection of immersive and interconnected digital spaces in which users can interact through computer-generated environments. As smart cities aim to enhance the experiences of their citizens by improving infrastructure, modernizing government services, increasing accessibility, accelerating economic growth, and promoting sustainability, the metaverse has the potential to significantly revolutionize, reshape, and transform smart cities. In this paper, we discuss how leveraging the metaverse for smart cities can stimulate innovations and bring about major improvements. We discuss the key enabling technologies for the metaverse, along with the premier benefits of adopting this technology and the opportunities it presents for smart city applications. We present ongoing projects and case studies to showcase the practicality of metaverse technology across various industries. Furthermore, we identify and discuss critical research challenges that currently impede the realization of the full potential of the metaverse. Finally, we outline future research directions that can be pursued to further the development of the metaverse and its integration with smart cities.","author":[{"dropping-particle":"","family":"Yaqoob","given":"Ibrar","non-dropping-particle":"","parse-names":false,"suffix":""},{"dropping-particle":"","family":"Salah","given":"Khaled","non-dropping-particle":"","parse-names":false,"suffix":""},{"dropping-particle":"","family":"Jayaraman","given":"Raja","non-dropping-particle":"","parse-names":false,"suffix":""},{"dropping-particle":"","family":"Omar","given":"Mohammed","non-dropping-particle":"","parse-names":false,"suffix":""}],"container-title":"Internet of Things","id":"ITEM-1","issued":{"date-parts":[["2023","10","1"]]},"page":"100884","publisher":"Elsevier","title":"Metaverse applications in smart cities: Enabling technologies, opportunities, challenges, and future directions","type":"article-journal","volume":"23"},"uris":["http://www.mendeley.com/documents/?uuid=804308e3-d7f0-3583-85fd-b8080d27e0fa"]}],"mendeley":{"formattedCitation":"[25]","plainTextFormattedCitation":"[25]","previouslyFormattedCitation":"[25]"},"properties":{"noteIndex":0},"schema":"https://github.com/citation-style-language/schema/raw/master/csl-citation.json"}</w:instrText>
      </w:r>
      <w:r w:rsidR="004C03B2" w:rsidRPr="003676D3">
        <w:rPr>
          <w:rFonts w:ascii="Times New Roman" w:hAnsi="Times New Roman" w:cs="Times New Roman"/>
          <w:sz w:val="24"/>
          <w:szCs w:val="24"/>
        </w:rPr>
        <w:fldChar w:fldCharType="separate"/>
      </w:r>
      <w:r w:rsidR="004C03B2" w:rsidRPr="003676D3">
        <w:rPr>
          <w:rFonts w:ascii="Times New Roman" w:hAnsi="Times New Roman" w:cs="Times New Roman"/>
          <w:noProof/>
          <w:sz w:val="24"/>
          <w:szCs w:val="24"/>
        </w:rPr>
        <w:t>[25]</w:t>
      </w:r>
      <w:r w:rsidR="004C03B2" w:rsidRPr="003676D3">
        <w:rPr>
          <w:rFonts w:ascii="Times New Roman" w:hAnsi="Times New Roman" w:cs="Times New Roman"/>
          <w:sz w:val="24"/>
          <w:szCs w:val="24"/>
        </w:rPr>
        <w:fldChar w:fldCharType="end"/>
      </w:r>
      <w:r w:rsidR="002E3991" w:rsidRPr="003676D3">
        <w:rPr>
          <w:rFonts w:ascii="Times New Roman" w:hAnsi="Times New Roman" w:cs="Times New Roman"/>
          <w:sz w:val="24"/>
          <w:szCs w:val="24"/>
        </w:rPr>
        <w:t xml:space="preserve">. </w:t>
      </w:r>
      <w:r w:rsidR="002D2AB0" w:rsidRPr="003676D3">
        <w:rPr>
          <w:rFonts w:ascii="Times New Roman" w:hAnsi="Times New Roman" w:cs="Times New Roman"/>
          <w:sz w:val="24"/>
          <w:szCs w:val="24"/>
        </w:rPr>
        <w:t>Furthermore</w:t>
      </w:r>
      <w:r w:rsidR="002E3991" w:rsidRPr="003676D3">
        <w:rPr>
          <w:rFonts w:ascii="Times New Roman" w:hAnsi="Times New Roman" w:cs="Times New Roman"/>
          <w:sz w:val="24"/>
          <w:szCs w:val="24"/>
        </w:rPr>
        <w:t xml:space="preserve">, it also has social benefit as it can provide virtual </w:t>
      </w:r>
      <w:r w:rsidR="002D2AB0" w:rsidRPr="003676D3">
        <w:rPr>
          <w:rFonts w:ascii="Times New Roman" w:hAnsi="Times New Roman" w:cs="Times New Roman"/>
          <w:sz w:val="24"/>
          <w:szCs w:val="24"/>
        </w:rPr>
        <w:t>environment</w:t>
      </w:r>
      <w:r w:rsidR="002E3991" w:rsidRPr="003676D3">
        <w:rPr>
          <w:rFonts w:ascii="Times New Roman" w:hAnsi="Times New Roman" w:cs="Times New Roman"/>
          <w:sz w:val="24"/>
          <w:szCs w:val="24"/>
        </w:rPr>
        <w:t xml:space="preserve"> for training of field engineers to manage power plants, thereby saving time and reducing risk</w:t>
      </w:r>
      <w:r w:rsidR="004C03B2" w:rsidRPr="003676D3">
        <w:rPr>
          <w:rFonts w:ascii="Times New Roman" w:hAnsi="Times New Roman" w:cs="Times New Roman"/>
          <w:sz w:val="24"/>
          <w:szCs w:val="24"/>
        </w:rPr>
        <w:t xml:space="preserve"> </w:t>
      </w:r>
      <w:r w:rsidR="004C03B2" w:rsidRPr="003676D3">
        <w:rPr>
          <w:rFonts w:ascii="Times New Roman" w:hAnsi="Times New Roman" w:cs="Times New Roman"/>
          <w:sz w:val="24"/>
          <w:szCs w:val="24"/>
        </w:rPr>
        <w:fldChar w:fldCharType="begin" w:fldLock="1"/>
      </w:r>
      <w:r w:rsidR="004C03B2" w:rsidRPr="003676D3">
        <w:rPr>
          <w:rFonts w:ascii="Times New Roman" w:hAnsi="Times New Roman" w:cs="Times New Roman"/>
          <w:sz w:val="24"/>
          <w:szCs w:val="24"/>
        </w:rPr>
        <w:instrText>ADDIN CSL_CITATION {"citationItems":[{"id":"ITEM-1","itemData":{"URL":"https://goodnewenergy.enagas.es/en/innovative/what-paper-does-the-metaverse-occupy-in-the-future-of-the-energy/","accessed":{"date-parts":[["2024","5","20"]]},"id":"ITEM-1","issued":{"date-parts":[["0"]]},"title":"What role does the metaverse play in the future of energy? - Good New Energy","type":"webpage"},"uris":["http://www.mendeley.com/documents/?uuid=bd20a1fa-7d7e-3e0e-953f-1a1bcaeab01d"]}],"mendeley":{"formattedCitation":"[137]","plainTextFormattedCitation":"[137]","previouslyFormattedCitation":"[137]"},"properties":{"noteIndex":0},"schema":"https://github.com/citation-style-language/schema/raw/master/csl-citation.json"}</w:instrText>
      </w:r>
      <w:r w:rsidR="004C03B2" w:rsidRPr="003676D3">
        <w:rPr>
          <w:rFonts w:ascii="Times New Roman" w:hAnsi="Times New Roman" w:cs="Times New Roman"/>
          <w:sz w:val="24"/>
          <w:szCs w:val="24"/>
        </w:rPr>
        <w:fldChar w:fldCharType="separate"/>
      </w:r>
      <w:r w:rsidR="004C03B2" w:rsidRPr="003676D3">
        <w:rPr>
          <w:rFonts w:ascii="Times New Roman" w:hAnsi="Times New Roman" w:cs="Times New Roman"/>
          <w:noProof/>
          <w:sz w:val="24"/>
          <w:szCs w:val="24"/>
        </w:rPr>
        <w:t>[137]</w:t>
      </w:r>
      <w:r w:rsidR="004C03B2" w:rsidRPr="003676D3">
        <w:rPr>
          <w:rFonts w:ascii="Times New Roman" w:hAnsi="Times New Roman" w:cs="Times New Roman"/>
          <w:sz w:val="24"/>
          <w:szCs w:val="24"/>
        </w:rPr>
        <w:fldChar w:fldCharType="end"/>
      </w:r>
      <w:r w:rsidR="002E3991" w:rsidRPr="003676D3">
        <w:rPr>
          <w:rFonts w:ascii="Times New Roman" w:hAnsi="Times New Roman" w:cs="Times New Roman"/>
          <w:sz w:val="24"/>
          <w:szCs w:val="24"/>
        </w:rPr>
        <w:t>.</w:t>
      </w:r>
      <w:r w:rsidR="00154005" w:rsidRPr="003676D3">
        <w:rPr>
          <w:rFonts w:ascii="Times New Roman" w:hAnsi="Times New Roman" w:cs="Times New Roman"/>
          <w:sz w:val="24"/>
          <w:szCs w:val="24"/>
        </w:rPr>
        <w:t xml:space="preserve"> The methods and techniques used by these technologies in </w:t>
      </w:r>
      <w:r w:rsidR="00AA2AD6" w:rsidRPr="003676D3">
        <w:rPr>
          <w:rFonts w:ascii="Times New Roman" w:hAnsi="Times New Roman" w:cs="Times New Roman"/>
          <w:sz w:val="24"/>
          <w:szCs w:val="24"/>
        </w:rPr>
        <w:t>SSG</w:t>
      </w:r>
      <w:r w:rsidR="00154005" w:rsidRPr="003676D3">
        <w:rPr>
          <w:rFonts w:ascii="Times New Roman" w:hAnsi="Times New Roman" w:cs="Times New Roman"/>
          <w:sz w:val="24"/>
          <w:szCs w:val="24"/>
        </w:rPr>
        <w:t xml:space="preserve"> can support in optimizing </w:t>
      </w:r>
      <w:hyperlink r:id="rId30" w:tooltip="Learn more about resource allocation from ScienceDirect's AI-generated Topic Pages" w:history="1">
        <w:r w:rsidR="00154005" w:rsidRPr="003676D3">
          <w:rPr>
            <w:rStyle w:val="Hyperlink"/>
            <w:rFonts w:ascii="Times New Roman" w:hAnsi="Times New Roman" w:cs="Times New Roman"/>
            <w:color w:val="auto"/>
            <w:sz w:val="24"/>
            <w:szCs w:val="24"/>
            <w:u w:val="none"/>
          </w:rPr>
          <w:t>resource allocation</w:t>
        </w:r>
      </w:hyperlink>
      <w:r w:rsidR="00AA2AD6" w:rsidRPr="003676D3">
        <w:rPr>
          <w:rFonts w:ascii="Times New Roman" w:hAnsi="Times New Roman" w:cs="Times New Roman"/>
          <w:sz w:val="24"/>
          <w:szCs w:val="24"/>
        </w:rPr>
        <w:t xml:space="preserve"> and</w:t>
      </w:r>
      <w:r w:rsidR="002D2AB0" w:rsidRPr="003676D3">
        <w:rPr>
          <w:rFonts w:ascii="Times New Roman" w:hAnsi="Times New Roman" w:cs="Times New Roman"/>
          <w:sz w:val="24"/>
          <w:szCs w:val="24"/>
        </w:rPr>
        <w:t xml:space="preserve"> evaluating strategic interactions</w:t>
      </w:r>
      <w:r w:rsidR="00AA2AD6" w:rsidRPr="003676D3">
        <w:rPr>
          <w:rFonts w:ascii="Times New Roman" w:hAnsi="Times New Roman" w:cs="Times New Roman"/>
          <w:sz w:val="24"/>
          <w:szCs w:val="24"/>
        </w:rPr>
        <w:t xml:space="preserve">. They can also </w:t>
      </w:r>
      <w:r w:rsidR="004B1918" w:rsidRPr="003676D3">
        <w:rPr>
          <w:rFonts w:ascii="Times New Roman" w:hAnsi="Times New Roman" w:cs="Times New Roman"/>
          <w:sz w:val="24"/>
          <w:szCs w:val="24"/>
        </w:rPr>
        <w:t>extract</w:t>
      </w:r>
      <w:r w:rsidR="00154005" w:rsidRPr="003676D3">
        <w:rPr>
          <w:rFonts w:ascii="Times New Roman" w:hAnsi="Times New Roman" w:cs="Times New Roman"/>
          <w:sz w:val="24"/>
          <w:szCs w:val="24"/>
        </w:rPr>
        <w:t xml:space="preserve"> patte</w:t>
      </w:r>
      <w:r w:rsidR="002D2AB0" w:rsidRPr="003676D3">
        <w:rPr>
          <w:rFonts w:ascii="Times New Roman" w:hAnsi="Times New Roman" w:cs="Times New Roman"/>
          <w:sz w:val="24"/>
          <w:szCs w:val="24"/>
        </w:rPr>
        <w:t>rns from large volumes of data</w:t>
      </w:r>
      <w:r w:rsidR="00154005" w:rsidRPr="003676D3">
        <w:rPr>
          <w:rFonts w:ascii="Times New Roman" w:hAnsi="Times New Roman" w:cs="Times New Roman"/>
          <w:sz w:val="24"/>
          <w:szCs w:val="24"/>
        </w:rPr>
        <w:t xml:space="preserve">, and </w:t>
      </w:r>
      <w:r w:rsidR="002D2AB0" w:rsidRPr="003676D3">
        <w:rPr>
          <w:rFonts w:ascii="Times New Roman" w:hAnsi="Times New Roman" w:cs="Times New Roman"/>
          <w:sz w:val="24"/>
          <w:szCs w:val="24"/>
        </w:rPr>
        <w:t>modelling</w:t>
      </w:r>
      <w:r w:rsidR="00154005" w:rsidRPr="003676D3">
        <w:rPr>
          <w:rFonts w:ascii="Times New Roman" w:hAnsi="Times New Roman" w:cs="Times New Roman"/>
          <w:sz w:val="24"/>
          <w:szCs w:val="24"/>
        </w:rPr>
        <w:t xml:space="preserve"> network/communication infrastructure. Moreover, it can enhance the functionality of the grid by realising it in virtual environment, which results in an immersive and real-time experience</w:t>
      </w:r>
      <w:r w:rsidR="004C03B2" w:rsidRPr="003676D3">
        <w:rPr>
          <w:rFonts w:ascii="Times New Roman" w:hAnsi="Times New Roman" w:cs="Times New Roman"/>
          <w:sz w:val="24"/>
          <w:szCs w:val="24"/>
        </w:rPr>
        <w:t xml:space="preserve"> </w:t>
      </w:r>
      <w:r w:rsidR="004C03B2" w:rsidRPr="003676D3">
        <w:rPr>
          <w:rFonts w:ascii="Times New Roman" w:hAnsi="Times New Roman" w:cs="Times New Roman"/>
          <w:sz w:val="24"/>
          <w:szCs w:val="24"/>
        </w:rPr>
        <w:fldChar w:fldCharType="begin" w:fldLock="1"/>
      </w:r>
      <w:r w:rsidR="004C03B2" w:rsidRPr="003676D3">
        <w:rPr>
          <w:rFonts w:ascii="Times New Roman" w:hAnsi="Times New Roman" w:cs="Times New Roman"/>
          <w:sz w:val="24"/>
          <w:szCs w:val="24"/>
        </w:rPr>
        <w:instrText>ADDIN CSL_CITATION {"citationItems":[{"id":"ITEM-1","itemData":{"abstract":"Dubbed \"the successor to the mobile Internet\", the concept of the Metaverse has grown in popularity. While there exist lite versions of the Metaverse today, they are still far from realizing the full vision of an immersive, embodied, and interoper-able Metaverse. Without addressing the issues of implementation from the communication and networking, as well as computation perspectives, the Metaverse is difficult to succeed the Internet, especially in terms of its accessibility to billions of users today. In this survey, we focus on the edge-enabled Metaverse to realize its ultimate vision. We first provide readers with a succinct tutorial of the Metaverse, an introduction to the architecture, as well as current developments. To enable ubiquitous, seamless, and embodied access to the Metaverse, we discuss the communication and networking challenges and survey cutting-edge solutions and concepts that leverage next-generation communication systems for users to immerse as and interact with embodied avatars in the Metaverse. Moreover, given the high computation costs required, e.g., to render 3D virtual worlds and run data-hungry artificial intelligence-driven avatars, we discuss the computation challenges and cloud-edge-end computation framework-driven solutions to realize the Metaverse on resource-constrained edge devices. Next, we explore how blockchain technologies can aid in the interoperable development of the Metaverse, not just in terms of empowering the economic circulation of virtual user-generated content but also to manage physical edge resources in a decentralized, transparent, and immutable manner. Finally, we discuss the future research directions towards realizing the true vision of the edge-enabled Metaverse.","author":[{"dropping-particle":"","family":"Xu","given":"Minrui","non-dropping-particle":"","parse-names":false,"suffix":""},{"dropping-particle":"","family":"Ng","given":"Wei Chong","non-dropping-particle":"","parse-names":false,"suffix":""},{"dropping-particle":"","family":"Yang","given":"Wei","non-dropping-particle":"","parse-names":false,"suffix":""},{"dropping-particle":"","family":"Lim","given":"Bryan","non-dropping-particle":"","parse-names":false,"suffix":""},{"dropping-particle":"","family":"Kang","given":"Jiawen","non-dropping-particle":"","parse-names":false,"suffix":""},{"dropping-particle":"","family":"Xiong","given":"Zehui","non-dropping-particle":"","parse-names":false,"suffix":""},{"dropping-particle":"","family":"Niyato","given":"Dusit","non-dropping-particle":"","parse-names":false,"suffix":""},{"dropping-particle":"","family":"Yang","given":"Qiang","non-dropping-particle":"","parse-names":false,"suffix":""},{"dropping-particle":"","family":"Shen","given":"Sherman","non-dropping-particle":"","parse-names":false,"suffix":""},{"dropping-particle":"","family":"Miao","given":"Chunyan","non-dropping-particle":"","parse-names":false,"suffix":""}],"container-title":"ieeexplore.ieee.orgM Xu, WC Ng, WYB Lim, J Kang, Z Xiong, D Niyato, Q Yang, X Shen, C MiaoIEEE Communications Surveys &amp; Tutorials, 2022•ieeexplore.ieee.org","id":"ITEM-1","issued":{"date-parts":[["0"]]},"title":"A full dive into realizing the edge-enabled metaverse: Visions, enabling technologies, and challenges","type":"article-journal"},"uris":["http://www.mendeley.com/documents/?uuid=24b4e804-8ea3-3732-8c98-52a293b12b43"]},{"id":"ITEM-2","itemData":{"URL":"https://www.fastcompany.com/90771640/the-next-economy-creating-new-ways-to-shop-work-and-play","accessed":{"date-parts":[["2024","5","20"]]},"id":"ITEM-2","issued":{"date-parts":[["0"]]},"title":"The next economy: creating new ways to shop, work, and play - Fast Company","type":"webpage"},"uris":["http://www.mendeley.com/documents/?uuid=f148694a-498e-36d0-98f0-5c3be6d3ba90"]},{"id":"ITEM-3","itemData":{"URL":"https://www.financialexpress.com/opinion/virtual-power-plants-metaverse-for-the-power-sector/2511907/","accessed":{"date-parts":[["2024","5","20"]]},"id":"ITEM-3","issued":{"date-parts":[["0"]]},"title":"Virtual power plants: Metaverse for the power sector - Opinion News | The Financial Express","type":"webpage"},"uris":["http://www.mendeley.com/documents/?uuid=839e60bc-d5fb-3d9b-844f-42d5df73aa55"]}],"mendeley":{"formattedCitation":"[138–140]","plainTextFormattedCitation":"[138–140]","previouslyFormattedCitation":"[138–140]"},"properties":{"noteIndex":0},"schema":"https://github.com/citation-style-language/schema/raw/master/csl-citation.json"}</w:instrText>
      </w:r>
      <w:r w:rsidR="004C03B2" w:rsidRPr="003676D3">
        <w:rPr>
          <w:rFonts w:ascii="Times New Roman" w:hAnsi="Times New Roman" w:cs="Times New Roman"/>
          <w:sz w:val="24"/>
          <w:szCs w:val="24"/>
        </w:rPr>
        <w:fldChar w:fldCharType="separate"/>
      </w:r>
      <w:r w:rsidR="004C03B2" w:rsidRPr="003676D3">
        <w:rPr>
          <w:rFonts w:ascii="Times New Roman" w:hAnsi="Times New Roman" w:cs="Times New Roman"/>
          <w:noProof/>
          <w:sz w:val="24"/>
          <w:szCs w:val="24"/>
        </w:rPr>
        <w:t>[138–140]</w:t>
      </w:r>
      <w:r w:rsidR="004C03B2" w:rsidRPr="003676D3">
        <w:rPr>
          <w:rFonts w:ascii="Times New Roman" w:hAnsi="Times New Roman" w:cs="Times New Roman"/>
          <w:sz w:val="24"/>
          <w:szCs w:val="24"/>
        </w:rPr>
        <w:fldChar w:fldCharType="end"/>
      </w:r>
      <w:r w:rsidR="004C03B2" w:rsidRPr="003676D3">
        <w:rPr>
          <w:rFonts w:ascii="Times New Roman" w:hAnsi="Times New Roman" w:cs="Times New Roman"/>
          <w:sz w:val="24"/>
          <w:szCs w:val="24"/>
        </w:rPr>
        <w:t xml:space="preserve"> </w:t>
      </w:r>
      <w:r w:rsidR="004C03B2" w:rsidRPr="003676D3">
        <w:rPr>
          <w:rFonts w:ascii="Times New Roman" w:hAnsi="Times New Roman" w:cs="Times New Roman"/>
          <w:sz w:val="24"/>
          <w:szCs w:val="24"/>
        </w:rPr>
        <w:fldChar w:fldCharType="begin" w:fldLock="1"/>
      </w:r>
      <w:r w:rsidR="004C03B2" w:rsidRPr="003676D3">
        <w:rPr>
          <w:rFonts w:ascii="Times New Roman" w:hAnsi="Times New Roman" w:cs="Times New Roman"/>
          <w:sz w:val="24"/>
          <w:szCs w:val="24"/>
        </w:rPr>
        <w:instrText>ADDIN CSL_CITATION {"citationItems":[{"id":"ITEM-1","itemData":{"DOI":"10.1109/COMST.2022.3202047","ISSN":"1553877X","abstract":"Metaverse, as an evolving paradigm of the next-generation Internet, aims to build a fully immersive, hyper spatiotemporal, and self-sustaining virtual shared space for humans to play, work, and socialize. Driven by recent advances in emerging technologies such as extended reality, artificial intelligence, and blockchain, metaverse is stepping from science fiction to an upcoming reality. However, severe privacy invasions and security breaches (inherited from underlying technologies or emerged in the new digital ecology) of metaverse can impede its wide deployment. At the same time, a series of fundamental challenges (e.g., scalability and interoperability) can arise in metaverse security provisioning owing to the intrinsic characteristics of metaverse, such as immersive realism, hyper spatiotemporality, sustainability, and heterogeneity. In this paper, we present a comprehensive survey of the fundamentals, security, and privacy of metaverse. Specifically, we first investigate a novel distributed metaverse architecture and its key characteristics with ternary-world interactions. Then, we discuss the security and privacy threats, present the critical challenges of metaverse systems, and review the state-of-the-art countermeasures. Finally, we draw open research directions for building future metaverse systems.","author":[{"dropping-particle":"","family":"Wang","given":"Yuntao","non-dropping-particle":"","parse-names":false,"suffix":""},{"dropping-particle":"","family":"Su","given":"Zhou","non-dropping-particle":"","parse-names":false,"suffix":""},{"dropping-particle":"","family":"Zhang","given":"Ning","non-dropping-particle":"","parse-names":false,"suffix":""},{"dropping-particle":"","family":"Xing","given":"Rui","non-dropping-particle":"","parse-names":false,"suffix":""},{"dropping-particle":"","family":"Liu","given":"Dongxiao","non-dropping-particle":"","parse-names":false,"suffix":""},{"dropping-particle":"","family":"Luan","given":"Tom H.","non-dropping-particle":"","parse-names":false,"suffix":""},{"dropping-particle":"","family":"Shen","given":"Xuemin","non-dropping-particle":"","parse-names":false,"suffix":""}],"container-title":"IEEE Communications Surveys and Tutorials","id":"ITEM-1","issue":"1","issued":{"date-parts":[["2023"]]},"page":"319-352","publisher":"Institute of Electrical and Electronics Engineers Inc.","title":"A Survey on Metaverse: Fundamentals, Security, and Privacy","type":"article-journal","volume":"25"},"uris":["http://www.mendeley.com/documents/?uuid=9f040599-20ff-3730-82c4-c98c0521aab1"]},{"id":"ITEM-2","itemData":{"DOI":"10.1016/S0262-4079(21)01450-0","ISSN":"02624079","abstract":"An old idea is gaining new traction through online gaming and big tech's bet on virtual reality, says Matthew Sparkes","author":[{"dropping-particle":"","family":"Sparkes","given":"Matthew","non-dropping-particle":"","parse-names":false,"suffix":""}],"container-title":"New Scientist","id":"ITEM-2","issue":"3348","issued":{"date-parts":[["2021","8"]]},"page":"18","publisher":"Elsevier BV","title":"What is a metaverse","type":"article-journal","volume":"251"},"uris":["http://www.mendeley.com/documents/?uuid=aad64890-1a1d-30c9-892c-5ad4f4c15ca0"]}],"mendeley":{"formattedCitation":"[141,142]","plainTextFormattedCitation":"[141,142]","previouslyFormattedCitation":"[141,142]"},"properties":{"noteIndex":0},"schema":"https://github.com/citation-style-language/schema/raw/master/csl-citation.json"}</w:instrText>
      </w:r>
      <w:r w:rsidR="004C03B2" w:rsidRPr="003676D3">
        <w:rPr>
          <w:rFonts w:ascii="Times New Roman" w:hAnsi="Times New Roman" w:cs="Times New Roman"/>
          <w:sz w:val="24"/>
          <w:szCs w:val="24"/>
        </w:rPr>
        <w:fldChar w:fldCharType="separate"/>
      </w:r>
      <w:r w:rsidR="004C03B2" w:rsidRPr="003676D3">
        <w:rPr>
          <w:rFonts w:ascii="Times New Roman" w:hAnsi="Times New Roman" w:cs="Times New Roman"/>
          <w:noProof/>
          <w:sz w:val="24"/>
          <w:szCs w:val="24"/>
        </w:rPr>
        <w:t>[141,142]</w:t>
      </w:r>
      <w:r w:rsidR="004C03B2" w:rsidRPr="003676D3">
        <w:rPr>
          <w:rFonts w:ascii="Times New Roman" w:hAnsi="Times New Roman" w:cs="Times New Roman"/>
          <w:sz w:val="24"/>
          <w:szCs w:val="24"/>
        </w:rPr>
        <w:fldChar w:fldCharType="end"/>
      </w:r>
      <w:r w:rsidR="00154005" w:rsidRPr="003676D3">
        <w:rPr>
          <w:rFonts w:ascii="Times New Roman" w:hAnsi="Times New Roman" w:cs="Times New Roman"/>
          <w:sz w:val="24"/>
          <w:szCs w:val="24"/>
        </w:rPr>
        <w:t>.</w:t>
      </w:r>
      <w:r w:rsidR="003F2161" w:rsidRPr="003676D3">
        <w:rPr>
          <w:rFonts w:ascii="Times New Roman" w:hAnsi="Times New Roman" w:cs="Times New Roman"/>
          <w:sz w:val="24"/>
          <w:szCs w:val="24"/>
        </w:rPr>
        <w:t xml:space="preserve"> </w:t>
      </w:r>
      <w:r w:rsidR="003F2161" w:rsidRPr="003676D3">
        <w:rPr>
          <w:rFonts w:ascii="Times New Roman" w:hAnsi="Times New Roman" w:cs="Times New Roman"/>
          <w:sz w:val="24"/>
          <w:szCs w:val="24"/>
        </w:rPr>
        <w:fldChar w:fldCharType="begin"/>
      </w:r>
      <w:r w:rsidR="003F2161" w:rsidRPr="003676D3">
        <w:rPr>
          <w:rFonts w:ascii="Times New Roman" w:hAnsi="Times New Roman" w:cs="Times New Roman"/>
          <w:sz w:val="24"/>
          <w:szCs w:val="24"/>
        </w:rPr>
        <w:instrText xml:space="preserve"> REF _Ref168049875 \h  \* MERGEFORMAT </w:instrText>
      </w:r>
      <w:r w:rsidR="003F2161" w:rsidRPr="003676D3">
        <w:rPr>
          <w:rFonts w:ascii="Times New Roman" w:hAnsi="Times New Roman" w:cs="Times New Roman"/>
          <w:sz w:val="24"/>
          <w:szCs w:val="24"/>
        </w:rPr>
      </w:r>
      <w:r w:rsidR="003F2161" w:rsidRPr="003676D3">
        <w:rPr>
          <w:rFonts w:ascii="Times New Roman" w:hAnsi="Times New Roman" w:cs="Times New Roman"/>
          <w:sz w:val="24"/>
          <w:szCs w:val="24"/>
        </w:rPr>
        <w:fldChar w:fldCharType="separate"/>
      </w:r>
      <w:r w:rsidR="008D1E2C" w:rsidRPr="003676D3">
        <w:rPr>
          <w:rFonts w:ascii="Times New Roman" w:hAnsi="Times New Roman" w:cs="Times New Roman"/>
          <w:b/>
          <w:bCs/>
          <w:sz w:val="24"/>
          <w:szCs w:val="24"/>
        </w:rPr>
        <w:t xml:space="preserve">Figure </w:t>
      </w:r>
      <w:r w:rsidR="008D1E2C" w:rsidRPr="003676D3">
        <w:rPr>
          <w:rFonts w:ascii="Times New Roman" w:hAnsi="Times New Roman" w:cs="Times New Roman"/>
          <w:b/>
          <w:bCs/>
          <w:noProof/>
          <w:sz w:val="24"/>
          <w:szCs w:val="24"/>
        </w:rPr>
        <w:t>7</w:t>
      </w:r>
      <w:r w:rsidR="003F2161" w:rsidRPr="003676D3">
        <w:rPr>
          <w:rFonts w:ascii="Times New Roman" w:hAnsi="Times New Roman" w:cs="Times New Roman"/>
          <w:sz w:val="24"/>
          <w:szCs w:val="24"/>
        </w:rPr>
        <w:fldChar w:fldCharType="end"/>
      </w:r>
      <w:r w:rsidR="003F2161" w:rsidRPr="003676D3">
        <w:rPr>
          <w:rFonts w:ascii="Times New Roman" w:hAnsi="Times New Roman" w:cs="Times New Roman"/>
          <w:sz w:val="24"/>
          <w:szCs w:val="24"/>
        </w:rPr>
        <w:t xml:space="preserve"> shows the role of enabling technologies in SSG.</w:t>
      </w:r>
    </w:p>
    <w:p w14:paraId="03BFCD73" w14:textId="6CB0459B" w:rsidR="003F2161" w:rsidRPr="003676D3" w:rsidRDefault="003F2161" w:rsidP="003676D3">
      <w:pPr>
        <w:spacing w:line="276" w:lineRule="auto"/>
        <w:jc w:val="both"/>
        <w:rPr>
          <w:rFonts w:ascii="Times New Roman" w:hAnsi="Times New Roman" w:cs="Times New Roman"/>
          <w:sz w:val="24"/>
          <w:szCs w:val="24"/>
        </w:rPr>
      </w:pPr>
      <w:r w:rsidRPr="003676D3">
        <w:rPr>
          <w:rFonts w:ascii="Times New Roman" w:hAnsi="Times New Roman" w:cs="Times New Roman"/>
          <w:noProof/>
          <w:sz w:val="24"/>
          <w:szCs w:val="24"/>
        </w:rPr>
        <w:drawing>
          <wp:anchor distT="0" distB="0" distL="114300" distR="114300" simplePos="0" relativeHeight="251663360" behindDoc="0" locked="0" layoutInCell="1" allowOverlap="1" wp14:anchorId="416B35EF" wp14:editId="4900D795">
            <wp:simplePos x="0" y="0"/>
            <wp:positionH relativeFrom="margin">
              <wp:posOffset>0</wp:posOffset>
            </wp:positionH>
            <wp:positionV relativeFrom="paragraph">
              <wp:posOffset>308610</wp:posOffset>
            </wp:positionV>
            <wp:extent cx="5648325" cy="3295015"/>
            <wp:effectExtent l="0" t="0" r="9525" b="635"/>
            <wp:wrapSquare wrapText="bothSides"/>
            <wp:docPr id="2" name="Picture 2" descr="C:\Users\AnamZahid\Desktop\Project European grid\infographics for paper\Figures for jour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mZahid\Desktop\Project European grid\infographics for paper\Figures for journal.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48325" cy="3295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6D3">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405B4D17" wp14:editId="09A93CA8">
                <wp:simplePos x="0" y="0"/>
                <wp:positionH relativeFrom="column">
                  <wp:posOffset>1270</wp:posOffset>
                </wp:positionH>
                <wp:positionV relativeFrom="paragraph">
                  <wp:posOffset>3749040</wp:posOffset>
                </wp:positionV>
                <wp:extent cx="5648325" cy="352425"/>
                <wp:effectExtent l="0" t="0" r="9525" b="9525"/>
                <wp:wrapSquare wrapText="bothSides"/>
                <wp:docPr id="14" name="Text Box 14"/>
                <wp:cNvGraphicFramePr/>
                <a:graphic xmlns:a="http://schemas.openxmlformats.org/drawingml/2006/main">
                  <a:graphicData uri="http://schemas.microsoft.com/office/word/2010/wordprocessingShape">
                    <wps:wsp>
                      <wps:cNvSpPr txBox="1"/>
                      <wps:spPr>
                        <a:xfrm>
                          <a:off x="0" y="0"/>
                          <a:ext cx="5648325" cy="352425"/>
                        </a:xfrm>
                        <a:prstGeom prst="rect">
                          <a:avLst/>
                        </a:prstGeom>
                        <a:solidFill>
                          <a:prstClr val="white"/>
                        </a:solidFill>
                        <a:ln>
                          <a:noFill/>
                        </a:ln>
                      </wps:spPr>
                      <wps:txbx>
                        <w:txbxContent>
                          <w:p w14:paraId="6FECDB91" w14:textId="19661D01" w:rsidR="001F368F" w:rsidRPr="0049516E" w:rsidRDefault="001F368F" w:rsidP="004B1918">
                            <w:pPr>
                              <w:pStyle w:val="Caption"/>
                              <w:jc w:val="center"/>
                              <w:rPr>
                                <w:rFonts w:asciiTheme="majorBidi" w:hAnsiTheme="majorBidi" w:cstheme="majorBidi"/>
                                <w:b/>
                                <w:bCs/>
                                <w:i w:val="0"/>
                                <w:iCs w:val="0"/>
                                <w:noProof/>
                                <w:color w:val="auto"/>
                                <w:sz w:val="20"/>
                                <w:szCs w:val="20"/>
                              </w:rPr>
                            </w:pPr>
                            <w:bookmarkStart w:id="19" w:name="_Ref168049875"/>
                            <w:r w:rsidRPr="0049516E">
                              <w:rPr>
                                <w:rFonts w:asciiTheme="majorBidi" w:hAnsiTheme="majorBidi" w:cstheme="majorBidi"/>
                                <w:b/>
                                <w:bCs/>
                                <w:i w:val="0"/>
                                <w:iCs w:val="0"/>
                                <w:color w:val="auto"/>
                                <w:sz w:val="20"/>
                                <w:szCs w:val="20"/>
                              </w:rPr>
                              <w:t xml:space="preserve">Figure </w:t>
                            </w:r>
                            <w:r w:rsidRPr="0049516E">
                              <w:rPr>
                                <w:rFonts w:asciiTheme="majorBidi" w:hAnsiTheme="majorBidi" w:cstheme="majorBidi"/>
                                <w:b/>
                                <w:bCs/>
                                <w:i w:val="0"/>
                                <w:iCs w:val="0"/>
                                <w:color w:val="auto"/>
                                <w:sz w:val="20"/>
                                <w:szCs w:val="20"/>
                              </w:rPr>
                              <w:fldChar w:fldCharType="begin"/>
                            </w:r>
                            <w:r w:rsidRPr="0049516E">
                              <w:rPr>
                                <w:rFonts w:asciiTheme="majorBidi" w:hAnsiTheme="majorBidi" w:cstheme="majorBidi"/>
                                <w:b/>
                                <w:bCs/>
                                <w:i w:val="0"/>
                                <w:iCs w:val="0"/>
                                <w:color w:val="auto"/>
                                <w:sz w:val="20"/>
                                <w:szCs w:val="20"/>
                              </w:rPr>
                              <w:instrText xml:space="preserve"> SEQ Figure \* ARABIC </w:instrText>
                            </w:r>
                            <w:r w:rsidRPr="0049516E">
                              <w:rPr>
                                <w:rFonts w:asciiTheme="majorBidi" w:hAnsiTheme="majorBidi" w:cstheme="majorBidi"/>
                                <w:b/>
                                <w:bCs/>
                                <w:i w:val="0"/>
                                <w:iCs w:val="0"/>
                                <w:color w:val="auto"/>
                                <w:sz w:val="20"/>
                                <w:szCs w:val="20"/>
                              </w:rPr>
                              <w:fldChar w:fldCharType="separate"/>
                            </w:r>
                            <w:r w:rsidR="008D1E2C">
                              <w:rPr>
                                <w:rFonts w:asciiTheme="majorBidi" w:hAnsiTheme="majorBidi" w:cstheme="majorBidi"/>
                                <w:b/>
                                <w:bCs/>
                                <w:i w:val="0"/>
                                <w:iCs w:val="0"/>
                                <w:noProof/>
                                <w:color w:val="auto"/>
                                <w:sz w:val="20"/>
                                <w:szCs w:val="20"/>
                              </w:rPr>
                              <w:t>7</w:t>
                            </w:r>
                            <w:r w:rsidRPr="0049516E">
                              <w:rPr>
                                <w:rFonts w:asciiTheme="majorBidi" w:hAnsiTheme="majorBidi" w:cstheme="majorBidi"/>
                                <w:b/>
                                <w:bCs/>
                                <w:i w:val="0"/>
                                <w:iCs w:val="0"/>
                                <w:color w:val="auto"/>
                                <w:sz w:val="20"/>
                                <w:szCs w:val="20"/>
                              </w:rPr>
                              <w:fldChar w:fldCharType="end"/>
                            </w:r>
                            <w:bookmarkEnd w:id="19"/>
                            <w:r w:rsidRPr="0049516E">
                              <w:rPr>
                                <w:rFonts w:asciiTheme="majorBidi" w:hAnsiTheme="majorBidi" w:cstheme="majorBidi"/>
                                <w:b/>
                                <w:bCs/>
                                <w:i w:val="0"/>
                                <w:iCs w:val="0"/>
                                <w:color w:val="auto"/>
                                <w:sz w:val="20"/>
                                <w:szCs w:val="20"/>
                              </w:rPr>
                              <w:t>. Role of Enabling Technologies in Super Smart Grid.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5B4D17" id="Text Box 14" o:spid="_x0000_s1031" type="#_x0000_t202" style="position:absolute;left:0;text-align:left;margin-left:.1pt;margin-top:295.2pt;width:444.75pt;height:27.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" stroked="f">
                <v:textbox inset="0,0,0,0">
                  <w:txbxContent>
                    <w:p w14:paraId="6FECDB91" w14:textId="19661D01" w:rsidR="001F368F" w:rsidRPr="0049516E" w:rsidRDefault="001F368F" w:rsidP="004B1918">
                      <w:pPr>
                        <w:pStyle w:val="Caption"/>
                        <w:jc w:val="center"/>
                        <w:rPr>
                          <w:rFonts w:asciiTheme="majorBidi" w:hAnsiTheme="majorBidi" w:cstheme="majorBidi"/>
                          <w:b/>
                          <w:bCs/>
                          <w:i w:val="0"/>
                          <w:iCs w:val="0"/>
                          <w:noProof/>
                          <w:color w:val="auto"/>
                          <w:sz w:val="20"/>
                          <w:szCs w:val="20"/>
                        </w:rPr>
                      </w:pPr>
                      <w:bookmarkStart w:id="20" w:name="_Ref168049875"/>
                      <w:r w:rsidRPr="0049516E">
                        <w:rPr>
                          <w:rFonts w:asciiTheme="majorBidi" w:hAnsiTheme="majorBidi" w:cstheme="majorBidi"/>
                          <w:b/>
                          <w:bCs/>
                          <w:i w:val="0"/>
                          <w:iCs w:val="0"/>
                          <w:color w:val="auto"/>
                          <w:sz w:val="20"/>
                          <w:szCs w:val="20"/>
                        </w:rPr>
                        <w:t xml:space="preserve">Figure </w:t>
                      </w:r>
                      <w:r w:rsidRPr="0049516E">
                        <w:rPr>
                          <w:rFonts w:asciiTheme="majorBidi" w:hAnsiTheme="majorBidi" w:cstheme="majorBidi"/>
                          <w:b/>
                          <w:bCs/>
                          <w:i w:val="0"/>
                          <w:iCs w:val="0"/>
                          <w:color w:val="auto"/>
                          <w:sz w:val="20"/>
                          <w:szCs w:val="20"/>
                        </w:rPr>
                        <w:fldChar w:fldCharType="begin"/>
                      </w:r>
                      <w:r w:rsidRPr="0049516E">
                        <w:rPr>
                          <w:rFonts w:asciiTheme="majorBidi" w:hAnsiTheme="majorBidi" w:cstheme="majorBidi"/>
                          <w:b/>
                          <w:bCs/>
                          <w:i w:val="0"/>
                          <w:iCs w:val="0"/>
                          <w:color w:val="auto"/>
                          <w:sz w:val="20"/>
                          <w:szCs w:val="20"/>
                        </w:rPr>
                        <w:instrText xml:space="preserve"> SEQ Figure \* ARABIC </w:instrText>
                      </w:r>
                      <w:r w:rsidRPr="0049516E">
                        <w:rPr>
                          <w:rFonts w:asciiTheme="majorBidi" w:hAnsiTheme="majorBidi" w:cstheme="majorBidi"/>
                          <w:b/>
                          <w:bCs/>
                          <w:i w:val="0"/>
                          <w:iCs w:val="0"/>
                          <w:color w:val="auto"/>
                          <w:sz w:val="20"/>
                          <w:szCs w:val="20"/>
                        </w:rPr>
                        <w:fldChar w:fldCharType="separate"/>
                      </w:r>
                      <w:r w:rsidR="008D1E2C">
                        <w:rPr>
                          <w:rFonts w:asciiTheme="majorBidi" w:hAnsiTheme="majorBidi" w:cstheme="majorBidi"/>
                          <w:b/>
                          <w:bCs/>
                          <w:i w:val="0"/>
                          <w:iCs w:val="0"/>
                          <w:noProof/>
                          <w:color w:val="auto"/>
                          <w:sz w:val="20"/>
                          <w:szCs w:val="20"/>
                        </w:rPr>
                        <w:t>7</w:t>
                      </w:r>
                      <w:r w:rsidRPr="0049516E">
                        <w:rPr>
                          <w:rFonts w:asciiTheme="majorBidi" w:hAnsiTheme="majorBidi" w:cstheme="majorBidi"/>
                          <w:b/>
                          <w:bCs/>
                          <w:i w:val="0"/>
                          <w:iCs w:val="0"/>
                          <w:color w:val="auto"/>
                          <w:sz w:val="20"/>
                          <w:szCs w:val="20"/>
                        </w:rPr>
                        <w:fldChar w:fldCharType="end"/>
                      </w:r>
                      <w:bookmarkEnd w:id="20"/>
                      <w:r w:rsidRPr="0049516E">
                        <w:rPr>
                          <w:rFonts w:asciiTheme="majorBidi" w:hAnsiTheme="majorBidi" w:cstheme="majorBidi"/>
                          <w:b/>
                          <w:bCs/>
                          <w:i w:val="0"/>
                          <w:iCs w:val="0"/>
                          <w:color w:val="auto"/>
                          <w:sz w:val="20"/>
                          <w:szCs w:val="20"/>
                        </w:rPr>
                        <w:t>. Role of Enabling Technologies in Super Smart Grid.</w:t>
                      </w:r>
                    </w:p>
                  </w:txbxContent>
                </v:textbox>
                <w10:wrap type="square"/>
              </v:shape>
            </w:pict>
          </mc:Fallback>
        </mc:AlternateContent>
      </w:r>
    </w:p>
    <w:p w14:paraId="1E85A1BE" w14:textId="342CAA48" w:rsidR="008E3C66" w:rsidRPr="003676D3" w:rsidRDefault="00132774" w:rsidP="003676D3">
      <w:pPr>
        <w:pStyle w:val="Heading2"/>
        <w:spacing w:after="240" w:line="276" w:lineRule="auto"/>
        <w:jc w:val="both"/>
        <w:rPr>
          <w:rFonts w:ascii="Times New Roman" w:hAnsi="Times New Roman" w:cs="Times New Roman"/>
          <w:b/>
          <w:bCs/>
          <w:color w:val="auto"/>
          <w:sz w:val="24"/>
          <w:szCs w:val="24"/>
        </w:rPr>
      </w:pPr>
      <w:r w:rsidRPr="003676D3">
        <w:rPr>
          <w:rFonts w:ascii="Times New Roman" w:hAnsi="Times New Roman" w:cs="Times New Roman"/>
          <w:b/>
          <w:bCs/>
          <w:color w:val="auto"/>
          <w:sz w:val="24"/>
          <w:szCs w:val="24"/>
        </w:rPr>
        <w:t xml:space="preserve">5.1. </w:t>
      </w:r>
      <w:r w:rsidR="002A7177" w:rsidRPr="003676D3">
        <w:rPr>
          <w:rFonts w:ascii="Times New Roman" w:hAnsi="Times New Roman" w:cs="Times New Roman"/>
          <w:b/>
          <w:bCs/>
          <w:color w:val="auto"/>
          <w:sz w:val="24"/>
          <w:szCs w:val="24"/>
        </w:rPr>
        <w:t>Metaverse</w:t>
      </w:r>
      <w:r w:rsidR="003F3758" w:rsidRPr="003676D3">
        <w:rPr>
          <w:rFonts w:ascii="Times New Roman" w:hAnsi="Times New Roman" w:cs="Times New Roman"/>
          <w:b/>
          <w:bCs/>
          <w:color w:val="auto"/>
          <w:sz w:val="24"/>
          <w:szCs w:val="24"/>
        </w:rPr>
        <w:t xml:space="preserve"> and Digital Twin</w:t>
      </w:r>
    </w:p>
    <w:p w14:paraId="2EA02E82" w14:textId="349DF552" w:rsidR="00132774" w:rsidRPr="003676D3" w:rsidRDefault="00892BF8"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The metaverse is a prime example of Human-Computer Interaction (HCI) and widely explored by researchers globally. It is a virtual environment, consists of immersive and intertwined digital spaces, providing users a platform to interact with computer</w:t>
      </w:r>
      <w:r w:rsidR="004C03B2" w:rsidRPr="003676D3">
        <w:rPr>
          <w:rFonts w:ascii="Times New Roman" w:hAnsi="Times New Roman" w:cs="Times New Roman"/>
          <w:sz w:val="24"/>
          <w:szCs w:val="24"/>
        </w:rPr>
        <w:t xml:space="preserve"> </w:t>
      </w:r>
      <w:r w:rsidR="004C03B2" w:rsidRPr="003676D3">
        <w:rPr>
          <w:rFonts w:ascii="Times New Roman" w:hAnsi="Times New Roman" w:cs="Times New Roman"/>
          <w:sz w:val="24"/>
          <w:szCs w:val="24"/>
        </w:rPr>
        <w:fldChar w:fldCharType="begin" w:fldLock="1"/>
      </w:r>
      <w:r w:rsidR="004C03B2" w:rsidRPr="003676D3">
        <w:rPr>
          <w:rFonts w:ascii="Times New Roman" w:hAnsi="Times New Roman" w:cs="Times New Roman"/>
          <w:sz w:val="24"/>
          <w:szCs w:val="24"/>
        </w:rPr>
        <w:instrText>ADDIN CSL_CITATION {"citationItems":[{"id":"ITEM-1","itemData":{"URL":"https://www.mckinsey.com/capabilities/growth-marketing-and-sales/our-insights/value-creation-in-the-Metaverse","accessed":{"date-parts":[["2024","5","20"]]},"author":[{"dropping-particle":"","family":"Mckinsey","given":"","non-dropping-particle":"","parse-names":false,"suffix":""}],"id":"ITEM-1","issued":{"date-parts":[["0"]]},"title":"Value creation in the metaverse | McKinsey","type":"webpage"},"uris":["http://www.mendeley.com/documents/?uuid=10adfff2-1939-3591-9b13-735687d73bee"]}],"mendeley":{"formattedCitation":"[143]","plainTextFormattedCitation":"[143]","previouslyFormattedCitation":"[143]"},"properties":{"noteIndex":0},"schema":"https://github.com/citation-style-language/schema/raw/master/csl-citation.json"}</w:instrText>
      </w:r>
      <w:r w:rsidR="004C03B2" w:rsidRPr="003676D3">
        <w:rPr>
          <w:rFonts w:ascii="Times New Roman" w:hAnsi="Times New Roman" w:cs="Times New Roman"/>
          <w:sz w:val="24"/>
          <w:szCs w:val="24"/>
        </w:rPr>
        <w:fldChar w:fldCharType="separate"/>
      </w:r>
      <w:r w:rsidR="004C03B2" w:rsidRPr="003676D3">
        <w:rPr>
          <w:rFonts w:ascii="Times New Roman" w:hAnsi="Times New Roman" w:cs="Times New Roman"/>
          <w:noProof/>
          <w:sz w:val="24"/>
          <w:szCs w:val="24"/>
        </w:rPr>
        <w:t>[143]</w:t>
      </w:r>
      <w:r w:rsidR="004C03B2" w:rsidRPr="003676D3">
        <w:rPr>
          <w:rFonts w:ascii="Times New Roman" w:hAnsi="Times New Roman" w:cs="Times New Roman"/>
          <w:sz w:val="24"/>
          <w:szCs w:val="24"/>
        </w:rPr>
        <w:fldChar w:fldCharType="end"/>
      </w:r>
      <w:r w:rsidR="004C03B2" w:rsidRPr="003676D3">
        <w:rPr>
          <w:rFonts w:ascii="Times New Roman" w:hAnsi="Times New Roman" w:cs="Times New Roman"/>
          <w:sz w:val="24"/>
          <w:szCs w:val="24"/>
        </w:rPr>
        <w:fldChar w:fldCharType="begin" w:fldLock="1"/>
      </w:r>
      <w:r w:rsidR="00D36763" w:rsidRPr="003676D3">
        <w:rPr>
          <w:rFonts w:ascii="Times New Roman" w:hAnsi="Times New Roman" w:cs="Times New Roman"/>
          <w:sz w:val="24"/>
          <w:szCs w:val="24"/>
        </w:rPr>
        <w:instrText>ADDIN CSL_CITATION {"citationItems":[{"id":"ITEM-1","itemData":{"DOI":"10.3390/SMARTCITIES5030040","ISSN":"2624-6511","abstract":"Data infrastructures, economic processes, and governance models of digital platforms are increasingly pervading urban sectors and spheres of urban life. This phenomenon is known as platformization, which has in turn given rise to the phenomena of platform society, where platforms have permeated the core of urban societies. A recent manifestation of platformization is the Metaverse, a global platform project launched by Meta (formerly Facebook) as a globally operating platform company. The Metaverse represents an idea of a hypothetical “parallel virtual world” that incarnate ways of living and working in virtual cities as an alternative to smart cities of the future. Indeed, with emerging innovative technologies—such as Artificial Intelligence, Big Data, the IoT, and Digital Twins—providing rich datasets and advanced computational understandings of human behavior, the Metaverse has the potential to redefine city designing activities and service provisioning towards increasing urban efficiencies, accountabilities, and quality performance. However, there still remain ethical, human, social, and cultural concerns as to the Metaverse’s influence upon the quality of human social interactions and its prospective scope in reconstructing the quality of urban life. This paper undertakes an upper-level literature review of the area of the Metaverse from a broader perspective. Further, it maps the emerging products and services of the Metaverse, and explores their potential contributions to smart cities with respect to their virtual incarnation, with a particular focus on the environmental, economic, and social goals of sustainability. This study may help urban policy makers to better understand the opportunities and implications of the Metaverse upon tech-mediated practices and applied urban agendas, as well as assess the positives and negatives of this techno-urban vision. This paper also offers thoughts regarding the argument that the Metaverse has disruptive and substantive effects on forms of reconstructing reality in an increasingly platformized urban society. This will hopefully stimulate prospective research and further critical perspectives on the topic.","author":[{"dropping-particle":"","family":"Allam","given":"Zaheer","non-dropping-particle":"","parse-names":false,"suffix":""},{"dropping-particle":"","family":"Sharifi","given":"Ayyoob","non-dropping-particle":"","parse-names":false,"suffix":""},{"dropping-particle":"","family":"Bibri","given":"Simon Elias","non-dropping-particle":"","parse-names":false,"suffix":""},{"dropping-particle":"","family":"Jones","given":"David Sydney","non-dropping-particle":"","parse-names":false,"suffix":""},{"dropping-particle":"","family":"Krogstie","given":"John","non-dropping-particle":"","parse-names":false,"suffix":""}],"container-title":"Smart Cities 2022, Vol. 5, Pages 771-801","id":"ITEM-1","issue":"3","issued":{"date-parts":[["2022","7","8"]]},"page":"771-801","publisher":"Multidisciplinary Digital Publishing Institute","title":"The Metaverse as a Virtual Form of Smart Cities: Opportunities and Challenges for Environmental, Economic, and Social Sustainability in Urban Futures","type":"article-journal","volume":"5"},"uris":["http://www.mendeley.com/documents/?uuid=09cff68e-9c0a-3efb-b2d3-266b6fec42b1"]}],"mendeley":{"formattedCitation":"[144]","plainTextFormattedCitation":"[144]","previouslyFormattedCitation":"[144]"},"properties":{"noteIndex":0},"schema":"https://github.com/citation-style-language/schema/raw/master/csl-citation.json"}</w:instrText>
      </w:r>
      <w:r w:rsidR="004C03B2" w:rsidRPr="003676D3">
        <w:rPr>
          <w:rFonts w:ascii="Times New Roman" w:hAnsi="Times New Roman" w:cs="Times New Roman"/>
          <w:sz w:val="24"/>
          <w:szCs w:val="24"/>
        </w:rPr>
        <w:fldChar w:fldCharType="separate"/>
      </w:r>
      <w:r w:rsidR="004C03B2" w:rsidRPr="003676D3">
        <w:rPr>
          <w:rFonts w:ascii="Times New Roman" w:hAnsi="Times New Roman" w:cs="Times New Roman"/>
          <w:noProof/>
          <w:sz w:val="24"/>
          <w:szCs w:val="24"/>
        </w:rPr>
        <w:t>[144]</w:t>
      </w:r>
      <w:r w:rsidR="004C03B2"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Applying metaverse in </w:t>
      </w:r>
      <w:r w:rsidR="002D2AB0" w:rsidRPr="003676D3">
        <w:rPr>
          <w:rFonts w:ascii="Times New Roman" w:hAnsi="Times New Roman" w:cs="Times New Roman"/>
          <w:sz w:val="24"/>
          <w:szCs w:val="24"/>
        </w:rPr>
        <w:t>SG</w:t>
      </w:r>
      <w:r w:rsidRPr="003676D3">
        <w:rPr>
          <w:rFonts w:ascii="Times New Roman" w:hAnsi="Times New Roman" w:cs="Times New Roman"/>
          <w:sz w:val="24"/>
          <w:szCs w:val="24"/>
        </w:rPr>
        <w:t xml:space="preserve"> can revolutionize and transform the grid into super smart grid. It has the potential to enhance the features of smart grids like reliability, better infrastructure, prosumer service, accessibility and economics</w:t>
      </w:r>
      <w:r w:rsidR="00D36763" w:rsidRPr="003676D3">
        <w:rPr>
          <w:rFonts w:ascii="Times New Roman" w:hAnsi="Times New Roman" w:cs="Times New Roman"/>
          <w:sz w:val="24"/>
          <w:szCs w:val="24"/>
        </w:rPr>
        <w:t xml:space="preserve"> </w:t>
      </w:r>
      <w:r w:rsidR="00D36763" w:rsidRPr="003676D3">
        <w:rPr>
          <w:rFonts w:ascii="Times New Roman" w:hAnsi="Times New Roman" w:cs="Times New Roman"/>
          <w:sz w:val="24"/>
          <w:szCs w:val="24"/>
        </w:rPr>
        <w:fldChar w:fldCharType="begin" w:fldLock="1"/>
      </w:r>
      <w:r w:rsidR="00D36763" w:rsidRPr="003676D3">
        <w:rPr>
          <w:rFonts w:ascii="Times New Roman" w:hAnsi="Times New Roman" w:cs="Times New Roman"/>
          <w:sz w:val="24"/>
          <w:szCs w:val="24"/>
        </w:rPr>
        <w:instrText>ADDIN CSL_CITATION {"citationItems":[{"id":"ITEM-1","itemData":{"DOI":"10.1016/J.IRFA.2023.102560","ISSN":"1057-5219","abstract":"This paper provides (i) a review of the existing literature on the metaverse and (ii) an empirical assessment of the current state of the Web3 meta-economy, with the focus on economic governance and metaverse commerce. We have analysed the entire Web3 metaverse niche, i.e. both the 196 available metaverse fungible tokens and all the non-fungible token (NFT) transactions belonging to the metaverse marketplace. Our results showed that economic governance is based on metaverse tokens that cannot be defined as reliable virtual currencies due to their explosive behaviour, negative performance, and higher volatility compared to traditional alternatives. Paradoxically, fiat currencies and stablecoins could be more appropriate candidates for the payment infrastructure. Moreover, we also observed that NFT prices are affected by the cryptocurrency market, which highlights the risk of metaverse commerce. For future research, developers and scholars must assess the different alternatives and infrastructures that can make the metaverse a persistent reality with a proper virtual economy. However, at present, it seems that the hype has run far ahead of reality.","author":[{"dropping-particle":"","family":"Vidal-Tomás","given":"David","non-dropping-particle":"","parse-names":false,"suffix":""}],"container-title":"International Review of Financial Analysis","id":"ITEM-1","issued":{"date-parts":[["2023","3","1"]]},"page":"102560","publisher":"North-Holland","title":"The illusion of the metaverse and meta-economy","type":"article-journal","volume":"86"},"uris":["http://www.mendeley.com/documents/?uuid=48520336-25c3-3376-a40e-d1a4b68830a6"]}],"mendeley":{"formattedCitation":"[145]","plainTextFormattedCitation":"[145]","previouslyFormattedCitation":"[145]"},"properties":{"noteIndex":0},"schema":"https://github.com/citation-style-language/schema/raw/master/csl-citation.json"}</w:instrText>
      </w:r>
      <w:r w:rsidR="00D36763" w:rsidRPr="003676D3">
        <w:rPr>
          <w:rFonts w:ascii="Times New Roman" w:hAnsi="Times New Roman" w:cs="Times New Roman"/>
          <w:sz w:val="24"/>
          <w:szCs w:val="24"/>
        </w:rPr>
        <w:fldChar w:fldCharType="separate"/>
      </w:r>
      <w:r w:rsidR="00D36763" w:rsidRPr="003676D3">
        <w:rPr>
          <w:rFonts w:ascii="Times New Roman" w:hAnsi="Times New Roman" w:cs="Times New Roman"/>
          <w:noProof/>
          <w:sz w:val="24"/>
          <w:szCs w:val="24"/>
        </w:rPr>
        <w:t>[145]</w:t>
      </w:r>
      <w:r w:rsidR="00D36763" w:rsidRPr="003676D3">
        <w:rPr>
          <w:rFonts w:ascii="Times New Roman" w:hAnsi="Times New Roman" w:cs="Times New Roman"/>
          <w:sz w:val="24"/>
          <w:szCs w:val="24"/>
        </w:rPr>
        <w:fldChar w:fldCharType="end"/>
      </w:r>
      <w:r w:rsidRPr="003676D3">
        <w:rPr>
          <w:rFonts w:ascii="Times New Roman" w:hAnsi="Times New Roman" w:cs="Times New Roman"/>
          <w:sz w:val="24"/>
          <w:szCs w:val="24"/>
        </w:rPr>
        <w:t>.</w:t>
      </w:r>
      <w:r w:rsidR="003F3758" w:rsidRPr="003676D3">
        <w:rPr>
          <w:rFonts w:ascii="Times New Roman" w:hAnsi="Times New Roman" w:cs="Times New Roman"/>
          <w:sz w:val="24"/>
          <w:szCs w:val="24"/>
        </w:rPr>
        <w:t xml:space="preserve"> The European Parliament expects that the metaverse market will reach 597.3 billion euros by 2030</w:t>
      </w:r>
      <w:r w:rsidR="00D36763" w:rsidRPr="003676D3">
        <w:rPr>
          <w:rFonts w:ascii="Times New Roman" w:hAnsi="Times New Roman" w:cs="Times New Roman"/>
          <w:sz w:val="24"/>
          <w:szCs w:val="24"/>
        </w:rPr>
        <w:t xml:space="preserve"> </w:t>
      </w:r>
      <w:r w:rsidR="00D36763" w:rsidRPr="003676D3">
        <w:rPr>
          <w:rFonts w:ascii="Times New Roman" w:hAnsi="Times New Roman" w:cs="Times New Roman"/>
          <w:sz w:val="24"/>
          <w:szCs w:val="24"/>
        </w:rPr>
        <w:fldChar w:fldCharType="begin" w:fldLock="1"/>
      </w:r>
      <w:r w:rsidR="00D36763" w:rsidRPr="003676D3">
        <w:rPr>
          <w:rFonts w:ascii="Times New Roman" w:hAnsi="Times New Roman" w:cs="Times New Roman"/>
          <w:sz w:val="24"/>
          <w:szCs w:val="24"/>
        </w:rPr>
        <w:instrText>ADDIN CSL_CITATION {"citationItems":[{"id":"ITEM-1","itemData":{"abstract":"One of the most talked about concepts in modern technology, the metaverse can be described as an immersive and constant virtual 3D world where people interact by means of an avatar to carry out a wide range of activities. Such activities can range from leisure and gaming to professional and commercial interactions, financial transactions or even health interventions such as surgery. While the exact scope and impact of the metaverse on society and on the economy is still unknown, it can already be seen that the metaverse will open up a range of opportunities but also a number of risks in a variety of policy areas. Major tech companies are scaling up their metaverse activities, including through mergers and acquisitions. This has given impetus to a debate on how merger regulations and antitrust law should apply. Business in the metaverse is expected to be underpinned largely by cryptocurrencies and non-fungible tokens, raising issues of ownership, misuse, interoperability and portability. Furthermore, the huge volume of data used in the metaverse raises a number of data protection and cybersecurity issues (e.g. how to collect user consent or protect avatars against identity theft). There is considerable scope for a wide range of illegal and harmful behaviours and practices in the metaverse environment. This makes it essential to consider how to attribute responsibility, inter alia, for fighting illegal and harmful practices and misleading advertising practices, and for protecting intellectual property rights. Moreover, digital immersion in the metaverse can have severe negative impacts on health, especially for vulnerable groups, such as minors, who may require special protection. Finally, the accessibility and inclusiveness of the metaverse remain areas where progress has still to be made in order to create an environment of equal opportunities.","author":[{"dropping-particle":"","family":"POLONA","given":"CAR","non-dropping-particle":"","parse-names":false,"suffix":""},{"dropping-particle":"","family":"André","given":"MADIEGA Tambiama","non-dropping-particle":"","parse-names":false,"suffix":""},{"dropping-particle":"","family":"Maria","given":"Niestadt","non-dropping-particle":"","parse-names":false,"suffix":""}],"id":"ITEM-1","issued":{"date-parts":[["2022"]]},"publisher":"&lt;bound method Organization.get_name_with_acronym of &lt;Organization: European Parliamentary Research Service&gt;&gt;","title":"Metaverse: Opportunities, risks and policy implications","type":"article"},"uris":["http://www.mendeley.com/documents/?uuid=85637309-8a5d-3828-9e35-ee5e3a1f1b1f"]}],"mendeley":{"formattedCitation":"[146]","plainTextFormattedCitation":"[146]","previouslyFormattedCitation":"[146]"},"properties":{"noteIndex":0},"schema":"https://github.com/citation-style-language/schema/raw/master/csl-citation.json"}</w:instrText>
      </w:r>
      <w:r w:rsidR="00D36763" w:rsidRPr="003676D3">
        <w:rPr>
          <w:rFonts w:ascii="Times New Roman" w:hAnsi="Times New Roman" w:cs="Times New Roman"/>
          <w:sz w:val="24"/>
          <w:szCs w:val="24"/>
        </w:rPr>
        <w:fldChar w:fldCharType="separate"/>
      </w:r>
      <w:r w:rsidR="00D36763" w:rsidRPr="003676D3">
        <w:rPr>
          <w:rFonts w:ascii="Times New Roman" w:hAnsi="Times New Roman" w:cs="Times New Roman"/>
          <w:noProof/>
          <w:sz w:val="24"/>
          <w:szCs w:val="24"/>
        </w:rPr>
        <w:t>[146]</w:t>
      </w:r>
      <w:r w:rsidR="00D36763" w:rsidRPr="003676D3">
        <w:rPr>
          <w:rFonts w:ascii="Times New Roman" w:hAnsi="Times New Roman" w:cs="Times New Roman"/>
          <w:sz w:val="24"/>
          <w:szCs w:val="24"/>
        </w:rPr>
        <w:fldChar w:fldCharType="end"/>
      </w:r>
      <w:r w:rsidR="003F3758" w:rsidRPr="003676D3">
        <w:rPr>
          <w:rFonts w:ascii="Times New Roman" w:hAnsi="Times New Roman" w:cs="Times New Roman"/>
          <w:sz w:val="24"/>
          <w:szCs w:val="24"/>
        </w:rPr>
        <w:t>. Metaverse founds huge application in smart cities</w:t>
      </w:r>
      <w:r w:rsidR="00DF217F" w:rsidRPr="003676D3">
        <w:rPr>
          <w:rFonts w:ascii="Times New Roman" w:hAnsi="Times New Roman" w:cs="Times New Roman"/>
          <w:sz w:val="24"/>
          <w:szCs w:val="24"/>
        </w:rPr>
        <w:t xml:space="preserve"> </w:t>
      </w:r>
      <w:r w:rsidR="003F3758" w:rsidRPr="003676D3">
        <w:rPr>
          <w:rFonts w:ascii="Times New Roman" w:hAnsi="Times New Roman" w:cs="Times New Roman"/>
          <w:sz w:val="24"/>
          <w:szCs w:val="24"/>
        </w:rPr>
        <w:t>as it can help smooth integration of electric vehicles, ease of connectivity for Internet of Things</w:t>
      </w:r>
      <w:r w:rsidR="00D36763" w:rsidRPr="003676D3">
        <w:rPr>
          <w:rFonts w:ascii="Times New Roman" w:hAnsi="Times New Roman" w:cs="Times New Roman"/>
          <w:sz w:val="24"/>
          <w:szCs w:val="24"/>
        </w:rPr>
        <w:t xml:space="preserve"> </w:t>
      </w:r>
      <w:r w:rsidR="00D36763" w:rsidRPr="003676D3">
        <w:rPr>
          <w:rFonts w:ascii="Times New Roman" w:hAnsi="Times New Roman" w:cs="Times New Roman"/>
          <w:sz w:val="24"/>
          <w:szCs w:val="24"/>
        </w:rPr>
        <w:fldChar w:fldCharType="begin" w:fldLock="1"/>
      </w:r>
      <w:r w:rsidR="00D36763" w:rsidRPr="003676D3">
        <w:rPr>
          <w:rFonts w:ascii="Times New Roman" w:hAnsi="Times New Roman" w:cs="Times New Roman"/>
          <w:sz w:val="24"/>
          <w:szCs w:val="24"/>
        </w:rPr>
        <w:instrText>ADDIN CSL_CITATION {"citationItems":[{"id":"ITEM-1","itemData":{"DOI":"10.3390/SMARTCITIES5030040","ISSN":"2624-6511","abstract":"Data infrastructures, economic processes, and governance models of digital platforms are increasingly pervading urban sectors and spheres of urban life. This phenomenon is known as platformization, which has in turn given rise to the phenomena of platform society, where platforms have permeated the core of urban societies. A recent manifestation of platformization is the Metaverse, a global platform project launched by Meta (formerly Facebook) as a globally operating platform company. The Metaverse represents an idea of a hypothetical “parallel virtual world” that incarnate ways of living and working in virtual cities as an alternative to smart cities of the future. Indeed, with emerging innovative technologies—such as Artificial Intelligence, Big Data, the IoT, and Digital Twins—providing rich datasets and advanced computational understandings of human behavior, the Metaverse has the potential to redefine city designing activities and service provisioning towards increasing urban efficiencies, accountabilities, and quality performance. However, there still remain ethical, human, social, and cultural concerns as to the Metaverse’s influence upon the quality of human social interactions and its prospective scope in reconstructing the quality of urban life. This paper undertakes an upper-level literature review of the area of the Metaverse from a broader perspective. Further, it maps the emerging products and services of the Metaverse, and explores their potential contributions to smart cities with respect to their virtual incarnation, with a particular focus on the environmental, economic, and social goals of sustainability. This study may help urban policy makers to better understand the opportunities and implications of the Metaverse upon tech-mediated practices and applied urban agendas, as well as assess the positives and negatives of this techno-urban vision. This paper also offers thoughts regarding the argument that the Metaverse has disruptive and substantive effects on forms of reconstructing reality in an increasingly platformized urban society. This will hopefully stimulate prospective research and further critical perspectives on the topic.","author":[{"dropping-particle":"","family":"Allam","given":"Zaheer","non-dropping-particle":"","parse-names":false,"suffix":""},{"dropping-particle":"","family":"Sharifi","given":"Ayyoob","non-dropping-particle":"","parse-names":false,"suffix":""},{"dropping-particle":"","family":"Bibri","given":"Simon Elias","non-dropping-particle":"","parse-names":false,"suffix":""},{"dropping-particle":"","family":"Jones","given":"David Sydney","non-dropping-particle":"","parse-names":false,"suffix":""},{"dropping-particle":"","family":"Krogstie","given":"John","non-dropping-particle":"","parse-names":false,"suffix":""}],"container-title":"Smart Cities 2022, Vol. 5, Pages 771-801","id":"ITEM-1","issue":"3","issued":{"date-parts":[["2022","7","8"]]},"page":"771-801","publisher":"Multidisciplinary Digital Publishing Institute","title":"The Metaverse as a Virtual Form of Smart Cities: Opportunities and Challenges for Environmental, Economic, and Social Sustainability in Urban Futures","type":"article-journal","volume":"5"},"uris":["http://www.mendeley.com/documents/?uuid=09cff68e-9c0a-3efb-b2d3-266b6fec42b1"]},{"id":"ITEM-2","itemData":{"DOI":"10.1109/ACIT58888.2023.10453803","ISBN":"9798350384307","abstract":"In the dynamic landscape of urban development, the synergy of the Metaverse, Digital Twins, and Smart Cities emerges as a potent catalyst for transformation. The Metaverse, a vibrant virtual space, collaborates with cutting-edge technologies, including Virtual Reality (VR), Augmented Reality (AR), the Internet of Things (IoT), and Artificial Intelligence (AI), crafting immersive experiences. Simultaneously, Digital Twins, serving as virtual replicas of physical entities, instigating an industrial revolution, while Smart Cities harness advanced technologies for sustainable urban living. This paper explores the applications of converging these technologies across diverse industries, showcasing how Digital Twins reshape conventional practices and amplify the concept of smart cities through the immersive realm of the Metaverse. However, the exploration unveils challenges, particularly in data privacy, interoperability, and ethical considerations. The study advocates for a balanced and informed approach, emphasizing that the symbiotic relationship between Digital Twins and the Metaverse should steer the evolution of Smart Cities toward security, innovation, and interconnected urban spaces.","author":[{"dropping-particle":"","family":"Zainab","given":"Hijab E.","non-dropping-particle":"","parse-names":false,"suffix":""},{"dropping-particle":"","family":"Bawanay","given":"Narmeen Zakaria","non-dropping-particle":"","parse-names":false,"suffix":""}],"container-title":"2023 24th International Arab Conference on Information Technology, ACIT 2023","id":"ITEM-2","issued":{"date-parts":[["2023"]]},"publisher":"Institute of Electrical and Electronics Engineers Inc.","title":"Digital Twin, Metaverse and Smart Cities in a Race to the Future","type":"article-journal"},"uris":["http://www.mendeley.com/documents/?uuid=58c5059d-c029-3e6d-affa-ad6a46a6e03a"]}],"mendeley":{"formattedCitation":"[144,147]","plainTextFormattedCitation":"[144,147]","previouslyFormattedCitation":"[144,147]"},"properties":{"noteIndex":0},"schema":"https://github.com/citation-style-language/schema/raw/master/csl-citation.json"}</w:instrText>
      </w:r>
      <w:r w:rsidR="00D36763" w:rsidRPr="003676D3">
        <w:rPr>
          <w:rFonts w:ascii="Times New Roman" w:hAnsi="Times New Roman" w:cs="Times New Roman"/>
          <w:sz w:val="24"/>
          <w:szCs w:val="24"/>
        </w:rPr>
        <w:fldChar w:fldCharType="separate"/>
      </w:r>
      <w:r w:rsidR="00D36763" w:rsidRPr="003676D3">
        <w:rPr>
          <w:rFonts w:ascii="Times New Roman" w:hAnsi="Times New Roman" w:cs="Times New Roman"/>
          <w:noProof/>
          <w:sz w:val="24"/>
          <w:szCs w:val="24"/>
        </w:rPr>
        <w:t>[144,147]</w:t>
      </w:r>
      <w:r w:rsidR="00D36763" w:rsidRPr="003676D3">
        <w:rPr>
          <w:rFonts w:ascii="Times New Roman" w:hAnsi="Times New Roman" w:cs="Times New Roman"/>
          <w:sz w:val="24"/>
          <w:szCs w:val="24"/>
        </w:rPr>
        <w:fldChar w:fldCharType="end"/>
      </w:r>
      <w:r w:rsidR="003F3758" w:rsidRPr="003676D3">
        <w:rPr>
          <w:rFonts w:ascii="Times New Roman" w:hAnsi="Times New Roman" w:cs="Times New Roman"/>
          <w:sz w:val="24"/>
          <w:szCs w:val="24"/>
        </w:rPr>
        <w:t xml:space="preserve">, </w:t>
      </w:r>
      <w:r w:rsidR="00194683" w:rsidRPr="003676D3">
        <w:rPr>
          <w:rFonts w:ascii="Times New Roman" w:hAnsi="Times New Roman" w:cs="Times New Roman"/>
          <w:sz w:val="24"/>
          <w:szCs w:val="24"/>
        </w:rPr>
        <w:t>prevent cyber-physical attacks</w:t>
      </w:r>
      <w:r w:rsidR="00D36763" w:rsidRPr="003676D3">
        <w:rPr>
          <w:rFonts w:ascii="Times New Roman" w:hAnsi="Times New Roman" w:cs="Times New Roman"/>
          <w:sz w:val="24"/>
          <w:szCs w:val="24"/>
        </w:rPr>
        <w:t xml:space="preserve"> </w:t>
      </w:r>
      <w:r w:rsidR="00D36763" w:rsidRPr="003676D3">
        <w:rPr>
          <w:rFonts w:ascii="Times New Roman" w:hAnsi="Times New Roman" w:cs="Times New Roman"/>
          <w:sz w:val="24"/>
          <w:szCs w:val="24"/>
        </w:rPr>
        <w:fldChar w:fldCharType="begin" w:fldLock="1"/>
      </w:r>
      <w:r w:rsidR="00D36763" w:rsidRPr="003676D3">
        <w:rPr>
          <w:rFonts w:ascii="Times New Roman" w:hAnsi="Times New Roman" w:cs="Times New Roman"/>
          <w:sz w:val="24"/>
          <w:szCs w:val="24"/>
        </w:rPr>
        <w:instrText>ADDIN CSL_CITATION {"citationItems":[{"id":"ITEM-1","itemData":{"DOI":"10.1109/MIS.2022.3221844","ISSN":"19411294","abstract":"The concept of metaverses has received extensive attention recently and cyber-physical-social systems (CPSS) is its academic foundation. In almost all the applications of metaverses, the sensing system is an essential part and intelligent sensing capacity must be provided. However, due to the insufficient consideration of human factors in most of the studies, digital twins' sensing in cyber-physical systems cannot achieve smart sensing in metaverses. For this reason, a novel framework for intelligent sensing in metaverses, MetaSensing, is proposed based on parallel intelligence in CPSS. Within the framework of MetaSensing, there are four states of sensing: physical sensing, descriptive sensing, predictive sensing, and prescriptive sensing. To protect sensors' data privacy in metaverses, DAO-based decentralized sensing is introduced as a mechanism of the operation and maintenance for smart sensing industries.","author":[{"dropping-particle":"","family":"Liu","given":"Yuhang","non-dropping-particle":"","parse-names":false,"suffix":""},{"dropping-particle":"","family":"Shen","given":"Yu","non-dropping-particle":"","parse-names":false,"suffix":""},{"dropping-particle":"","family":"Guo","given":"Chao","non-dropping-particle":"","parse-names":false,"suffix":""},{"dropping-particle":"","family":"Tian","given":"Yonglin","non-dropping-particle":"","parse-names":false,"suffix":""},{"dropping-particle":"","family":"Wang","given":"Xiao","non-dropping-particle":"","parse-names":false,"suffix":""},{"dropping-particle":"","family":"Zhu","given":"Yin","non-dropping-particle":"","parse-names":false,"suffix":""},{"dropping-particle":"","family":"Wang","given":"Fei Yue","non-dropping-particle":"","parse-names":false,"suffix":""}],"container-title":"IEEE Intelligent Systems","id":"ITEM-1","issue":"6","issued":{"date-parts":[["2022","11","1"]]},"page":"7-12","publisher":"Institute of Electrical and Electronics Engineers Inc.","title":"MetaSensing in Metaverses: See There, Be There, and Know There","type":"article-journal","volume":"37"},"uris":["http://www.mendeley.com/documents/?uuid=60c0f457-7dc4-3160-8994-b5d9fd3af511"]},{"id":"ITEM-2","itemData":{"URL":"https://www.microsoft.com/en-us/industry/government/resources/smart-cities","accessed":{"date-parts":[["2024","5","20"]]},"id":"ITEM-2","issued":{"date-parts":[["0"]]},"title":"Smart Cities – Cities of the Future | Microsoft Industry","type":"webpage"},"uris":["http://www.mendeley.com/documents/?uuid=8af7a761-dbab-34f8-98bf-ff23db1cc0e9"]}],"mendeley":{"formattedCitation":"[148,149]","plainTextFormattedCitation":"[148,149]","previouslyFormattedCitation":"[148,149]"},"properties":{"noteIndex":0},"schema":"https://github.com/citation-style-language/schema/raw/master/csl-citation.json"}</w:instrText>
      </w:r>
      <w:r w:rsidR="00D36763" w:rsidRPr="003676D3">
        <w:rPr>
          <w:rFonts w:ascii="Times New Roman" w:hAnsi="Times New Roman" w:cs="Times New Roman"/>
          <w:sz w:val="24"/>
          <w:szCs w:val="24"/>
        </w:rPr>
        <w:fldChar w:fldCharType="separate"/>
      </w:r>
      <w:r w:rsidR="00D36763" w:rsidRPr="003676D3">
        <w:rPr>
          <w:rFonts w:ascii="Times New Roman" w:hAnsi="Times New Roman" w:cs="Times New Roman"/>
          <w:noProof/>
          <w:sz w:val="24"/>
          <w:szCs w:val="24"/>
        </w:rPr>
        <w:t>[148,149]</w:t>
      </w:r>
      <w:r w:rsidR="00D36763" w:rsidRPr="003676D3">
        <w:rPr>
          <w:rFonts w:ascii="Times New Roman" w:hAnsi="Times New Roman" w:cs="Times New Roman"/>
          <w:sz w:val="24"/>
          <w:szCs w:val="24"/>
        </w:rPr>
        <w:fldChar w:fldCharType="end"/>
      </w:r>
      <w:r w:rsidR="00194683" w:rsidRPr="003676D3">
        <w:rPr>
          <w:rFonts w:ascii="Times New Roman" w:hAnsi="Times New Roman" w:cs="Times New Roman"/>
          <w:sz w:val="24"/>
          <w:szCs w:val="24"/>
        </w:rPr>
        <w:t xml:space="preserve">, </w:t>
      </w:r>
      <w:r w:rsidR="003F3758" w:rsidRPr="003676D3">
        <w:rPr>
          <w:rFonts w:ascii="Times New Roman" w:hAnsi="Times New Roman" w:cs="Times New Roman"/>
          <w:sz w:val="24"/>
          <w:szCs w:val="24"/>
        </w:rPr>
        <w:t xml:space="preserve">lowers carbon emission by reducing the commute, and efficient energy management. </w:t>
      </w:r>
      <w:r w:rsidR="00D20DB7" w:rsidRPr="003676D3">
        <w:rPr>
          <w:rFonts w:ascii="Times New Roman" w:hAnsi="Times New Roman" w:cs="Times New Roman"/>
          <w:sz w:val="24"/>
          <w:szCs w:val="24"/>
        </w:rPr>
        <w:t xml:space="preserve">It would be a </w:t>
      </w:r>
      <w:r w:rsidR="00D20DB7" w:rsidRPr="003676D3">
        <w:rPr>
          <w:rFonts w:ascii="Times New Roman" w:hAnsi="Times New Roman" w:cs="Times New Roman"/>
          <w:sz w:val="24"/>
          <w:szCs w:val="24"/>
        </w:rPr>
        <w:lastRenderedPageBreak/>
        <w:t>next generation of Geographic Information System</w:t>
      </w:r>
      <w:r w:rsidR="00D36763" w:rsidRPr="003676D3">
        <w:rPr>
          <w:rFonts w:ascii="Times New Roman" w:hAnsi="Times New Roman" w:cs="Times New Roman"/>
          <w:sz w:val="24"/>
          <w:szCs w:val="24"/>
        </w:rPr>
        <w:t xml:space="preserve"> (GIS) </w:t>
      </w:r>
      <w:r w:rsidR="00D36763" w:rsidRPr="003676D3">
        <w:rPr>
          <w:rFonts w:ascii="Times New Roman" w:hAnsi="Times New Roman" w:cs="Times New Roman"/>
          <w:sz w:val="24"/>
          <w:szCs w:val="24"/>
        </w:rPr>
        <w:fldChar w:fldCharType="begin" w:fldLock="1"/>
      </w:r>
      <w:r w:rsidR="00D36763" w:rsidRPr="003676D3">
        <w:rPr>
          <w:rFonts w:ascii="Times New Roman" w:hAnsi="Times New Roman" w:cs="Times New Roman"/>
          <w:sz w:val="24"/>
          <w:szCs w:val="24"/>
        </w:rPr>
        <w:instrText>ADDIN CSL_CITATION {"citationItems":[{"id":"ITEM-1","itemData":{"DOI":"10.3390/SMARTCITIES5030040","ISSN":"2624-6511","abstract":"Data infrastructures, economic processes, and governance models of digital platforms are increasingly pervading urban sectors and spheres of urban life. This phenomenon is known as platformization, which has in turn given rise to the phenomena of platform society, where platforms have permeated the core of urban societies. A recent manifestation of platformization is the Metaverse, a global platform project launched by Meta (formerly Facebook) as a globally operating platform company. The Metaverse represents an idea of a hypothetical “parallel virtual world” that incarnate ways of living and working in virtual cities as an alternative to smart cities of the future. Indeed, with emerging innovative technologies—such as Artificial Intelligence, Big Data, the IoT, and Digital Twins—providing rich datasets and advanced computational understandings of human behavior, the Metaverse has the potential to redefine city designing activities and service provisioning towards increasing urban efficiencies, accountabilities, and quality performance. However, there still remain ethical, human, social, and cultural concerns as to the Metaverse’s influence upon the quality of human social interactions and its prospective scope in reconstructing the quality of urban life. This paper undertakes an upper-level literature review of the area of the Metaverse from a broader perspective. Further, it maps the emerging products and services of the Metaverse, and explores their potential contributions to smart cities with respect to their virtual incarnation, with a particular focus on the environmental, economic, and social goals of sustainability. This study may help urban policy makers to better understand the opportunities and implications of the Metaverse upon tech-mediated practices and applied urban agendas, as well as assess the positives and negatives of this techno-urban vision. This paper also offers thoughts regarding the argument that the Metaverse has disruptive and substantive effects on forms of reconstructing reality in an increasingly platformized urban society. This will hopefully stimulate prospective research and further critical perspectives on the topic.","author":[{"dropping-particle":"","family":"Allam","given":"Zaheer","non-dropping-particle":"","parse-names":false,"suffix":""},{"dropping-particle":"","family":"Sharifi","given":"Ayyoob","non-dropping-particle":"","parse-names":false,"suffix":""},{"dropping-particle":"","family":"Bibri","given":"Simon Elias","non-dropping-particle":"","parse-names":false,"suffix":""},{"dropping-particle":"","family":"Jones","given":"David Sydney","non-dropping-particle":"","parse-names":false,"suffix":""},{"dropping-particle":"","family":"Krogstie","given":"John","non-dropping-particle":"","parse-names":false,"suffix":""}],"container-title":"Smart Cities 2022, Vol. 5, Pages 771-801","id":"ITEM-1","issue":"3","issued":{"date-parts":[["2022","7","8"]]},"page":"771-801","publisher":"Multidisciplinary Digital Publishing Institute","title":"The Metaverse as a Virtual Form of Smart Cities: Opportunities and Challenges for Environmental, Economic, and Social Sustainability in Urban Futures","type":"article-journal","volume":"5"},"uris":["http://www.mendeley.com/documents/?uuid=09cff68e-9c0a-3efb-b2d3-266b6fec42b1"]}],"mendeley":{"formattedCitation":"[144]","plainTextFormattedCitation":"[144]","previouslyFormattedCitation":"[144]"},"properties":{"noteIndex":0},"schema":"https://github.com/citation-style-language/schema/raw/master/csl-citation.json"}</w:instrText>
      </w:r>
      <w:r w:rsidR="00D36763" w:rsidRPr="003676D3">
        <w:rPr>
          <w:rFonts w:ascii="Times New Roman" w:hAnsi="Times New Roman" w:cs="Times New Roman"/>
          <w:sz w:val="24"/>
          <w:szCs w:val="24"/>
        </w:rPr>
        <w:fldChar w:fldCharType="separate"/>
      </w:r>
      <w:r w:rsidR="00D36763" w:rsidRPr="003676D3">
        <w:rPr>
          <w:rFonts w:ascii="Times New Roman" w:hAnsi="Times New Roman" w:cs="Times New Roman"/>
          <w:noProof/>
          <w:sz w:val="24"/>
          <w:szCs w:val="24"/>
        </w:rPr>
        <w:t>[144]</w:t>
      </w:r>
      <w:r w:rsidR="00D36763" w:rsidRPr="003676D3">
        <w:rPr>
          <w:rFonts w:ascii="Times New Roman" w:hAnsi="Times New Roman" w:cs="Times New Roman"/>
          <w:sz w:val="24"/>
          <w:szCs w:val="24"/>
        </w:rPr>
        <w:fldChar w:fldCharType="end"/>
      </w:r>
      <w:r w:rsidR="00D20DB7" w:rsidRPr="003676D3">
        <w:rPr>
          <w:rFonts w:ascii="Times New Roman" w:hAnsi="Times New Roman" w:cs="Times New Roman"/>
          <w:sz w:val="24"/>
          <w:szCs w:val="24"/>
        </w:rPr>
        <w:t xml:space="preserve">, in which super smart grids would be perfectly laid out in 3D. </w:t>
      </w:r>
    </w:p>
    <w:p w14:paraId="78D0A9F1" w14:textId="4FCC61D4" w:rsidR="002E3991" w:rsidRPr="003676D3" w:rsidRDefault="003F3758"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Digital twin as a fundamental building block of metaverse</w:t>
      </w:r>
      <w:r w:rsidR="00D36763" w:rsidRPr="003676D3">
        <w:rPr>
          <w:rFonts w:ascii="Times New Roman" w:hAnsi="Times New Roman" w:cs="Times New Roman"/>
          <w:sz w:val="24"/>
          <w:szCs w:val="24"/>
        </w:rPr>
        <w:t xml:space="preserve"> </w:t>
      </w:r>
      <w:r w:rsidR="00D36763" w:rsidRPr="003676D3">
        <w:rPr>
          <w:rFonts w:ascii="Times New Roman" w:hAnsi="Times New Roman" w:cs="Times New Roman"/>
          <w:sz w:val="24"/>
          <w:szCs w:val="24"/>
        </w:rPr>
        <w:fldChar w:fldCharType="begin" w:fldLock="1"/>
      </w:r>
      <w:r w:rsidR="00D36763" w:rsidRPr="003676D3">
        <w:rPr>
          <w:rFonts w:ascii="Times New Roman" w:hAnsi="Times New Roman" w:cs="Times New Roman"/>
          <w:sz w:val="24"/>
          <w:szCs w:val="24"/>
        </w:rPr>
        <w:instrText>ADDIN CSL_CITATION {"citationItems":[{"id":"ITEM-1","itemData":{"DOI":"10.1016/J.VRIH.2022.06.005","ISSN":"2096-5796","abstract":"The new-generation information technology development enables Digital Twins to reshape the physical world into the virtual digital space and provide technical support for Metaverse construction. The Metaverse objects can be mesoscale or macro-micro-scales. Metaverse is a complex collection of both solid substances and liquid, gaseous, plasma, and other uncertain states. Additionally, Metaverse integrates the tangibles with social relations, such as interpersonal relations (friendship, love, and blood relations) and the overall social relations (ethics, morality, and law). This work also introduces some principles or laws to construct the Digital Twins model for social relations, such as broken windows theory, small-world phenomenon, survivor bias, and herd behavior. Thus, from multiple angles, it reviews mapping the tangible and intangible real-world objects to the Metaverse using the Digital Twins model.","author":[{"dropping-particle":"","family":"Lv","given":"Zhihan","non-dropping-particle":"","parse-names":false,"suffix":""},{"dropping-particle":"","family":"Xie","given":"Shuxuan","non-dropping-particle":"","parse-names":false,"suffix":""},{"dropping-particle":"","family":"Li","given":"Yuxi","non-dropping-particle":"","parse-names":false,"suffix":""},{"dropping-particle":"","family":"Shamim Hossain","given":"M.","non-dropping-particle":"","parse-names":false,"suffix":""},{"dropping-particle":"","family":"Saddik","given":"Abdulmotaleb","non-dropping-particle":"El","parse-names":false,"suffix":""}],"container-title":"Virtual Reality &amp; Intelligent Hardware","id":"ITEM-1","issue":"6","issued":{"date-parts":[["2022","12","1"]]},"page":"459-470","publisher":"Elsevier","title":"Building the metaverse using digital twins at all scales,states, and relations","type":"article-journal","volume":"4"},"uris":["http://www.mendeley.com/documents/?uuid=da202465-8728-337b-883f-005ac146d854"]}],"mendeley":{"formattedCitation":"[150]","plainTextFormattedCitation":"[150]","previouslyFormattedCitation":"[150]"},"properties":{"noteIndex":0},"schema":"https://github.com/citation-style-language/schema/raw/master/csl-citation.json"}</w:instrText>
      </w:r>
      <w:r w:rsidR="00D36763" w:rsidRPr="003676D3">
        <w:rPr>
          <w:rFonts w:ascii="Times New Roman" w:hAnsi="Times New Roman" w:cs="Times New Roman"/>
          <w:sz w:val="24"/>
          <w:szCs w:val="24"/>
        </w:rPr>
        <w:fldChar w:fldCharType="separate"/>
      </w:r>
      <w:r w:rsidR="00D36763" w:rsidRPr="003676D3">
        <w:rPr>
          <w:rFonts w:ascii="Times New Roman" w:hAnsi="Times New Roman" w:cs="Times New Roman"/>
          <w:noProof/>
          <w:sz w:val="24"/>
          <w:szCs w:val="24"/>
        </w:rPr>
        <w:t>[150]</w:t>
      </w:r>
      <w:r w:rsidR="00D36763"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is expected to reach 86.09 billion dollar market by 2028. In case of a super smart grid, it acts as a virtual representation of the whole electric network in the digital space of metaverse and uses simulation, real time data and artificial intelligence methods to help reach a decision. This technology replicates the reality and instantaneously synchronise the sensor collected real time data between digital space and physical world</w:t>
      </w:r>
      <w:r w:rsidR="00D36763" w:rsidRPr="003676D3">
        <w:rPr>
          <w:rFonts w:ascii="Times New Roman" w:hAnsi="Times New Roman" w:cs="Times New Roman"/>
          <w:sz w:val="24"/>
          <w:szCs w:val="24"/>
        </w:rPr>
        <w:t xml:space="preserve"> </w:t>
      </w:r>
      <w:r w:rsidR="00D36763" w:rsidRPr="003676D3">
        <w:rPr>
          <w:rFonts w:ascii="Times New Roman" w:hAnsi="Times New Roman" w:cs="Times New Roman"/>
          <w:sz w:val="24"/>
          <w:szCs w:val="24"/>
        </w:rPr>
        <w:fldChar w:fldCharType="begin" w:fldLock="1"/>
      </w:r>
      <w:r w:rsidR="00D36763" w:rsidRPr="003676D3">
        <w:rPr>
          <w:rFonts w:ascii="Times New Roman" w:hAnsi="Times New Roman" w:cs="Times New Roman"/>
          <w:sz w:val="24"/>
          <w:szCs w:val="24"/>
        </w:rPr>
        <w:instrText>ADDIN CSL_CITATION {"citationItems":[{"id":"ITEM-1","itemData":{"URL":"https://www.biznesstransform.com/virtual-smart-cities-using-metaverse-digital-twins/","accessed":{"date-parts":[["2024","5","13"]]},"id":"ITEM-1","issued":{"date-parts":[["0"]]},"title":"Virtual smart cities using Metaverse, digital twins - Bizness Transform","type":"webpage"},"uris":["http://www.mendeley.com/documents/?uuid=d6529f98-d61b-37c4-ba02-39ac1532467b"]}],"mendeley":{"formattedCitation":"[151]","plainTextFormattedCitation":"[151]","previouslyFormattedCitation":"[151]"},"properties":{"noteIndex":0},"schema":"https://github.com/citation-style-language/schema/raw/master/csl-citation.json"}</w:instrText>
      </w:r>
      <w:r w:rsidR="00D36763" w:rsidRPr="003676D3">
        <w:rPr>
          <w:rFonts w:ascii="Times New Roman" w:hAnsi="Times New Roman" w:cs="Times New Roman"/>
          <w:sz w:val="24"/>
          <w:szCs w:val="24"/>
        </w:rPr>
        <w:fldChar w:fldCharType="separate"/>
      </w:r>
      <w:r w:rsidR="00D36763" w:rsidRPr="003676D3">
        <w:rPr>
          <w:rFonts w:ascii="Times New Roman" w:hAnsi="Times New Roman" w:cs="Times New Roman"/>
          <w:noProof/>
          <w:sz w:val="24"/>
          <w:szCs w:val="24"/>
        </w:rPr>
        <w:t>[151]</w:t>
      </w:r>
      <w:r w:rsidR="00D36763"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w:t>
      </w:r>
      <w:r w:rsidR="006E6D67" w:rsidRPr="003676D3">
        <w:rPr>
          <w:rFonts w:ascii="Times New Roman" w:hAnsi="Times New Roman" w:cs="Times New Roman"/>
          <w:sz w:val="24"/>
          <w:szCs w:val="24"/>
        </w:rPr>
        <w:t>Like metaverse application in smart cities</w:t>
      </w:r>
      <w:r w:rsidR="000E1E44" w:rsidRPr="003676D3">
        <w:rPr>
          <w:rFonts w:ascii="Times New Roman" w:hAnsi="Times New Roman" w:cs="Times New Roman"/>
          <w:sz w:val="24"/>
          <w:szCs w:val="24"/>
        </w:rPr>
        <w:t xml:space="preserve"> </w:t>
      </w:r>
      <w:r w:rsidR="00D36763" w:rsidRPr="003676D3">
        <w:rPr>
          <w:rFonts w:ascii="Times New Roman" w:hAnsi="Times New Roman" w:cs="Times New Roman"/>
          <w:sz w:val="24"/>
          <w:szCs w:val="24"/>
        </w:rPr>
        <w:fldChar w:fldCharType="begin" w:fldLock="1"/>
      </w:r>
      <w:r w:rsidR="00636FE7" w:rsidRPr="003676D3">
        <w:rPr>
          <w:rFonts w:ascii="Times New Roman" w:hAnsi="Times New Roman" w:cs="Times New Roman"/>
          <w:sz w:val="24"/>
          <w:szCs w:val="24"/>
        </w:rPr>
        <w:instrText>ADDIN CSL_CITATION {"citationItems":[{"id":"ITEM-1","itemData":{"DOI":"10.1016/J.CITIES.2015.05.004","ISSN":"0264-2751","abstract":"Despite the ongoing discussion of the recent years, there is no agreed definition of a 'smart city', while strategic planning in this field is still largely unexplored. Inspired by this, the purpose of this paper was to identify the forces shaping the smart city conception and, by doing so, to begin replacing the currently abstract image of what it means to be one. The paper commences by dividing the recent history of smart cities into two large sections - urban futures and the knowledge and innovation economy. The urban futures strand shows that technology has always played an important role in forward-looking visions about the city of the future. The knowledge and innovation economy strand shows that recent technological advancements have introduced a whole new level of knowledge management and innovation capabilities in the urban context. The paper proceeds to explicate the current technology push and demand pull for smart city solutions. On one hand, technology advances rapidly and creates a booming market of smart city products and solutions around it. On the other hand, there is demand on the side of cities that seek to address the problems of efficiency and sustainability, making the ground fertile for a smart city product economy. The research route of this paper eventually allows the identification of the underlying - and often forgotten - principles of what it means to be 'smart' in an urban context and yields conclusions about strategic planning for the development of smart cities today.","author":[{"dropping-particle":"","family":"Angelidou","given":"Margarita","non-dropping-particle":"","parse-names":false,"suffix":""}],"container-title":"Cities","id":"ITEM-1","issued":{"date-parts":[["2015","9","1"]]},"page":"95-106","publisher":"Pergamon","title":"Smart cities: A conjuncture of four forces","type":"article-journal","volume":"47"},"uris":["http://www.mendeley.com/documents/?uuid=56f2927d-e9c6-3fbb-bcdc-9b03beee65d3"]}],"mendeley":{"formattedCitation":"[152]","plainTextFormattedCitation":"[152]","previouslyFormattedCitation":"[152]"},"properties":{"noteIndex":0},"schema":"https://github.com/citation-style-language/schema/raw/master/csl-citation.json"}</w:instrText>
      </w:r>
      <w:r w:rsidR="00D36763" w:rsidRPr="003676D3">
        <w:rPr>
          <w:rFonts w:ascii="Times New Roman" w:hAnsi="Times New Roman" w:cs="Times New Roman"/>
          <w:sz w:val="24"/>
          <w:szCs w:val="24"/>
        </w:rPr>
        <w:fldChar w:fldCharType="separate"/>
      </w:r>
      <w:r w:rsidR="00D36763" w:rsidRPr="003676D3">
        <w:rPr>
          <w:rFonts w:ascii="Times New Roman" w:hAnsi="Times New Roman" w:cs="Times New Roman"/>
          <w:noProof/>
          <w:sz w:val="24"/>
          <w:szCs w:val="24"/>
        </w:rPr>
        <w:t>[152]</w:t>
      </w:r>
      <w:r w:rsidR="00D36763" w:rsidRPr="003676D3">
        <w:rPr>
          <w:rFonts w:ascii="Times New Roman" w:hAnsi="Times New Roman" w:cs="Times New Roman"/>
          <w:sz w:val="24"/>
          <w:szCs w:val="24"/>
        </w:rPr>
        <w:fldChar w:fldCharType="end"/>
      </w:r>
      <w:r w:rsidR="006E6D67" w:rsidRPr="003676D3">
        <w:rPr>
          <w:rFonts w:ascii="Times New Roman" w:hAnsi="Times New Roman" w:cs="Times New Roman"/>
          <w:sz w:val="24"/>
          <w:szCs w:val="24"/>
        </w:rPr>
        <w:t>, employing it in smart grid can help in optimal resource allocation</w:t>
      </w:r>
      <w:r w:rsidR="000E1E44" w:rsidRPr="003676D3">
        <w:rPr>
          <w:rFonts w:ascii="Times New Roman" w:hAnsi="Times New Roman" w:cs="Times New Roman"/>
          <w:sz w:val="24"/>
          <w:szCs w:val="24"/>
        </w:rPr>
        <w:t xml:space="preserve"> and analyse</w:t>
      </w:r>
      <w:r w:rsidR="006E6D67" w:rsidRPr="003676D3">
        <w:rPr>
          <w:rFonts w:ascii="Times New Roman" w:hAnsi="Times New Roman" w:cs="Times New Roman"/>
          <w:sz w:val="24"/>
          <w:szCs w:val="24"/>
        </w:rPr>
        <w:t xml:space="preserve"> strategic interactions between elements of grid</w:t>
      </w:r>
      <w:r w:rsidR="000E1E44" w:rsidRPr="003676D3">
        <w:rPr>
          <w:rFonts w:ascii="Times New Roman" w:hAnsi="Times New Roman" w:cs="Times New Roman"/>
          <w:sz w:val="24"/>
          <w:szCs w:val="24"/>
        </w:rPr>
        <w:t xml:space="preserve">. It also </w:t>
      </w:r>
      <w:r w:rsidR="006E6D67" w:rsidRPr="003676D3">
        <w:rPr>
          <w:rFonts w:ascii="Times New Roman" w:hAnsi="Times New Roman" w:cs="Times New Roman"/>
          <w:sz w:val="24"/>
          <w:szCs w:val="24"/>
        </w:rPr>
        <w:t>extract trends from data, predict future energy supply demand and modelling of system components. In metaverse environment, grid forming components like generation sources, transmission and distribution network can be virtually modelled and analyzed. Modelling the contingency situation of grid is also an added advantage of metaverse.</w:t>
      </w:r>
      <w:r w:rsidR="009573AC" w:rsidRPr="003676D3">
        <w:rPr>
          <w:rFonts w:ascii="Times New Roman" w:hAnsi="Times New Roman" w:cs="Times New Roman"/>
          <w:sz w:val="24"/>
          <w:szCs w:val="24"/>
        </w:rPr>
        <w:t xml:space="preserve"> </w:t>
      </w:r>
      <w:r w:rsidR="00A875CF" w:rsidRPr="003676D3">
        <w:rPr>
          <w:rFonts w:ascii="Times New Roman" w:hAnsi="Times New Roman" w:cs="Times New Roman"/>
          <w:sz w:val="24"/>
          <w:szCs w:val="24"/>
        </w:rPr>
        <w:fldChar w:fldCharType="begin"/>
      </w:r>
      <w:r w:rsidR="00A875CF" w:rsidRPr="003676D3">
        <w:rPr>
          <w:rFonts w:ascii="Times New Roman" w:hAnsi="Times New Roman" w:cs="Times New Roman"/>
          <w:sz w:val="24"/>
          <w:szCs w:val="24"/>
        </w:rPr>
        <w:instrText xml:space="preserve"> REF _Ref168450819 \h  \* MERGEFORMAT </w:instrText>
      </w:r>
      <w:r w:rsidR="00A875CF" w:rsidRPr="003676D3">
        <w:rPr>
          <w:rFonts w:ascii="Times New Roman" w:hAnsi="Times New Roman" w:cs="Times New Roman"/>
          <w:sz w:val="24"/>
          <w:szCs w:val="24"/>
        </w:rPr>
      </w:r>
      <w:r w:rsidR="00A875CF" w:rsidRPr="003676D3">
        <w:rPr>
          <w:rFonts w:ascii="Times New Roman" w:hAnsi="Times New Roman" w:cs="Times New Roman"/>
          <w:sz w:val="24"/>
          <w:szCs w:val="24"/>
        </w:rPr>
        <w:fldChar w:fldCharType="separate"/>
      </w:r>
      <w:r w:rsidR="008D1E2C" w:rsidRPr="003676D3">
        <w:rPr>
          <w:rFonts w:ascii="Times New Roman" w:hAnsi="Times New Roman" w:cs="Times New Roman"/>
          <w:b/>
          <w:bCs/>
          <w:sz w:val="24"/>
          <w:szCs w:val="24"/>
        </w:rPr>
        <w:t xml:space="preserve">Figure </w:t>
      </w:r>
      <w:r w:rsidR="008D1E2C" w:rsidRPr="003676D3">
        <w:rPr>
          <w:rFonts w:ascii="Times New Roman" w:hAnsi="Times New Roman" w:cs="Times New Roman"/>
          <w:b/>
          <w:bCs/>
          <w:noProof/>
          <w:sz w:val="24"/>
          <w:szCs w:val="24"/>
        </w:rPr>
        <w:t>8.</w:t>
      </w:r>
      <w:r w:rsidR="008D1E2C" w:rsidRPr="003676D3">
        <w:rPr>
          <w:rFonts w:ascii="Times New Roman" w:hAnsi="Times New Roman" w:cs="Times New Roman"/>
          <w:sz w:val="24"/>
          <w:szCs w:val="24"/>
        </w:rPr>
        <w:t xml:space="preserve"> Metaverse and Digital Twin representation in SSG.</w:t>
      </w:r>
      <w:r w:rsidR="00A875CF" w:rsidRPr="003676D3">
        <w:rPr>
          <w:rFonts w:ascii="Times New Roman" w:hAnsi="Times New Roman" w:cs="Times New Roman"/>
          <w:sz w:val="24"/>
          <w:szCs w:val="24"/>
        </w:rPr>
        <w:fldChar w:fldCharType="end"/>
      </w:r>
    </w:p>
    <w:p w14:paraId="33F236C4" w14:textId="482DFE43" w:rsidR="00A875CF" w:rsidRPr="003676D3" w:rsidRDefault="00A875CF" w:rsidP="003676D3">
      <w:pPr>
        <w:spacing w:line="276" w:lineRule="auto"/>
        <w:jc w:val="both"/>
        <w:rPr>
          <w:rFonts w:ascii="Times New Roman" w:hAnsi="Times New Roman" w:cs="Times New Roman"/>
          <w:sz w:val="24"/>
          <w:szCs w:val="24"/>
        </w:rPr>
      </w:pPr>
      <w:r w:rsidRPr="003676D3">
        <w:rPr>
          <w:rFonts w:ascii="Times New Roman" w:hAnsi="Times New Roman" w:cs="Times New Roman"/>
          <w:noProof/>
        </w:rPr>
        <mc:AlternateContent>
          <mc:Choice Requires="wps">
            <w:drawing>
              <wp:anchor distT="0" distB="0" distL="114300" distR="114300" simplePos="0" relativeHeight="251692032" behindDoc="0" locked="0" layoutInCell="1" allowOverlap="1" wp14:anchorId="2AFFC2B0" wp14:editId="1C80D325">
                <wp:simplePos x="0" y="0"/>
                <wp:positionH relativeFrom="column">
                  <wp:posOffset>63500</wp:posOffset>
                </wp:positionH>
                <wp:positionV relativeFrom="paragraph">
                  <wp:posOffset>4701466</wp:posOffset>
                </wp:positionV>
                <wp:extent cx="5634990" cy="635"/>
                <wp:effectExtent l="0" t="0" r="3810" b="0"/>
                <wp:wrapSquare wrapText="bothSides"/>
                <wp:docPr id="20" name="Text Box 20"/>
                <wp:cNvGraphicFramePr/>
                <a:graphic xmlns:a="http://schemas.openxmlformats.org/drawingml/2006/main">
                  <a:graphicData uri="http://schemas.microsoft.com/office/word/2010/wordprocessingShape">
                    <wps:wsp>
                      <wps:cNvSpPr txBox="1"/>
                      <wps:spPr>
                        <a:xfrm>
                          <a:off x="0" y="0"/>
                          <a:ext cx="5634990" cy="635"/>
                        </a:xfrm>
                        <a:prstGeom prst="rect">
                          <a:avLst/>
                        </a:prstGeom>
                        <a:solidFill>
                          <a:prstClr val="white"/>
                        </a:solidFill>
                        <a:ln>
                          <a:noFill/>
                        </a:ln>
                      </wps:spPr>
                      <wps:txbx>
                        <w:txbxContent>
                          <w:p w14:paraId="675D9AE3" w14:textId="0F2E8ABF" w:rsidR="001F368F" w:rsidRPr="00A875CF" w:rsidRDefault="001F368F" w:rsidP="004B1918">
                            <w:pPr>
                              <w:pStyle w:val="Caption"/>
                              <w:jc w:val="center"/>
                              <w:rPr>
                                <w:rFonts w:asciiTheme="majorBidi" w:hAnsiTheme="majorBidi" w:cstheme="majorBidi"/>
                                <w:b/>
                                <w:bCs/>
                                <w:i w:val="0"/>
                                <w:iCs w:val="0"/>
                                <w:noProof/>
                                <w:color w:val="auto"/>
                                <w:sz w:val="28"/>
                                <w:szCs w:val="28"/>
                              </w:rPr>
                            </w:pPr>
                            <w:bookmarkStart w:id="21" w:name="_Ref168450819"/>
                            <w:r w:rsidRPr="00A875CF">
                              <w:rPr>
                                <w:rFonts w:asciiTheme="majorBidi" w:hAnsiTheme="majorBidi" w:cstheme="majorBidi"/>
                                <w:b/>
                                <w:bCs/>
                                <w:i w:val="0"/>
                                <w:iCs w:val="0"/>
                                <w:color w:val="auto"/>
                                <w:sz w:val="20"/>
                                <w:szCs w:val="20"/>
                              </w:rPr>
                              <w:t xml:space="preserve">Figure </w:t>
                            </w:r>
                            <w:r w:rsidRPr="00A875CF">
                              <w:rPr>
                                <w:rFonts w:asciiTheme="majorBidi" w:hAnsiTheme="majorBidi" w:cstheme="majorBidi"/>
                                <w:b/>
                                <w:bCs/>
                                <w:i w:val="0"/>
                                <w:iCs w:val="0"/>
                                <w:color w:val="auto"/>
                                <w:sz w:val="20"/>
                                <w:szCs w:val="20"/>
                              </w:rPr>
                              <w:fldChar w:fldCharType="begin"/>
                            </w:r>
                            <w:r w:rsidRPr="00A875CF">
                              <w:rPr>
                                <w:rFonts w:asciiTheme="majorBidi" w:hAnsiTheme="majorBidi" w:cstheme="majorBidi"/>
                                <w:b/>
                                <w:bCs/>
                                <w:i w:val="0"/>
                                <w:iCs w:val="0"/>
                                <w:color w:val="auto"/>
                                <w:sz w:val="20"/>
                                <w:szCs w:val="20"/>
                              </w:rPr>
                              <w:instrText xml:space="preserve"> SEQ Figure \* ARABIC </w:instrText>
                            </w:r>
                            <w:r w:rsidRPr="00A875CF">
                              <w:rPr>
                                <w:rFonts w:asciiTheme="majorBidi" w:hAnsiTheme="majorBidi" w:cstheme="majorBidi"/>
                                <w:b/>
                                <w:bCs/>
                                <w:i w:val="0"/>
                                <w:iCs w:val="0"/>
                                <w:color w:val="auto"/>
                                <w:sz w:val="20"/>
                                <w:szCs w:val="20"/>
                              </w:rPr>
                              <w:fldChar w:fldCharType="separate"/>
                            </w:r>
                            <w:r w:rsidR="008D1E2C">
                              <w:rPr>
                                <w:rFonts w:asciiTheme="majorBidi" w:hAnsiTheme="majorBidi" w:cstheme="majorBidi"/>
                                <w:b/>
                                <w:bCs/>
                                <w:i w:val="0"/>
                                <w:iCs w:val="0"/>
                                <w:noProof/>
                                <w:color w:val="auto"/>
                                <w:sz w:val="20"/>
                                <w:szCs w:val="20"/>
                              </w:rPr>
                              <w:t>8</w:t>
                            </w:r>
                            <w:r w:rsidRPr="00A875CF">
                              <w:rPr>
                                <w:rFonts w:asciiTheme="majorBidi" w:hAnsiTheme="majorBidi" w:cstheme="majorBidi"/>
                                <w:b/>
                                <w:bCs/>
                                <w:i w:val="0"/>
                                <w:iCs w:val="0"/>
                                <w:color w:val="auto"/>
                                <w:sz w:val="20"/>
                                <w:szCs w:val="20"/>
                              </w:rPr>
                              <w:fldChar w:fldCharType="end"/>
                            </w:r>
                            <w:r w:rsidRPr="00A875CF">
                              <w:rPr>
                                <w:rFonts w:asciiTheme="majorBidi" w:hAnsiTheme="majorBidi" w:cstheme="majorBidi"/>
                                <w:b/>
                                <w:bCs/>
                                <w:i w:val="0"/>
                                <w:iCs w:val="0"/>
                                <w:color w:val="auto"/>
                                <w:sz w:val="20"/>
                                <w:szCs w:val="20"/>
                              </w:rPr>
                              <w:t>. Metaverse and Digital Twin representation in SSG.</w:t>
                            </w:r>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FFC2B0" id="Text Box 20" o:spid="_x0000_s1032" type="#_x0000_t202" style="position:absolute;left:0;text-align:left;margin-left:5pt;margin-top:370.2pt;width:443.7pt;height:.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" stroked="f">
                <v:textbox style="mso-fit-shape-to-text:t" inset="0,0,0,0">
                  <w:txbxContent>
                    <w:p w14:paraId="675D9AE3" w14:textId="0F2E8ABF" w:rsidR="001F368F" w:rsidRPr="00A875CF" w:rsidRDefault="001F368F" w:rsidP="004B1918">
                      <w:pPr>
                        <w:pStyle w:val="Caption"/>
                        <w:jc w:val="center"/>
                        <w:rPr>
                          <w:rFonts w:asciiTheme="majorBidi" w:hAnsiTheme="majorBidi" w:cstheme="majorBidi"/>
                          <w:b/>
                          <w:bCs/>
                          <w:i w:val="0"/>
                          <w:iCs w:val="0"/>
                          <w:noProof/>
                          <w:color w:val="auto"/>
                          <w:sz w:val="28"/>
                          <w:szCs w:val="28"/>
                        </w:rPr>
                      </w:pPr>
                      <w:bookmarkStart w:id="22" w:name="_Ref168450819"/>
                      <w:r w:rsidRPr="00A875CF">
                        <w:rPr>
                          <w:rFonts w:asciiTheme="majorBidi" w:hAnsiTheme="majorBidi" w:cstheme="majorBidi"/>
                          <w:b/>
                          <w:bCs/>
                          <w:i w:val="0"/>
                          <w:iCs w:val="0"/>
                          <w:color w:val="auto"/>
                          <w:sz w:val="20"/>
                          <w:szCs w:val="20"/>
                        </w:rPr>
                        <w:t xml:space="preserve">Figure </w:t>
                      </w:r>
                      <w:r w:rsidRPr="00A875CF">
                        <w:rPr>
                          <w:rFonts w:asciiTheme="majorBidi" w:hAnsiTheme="majorBidi" w:cstheme="majorBidi"/>
                          <w:b/>
                          <w:bCs/>
                          <w:i w:val="0"/>
                          <w:iCs w:val="0"/>
                          <w:color w:val="auto"/>
                          <w:sz w:val="20"/>
                          <w:szCs w:val="20"/>
                        </w:rPr>
                        <w:fldChar w:fldCharType="begin"/>
                      </w:r>
                      <w:r w:rsidRPr="00A875CF">
                        <w:rPr>
                          <w:rFonts w:asciiTheme="majorBidi" w:hAnsiTheme="majorBidi" w:cstheme="majorBidi"/>
                          <w:b/>
                          <w:bCs/>
                          <w:i w:val="0"/>
                          <w:iCs w:val="0"/>
                          <w:color w:val="auto"/>
                          <w:sz w:val="20"/>
                          <w:szCs w:val="20"/>
                        </w:rPr>
                        <w:instrText xml:space="preserve"> SEQ Figure \* ARABIC </w:instrText>
                      </w:r>
                      <w:r w:rsidRPr="00A875CF">
                        <w:rPr>
                          <w:rFonts w:asciiTheme="majorBidi" w:hAnsiTheme="majorBidi" w:cstheme="majorBidi"/>
                          <w:b/>
                          <w:bCs/>
                          <w:i w:val="0"/>
                          <w:iCs w:val="0"/>
                          <w:color w:val="auto"/>
                          <w:sz w:val="20"/>
                          <w:szCs w:val="20"/>
                        </w:rPr>
                        <w:fldChar w:fldCharType="separate"/>
                      </w:r>
                      <w:r w:rsidR="008D1E2C">
                        <w:rPr>
                          <w:rFonts w:asciiTheme="majorBidi" w:hAnsiTheme="majorBidi" w:cstheme="majorBidi"/>
                          <w:b/>
                          <w:bCs/>
                          <w:i w:val="0"/>
                          <w:iCs w:val="0"/>
                          <w:noProof/>
                          <w:color w:val="auto"/>
                          <w:sz w:val="20"/>
                          <w:szCs w:val="20"/>
                        </w:rPr>
                        <w:t>8</w:t>
                      </w:r>
                      <w:r w:rsidRPr="00A875CF">
                        <w:rPr>
                          <w:rFonts w:asciiTheme="majorBidi" w:hAnsiTheme="majorBidi" w:cstheme="majorBidi"/>
                          <w:b/>
                          <w:bCs/>
                          <w:i w:val="0"/>
                          <w:iCs w:val="0"/>
                          <w:color w:val="auto"/>
                          <w:sz w:val="20"/>
                          <w:szCs w:val="20"/>
                        </w:rPr>
                        <w:fldChar w:fldCharType="end"/>
                      </w:r>
                      <w:r w:rsidRPr="00A875CF">
                        <w:rPr>
                          <w:rFonts w:asciiTheme="majorBidi" w:hAnsiTheme="majorBidi" w:cstheme="majorBidi"/>
                          <w:b/>
                          <w:bCs/>
                          <w:i w:val="0"/>
                          <w:iCs w:val="0"/>
                          <w:color w:val="auto"/>
                          <w:sz w:val="20"/>
                          <w:szCs w:val="20"/>
                        </w:rPr>
                        <w:t>. Metaverse and Digital Twin representation in SSG.</w:t>
                      </w:r>
                      <w:bookmarkEnd w:id="22"/>
                    </w:p>
                  </w:txbxContent>
                </v:textbox>
                <w10:wrap type="square"/>
              </v:shape>
            </w:pict>
          </mc:Fallback>
        </mc:AlternateContent>
      </w:r>
      <w:r w:rsidRPr="003676D3">
        <w:rPr>
          <w:rFonts w:ascii="Times New Roman" w:hAnsi="Times New Roman" w:cs="Times New Roman"/>
          <w:noProof/>
          <w:sz w:val="24"/>
          <w:szCs w:val="24"/>
          <w:lang w:eastAsia="en-GB"/>
        </w:rPr>
        <w:drawing>
          <wp:anchor distT="0" distB="0" distL="114300" distR="114300" simplePos="0" relativeHeight="251687936" behindDoc="0" locked="0" layoutInCell="1" allowOverlap="1" wp14:anchorId="7E0B3816" wp14:editId="494ADDA6">
            <wp:simplePos x="0" y="0"/>
            <wp:positionH relativeFrom="margin">
              <wp:align>center</wp:align>
            </wp:positionH>
            <wp:positionV relativeFrom="paragraph">
              <wp:posOffset>186055</wp:posOffset>
            </wp:positionV>
            <wp:extent cx="5634990" cy="4427220"/>
            <wp:effectExtent l="0" t="0" r="381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etaverse.png"/>
                    <pic:cNvPicPr/>
                  </pic:nvPicPr>
                  <pic:blipFill>
                    <a:blip r:embed="rId32">
                      <a:extLst>
                        <a:ext uri="{28A0092B-C50C-407E-A947-70E740481C1C}">
                          <a14:useLocalDpi xmlns:a14="http://schemas.microsoft.com/office/drawing/2010/main" val="0"/>
                        </a:ext>
                      </a:extLst>
                    </a:blip>
                    <a:stretch>
                      <a:fillRect/>
                    </a:stretch>
                  </pic:blipFill>
                  <pic:spPr>
                    <a:xfrm>
                      <a:off x="0" y="0"/>
                      <a:ext cx="5634990" cy="4427220"/>
                    </a:xfrm>
                    <a:prstGeom prst="rect">
                      <a:avLst/>
                    </a:prstGeom>
                  </pic:spPr>
                </pic:pic>
              </a:graphicData>
            </a:graphic>
            <wp14:sizeRelH relativeFrom="margin">
              <wp14:pctWidth>0</wp14:pctWidth>
            </wp14:sizeRelH>
            <wp14:sizeRelV relativeFrom="margin">
              <wp14:pctHeight>0</wp14:pctHeight>
            </wp14:sizeRelV>
          </wp:anchor>
        </w:drawing>
      </w:r>
    </w:p>
    <w:p w14:paraId="13C01207" w14:textId="580EBB22" w:rsidR="00A875CF" w:rsidRPr="003676D3" w:rsidRDefault="00A875CF" w:rsidP="003676D3">
      <w:pPr>
        <w:spacing w:line="276" w:lineRule="auto"/>
        <w:jc w:val="both"/>
        <w:rPr>
          <w:rFonts w:ascii="Times New Roman" w:hAnsi="Times New Roman" w:cs="Times New Roman"/>
          <w:sz w:val="24"/>
          <w:szCs w:val="24"/>
        </w:rPr>
      </w:pPr>
    </w:p>
    <w:p w14:paraId="3576A112" w14:textId="77777777" w:rsidR="00A875CF" w:rsidRPr="003676D3" w:rsidRDefault="00A875CF" w:rsidP="003676D3">
      <w:pPr>
        <w:spacing w:line="276" w:lineRule="auto"/>
        <w:jc w:val="both"/>
        <w:rPr>
          <w:rFonts w:ascii="Times New Roman" w:hAnsi="Times New Roman" w:cs="Times New Roman"/>
          <w:sz w:val="24"/>
          <w:szCs w:val="24"/>
        </w:rPr>
      </w:pPr>
    </w:p>
    <w:p w14:paraId="4D29B9A5" w14:textId="11BA457C" w:rsidR="00A875CF" w:rsidRPr="003676D3" w:rsidRDefault="009573AC"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lastRenderedPageBreak/>
        <w:t>Th</w:t>
      </w:r>
      <w:r w:rsidR="00DF217F" w:rsidRPr="003676D3">
        <w:rPr>
          <w:rFonts w:ascii="Times New Roman" w:hAnsi="Times New Roman" w:cs="Times New Roman"/>
          <w:sz w:val="24"/>
          <w:szCs w:val="24"/>
        </w:rPr>
        <w:t>e creation of digital twin</w:t>
      </w:r>
      <w:r w:rsidRPr="003676D3">
        <w:rPr>
          <w:rFonts w:ascii="Times New Roman" w:hAnsi="Times New Roman" w:cs="Times New Roman"/>
          <w:sz w:val="24"/>
          <w:szCs w:val="24"/>
        </w:rPr>
        <w:t xml:space="preserve"> of energy infrastructure makes system testing more robust, reduced in cost and errors, and improved estimation of carbon emission.</w:t>
      </w:r>
      <w:r w:rsidR="002E3991" w:rsidRPr="003676D3">
        <w:rPr>
          <w:rFonts w:ascii="Times New Roman" w:hAnsi="Times New Roman" w:cs="Times New Roman"/>
          <w:sz w:val="24"/>
          <w:szCs w:val="24"/>
        </w:rPr>
        <w:t xml:space="preserve"> The metaverse provides the environment for </w:t>
      </w:r>
      <w:r w:rsidR="002D2AB0" w:rsidRPr="003676D3">
        <w:rPr>
          <w:rFonts w:ascii="Times New Roman" w:hAnsi="Times New Roman" w:cs="Times New Roman"/>
          <w:sz w:val="24"/>
          <w:szCs w:val="24"/>
        </w:rPr>
        <w:t xml:space="preserve">optimizing and </w:t>
      </w:r>
      <w:r w:rsidR="002E3991" w:rsidRPr="003676D3">
        <w:rPr>
          <w:rFonts w:ascii="Times New Roman" w:hAnsi="Times New Roman" w:cs="Times New Roman"/>
          <w:sz w:val="24"/>
          <w:szCs w:val="24"/>
        </w:rPr>
        <w:t xml:space="preserve">simulation of renewable energy resource for virtual power plants and battery storage system. Implementation of such technologies would greatly enhance the energy efficiency and management throughout the network and help prosumers as well as energy companies to make informed decisions. </w:t>
      </w:r>
    </w:p>
    <w:p w14:paraId="6B6871B4" w14:textId="2485771F" w:rsidR="00620BEE" w:rsidRPr="003676D3" w:rsidRDefault="00132774" w:rsidP="003676D3">
      <w:pPr>
        <w:pStyle w:val="Heading2"/>
        <w:spacing w:after="240" w:line="276" w:lineRule="auto"/>
        <w:jc w:val="both"/>
        <w:rPr>
          <w:rFonts w:ascii="Times New Roman" w:hAnsi="Times New Roman" w:cs="Times New Roman"/>
          <w:b/>
          <w:bCs/>
          <w:color w:val="auto"/>
          <w:sz w:val="24"/>
          <w:szCs w:val="24"/>
        </w:rPr>
      </w:pPr>
      <w:r w:rsidRPr="003676D3">
        <w:rPr>
          <w:rFonts w:ascii="Times New Roman" w:hAnsi="Times New Roman" w:cs="Times New Roman"/>
          <w:b/>
          <w:bCs/>
          <w:color w:val="auto"/>
          <w:sz w:val="24"/>
          <w:szCs w:val="24"/>
        </w:rPr>
        <w:t xml:space="preserve">5.2. </w:t>
      </w:r>
      <w:r w:rsidR="00620BEE" w:rsidRPr="003676D3">
        <w:rPr>
          <w:rFonts w:ascii="Times New Roman" w:hAnsi="Times New Roman" w:cs="Times New Roman"/>
          <w:b/>
          <w:bCs/>
          <w:color w:val="auto"/>
          <w:sz w:val="24"/>
          <w:szCs w:val="24"/>
        </w:rPr>
        <w:t>Artificial Intelligence</w:t>
      </w:r>
      <w:r w:rsidR="00AC16AF" w:rsidRPr="003676D3">
        <w:rPr>
          <w:rFonts w:ascii="Times New Roman" w:hAnsi="Times New Roman" w:cs="Times New Roman"/>
          <w:b/>
          <w:bCs/>
          <w:color w:val="auto"/>
          <w:sz w:val="24"/>
          <w:szCs w:val="24"/>
        </w:rPr>
        <w:t xml:space="preserve"> (AI)</w:t>
      </w:r>
    </w:p>
    <w:p w14:paraId="3408EF9C" w14:textId="33733E34" w:rsidR="00620BEE" w:rsidRPr="003676D3" w:rsidRDefault="00CC5458"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AI founds its application in</w:t>
      </w:r>
      <w:r w:rsidR="00636FE7" w:rsidRPr="003676D3">
        <w:rPr>
          <w:rFonts w:ascii="Times New Roman" w:hAnsi="Times New Roman" w:cs="Times New Roman"/>
          <w:sz w:val="24"/>
          <w:szCs w:val="24"/>
        </w:rPr>
        <w:t xml:space="preserve"> metaverse as a combination of </w:t>
      </w:r>
      <w:r w:rsidR="002D2AB0" w:rsidRPr="003676D3">
        <w:rPr>
          <w:rFonts w:ascii="Times New Roman" w:hAnsi="Times New Roman" w:cs="Times New Roman"/>
          <w:sz w:val="24"/>
          <w:szCs w:val="24"/>
        </w:rPr>
        <w:t xml:space="preserve">computer vision, </w:t>
      </w:r>
      <w:r w:rsidRPr="003676D3">
        <w:rPr>
          <w:rFonts w:ascii="Times New Roman" w:hAnsi="Times New Roman" w:cs="Times New Roman"/>
          <w:sz w:val="24"/>
          <w:szCs w:val="24"/>
        </w:rPr>
        <w:t>nat</w:t>
      </w:r>
      <w:r w:rsidR="002D2AB0" w:rsidRPr="003676D3">
        <w:rPr>
          <w:rFonts w:ascii="Times New Roman" w:hAnsi="Times New Roman" w:cs="Times New Roman"/>
          <w:sz w:val="24"/>
          <w:szCs w:val="24"/>
        </w:rPr>
        <w:t xml:space="preserve">ural language processing (NLP) </w:t>
      </w:r>
      <w:r w:rsidR="00636FE7" w:rsidRPr="003676D3">
        <w:rPr>
          <w:rFonts w:ascii="Times New Roman" w:hAnsi="Times New Roman" w:cs="Times New Roman"/>
          <w:sz w:val="24"/>
          <w:szCs w:val="24"/>
        </w:rPr>
        <w:fldChar w:fldCharType="begin" w:fldLock="1"/>
      </w:r>
      <w:r w:rsidR="00636FE7" w:rsidRPr="003676D3">
        <w:rPr>
          <w:rFonts w:ascii="Times New Roman" w:hAnsi="Times New Roman" w:cs="Times New Roman"/>
          <w:sz w:val="24"/>
          <w:szCs w:val="24"/>
        </w:rPr>
        <w:instrText>ADDIN CSL_CITATION {"citationItems":[{"id":"ITEM-1","itemData":{"DOI":"10.1016/J.ENGAPPAI.2022.105581","ISSN":"0952-1976","abstract":"Along with the massive growth of the Internet from the 1990s until now, various innovative technologies have been created to bring users breathtaking experiences with more virtual interactions in cyberspace. Many virtual environments have been developed with immersive experience and digital transformation, but most are incoherent instead of being integrated into a platform. In this context, metaverse has been introduced as a shared virtual world that is fueled by many emerging technologies. Among such technologies, artificial intelligence (AI) has shown the great importance of enhancing immersive experience and enabling human-like intelligence of virtual agents. In this survey, we make a beneficial effort to explore the role of AI, including machine learning algorithms and deep learning architectures, in the foundation and development of the metaverse. As the main contributions, we convey a comprehensive investigation of AI-based methods concerning several technical aspects (e.g., natural language processing, machine vision, blockchain, networking, digital twin, and neural interface) that have potentials to build virtual worlds in the metaverse. Furthermore, several primary AI-aided applications, including healthcare, manufacturing, smart cities, and gaming, are studied to be promisingly deployed in the virtual worlds. Finally, we conclude the key contribution and open some future research directions of AI for the metaverse. Serving as a foundational survey, this work will help researchers, including experts and non-experts in related fields, in applying, developing, and optimizing AI techniques to polish the appearance of virtual worlds and improve the quality of applications built in the metaverse.","author":[{"dropping-particle":"","family":"Huynh-The","given":"Thien","non-dropping-particle":"","parse-names":false,"suffix":""},{"dropping-particle":"","family":"Pham","given":"Quoc Viet","non-dropping-particle":"","parse-names":false,"suffix":""},{"dropping-particle":"","family":"Pham","given":"Xuan Qui","non-dropping-particle":"","parse-names":false,"suffix":""},{"dropping-particle":"","family":"Nguyen","given":"Thanh Thi","non-dropping-particle":"","parse-names":false,"suffix":""},{"dropping-particle":"","family":"Han","given":"Zhu","non-dropping-particle":"","parse-names":false,"suffix":""},{"dropping-particle":"","family":"Kim","given":"Dong Seong","non-dropping-particle":"","parse-names":false,"suffix":""}],"container-title":"Engineering Applications of Artificial Intelligence","id":"ITEM-1","issued":{"date-parts":[["2023","1","1"]]},"page":"105581","publisher":"Pergamon","title":"Artificial intelligence for the metaverse: A survey","type":"article-journal","volume":"117"},"uris":["http://www.mendeley.com/documents/?uuid=ccdbee6a-3683-3963-9ab4-b3cdb4d7f85d"]},{"id":"ITEM-2","itemData":{"URL":"https://www.neilsahota.com/the-role-of-ai-in-shaping-the-metaverse/","accessed":{"date-parts":[["2024","5","13"]]},"id":"ITEM-2","issued":{"date-parts":[["0"]]},"title":"The Role of AI in Shaping the Metaverse · Neil Sahota","type":"webpage"},"uris":["http://www.mendeley.com/documents/?uuid=02db6bad-b2fc-36d4-8aee-b5669835de21"]}],"mendeley":{"formattedCitation":"[153,154]","plainTextFormattedCitation":"[153,154]","previouslyFormattedCitation":"[153,154]"},"properties":{"noteIndex":0},"schema":"https://github.com/citation-style-language/schema/raw/master/csl-citation.json"}</w:instrText>
      </w:r>
      <w:r w:rsidR="00636FE7" w:rsidRPr="003676D3">
        <w:rPr>
          <w:rFonts w:ascii="Times New Roman" w:hAnsi="Times New Roman" w:cs="Times New Roman"/>
          <w:sz w:val="24"/>
          <w:szCs w:val="24"/>
        </w:rPr>
        <w:fldChar w:fldCharType="separate"/>
      </w:r>
      <w:r w:rsidR="00636FE7" w:rsidRPr="003676D3">
        <w:rPr>
          <w:rFonts w:ascii="Times New Roman" w:hAnsi="Times New Roman" w:cs="Times New Roman"/>
          <w:noProof/>
          <w:sz w:val="24"/>
          <w:szCs w:val="24"/>
        </w:rPr>
        <w:t>[153,154]</w:t>
      </w:r>
      <w:r w:rsidR="00636FE7" w:rsidRPr="003676D3">
        <w:rPr>
          <w:rFonts w:ascii="Times New Roman" w:hAnsi="Times New Roman" w:cs="Times New Roman"/>
          <w:sz w:val="24"/>
          <w:szCs w:val="24"/>
        </w:rPr>
        <w:fldChar w:fldCharType="end"/>
      </w:r>
      <w:r w:rsidR="002D2AB0" w:rsidRPr="003676D3">
        <w:rPr>
          <w:rFonts w:ascii="Times New Roman" w:hAnsi="Times New Roman" w:cs="Times New Roman"/>
          <w:sz w:val="24"/>
          <w:szCs w:val="24"/>
        </w:rPr>
        <w:t xml:space="preserve"> </w:t>
      </w:r>
      <w:r w:rsidRPr="003676D3">
        <w:rPr>
          <w:rFonts w:ascii="Times New Roman" w:hAnsi="Times New Roman" w:cs="Times New Roman"/>
          <w:sz w:val="24"/>
          <w:szCs w:val="24"/>
        </w:rPr>
        <w:t xml:space="preserve">and </w:t>
      </w:r>
      <w:r w:rsidR="00636FE7" w:rsidRPr="003676D3">
        <w:rPr>
          <w:rFonts w:ascii="Times New Roman" w:hAnsi="Times New Roman" w:cs="Times New Roman"/>
          <w:sz w:val="24"/>
          <w:szCs w:val="24"/>
        </w:rPr>
        <w:t>machine</w:t>
      </w:r>
      <w:r w:rsidRPr="003676D3">
        <w:rPr>
          <w:rFonts w:ascii="Times New Roman" w:hAnsi="Times New Roman" w:cs="Times New Roman"/>
          <w:sz w:val="24"/>
          <w:szCs w:val="24"/>
        </w:rPr>
        <w:t xml:space="preserve"> learning</w:t>
      </w:r>
      <w:r w:rsidR="00AC16AF" w:rsidRPr="003676D3">
        <w:rPr>
          <w:rFonts w:ascii="Times New Roman" w:hAnsi="Times New Roman" w:cs="Times New Roman"/>
          <w:sz w:val="24"/>
          <w:szCs w:val="24"/>
        </w:rPr>
        <w:t xml:space="preserve">. </w:t>
      </w:r>
      <w:r w:rsidR="002D2AB0" w:rsidRPr="003676D3">
        <w:rPr>
          <w:rFonts w:ascii="Times New Roman" w:hAnsi="Times New Roman" w:cs="Times New Roman"/>
          <w:sz w:val="24"/>
          <w:szCs w:val="24"/>
        </w:rPr>
        <w:t>The metaverse has roots in</w:t>
      </w:r>
      <w:r w:rsidRPr="003676D3">
        <w:rPr>
          <w:rFonts w:ascii="Times New Roman" w:hAnsi="Times New Roman" w:cs="Times New Roman"/>
          <w:sz w:val="24"/>
          <w:szCs w:val="24"/>
        </w:rPr>
        <w:t xml:space="preserve"> AI to generate the 3D animations, images, speech, smart contracts and to carry out virtual transactions</w:t>
      </w:r>
      <w:r w:rsidR="00636FE7" w:rsidRPr="003676D3">
        <w:rPr>
          <w:rFonts w:ascii="Times New Roman" w:hAnsi="Times New Roman" w:cs="Times New Roman"/>
          <w:sz w:val="24"/>
          <w:szCs w:val="24"/>
        </w:rPr>
        <w:t xml:space="preserve"> </w:t>
      </w:r>
      <w:r w:rsidR="00636FE7" w:rsidRPr="003676D3">
        <w:rPr>
          <w:rFonts w:ascii="Times New Roman" w:hAnsi="Times New Roman" w:cs="Times New Roman"/>
          <w:sz w:val="24"/>
          <w:szCs w:val="24"/>
        </w:rPr>
        <w:fldChar w:fldCharType="begin" w:fldLock="1"/>
      </w:r>
      <w:r w:rsidR="00636FE7" w:rsidRPr="003676D3">
        <w:rPr>
          <w:rFonts w:ascii="Times New Roman" w:hAnsi="Times New Roman" w:cs="Times New Roman"/>
          <w:sz w:val="24"/>
          <w:szCs w:val="24"/>
        </w:rPr>
        <w:instrText>ADDIN CSL_CITATION {"citationItems":[{"id":"ITEM-1","itemData":{"URL":"https://www.itu.int/hub/2022/06/ai-driving-force-metaverse/","accessed":{"date-parts":[["2024","5","13"]]},"id":"ITEM-1","issued":{"date-parts":[["0"]]},"title":"AI: The driving force behind the metaverse? - ITU","type":"webpage"},"uris":["http://www.mendeley.com/documents/?uuid=8139585e-0d2b-3437-a7c3-0702616c2ca6"]}],"mendeley":{"formattedCitation":"[155]","plainTextFormattedCitation":"[155]","previouslyFormattedCitation":"[155]"},"properties":{"noteIndex":0},"schema":"https://github.com/citation-style-language/schema/raw/master/csl-citation.json"}</w:instrText>
      </w:r>
      <w:r w:rsidR="00636FE7" w:rsidRPr="003676D3">
        <w:rPr>
          <w:rFonts w:ascii="Times New Roman" w:hAnsi="Times New Roman" w:cs="Times New Roman"/>
          <w:sz w:val="24"/>
          <w:szCs w:val="24"/>
        </w:rPr>
        <w:fldChar w:fldCharType="separate"/>
      </w:r>
      <w:r w:rsidR="00636FE7" w:rsidRPr="003676D3">
        <w:rPr>
          <w:rFonts w:ascii="Times New Roman" w:hAnsi="Times New Roman" w:cs="Times New Roman"/>
          <w:noProof/>
          <w:sz w:val="24"/>
          <w:szCs w:val="24"/>
        </w:rPr>
        <w:t>[155]</w:t>
      </w:r>
      <w:r w:rsidR="00636FE7" w:rsidRPr="003676D3">
        <w:rPr>
          <w:rFonts w:ascii="Times New Roman" w:hAnsi="Times New Roman" w:cs="Times New Roman"/>
          <w:sz w:val="24"/>
          <w:szCs w:val="24"/>
        </w:rPr>
        <w:fldChar w:fldCharType="end"/>
      </w:r>
      <w:r w:rsidRPr="003676D3">
        <w:rPr>
          <w:rFonts w:ascii="Times New Roman" w:hAnsi="Times New Roman" w:cs="Times New Roman"/>
          <w:sz w:val="24"/>
          <w:szCs w:val="24"/>
        </w:rPr>
        <w:t>.</w:t>
      </w:r>
      <w:r w:rsidR="00AC16AF" w:rsidRPr="003676D3">
        <w:rPr>
          <w:rFonts w:ascii="Times New Roman" w:hAnsi="Times New Roman" w:cs="Times New Roman"/>
          <w:sz w:val="24"/>
          <w:szCs w:val="24"/>
        </w:rPr>
        <w:t xml:space="preserve"> In smart grids, AI can help generate virtual </w:t>
      </w:r>
      <w:r w:rsidR="001159D3" w:rsidRPr="003676D3">
        <w:rPr>
          <w:rFonts w:ascii="Times New Roman" w:hAnsi="Times New Roman" w:cs="Times New Roman"/>
          <w:sz w:val="24"/>
          <w:szCs w:val="24"/>
        </w:rPr>
        <w:t>models</w:t>
      </w:r>
      <w:r w:rsidR="00AC16AF" w:rsidRPr="003676D3">
        <w:rPr>
          <w:rFonts w:ascii="Times New Roman" w:hAnsi="Times New Roman" w:cs="Times New Roman"/>
          <w:sz w:val="24"/>
          <w:szCs w:val="24"/>
        </w:rPr>
        <w:t xml:space="preserve">; a prime example is virtual power plants (VPPs). Through machine learning and deep learning using artificial neural networks (ANN), AI empowers the system to make informed decisions based on pattern recognition and predictions. This assists in </w:t>
      </w:r>
      <w:r w:rsidR="001159D3" w:rsidRPr="003676D3">
        <w:rPr>
          <w:rFonts w:ascii="Times New Roman" w:hAnsi="Times New Roman" w:cs="Times New Roman"/>
          <w:sz w:val="24"/>
          <w:szCs w:val="24"/>
        </w:rPr>
        <w:t>visualising</w:t>
      </w:r>
      <w:r w:rsidR="00AC16AF" w:rsidRPr="003676D3">
        <w:rPr>
          <w:rFonts w:ascii="Times New Roman" w:hAnsi="Times New Roman" w:cs="Times New Roman"/>
          <w:sz w:val="24"/>
          <w:szCs w:val="24"/>
        </w:rPr>
        <w:t xml:space="preserve"> novel scenarios which results in diverse, more accurate and adaptive solutions. Moreover, AI also facilitates prosumer interaction, data and grid network protection.</w:t>
      </w:r>
      <w:r w:rsidR="00636FE7" w:rsidRPr="003676D3">
        <w:rPr>
          <w:rFonts w:ascii="Times New Roman" w:hAnsi="Times New Roman" w:cs="Times New Roman"/>
          <w:sz w:val="24"/>
          <w:szCs w:val="24"/>
        </w:rPr>
        <w:t xml:space="preserve"> For instance, in a study </w:t>
      </w:r>
      <w:r w:rsidR="00636FE7" w:rsidRPr="003676D3">
        <w:rPr>
          <w:rFonts w:ascii="Times New Roman" w:hAnsi="Times New Roman" w:cs="Times New Roman"/>
          <w:sz w:val="24"/>
          <w:szCs w:val="24"/>
        </w:rPr>
        <w:fldChar w:fldCharType="begin" w:fldLock="1"/>
      </w:r>
      <w:r w:rsidR="00636FE7" w:rsidRPr="003676D3">
        <w:rPr>
          <w:rFonts w:ascii="Times New Roman" w:hAnsi="Times New Roman" w:cs="Times New Roman"/>
          <w:sz w:val="24"/>
          <w:szCs w:val="24"/>
        </w:rPr>
        <w:instrText>ADDIN CSL_CITATION {"citationItems":[{"id":"ITEM-1","itemData":{"DOI":"10.1109/JIOT.2020.2980586","ISSN":"23274662","abstract":"Internet of Things (IoT) has attracted much interest due to its wide applications, such as smart city, manufacturing, transportation, and healthcare. Social and cognitive IoT is capable of exploiting social networking characteristics to optimize network performance. Considering the fact that the IoT devices have different Quality-of-Service (QoS) requirements [ranging from ultrareliable and low-latency communications (URLLCs) to minimum data rate], this article presents a QoS-driven social-aware-enhanced device-to-device (D2D) communication network model for social and cognitive IoT by utilizing social orientation information. We model the optimization problem as a multiagent reinforcement learning formulation, and a novel coordinated multiagent deep-reinforcement-learning-based resource management approach is proposed to optimize the joint radio block assignment and the transmission power control strategy. Meanwhile, the prioritized experience replay (PER) and the coordinated learning mechanisms are employed to enable communication links to work cooperatively in a distributed manner, which enhances the network performance and access success probability. The simulation results corroborate the superiority in the performance of the presented resource management approach, and it outperforms other existing approaches in terms of meeting the energy efficiency and the QoS requirements.","author":[{"dropping-particle":"","family":"Yang","given":"Helin","non-dropping-particle":"","parse-names":false,"suffix":""},{"dropping-particle":"De","family":"Zhong","given":"Wen","non-dropping-particle":"","parse-names":false,"suffix":""},{"dropping-particle":"","family":"Chen","given":"Chen","non-dropping-particle":"","parse-names":false,"suffix":""},{"dropping-particle":"","family":"Alphones","given":"Arokiaswami","non-dropping-particle":"","parse-names":false,"suffix":""},{"dropping-particle":"","family":"Xie","given":"Xianzhong","non-dropping-particle":"","parse-names":false,"suffix":""}],"container-title":"IEEE Internet of Things Journal","id":"ITEM-1","issue":"6","issued":{"date-parts":[["2020","6","1"]]},"page":"5677-5689","publisher":"Institute of Electrical and Electronics Engineers Inc.","title":"Deep-reinforcement-learning-based energy-efficient resource management for social and cognitive internet of things","type":"article-journal","volume":"7"},"uris":["http://www.mendeley.com/documents/?uuid=7eb3319a-8e5c-3976-9ae6-a511f59b8c44"]}],"mendeley":{"formattedCitation":"[156]","plainTextFormattedCitation":"[156]","previouslyFormattedCitation":"[156]"},"properties":{"noteIndex":0},"schema":"https://github.com/citation-style-language/schema/raw/master/csl-citation.json"}</w:instrText>
      </w:r>
      <w:r w:rsidR="00636FE7" w:rsidRPr="003676D3">
        <w:rPr>
          <w:rFonts w:ascii="Times New Roman" w:hAnsi="Times New Roman" w:cs="Times New Roman"/>
          <w:sz w:val="24"/>
          <w:szCs w:val="24"/>
        </w:rPr>
        <w:fldChar w:fldCharType="separate"/>
      </w:r>
      <w:r w:rsidR="00636FE7" w:rsidRPr="003676D3">
        <w:rPr>
          <w:rFonts w:ascii="Times New Roman" w:hAnsi="Times New Roman" w:cs="Times New Roman"/>
          <w:noProof/>
          <w:sz w:val="24"/>
          <w:szCs w:val="24"/>
        </w:rPr>
        <w:t>[156]</w:t>
      </w:r>
      <w:r w:rsidR="00636FE7" w:rsidRPr="003676D3">
        <w:rPr>
          <w:rFonts w:ascii="Times New Roman" w:hAnsi="Times New Roman" w:cs="Times New Roman"/>
          <w:sz w:val="24"/>
          <w:szCs w:val="24"/>
        </w:rPr>
        <w:fldChar w:fldCharType="end"/>
      </w:r>
      <w:r w:rsidR="00871B92" w:rsidRPr="003676D3">
        <w:rPr>
          <w:rFonts w:ascii="Times New Roman" w:hAnsi="Times New Roman" w:cs="Times New Roman"/>
          <w:sz w:val="24"/>
          <w:szCs w:val="24"/>
        </w:rPr>
        <w:t xml:space="preserve">, authors proposed </w:t>
      </w:r>
      <w:r w:rsidR="002D2AB0" w:rsidRPr="003676D3">
        <w:rPr>
          <w:rFonts w:ascii="Times New Roman" w:hAnsi="Times New Roman" w:cs="Times New Roman"/>
          <w:sz w:val="24"/>
          <w:szCs w:val="24"/>
        </w:rPr>
        <w:t xml:space="preserve">an energy management technique known as </w:t>
      </w:r>
      <w:r w:rsidR="00871B92" w:rsidRPr="003676D3">
        <w:rPr>
          <w:rFonts w:ascii="Times New Roman" w:hAnsi="Times New Roman" w:cs="Times New Roman"/>
          <w:sz w:val="24"/>
          <w:szCs w:val="24"/>
        </w:rPr>
        <w:t>collaborative multi-agent deep reinforcement learning</w:t>
      </w:r>
      <w:r w:rsidR="001159D3" w:rsidRPr="003676D3">
        <w:rPr>
          <w:rFonts w:ascii="Times New Roman" w:hAnsi="Times New Roman" w:cs="Times New Roman"/>
          <w:sz w:val="24"/>
          <w:szCs w:val="24"/>
        </w:rPr>
        <w:t xml:space="preserve">. It </w:t>
      </w:r>
      <w:r w:rsidR="00871B92" w:rsidRPr="003676D3">
        <w:rPr>
          <w:rFonts w:ascii="Times New Roman" w:hAnsi="Times New Roman" w:cs="Times New Roman"/>
          <w:sz w:val="24"/>
          <w:szCs w:val="24"/>
        </w:rPr>
        <w:t>modelled the</w:t>
      </w:r>
      <w:r w:rsidR="002D2AB0" w:rsidRPr="003676D3">
        <w:rPr>
          <w:rFonts w:ascii="Times New Roman" w:hAnsi="Times New Roman" w:cs="Times New Roman"/>
          <w:sz w:val="24"/>
          <w:szCs w:val="24"/>
        </w:rPr>
        <w:t xml:space="preserve"> problem of energy optimization</w:t>
      </w:r>
      <w:r w:rsidR="001159D3" w:rsidRPr="003676D3">
        <w:rPr>
          <w:rFonts w:ascii="Times New Roman" w:hAnsi="Times New Roman" w:cs="Times New Roman"/>
          <w:sz w:val="24"/>
          <w:szCs w:val="24"/>
        </w:rPr>
        <w:t xml:space="preserve"> and have </w:t>
      </w:r>
      <w:r w:rsidR="00871B92" w:rsidRPr="003676D3">
        <w:rPr>
          <w:rFonts w:ascii="Times New Roman" w:hAnsi="Times New Roman" w:cs="Times New Roman"/>
          <w:sz w:val="24"/>
          <w:szCs w:val="24"/>
        </w:rPr>
        <w:t xml:space="preserve">application in transmission power control.  </w:t>
      </w:r>
    </w:p>
    <w:p w14:paraId="0E81C3F2" w14:textId="79547064" w:rsidR="00A875CF" w:rsidRPr="003676D3" w:rsidRDefault="002D2AB0"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C</w:t>
      </w:r>
      <w:r w:rsidR="001159D3" w:rsidRPr="003676D3">
        <w:rPr>
          <w:rFonts w:ascii="Times New Roman" w:hAnsi="Times New Roman" w:cs="Times New Roman"/>
          <w:sz w:val="24"/>
          <w:szCs w:val="24"/>
        </w:rPr>
        <w:t>utting-edge</w:t>
      </w:r>
      <w:r w:rsidR="00116D42" w:rsidRPr="003676D3">
        <w:rPr>
          <w:rFonts w:ascii="Times New Roman" w:hAnsi="Times New Roman" w:cs="Times New Roman"/>
          <w:sz w:val="24"/>
          <w:szCs w:val="24"/>
        </w:rPr>
        <w:t xml:space="preserve"> machine learning (ML) tools offer powerful capabilities for predicting market dynamics using publicly available data. ML techniques have been employed to forecast</w:t>
      </w:r>
      <w:r w:rsidRPr="003676D3">
        <w:rPr>
          <w:rFonts w:ascii="Times New Roman" w:hAnsi="Times New Roman" w:cs="Times New Roman"/>
          <w:sz w:val="24"/>
          <w:szCs w:val="24"/>
        </w:rPr>
        <w:t xml:space="preserve"> and balance the</w:t>
      </w:r>
      <w:r w:rsidR="00116D42" w:rsidRPr="003676D3">
        <w:rPr>
          <w:rFonts w:ascii="Times New Roman" w:hAnsi="Times New Roman" w:cs="Times New Roman"/>
          <w:sz w:val="24"/>
          <w:szCs w:val="24"/>
        </w:rPr>
        <w:t xml:space="preserve"> electricity </w:t>
      </w:r>
      <w:r w:rsidRPr="003676D3">
        <w:rPr>
          <w:rFonts w:ascii="Times New Roman" w:hAnsi="Times New Roman" w:cs="Times New Roman"/>
          <w:sz w:val="24"/>
          <w:szCs w:val="24"/>
        </w:rPr>
        <w:t xml:space="preserve">market </w:t>
      </w:r>
      <w:r w:rsidR="00116D42" w:rsidRPr="003676D3">
        <w:rPr>
          <w:rFonts w:ascii="Times New Roman" w:hAnsi="Times New Roman" w:cs="Times New Roman"/>
          <w:sz w:val="24"/>
          <w:szCs w:val="24"/>
        </w:rPr>
        <w:t xml:space="preserve">prices </w:t>
      </w:r>
      <w:r w:rsidR="00636FE7" w:rsidRPr="003676D3">
        <w:rPr>
          <w:rFonts w:ascii="Times New Roman" w:hAnsi="Times New Roman" w:cs="Times New Roman"/>
          <w:sz w:val="24"/>
          <w:szCs w:val="24"/>
        </w:rPr>
        <w:fldChar w:fldCharType="begin" w:fldLock="1"/>
      </w:r>
      <w:r w:rsidR="00636FE7" w:rsidRPr="003676D3">
        <w:rPr>
          <w:rFonts w:ascii="Times New Roman" w:hAnsi="Times New Roman" w:cs="Times New Roman"/>
          <w:sz w:val="24"/>
          <w:szCs w:val="24"/>
        </w:rPr>
        <w:instrText>ADDIN CSL_CITATION {"citationItems":[{"id":"ITEM-1","itemData":{"DOI":"10.1016/J.APENERGY.2020.114978","ISSN":"03062619","abstract":"In continental Europe, automatic Frequency Restoration Reserve (aFRR) is the second fastest control reserve market. Due to the complex auction design, market entrance barriers for new players are high and the market is dominated by few operators of conventional power plants. However, a rising share of renewable technologies requires their integration into this market in order to assure future grid stability. Due to the high market complexity, operators and traders of such technologies are currently lacking a tool to estimate earning potentials. Both a market prediction methodology as well as a bidding strategy are required to estimate the earning potentials and to participate in the aFRR market. To encourage participation of new technologies, this paper first provides a detailed market description and then presents a market prediction methodology for estimating revenue potentials and to assist in creating bidding strategies for auction participation. For any potential bid, the acceptance probability within the auction is derived. Both statistical and machine learning based models are used for predicting key market quantities. A model comparison reveals a steadier and usually better performance of statistical models. Exogenous data sources such as weather, electrical loads or market data did not improve the prediction performance.","author":[{"dropping-particle":"","family":"Merten","given":"Michael","non-dropping-particle":"","parse-names":false,"suffix":""},{"dropping-particle":"","family":"Rücker","given":"Fabian","non-dropping-particle":"","parse-names":false,"suffix":""},{"dropping-particle":"","family":"Schoeneberger","given":"Ilka","non-dropping-particle":"","parse-names":false,"suffix":""},{"dropping-particle":"","family":"Sauer","given":"Dirk Uwe","non-dropping-particle":"","parse-names":false,"suffix":""}],"container-title":"Applied Energy","id":"ITEM-1","issued":{"date-parts":[["2020","6","15"]]},"publisher":"Elsevier Ltd","title":"Automatic frequency restoration reserve market prediction: Methodology and comparison of various approaches","type":"article-journal","volume":"268"},"uris":["http://www.mendeley.com/documents/?uuid=6222a9b5-843b-3826-b308-643b7fb602a1"]}],"mendeley":{"formattedCitation":"[157]","plainTextFormattedCitation":"[157]","previouslyFormattedCitation":"[157]"},"properties":{"noteIndex":0},"schema":"https://github.com/citation-style-language/schema/raw/master/csl-citation.json"}</w:instrText>
      </w:r>
      <w:r w:rsidR="00636FE7" w:rsidRPr="003676D3">
        <w:rPr>
          <w:rFonts w:ascii="Times New Roman" w:hAnsi="Times New Roman" w:cs="Times New Roman"/>
          <w:sz w:val="24"/>
          <w:szCs w:val="24"/>
        </w:rPr>
        <w:fldChar w:fldCharType="separate"/>
      </w:r>
      <w:r w:rsidR="00636FE7" w:rsidRPr="003676D3">
        <w:rPr>
          <w:rFonts w:ascii="Times New Roman" w:hAnsi="Times New Roman" w:cs="Times New Roman"/>
          <w:noProof/>
          <w:sz w:val="24"/>
          <w:szCs w:val="24"/>
        </w:rPr>
        <w:t>[157]</w:t>
      </w:r>
      <w:r w:rsidR="00636FE7" w:rsidRPr="003676D3">
        <w:rPr>
          <w:rFonts w:ascii="Times New Roman" w:hAnsi="Times New Roman" w:cs="Times New Roman"/>
          <w:sz w:val="24"/>
          <w:szCs w:val="24"/>
        </w:rPr>
        <w:fldChar w:fldCharType="end"/>
      </w:r>
      <w:r w:rsidR="00116D42" w:rsidRPr="003676D3">
        <w:rPr>
          <w:rFonts w:ascii="Times New Roman" w:hAnsi="Times New Roman" w:cs="Times New Roman"/>
          <w:sz w:val="24"/>
          <w:szCs w:val="24"/>
        </w:rPr>
        <w:t>. While these models excel at capturing non-linear effects and interactions for accurate predictions, they often lack interpretability</w:t>
      </w:r>
      <w:r w:rsidR="001159D3" w:rsidRPr="003676D3">
        <w:rPr>
          <w:rFonts w:ascii="Times New Roman" w:hAnsi="Times New Roman" w:cs="Times New Roman"/>
          <w:sz w:val="24"/>
          <w:szCs w:val="24"/>
        </w:rPr>
        <w:t xml:space="preserve">. This </w:t>
      </w:r>
      <w:r w:rsidR="00116D42" w:rsidRPr="003676D3">
        <w:rPr>
          <w:rFonts w:ascii="Times New Roman" w:hAnsi="Times New Roman" w:cs="Times New Roman"/>
          <w:sz w:val="24"/>
          <w:szCs w:val="24"/>
        </w:rPr>
        <w:t>mak</w:t>
      </w:r>
      <w:r w:rsidR="001159D3" w:rsidRPr="003676D3">
        <w:rPr>
          <w:rFonts w:ascii="Times New Roman" w:hAnsi="Times New Roman" w:cs="Times New Roman"/>
          <w:sz w:val="24"/>
          <w:szCs w:val="24"/>
        </w:rPr>
        <w:t>es</w:t>
      </w:r>
      <w:r w:rsidR="00116D42" w:rsidRPr="003676D3">
        <w:rPr>
          <w:rFonts w:ascii="Times New Roman" w:hAnsi="Times New Roman" w:cs="Times New Roman"/>
          <w:sz w:val="24"/>
          <w:szCs w:val="24"/>
        </w:rPr>
        <w:t xml:space="preserve"> them unsuitable for </w:t>
      </w:r>
      <w:proofErr w:type="spellStart"/>
      <w:r w:rsidR="00116D42" w:rsidRPr="003676D3">
        <w:rPr>
          <w:rFonts w:ascii="Times New Roman" w:hAnsi="Times New Roman" w:cs="Times New Roman"/>
          <w:sz w:val="24"/>
          <w:szCs w:val="24"/>
        </w:rPr>
        <w:t>analyzing</w:t>
      </w:r>
      <w:proofErr w:type="spellEnd"/>
      <w:r w:rsidR="00116D42" w:rsidRPr="003676D3">
        <w:rPr>
          <w:rFonts w:ascii="Times New Roman" w:hAnsi="Times New Roman" w:cs="Times New Roman"/>
          <w:sz w:val="24"/>
          <w:szCs w:val="24"/>
        </w:rPr>
        <w:t xml:space="preserve"> regulatory changes post hoc</w:t>
      </w:r>
      <w:r w:rsidR="00636FE7" w:rsidRPr="003676D3">
        <w:rPr>
          <w:rFonts w:ascii="Times New Roman" w:hAnsi="Times New Roman" w:cs="Times New Roman"/>
          <w:sz w:val="24"/>
          <w:szCs w:val="24"/>
        </w:rPr>
        <w:t xml:space="preserve"> </w:t>
      </w:r>
      <w:r w:rsidR="00636FE7" w:rsidRPr="003676D3">
        <w:rPr>
          <w:rFonts w:ascii="Times New Roman" w:hAnsi="Times New Roman" w:cs="Times New Roman"/>
          <w:sz w:val="24"/>
          <w:szCs w:val="24"/>
        </w:rPr>
        <w:fldChar w:fldCharType="begin" w:fldLock="1"/>
      </w:r>
      <w:r w:rsidR="00636FE7" w:rsidRPr="003676D3">
        <w:rPr>
          <w:rFonts w:ascii="Times New Roman" w:hAnsi="Times New Roman" w:cs="Times New Roman"/>
          <w:sz w:val="24"/>
          <w:szCs w:val="24"/>
        </w:rPr>
        <w:instrText>ADDIN CSL_CITATION {"citationItems":[{"id":"ITEM-1","itemData":{"DOI":"10.1016/J.APENERGY.2021.116983","ISSN":"03062619","abstract":"While the field of electricity price forecasting has benefited from plenty of contributions in the last two decades, it arguably lacks a rigorous approach to evaluating new predictive algorithms. The latter are often compared using unique, not publicly available datasets and across too short and limited to one market test samples. The proposed new methods are rarely benchmarked against well established and well performing simpler models, the accuracy metrics are sometimes inadequate and testing the significance of differences in predictive performance is seldom conducted. Consequently, it is not clear which methods perform well nor what are the best practices when forecasting electricity prices. In this paper, we tackle these issues by comparing state-of-the-art statistical and deep learning methods across multiple years and markets, and by putting forward a set of best practices. In addition, we make available the considered datasets, forecasts of the state-of-the-art models, and a specifically designed python toolbox, so that new algorithms can be rigorously evaluated in future studies.","author":[{"dropping-particle":"","family":"Lago","given":"Jesus","non-dropping-particle":"","parse-names":false,"suffix":""},{"dropping-particle":"","family":"Marcjasz","given":"Grzegorz","non-dropping-particle":"","parse-names":false,"suffix":""},{"dropping-particle":"","family":"Schutter","given":"Bart","non-dropping-particle":"De","parse-names":false,"suffix":""},{"dropping-particle":"","family":"Weron","given":"Rafał","non-dropping-particle":"","parse-names":false,"suffix":""}],"container-title":"Applied Energy","id":"ITEM-1","issued":{"date-parts":[["2020","7","1"]]},"publisher":"Elsevier Ltd","title":"Forecasting day-ahead electricity prices: A review of state-of-the-art algorithms, best practices and an open-access benchmark","type":"article-journal","volume":"293"},"uris":["http://www.mendeley.com/documents/?uuid=9963b994-0807-351e-9037-e99a928df653"]},{"id":"ITEM-2","itemData":{"DOI":"10.1016/J.ENERGY.2021.121989","ISSN":"03605442","abstract":"Current electricity price forecasting models rely on only simple hybridizations of data preprocessing and optimization methods while ignoring the significance of adaptive data preprocessing and effective optimization and selection strategies to obtain optimal models that improve the forecasting performance. To solve these problems, this study develops an improved electricity price forecasting model that offers the advantages of adaptive data preprocessing, advanced optimization method, kernel-based model, and optimal model selection strategy. Specifically, the adaptive parameter-based variational mode decomposition technology is proposed to provide desirable data preprocessing results, and a leave-one-out optimization strategy based on the chaotic sine cosine algorithm is proposed and applied to develop optimal kernel-based extreme learning machine models. In addition, a newly proposed optimal model selection strategy is applied to determine the developed model that provides the most desirable forecasting result. Numerical results show that the developed model's performance metrics were best, and the average values of mean absolute error, root mean square error, mean absolute percentage error, index of agreement, and Theil's inequality coefficient in four datasets are 0.5121, 0.7607, 0.5722%, 0.9997 and 0.0041, respectively, which imply that the developed model is a promising, applicable and effective electricity price forecasting technique in the real electricity market.","author":[{"dropping-particle":"","family":"Yang","given":"Wendong","non-dropping-particle":"","parse-names":false,"suffix":""},{"dropping-particle":"","family":"Sun","given":"Shaolong","non-dropping-particle":"","parse-names":false,"suffix":""},{"dropping-particle":"","family":"Hao","given":"Yan","non-dropping-particle":"","parse-names":false,"suffix":""},{"dropping-particle":"","family":"Wang","given":"Shouyang","non-dropping-particle":"","parse-names":false,"suffix":""}],"container-title":"Energy","id":"ITEM-2","issued":{"date-parts":[["2022","1","1"]]},"publisher":"Elsevier Ltd","title":"A novel machine learning-based electricity price forecasting model based on optimal model selection strategy","type":"article-journal","volume":"238"},"uris":["http://www.mendeley.com/documents/?uuid=65399055-94e4-3f17-a588-6a2bf9a20c35"]}],"mendeley":{"formattedCitation":"[158,159]","plainTextFormattedCitation":"[158,159]","previouslyFormattedCitation":"[158,159]"},"properties":{"noteIndex":0},"schema":"https://github.com/citation-style-language/schema/raw/master/csl-citation.json"}</w:instrText>
      </w:r>
      <w:r w:rsidR="00636FE7" w:rsidRPr="003676D3">
        <w:rPr>
          <w:rFonts w:ascii="Times New Roman" w:hAnsi="Times New Roman" w:cs="Times New Roman"/>
          <w:sz w:val="24"/>
          <w:szCs w:val="24"/>
        </w:rPr>
        <w:fldChar w:fldCharType="separate"/>
      </w:r>
      <w:r w:rsidR="00636FE7" w:rsidRPr="003676D3">
        <w:rPr>
          <w:rFonts w:ascii="Times New Roman" w:hAnsi="Times New Roman" w:cs="Times New Roman"/>
          <w:noProof/>
          <w:sz w:val="24"/>
          <w:szCs w:val="24"/>
        </w:rPr>
        <w:t>[158,159]</w:t>
      </w:r>
      <w:r w:rsidR="00636FE7" w:rsidRPr="003676D3">
        <w:rPr>
          <w:rFonts w:ascii="Times New Roman" w:hAnsi="Times New Roman" w:cs="Times New Roman"/>
          <w:sz w:val="24"/>
          <w:szCs w:val="24"/>
        </w:rPr>
        <w:fldChar w:fldCharType="end"/>
      </w:r>
      <w:r w:rsidR="00116D42" w:rsidRPr="003676D3">
        <w:rPr>
          <w:rFonts w:ascii="Times New Roman" w:hAnsi="Times New Roman" w:cs="Times New Roman"/>
          <w:sz w:val="24"/>
          <w:szCs w:val="24"/>
        </w:rPr>
        <w:t xml:space="preserve">. As a result, econometric analyses typically resort to linear models. However, explainable artificial intelligence (XAI) in energy systems is rapidly advancing, with diverse applications spanning from ensuring power grid stability to </w:t>
      </w:r>
      <w:proofErr w:type="spellStart"/>
      <w:r w:rsidR="00116D42" w:rsidRPr="003676D3">
        <w:rPr>
          <w:rFonts w:ascii="Times New Roman" w:hAnsi="Times New Roman" w:cs="Times New Roman"/>
          <w:sz w:val="24"/>
          <w:szCs w:val="24"/>
        </w:rPr>
        <w:t>an</w:t>
      </w:r>
      <w:r w:rsidR="00787F42" w:rsidRPr="003676D3">
        <w:rPr>
          <w:rFonts w:ascii="Times New Roman" w:hAnsi="Times New Roman" w:cs="Times New Roman"/>
          <w:sz w:val="24"/>
          <w:szCs w:val="24"/>
        </w:rPr>
        <w:t>alyzing</w:t>
      </w:r>
      <w:proofErr w:type="spellEnd"/>
      <w:r w:rsidR="00787F42" w:rsidRPr="003676D3">
        <w:rPr>
          <w:rFonts w:ascii="Times New Roman" w:hAnsi="Times New Roman" w:cs="Times New Roman"/>
          <w:sz w:val="24"/>
          <w:szCs w:val="24"/>
        </w:rPr>
        <w:t xml:space="preserve"> price trends. </w:t>
      </w:r>
      <w:r w:rsidR="00116D42" w:rsidRPr="003676D3">
        <w:rPr>
          <w:rFonts w:ascii="Times New Roman" w:hAnsi="Times New Roman" w:cs="Times New Roman"/>
          <w:sz w:val="24"/>
          <w:szCs w:val="24"/>
        </w:rPr>
        <w:t>XAI models effectively differentiate between reg</w:t>
      </w:r>
      <w:r w:rsidR="00787F42" w:rsidRPr="003676D3">
        <w:rPr>
          <w:rFonts w:ascii="Times New Roman" w:hAnsi="Times New Roman" w:cs="Times New Roman"/>
          <w:sz w:val="24"/>
          <w:szCs w:val="24"/>
        </w:rPr>
        <w:t>ulatory settings and enhance</w:t>
      </w:r>
      <w:r w:rsidR="00116D42" w:rsidRPr="003676D3">
        <w:rPr>
          <w:rFonts w:ascii="Times New Roman" w:hAnsi="Times New Roman" w:cs="Times New Roman"/>
          <w:sz w:val="24"/>
          <w:szCs w:val="24"/>
        </w:rPr>
        <w:t xml:space="preserve"> comprehension of their impacts</w:t>
      </w:r>
      <w:r w:rsidR="00636FE7" w:rsidRPr="003676D3">
        <w:rPr>
          <w:rFonts w:ascii="Times New Roman" w:hAnsi="Times New Roman" w:cs="Times New Roman"/>
          <w:sz w:val="24"/>
          <w:szCs w:val="24"/>
        </w:rPr>
        <w:t xml:space="preserve"> on changes in the grid </w:t>
      </w:r>
      <w:r w:rsidR="00636FE7" w:rsidRPr="003676D3">
        <w:rPr>
          <w:rFonts w:ascii="Times New Roman" w:hAnsi="Times New Roman" w:cs="Times New Roman"/>
          <w:sz w:val="24"/>
          <w:szCs w:val="24"/>
        </w:rPr>
        <w:fldChar w:fldCharType="begin" w:fldLock="1"/>
      </w:r>
      <w:r w:rsidR="00636FE7" w:rsidRPr="003676D3">
        <w:rPr>
          <w:rFonts w:ascii="Times New Roman" w:hAnsi="Times New Roman" w:cs="Times New Roman"/>
          <w:sz w:val="24"/>
          <w:szCs w:val="24"/>
        </w:rPr>
        <w:instrText>ADDIN CSL_CITATION {"citationItems":[{"id":"ITEM-1","itemData":{"DOI":"10.1145/3599733.3600247","ISBN":"9798400702273","abstract":"A stable supply of electrical energy is essential for the functioning of our society. Therefore, energy and balancing markets of power grids are strictly regulated. With changes in technology, the economy and society, these regulations are also constantly adapted. However, whether these regulatory changes lead to the intended results is not easy to assess. Could eXplainable Artificial Intelligence (XAI) models distinguish regulatory settings and support the understanding of the effects of these changes? In this article, we explore two examples of regulatory changes: The splitting of the German-Austrian bidding zone and changes in the pricing schemes of the German balancing energy market. We find that boosted tree models and feedforward neural networks before and after a regulatory change differ in their respective parametrizations. Using Shapley additive explanations, we reveal model differences, e.g., in terms of feature importance, and identify key features of these distinct models. With this study, we demonstrate how XAI can be applied to investigate system changes in power systems.","author":[{"dropping-particle":"","family":"Pütz","given":"Sebastian","non-dropping-particle":"","parse-names":false,"suffix":""},{"dropping-particle":"","family":"Kruse","given":"Johannes","non-dropping-particle":"","parse-names":false,"suffix":""},{"dropping-particle":"","family":"Witthaut","given":"Dirk","non-dropping-particle":"","parse-names":false,"suffix":""},{"dropping-particle":"","family":"Hagenmeyer","given":"Veit","non-dropping-particle":"","parse-names":false,"suffix":""},{"dropping-particle":"","family":"Schäfer","given":"Benjamin","non-dropping-particle":"","parse-names":false,"suffix":""}],"container-title":"e-Energy 2023 Companion - Proceedings of the 14th ACM International Conference on Future Energy Systems","id":"ITEM-1","issued":{"date-parts":[["2023","6","20"]]},"page":"26-31","publisher":"Association for Computing Machinery, Inc","title":"Regulatory Changes in German and Austrian Power Systems Explored with Explainable Artificial Intelligence","type":"article-journal"},"uris":["http://www.mendeley.com/documents/?uuid=43ed3284-08d1-3f14-b039-0886c0002e35"]},{"id":"ITEM-2","itemData":{"DOI":"10.1016/J.INFFUS.2019.12.012","ISSN":"15662535","abstract":"In the last few years, Artificial Intelligence (AI) has achieved a notable momentum that, if harnessed appropriately, may deliver the best of expectations over many application sectors across the field. For this to occur shortly in Machine Learning, the entire community stands in front of the barrier of explainability, an inherent problem of the latest techniques brought by sub-symbolism (e.g. ensembles or Deep Neural Networks) that were not present in the last hype of AI (namely, expert systems and rule based models). Paradigms underlying this problem fall within the so-called eXplainable AI (XAI) field, which is widely acknowledged as a crucial feature for the practical deployment of AI models. The overview presented in this article examines the existing literature and contributions already done in the field of XAI, including a prospect toward what is yet to be reached. For this purpose we summarize previous efforts made to define explainability in Machine Learning, establishing a novel definition of explainable Machine Learning that covers such prior conceptual propositions with a major focus on the audience for which the explainability is sought. Departing from this definition, we propose and discuss about a taxonomy of recent contributions related to the explainability of different Machine Learning models, including those aimed at explaining Deep Learning methods for which a second dedicated taxonomy is built and examined in detail. This critical literature analysis serves as the motivating background for a series of challenges faced by XAI, such as the interesting crossroads of data fusion and explainability. Our prospects lead toward the concept of Responsible Artificial Intelligence, namely, a methodology for the large-scale implementation of AI methods in real organizations with fairness, model explainability and accountability at its core. Our ultimate goal is to provide newcomers to the field of XAI with a thorough taxonomy that can serve as reference material in order to stimulate future research advances, but also to encourage experts and professionals from other disciplines to embrace the benefits of AI in their activity sectors, without any prior bias for its lack of interpretability.","author":[{"dropping-particle":"","family":"Barredo Arrieta","given":"Alejandro","non-dropping-particle":"","parse-names":false,"suffix":""},{"dropping-particle":"","family":"Díaz-Rodríguez","given":"Natalia","non-dropping-particle":"","parse-names":false,"suffix":""},{"dropping-particle":"","family":"Ser","given":"Javier","non-dropping-particle":"Del","parse-names":false,"suffix":""},{"dropping-particle":"","family":"Bennetot","given":"Adrien","non-dropping-particle":"","parse-names":false,"suffix":""},{"dropping-particle":"","family":"Tabik","given":"Siham","non-dropping-particle":"","parse-names":false,"suffix":""},{"dropping-particle":"","family":"Barbado","given":"Alberto","non-dropping-particle":"","parse-names":false,"suffix":""},{"dropping-particle":"","family":"Garcia","given":"Salvador","non-dropping-particle":"","parse-names":false,"suffix":""},{"dropping-particle":"","family":"Gil-Lopez","given":"Sergio","non-dropping-particle":"","parse-names":false,"suffix":""},{"dropping-particle":"","family":"Molina","given":"Daniel","non-dropping-particle":"","parse-names":false,"suffix":""},{"dropping-particle":"","family":"Benjamins","given":"Richard","non-dropping-particle":"","parse-names":false,"suffix":""},{"dropping-particle":"","family":"Chatila","given":"Raja","non-dropping-particle":"","parse-names":false,"suffix":""},{"dropping-particle":"","family":"Herrera","given":"Francisco","non-dropping-particle":"","parse-names":false,"suffix":""}],"container-title":"Information Fusion","id":"ITEM-2","issued":{"date-parts":[["2019","6","1"]]},"page":"82-115","publisher":"Elsevier B.V.","title":"Explainable Artificial Intelligence (XAI): Concepts, Taxonomies, Opportunities and Challenges toward Responsible AI","type":"article-journal","volume":"58"},"uris":["http://www.mendeley.com/documents/?uuid=01b709f5-e214-30bd-8396-e5aa4425e976"]},{"id":"ITEM-3","itemData":{"DOI":"10.1016/J.PATTER.2021.100365","ISSN":"26663899","abstract":"Stable operation of an electric power system requires strict operational limits for the grid frequency. Fluctuations and external impacts can cause large frequency deviations and increased control efforts. Although these complex interdependencies can be modeled using machine learning algorithms, the black box character of many models limits insights and applicability. In this article, we introduce an explainable machine learning model that accurately predicts frequency stability indicators for three European synchronous areas. Using Shapley additive explanations, we identify key features and risk factors for frequency stability. We show how load and generation ramps determine frequency gradients, and we identify three classes of generation technologies with converse impacts. Control efforts vary strongly depending on the grid and time of day and are driven by ramps as well as electricity prices. Notably, renewable power generation is central only in the British grid, while forecasting errors play a major role in the Nordic grid.","author":[{"dropping-particle":"","family":"Kruse","given":"Johannes","non-dropping-particle":"","parse-names":false,"suffix":""},{"dropping-particle":"","family":"Schäfer","given":"Benjamin","non-dropping-particle":"","parse-names":false,"suffix":""},{"dropping-particle":"","family":"Witthaut","given":"Dirk","non-dropping-particle":"","parse-names":false,"suffix":""}],"container-title":"Patterns","id":"ITEM-3","issue":"11","issued":{"date-parts":[["2021","11","12"]]},"publisher":"Cell Press","title":"Revealing drivers and risks for power grid frequency stability with explainable AI","type":"article-journal","volume":"2"},"uris":["http://www.mendeley.com/documents/?uuid=9dbe740f-025f-3304-8ec9-cebd183fe1ee"]},{"id":"ITEM-4","itemData":{"DOI":"10.48550/ARXIV.2212.04805","author":[{"dropping-particle":"","family":"Trebbien","given":"Julius","non-dropping-particle":"","parse-names":false,"suffix":""},{"dropping-particle":"","family":"Gorjão","given":"L. R.","non-dropping-particle":"","parse-names":false,"suffix":""},{"dropping-particle":"","family":"Praktiknjo","given":"Aaron","non-dropping-particle":"","parse-names":false,"suffix":""},{"dropping-particle":"","family":"Schäfer","given":"B.","non-dropping-particle":"","parse-names":false,"suffix":""},{"dropping-particle":"","family":"Witthaut","given":"D.","non-dropping-particle":"","parse-names":false,"suffix":""}],"container-title":"Energy and AI","id":"ITEM-4","issued":{"date-parts":[["2022"]]},"title":"Understanding electricity prices beyond the merit order principle using explainable AI","type":"article-journal"},"uris":["http://www.mendeley.com/documents/?uuid=25c78a69-ec39-3ddd-9d27-4e5cdb0276dd"]}],"mendeley":{"formattedCitation":"[124,125,160,161]","plainTextFormattedCitation":"[124,125,160,161]","previouslyFormattedCitation":"[124,125,160,161]"},"properties":{"noteIndex":0},"schema":"https://github.com/citation-style-language/schema/raw/master/csl-citation.json"}</w:instrText>
      </w:r>
      <w:r w:rsidR="00636FE7" w:rsidRPr="003676D3">
        <w:rPr>
          <w:rFonts w:ascii="Times New Roman" w:hAnsi="Times New Roman" w:cs="Times New Roman"/>
          <w:sz w:val="24"/>
          <w:szCs w:val="24"/>
        </w:rPr>
        <w:fldChar w:fldCharType="separate"/>
      </w:r>
      <w:r w:rsidR="00636FE7" w:rsidRPr="003676D3">
        <w:rPr>
          <w:rFonts w:ascii="Times New Roman" w:hAnsi="Times New Roman" w:cs="Times New Roman"/>
          <w:noProof/>
          <w:sz w:val="24"/>
          <w:szCs w:val="24"/>
        </w:rPr>
        <w:t>[124,125,160,161]</w:t>
      </w:r>
      <w:r w:rsidR="00636FE7" w:rsidRPr="003676D3">
        <w:rPr>
          <w:rFonts w:ascii="Times New Roman" w:hAnsi="Times New Roman" w:cs="Times New Roman"/>
          <w:sz w:val="24"/>
          <w:szCs w:val="24"/>
        </w:rPr>
        <w:fldChar w:fldCharType="end"/>
      </w:r>
      <w:r w:rsidR="00116D42" w:rsidRPr="003676D3">
        <w:rPr>
          <w:rFonts w:ascii="Times New Roman" w:hAnsi="Times New Roman" w:cs="Times New Roman"/>
          <w:sz w:val="24"/>
          <w:szCs w:val="24"/>
        </w:rPr>
        <w:t>.</w:t>
      </w:r>
      <w:r w:rsidR="00A875CF" w:rsidRPr="003676D3">
        <w:rPr>
          <w:rFonts w:ascii="Times New Roman" w:hAnsi="Times New Roman" w:cs="Times New Roman"/>
          <w:sz w:val="24"/>
          <w:szCs w:val="24"/>
        </w:rPr>
        <w:t xml:space="preserve"> </w:t>
      </w:r>
    </w:p>
    <w:p w14:paraId="63E7A871" w14:textId="06D56B7B" w:rsidR="003725D5" w:rsidRPr="003676D3" w:rsidRDefault="003725D5"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Federated Learning (FL) techniques facilitate collaborative model training across distributed </w:t>
      </w:r>
      <w:r w:rsidR="001159D3" w:rsidRPr="003676D3">
        <w:rPr>
          <w:rFonts w:ascii="Times New Roman" w:hAnsi="Times New Roman" w:cs="Times New Roman"/>
          <w:sz w:val="24"/>
          <w:szCs w:val="24"/>
        </w:rPr>
        <w:t>devices ensuring</w:t>
      </w:r>
      <w:r w:rsidRPr="003676D3">
        <w:rPr>
          <w:rFonts w:ascii="Times New Roman" w:hAnsi="Times New Roman" w:cs="Times New Roman"/>
          <w:sz w:val="24"/>
          <w:szCs w:val="24"/>
        </w:rPr>
        <w:t xml:space="preserve"> data privacy without the necessity to transmit data to a centralized server. In Smart Grids (SG), FL mechanisms maintain data privacy</w:t>
      </w:r>
      <w:r w:rsidR="00636FE7" w:rsidRPr="003676D3">
        <w:rPr>
          <w:rFonts w:ascii="Times New Roman" w:hAnsi="Times New Roman" w:cs="Times New Roman"/>
          <w:sz w:val="24"/>
          <w:szCs w:val="24"/>
        </w:rPr>
        <w:t xml:space="preserve"> </w:t>
      </w:r>
      <w:r w:rsidR="00636FE7" w:rsidRPr="003676D3">
        <w:rPr>
          <w:rFonts w:ascii="Times New Roman" w:hAnsi="Times New Roman" w:cs="Times New Roman"/>
          <w:sz w:val="24"/>
          <w:szCs w:val="24"/>
        </w:rPr>
        <w:fldChar w:fldCharType="begin" w:fldLock="1"/>
      </w:r>
      <w:r w:rsidR="00636FE7" w:rsidRPr="003676D3">
        <w:rPr>
          <w:rFonts w:ascii="Times New Roman" w:hAnsi="Times New Roman" w:cs="Times New Roman"/>
          <w:sz w:val="24"/>
          <w:szCs w:val="24"/>
        </w:rPr>
        <w:instrText>ADDIN CSL_CITATION {"citationItems":[{"id":"ITEM-1","itemData":{"DOI":"10.32604/cmc.2022.022290","abstract":"Federated learning is a distributed learning framework which trains global models by passing model parameters instead of raw data. However, the training mechanism for passing model parameters is still threatened by gradient inversion, inference attacks, etc. With a lightweight encryption overhead, function encryption is a viable secure aggregation technique in federation learning, which is often used in combination with differential privacy. The function encryption in federal learning still has the following problems: a) Traditional function encryption usually requires a trust third party (TTP) to assign the keys. If a TTP colludes with a server, the security aggregation mechanism can be compromised. b) When using differential privacy in combination with function encryption, the evaluation metrics of incentive mechanisms in the traditional federal learning become invisible. In this paper, we propose a hybrid privacy-preserving scheme for federated learning, called Fed-DFE. Specifically, we present a decentralized multi-client function encryption algorithm. It replaces the TTP in traditional function encryption with an interactive key generation algorithm, avoiding the problem of collusion. Then, an embedded incentive mechanism is designed for function encryption. It models the real parameters in federated learning and finds a balance between privacy preservation and model accuracy. Subsequently, we implemented a prototype of Fed-DFE and evaluated the performance of decentralized function encryp-tion algorithm. The experimental results demonstrate the effectiveness and efficiency of our scheme.","author":[{"dropping-particle":"","family":"Sun","given":"Z","non-dropping-particle":"","parse-names":false,"suffix":""},{"dropping-particle":"","family":"Feng","given":"J","non-dropping-particle":"","parse-names":false,"suffix":""},{"dropping-particle":"","family":"Yin","given":"L","non-dropping-particle":"","parse-names":false,"suffix":""},{"dropping-particle":"","family":"Zhang","given":"Z","non-dropping-particle":"","parse-names":false,"suffix":""},{"dropping-particle":"","family":"…","given":"R Li -","non-dropping-particle":"","parse-names":false,"suffix":""},{"dropping-particle":"","family":"Continua","given":"Materials &amp;","non-dropping-particle":"","parse-names":false,"suffix":""},{"dropping-particle":"","family":"2022","given":"undefined","non-dropping-particle":"","parse-names":false,"suffix":""}],"container-title":"cdn.techscience.cnZ Sun, J Feng, L Yin, Z Zhang, R Li, Y Hu, C NaComputers, Materials &amp; Continua, 2022•cdn.techscience.cn","id":"ITEM-1","issued":{"date-parts":[["0"]]},"title":"Fed-DFE: A Decentralized Function Encryption-Based Privacy-Preserving Scheme for Federated Learning.","type":"article-journal"},"uris":["http://www.mendeley.com/documents/?uuid=120bdbff-c930-3a46-8cf4-caed33cf883e"]}],"mendeley":{"formattedCitation":"[162]","plainTextFormattedCitation":"[162]","previouslyFormattedCitation":"[162]"},"properties":{"noteIndex":0},"schema":"https://github.com/citation-style-language/schema/raw/master/csl-citation.json"}</w:instrText>
      </w:r>
      <w:r w:rsidR="00636FE7" w:rsidRPr="003676D3">
        <w:rPr>
          <w:rFonts w:ascii="Times New Roman" w:hAnsi="Times New Roman" w:cs="Times New Roman"/>
          <w:sz w:val="24"/>
          <w:szCs w:val="24"/>
        </w:rPr>
        <w:fldChar w:fldCharType="separate"/>
      </w:r>
      <w:r w:rsidR="00636FE7" w:rsidRPr="003676D3">
        <w:rPr>
          <w:rFonts w:ascii="Times New Roman" w:hAnsi="Times New Roman" w:cs="Times New Roman"/>
          <w:noProof/>
          <w:sz w:val="24"/>
          <w:szCs w:val="24"/>
        </w:rPr>
        <w:t>[162]</w:t>
      </w:r>
      <w:r w:rsidR="00636FE7" w:rsidRPr="003676D3">
        <w:rPr>
          <w:rFonts w:ascii="Times New Roman" w:hAnsi="Times New Roman" w:cs="Times New Roman"/>
          <w:sz w:val="24"/>
          <w:szCs w:val="24"/>
        </w:rPr>
        <w:fldChar w:fldCharType="end"/>
      </w:r>
      <w:r w:rsidR="001159D3" w:rsidRPr="003676D3">
        <w:rPr>
          <w:rFonts w:ascii="Times New Roman" w:hAnsi="Times New Roman" w:cs="Times New Roman"/>
          <w:sz w:val="24"/>
          <w:szCs w:val="24"/>
        </w:rPr>
        <w:t xml:space="preserve">. This is done by </w:t>
      </w:r>
      <w:r w:rsidRPr="003676D3">
        <w:rPr>
          <w:rFonts w:ascii="Times New Roman" w:hAnsi="Times New Roman" w:cs="Times New Roman"/>
          <w:sz w:val="24"/>
          <w:szCs w:val="24"/>
        </w:rPr>
        <w:t xml:space="preserve">conducting local training at individual stations, with only the results shared with the cloud server. Consumers receive suitable incentives based on the data obtained by the cloud server. </w:t>
      </w:r>
      <w:r w:rsidR="003B3E2E" w:rsidRPr="003676D3">
        <w:rPr>
          <w:rFonts w:ascii="Times New Roman" w:hAnsi="Times New Roman" w:cs="Times New Roman"/>
          <w:sz w:val="24"/>
          <w:szCs w:val="24"/>
        </w:rPr>
        <w:t>E</w:t>
      </w:r>
      <w:r w:rsidRPr="003676D3">
        <w:rPr>
          <w:rFonts w:ascii="Times New Roman" w:hAnsi="Times New Roman" w:cs="Times New Roman"/>
          <w:sz w:val="24"/>
          <w:szCs w:val="24"/>
        </w:rPr>
        <w:t>dge-cloud collaboration was proposed by</w:t>
      </w:r>
      <w:r w:rsidR="00636FE7" w:rsidRPr="003676D3">
        <w:rPr>
          <w:rFonts w:ascii="Times New Roman" w:hAnsi="Times New Roman" w:cs="Times New Roman"/>
          <w:sz w:val="24"/>
          <w:szCs w:val="24"/>
        </w:rPr>
        <w:t xml:space="preserve"> </w:t>
      </w:r>
      <w:r w:rsidR="00636FE7" w:rsidRPr="003676D3">
        <w:rPr>
          <w:rFonts w:ascii="Times New Roman" w:hAnsi="Times New Roman" w:cs="Times New Roman"/>
          <w:sz w:val="24"/>
          <w:szCs w:val="24"/>
        </w:rPr>
        <w:fldChar w:fldCharType="begin" w:fldLock="1"/>
      </w:r>
      <w:r w:rsidR="006D6D2E" w:rsidRPr="003676D3">
        <w:rPr>
          <w:rFonts w:ascii="Times New Roman" w:hAnsi="Times New Roman" w:cs="Times New Roman"/>
          <w:sz w:val="24"/>
          <w:szCs w:val="24"/>
        </w:rPr>
        <w:instrText>ADDIN CSL_CITATION {"citationItems":[{"id":"ITEM-1","itemData":{"DOI":"10.1109/TII.2021.3095506","ISSN":"19410050","abstract":"With the prevalence of smart appliances, smart meters, and Internet of Things (IoT) devices in smart grids, artificial intelligence (AI) built on the rich IoT big data enables various energy data analysis applications and brings intelligent and personalized energy services for users. In conventional AI of Things (AIoT) paradigms, a wealth of individual energy data distributed across users’ IoT devices needs to be migrated to a central storage (e.g., cloud or edge device) for knowledge extraction, which may impose severe privacy violation and data misuse risks. Federated learning, as an appealing privacy-preserving AI paradigm, enables energy data owners (EDOs) to cooperatively train a shared AI model without revealing the local energy data. Nevertheless, potential security and efficiency concerns still impede the deployment of federatedlearning-based AIoT services in smart grids due to the low-quality shared local models, non-independently and identically distributed (non-IID) data distributions, and unpredictable communication delays. In this article, we propose a secure and efficient federated-learning-enabled AIoT scheme for private energy data sharing in smart grids with edge-cloud collaboration. Specifically, we first introduce an edge-cloud-assisted federated learning framework for communication-efficient and privacy-preserving energy data sharing of users in smart grids. Then, by considering non-IID effects, we design a local data evaluation mechanism in federated learning and formulate two optimization problems for EDOs and energy service providers. Furthermore, due to the lack of knowledge of multidimensional user private information in practical scenarios, a two-layer deep reinforcement-learning-based incentive algorithm is developed to promote EDOs’ participation and high-quality model contribution. Extensive simulation results show that the proposed scheme can effectively stimulate EDOs to share high-quality local model updates and improve the communication efficiency.","author":[{"dropping-particle":"","family":"Su","given":"Zhou","non-dropping-particle":"","parse-names":false,"suffix":""},{"dropping-particle":"","family":"Wang","given":"Yuntao","non-dropping-particle":"","parse-names":false,"suffix":""},{"dropping-particle":"","family":"Luan","given":"Tom H.","non-dropping-particle":"","parse-names":false,"suffix":""},{"dropping-particle":"","family":"Zhang","given":"Ning","non-dropping-particle":"","parse-names":false,"suffix":""},{"dropping-particle":"","family":"Li","given":"Feng","non-dropping-particle":"","parse-names":false,"suffix":""},{"dropping-particle":"","family":"Chen","given":"Tao","non-dropping-particle":"","parse-names":false,"suffix":""},{"dropping-particle":"","family":"Cao","given":"Hui","non-dropping-particle":"","parse-names":false,"suffix":""}],"container-title":"IEEE Transactions on Industrial Informatics","id":"ITEM-1","issue":"2","issued":{"date-parts":[["2022","2","1"]]},"page":"1333-1344","publisher":"IEEE Computer Society","title":"Secure and Efficient Federated Learning for Smart Grid with Edge-Cloud Collaboration","type":"article-journal","volume":"18"},"uris":["http://www.mendeley.com/documents/?uuid=5169c3b3-c725-3853-9eab-900b05ef5656"]},{"id":"ITEM-2","itemData":{"DOI":"10.5220/0010580700830090","ISBN":"9789897585296","abstract":"Multi-microgrids (MMGs) provide economic and environmental benefits to society by improving operational flexibility, stability and reliability of a smart grid. MMGs have greater complexity than conventional power networks due to the use of multiple infrastructures, communication protocols, controllers, and intelligent electronic devices. The distributed and heterogeneous connectivity technologies of the MMGs and their need to exchange information with external sources as well as the vulnerabilities in the communication networks and software-based components, make MMGs susceptible to cyberattacks. In this work, we present a conceptual framework for collaborative adaptive cybersecurity that is able to proactively detect security incidents. The framework utilizes federated learning for collaborative training of shared prediction models in a decentralized manner. The methodology used in this research is mainly analytical. This involves analysis of how the principles of a collaborative adaptive cybersecurity can be applied to the MMG environments resulting in the development of theoretical models which can then be validated in practice by prototyping and using real time simulation.","author":[{"dropping-particle":"","family":"Boudko","given":"S","non-dropping-particle":"","parse-names":false,"suffix":""},{"dropping-particle":"","family":"Abie","given":"H","non-dropping-particle":"","parse-names":false,"suffix":""},{"dropping-particle":"","family":"Nigussie","given":"E","non-dropping-particle":"","parse-names":false,"suffix":""},{"dropping-particle":"","family":"WINSYS","given":"R Savola -","non-dropping-particle":"","parse-names":false,"suffix":""},{"dropping-particle":"","family":"2021","given":"undefined","non-dropping-particle":"","parse-names":false,"suffix":""}],"container-title":"scitepress.orgS Boudko, H Abie, E Nigussie, R SavolaWINSYS, 2021•scitepress.org","id":"ITEM-2","issued":{"date-parts":[["0"]]},"title":"Towards Federated Learning-based Collaborative Adaptive Cybersecurity for Multi-microgrids.","type":"article-journal"},"uris":["http://www.mendeley.com/documents/?uuid=de824a1b-bf98-309c-ae09-a6f712a10589"]}],"mendeley":{"formattedCitation":"[163,164]","plainTextFormattedCitation":"[163,164]","previouslyFormattedCitation":"[163,164]"},"properties":{"noteIndex":0},"schema":"https://github.com/citation-style-language/schema/raw/master/csl-citation.json"}</w:instrText>
      </w:r>
      <w:r w:rsidR="00636FE7" w:rsidRPr="003676D3">
        <w:rPr>
          <w:rFonts w:ascii="Times New Roman" w:hAnsi="Times New Roman" w:cs="Times New Roman"/>
          <w:sz w:val="24"/>
          <w:szCs w:val="24"/>
        </w:rPr>
        <w:fldChar w:fldCharType="separate"/>
      </w:r>
      <w:r w:rsidR="00636FE7" w:rsidRPr="003676D3">
        <w:rPr>
          <w:rFonts w:ascii="Times New Roman" w:hAnsi="Times New Roman" w:cs="Times New Roman"/>
          <w:noProof/>
          <w:sz w:val="24"/>
          <w:szCs w:val="24"/>
        </w:rPr>
        <w:t>[163,164]</w:t>
      </w:r>
      <w:r w:rsidR="00636FE7" w:rsidRPr="003676D3">
        <w:rPr>
          <w:rFonts w:ascii="Times New Roman" w:hAnsi="Times New Roman" w:cs="Times New Roman"/>
          <w:sz w:val="24"/>
          <w:szCs w:val="24"/>
        </w:rPr>
        <w:fldChar w:fldCharType="end"/>
      </w:r>
      <w:r w:rsidR="003B3E2E" w:rsidRPr="003676D3">
        <w:rPr>
          <w:rFonts w:ascii="Times New Roman" w:hAnsi="Times New Roman" w:cs="Times New Roman"/>
          <w:sz w:val="24"/>
          <w:szCs w:val="24"/>
        </w:rPr>
        <w:t xml:space="preserve"> for privacy-preserving energy data sharing</w:t>
      </w:r>
      <w:r w:rsidRPr="003676D3">
        <w:rPr>
          <w:rFonts w:ascii="Times New Roman" w:hAnsi="Times New Roman" w:cs="Times New Roman"/>
          <w:sz w:val="24"/>
          <w:szCs w:val="24"/>
        </w:rPr>
        <w:t xml:space="preserve">. </w:t>
      </w:r>
      <w:r w:rsidR="004C6214" w:rsidRPr="003676D3">
        <w:rPr>
          <w:rFonts w:ascii="Times New Roman" w:hAnsi="Times New Roman" w:cs="Times New Roman"/>
          <w:b/>
          <w:bCs/>
          <w:sz w:val="24"/>
          <w:szCs w:val="24"/>
        </w:rPr>
        <w:fldChar w:fldCharType="begin"/>
      </w:r>
      <w:r w:rsidR="004C6214" w:rsidRPr="003676D3">
        <w:rPr>
          <w:rFonts w:ascii="Times New Roman" w:hAnsi="Times New Roman" w:cs="Times New Roman"/>
          <w:b/>
          <w:bCs/>
          <w:sz w:val="24"/>
          <w:szCs w:val="24"/>
        </w:rPr>
        <w:instrText xml:space="preserve"> REF _Ref168447528 \h  \* MERGEFORMAT </w:instrText>
      </w:r>
      <w:r w:rsidR="004C6214" w:rsidRPr="003676D3">
        <w:rPr>
          <w:rFonts w:ascii="Times New Roman" w:hAnsi="Times New Roman" w:cs="Times New Roman"/>
          <w:b/>
          <w:bCs/>
          <w:sz w:val="24"/>
          <w:szCs w:val="24"/>
        </w:rPr>
      </w:r>
      <w:r w:rsidR="004C6214" w:rsidRPr="003676D3">
        <w:rPr>
          <w:rFonts w:ascii="Times New Roman" w:hAnsi="Times New Roman" w:cs="Times New Roman"/>
          <w:b/>
          <w:bCs/>
          <w:sz w:val="24"/>
          <w:szCs w:val="24"/>
        </w:rPr>
        <w:fldChar w:fldCharType="separate"/>
      </w:r>
      <w:r w:rsidR="008D1E2C" w:rsidRPr="003676D3">
        <w:rPr>
          <w:rFonts w:ascii="Times New Roman" w:hAnsi="Times New Roman" w:cs="Times New Roman"/>
          <w:b/>
          <w:bCs/>
          <w:sz w:val="24"/>
          <w:szCs w:val="24"/>
        </w:rPr>
        <w:t xml:space="preserve">Figure </w:t>
      </w:r>
      <w:r w:rsidR="008D1E2C" w:rsidRPr="003676D3">
        <w:rPr>
          <w:rFonts w:ascii="Times New Roman" w:hAnsi="Times New Roman" w:cs="Times New Roman"/>
          <w:b/>
          <w:bCs/>
          <w:noProof/>
          <w:sz w:val="24"/>
          <w:szCs w:val="24"/>
        </w:rPr>
        <w:t>9</w:t>
      </w:r>
      <w:r w:rsidR="004C6214" w:rsidRPr="003676D3">
        <w:rPr>
          <w:rFonts w:ascii="Times New Roman" w:hAnsi="Times New Roman" w:cs="Times New Roman"/>
          <w:b/>
          <w:bCs/>
          <w:sz w:val="24"/>
          <w:szCs w:val="24"/>
        </w:rPr>
        <w:fldChar w:fldCharType="end"/>
      </w:r>
      <w:r w:rsidR="004C6214" w:rsidRPr="003676D3">
        <w:rPr>
          <w:rFonts w:ascii="Times New Roman" w:hAnsi="Times New Roman" w:cs="Times New Roman"/>
          <w:sz w:val="24"/>
          <w:szCs w:val="24"/>
        </w:rPr>
        <w:t xml:space="preserve"> shows application of artificial intelligence and machine learning algorithms with asset and ICT layers in a SG environment</w:t>
      </w:r>
      <w:r w:rsidR="000128C6" w:rsidRPr="003676D3">
        <w:rPr>
          <w:rFonts w:ascii="Times New Roman" w:hAnsi="Times New Roman" w:cs="Times New Roman"/>
          <w:sz w:val="24"/>
          <w:szCs w:val="24"/>
        </w:rPr>
        <w:t xml:space="preserve"> </w:t>
      </w:r>
      <w:r w:rsidR="000128C6" w:rsidRPr="003676D3">
        <w:rPr>
          <w:rFonts w:ascii="Times New Roman" w:hAnsi="Times New Roman" w:cs="Times New Roman"/>
          <w:sz w:val="24"/>
          <w:szCs w:val="24"/>
        </w:rPr>
        <w:fldChar w:fldCharType="begin" w:fldLock="1"/>
      </w:r>
      <w:r w:rsidR="000128C6" w:rsidRPr="003676D3">
        <w:rPr>
          <w:rFonts w:ascii="Times New Roman" w:hAnsi="Times New Roman" w:cs="Times New Roman"/>
          <w:sz w:val="24"/>
          <w:szCs w:val="24"/>
        </w:rPr>
        <w:instrText>ADDIN CSL_CITATION {"citationItems":[{"id":"ITEM-1","itemData":{"DOI":"10.1016/J.JCLEPRO.2021.126877","ISSN":"0959-6526","abstract":"This paper describes a generic methodology to develop mathematical and computational models of different components of the smart grid architecture model (SGAM). The SGAM inspired integrated mathematical modelling will help develop interoperable complex system simulations for integrating different smart grid components, associated communication models for data exchange and software modules, control, estimation, and data analytics functionalities with the business perspectives. This paper is based on the existing component models inspired by SGAM, which provides a holistic view for integrating the models under operational and security constraints. Achievable results and open research problems for the SGAM mapping have also been discussed in these models supporting the interoperability challenges. The models described in this paper can serve as a guideline to design efficient and robust control strategies for smart grids against uncertain loading, generation, and communication constraints, thus optimizing and improving the whole system's performance. Mathematical and computational models of cyber-physical systems have also been discussed along with their potential challenges. Based on the above concepts, unsolved and open challenges in the smart grid control, optimization and data analytics are highlighted.","author":[{"dropping-particle":"","family":"Panda","given":"Deepak Kumar","non-dropping-particle":"","parse-names":false,"suffix":""},{"dropping-particle":"","family":"Das","given":"Saptarshi","non-dropping-particle":"","parse-names":false,"suffix":""}],"container-title":"Journal of Cleaner Production","id":"ITEM-1","issued":{"date-parts":[["2021","6","10"]]},"page":"126877","publisher":"Elsevier","title":"Smart grid architecture model for control, optimization and data analytics of future power networks with more renewable energy","type":"article-journal","volume":"301"},"uris":["http://www.mendeley.com/documents/?uuid=f91adc9d-0091-3d22-ae10-84bcaed7fab6"]}],"mendeley":{"formattedCitation":"[23]","plainTextFormattedCitation":"[23]","previouslyFormattedCitation":"[23]"},"properties":{"noteIndex":0},"schema":"https://github.com/citation-style-language/schema/raw/master/csl-citation.json"}</w:instrText>
      </w:r>
      <w:r w:rsidR="000128C6" w:rsidRPr="003676D3">
        <w:rPr>
          <w:rFonts w:ascii="Times New Roman" w:hAnsi="Times New Roman" w:cs="Times New Roman"/>
          <w:sz w:val="24"/>
          <w:szCs w:val="24"/>
        </w:rPr>
        <w:fldChar w:fldCharType="separate"/>
      </w:r>
      <w:r w:rsidR="000128C6" w:rsidRPr="003676D3">
        <w:rPr>
          <w:rFonts w:ascii="Times New Roman" w:hAnsi="Times New Roman" w:cs="Times New Roman"/>
          <w:noProof/>
          <w:sz w:val="24"/>
          <w:szCs w:val="24"/>
        </w:rPr>
        <w:t>[23]</w:t>
      </w:r>
      <w:r w:rsidR="000128C6" w:rsidRPr="003676D3">
        <w:rPr>
          <w:rFonts w:ascii="Times New Roman" w:hAnsi="Times New Roman" w:cs="Times New Roman"/>
          <w:sz w:val="24"/>
          <w:szCs w:val="24"/>
        </w:rPr>
        <w:fldChar w:fldCharType="end"/>
      </w:r>
      <w:r w:rsidR="004C6214" w:rsidRPr="003676D3">
        <w:rPr>
          <w:rFonts w:ascii="Times New Roman" w:hAnsi="Times New Roman" w:cs="Times New Roman"/>
          <w:sz w:val="24"/>
          <w:szCs w:val="24"/>
        </w:rPr>
        <w:t>. These enabling technologies in SG constitutes the basis of a super smart grid.</w:t>
      </w:r>
      <w:r w:rsidR="00CC49AF" w:rsidRPr="003676D3">
        <w:rPr>
          <w:rFonts w:ascii="Times New Roman" w:hAnsi="Times New Roman" w:cs="Times New Roman"/>
          <w:sz w:val="24"/>
          <w:szCs w:val="24"/>
        </w:rPr>
        <w:t xml:space="preserve"> </w:t>
      </w:r>
      <w:r w:rsidR="00CC49AF" w:rsidRPr="003676D3">
        <w:rPr>
          <w:rFonts w:ascii="Times New Roman" w:hAnsi="Times New Roman" w:cs="Times New Roman"/>
          <w:sz w:val="24"/>
          <w:szCs w:val="24"/>
        </w:rPr>
        <w:fldChar w:fldCharType="begin"/>
      </w:r>
      <w:r w:rsidR="00CC49AF" w:rsidRPr="003676D3">
        <w:rPr>
          <w:rFonts w:ascii="Times New Roman" w:hAnsi="Times New Roman" w:cs="Times New Roman"/>
          <w:sz w:val="24"/>
          <w:szCs w:val="24"/>
        </w:rPr>
        <w:instrText xml:space="preserve"> REF _Ref168484028 \h  \* MERGEFORMAT </w:instrText>
      </w:r>
      <w:r w:rsidR="00CC49AF" w:rsidRPr="003676D3">
        <w:rPr>
          <w:rFonts w:ascii="Times New Roman" w:hAnsi="Times New Roman" w:cs="Times New Roman"/>
          <w:sz w:val="24"/>
          <w:szCs w:val="24"/>
        </w:rPr>
      </w:r>
      <w:r w:rsidR="00CC49AF" w:rsidRPr="003676D3">
        <w:rPr>
          <w:rFonts w:ascii="Times New Roman" w:hAnsi="Times New Roman" w:cs="Times New Roman"/>
          <w:sz w:val="24"/>
          <w:szCs w:val="24"/>
        </w:rPr>
        <w:fldChar w:fldCharType="separate"/>
      </w:r>
      <w:r w:rsidR="008D1E2C" w:rsidRPr="003676D3">
        <w:rPr>
          <w:rFonts w:ascii="Times New Roman" w:hAnsi="Times New Roman" w:cs="Times New Roman"/>
          <w:b/>
          <w:bCs/>
          <w:sz w:val="24"/>
          <w:szCs w:val="24"/>
        </w:rPr>
        <w:t xml:space="preserve">Table </w:t>
      </w:r>
      <w:r w:rsidR="008D1E2C" w:rsidRPr="003676D3">
        <w:rPr>
          <w:rFonts w:ascii="Times New Roman" w:hAnsi="Times New Roman" w:cs="Times New Roman"/>
          <w:b/>
          <w:bCs/>
          <w:noProof/>
          <w:sz w:val="24"/>
          <w:szCs w:val="24"/>
        </w:rPr>
        <w:t>4.</w:t>
      </w:r>
      <w:r w:rsidR="008D1E2C" w:rsidRPr="003676D3">
        <w:rPr>
          <w:rFonts w:ascii="Times New Roman" w:hAnsi="Times New Roman" w:cs="Times New Roman"/>
          <w:sz w:val="24"/>
          <w:szCs w:val="24"/>
        </w:rPr>
        <w:t xml:space="preserve"> Summary of research papers within the domain of enabling technologies, SG and SSG.</w:t>
      </w:r>
      <w:r w:rsidR="00CC49AF" w:rsidRPr="003676D3">
        <w:rPr>
          <w:rFonts w:ascii="Times New Roman" w:hAnsi="Times New Roman" w:cs="Times New Roman"/>
          <w:sz w:val="24"/>
          <w:szCs w:val="24"/>
        </w:rPr>
        <w:fldChar w:fldCharType="end"/>
      </w:r>
    </w:p>
    <w:p w14:paraId="57A2DE68" w14:textId="085ACB82" w:rsidR="003F2161" w:rsidRPr="003676D3" w:rsidRDefault="00A875CF" w:rsidP="003676D3">
      <w:pPr>
        <w:spacing w:line="276" w:lineRule="auto"/>
        <w:jc w:val="both"/>
        <w:rPr>
          <w:rFonts w:ascii="Times New Roman" w:hAnsi="Times New Roman" w:cs="Times New Roman"/>
          <w:sz w:val="24"/>
          <w:szCs w:val="24"/>
        </w:rPr>
      </w:pPr>
      <w:r w:rsidRPr="003676D3">
        <w:rPr>
          <w:rFonts w:ascii="Times New Roman" w:hAnsi="Times New Roman" w:cs="Times New Roman"/>
          <w:noProof/>
          <w:sz w:val="24"/>
          <w:szCs w:val="24"/>
          <w:lang w:eastAsia="en-GB"/>
        </w:rPr>
        <w:lastRenderedPageBreak/>
        <w:drawing>
          <wp:anchor distT="0" distB="0" distL="114300" distR="114300" simplePos="0" relativeHeight="251679744" behindDoc="0" locked="0" layoutInCell="1" allowOverlap="1" wp14:anchorId="4955681C" wp14:editId="493158B9">
            <wp:simplePos x="0" y="0"/>
            <wp:positionH relativeFrom="column">
              <wp:posOffset>-63795</wp:posOffset>
            </wp:positionH>
            <wp:positionV relativeFrom="paragraph">
              <wp:posOffset>74029</wp:posOffset>
            </wp:positionV>
            <wp:extent cx="5731510" cy="3684270"/>
            <wp:effectExtent l="0" t="0" r="254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ry.png"/>
                    <pic:cNvPicPr/>
                  </pic:nvPicPr>
                  <pic:blipFill>
                    <a:blip r:embed="rId33">
                      <a:extLst>
                        <a:ext uri="{28A0092B-C50C-407E-A947-70E740481C1C}">
                          <a14:useLocalDpi xmlns:a14="http://schemas.microsoft.com/office/drawing/2010/main" val="0"/>
                        </a:ext>
                      </a:extLst>
                    </a:blip>
                    <a:stretch>
                      <a:fillRect/>
                    </a:stretch>
                  </pic:blipFill>
                  <pic:spPr>
                    <a:xfrm>
                      <a:off x="0" y="0"/>
                      <a:ext cx="5731510" cy="3684270"/>
                    </a:xfrm>
                    <a:prstGeom prst="rect">
                      <a:avLst/>
                    </a:prstGeom>
                  </pic:spPr>
                </pic:pic>
              </a:graphicData>
            </a:graphic>
          </wp:anchor>
        </w:drawing>
      </w:r>
      <w:r w:rsidR="004C6214" w:rsidRPr="003676D3">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3567E58D" wp14:editId="4716B2AA">
                <wp:simplePos x="0" y="0"/>
                <wp:positionH relativeFrom="column">
                  <wp:posOffset>0</wp:posOffset>
                </wp:positionH>
                <wp:positionV relativeFrom="paragraph">
                  <wp:posOffset>4017645</wp:posOffset>
                </wp:positionV>
                <wp:extent cx="5731510" cy="456565"/>
                <wp:effectExtent l="0" t="0" r="2540" b="635"/>
                <wp:wrapSquare wrapText="bothSides"/>
                <wp:docPr id="18" name="Text Box 18"/>
                <wp:cNvGraphicFramePr/>
                <a:graphic xmlns:a="http://schemas.openxmlformats.org/drawingml/2006/main">
                  <a:graphicData uri="http://schemas.microsoft.com/office/word/2010/wordprocessingShape">
                    <wps:wsp>
                      <wps:cNvSpPr txBox="1"/>
                      <wps:spPr>
                        <a:xfrm>
                          <a:off x="0" y="0"/>
                          <a:ext cx="5731510" cy="456565"/>
                        </a:xfrm>
                        <a:prstGeom prst="rect">
                          <a:avLst/>
                        </a:prstGeom>
                        <a:solidFill>
                          <a:prstClr val="white"/>
                        </a:solidFill>
                        <a:ln>
                          <a:noFill/>
                        </a:ln>
                      </wps:spPr>
                      <wps:txbx>
                        <w:txbxContent>
                          <w:p w14:paraId="14903A06" w14:textId="67B680D1" w:rsidR="001F368F" w:rsidRDefault="001F368F" w:rsidP="004B1918">
                            <w:pPr>
                              <w:pStyle w:val="Caption"/>
                              <w:spacing w:after="0" w:line="276" w:lineRule="auto"/>
                              <w:jc w:val="center"/>
                              <w:rPr>
                                <w:rFonts w:asciiTheme="majorBidi" w:hAnsiTheme="majorBidi" w:cstheme="majorBidi"/>
                                <w:b/>
                                <w:bCs/>
                                <w:i w:val="0"/>
                                <w:iCs w:val="0"/>
                                <w:color w:val="auto"/>
                                <w:sz w:val="20"/>
                                <w:szCs w:val="20"/>
                              </w:rPr>
                            </w:pPr>
                            <w:bookmarkStart w:id="23" w:name="_Ref168447528"/>
                            <w:r w:rsidRPr="003F2161">
                              <w:rPr>
                                <w:rFonts w:asciiTheme="majorBidi" w:hAnsiTheme="majorBidi" w:cstheme="majorBidi"/>
                                <w:b/>
                                <w:bCs/>
                                <w:i w:val="0"/>
                                <w:iCs w:val="0"/>
                                <w:color w:val="auto"/>
                                <w:sz w:val="20"/>
                                <w:szCs w:val="20"/>
                              </w:rPr>
                              <w:t xml:space="preserve">Figure </w:t>
                            </w:r>
                            <w:r w:rsidRPr="003F2161">
                              <w:rPr>
                                <w:rFonts w:asciiTheme="majorBidi" w:hAnsiTheme="majorBidi" w:cstheme="majorBidi"/>
                                <w:b/>
                                <w:bCs/>
                                <w:i w:val="0"/>
                                <w:iCs w:val="0"/>
                                <w:color w:val="auto"/>
                                <w:sz w:val="20"/>
                                <w:szCs w:val="20"/>
                              </w:rPr>
                              <w:fldChar w:fldCharType="begin"/>
                            </w:r>
                            <w:r w:rsidRPr="003F2161">
                              <w:rPr>
                                <w:rFonts w:asciiTheme="majorBidi" w:hAnsiTheme="majorBidi" w:cstheme="majorBidi"/>
                                <w:b/>
                                <w:bCs/>
                                <w:i w:val="0"/>
                                <w:iCs w:val="0"/>
                                <w:color w:val="auto"/>
                                <w:sz w:val="20"/>
                                <w:szCs w:val="20"/>
                              </w:rPr>
                              <w:instrText xml:space="preserve"> SEQ Figure \* ARABIC </w:instrText>
                            </w:r>
                            <w:r w:rsidRPr="003F2161">
                              <w:rPr>
                                <w:rFonts w:asciiTheme="majorBidi" w:hAnsiTheme="majorBidi" w:cstheme="majorBidi"/>
                                <w:b/>
                                <w:bCs/>
                                <w:i w:val="0"/>
                                <w:iCs w:val="0"/>
                                <w:color w:val="auto"/>
                                <w:sz w:val="20"/>
                                <w:szCs w:val="20"/>
                              </w:rPr>
                              <w:fldChar w:fldCharType="separate"/>
                            </w:r>
                            <w:r w:rsidR="008D1E2C">
                              <w:rPr>
                                <w:rFonts w:asciiTheme="majorBidi" w:hAnsiTheme="majorBidi" w:cstheme="majorBidi"/>
                                <w:b/>
                                <w:bCs/>
                                <w:i w:val="0"/>
                                <w:iCs w:val="0"/>
                                <w:noProof/>
                                <w:color w:val="auto"/>
                                <w:sz w:val="20"/>
                                <w:szCs w:val="20"/>
                              </w:rPr>
                              <w:t>9</w:t>
                            </w:r>
                            <w:r w:rsidRPr="003F2161">
                              <w:rPr>
                                <w:rFonts w:asciiTheme="majorBidi" w:hAnsiTheme="majorBidi" w:cstheme="majorBidi"/>
                                <w:b/>
                                <w:bCs/>
                                <w:i w:val="0"/>
                                <w:iCs w:val="0"/>
                                <w:color w:val="auto"/>
                                <w:sz w:val="20"/>
                                <w:szCs w:val="20"/>
                              </w:rPr>
                              <w:fldChar w:fldCharType="end"/>
                            </w:r>
                            <w:bookmarkEnd w:id="23"/>
                            <w:r w:rsidRPr="003F2161">
                              <w:rPr>
                                <w:rFonts w:asciiTheme="majorBidi" w:hAnsiTheme="majorBidi" w:cstheme="majorBidi"/>
                                <w:b/>
                                <w:bCs/>
                                <w:i w:val="0"/>
                                <w:iCs w:val="0"/>
                                <w:color w:val="auto"/>
                                <w:sz w:val="20"/>
                                <w:szCs w:val="20"/>
                              </w:rPr>
                              <w:t xml:space="preserve">. </w:t>
                            </w:r>
                            <w:r>
                              <w:rPr>
                                <w:rFonts w:asciiTheme="majorBidi" w:hAnsiTheme="majorBidi" w:cstheme="majorBidi"/>
                                <w:b/>
                                <w:bCs/>
                                <w:i w:val="0"/>
                                <w:iCs w:val="0"/>
                                <w:color w:val="auto"/>
                                <w:sz w:val="20"/>
                                <w:szCs w:val="20"/>
                              </w:rPr>
                              <w:t>Artificial intelligence</w:t>
                            </w:r>
                            <w:r w:rsidRPr="003F2161">
                              <w:rPr>
                                <w:rFonts w:asciiTheme="majorBidi" w:hAnsiTheme="majorBidi" w:cstheme="majorBidi"/>
                                <w:b/>
                                <w:bCs/>
                                <w:i w:val="0"/>
                                <w:iCs w:val="0"/>
                                <w:color w:val="auto"/>
                                <w:sz w:val="20"/>
                                <w:szCs w:val="20"/>
                              </w:rPr>
                              <w:t xml:space="preserve"> a</w:t>
                            </w:r>
                            <w:r>
                              <w:rPr>
                                <w:rFonts w:asciiTheme="majorBidi" w:hAnsiTheme="majorBidi" w:cstheme="majorBidi"/>
                                <w:b/>
                                <w:bCs/>
                                <w:i w:val="0"/>
                                <w:iCs w:val="0"/>
                                <w:color w:val="auto"/>
                                <w:sz w:val="20"/>
                                <w:szCs w:val="20"/>
                              </w:rPr>
                              <w:t>pplications in SG [23].</w:t>
                            </w:r>
                          </w:p>
                          <w:p w14:paraId="3E03D52A" w14:textId="640BCD24" w:rsidR="001F368F" w:rsidRPr="003F2161" w:rsidRDefault="001F368F" w:rsidP="004C6214">
                            <w:pPr>
                              <w:pStyle w:val="Caption"/>
                              <w:spacing w:line="276" w:lineRule="auto"/>
                              <w:jc w:val="both"/>
                              <w:rPr>
                                <w:rFonts w:asciiTheme="majorBidi" w:hAnsiTheme="majorBidi" w:cstheme="majorBidi"/>
                                <w:b/>
                                <w:bCs/>
                                <w:i w:val="0"/>
                                <w:iCs w:val="0"/>
                                <w:noProof/>
                                <w:color w:val="auto"/>
                                <w:sz w:val="20"/>
                                <w:szCs w:val="20"/>
                              </w:rPr>
                            </w:pPr>
                            <w:r>
                              <w:rPr>
                                <w:rFonts w:asciiTheme="majorBidi" w:hAnsiTheme="majorBidi" w:cstheme="majorBidi"/>
                                <w:b/>
                                <w:bCs/>
                                <w:i w:val="0"/>
                                <w:iCs w:val="0"/>
                                <w:color w:val="auto"/>
                                <w:sz w:val="20"/>
                                <w:szCs w:val="20"/>
                              </w:rPr>
                              <w:t xml:space="preserve">Grey: Artificial intelligence </w:t>
                            </w:r>
                            <w:r w:rsidRPr="003F2161">
                              <w:rPr>
                                <w:rFonts w:asciiTheme="majorBidi" w:hAnsiTheme="majorBidi" w:cstheme="majorBidi"/>
                                <w:b/>
                                <w:bCs/>
                                <w:i w:val="0"/>
                                <w:iCs w:val="0"/>
                                <w:color w:val="auto"/>
                                <w:sz w:val="20"/>
                                <w:szCs w:val="20"/>
                              </w:rPr>
                              <w:t>,</w:t>
                            </w:r>
                            <w:r>
                              <w:rPr>
                                <w:rFonts w:asciiTheme="majorBidi" w:hAnsiTheme="majorBidi" w:cstheme="majorBidi"/>
                                <w:b/>
                                <w:bCs/>
                                <w:i w:val="0"/>
                                <w:iCs w:val="0"/>
                                <w:color w:val="auto"/>
                                <w:sz w:val="20"/>
                                <w:szCs w:val="20"/>
                              </w:rPr>
                              <w:t xml:space="preserve"> Purple: communication layer, Blue: Asset layer, Red: </w:t>
                            </w:r>
                            <w:r w:rsidRPr="003F2161">
                              <w:rPr>
                                <w:rFonts w:asciiTheme="majorBidi" w:hAnsiTheme="majorBidi" w:cstheme="majorBidi"/>
                                <w:b/>
                                <w:bCs/>
                                <w:i w:val="0"/>
                                <w:iCs w:val="0"/>
                                <w:color w:val="auto"/>
                                <w:sz w:val="20"/>
                                <w:szCs w:val="20"/>
                                <w:cs/>
                              </w:rPr>
                              <w:t>‎</w:t>
                            </w:r>
                            <w:r w:rsidRPr="003F2161">
                              <w:rPr>
                                <w:rFonts w:asciiTheme="majorBidi" w:hAnsiTheme="majorBidi" w:cstheme="majorBidi"/>
                                <w:b/>
                                <w:bCs/>
                                <w:i w:val="0"/>
                                <w:iCs w:val="0"/>
                                <w:color w:val="auto"/>
                                <w:sz w:val="20"/>
                                <w:szCs w:val="20"/>
                              </w:rPr>
                              <w:t>information layer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67E58D" id="Text Box 18" o:spid="_x0000_s1033" type="#_x0000_t202" style="position:absolute;left:0;text-align:left;margin-left:0;margin-top:316.35pt;width:451.3pt;height:35.9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" stroked="f">
                <v:textbox inset="0,0,0,0">
                  <w:txbxContent>
                    <w:p w14:paraId="14903A06" w14:textId="67B680D1" w:rsidR="001F368F" w:rsidRDefault="001F368F" w:rsidP="004B1918">
                      <w:pPr>
                        <w:pStyle w:val="Caption"/>
                        <w:spacing w:after="0" w:line="276" w:lineRule="auto"/>
                        <w:jc w:val="center"/>
                        <w:rPr>
                          <w:rFonts w:asciiTheme="majorBidi" w:hAnsiTheme="majorBidi" w:cstheme="majorBidi"/>
                          <w:b/>
                          <w:bCs/>
                          <w:i w:val="0"/>
                          <w:iCs w:val="0"/>
                          <w:color w:val="auto"/>
                          <w:sz w:val="20"/>
                          <w:szCs w:val="20"/>
                        </w:rPr>
                      </w:pPr>
                      <w:bookmarkStart w:id="24" w:name="_Ref168447528"/>
                      <w:r w:rsidRPr="003F2161">
                        <w:rPr>
                          <w:rFonts w:asciiTheme="majorBidi" w:hAnsiTheme="majorBidi" w:cstheme="majorBidi"/>
                          <w:b/>
                          <w:bCs/>
                          <w:i w:val="0"/>
                          <w:iCs w:val="0"/>
                          <w:color w:val="auto"/>
                          <w:sz w:val="20"/>
                          <w:szCs w:val="20"/>
                        </w:rPr>
                        <w:t xml:space="preserve">Figure </w:t>
                      </w:r>
                      <w:r w:rsidRPr="003F2161">
                        <w:rPr>
                          <w:rFonts w:asciiTheme="majorBidi" w:hAnsiTheme="majorBidi" w:cstheme="majorBidi"/>
                          <w:b/>
                          <w:bCs/>
                          <w:i w:val="0"/>
                          <w:iCs w:val="0"/>
                          <w:color w:val="auto"/>
                          <w:sz w:val="20"/>
                          <w:szCs w:val="20"/>
                        </w:rPr>
                        <w:fldChar w:fldCharType="begin"/>
                      </w:r>
                      <w:r w:rsidRPr="003F2161">
                        <w:rPr>
                          <w:rFonts w:asciiTheme="majorBidi" w:hAnsiTheme="majorBidi" w:cstheme="majorBidi"/>
                          <w:b/>
                          <w:bCs/>
                          <w:i w:val="0"/>
                          <w:iCs w:val="0"/>
                          <w:color w:val="auto"/>
                          <w:sz w:val="20"/>
                          <w:szCs w:val="20"/>
                        </w:rPr>
                        <w:instrText xml:space="preserve"> SEQ Figure \* ARABIC </w:instrText>
                      </w:r>
                      <w:r w:rsidRPr="003F2161">
                        <w:rPr>
                          <w:rFonts w:asciiTheme="majorBidi" w:hAnsiTheme="majorBidi" w:cstheme="majorBidi"/>
                          <w:b/>
                          <w:bCs/>
                          <w:i w:val="0"/>
                          <w:iCs w:val="0"/>
                          <w:color w:val="auto"/>
                          <w:sz w:val="20"/>
                          <w:szCs w:val="20"/>
                        </w:rPr>
                        <w:fldChar w:fldCharType="separate"/>
                      </w:r>
                      <w:r w:rsidR="008D1E2C">
                        <w:rPr>
                          <w:rFonts w:asciiTheme="majorBidi" w:hAnsiTheme="majorBidi" w:cstheme="majorBidi"/>
                          <w:b/>
                          <w:bCs/>
                          <w:i w:val="0"/>
                          <w:iCs w:val="0"/>
                          <w:noProof/>
                          <w:color w:val="auto"/>
                          <w:sz w:val="20"/>
                          <w:szCs w:val="20"/>
                        </w:rPr>
                        <w:t>9</w:t>
                      </w:r>
                      <w:r w:rsidRPr="003F2161">
                        <w:rPr>
                          <w:rFonts w:asciiTheme="majorBidi" w:hAnsiTheme="majorBidi" w:cstheme="majorBidi"/>
                          <w:b/>
                          <w:bCs/>
                          <w:i w:val="0"/>
                          <w:iCs w:val="0"/>
                          <w:color w:val="auto"/>
                          <w:sz w:val="20"/>
                          <w:szCs w:val="20"/>
                        </w:rPr>
                        <w:fldChar w:fldCharType="end"/>
                      </w:r>
                      <w:bookmarkEnd w:id="24"/>
                      <w:r w:rsidRPr="003F2161">
                        <w:rPr>
                          <w:rFonts w:asciiTheme="majorBidi" w:hAnsiTheme="majorBidi" w:cstheme="majorBidi"/>
                          <w:b/>
                          <w:bCs/>
                          <w:i w:val="0"/>
                          <w:iCs w:val="0"/>
                          <w:color w:val="auto"/>
                          <w:sz w:val="20"/>
                          <w:szCs w:val="20"/>
                        </w:rPr>
                        <w:t xml:space="preserve">. </w:t>
                      </w:r>
                      <w:r>
                        <w:rPr>
                          <w:rFonts w:asciiTheme="majorBidi" w:hAnsiTheme="majorBidi" w:cstheme="majorBidi"/>
                          <w:b/>
                          <w:bCs/>
                          <w:i w:val="0"/>
                          <w:iCs w:val="0"/>
                          <w:color w:val="auto"/>
                          <w:sz w:val="20"/>
                          <w:szCs w:val="20"/>
                        </w:rPr>
                        <w:t>Artificial intelligence</w:t>
                      </w:r>
                      <w:r w:rsidRPr="003F2161">
                        <w:rPr>
                          <w:rFonts w:asciiTheme="majorBidi" w:hAnsiTheme="majorBidi" w:cstheme="majorBidi"/>
                          <w:b/>
                          <w:bCs/>
                          <w:i w:val="0"/>
                          <w:iCs w:val="0"/>
                          <w:color w:val="auto"/>
                          <w:sz w:val="20"/>
                          <w:szCs w:val="20"/>
                        </w:rPr>
                        <w:t xml:space="preserve"> a</w:t>
                      </w:r>
                      <w:r>
                        <w:rPr>
                          <w:rFonts w:asciiTheme="majorBidi" w:hAnsiTheme="majorBidi" w:cstheme="majorBidi"/>
                          <w:b/>
                          <w:bCs/>
                          <w:i w:val="0"/>
                          <w:iCs w:val="0"/>
                          <w:color w:val="auto"/>
                          <w:sz w:val="20"/>
                          <w:szCs w:val="20"/>
                        </w:rPr>
                        <w:t>pplications in SG [23].</w:t>
                      </w:r>
                    </w:p>
                    <w:p w14:paraId="3E03D52A" w14:textId="640BCD24" w:rsidR="001F368F" w:rsidRPr="003F2161" w:rsidRDefault="001F368F" w:rsidP="004C6214">
                      <w:pPr>
                        <w:pStyle w:val="Caption"/>
                        <w:spacing w:line="276" w:lineRule="auto"/>
                        <w:jc w:val="both"/>
                        <w:rPr>
                          <w:rFonts w:asciiTheme="majorBidi" w:hAnsiTheme="majorBidi" w:cstheme="majorBidi"/>
                          <w:b/>
                          <w:bCs/>
                          <w:i w:val="0"/>
                          <w:iCs w:val="0"/>
                          <w:noProof/>
                          <w:color w:val="auto"/>
                          <w:sz w:val="20"/>
                          <w:szCs w:val="20"/>
                        </w:rPr>
                      </w:pPr>
                      <w:r>
                        <w:rPr>
                          <w:rFonts w:asciiTheme="majorBidi" w:hAnsiTheme="majorBidi" w:cstheme="majorBidi"/>
                          <w:b/>
                          <w:bCs/>
                          <w:i w:val="0"/>
                          <w:iCs w:val="0"/>
                          <w:color w:val="auto"/>
                          <w:sz w:val="20"/>
                          <w:szCs w:val="20"/>
                        </w:rPr>
                        <w:t xml:space="preserve">Grey: Artificial intelligence </w:t>
                      </w:r>
                      <w:r w:rsidRPr="003F2161">
                        <w:rPr>
                          <w:rFonts w:asciiTheme="majorBidi" w:hAnsiTheme="majorBidi" w:cstheme="majorBidi"/>
                          <w:b/>
                          <w:bCs/>
                          <w:i w:val="0"/>
                          <w:iCs w:val="0"/>
                          <w:color w:val="auto"/>
                          <w:sz w:val="20"/>
                          <w:szCs w:val="20"/>
                        </w:rPr>
                        <w:t>,</w:t>
                      </w:r>
                      <w:r>
                        <w:rPr>
                          <w:rFonts w:asciiTheme="majorBidi" w:hAnsiTheme="majorBidi" w:cstheme="majorBidi"/>
                          <w:b/>
                          <w:bCs/>
                          <w:i w:val="0"/>
                          <w:iCs w:val="0"/>
                          <w:color w:val="auto"/>
                          <w:sz w:val="20"/>
                          <w:szCs w:val="20"/>
                        </w:rPr>
                        <w:t xml:space="preserve"> Purple: communication layer, Blue: Asset layer, Red: </w:t>
                      </w:r>
                      <w:r w:rsidRPr="003F2161">
                        <w:rPr>
                          <w:rFonts w:asciiTheme="majorBidi" w:hAnsiTheme="majorBidi" w:cstheme="majorBidi"/>
                          <w:b/>
                          <w:bCs/>
                          <w:i w:val="0"/>
                          <w:iCs w:val="0"/>
                          <w:color w:val="auto"/>
                          <w:sz w:val="20"/>
                          <w:szCs w:val="20"/>
                          <w:cs/>
                        </w:rPr>
                        <w:t>‎</w:t>
                      </w:r>
                      <w:r w:rsidRPr="003F2161">
                        <w:rPr>
                          <w:rFonts w:asciiTheme="majorBidi" w:hAnsiTheme="majorBidi" w:cstheme="majorBidi"/>
                          <w:b/>
                          <w:bCs/>
                          <w:i w:val="0"/>
                          <w:iCs w:val="0"/>
                          <w:color w:val="auto"/>
                          <w:sz w:val="20"/>
                          <w:szCs w:val="20"/>
                        </w:rPr>
                        <w:t>information layer</w:t>
                      </w:r>
                    </w:p>
                  </w:txbxContent>
                </v:textbox>
                <w10:wrap type="square"/>
              </v:shape>
            </w:pict>
          </mc:Fallback>
        </mc:AlternateContent>
      </w:r>
    </w:p>
    <w:p w14:paraId="548DCDD6" w14:textId="4D27BBC1" w:rsidR="00DF217F" w:rsidRPr="003676D3" w:rsidRDefault="00132774" w:rsidP="003676D3">
      <w:pPr>
        <w:pStyle w:val="Heading2"/>
        <w:spacing w:after="240" w:line="276" w:lineRule="auto"/>
        <w:jc w:val="both"/>
        <w:rPr>
          <w:rFonts w:ascii="Times New Roman" w:hAnsi="Times New Roman" w:cs="Times New Roman"/>
          <w:b/>
          <w:bCs/>
          <w:color w:val="auto"/>
          <w:sz w:val="24"/>
          <w:szCs w:val="24"/>
        </w:rPr>
      </w:pPr>
      <w:r w:rsidRPr="003676D3">
        <w:rPr>
          <w:rFonts w:ascii="Times New Roman" w:hAnsi="Times New Roman" w:cs="Times New Roman"/>
          <w:b/>
          <w:bCs/>
          <w:color w:val="auto"/>
          <w:sz w:val="24"/>
          <w:szCs w:val="24"/>
        </w:rPr>
        <w:t>5.3. Big D</w:t>
      </w:r>
      <w:r w:rsidR="00DF217F" w:rsidRPr="003676D3">
        <w:rPr>
          <w:rFonts w:ascii="Times New Roman" w:hAnsi="Times New Roman" w:cs="Times New Roman"/>
          <w:b/>
          <w:bCs/>
          <w:color w:val="auto"/>
          <w:sz w:val="24"/>
          <w:szCs w:val="24"/>
        </w:rPr>
        <w:t>ata</w:t>
      </w:r>
    </w:p>
    <w:p w14:paraId="5A6948CC" w14:textId="3C3A1EB7" w:rsidR="003F2161" w:rsidRPr="003676D3" w:rsidRDefault="00FF6844"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As the resources are going to be scarce in future,</w:t>
      </w:r>
      <w:r w:rsidR="00FA4AC4" w:rsidRPr="003676D3">
        <w:rPr>
          <w:rFonts w:ascii="Times New Roman" w:hAnsi="Times New Roman" w:cs="Times New Roman"/>
          <w:sz w:val="24"/>
          <w:szCs w:val="24"/>
        </w:rPr>
        <w:t xml:space="preserve"> it is crucial to implement solutions for </w:t>
      </w:r>
      <w:r w:rsidR="006907A2" w:rsidRPr="003676D3">
        <w:rPr>
          <w:rFonts w:ascii="Times New Roman" w:hAnsi="Times New Roman" w:cs="Times New Roman"/>
          <w:sz w:val="24"/>
          <w:szCs w:val="24"/>
        </w:rPr>
        <w:t xml:space="preserve">its </w:t>
      </w:r>
      <w:r w:rsidR="003B3E2E" w:rsidRPr="003676D3">
        <w:rPr>
          <w:rFonts w:ascii="Times New Roman" w:hAnsi="Times New Roman" w:cs="Times New Roman"/>
          <w:sz w:val="24"/>
          <w:szCs w:val="24"/>
        </w:rPr>
        <w:t>improved</w:t>
      </w:r>
      <w:r w:rsidR="00FA4AC4" w:rsidRPr="003676D3">
        <w:rPr>
          <w:rFonts w:ascii="Times New Roman" w:hAnsi="Times New Roman" w:cs="Times New Roman"/>
          <w:sz w:val="24"/>
          <w:szCs w:val="24"/>
        </w:rPr>
        <w:t xml:space="preserve"> and controlled utilization. </w:t>
      </w:r>
      <w:r w:rsidR="006907A2" w:rsidRPr="003676D3">
        <w:rPr>
          <w:rFonts w:ascii="Times New Roman" w:hAnsi="Times New Roman" w:cs="Times New Roman"/>
          <w:sz w:val="24"/>
          <w:szCs w:val="24"/>
        </w:rPr>
        <w:t>In this regard, i</w:t>
      </w:r>
      <w:r w:rsidR="00FA4AC4" w:rsidRPr="003676D3">
        <w:rPr>
          <w:rFonts w:ascii="Times New Roman" w:hAnsi="Times New Roman" w:cs="Times New Roman"/>
          <w:sz w:val="24"/>
          <w:szCs w:val="24"/>
        </w:rPr>
        <w:t>ntegrat</w:t>
      </w:r>
      <w:r w:rsidR="006907A2" w:rsidRPr="003676D3">
        <w:rPr>
          <w:rFonts w:ascii="Times New Roman" w:hAnsi="Times New Roman" w:cs="Times New Roman"/>
          <w:sz w:val="24"/>
          <w:szCs w:val="24"/>
        </w:rPr>
        <w:t>ed</w:t>
      </w:r>
      <w:r w:rsidR="00FA4AC4" w:rsidRPr="003676D3">
        <w:rPr>
          <w:rFonts w:ascii="Times New Roman" w:hAnsi="Times New Roman" w:cs="Times New Roman"/>
          <w:sz w:val="24"/>
          <w:szCs w:val="24"/>
        </w:rPr>
        <w:t xml:space="preserve"> technological systems like </w:t>
      </w:r>
      <w:r w:rsidR="003B3E2E" w:rsidRPr="003676D3">
        <w:rPr>
          <w:rFonts w:ascii="Times New Roman" w:hAnsi="Times New Roman" w:cs="Times New Roman"/>
          <w:sz w:val="24"/>
          <w:szCs w:val="24"/>
        </w:rPr>
        <w:t xml:space="preserve">Geographic Information Systems (GIS) and </w:t>
      </w:r>
      <w:r w:rsidR="00FA4AC4" w:rsidRPr="003676D3">
        <w:rPr>
          <w:rFonts w:ascii="Times New Roman" w:hAnsi="Times New Roman" w:cs="Times New Roman"/>
          <w:sz w:val="24"/>
          <w:szCs w:val="24"/>
        </w:rPr>
        <w:t>Enterpr</w:t>
      </w:r>
      <w:r w:rsidR="003B3E2E" w:rsidRPr="003676D3">
        <w:rPr>
          <w:rFonts w:ascii="Times New Roman" w:hAnsi="Times New Roman" w:cs="Times New Roman"/>
          <w:sz w:val="24"/>
          <w:szCs w:val="24"/>
        </w:rPr>
        <w:t>ise Resource Planning (ERP)</w:t>
      </w:r>
      <w:r w:rsidR="006907A2" w:rsidRPr="003676D3">
        <w:rPr>
          <w:rFonts w:ascii="Times New Roman" w:hAnsi="Times New Roman" w:cs="Times New Roman"/>
          <w:sz w:val="24"/>
          <w:szCs w:val="24"/>
        </w:rPr>
        <w:t xml:space="preserve"> </w:t>
      </w:r>
      <w:r w:rsidR="00FA4AC4" w:rsidRPr="003676D3">
        <w:rPr>
          <w:rFonts w:ascii="Times New Roman" w:hAnsi="Times New Roman" w:cs="Times New Roman"/>
          <w:sz w:val="24"/>
          <w:szCs w:val="24"/>
        </w:rPr>
        <w:t>can help</w:t>
      </w:r>
      <w:r w:rsidR="006D6D2E" w:rsidRPr="003676D3">
        <w:rPr>
          <w:rFonts w:ascii="Times New Roman" w:hAnsi="Times New Roman" w:cs="Times New Roman"/>
          <w:sz w:val="24"/>
          <w:szCs w:val="24"/>
        </w:rPr>
        <w:t xml:space="preserve"> </w:t>
      </w:r>
      <w:r w:rsidR="006D6D2E" w:rsidRPr="003676D3">
        <w:rPr>
          <w:rFonts w:ascii="Times New Roman" w:hAnsi="Times New Roman" w:cs="Times New Roman"/>
          <w:sz w:val="24"/>
          <w:szCs w:val="24"/>
        </w:rPr>
        <w:fldChar w:fldCharType="begin" w:fldLock="1"/>
      </w:r>
      <w:r w:rsidR="006D6D2E" w:rsidRPr="003676D3">
        <w:rPr>
          <w:rFonts w:ascii="Times New Roman" w:hAnsi="Times New Roman" w:cs="Times New Roman"/>
          <w:sz w:val="24"/>
          <w:szCs w:val="24"/>
        </w:rPr>
        <w:instrText>ADDIN CSL_CITATION {"citationItems":[{"id":"ITEM-1","itemData":{"DOI":"10.1186/S13174-015-0041-5/FIGURES/3","ISSN":"18690238","abstract":"Many governments are considering adopting the smart city concept in their cities and implementing big data applications that support smart city components to reach the required level of sustainability and improve the living standards. Smart cities utilize multiple technologies to improve the performance of health, transportation, energy, education, and water services leading to higher levels of comfort of their citizens. This involves reducing costs and resource consumption in addition to more effectively and actively engaging with their citizens. One of the recent technologies that has a huge potential to enhance smart city services is big data analytics. As digitization has become an integral part of everyday life, data collection has resulted in the accumulation of huge amounts of data that can be used in various beneficial application domains. Effective analysis and utilization of big data is a key factor for success in many business and service domains, including the smart city domain. This paper reviews the applications of big data to support smart cities. It discusses and compares different definitions of the smart city and big data and explores the opportunities, challenges and benefits of incorporating big data applications for smart cities. In addition it attempts to identify the requirements that support the implementation of big data applications for smart city services. The review reveals that several opportunities are available for utilizing big data in smart cities; however, there are still many issues and challenges to be addressed to achieve better utilization of this technology.","author":[{"dropping-particle":"","family":"Nuaimi","given":"Eiman","non-dropping-particle":"Al","parse-names":false,"suffix":""},{"dropping-particle":"","family":"Neyadi","given":"Hind","non-dropping-particle":"Al","parse-names":false,"suffix":""},{"dropping-particle":"","family":"Mohamed","given":"Nader","non-dropping-particle":"","parse-names":false,"suffix":""},{"dropping-particle":"","family":"Al-Jaroodi","given":"Jameela","non-dropping-particle":"","parse-names":false,"suffix":""}],"container-title":"Journal of Internet Services and Applications","id":"ITEM-1","issue":"1","issued":{"date-parts":[["2015","8","1"]]},"page":"1-15","publisher":"Springer-Verlag London Ltd","title":"Applications of big data to smart cities","type":"article-journal","volume":"6"},"uris":["http://www.mendeley.com/documents/?uuid=2896e10e-f175-3b31-8747-5db06a95d013"]}],"mendeley":{"formattedCitation":"[165]","plainTextFormattedCitation":"[165]","previouslyFormattedCitation":"[165]"},"properties":{"noteIndex":0},"schema":"https://github.com/citation-style-language/schema/raw/master/csl-citation.json"}</w:instrText>
      </w:r>
      <w:r w:rsidR="006D6D2E" w:rsidRPr="003676D3">
        <w:rPr>
          <w:rFonts w:ascii="Times New Roman" w:hAnsi="Times New Roman" w:cs="Times New Roman"/>
          <w:sz w:val="24"/>
          <w:szCs w:val="24"/>
        </w:rPr>
        <w:fldChar w:fldCharType="separate"/>
      </w:r>
      <w:r w:rsidR="006D6D2E" w:rsidRPr="003676D3">
        <w:rPr>
          <w:rFonts w:ascii="Times New Roman" w:hAnsi="Times New Roman" w:cs="Times New Roman"/>
          <w:noProof/>
          <w:sz w:val="24"/>
          <w:szCs w:val="24"/>
        </w:rPr>
        <w:t>[165]</w:t>
      </w:r>
      <w:r w:rsidR="006D6D2E" w:rsidRPr="003676D3">
        <w:rPr>
          <w:rFonts w:ascii="Times New Roman" w:hAnsi="Times New Roman" w:cs="Times New Roman"/>
          <w:sz w:val="24"/>
          <w:szCs w:val="24"/>
        </w:rPr>
        <w:fldChar w:fldCharType="end"/>
      </w:r>
      <w:r w:rsidR="00FA4AC4" w:rsidRPr="003676D3">
        <w:rPr>
          <w:rFonts w:ascii="Times New Roman" w:hAnsi="Times New Roman" w:cs="Times New Roman"/>
          <w:sz w:val="24"/>
          <w:szCs w:val="24"/>
        </w:rPr>
        <w:t xml:space="preserve">. </w:t>
      </w:r>
      <w:r w:rsidR="00F10D5E" w:rsidRPr="003676D3">
        <w:rPr>
          <w:rFonts w:ascii="Times New Roman" w:hAnsi="Times New Roman" w:cs="Times New Roman"/>
          <w:sz w:val="24"/>
          <w:szCs w:val="24"/>
        </w:rPr>
        <w:t>Such</w:t>
      </w:r>
      <w:r w:rsidR="00FA4AC4" w:rsidRPr="003676D3">
        <w:rPr>
          <w:rFonts w:ascii="Times New Roman" w:hAnsi="Times New Roman" w:cs="Times New Roman"/>
          <w:sz w:val="24"/>
          <w:szCs w:val="24"/>
        </w:rPr>
        <w:t xml:space="preserve"> systems enable the identification of </w:t>
      </w:r>
      <w:r w:rsidR="00F10D5E" w:rsidRPr="003676D3">
        <w:rPr>
          <w:rFonts w:ascii="Times New Roman" w:hAnsi="Times New Roman" w:cs="Times New Roman"/>
          <w:sz w:val="24"/>
          <w:szCs w:val="24"/>
        </w:rPr>
        <w:t>areas</w:t>
      </w:r>
      <w:r w:rsidR="00606264" w:rsidRPr="003676D3">
        <w:rPr>
          <w:rFonts w:ascii="Times New Roman" w:hAnsi="Times New Roman" w:cs="Times New Roman"/>
          <w:sz w:val="24"/>
          <w:szCs w:val="24"/>
        </w:rPr>
        <w:t xml:space="preserve"> where energy gets wasted</w:t>
      </w:r>
      <w:r w:rsidR="00FA4AC4" w:rsidRPr="003676D3">
        <w:rPr>
          <w:rFonts w:ascii="Times New Roman" w:hAnsi="Times New Roman" w:cs="Times New Roman"/>
          <w:sz w:val="24"/>
          <w:szCs w:val="24"/>
        </w:rPr>
        <w:t>, improve resource distribution, control costs, and reduce</w:t>
      </w:r>
      <w:r w:rsidR="00EA0FF6" w:rsidRPr="003676D3">
        <w:rPr>
          <w:rFonts w:ascii="Times New Roman" w:hAnsi="Times New Roman" w:cs="Times New Roman"/>
          <w:sz w:val="24"/>
          <w:szCs w:val="24"/>
        </w:rPr>
        <w:t xml:space="preserve"> consumption of</w:t>
      </w:r>
      <w:r w:rsidR="00FA4AC4" w:rsidRPr="003676D3">
        <w:rPr>
          <w:rFonts w:ascii="Times New Roman" w:hAnsi="Times New Roman" w:cs="Times New Roman"/>
          <w:sz w:val="24"/>
          <w:szCs w:val="24"/>
        </w:rPr>
        <w:t xml:space="preserve"> natural resource.</w:t>
      </w:r>
      <w:r w:rsidR="003B3E2E" w:rsidRPr="003676D3">
        <w:rPr>
          <w:rFonts w:ascii="Times New Roman" w:hAnsi="Times New Roman" w:cs="Times New Roman"/>
          <w:sz w:val="24"/>
          <w:szCs w:val="24"/>
        </w:rPr>
        <w:t xml:space="preserve"> Enhancing grid </w:t>
      </w:r>
      <w:r w:rsidR="0059174B" w:rsidRPr="003676D3">
        <w:rPr>
          <w:rFonts w:ascii="Times New Roman" w:hAnsi="Times New Roman" w:cs="Times New Roman"/>
          <w:sz w:val="24"/>
          <w:szCs w:val="24"/>
        </w:rPr>
        <w:t>reliability</w:t>
      </w:r>
      <w:r w:rsidR="003B3E2E" w:rsidRPr="003676D3">
        <w:rPr>
          <w:rFonts w:ascii="Times New Roman" w:hAnsi="Times New Roman" w:cs="Times New Roman"/>
          <w:sz w:val="24"/>
          <w:szCs w:val="24"/>
        </w:rPr>
        <w:t xml:space="preserve"> and efficiency</w:t>
      </w:r>
      <w:r w:rsidR="0059174B" w:rsidRPr="003676D3">
        <w:rPr>
          <w:rFonts w:ascii="Times New Roman" w:hAnsi="Times New Roman" w:cs="Times New Roman"/>
          <w:sz w:val="24"/>
          <w:szCs w:val="24"/>
        </w:rPr>
        <w:t xml:space="preserve"> through self-monitoring and feedback</w:t>
      </w:r>
      <w:r w:rsidR="003B3E2E" w:rsidRPr="003676D3">
        <w:rPr>
          <w:rFonts w:ascii="Times New Roman" w:hAnsi="Times New Roman" w:cs="Times New Roman"/>
          <w:sz w:val="24"/>
          <w:szCs w:val="24"/>
        </w:rPr>
        <w:t xml:space="preserve"> loops</w:t>
      </w:r>
      <w:r w:rsidR="0059174B" w:rsidRPr="003676D3">
        <w:rPr>
          <w:rFonts w:ascii="Times New Roman" w:hAnsi="Times New Roman" w:cs="Times New Roman"/>
          <w:sz w:val="24"/>
          <w:szCs w:val="24"/>
        </w:rPr>
        <w:t xml:space="preserve"> involves </w:t>
      </w:r>
      <w:r w:rsidR="001D3358" w:rsidRPr="003676D3">
        <w:rPr>
          <w:rFonts w:ascii="Times New Roman" w:hAnsi="Times New Roman" w:cs="Times New Roman"/>
          <w:sz w:val="24"/>
          <w:szCs w:val="24"/>
        </w:rPr>
        <w:t>connecting</w:t>
      </w:r>
      <w:r w:rsidR="0059174B" w:rsidRPr="003676D3">
        <w:rPr>
          <w:rFonts w:ascii="Times New Roman" w:hAnsi="Times New Roman" w:cs="Times New Roman"/>
          <w:sz w:val="24"/>
          <w:szCs w:val="24"/>
        </w:rPr>
        <w:t xml:space="preserve"> smart</w:t>
      </w:r>
      <w:r w:rsidR="003B3E2E" w:rsidRPr="003676D3">
        <w:rPr>
          <w:rFonts w:ascii="Times New Roman" w:hAnsi="Times New Roman" w:cs="Times New Roman"/>
          <w:sz w:val="24"/>
          <w:szCs w:val="24"/>
        </w:rPr>
        <w:t xml:space="preserve"> meters and</w:t>
      </w:r>
      <w:r w:rsidR="0059174B" w:rsidRPr="003676D3">
        <w:rPr>
          <w:rFonts w:ascii="Times New Roman" w:hAnsi="Times New Roman" w:cs="Times New Roman"/>
          <w:sz w:val="24"/>
          <w:szCs w:val="24"/>
        </w:rPr>
        <w:t xml:space="preserve"> sensors</w:t>
      </w:r>
      <w:r w:rsidR="001D3358" w:rsidRPr="003676D3">
        <w:rPr>
          <w:rFonts w:ascii="Times New Roman" w:hAnsi="Times New Roman" w:cs="Times New Roman"/>
          <w:sz w:val="24"/>
          <w:szCs w:val="24"/>
        </w:rPr>
        <w:t xml:space="preserve">. This can be done </w:t>
      </w:r>
      <w:r w:rsidR="0059174B" w:rsidRPr="003676D3">
        <w:rPr>
          <w:rFonts w:ascii="Times New Roman" w:hAnsi="Times New Roman" w:cs="Times New Roman"/>
          <w:sz w:val="24"/>
          <w:szCs w:val="24"/>
        </w:rPr>
        <w:t xml:space="preserve">across </w:t>
      </w:r>
      <w:r w:rsidR="000A625F" w:rsidRPr="003676D3">
        <w:rPr>
          <w:rFonts w:ascii="Times New Roman" w:hAnsi="Times New Roman" w:cs="Times New Roman"/>
          <w:sz w:val="24"/>
          <w:szCs w:val="24"/>
        </w:rPr>
        <w:t>generation</w:t>
      </w:r>
      <w:r w:rsidR="0059174B" w:rsidRPr="003676D3">
        <w:rPr>
          <w:rFonts w:ascii="Times New Roman" w:hAnsi="Times New Roman" w:cs="Times New Roman"/>
          <w:sz w:val="24"/>
          <w:szCs w:val="24"/>
        </w:rPr>
        <w:t xml:space="preserve">, transmission, distribution systems, and </w:t>
      </w:r>
      <w:r w:rsidR="000A625F" w:rsidRPr="003676D3">
        <w:rPr>
          <w:rFonts w:ascii="Times New Roman" w:hAnsi="Times New Roman" w:cs="Times New Roman"/>
          <w:sz w:val="24"/>
          <w:szCs w:val="24"/>
        </w:rPr>
        <w:t>load consumption</w:t>
      </w:r>
      <w:r w:rsidR="006D6D2E" w:rsidRPr="003676D3">
        <w:rPr>
          <w:rFonts w:ascii="Times New Roman" w:hAnsi="Times New Roman" w:cs="Times New Roman"/>
          <w:sz w:val="24"/>
          <w:szCs w:val="24"/>
        </w:rPr>
        <w:t xml:space="preserve"> </w:t>
      </w:r>
      <w:r w:rsidR="006D6D2E" w:rsidRPr="003676D3">
        <w:rPr>
          <w:rFonts w:ascii="Times New Roman" w:hAnsi="Times New Roman" w:cs="Times New Roman"/>
          <w:sz w:val="24"/>
          <w:szCs w:val="24"/>
        </w:rPr>
        <w:fldChar w:fldCharType="begin" w:fldLock="1"/>
      </w:r>
      <w:r w:rsidR="006D6D2E" w:rsidRPr="003676D3">
        <w:rPr>
          <w:rFonts w:ascii="Times New Roman" w:hAnsi="Times New Roman" w:cs="Times New Roman"/>
          <w:sz w:val="24"/>
          <w:szCs w:val="24"/>
        </w:rPr>
        <w:instrText>ADDIN CSL_CITATION {"citationItems":[{"id":"ITEM-1","itemData":{"DOI":"10.1109/SOSE.2013.71","ISBN":"9780769549446","abstract":"This paper describes technical challenges in supporting large-scale real-time data analysis for future power grid systems and discusses various design options to address these challenges. Even though the existing U.S. power grid has served the nation remarkably well over the last 120 years, big changes are in the horizon. The widespread deployment of renewable generation, smart grid controls, energy storage, plug-in hybrids, and new conducting materials will require fundamental changes in the operational concepts and principal components. The whole system becomes highly dynamic and needs constant adjustments based on real time data. Even though millions of sensors such as phase measurement units (PMUs) and smart meters are being widely deployed, a data layer that can support this amount of data in real time is needed. Unlike the data fabric in cloud services, the data layer for smart grids must address some unique challenges. This layer must be scalable to support millions of sensors and a large number of diverse applications and still provide real time guarantees. Moreover, the system needs to be highly reliable and highly secure because the power grid is a critical piece of infrastructure. No existing systems can satisfy all the requirements at the same time. We examine various design options. In particular, we explore the special characteristics of power grid data to meet both scalability and quality of service requirements. Our initial prototype can improve performance by orders of magnitude over existing general-purpose systems. The prototype was demonstrated with several use cases from PNNL's FPGI and was shown to be able to integrate huge amount of data from a large number of sensors and a diverse set of applications. © 2012 IEEE.","author":[{"dropping-particle":"","family":"Yin","given":"Jian","non-dropping-particle":"","parse-names":false,"suffix":""},{"dropping-particle":"","family":"Sharma","given":"Poorva","non-dropping-particle":"","parse-names":false,"suffix":""},{"dropping-particle":"","family":"Gorton","given":"Ian","non-dropping-particle":"","parse-names":false,"suffix":""},{"dropping-particle":"","family":"Akyol","given":"Bora","non-dropping-particle":"","parse-names":false,"suffix":""}],"container-title":"Proceedings - 2013 IEEE 7th International Symposium on Service-Oriented System Engineering, SOSE 2013","id":"ITEM-1","issued":{"date-parts":[["2013"]]},"page":"324-328","title":"Large-scale data challenges in future power grids","type":"article-journal"},"uris":["http://www.mendeley.com/documents/?uuid=88beda5a-024b-3871-953f-6243054c9563"]}],"mendeley":{"formattedCitation":"[166]","plainTextFormattedCitation":"[166]","previouslyFormattedCitation":"[166]"},"properties":{"noteIndex":0},"schema":"https://github.com/citation-style-language/schema/raw/master/csl-citation.json"}</w:instrText>
      </w:r>
      <w:r w:rsidR="006D6D2E" w:rsidRPr="003676D3">
        <w:rPr>
          <w:rFonts w:ascii="Times New Roman" w:hAnsi="Times New Roman" w:cs="Times New Roman"/>
          <w:sz w:val="24"/>
          <w:szCs w:val="24"/>
        </w:rPr>
        <w:fldChar w:fldCharType="separate"/>
      </w:r>
      <w:r w:rsidR="006D6D2E" w:rsidRPr="003676D3">
        <w:rPr>
          <w:rFonts w:ascii="Times New Roman" w:hAnsi="Times New Roman" w:cs="Times New Roman"/>
          <w:noProof/>
          <w:sz w:val="24"/>
          <w:szCs w:val="24"/>
        </w:rPr>
        <w:t>[166]</w:t>
      </w:r>
      <w:r w:rsidR="006D6D2E" w:rsidRPr="003676D3">
        <w:rPr>
          <w:rFonts w:ascii="Times New Roman" w:hAnsi="Times New Roman" w:cs="Times New Roman"/>
          <w:sz w:val="24"/>
          <w:szCs w:val="24"/>
        </w:rPr>
        <w:fldChar w:fldCharType="end"/>
      </w:r>
      <w:r w:rsidR="0059174B" w:rsidRPr="003676D3">
        <w:rPr>
          <w:rFonts w:ascii="Times New Roman" w:hAnsi="Times New Roman" w:cs="Times New Roman"/>
          <w:sz w:val="24"/>
          <w:szCs w:val="24"/>
        </w:rPr>
        <w:t xml:space="preserve">. These devices </w:t>
      </w:r>
      <w:r w:rsidR="00063128" w:rsidRPr="003676D3">
        <w:rPr>
          <w:rFonts w:ascii="Times New Roman" w:hAnsi="Times New Roman" w:cs="Times New Roman"/>
          <w:sz w:val="24"/>
          <w:szCs w:val="24"/>
        </w:rPr>
        <w:t xml:space="preserve">can </w:t>
      </w:r>
      <w:r w:rsidR="00FE26D6" w:rsidRPr="003676D3">
        <w:rPr>
          <w:rFonts w:ascii="Times New Roman" w:hAnsi="Times New Roman" w:cs="Times New Roman"/>
          <w:sz w:val="24"/>
          <w:szCs w:val="24"/>
        </w:rPr>
        <w:t>collect</w:t>
      </w:r>
      <w:r w:rsidR="0059174B" w:rsidRPr="003676D3">
        <w:rPr>
          <w:rFonts w:ascii="Times New Roman" w:hAnsi="Times New Roman" w:cs="Times New Roman"/>
          <w:sz w:val="24"/>
          <w:szCs w:val="24"/>
        </w:rPr>
        <w:t xml:space="preserve"> re</w:t>
      </w:r>
      <w:r w:rsidR="003B3E2E" w:rsidRPr="003676D3">
        <w:rPr>
          <w:rFonts w:ascii="Times New Roman" w:hAnsi="Times New Roman" w:cs="Times New Roman"/>
          <w:sz w:val="24"/>
          <w:szCs w:val="24"/>
        </w:rPr>
        <w:t>al-time data on power generation</w:t>
      </w:r>
      <w:r w:rsidR="0059174B" w:rsidRPr="003676D3">
        <w:rPr>
          <w:rFonts w:ascii="Times New Roman" w:hAnsi="Times New Roman" w:cs="Times New Roman"/>
          <w:sz w:val="24"/>
          <w:szCs w:val="24"/>
        </w:rPr>
        <w:t xml:space="preserve">, </w:t>
      </w:r>
      <w:r w:rsidR="00063128" w:rsidRPr="003676D3">
        <w:rPr>
          <w:rFonts w:ascii="Times New Roman" w:hAnsi="Times New Roman" w:cs="Times New Roman"/>
          <w:sz w:val="24"/>
          <w:szCs w:val="24"/>
        </w:rPr>
        <w:t xml:space="preserve">load </w:t>
      </w:r>
      <w:r w:rsidR="0059174B" w:rsidRPr="003676D3">
        <w:rPr>
          <w:rFonts w:ascii="Times New Roman" w:hAnsi="Times New Roman" w:cs="Times New Roman"/>
          <w:sz w:val="24"/>
          <w:szCs w:val="24"/>
        </w:rPr>
        <w:t>consumption and</w:t>
      </w:r>
      <w:r w:rsidR="003B6E51" w:rsidRPr="003676D3">
        <w:rPr>
          <w:rFonts w:ascii="Times New Roman" w:hAnsi="Times New Roman" w:cs="Times New Roman"/>
          <w:sz w:val="24"/>
          <w:szCs w:val="24"/>
        </w:rPr>
        <w:t xml:space="preserve"> line</w:t>
      </w:r>
      <w:r w:rsidR="0059174B" w:rsidRPr="003676D3">
        <w:rPr>
          <w:rFonts w:ascii="Times New Roman" w:hAnsi="Times New Roman" w:cs="Times New Roman"/>
          <w:sz w:val="24"/>
          <w:szCs w:val="24"/>
        </w:rPr>
        <w:t xml:space="preserve"> faults. </w:t>
      </w:r>
      <w:r w:rsidR="006E1DBB" w:rsidRPr="003676D3">
        <w:rPr>
          <w:rFonts w:ascii="Times New Roman" w:hAnsi="Times New Roman" w:cs="Times New Roman"/>
          <w:sz w:val="24"/>
          <w:szCs w:val="24"/>
        </w:rPr>
        <w:t>The i</w:t>
      </w:r>
      <w:r w:rsidR="0059174B" w:rsidRPr="003676D3">
        <w:rPr>
          <w:rFonts w:ascii="Times New Roman" w:hAnsi="Times New Roman" w:cs="Times New Roman"/>
          <w:sz w:val="24"/>
          <w:szCs w:val="24"/>
        </w:rPr>
        <w:t>mplement</w:t>
      </w:r>
      <w:r w:rsidR="006E1DBB" w:rsidRPr="003676D3">
        <w:rPr>
          <w:rFonts w:ascii="Times New Roman" w:hAnsi="Times New Roman" w:cs="Times New Roman"/>
          <w:sz w:val="24"/>
          <w:szCs w:val="24"/>
        </w:rPr>
        <w:t>ation of</w:t>
      </w:r>
      <w:r w:rsidR="0059174B" w:rsidRPr="003676D3">
        <w:rPr>
          <w:rFonts w:ascii="Times New Roman" w:hAnsi="Times New Roman" w:cs="Times New Roman"/>
          <w:sz w:val="24"/>
          <w:szCs w:val="24"/>
        </w:rPr>
        <w:t xml:space="preserve"> dynamic pricing models can </w:t>
      </w:r>
      <w:r w:rsidR="00765BD2" w:rsidRPr="003676D3">
        <w:rPr>
          <w:rFonts w:ascii="Times New Roman" w:hAnsi="Times New Roman" w:cs="Times New Roman"/>
          <w:sz w:val="24"/>
          <w:szCs w:val="24"/>
        </w:rPr>
        <w:t>l</w:t>
      </w:r>
      <w:r w:rsidR="008F200C" w:rsidRPr="003676D3">
        <w:rPr>
          <w:rFonts w:ascii="Times New Roman" w:hAnsi="Times New Roman" w:cs="Times New Roman"/>
          <w:sz w:val="24"/>
          <w:szCs w:val="24"/>
        </w:rPr>
        <w:t>ower the</w:t>
      </w:r>
      <w:r w:rsidR="0059174B" w:rsidRPr="003676D3">
        <w:rPr>
          <w:rFonts w:ascii="Times New Roman" w:hAnsi="Times New Roman" w:cs="Times New Roman"/>
          <w:sz w:val="24"/>
          <w:szCs w:val="24"/>
        </w:rPr>
        <w:t xml:space="preserve"> peak by charging higher rates during peak times and lower rates during off-peak periods</w:t>
      </w:r>
      <w:r w:rsidR="000D2AF9" w:rsidRPr="003676D3">
        <w:rPr>
          <w:rFonts w:ascii="Times New Roman" w:hAnsi="Times New Roman" w:cs="Times New Roman"/>
          <w:sz w:val="24"/>
          <w:szCs w:val="24"/>
        </w:rPr>
        <w:t>. This</w:t>
      </w:r>
      <w:r w:rsidR="0059174B" w:rsidRPr="003676D3">
        <w:rPr>
          <w:rFonts w:ascii="Times New Roman" w:hAnsi="Times New Roman" w:cs="Times New Roman"/>
          <w:sz w:val="24"/>
          <w:szCs w:val="24"/>
        </w:rPr>
        <w:t xml:space="preserve"> help</w:t>
      </w:r>
      <w:r w:rsidR="000D2AF9" w:rsidRPr="003676D3">
        <w:rPr>
          <w:rFonts w:ascii="Times New Roman" w:hAnsi="Times New Roman" w:cs="Times New Roman"/>
          <w:sz w:val="24"/>
          <w:szCs w:val="24"/>
        </w:rPr>
        <w:t>s</w:t>
      </w:r>
      <w:r w:rsidR="0059174B" w:rsidRPr="003676D3">
        <w:rPr>
          <w:rFonts w:ascii="Times New Roman" w:hAnsi="Times New Roman" w:cs="Times New Roman"/>
          <w:sz w:val="24"/>
          <w:szCs w:val="24"/>
        </w:rPr>
        <w:t xml:space="preserve"> to prevent outages </w:t>
      </w:r>
      <w:r w:rsidR="008F200C" w:rsidRPr="003676D3">
        <w:rPr>
          <w:rFonts w:ascii="Times New Roman" w:hAnsi="Times New Roman" w:cs="Times New Roman"/>
          <w:sz w:val="24"/>
          <w:szCs w:val="24"/>
        </w:rPr>
        <w:t>due to</w:t>
      </w:r>
      <w:r w:rsidR="0059174B" w:rsidRPr="003676D3">
        <w:rPr>
          <w:rFonts w:ascii="Times New Roman" w:hAnsi="Times New Roman" w:cs="Times New Roman"/>
          <w:sz w:val="24"/>
          <w:szCs w:val="24"/>
        </w:rPr>
        <w:t xml:space="preserve"> high demand. Consumers receive near real-time information about their </w:t>
      </w:r>
      <w:r w:rsidR="003B3E2E" w:rsidRPr="003676D3">
        <w:rPr>
          <w:rFonts w:ascii="Times New Roman" w:hAnsi="Times New Roman" w:cs="Times New Roman"/>
          <w:sz w:val="24"/>
          <w:szCs w:val="24"/>
        </w:rPr>
        <w:t>load demand</w:t>
      </w:r>
      <w:r w:rsidR="000D2AF9" w:rsidRPr="003676D3">
        <w:rPr>
          <w:rFonts w:ascii="Times New Roman" w:hAnsi="Times New Roman" w:cs="Times New Roman"/>
          <w:sz w:val="24"/>
          <w:szCs w:val="24"/>
        </w:rPr>
        <w:t>. This</w:t>
      </w:r>
      <w:r w:rsidR="0059174B" w:rsidRPr="003676D3">
        <w:rPr>
          <w:rFonts w:ascii="Times New Roman" w:hAnsi="Times New Roman" w:cs="Times New Roman"/>
          <w:sz w:val="24"/>
          <w:szCs w:val="24"/>
        </w:rPr>
        <w:t xml:space="preserve"> enabl</w:t>
      </w:r>
      <w:r w:rsidR="000D2AF9" w:rsidRPr="003676D3">
        <w:rPr>
          <w:rFonts w:ascii="Times New Roman" w:hAnsi="Times New Roman" w:cs="Times New Roman"/>
          <w:sz w:val="24"/>
          <w:szCs w:val="24"/>
        </w:rPr>
        <w:t>es</w:t>
      </w:r>
      <w:r w:rsidR="0059174B" w:rsidRPr="003676D3">
        <w:rPr>
          <w:rFonts w:ascii="Times New Roman" w:hAnsi="Times New Roman" w:cs="Times New Roman"/>
          <w:sz w:val="24"/>
          <w:szCs w:val="24"/>
        </w:rPr>
        <w:t xml:space="preserve"> them to manage consumption based on needs and cost</w:t>
      </w:r>
      <w:r w:rsidR="006D6D2E" w:rsidRPr="003676D3">
        <w:rPr>
          <w:rFonts w:ascii="Times New Roman" w:hAnsi="Times New Roman" w:cs="Times New Roman"/>
          <w:sz w:val="24"/>
          <w:szCs w:val="24"/>
        </w:rPr>
        <w:t xml:space="preserve"> </w:t>
      </w:r>
      <w:r w:rsidR="006D6D2E" w:rsidRPr="003676D3">
        <w:rPr>
          <w:rFonts w:ascii="Times New Roman" w:hAnsi="Times New Roman" w:cs="Times New Roman"/>
          <w:sz w:val="24"/>
          <w:szCs w:val="24"/>
        </w:rPr>
        <w:fldChar w:fldCharType="begin" w:fldLock="1"/>
      </w:r>
      <w:r w:rsidR="006D6D2E" w:rsidRPr="003676D3">
        <w:rPr>
          <w:rFonts w:ascii="Times New Roman" w:hAnsi="Times New Roman" w:cs="Times New Roman"/>
          <w:sz w:val="24"/>
          <w:szCs w:val="24"/>
        </w:rPr>
        <w:instrText>ADDIN CSL_CITATION {"citationItems":[{"id":"ITEM-1","itemData":{"URL":"https://www.energy.gov/oe/grid-modernization-and-smart-grid","accessed":{"date-parts":[["2024","5","26"]]},"id":"ITEM-1","issued":{"date-parts":[["0"]]},"title":"Grid Modernization and the Smart Grid | Department of Energy","type":"webpage"},"uris":["http://www.mendeley.com/documents/?uuid=17ab6fc8-a9b7-302d-bcc6-99b6b4957212"]}],"mendeley":{"formattedCitation":"[167]","plainTextFormattedCitation":"[167]","previouslyFormattedCitation":"[167]"},"properties":{"noteIndex":0},"schema":"https://github.com/citation-style-language/schema/raw/master/csl-citation.json"}</w:instrText>
      </w:r>
      <w:r w:rsidR="006D6D2E" w:rsidRPr="003676D3">
        <w:rPr>
          <w:rFonts w:ascii="Times New Roman" w:hAnsi="Times New Roman" w:cs="Times New Roman"/>
          <w:sz w:val="24"/>
          <w:szCs w:val="24"/>
        </w:rPr>
        <w:fldChar w:fldCharType="separate"/>
      </w:r>
      <w:r w:rsidR="006D6D2E" w:rsidRPr="003676D3">
        <w:rPr>
          <w:rFonts w:ascii="Times New Roman" w:hAnsi="Times New Roman" w:cs="Times New Roman"/>
          <w:noProof/>
          <w:sz w:val="24"/>
          <w:szCs w:val="24"/>
        </w:rPr>
        <w:t>[167]</w:t>
      </w:r>
      <w:r w:rsidR="006D6D2E" w:rsidRPr="003676D3">
        <w:rPr>
          <w:rFonts w:ascii="Times New Roman" w:hAnsi="Times New Roman" w:cs="Times New Roman"/>
          <w:sz w:val="24"/>
          <w:szCs w:val="24"/>
        </w:rPr>
        <w:fldChar w:fldCharType="end"/>
      </w:r>
      <w:r w:rsidR="0059174B" w:rsidRPr="003676D3">
        <w:rPr>
          <w:rFonts w:ascii="Times New Roman" w:hAnsi="Times New Roman" w:cs="Times New Roman"/>
          <w:sz w:val="24"/>
          <w:szCs w:val="24"/>
        </w:rPr>
        <w:t xml:space="preserve">. This approach requires extensive data collection from all </w:t>
      </w:r>
      <w:r w:rsidR="004E60A3" w:rsidRPr="003676D3">
        <w:rPr>
          <w:rFonts w:ascii="Times New Roman" w:hAnsi="Times New Roman" w:cs="Times New Roman"/>
          <w:sz w:val="24"/>
          <w:szCs w:val="24"/>
        </w:rPr>
        <w:t>parts</w:t>
      </w:r>
      <w:r w:rsidR="0059174B" w:rsidRPr="003676D3">
        <w:rPr>
          <w:rFonts w:ascii="Times New Roman" w:hAnsi="Times New Roman" w:cs="Times New Roman"/>
          <w:sz w:val="24"/>
          <w:szCs w:val="24"/>
        </w:rPr>
        <w:t xml:space="preserve"> of the power system and real-time big data analytics to process this data</w:t>
      </w:r>
      <w:r w:rsidR="00A95DD0" w:rsidRPr="003676D3">
        <w:rPr>
          <w:rFonts w:ascii="Times New Roman" w:hAnsi="Times New Roman" w:cs="Times New Roman"/>
          <w:sz w:val="24"/>
          <w:szCs w:val="24"/>
        </w:rPr>
        <w:t xml:space="preserve">. It </w:t>
      </w:r>
      <w:r w:rsidR="0059174B" w:rsidRPr="003676D3">
        <w:rPr>
          <w:rFonts w:ascii="Times New Roman" w:hAnsi="Times New Roman" w:cs="Times New Roman"/>
          <w:sz w:val="24"/>
          <w:szCs w:val="24"/>
        </w:rPr>
        <w:t>send control information, thereby enhancing the overall performance of the electric power system</w:t>
      </w:r>
      <w:r w:rsidR="006D6D2E" w:rsidRPr="003676D3">
        <w:rPr>
          <w:rFonts w:ascii="Times New Roman" w:hAnsi="Times New Roman" w:cs="Times New Roman"/>
          <w:sz w:val="24"/>
          <w:szCs w:val="24"/>
        </w:rPr>
        <w:t xml:space="preserve"> </w:t>
      </w:r>
      <w:r w:rsidR="006D6D2E" w:rsidRPr="003676D3">
        <w:rPr>
          <w:rFonts w:ascii="Times New Roman" w:hAnsi="Times New Roman" w:cs="Times New Roman"/>
          <w:sz w:val="24"/>
          <w:szCs w:val="24"/>
        </w:rPr>
        <w:fldChar w:fldCharType="begin" w:fldLock="1"/>
      </w:r>
      <w:r w:rsidR="006D6D2E" w:rsidRPr="003676D3">
        <w:rPr>
          <w:rFonts w:ascii="Times New Roman" w:hAnsi="Times New Roman" w:cs="Times New Roman"/>
          <w:sz w:val="24"/>
          <w:szCs w:val="24"/>
        </w:rPr>
        <w:instrText>ADDIN CSL_CITATION {"citationItems":[{"id":"ITEM-1","itemData":{"DOI":"10.1109/HPCSIM.2014.6903700","ISBN":"9781479953127","abstract":"Timely analytics over big data is a key factor for success in many business and service domains. Some examples of these domains include finance, transportation, energy, security, military, and emergency response. Several big data applications in these domains rely on fast and timely analytics based on available data to make quality decisions. This paper surveys real-time big data analytics applications and their technical challenges.","author":[{"dropping-particle":"","family":"Mohamed","given":"Nader","non-dropping-particle":"","parse-names":false,"suffix":""},{"dropping-particle":"","family":"Al-Jaroodi","given":"Jameela","non-dropping-particle":"","parse-names":false,"suffix":""}],"container-title":"Proceedings of the 2014 International Conference on High Performance Computing and Simulation, HPCS 2014","id":"ITEM-1","issued":{"date-parts":[["2014","9","18"]]},"page":"305-310","publisher":"Institute of Electrical and Electronics Engineers Inc.","title":"Real-time big data analytics: Applications and challenges","type":"article-journal"},"uris":["http://www.mendeley.com/documents/?uuid=1e5b10bf-20d3-3744-9943-9d18f916704d"]}],"mendeley":{"formattedCitation":"[168]","plainTextFormattedCitation":"[168]","previouslyFormattedCitation":"[168]"},"properties":{"noteIndex":0},"schema":"https://github.com/citation-style-language/schema/raw/master/csl-citation.json"}</w:instrText>
      </w:r>
      <w:r w:rsidR="006D6D2E" w:rsidRPr="003676D3">
        <w:rPr>
          <w:rFonts w:ascii="Times New Roman" w:hAnsi="Times New Roman" w:cs="Times New Roman"/>
          <w:sz w:val="24"/>
          <w:szCs w:val="24"/>
        </w:rPr>
        <w:fldChar w:fldCharType="separate"/>
      </w:r>
      <w:r w:rsidR="006D6D2E" w:rsidRPr="003676D3">
        <w:rPr>
          <w:rFonts w:ascii="Times New Roman" w:hAnsi="Times New Roman" w:cs="Times New Roman"/>
          <w:noProof/>
          <w:sz w:val="24"/>
          <w:szCs w:val="24"/>
        </w:rPr>
        <w:t>[168]</w:t>
      </w:r>
      <w:r w:rsidR="006D6D2E" w:rsidRPr="003676D3">
        <w:rPr>
          <w:rFonts w:ascii="Times New Roman" w:hAnsi="Times New Roman" w:cs="Times New Roman"/>
          <w:sz w:val="24"/>
          <w:szCs w:val="24"/>
        </w:rPr>
        <w:fldChar w:fldCharType="end"/>
      </w:r>
      <w:r w:rsidR="0059174B" w:rsidRPr="003676D3">
        <w:rPr>
          <w:rFonts w:ascii="Times New Roman" w:hAnsi="Times New Roman" w:cs="Times New Roman"/>
          <w:sz w:val="24"/>
          <w:szCs w:val="24"/>
        </w:rPr>
        <w:t>.</w:t>
      </w:r>
    </w:p>
    <w:p w14:paraId="0A0C40DC" w14:textId="0E7FA9E1" w:rsidR="002A7177" w:rsidRPr="003676D3" w:rsidRDefault="00132774" w:rsidP="003676D3">
      <w:pPr>
        <w:pStyle w:val="Heading2"/>
        <w:spacing w:after="240" w:line="276" w:lineRule="auto"/>
        <w:jc w:val="both"/>
        <w:rPr>
          <w:rFonts w:ascii="Times New Roman" w:hAnsi="Times New Roman" w:cs="Times New Roman"/>
          <w:b/>
          <w:bCs/>
          <w:color w:val="auto"/>
          <w:sz w:val="24"/>
          <w:szCs w:val="24"/>
        </w:rPr>
      </w:pPr>
      <w:r w:rsidRPr="003676D3">
        <w:rPr>
          <w:rFonts w:ascii="Times New Roman" w:hAnsi="Times New Roman" w:cs="Times New Roman"/>
          <w:b/>
          <w:bCs/>
          <w:color w:val="auto"/>
          <w:sz w:val="24"/>
          <w:szCs w:val="24"/>
        </w:rPr>
        <w:t xml:space="preserve">5.4. </w:t>
      </w:r>
      <w:r w:rsidR="00EB2B54" w:rsidRPr="003676D3">
        <w:rPr>
          <w:rFonts w:ascii="Times New Roman" w:hAnsi="Times New Roman" w:cs="Times New Roman"/>
          <w:b/>
          <w:bCs/>
          <w:color w:val="auto"/>
          <w:sz w:val="24"/>
          <w:szCs w:val="24"/>
        </w:rPr>
        <w:t xml:space="preserve">IoT, 5G and </w:t>
      </w:r>
      <w:r w:rsidR="002A7177" w:rsidRPr="003676D3">
        <w:rPr>
          <w:rFonts w:ascii="Times New Roman" w:hAnsi="Times New Roman" w:cs="Times New Roman"/>
          <w:b/>
          <w:bCs/>
          <w:color w:val="auto"/>
          <w:sz w:val="24"/>
          <w:szCs w:val="24"/>
        </w:rPr>
        <w:t>Edge</w:t>
      </w:r>
      <w:r w:rsidR="00EB2B54" w:rsidRPr="003676D3">
        <w:rPr>
          <w:rFonts w:ascii="Times New Roman" w:hAnsi="Times New Roman" w:cs="Times New Roman"/>
          <w:b/>
          <w:bCs/>
          <w:color w:val="auto"/>
          <w:sz w:val="24"/>
          <w:szCs w:val="24"/>
        </w:rPr>
        <w:t xml:space="preserve"> Computing</w:t>
      </w:r>
    </w:p>
    <w:p w14:paraId="34B02EDF" w14:textId="7328AD8A" w:rsidR="002B3FEA" w:rsidRPr="003676D3" w:rsidRDefault="002B3FEA"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The metaverse </w:t>
      </w:r>
      <w:r w:rsidR="003972F8" w:rsidRPr="003676D3">
        <w:rPr>
          <w:rFonts w:ascii="Times New Roman" w:hAnsi="Times New Roman" w:cs="Times New Roman"/>
          <w:sz w:val="24"/>
          <w:szCs w:val="24"/>
        </w:rPr>
        <w:t>has the</w:t>
      </w:r>
      <w:r w:rsidRPr="003676D3">
        <w:rPr>
          <w:rFonts w:ascii="Times New Roman" w:hAnsi="Times New Roman" w:cs="Times New Roman"/>
          <w:sz w:val="24"/>
          <w:szCs w:val="24"/>
        </w:rPr>
        <w:t xml:space="preserve"> capacity to derive valuable insights from</w:t>
      </w:r>
      <w:r w:rsidR="00763330" w:rsidRPr="003676D3">
        <w:rPr>
          <w:rFonts w:ascii="Times New Roman" w:hAnsi="Times New Roman" w:cs="Times New Roman"/>
          <w:sz w:val="24"/>
          <w:szCs w:val="24"/>
        </w:rPr>
        <w:t xml:space="preserve"> the data acquired from</w:t>
      </w:r>
      <w:r w:rsidRPr="003676D3">
        <w:rPr>
          <w:rFonts w:ascii="Times New Roman" w:hAnsi="Times New Roman" w:cs="Times New Roman"/>
          <w:sz w:val="24"/>
          <w:szCs w:val="24"/>
        </w:rPr>
        <w:t xml:space="preserve"> real-world</w:t>
      </w:r>
      <w:r w:rsidR="003972F8" w:rsidRPr="003676D3">
        <w:rPr>
          <w:rFonts w:ascii="Times New Roman" w:hAnsi="Times New Roman" w:cs="Times New Roman"/>
          <w:sz w:val="24"/>
          <w:szCs w:val="24"/>
        </w:rPr>
        <w:t xml:space="preserve">. This is done </w:t>
      </w:r>
      <w:r w:rsidRPr="003676D3">
        <w:rPr>
          <w:rFonts w:ascii="Times New Roman" w:hAnsi="Times New Roman" w:cs="Times New Roman"/>
          <w:sz w:val="24"/>
          <w:szCs w:val="24"/>
        </w:rPr>
        <w:t xml:space="preserve">while prioritizing prosumer safety and inclusivity. This </w:t>
      </w:r>
      <w:r w:rsidR="003972F8" w:rsidRPr="003676D3">
        <w:rPr>
          <w:rFonts w:ascii="Times New Roman" w:hAnsi="Times New Roman" w:cs="Times New Roman"/>
          <w:sz w:val="24"/>
          <w:szCs w:val="24"/>
        </w:rPr>
        <w:t>demands</w:t>
      </w:r>
      <w:r w:rsidRPr="003676D3">
        <w:rPr>
          <w:rFonts w:ascii="Times New Roman" w:hAnsi="Times New Roman" w:cs="Times New Roman"/>
          <w:sz w:val="24"/>
          <w:szCs w:val="24"/>
        </w:rPr>
        <w:t xml:space="preserve"> a robust </w:t>
      </w:r>
      <w:r w:rsidRPr="003676D3">
        <w:rPr>
          <w:rFonts w:ascii="Times New Roman" w:hAnsi="Times New Roman" w:cs="Times New Roman"/>
          <w:sz w:val="24"/>
          <w:szCs w:val="24"/>
        </w:rPr>
        <w:lastRenderedPageBreak/>
        <w:t xml:space="preserve">IoT infrastructure due to its role in </w:t>
      </w:r>
      <w:r w:rsidR="003B3E2E" w:rsidRPr="003676D3">
        <w:rPr>
          <w:rFonts w:ascii="Times New Roman" w:hAnsi="Times New Roman" w:cs="Times New Roman"/>
          <w:sz w:val="24"/>
          <w:szCs w:val="24"/>
        </w:rPr>
        <w:t>linking</w:t>
      </w:r>
      <w:r w:rsidRPr="003676D3">
        <w:rPr>
          <w:rFonts w:ascii="Times New Roman" w:hAnsi="Times New Roman" w:cs="Times New Roman"/>
          <w:sz w:val="24"/>
          <w:szCs w:val="24"/>
        </w:rPr>
        <w:t xml:space="preserve"> the physical and digital realms. IoT </w:t>
      </w:r>
      <w:r w:rsidR="003972F8" w:rsidRPr="003676D3">
        <w:rPr>
          <w:rFonts w:ascii="Times New Roman" w:hAnsi="Times New Roman" w:cs="Times New Roman"/>
          <w:sz w:val="24"/>
          <w:szCs w:val="24"/>
        </w:rPr>
        <w:t>helps in</w:t>
      </w:r>
      <w:r w:rsidRPr="003676D3">
        <w:rPr>
          <w:rFonts w:ascii="Times New Roman" w:hAnsi="Times New Roman" w:cs="Times New Roman"/>
          <w:sz w:val="24"/>
          <w:szCs w:val="24"/>
        </w:rPr>
        <w:t xml:space="preserve"> the interconnection of devices</w:t>
      </w:r>
      <w:r w:rsidR="003972F8" w:rsidRPr="003676D3">
        <w:rPr>
          <w:rFonts w:ascii="Times New Roman" w:hAnsi="Times New Roman" w:cs="Times New Roman"/>
          <w:sz w:val="24"/>
          <w:szCs w:val="24"/>
        </w:rPr>
        <w:t xml:space="preserve"> which </w:t>
      </w:r>
      <w:r w:rsidRPr="003676D3">
        <w:rPr>
          <w:rFonts w:ascii="Times New Roman" w:hAnsi="Times New Roman" w:cs="Times New Roman"/>
          <w:sz w:val="24"/>
          <w:szCs w:val="24"/>
        </w:rPr>
        <w:t>enabl</w:t>
      </w:r>
      <w:r w:rsidR="003972F8" w:rsidRPr="003676D3">
        <w:rPr>
          <w:rFonts w:ascii="Times New Roman" w:hAnsi="Times New Roman" w:cs="Times New Roman"/>
          <w:sz w:val="24"/>
          <w:szCs w:val="24"/>
        </w:rPr>
        <w:t>e</w:t>
      </w:r>
      <w:r w:rsidRPr="003676D3">
        <w:rPr>
          <w:rFonts w:ascii="Times New Roman" w:hAnsi="Times New Roman" w:cs="Times New Roman"/>
          <w:sz w:val="24"/>
          <w:szCs w:val="24"/>
        </w:rPr>
        <w:t xml:space="preserve"> seamless data exchange and integration</w:t>
      </w:r>
      <w:r w:rsidR="006D6D2E" w:rsidRPr="003676D3">
        <w:rPr>
          <w:rFonts w:ascii="Times New Roman" w:hAnsi="Times New Roman" w:cs="Times New Roman"/>
          <w:sz w:val="24"/>
          <w:szCs w:val="24"/>
        </w:rPr>
        <w:t xml:space="preserve"> </w:t>
      </w:r>
      <w:r w:rsidR="006D6D2E" w:rsidRPr="003676D3">
        <w:rPr>
          <w:rFonts w:ascii="Times New Roman" w:hAnsi="Times New Roman" w:cs="Times New Roman"/>
          <w:sz w:val="24"/>
          <w:szCs w:val="24"/>
        </w:rPr>
        <w:fldChar w:fldCharType="begin" w:fldLock="1"/>
      </w:r>
      <w:r w:rsidR="006D6D2E" w:rsidRPr="003676D3">
        <w:rPr>
          <w:rFonts w:ascii="Times New Roman" w:hAnsi="Times New Roman" w:cs="Times New Roman"/>
          <w:sz w:val="24"/>
          <w:szCs w:val="24"/>
        </w:rPr>
        <w:instrText>ADDIN CSL_CITATION {"citationItems":[{"id":"ITEM-1","itemData":{"DOI":"10.1016/J.SCS.2018.01.053","ISSN":"2210-6707","abstract":"Smart city is an application of Internet of Things (IoT) notion. Unceasing growth of population and urbanization have intensified innovative ways to handle urbanization with minimal impact on environment, citizen lifestyles, and governance. Initial integration of information communication technology (ICT) into city operations have promoted telicity, information city, and digital city concepts. Later, the conception of IoT has founded the smart cities, which support the city operations intelligently with minimal human interaction. Smart city emerged as a solution to address the challenges arise with exponential growth of urbanization and population. However, smart city concept is still evolving and not mainstreamed throughout the globe due to technological, economical, and governing barriers. Therefore, this paper aims to deliver the essence of smart cities. The paper presents a brief overview of smart cities, followed by the features and characteristics, generic architecture, composition, and real-world implementations of smart cities. Finally, we present some challenges and opportunities identified through extensive literature survey on smart cities.","author":[{"dropping-particle":"","family":"Silva","given":"Bhagya Nathali","non-dropping-particle":"","parse-names":false,"suffix":""},{"dropping-particle":"","family":"Khan","given":"Murad","non-dropping-particle":"","parse-names":false,"suffix":""},{"dropping-particle":"","family":"Han","given":"Kijun","non-dropping-particle":"","parse-names":false,"suffix":""}],"container-title":"Sustainable Cities and Society","id":"ITEM-1","issued":{"date-parts":[["2018","4","1"]]},"page":"697-713","publisher":"Elsevier","title":"Towards sustainable smart cities: A review of trends, architectures, components, and open challenges in smart cities","type":"article-journal","volume":"38"},"uris":["http://www.mendeley.com/documents/?uuid=0385b947-f599-37d5-bba8-0fb20e961bc0"]}],"mendeley":{"formattedCitation":"[136]","plainTextFormattedCitation":"[136]","previouslyFormattedCitation":"[136]"},"properties":{"noteIndex":0},"schema":"https://github.com/citation-style-language/schema/raw/master/csl-citation.json"}</w:instrText>
      </w:r>
      <w:r w:rsidR="006D6D2E" w:rsidRPr="003676D3">
        <w:rPr>
          <w:rFonts w:ascii="Times New Roman" w:hAnsi="Times New Roman" w:cs="Times New Roman"/>
          <w:sz w:val="24"/>
          <w:szCs w:val="24"/>
        </w:rPr>
        <w:fldChar w:fldCharType="separate"/>
      </w:r>
      <w:r w:rsidR="006D6D2E" w:rsidRPr="003676D3">
        <w:rPr>
          <w:rFonts w:ascii="Times New Roman" w:hAnsi="Times New Roman" w:cs="Times New Roman"/>
          <w:noProof/>
          <w:sz w:val="24"/>
          <w:szCs w:val="24"/>
        </w:rPr>
        <w:t>[136]</w:t>
      </w:r>
      <w:r w:rsidR="006D6D2E"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which is crucial for the metaverse's functionality and complexity. IoT not only </w:t>
      </w:r>
      <w:r w:rsidR="003D155C" w:rsidRPr="003676D3">
        <w:rPr>
          <w:rFonts w:ascii="Times New Roman" w:hAnsi="Times New Roman" w:cs="Times New Roman"/>
          <w:sz w:val="24"/>
          <w:szCs w:val="24"/>
        </w:rPr>
        <w:t>makes</w:t>
      </w:r>
      <w:r w:rsidRPr="003676D3">
        <w:rPr>
          <w:rFonts w:ascii="Times New Roman" w:hAnsi="Times New Roman" w:cs="Times New Roman"/>
          <w:sz w:val="24"/>
          <w:szCs w:val="24"/>
        </w:rPr>
        <w:t xml:space="preserve"> the technological foundations of the metaverse but also shapes its user experience and potential for innovation [80].</w:t>
      </w:r>
      <w:r w:rsidR="009573AC" w:rsidRPr="003676D3">
        <w:rPr>
          <w:rFonts w:ascii="Times New Roman" w:hAnsi="Times New Roman" w:cs="Times New Roman"/>
          <w:sz w:val="24"/>
          <w:szCs w:val="24"/>
        </w:rPr>
        <w:t xml:space="preserve"> The integration of AI and IoT tools along with virtual reality </w:t>
      </w:r>
      <w:r w:rsidR="002E3991" w:rsidRPr="003676D3">
        <w:rPr>
          <w:rFonts w:ascii="Times New Roman" w:hAnsi="Times New Roman" w:cs="Times New Roman"/>
          <w:sz w:val="24"/>
          <w:szCs w:val="24"/>
        </w:rPr>
        <w:t xml:space="preserve">helps in better understanding the energy efficiency and consumption of a system. </w:t>
      </w:r>
    </w:p>
    <w:p w14:paraId="11CD19BE" w14:textId="0E77F42F" w:rsidR="002B3FEA" w:rsidRPr="003676D3" w:rsidRDefault="001C43F6" w:rsidP="003676D3">
      <w:pPr>
        <w:spacing w:before="100" w:beforeAutospacing="1" w:after="100" w:afterAutospacing="1" w:line="276" w:lineRule="auto"/>
        <w:jc w:val="both"/>
        <w:rPr>
          <w:rFonts w:ascii="Times New Roman" w:eastAsia="Times New Roman" w:hAnsi="Times New Roman" w:cs="Times New Roman"/>
          <w:sz w:val="24"/>
          <w:szCs w:val="24"/>
          <w:lang w:eastAsia="en-GB"/>
        </w:rPr>
      </w:pPr>
      <w:r w:rsidRPr="003676D3">
        <w:rPr>
          <w:rFonts w:ascii="Times New Roman" w:eastAsia="Times New Roman" w:hAnsi="Times New Roman" w:cs="Times New Roman"/>
          <w:sz w:val="24"/>
          <w:szCs w:val="24"/>
          <w:lang w:eastAsia="en-GB"/>
        </w:rPr>
        <w:t>The applications and functionalities of the metaverse are fundamentally enhanced through 5G technology. Its ability to ensure latency, reliability and throughput essentially serves the core needs of a metaverse ecosystem. More than that, 5G represents a substantial advancement over traditional broadband in terms of lowering energy consumption and raising data rates by almost 90%. Additionally, it cuts latency by roughly 20 times and improves reliability by about 95%</w:t>
      </w:r>
      <w:r w:rsidR="00E1734C" w:rsidRPr="003676D3">
        <w:rPr>
          <w:rFonts w:ascii="Times New Roman" w:eastAsia="Times New Roman" w:hAnsi="Times New Roman" w:cs="Times New Roman"/>
          <w:sz w:val="24"/>
          <w:szCs w:val="24"/>
          <w:lang w:eastAsia="en-GB"/>
        </w:rPr>
        <w:t xml:space="preserve"> </w:t>
      </w:r>
      <w:r w:rsidRPr="003676D3">
        <w:rPr>
          <w:rFonts w:ascii="Times New Roman" w:eastAsia="Times New Roman" w:hAnsi="Times New Roman" w:cs="Times New Roman"/>
          <w:sz w:val="24"/>
          <w:szCs w:val="24"/>
          <w:lang w:eastAsia="en-GB"/>
        </w:rPr>
        <w:t xml:space="preserve"> </w:t>
      </w:r>
      <w:r w:rsidR="006D6D2E" w:rsidRPr="003676D3">
        <w:rPr>
          <w:rFonts w:ascii="Times New Roman" w:eastAsia="Times New Roman" w:hAnsi="Times New Roman" w:cs="Times New Roman"/>
          <w:sz w:val="24"/>
          <w:szCs w:val="24"/>
          <w:lang w:eastAsia="en-GB"/>
        </w:rPr>
        <w:fldChar w:fldCharType="begin" w:fldLock="1"/>
      </w:r>
      <w:r w:rsidR="006D6D2E" w:rsidRPr="003676D3">
        <w:rPr>
          <w:rFonts w:ascii="Times New Roman" w:eastAsia="Times New Roman" w:hAnsi="Times New Roman" w:cs="Times New Roman"/>
          <w:sz w:val="24"/>
          <w:szCs w:val="24"/>
          <w:lang w:eastAsia="en-GB"/>
        </w:rPr>
        <w:instrText>ADDIN CSL_CITATION {"citationItems":[{"id":"ITEM-1","itemData":{"DOI":"10.3390/en13020494","ISSN":"1996-1073","abstract":"Integration of renewable energy and optimization of energy use are key enablers of sustainable energy transitions and mitigating climate change. Modern technologies such the Internet of Things (IoT) offer a wide number of applications in the energy sector, i.e, in energy supply, transmission and distribution, and demand. IoT can be employed for improving energy efficiency, increasing the share of renewable energy, and reducing environmental impacts of the energy use. This paper reviews the existing literature on the application of IoT in in energy systems, in general, and in the context of smart grids particularly. Furthermore, we discuss enabling technologies of IoT, including cloud computing and different platforms for data analysis. Furthermore, we review challenges of deploying IoT in the energy sector, including privacy and security, with some solutions to these challenges such as blockchain technology. This survey provides energy policy-makers, energy economists, and managers with an overview of the role of IoT in optimization of energy systems.","author":[{"dropping-particle":"","family":"Hossein Motlagh","given":"Naser","non-dropping-particle":"","parse-names":false,"suffix":""},{"dropping-particle":"","family":"Mohammadrezaei","given":"Mahsa","non-dropping-particle":"","parse-names":false,"suffix":""},{"dropping-particle":"","family":"Hunt","given":"Julian","non-dropping-particle":"","parse-names":false,"suffix":""},{"dropping-particle":"","family":"Zakeri","given":"Behnam","non-dropping-particle":"","parse-names":false,"suffix":""}],"container-title":"Energies","id":"ITEM-1","issue":"2","issued":{"date-parts":[["2020","1","19"]]},"page":"494","title":"Internet of Things (IoT) and the Energy Sector","type":"article-journal","volume":"13"},"uris":["http://www.mendeley.com/documents/?uuid=80b52096-5c80-4a56-bcbc-fa8238b03c95"]},{"id":"ITEM-2","itemData":{"URL":"https://www.indiumsoftware.com/blog/","accessed":{"date-parts":[["2024","5","13"]]},"author":[{"dropping-particle":"","family":"Indium","given":"","non-dropping-particle":"","parse-names":false,"suffix":""}],"id":"ITEM-2","issued":{"date-parts":[["0"]]},"title":"Role of IoT in Metaverse","type":"webpage"},"uris":["http://www.mendeley.com/documents/?uuid=cd321575-ef10-3f48-bdc9-d205793b8336"]},{"id":"ITEM-3","itemData":{"URL":"https://www.encora.com/insights/5-key-technologies-that-power-the-metaverse?excellarate-is-now-encora","accessed":{"date-parts":[["2024","5","13"]]},"id":"ITEM-3","issued":{"date-parts":[["0"]]},"title":"5 key technologies that power the Metaverse - Excellarate","type":"webpage"},"uris":["http://www.mendeley.com/documents/?uuid=5e7b602d-ddf8-3907-bac4-bcb894606f19"]}],"mendeley":{"formattedCitation":"[134,169,170]","plainTextFormattedCitation":"[134,169,170]","previouslyFormattedCitation":"[134,169,170]"},"properties":{"noteIndex":0},"schema":"https://github.com/citation-style-language/schema/raw/master/csl-citation.json"}</w:instrText>
      </w:r>
      <w:r w:rsidR="006D6D2E" w:rsidRPr="003676D3">
        <w:rPr>
          <w:rFonts w:ascii="Times New Roman" w:eastAsia="Times New Roman" w:hAnsi="Times New Roman" w:cs="Times New Roman"/>
          <w:sz w:val="24"/>
          <w:szCs w:val="24"/>
          <w:lang w:eastAsia="en-GB"/>
        </w:rPr>
        <w:fldChar w:fldCharType="separate"/>
      </w:r>
      <w:r w:rsidR="006D6D2E" w:rsidRPr="003676D3">
        <w:rPr>
          <w:rFonts w:ascii="Times New Roman" w:eastAsia="Times New Roman" w:hAnsi="Times New Roman" w:cs="Times New Roman"/>
          <w:noProof/>
          <w:sz w:val="24"/>
          <w:szCs w:val="24"/>
          <w:lang w:eastAsia="en-GB"/>
        </w:rPr>
        <w:t>[134,169,170]</w:t>
      </w:r>
      <w:r w:rsidR="006D6D2E" w:rsidRPr="003676D3">
        <w:rPr>
          <w:rFonts w:ascii="Times New Roman" w:eastAsia="Times New Roman" w:hAnsi="Times New Roman" w:cs="Times New Roman"/>
          <w:sz w:val="24"/>
          <w:szCs w:val="24"/>
          <w:lang w:eastAsia="en-GB"/>
        </w:rPr>
        <w:fldChar w:fldCharType="end"/>
      </w:r>
      <w:r w:rsidR="002B3FEA" w:rsidRPr="003676D3">
        <w:rPr>
          <w:rFonts w:ascii="Times New Roman" w:eastAsia="Times New Roman" w:hAnsi="Times New Roman" w:cs="Times New Roman"/>
          <w:sz w:val="24"/>
          <w:szCs w:val="24"/>
          <w:lang w:eastAsia="en-GB"/>
        </w:rPr>
        <w:t xml:space="preserve">. </w:t>
      </w:r>
      <w:r w:rsidR="00E35DE7" w:rsidRPr="003676D3">
        <w:rPr>
          <w:rFonts w:ascii="Times New Roman" w:eastAsia="Times New Roman" w:hAnsi="Times New Roman" w:cs="Times New Roman"/>
          <w:sz w:val="24"/>
          <w:szCs w:val="24"/>
          <w:lang w:eastAsia="en-GB"/>
        </w:rPr>
        <w:t>Such improvements are an indispensable part to improving user experience and meeting the functional requirements for building metaverse applications</w:t>
      </w:r>
      <w:r w:rsidR="002B3FEA" w:rsidRPr="003676D3">
        <w:rPr>
          <w:rFonts w:ascii="Times New Roman" w:eastAsia="Times New Roman" w:hAnsi="Times New Roman" w:cs="Times New Roman"/>
          <w:sz w:val="24"/>
          <w:szCs w:val="24"/>
          <w:lang w:eastAsia="en-GB"/>
        </w:rPr>
        <w:t xml:space="preserve">. Additionally, </w:t>
      </w:r>
      <w:r w:rsidR="00E35DE7" w:rsidRPr="003676D3">
        <w:rPr>
          <w:rFonts w:ascii="Times New Roman" w:eastAsia="Times New Roman" w:hAnsi="Times New Roman" w:cs="Times New Roman"/>
          <w:sz w:val="24"/>
          <w:szCs w:val="24"/>
          <w:lang w:eastAsia="en-GB"/>
        </w:rPr>
        <w:t>edge computing has emerged as yet another vital supporting technology for the metaverse, which enables users to have faster response times and thus feel more engaged in the virtual world.</w:t>
      </w:r>
    </w:p>
    <w:p w14:paraId="33C24078" w14:textId="70732BA2" w:rsidR="002B3FEA" w:rsidRPr="003676D3" w:rsidRDefault="002B500E" w:rsidP="003676D3">
      <w:pPr>
        <w:spacing w:before="100" w:beforeAutospacing="1" w:after="100" w:afterAutospacing="1" w:line="276" w:lineRule="auto"/>
        <w:jc w:val="both"/>
        <w:rPr>
          <w:rFonts w:ascii="Times New Roman" w:eastAsia="Times New Roman" w:hAnsi="Times New Roman" w:cs="Times New Roman"/>
          <w:sz w:val="24"/>
          <w:szCs w:val="24"/>
          <w:lang w:eastAsia="en-GB"/>
        </w:rPr>
      </w:pPr>
      <w:r w:rsidRPr="003676D3">
        <w:rPr>
          <w:rFonts w:ascii="Times New Roman" w:eastAsia="Times New Roman" w:hAnsi="Times New Roman" w:cs="Times New Roman"/>
          <w:sz w:val="24"/>
          <w:szCs w:val="24"/>
          <w:lang w:eastAsia="en-GB"/>
        </w:rPr>
        <w:t xml:space="preserve">The vast amount of data requires </w:t>
      </w:r>
      <w:r w:rsidR="0044433A" w:rsidRPr="003676D3">
        <w:rPr>
          <w:rFonts w:ascii="Times New Roman" w:eastAsia="Times New Roman" w:hAnsi="Times New Roman" w:cs="Times New Roman"/>
          <w:sz w:val="24"/>
          <w:szCs w:val="24"/>
          <w:lang w:eastAsia="en-GB"/>
        </w:rPr>
        <w:t>efficient</w:t>
      </w:r>
      <w:r w:rsidRPr="003676D3">
        <w:rPr>
          <w:rFonts w:ascii="Times New Roman" w:eastAsia="Times New Roman" w:hAnsi="Times New Roman" w:cs="Times New Roman"/>
          <w:sz w:val="24"/>
          <w:szCs w:val="24"/>
          <w:lang w:eastAsia="en-GB"/>
        </w:rPr>
        <w:t xml:space="preserve"> communication network for supporting metaverse</w:t>
      </w:r>
      <w:r w:rsidR="0044433A" w:rsidRPr="003676D3">
        <w:rPr>
          <w:rFonts w:ascii="Times New Roman" w:eastAsia="Times New Roman" w:hAnsi="Times New Roman" w:cs="Times New Roman"/>
          <w:sz w:val="24"/>
          <w:szCs w:val="24"/>
          <w:lang w:eastAsia="en-GB"/>
        </w:rPr>
        <w:t xml:space="preserve">. It </w:t>
      </w:r>
      <w:r w:rsidRPr="003676D3">
        <w:rPr>
          <w:rFonts w:ascii="Times New Roman" w:eastAsia="Times New Roman" w:hAnsi="Times New Roman" w:cs="Times New Roman"/>
          <w:sz w:val="24"/>
          <w:szCs w:val="24"/>
          <w:lang w:eastAsia="en-GB"/>
        </w:rPr>
        <w:t>should be highly responsive, high bandwidth connectivity</w:t>
      </w:r>
      <w:r w:rsidR="006D6D2E" w:rsidRPr="003676D3">
        <w:rPr>
          <w:rFonts w:ascii="Times New Roman" w:eastAsia="Times New Roman" w:hAnsi="Times New Roman" w:cs="Times New Roman"/>
          <w:sz w:val="24"/>
          <w:szCs w:val="24"/>
          <w:lang w:eastAsia="en-GB"/>
        </w:rPr>
        <w:t xml:space="preserve"> </w:t>
      </w:r>
      <w:r w:rsidR="006D6D2E" w:rsidRPr="003676D3">
        <w:rPr>
          <w:rFonts w:ascii="Times New Roman" w:eastAsia="Times New Roman" w:hAnsi="Times New Roman" w:cs="Times New Roman"/>
          <w:sz w:val="24"/>
          <w:szCs w:val="24"/>
          <w:lang w:eastAsia="en-GB"/>
        </w:rPr>
        <w:fldChar w:fldCharType="begin" w:fldLock="1"/>
      </w:r>
      <w:r w:rsidR="006D6D2E" w:rsidRPr="003676D3">
        <w:rPr>
          <w:rFonts w:ascii="Times New Roman" w:eastAsia="Times New Roman" w:hAnsi="Times New Roman" w:cs="Times New Roman"/>
          <w:sz w:val="24"/>
          <w:szCs w:val="24"/>
          <w:lang w:eastAsia="en-GB"/>
        </w:rPr>
        <w:instrText>ADDIN CSL_CITATION {"citationItems":[{"id":"ITEM-1","itemData":{"URL":"https://www.iceconnect.com/blog/it-support/metaverse-network-requirements/","accessed":{"date-parts":[["2024","5","20"]]},"id":"ITEM-1","issued":{"date-parts":[["0"]]},"title":"Network Requirements for the Metaverse, Are We Ready? | iceConnect","type":"webpage"},"uris":["http://www.mendeley.com/documents/?uuid=1c871919-f5be-304c-b92d-26b13718945b"]}],"mendeley":{"formattedCitation":"[171]","plainTextFormattedCitation":"[171]","previouslyFormattedCitation":"[171]"},"properties":{"noteIndex":0},"schema":"https://github.com/citation-style-language/schema/raw/master/csl-citation.json"}</w:instrText>
      </w:r>
      <w:r w:rsidR="006D6D2E" w:rsidRPr="003676D3">
        <w:rPr>
          <w:rFonts w:ascii="Times New Roman" w:eastAsia="Times New Roman" w:hAnsi="Times New Roman" w:cs="Times New Roman"/>
          <w:sz w:val="24"/>
          <w:szCs w:val="24"/>
          <w:lang w:eastAsia="en-GB"/>
        </w:rPr>
        <w:fldChar w:fldCharType="separate"/>
      </w:r>
      <w:r w:rsidR="006D6D2E" w:rsidRPr="003676D3">
        <w:rPr>
          <w:rFonts w:ascii="Times New Roman" w:eastAsia="Times New Roman" w:hAnsi="Times New Roman" w:cs="Times New Roman"/>
          <w:noProof/>
          <w:sz w:val="24"/>
          <w:szCs w:val="24"/>
          <w:lang w:eastAsia="en-GB"/>
        </w:rPr>
        <w:t>[171]</w:t>
      </w:r>
      <w:r w:rsidR="006D6D2E" w:rsidRPr="003676D3">
        <w:rPr>
          <w:rFonts w:ascii="Times New Roman" w:eastAsia="Times New Roman" w:hAnsi="Times New Roman" w:cs="Times New Roman"/>
          <w:sz w:val="24"/>
          <w:szCs w:val="24"/>
          <w:lang w:eastAsia="en-GB"/>
        </w:rPr>
        <w:fldChar w:fldCharType="end"/>
      </w:r>
      <w:r w:rsidRPr="003676D3">
        <w:rPr>
          <w:rFonts w:ascii="Times New Roman" w:eastAsia="Times New Roman" w:hAnsi="Times New Roman" w:cs="Times New Roman"/>
          <w:sz w:val="24"/>
          <w:szCs w:val="24"/>
          <w:lang w:eastAsia="en-GB"/>
        </w:rPr>
        <w:t xml:space="preserve"> and</w:t>
      </w:r>
      <w:r w:rsidR="0044433A" w:rsidRPr="003676D3">
        <w:rPr>
          <w:rFonts w:ascii="Times New Roman" w:eastAsia="Times New Roman" w:hAnsi="Times New Roman" w:cs="Times New Roman"/>
          <w:sz w:val="24"/>
          <w:szCs w:val="24"/>
          <w:lang w:eastAsia="en-GB"/>
        </w:rPr>
        <w:t xml:space="preserve"> have</w:t>
      </w:r>
      <w:r w:rsidRPr="003676D3">
        <w:rPr>
          <w:rFonts w:ascii="Times New Roman" w:eastAsia="Times New Roman" w:hAnsi="Times New Roman" w:cs="Times New Roman"/>
          <w:sz w:val="24"/>
          <w:szCs w:val="24"/>
          <w:lang w:eastAsia="en-GB"/>
        </w:rPr>
        <w:t xml:space="preserve"> latency.  </w:t>
      </w:r>
      <w:r w:rsidR="001B0655" w:rsidRPr="003676D3">
        <w:rPr>
          <w:rFonts w:ascii="Times New Roman" w:hAnsi="Times New Roman" w:cs="Times New Roman"/>
          <w:sz w:val="24"/>
          <w:szCs w:val="24"/>
        </w:rPr>
        <w:t xml:space="preserve">The Internet of Things (IoT) </w:t>
      </w:r>
      <w:r w:rsidR="006D6D2E" w:rsidRPr="003676D3">
        <w:rPr>
          <w:rFonts w:ascii="Times New Roman" w:hAnsi="Times New Roman" w:cs="Times New Roman"/>
          <w:sz w:val="24"/>
          <w:szCs w:val="24"/>
        </w:rPr>
        <w:fldChar w:fldCharType="begin" w:fldLock="1"/>
      </w:r>
      <w:r w:rsidR="006D6D2E" w:rsidRPr="003676D3">
        <w:rPr>
          <w:rFonts w:ascii="Times New Roman" w:hAnsi="Times New Roman" w:cs="Times New Roman"/>
          <w:sz w:val="24"/>
          <w:szCs w:val="24"/>
        </w:rPr>
        <w:instrText>ADDIN CSL_CITATION {"citationItems":[{"id":"ITEM-1","itemData":{"DOI":"10.9734/ajrcos/2020/v5i430147","abstract":"The problems of energy usage wastage, conservation and optimization has always been there. Most significantly in third world countries with a high level of improper energy resource management. The world has become a global village and tending toward the transformational use of technology assets and materials to optimize the usage of renewable energy; in this case the Internet of things. Renewable Energy are actually energy source that are continually replenished naturally by nature. The internet of things are interconnected system through which hardware system device are given instruction for instance to reduce energy wastage; the potential for further reduction of fossil fuel usage and wasted energy is become cosmic. Optimization here is the appropriate management of the energy generated by energy sources through use of internet of things. The modern technology such as the internet of things is to help harness and improve in management by switching between renewable energy sources alongside the enhancement in making effective energy source at given time and energy consuming device.","author":[{"dropping-particle":"","family":"Chukwuemeka","given":"C. Mazi","non-dropping-particle":"","parse-names":false,"suffix":""},{"dropping-particle":"","family":"Uchechi","given":"M. Ihedioha","non-dropping-particle":"","parse-names":false,"suffix":""},{"dropping-particle":"","family":"Obinna","given":"C. Onyedeke","non-dropping-particle":"","parse-names":false,"suffix":""},{"dropping-particle":"","family":"Modesta","given":"Ezema","non-dropping-particle":"","parse-names":false,"suffix":""},{"dropping-particle":"","family":"Chimezie","given":"Uzo Blessing","non-dropping-particle":"","parse-names":false,"suffix":""},{"dropping-particle":"","family":"Nnamdi","given":"A. Idoko","non-dropping-particle":"","parse-names":false,"suffix":""}],"container-title":"Asian Journal of Research in Computer Science","id":"ITEM-1","issued":{"date-parts":[["2020"]]},"title":"Optimizing the Sustainability of Renewable Energy: A Review on the Impart of Internet of Things","type":"article-journal"},"uris":["http://www.mendeley.com/documents/?uuid=619f7755-e16e-456f-b8cc-fd8bed412c86"]}],"mendeley":{"formattedCitation":"[172]","plainTextFormattedCitation":"[172]","previouslyFormattedCitation":"[172]"},"properties":{"noteIndex":0},"schema":"https://github.com/citation-style-language/schema/raw/master/csl-citation.json"}</w:instrText>
      </w:r>
      <w:r w:rsidR="006D6D2E" w:rsidRPr="003676D3">
        <w:rPr>
          <w:rFonts w:ascii="Times New Roman" w:hAnsi="Times New Roman" w:cs="Times New Roman"/>
          <w:sz w:val="24"/>
          <w:szCs w:val="24"/>
        </w:rPr>
        <w:fldChar w:fldCharType="separate"/>
      </w:r>
      <w:r w:rsidR="006D6D2E" w:rsidRPr="003676D3">
        <w:rPr>
          <w:rFonts w:ascii="Times New Roman" w:hAnsi="Times New Roman" w:cs="Times New Roman"/>
          <w:noProof/>
          <w:sz w:val="24"/>
          <w:szCs w:val="24"/>
        </w:rPr>
        <w:t>[172]</w:t>
      </w:r>
      <w:r w:rsidR="006D6D2E" w:rsidRPr="003676D3">
        <w:rPr>
          <w:rFonts w:ascii="Times New Roman" w:hAnsi="Times New Roman" w:cs="Times New Roman"/>
          <w:sz w:val="24"/>
          <w:szCs w:val="24"/>
        </w:rPr>
        <w:fldChar w:fldCharType="end"/>
      </w:r>
      <w:r w:rsidR="006D6D2E" w:rsidRPr="003676D3">
        <w:rPr>
          <w:rFonts w:ascii="Times New Roman" w:hAnsi="Times New Roman" w:cs="Times New Roman"/>
          <w:sz w:val="24"/>
          <w:szCs w:val="24"/>
        </w:rPr>
        <w:t xml:space="preserve"> </w:t>
      </w:r>
      <w:r w:rsidR="001B0655" w:rsidRPr="003676D3">
        <w:rPr>
          <w:rFonts w:ascii="Times New Roman" w:hAnsi="Times New Roman" w:cs="Times New Roman"/>
          <w:sz w:val="24"/>
          <w:szCs w:val="24"/>
        </w:rPr>
        <w:t>plays a crucial role in smart grids by enabling efficient data transfer and interaction among utilities and smart devices. IoT devices, such as smart energy meters</w:t>
      </w:r>
      <w:r w:rsidR="00B06EBA" w:rsidRPr="003676D3">
        <w:rPr>
          <w:rFonts w:ascii="Times New Roman" w:hAnsi="Times New Roman" w:cs="Times New Roman"/>
          <w:sz w:val="24"/>
          <w:szCs w:val="24"/>
        </w:rPr>
        <w:t xml:space="preserve"> can </w:t>
      </w:r>
      <w:r w:rsidR="001B0655" w:rsidRPr="003676D3">
        <w:rPr>
          <w:rFonts w:ascii="Times New Roman" w:hAnsi="Times New Roman" w:cs="Times New Roman"/>
          <w:sz w:val="24"/>
          <w:szCs w:val="24"/>
        </w:rPr>
        <w:t xml:space="preserve">help </w:t>
      </w:r>
      <w:r w:rsidR="00B06EBA" w:rsidRPr="003676D3">
        <w:rPr>
          <w:rFonts w:ascii="Times New Roman" w:hAnsi="Times New Roman" w:cs="Times New Roman"/>
          <w:sz w:val="24"/>
          <w:szCs w:val="24"/>
        </w:rPr>
        <w:t xml:space="preserve">to </w:t>
      </w:r>
      <w:r w:rsidR="001B0655" w:rsidRPr="003676D3">
        <w:rPr>
          <w:rFonts w:ascii="Times New Roman" w:hAnsi="Times New Roman" w:cs="Times New Roman"/>
          <w:sz w:val="24"/>
          <w:szCs w:val="24"/>
        </w:rPr>
        <w:t>identify power shortages and collect load patterns</w:t>
      </w:r>
      <w:r w:rsidR="00B06EBA" w:rsidRPr="003676D3">
        <w:rPr>
          <w:rFonts w:ascii="Times New Roman" w:hAnsi="Times New Roman" w:cs="Times New Roman"/>
          <w:sz w:val="24"/>
          <w:szCs w:val="24"/>
        </w:rPr>
        <w:t>. It also he</w:t>
      </w:r>
      <w:r w:rsidR="00A415BF" w:rsidRPr="003676D3">
        <w:rPr>
          <w:rFonts w:ascii="Times New Roman" w:hAnsi="Times New Roman" w:cs="Times New Roman"/>
          <w:sz w:val="24"/>
          <w:szCs w:val="24"/>
        </w:rPr>
        <w:t xml:space="preserve">lps in </w:t>
      </w:r>
      <w:r w:rsidR="001B0655" w:rsidRPr="003676D3">
        <w:rPr>
          <w:rFonts w:ascii="Times New Roman" w:hAnsi="Times New Roman" w:cs="Times New Roman"/>
          <w:sz w:val="24"/>
          <w:szCs w:val="24"/>
        </w:rPr>
        <w:t xml:space="preserve">improving fault detection, grid restoration, and overall efficiency. This data collection leads to better customer load management, reduced energy outages, and lower consumer bills. IoT also enhances the resilience of power transmission </w:t>
      </w:r>
      <w:r w:rsidR="00A415BF" w:rsidRPr="003676D3">
        <w:rPr>
          <w:rFonts w:ascii="Times New Roman" w:hAnsi="Times New Roman" w:cs="Times New Roman"/>
          <w:sz w:val="24"/>
          <w:szCs w:val="24"/>
        </w:rPr>
        <w:t>network</w:t>
      </w:r>
      <w:r w:rsidR="001B0655" w:rsidRPr="003676D3">
        <w:rPr>
          <w:rFonts w:ascii="Times New Roman" w:hAnsi="Times New Roman" w:cs="Times New Roman"/>
          <w:sz w:val="24"/>
          <w:szCs w:val="24"/>
        </w:rPr>
        <w:t xml:space="preserve"> against natural disasters</w:t>
      </w:r>
      <w:r w:rsidR="00A415BF" w:rsidRPr="003676D3">
        <w:rPr>
          <w:rFonts w:ascii="Times New Roman" w:hAnsi="Times New Roman" w:cs="Times New Roman"/>
          <w:sz w:val="24"/>
          <w:szCs w:val="24"/>
        </w:rPr>
        <w:t xml:space="preserve">. IoT can </w:t>
      </w:r>
      <w:r w:rsidR="001B0655" w:rsidRPr="003676D3">
        <w:rPr>
          <w:rFonts w:ascii="Times New Roman" w:hAnsi="Times New Roman" w:cs="Times New Roman"/>
          <w:sz w:val="24"/>
          <w:szCs w:val="24"/>
        </w:rPr>
        <w:t>reduces losses through e</w:t>
      </w:r>
      <w:r w:rsidR="00A415BF" w:rsidRPr="003676D3">
        <w:rPr>
          <w:rFonts w:ascii="Times New Roman" w:hAnsi="Times New Roman" w:cs="Times New Roman"/>
          <w:sz w:val="24"/>
          <w:szCs w:val="24"/>
        </w:rPr>
        <w:t>nhanced</w:t>
      </w:r>
      <w:r w:rsidR="001B0655" w:rsidRPr="003676D3">
        <w:rPr>
          <w:rFonts w:ascii="Times New Roman" w:hAnsi="Times New Roman" w:cs="Times New Roman"/>
          <w:sz w:val="24"/>
          <w:szCs w:val="24"/>
        </w:rPr>
        <w:t xml:space="preserve"> sensing and advanced communication technologies. However, IoT-enabled smart grids face significant security challenges, including impersonation</w:t>
      </w:r>
      <w:r w:rsidR="00A415BF" w:rsidRPr="003676D3">
        <w:rPr>
          <w:rFonts w:ascii="Times New Roman" w:hAnsi="Times New Roman" w:cs="Times New Roman"/>
          <w:sz w:val="24"/>
          <w:szCs w:val="24"/>
        </w:rPr>
        <w:t xml:space="preserve"> and </w:t>
      </w:r>
      <w:r w:rsidR="001B0655" w:rsidRPr="003676D3">
        <w:rPr>
          <w:rFonts w:ascii="Times New Roman" w:hAnsi="Times New Roman" w:cs="Times New Roman"/>
          <w:sz w:val="24"/>
          <w:szCs w:val="24"/>
        </w:rPr>
        <w:t>unauthorized access</w:t>
      </w:r>
      <w:r w:rsidR="00A415BF" w:rsidRPr="003676D3">
        <w:rPr>
          <w:rFonts w:ascii="Times New Roman" w:hAnsi="Times New Roman" w:cs="Times New Roman"/>
          <w:sz w:val="24"/>
          <w:szCs w:val="24"/>
        </w:rPr>
        <w:t xml:space="preserve">. Other security threats include </w:t>
      </w:r>
      <w:r w:rsidR="003B3E2E" w:rsidRPr="003676D3">
        <w:rPr>
          <w:rFonts w:ascii="Times New Roman" w:hAnsi="Times New Roman" w:cs="Times New Roman"/>
          <w:sz w:val="24"/>
          <w:szCs w:val="24"/>
        </w:rPr>
        <w:t xml:space="preserve">data tempering, </w:t>
      </w:r>
      <w:r w:rsidR="001B0655" w:rsidRPr="003676D3">
        <w:rPr>
          <w:rFonts w:ascii="Times New Roman" w:hAnsi="Times New Roman" w:cs="Times New Roman"/>
          <w:sz w:val="24"/>
          <w:szCs w:val="24"/>
        </w:rPr>
        <w:t xml:space="preserve">eavesdropping, malicious code, </w:t>
      </w:r>
      <w:r w:rsidR="003B3E2E" w:rsidRPr="003676D3">
        <w:rPr>
          <w:rFonts w:ascii="Times New Roman" w:hAnsi="Times New Roman" w:cs="Times New Roman"/>
          <w:sz w:val="24"/>
          <w:szCs w:val="24"/>
        </w:rPr>
        <w:t xml:space="preserve">cyber-attacks and </w:t>
      </w:r>
      <w:r w:rsidR="001B0655" w:rsidRPr="003676D3">
        <w:rPr>
          <w:rFonts w:ascii="Times New Roman" w:hAnsi="Times New Roman" w:cs="Times New Roman"/>
          <w:sz w:val="24"/>
          <w:szCs w:val="24"/>
        </w:rPr>
        <w:t>p</w:t>
      </w:r>
      <w:r w:rsidR="003B3E2E" w:rsidRPr="003676D3">
        <w:rPr>
          <w:rFonts w:ascii="Times New Roman" w:hAnsi="Times New Roman" w:cs="Times New Roman"/>
          <w:sz w:val="24"/>
          <w:szCs w:val="24"/>
        </w:rPr>
        <w:t>rivacy issues</w:t>
      </w:r>
      <w:r w:rsidR="006D6D2E" w:rsidRPr="003676D3">
        <w:rPr>
          <w:rFonts w:ascii="Times New Roman" w:hAnsi="Times New Roman" w:cs="Times New Roman"/>
          <w:sz w:val="24"/>
          <w:szCs w:val="24"/>
        </w:rPr>
        <w:t xml:space="preserve"> </w:t>
      </w:r>
      <w:r w:rsidR="006D6D2E" w:rsidRPr="003676D3">
        <w:rPr>
          <w:rFonts w:ascii="Times New Roman" w:hAnsi="Times New Roman" w:cs="Times New Roman"/>
          <w:sz w:val="24"/>
          <w:szCs w:val="24"/>
        </w:rPr>
        <w:fldChar w:fldCharType="begin" w:fldLock="1"/>
      </w:r>
      <w:r w:rsidR="006D6D2E" w:rsidRPr="003676D3">
        <w:rPr>
          <w:rFonts w:ascii="Times New Roman" w:hAnsi="Times New Roman" w:cs="Times New Roman"/>
          <w:sz w:val="24"/>
          <w:szCs w:val="24"/>
        </w:rPr>
        <w:instrText>ADDIN CSL_CITATION {"citationItems":[{"id":"ITEM-1","itemData":{"author":[{"dropping-particle":"","family":"Ciavarella","given":"S","non-dropping-particle":"","parse-names":false,"suffix":""},{"dropping-particle":"","family":"Joo","given":"JY","non-dropping-particle":"","parse-names":false,"suffix":""},{"dropping-particle":"","family":"Smart","given":"S Silvestri - IEEE Transactions on","non-dropping-particle":"","parse-names":false,"suffix":""},{"dropping-particle":"","family":"2016","given":"undefined","non-dropping-particle":"","parse-names":false,"suffix":""}],"container-title":"ieeexplore.ieee.orgS Ciavarella, JY Joo, S SilvestriIEEE Transactions on Smart Grid, 2016•ieeexplore.ieee.org","id":"ITEM-1","issued":{"date-parts":[["0"]]},"title":"Managing contingencies in smart grids via the internet of things","type":"article-journal"},"uris":["http://www.mendeley.com/documents/?uuid=8bb77bbb-7e84-3c72-9915-fd70de503a04"]},{"id":"ITEM-2","itemData":{"author":[{"dropping-particle":"","family":"Haider","given":"HT","non-dropping-particle":"","parse-names":false,"suffix":""},{"dropping-particle":"","family":"See","given":"OH","non-dropping-particle":"","parse-names":false,"suffix":""},{"dropping-particle":"","family":"Energy","given":"W Elmenreich - Renewable and Sustainable","non-dropping-particle":"","parse-names":false,"suffix":""},{"dropping-particle":"","family":"2016","given":"undefined","non-dropping-particle":"","parse-names":false,"suffix":""}],"container-title":"ElsevierHT Haider, OH See, W ElmenreichRenewable and Sustainable Energy Reviews, 2016•Elsevier","id":"ITEM-2","issued":{"date-parts":[["0"]]},"title":"A review of residential demand response of smart grid","type":"article-journal"},"uris":["http://www.mendeley.com/documents/?uuid=8bd02c71-0cf1-3dec-919c-927c25901fd2"]},{"id":"ITEM-3","itemData":{"author":[{"dropping-particle":"","family":"Science","given":"C Bekara - Procedia Computer","non-dropping-particle":"","parse-names":false,"suffix":""},{"dropping-particle":"","family":"2014","given":"undefined","non-dropping-particle":"","parse-names":false,"suffix":""}],"container-title":"ElsevierC BekaraProcedia Computer Science, 2014•Elsevier","id":"ITEM-3","issued":{"date-parts":[["0"]]},"title":"Security issues and challenges for the IoT-based smart grid","type":"article-journal"},"uris":["http://www.mendeley.com/documents/?uuid=c392e92e-0a7e-33aa-9554-5f54a52e4991"]}],"mendeley":{"formattedCitation":"[173–175]","plainTextFormattedCitation":"[173–175]","previouslyFormattedCitation":"[173–175]"},"properties":{"noteIndex":0},"schema":"https://github.com/citation-style-language/schema/raw/master/csl-citation.json"}</w:instrText>
      </w:r>
      <w:r w:rsidR="006D6D2E" w:rsidRPr="003676D3">
        <w:rPr>
          <w:rFonts w:ascii="Times New Roman" w:hAnsi="Times New Roman" w:cs="Times New Roman"/>
          <w:sz w:val="24"/>
          <w:szCs w:val="24"/>
        </w:rPr>
        <w:fldChar w:fldCharType="separate"/>
      </w:r>
      <w:r w:rsidR="006D6D2E" w:rsidRPr="003676D3">
        <w:rPr>
          <w:rFonts w:ascii="Times New Roman" w:hAnsi="Times New Roman" w:cs="Times New Roman"/>
          <w:noProof/>
          <w:sz w:val="24"/>
          <w:szCs w:val="24"/>
        </w:rPr>
        <w:t>[173–175]</w:t>
      </w:r>
      <w:r w:rsidR="006D6D2E" w:rsidRPr="003676D3">
        <w:rPr>
          <w:rFonts w:ascii="Times New Roman" w:hAnsi="Times New Roman" w:cs="Times New Roman"/>
          <w:sz w:val="24"/>
          <w:szCs w:val="24"/>
        </w:rPr>
        <w:fldChar w:fldCharType="end"/>
      </w:r>
      <w:r w:rsidR="001B0655" w:rsidRPr="003676D3">
        <w:rPr>
          <w:rFonts w:ascii="Times New Roman" w:hAnsi="Times New Roman" w:cs="Times New Roman"/>
          <w:sz w:val="24"/>
          <w:szCs w:val="24"/>
        </w:rPr>
        <w:t>.</w:t>
      </w:r>
    </w:p>
    <w:p w14:paraId="57F65F1C" w14:textId="42F17C8A" w:rsidR="002A7177" w:rsidRPr="003676D3" w:rsidRDefault="00132774" w:rsidP="003676D3">
      <w:pPr>
        <w:pStyle w:val="Heading2"/>
        <w:spacing w:after="240" w:line="276" w:lineRule="auto"/>
        <w:jc w:val="both"/>
        <w:rPr>
          <w:rFonts w:ascii="Times New Roman" w:hAnsi="Times New Roman" w:cs="Times New Roman"/>
          <w:b/>
          <w:bCs/>
          <w:color w:val="auto"/>
          <w:sz w:val="24"/>
          <w:szCs w:val="24"/>
        </w:rPr>
      </w:pPr>
      <w:r w:rsidRPr="003676D3">
        <w:rPr>
          <w:rFonts w:ascii="Times New Roman" w:hAnsi="Times New Roman" w:cs="Times New Roman"/>
          <w:b/>
          <w:bCs/>
          <w:color w:val="auto"/>
          <w:sz w:val="24"/>
          <w:szCs w:val="24"/>
        </w:rPr>
        <w:t xml:space="preserve">5.5. </w:t>
      </w:r>
      <w:r w:rsidR="005979C0" w:rsidRPr="003676D3">
        <w:rPr>
          <w:rFonts w:ascii="Times New Roman" w:hAnsi="Times New Roman" w:cs="Times New Roman"/>
          <w:b/>
          <w:bCs/>
          <w:color w:val="auto"/>
          <w:sz w:val="24"/>
          <w:szCs w:val="24"/>
        </w:rPr>
        <w:t>Block-</w:t>
      </w:r>
      <w:r w:rsidR="002A7177" w:rsidRPr="003676D3">
        <w:rPr>
          <w:rFonts w:ascii="Times New Roman" w:hAnsi="Times New Roman" w:cs="Times New Roman"/>
          <w:b/>
          <w:bCs/>
          <w:color w:val="auto"/>
          <w:sz w:val="24"/>
          <w:szCs w:val="24"/>
        </w:rPr>
        <w:t>chain</w:t>
      </w:r>
    </w:p>
    <w:p w14:paraId="5550C3C2" w14:textId="520BF5E8" w:rsidR="00132774" w:rsidRPr="003676D3" w:rsidRDefault="00AC16AF"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Block</w:t>
      </w:r>
      <w:r w:rsidR="005979C0" w:rsidRPr="003676D3">
        <w:rPr>
          <w:rFonts w:ascii="Times New Roman" w:hAnsi="Times New Roman" w:cs="Times New Roman"/>
          <w:sz w:val="24"/>
          <w:szCs w:val="24"/>
        </w:rPr>
        <w:t>-</w:t>
      </w:r>
      <w:r w:rsidRPr="003676D3">
        <w:rPr>
          <w:rFonts w:ascii="Times New Roman" w:hAnsi="Times New Roman" w:cs="Times New Roman"/>
          <w:sz w:val="24"/>
          <w:szCs w:val="24"/>
        </w:rPr>
        <w:t>chain technology has profound application in super smart grids</w:t>
      </w:r>
      <w:r w:rsidR="004D3404" w:rsidRPr="003676D3">
        <w:rPr>
          <w:rFonts w:ascii="Times New Roman" w:hAnsi="Times New Roman" w:cs="Times New Roman"/>
          <w:sz w:val="24"/>
          <w:szCs w:val="24"/>
        </w:rPr>
        <w:t xml:space="preserve"> as it simplifies the complex multi-level system</w:t>
      </w:r>
      <w:r w:rsidR="006D6D2E" w:rsidRPr="003676D3">
        <w:rPr>
          <w:rFonts w:ascii="Times New Roman" w:hAnsi="Times New Roman" w:cs="Times New Roman"/>
          <w:sz w:val="24"/>
          <w:szCs w:val="24"/>
        </w:rPr>
        <w:t xml:space="preserve"> </w:t>
      </w:r>
      <w:r w:rsidR="006D6D2E" w:rsidRPr="003676D3">
        <w:rPr>
          <w:rFonts w:ascii="Times New Roman" w:hAnsi="Times New Roman" w:cs="Times New Roman"/>
          <w:sz w:val="24"/>
          <w:szCs w:val="24"/>
        </w:rPr>
        <w:fldChar w:fldCharType="begin" w:fldLock="1"/>
      </w:r>
      <w:r w:rsidR="006D6D2E" w:rsidRPr="003676D3">
        <w:rPr>
          <w:rFonts w:ascii="Times New Roman" w:hAnsi="Times New Roman" w:cs="Times New Roman"/>
          <w:sz w:val="24"/>
          <w:szCs w:val="24"/>
        </w:rPr>
        <w:instrText>ADDIN CSL_CITATION {"citationItems":[{"id":"ITEM-1","itemData":{"DOI":"10.1016/j.rser.2018.10.014","abstract":"Blockchains or distributed ledgers are an emerging technology that has drawn considerable interest from energy supply firms, startups, technology developers, financial institutions, national governments and the academic community. Numerous sources coming from these backgrounds identify blockchains as having the potential to bring significant benefits and innovation. Blockchains promise transparent, tamper-proof and secure systems that can enable novel business solutions, especially when combined with smart contracts. This work provides a comprehensive overview of fundamental principles that underpin blockchain technologies, such as system ar-chitectures and distributed consensus algorithms. Next, we focus on blockchain solutions for the energy industry and inform the state-of-the-art by thoroughly reviewing the literature and current business cases. To our knowledge, this is one of the first academic, peer-reviewed works to provide a systematic review of blockchain activities and initiatives in the energy sector. Our study reviews 140 blockchain research projects and startups from which we construct a map of the potential and relevance of blockchains for energy applications. These initiatives were systematically classified into different groups according to the field of activity, implementation platform and consensus strategy used. 1 Opportunities, potential challenges and limitations for a number of use cases are discussed, ranging from emerging peer-to-peer (P2P) energy trading and Internet of Things (IoT) applications , to decentralised marketplaces, electric vehicle charging and e-mobility. For each of these use cases, our contribution is twofold: first, in identifying the technical challenges that blockchain technology can solve for that application as well as its potential drawbacks, and second in briefly presenting the research and industrial projects and startups that are currently applying blockchain technology to that area. The paper ends with a discussion of challenges and market barriers the technology needs to overcome to get past the hype phase, prove its commercial viability and finally be adopted in the mainstream.","author":[{"dropping-particle":"","family":"Andoni","given":"Merlinda","non-dropping-particle":"","parse-names":false,"suffix":""},{"dropping-particle":"","family":"Robu","given":"Valentin","non-dropping-particle":"","parse-names":false,"suffix":""},{"dropping-particle":"","family":"Flynn","given":"David","non-dropping-particle":"","parse-names":false,"suffix":""},{"dropping-particle":"","family":"Abram","given":"Simone","non-dropping-particle":"","parse-names":false,"suffix":""},{"dropping-particle":"","family":"Geach","given":"Dale","non-dropping-particle":"","parse-names":false,"suffix":""},{"dropping-particle":"","family":"Jenkins","given":"David","non-dropping-particle":"","parse-names":false,"suffix":""},{"dropping-particle":"","family":"Mccallum","given":"Peter","non-dropping-particle":"","parse-names":false,"suffix":""},{"dropping-particle":"","family":"Peacock","given":"Andrew","non-dropping-particle":"","parse-names":false,"suffix":""}],"id":"ITEM-1","issued":{"date-parts":[["2018"]]},"title":"Blockchain technology in the energy sector: A systematic review of challenges and opportunities","type":"article-journal"},"uris":["http://www.mendeley.com/documents/?uuid=bde14bd4-b875-3be4-be41-b8ec8c1a3b3d"]}],"mendeley":{"formattedCitation":"[176]","plainTextFormattedCitation":"[176]","previouslyFormattedCitation":"[176]"},"properties":{"noteIndex":0},"schema":"https://github.com/citation-style-language/schema/raw/master/csl-citation.json"}</w:instrText>
      </w:r>
      <w:r w:rsidR="006D6D2E" w:rsidRPr="003676D3">
        <w:rPr>
          <w:rFonts w:ascii="Times New Roman" w:hAnsi="Times New Roman" w:cs="Times New Roman"/>
          <w:sz w:val="24"/>
          <w:szCs w:val="24"/>
        </w:rPr>
        <w:fldChar w:fldCharType="separate"/>
      </w:r>
      <w:r w:rsidR="006D6D2E" w:rsidRPr="003676D3">
        <w:rPr>
          <w:rFonts w:ascii="Times New Roman" w:hAnsi="Times New Roman" w:cs="Times New Roman"/>
          <w:noProof/>
          <w:sz w:val="24"/>
          <w:szCs w:val="24"/>
        </w:rPr>
        <w:t>[176]</w:t>
      </w:r>
      <w:r w:rsidR="006D6D2E" w:rsidRPr="003676D3">
        <w:rPr>
          <w:rFonts w:ascii="Times New Roman" w:hAnsi="Times New Roman" w:cs="Times New Roman"/>
          <w:sz w:val="24"/>
          <w:szCs w:val="24"/>
        </w:rPr>
        <w:fldChar w:fldCharType="end"/>
      </w:r>
      <w:r w:rsidR="006D6D2E" w:rsidRPr="003676D3">
        <w:rPr>
          <w:rFonts w:ascii="Times New Roman" w:hAnsi="Times New Roman" w:cs="Times New Roman"/>
          <w:sz w:val="24"/>
          <w:szCs w:val="24"/>
        </w:rPr>
        <w:fldChar w:fldCharType="begin" w:fldLock="1"/>
      </w:r>
      <w:r w:rsidR="006D6D2E" w:rsidRPr="003676D3">
        <w:rPr>
          <w:rFonts w:ascii="Times New Roman" w:hAnsi="Times New Roman" w:cs="Times New Roman"/>
          <w:sz w:val="24"/>
          <w:szCs w:val="24"/>
        </w:rPr>
        <w:instrText>ADDIN CSL_CITATION {"citationItems":[{"id":"ITEM-1","itemData":{"DOI":"10.1016/J.DCAN.2023.02.017","ISSN":"2352-8648","abstract":"The Metaverse depicts a parallel digitalized world where virtuality and reality are fused. It has economic and social systems like those in the real world and provides intelligent services and applications. In this paper, we introduce the Metaverse from a new technology perspective, including its essence, corresponding technical framework, and potential technical challenges. Specifically, we analyze the essence of the Metaverse from its etymology and point out breakthroughs promising to be made in time, space, and contents of the Metaverse by citing Maslow's Hierarchy of Needs. Subsequently, we conclude four pillars of the Metaverse, named ubiquitous connections, space convergence, virtuality and reality interaction, and human-centered communication, and establish a corresponding technical framework. Additionally, we envision open issues and challenges of the Metaverse in the technical aspect. The work proposes a new technology perspective of the Metaverse and will provide further guidance for its technology development in the future.","author":[{"dropping-particle":"","family":"Shi","given":"Feifei","non-dropping-particle":"","parse-names":false,"suffix":""},{"dropping-particle":"","family":"Ning","given":"Huansheng","non-dropping-particle":"","parse-names":false,"suffix":""},{"dropping-particle":"","family":"Zhang","given":"Xiaohong","non-dropping-particle":"","parse-names":false,"suffix":""},{"dropping-particle":"","family":"Li","given":"Rongyang","non-dropping-particle":"","parse-names":false,"suffix":""},{"dropping-particle":"","family":"Tian","given":"Qiaohui","non-dropping-particle":"","parse-names":false,"suffix":""},{"dropping-particle":"","family":"Zhang","given":"Shiming","non-dropping-particle":"","parse-names":false,"suffix":""},{"dropping-particle":"","family":"Zheng","given":"Yuanyuan","non-dropping-particle":"","parse-names":false,"suffix":""},{"dropping-particle":"","family":"Guo","given":"Yudong","non-dropping-particle":"","parse-names":false,"suffix":""},{"dropping-particle":"","family":"Daneshmand","given":"Mahmoud","non-dropping-particle":"","parse-names":false,"suffix":""}],"container-title":"Digital Communications and Networks","id":"ITEM-1","issued":{"date-parts":[["2023","3","3"]]},"publisher":"Elsevier","title":"A new technology perspective of the Metaverse: Its essence, framework and challenges","type":"article-journal"},"uris":["http://www.mendeley.com/documents/?uuid=5ea69518-2de4-332f-b847-adfa1a3c3092"]}],"mendeley":{"formattedCitation":"[177]","plainTextFormattedCitation":"[177]","previouslyFormattedCitation":"[177]"},"properties":{"noteIndex":0},"schema":"https://github.com/citation-style-language/schema/raw/master/csl-citation.json"}</w:instrText>
      </w:r>
      <w:r w:rsidR="006D6D2E" w:rsidRPr="003676D3">
        <w:rPr>
          <w:rFonts w:ascii="Times New Roman" w:hAnsi="Times New Roman" w:cs="Times New Roman"/>
          <w:sz w:val="24"/>
          <w:szCs w:val="24"/>
        </w:rPr>
        <w:fldChar w:fldCharType="separate"/>
      </w:r>
      <w:r w:rsidR="006D6D2E" w:rsidRPr="003676D3">
        <w:rPr>
          <w:rFonts w:ascii="Times New Roman" w:hAnsi="Times New Roman" w:cs="Times New Roman"/>
          <w:noProof/>
          <w:sz w:val="24"/>
          <w:szCs w:val="24"/>
        </w:rPr>
        <w:t>[177]</w:t>
      </w:r>
      <w:r w:rsidR="006D6D2E" w:rsidRPr="003676D3">
        <w:rPr>
          <w:rFonts w:ascii="Times New Roman" w:hAnsi="Times New Roman" w:cs="Times New Roman"/>
          <w:sz w:val="24"/>
          <w:szCs w:val="24"/>
        </w:rPr>
        <w:fldChar w:fldCharType="end"/>
      </w:r>
      <w:r w:rsidRPr="003676D3">
        <w:rPr>
          <w:rFonts w:ascii="Times New Roman" w:hAnsi="Times New Roman" w:cs="Times New Roman"/>
          <w:sz w:val="24"/>
          <w:szCs w:val="24"/>
        </w:rPr>
        <w:t>. It is a secure, decentralised, trustworthy and traceable digital ledger for keeping transactions that can ensure safeguarding the digital assets in a virtual space</w:t>
      </w:r>
      <w:r w:rsidR="006D6D2E" w:rsidRPr="003676D3">
        <w:rPr>
          <w:rFonts w:ascii="Times New Roman" w:hAnsi="Times New Roman" w:cs="Times New Roman"/>
          <w:sz w:val="24"/>
          <w:szCs w:val="24"/>
        </w:rPr>
        <w:t xml:space="preserve"> </w:t>
      </w:r>
      <w:r w:rsidR="006D6D2E" w:rsidRPr="003676D3">
        <w:rPr>
          <w:rFonts w:ascii="Times New Roman" w:hAnsi="Times New Roman" w:cs="Times New Roman"/>
          <w:sz w:val="24"/>
          <w:szCs w:val="24"/>
        </w:rPr>
        <w:fldChar w:fldCharType="begin" w:fldLock="1"/>
      </w:r>
      <w:r w:rsidR="006D6D2E" w:rsidRPr="003676D3">
        <w:rPr>
          <w:rFonts w:ascii="Times New Roman" w:hAnsi="Times New Roman" w:cs="Times New Roman"/>
          <w:sz w:val="24"/>
          <w:szCs w:val="24"/>
        </w:rPr>
        <w:instrText>ADDIN CSL_CITATION {"citationItems":[{"id":"ITEM-1","itemData":{"DOI":"10.1016/J.FUTURE.2023.02.008","ISSN":"0167-739X","abstract":"Since Facebook officially changed its name to Meta in Oct. 2021, the metaverse has become a new norm of social networks and three-dimensional (3D) virtual worlds. The metaverse aims to bring 3D immersive and personalized experiences to users by leveraging many pertinent technologies. Despite great attention and benefits, a natural question in the metaverse is how to secure its users’ digital content and data. In this regard, blockchain is a promising solution owing to its distinct features of decentralization, immutability, and transparency. To better understand the role of blockchain in the metaverse, we aim to provide an extensive survey on the applications of blockchain for the metaverse. We first present a preliminary to blockchain and the metaverse and highlight the motivations behind the use of blockchain for the metaverse. Next, we extensively discuss blockchain-based methods for the metaverse from technical perspectives, such as data acquisition, data storage, data sharing, data interoperability, and data privacy preservation. For each perspective, we first discuss the technical challenges of the metaverse and then highlight how blockchain can help. Moreover, we investigate the impact of blockchain on key-enabling technologies in the metaverse, including Internet-of-Things, digital twins, multi-sensory and immersive applications, artificial intelligence, and big data. We also present some major projects to showcase the role of blockchain in metaverse applications and services. Finally, we present some promising directions to drive further research innovations and developments toward the use of blockchain in the metaverse in the future.","author":[{"dropping-particle":"","family":"Huynh-The","given":"Thien","non-dropping-particle":"","parse-names":false,"suffix":""},{"dropping-particle":"","family":"Gadekallu","given":"Thippa Reddy","non-dropping-particle":"","parse-names":false,"suffix":""},{"dropping-particle":"","family":"Wang","given":"Weizheng","non-dropping-particle":"","parse-names":false,"suffix":""},{"dropping-particle":"","family":"Yenduri","given":"Gokul","non-dropping-particle":"","parse-names":false,"suffix":""},{"dropping-particle":"","family":"Ranaweera","given":"Pasika","non-dropping-particle":"","parse-names":false,"suffix":""},{"dropping-particle":"","family":"Pham","given":"Quoc Viet","non-dropping-particle":"","parse-names":false,"suffix":""},{"dropping-particle":"","family":"Costa","given":"Daniel Benevides","non-dropping-particle":"da","parse-names":false,"suffix":""},{"dropping-particle":"","family":"Liyanage","given":"Madhusanka","non-dropping-particle":"","parse-names":false,"suffix":""}],"container-title":"Future Generation Computer Systems","id":"ITEM-1","issued":{"date-parts":[["2023","6","1"]]},"page":"401-419","publisher":"North-Holland","title":"Blockchain for the metaverse: A Review","type":"article-journal","volume":"143"},"uris":["http://www.mendeley.com/documents/?uuid=ef67d789-e548-327a-8bc3-abc543284dcb"]}],"mendeley":{"formattedCitation":"[178]","plainTextFormattedCitation":"[178]","previouslyFormattedCitation":"[178]"},"properties":{"noteIndex":0},"schema":"https://github.com/citation-style-language/schema/raw/master/csl-citation.json"}</w:instrText>
      </w:r>
      <w:r w:rsidR="006D6D2E" w:rsidRPr="003676D3">
        <w:rPr>
          <w:rFonts w:ascii="Times New Roman" w:hAnsi="Times New Roman" w:cs="Times New Roman"/>
          <w:sz w:val="24"/>
          <w:szCs w:val="24"/>
        </w:rPr>
        <w:fldChar w:fldCharType="separate"/>
      </w:r>
      <w:r w:rsidR="006D6D2E" w:rsidRPr="003676D3">
        <w:rPr>
          <w:rFonts w:ascii="Times New Roman" w:hAnsi="Times New Roman" w:cs="Times New Roman"/>
          <w:noProof/>
          <w:sz w:val="24"/>
          <w:szCs w:val="24"/>
        </w:rPr>
        <w:t>[178]</w:t>
      </w:r>
      <w:r w:rsidR="006D6D2E" w:rsidRPr="003676D3">
        <w:rPr>
          <w:rFonts w:ascii="Times New Roman" w:hAnsi="Times New Roman" w:cs="Times New Roman"/>
          <w:sz w:val="24"/>
          <w:szCs w:val="24"/>
        </w:rPr>
        <w:fldChar w:fldCharType="end"/>
      </w:r>
      <w:r w:rsidR="006D6D2E" w:rsidRPr="003676D3">
        <w:rPr>
          <w:rFonts w:ascii="Times New Roman" w:hAnsi="Times New Roman" w:cs="Times New Roman"/>
          <w:sz w:val="24"/>
          <w:szCs w:val="24"/>
        </w:rPr>
        <w:fldChar w:fldCharType="begin" w:fldLock="1"/>
      </w:r>
      <w:r w:rsidR="006D6D2E" w:rsidRPr="003676D3">
        <w:rPr>
          <w:rFonts w:ascii="Times New Roman" w:hAnsi="Times New Roman" w:cs="Times New Roman"/>
          <w:sz w:val="24"/>
          <w:szCs w:val="24"/>
        </w:rPr>
        <w:instrText>ADDIN CSL_CITATION {"citationItems":[{"id":"ITEM-1","itemData":{"DOI":"10.1109/ACCESS.2022.3206457","ISSN":"21693536","abstract":"During the COVID-19 pandemic, engagement in various remote activities such as online education and meetings has increased. However, since the conventional online environments typically provide simple streaming services using cameras and microphones, there have limitations in terms of physical expression and experiencing real-world activities such as cultural and economic activities. Recently, metaverse environments, three-dimensional virtual reality that use avatars, have attracted increasing attention as a means to solve these problems. Thus, many metaverse platforms such as Roblox, Minecraft, and Fortnite have been emerging to provide various services to users. However, such metaverse environments are potentially vulnerable to various security threats because the users and platform servers communicate through public channels. In addition, sensitive user data such as identity, password, and biometric information are managed by each platform server. In this paper, we design a system model that can guarantee secure communication and transparently manage user identification data in metaverse environments using blockchain technology. We also propose a mutual authentication scheme using biometric information and Elliptic Curve Cryptography (ECC) to provide secure communication between users and platform servers and secure avatar interactions between avatars and avatars. To demonstrate the security of the proposed mutual authentication scheme, we perform informal security analysis, Burrows-Abadi-Needham (BAN) logic, Real-or-Random (ROR) model, and Automated Validation of Internet Security Protocols and Applications (AVISPA). In addition, we compare the computation costs, communication costs, and security features of the proposed scheme with existing schemes in similar environments. The results demonstrate that the proposed scheme has lower computation and communication costs and can provide a wider range of security features than existing schemes. Thus, our proposed scheme can be used to provide secure metaverse environments.","author":[{"dropping-particle":"","family":"Ryu","given":"Jongseok","non-dropping-particle":"","parse-names":false,"suffix":""},{"dropping-particle":"","family":"Son","given":"Seunghwan","non-dropping-particle":"","parse-names":false,"suffix":""},{"dropping-particle":"","family":"Lee","given":"Joonyoung","non-dropping-particle":"","parse-names":false,"suffix":""},{"dropping-particle":"","family":"Park","given":"Yohan","non-dropping-particle":"","parse-names":false,"suffix":""},{"dropping-particle":"","family":"Park","given":"Youngho","non-dropping-particle":"","parse-names":false,"suffix":""}],"container-title":"IEEE Access","id":"ITEM-1","issued":{"date-parts":[["2022"]]},"page":"98944-98958","publisher":"Institute of Electrical and Electronics Engineers Inc.","title":"Design of Secure Mutual Authentication Scheme for Metaverse Environments Using Blockchain","type":"article-journal","volume":"10"},"uris":["http://www.mendeley.com/documents/?uuid=3bb4fb72-7c52-3399-ae84-21bba145e80a"]},{"id":"ITEM-2","itemData":{"DOI":"10.1016/J.FUTURE.2022.12.031","ISSN":"0167-739X","abstract":"Electronic Commodity Trading has a pivotal role in our economic activities. In the literature, there is a classic problem called “Fair Exchange” which is fundamental to electronic commodity trading. It means the participants can receive the exchange item of the counterparty as they have agreed on before. Since the ownership of items online is often authorized by digital signatures, we focus on the problem of the fair exchange of digital signatures in this paper. As the concept of the Metaverse becomes popular recently, what we are concerned about is how the fair exchange will evolve in a metaverse. It is said that the metaverse is a vision of how the next generation of the internet will operate and the research for the fair exchange problem in it is essential for a wide range of applications like trading a (Non-fungible-token) NFT. Many cryptographic fair exchange protocols are proposed to deal with such a problem. However, most of them should rely on a Trusted Third Party (TTP) and the security is restricted by the TTP. The way the metaverse will work is still being defined. But it will probably provide users with a decentralized environment and a fair exchange protocol relying on a TTP seems unsuitable for it. Recently, researchers present some blockchain-based fair exchange protocols to get rid of or reduce the power of a TTP. But these blockchain-based protocols face new challenges. Firstly, cryptography pairing operations are often contained in such a TTP-free protocol and cost too much for the blockchain. Secondly, the player may hang for an unacceptably long time of the latency of the blockchain network. Thirdly, it is difficult to protect the privacy of the signatures while making the whole protocol verifiable at the same time. To bridge these research gaps, this paper presents a novel signature exchange protocol called DFSE which is decentralized, verifiable, efficient and autonomous. To give a real-world evaluation, we perform the experiment on the live test network of Ethereum and the results show that our protocol is feasible.","author":[{"dropping-particle":"","family":"Chen","given":"Jiahui","non-dropping-particle":"","parse-names":false,"suffix":""},{"dropping-particle":"","family":"Xiao","given":"Hang","non-dropping-particle":"","parse-names":false,"suffix":""},{"dropping-particle":"","family":"Hu","given":"Muchuang","non-dropping-particle":"","parse-names":false,"suffix":""},{"dropping-particle":"","family":"Chen","given":"Chien Ming","non-dropping-particle":"","parse-names":false,"suffix":""}],"container-title":"Future Generation Computer Systems","id":"ITEM-2","issued":{"date-parts":[["2023","5","1"]]},"page":"237-247","publisher":"North-Holland","title":"A blockchain-based signature exchange protocol for metaverse","type":"article-journal","volume":"142"},"uris":["http://www.mendeley.com/documents/?uuid=5dd57af6-74da-3742-a235-46826ad8ec09"]}],"mendeley":{"formattedCitation":"[179,180]","plainTextFormattedCitation":"[179,180]","previouslyFormattedCitation":"[179,180]"},"properties":{"noteIndex":0},"schema":"https://github.com/citation-style-language/schema/raw/master/csl-citation.json"}</w:instrText>
      </w:r>
      <w:r w:rsidR="006D6D2E" w:rsidRPr="003676D3">
        <w:rPr>
          <w:rFonts w:ascii="Times New Roman" w:hAnsi="Times New Roman" w:cs="Times New Roman"/>
          <w:sz w:val="24"/>
          <w:szCs w:val="24"/>
        </w:rPr>
        <w:fldChar w:fldCharType="separate"/>
      </w:r>
      <w:r w:rsidR="006D6D2E" w:rsidRPr="003676D3">
        <w:rPr>
          <w:rFonts w:ascii="Times New Roman" w:hAnsi="Times New Roman" w:cs="Times New Roman"/>
          <w:noProof/>
          <w:sz w:val="24"/>
          <w:szCs w:val="24"/>
        </w:rPr>
        <w:t>[179,180]</w:t>
      </w:r>
      <w:r w:rsidR="006D6D2E" w:rsidRPr="003676D3">
        <w:rPr>
          <w:rFonts w:ascii="Times New Roman" w:hAnsi="Times New Roman" w:cs="Times New Roman"/>
          <w:sz w:val="24"/>
          <w:szCs w:val="24"/>
        </w:rPr>
        <w:fldChar w:fldCharType="end"/>
      </w:r>
      <w:r w:rsidR="006D6D2E" w:rsidRPr="003676D3">
        <w:rPr>
          <w:rFonts w:ascii="Times New Roman" w:hAnsi="Times New Roman" w:cs="Times New Roman"/>
          <w:sz w:val="24"/>
          <w:szCs w:val="24"/>
        </w:rPr>
        <w:t xml:space="preserve">. </w:t>
      </w:r>
      <w:r w:rsidRPr="003676D3">
        <w:rPr>
          <w:rFonts w:ascii="Times New Roman" w:hAnsi="Times New Roman" w:cs="Times New Roman"/>
          <w:sz w:val="24"/>
          <w:szCs w:val="24"/>
        </w:rPr>
        <w:t xml:space="preserve">Blockchain works in a </w:t>
      </w:r>
      <w:r w:rsidR="005979C0" w:rsidRPr="003676D3">
        <w:rPr>
          <w:rFonts w:ascii="Times New Roman" w:hAnsi="Times New Roman" w:cs="Times New Roman"/>
          <w:sz w:val="24"/>
          <w:szCs w:val="24"/>
        </w:rPr>
        <w:t>synchronise</w:t>
      </w:r>
      <w:r w:rsidRPr="003676D3">
        <w:rPr>
          <w:rFonts w:ascii="Times New Roman" w:hAnsi="Times New Roman" w:cs="Times New Roman"/>
          <w:sz w:val="24"/>
          <w:szCs w:val="24"/>
        </w:rPr>
        <w:t xml:space="preserve"> virtual space in a decentralized </w:t>
      </w:r>
      <w:r w:rsidR="004B1918" w:rsidRPr="003676D3">
        <w:rPr>
          <w:rFonts w:ascii="Times New Roman" w:hAnsi="Times New Roman" w:cs="Times New Roman"/>
          <w:sz w:val="24"/>
          <w:szCs w:val="24"/>
        </w:rPr>
        <w:t>environment and</w:t>
      </w:r>
      <w:r w:rsidRPr="003676D3">
        <w:rPr>
          <w:rFonts w:ascii="Times New Roman" w:hAnsi="Times New Roman" w:cs="Times New Roman"/>
          <w:sz w:val="24"/>
          <w:szCs w:val="24"/>
        </w:rPr>
        <w:t xml:space="preserve"> allows independent nodes in synchronization. Just as monetary trading, blockchain can also work in energy trading like real-ti</w:t>
      </w:r>
      <w:r w:rsidR="00F236A3" w:rsidRPr="003676D3">
        <w:rPr>
          <w:rFonts w:ascii="Times New Roman" w:hAnsi="Times New Roman" w:cs="Times New Roman"/>
          <w:sz w:val="24"/>
          <w:szCs w:val="24"/>
        </w:rPr>
        <w:t>me trading with crypto currency as means of virtual purchase</w:t>
      </w:r>
      <w:r w:rsidR="006D6D2E" w:rsidRPr="003676D3">
        <w:rPr>
          <w:rFonts w:ascii="Times New Roman" w:hAnsi="Times New Roman" w:cs="Times New Roman"/>
          <w:sz w:val="24"/>
          <w:szCs w:val="24"/>
        </w:rPr>
        <w:t xml:space="preserve"> </w:t>
      </w:r>
      <w:r w:rsidR="006D6D2E" w:rsidRPr="003676D3">
        <w:rPr>
          <w:rFonts w:ascii="Times New Roman" w:hAnsi="Times New Roman" w:cs="Times New Roman"/>
          <w:sz w:val="24"/>
          <w:szCs w:val="24"/>
        </w:rPr>
        <w:fldChar w:fldCharType="begin" w:fldLock="1"/>
      </w:r>
      <w:r w:rsidR="0049516E" w:rsidRPr="003676D3">
        <w:rPr>
          <w:rFonts w:ascii="Times New Roman" w:hAnsi="Times New Roman" w:cs="Times New Roman"/>
          <w:sz w:val="24"/>
          <w:szCs w:val="24"/>
        </w:rPr>
        <w:instrText>ADDIN CSL_CITATION {"citationItems":[{"id":"ITEM-1","itemData":{"author":[{"dropping-particle":"","family":"Maksymyuk","given":"T","non-dropping-particle":"","parse-names":false,"suffix":""},{"dropping-particle":"","family":"Gazda","given":"J","non-dropping-particle":"","parse-names":false,"suffix":""},{"dropping-particle":"","family":"Bugár","given":"G","non-dropping-particle":"","parse-names":false,"suffix":""},{"dropping-particle":"","family":"…","given":"V Gazda - IEEE","non-dropping-particle":"","parse-names":false,"suffix":""},{"dropping-particle":"","family":"2022","given":"undefined","non-dropping-particle":"","parse-names":false,"suffix":""}],"container-title":"ieeexplore.ieee.orgT Maksymyuk, J Gazda, G Bugár, V Gazda, M Liyanage, M DohlerIEEE Access, 2022•ieeexplore.ieee.org","id":"ITEM-1","issued":{"date-parts":[["0"]]},"title":"Blockchain-empowered service management for the decentralized metaverse of things","type":"article-journal"},"uris":["http://www.mendeley.com/documents/?uuid=f117c2f3-1596-335d-b1f4-cd0e758b0377"]},{"id":"ITEM-2","itemData":{"DOI":"10.1016/J.FRL.2022.102742","ISSN":"1544-6123","abstract":"The combination of blockchain technologies and the gaming industry has given rise to metaverses and play-to-earn games, which incorporate their own economy, commerce, and currencies, namely, metaverse and play-to-earn tokens. In this study, we analysed the performance and dynamics of 174 tokens, showing that this new crypto niche is characterised by (i) a positive performance in the long run, (ii) the absence of high co-movements with the cryptocurrency market, (iii) the emergence of bubbles, (iv) and the absence of high correlations with NFT features, such as number of transactions, sales and Google searches.","author":[{"dropping-particle":"","family":"Vidal-Tomás","given":"David","non-dropping-particle":"","parse-names":false,"suffix":""}],"container-title":"Finance Research Letters","id":"ITEM-2","issued":{"date-parts":[["2022","6","1"]]},"page":"102742","publisher":"Elsevier","title":"The new crypto niche: NFTs, play-to-earn, and metaverse tokens","type":"article-journal","volume":"47"},"uris":["http://www.mendeley.com/documents/?uuid=de985f31-c4e2-3d93-be47-f6efb34e808e"]}],"mendeley":{"formattedCitation":"[181,182]","plainTextFormattedCitation":"[181,182]","previouslyFormattedCitation":"[181,182]"},"properties":{"noteIndex":0},"schema":"https://github.com/citation-style-language/schema/raw/master/csl-citation.json"}</w:instrText>
      </w:r>
      <w:r w:rsidR="006D6D2E" w:rsidRPr="003676D3">
        <w:rPr>
          <w:rFonts w:ascii="Times New Roman" w:hAnsi="Times New Roman" w:cs="Times New Roman"/>
          <w:sz w:val="24"/>
          <w:szCs w:val="24"/>
        </w:rPr>
        <w:fldChar w:fldCharType="separate"/>
      </w:r>
      <w:r w:rsidR="006D6D2E" w:rsidRPr="003676D3">
        <w:rPr>
          <w:rFonts w:ascii="Times New Roman" w:hAnsi="Times New Roman" w:cs="Times New Roman"/>
          <w:noProof/>
          <w:sz w:val="24"/>
          <w:szCs w:val="24"/>
        </w:rPr>
        <w:t>[181,182]</w:t>
      </w:r>
      <w:r w:rsidR="006D6D2E" w:rsidRPr="003676D3">
        <w:rPr>
          <w:rFonts w:ascii="Times New Roman" w:hAnsi="Times New Roman" w:cs="Times New Roman"/>
          <w:sz w:val="24"/>
          <w:szCs w:val="24"/>
        </w:rPr>
        <w:fldChar w:fldCharType="end"/>
      </w:r>
      <w:r w:rsidR="006D6D2E" w:rsidRPr="003676D3">
        <w:rPr>
          <w:rFonts w:ascii="Times New Roman" w:hAnsi="Times New Roman" w:cs="Times New Roman"/>
          <w:sz w:val="24"/>
          <w:szCs w:val="24"/>
        </w:rPr>
        <w:t xml:space="preserve">. </w:t>
      </w:r>
      <w:r w:rsidR="00F236A3" w:rsidRPr="003676D3">
        <w:rPr>
          <w:rFonts w:ascii="Times New Roman" w:hAnsi="Times New Roman" w:cs="Times New Roman"/>
          <w:sz w:val="24"/>
          <w:szCs w:val="24"/>
        </w:rPr>
        <w:t xml:space="preserve">Similarly, </w:t>
      </w:r>
      <w:r w:rsidR="004D3404" w:rsidRPr="003676D3">
        <w:rPr>
          <w:rFonts w:ascii="Times New Roman" w:hAnsi="Times New Roman" w:cs="Times New Roman"/>
          <w:sz w:val="24"/>
          <w:szCs w:val="24"/>
        </w:rPr>
        <w:t>Non fungible tokens (</w:t>
      </w:r>
      <w:r w:rsidR="00F236A3" w:rsidRPr="003676D3">
        <w:rPr>
          <w:rFonts w:ascii="Times New Roman" w:hAnsi="Times New Roman" w:cs="Times New Roman"/>
          <w:sz w:val="24"/>
          <w:szCs w:val="24"/>
        </w:rPr>
        <w:t>NFTs</w:t>
      </w:r>
      <w:r w:rsidR="004D3404" w:rsidRPr="003676D3">
        <w:rPr>
          <w:rFonts w:ascii="Times New Roman" w:hAnsi="Times New Roman" w:cs="Times New Roman"/>
          <w:sz w:val="24"/>
          <w:szCs w:val="24"/>
        </w:rPr>
        <w:t>)</w:t>
      </w:r>
      <w:r w:rsidR="00F236A3" w:rsidRPr="003676D3">
        <w:rPr>
          <w:rFonts w:ascii="Times New Roman" w:hAnsi="Times New Roman" w:cs="Times New Roman"/>
          <w:sz w:val="24"/>
          <w:szCs w:val="24"/>
        </w:rPr>
        <w:t xml:space="preserve"> can create a system of digita</w:t>
      </w:r>
      <w:r w:rsidR="0049516E" w:rsidRPr="003676D3">
        <w:rPr>
          <w:rFonts w:ascii="Times New Roman" w:hAnsi="Times New Roman" w:cs="Times New Roman"/>
          <w:sz w:val="24"/>
          <w:szCs w:val="24"/>
        </w:rPr>
        <w:t xml:space="preserve">l economy within this realm </w:t>
      </w:r>
      <w:r w:rsidR="0049516E" w:rsidRPr="003676D3">
        <w:rPr>
          <w:rFonts w:ascii="Times New Roman" w:hAnsi="Times New Roman" w:cs="Times New Roman"/>
          <w:sz w:val="24"/>
          <w:szCs w:val="24"/>
        </w:rPr>
        <w:fldChar w:fldCharType="begin" w:fldLock="1"/>
      </w:r>
      <w:r w:rsidR="0049516E" w:rsidRPr="003676D3">
        <w:rPr>
          <w:rFonts w:ascii="Times New Roman" w:hAnsi="Times New Roman" w:cs="Times New Roman"/>
          <w:sz w:val="24"/>
          <w:szCs w:val="24"/>
        </w:rPr>
        <w:instrText>ADDIN CSL_CITATION {"citationItems":[{"id":"ITEM-1","itemData":{"DOI":"10.1016/J.FRL.2022.102742","ISSN":"1544-6123","abstract":"The combination of blockchain technologies and the gaming industry has given rise to metaverses and play-to-earn games, which incorporate their own economy, commerce, and currencies, namely, metaverse and play-to-earn tokens. In this study, we analysed the performance and dynamics of 174 tokens, showing that this new crypto niche is characterised by (i) a positive performance in the long run, (ii) the absence of high co-movements with the cryptocurrency market, (iii) the emergence of bubbles, (iv) and the absence of high correlations with NFT features, such as number of transactions, sales and Google searches.","author":[{"dropping-particle":"","family":"Vidal-Tomás","given":"David","non-dropping-particle":"","parse-names":false,"suffix":""}],"container-title":"Finance Research Letters","id":"ITEM-1","issued":{"date-parts":[["2022","6","1"]]},"page":"102742","publisher":"Elsevier","title":"The new crypto niche: NFTs, play-to-earn, and metaverse tokens","type":"article-journal","volume":"47"},"uris":["http://www.mendeley.com/documents/?uuid=de985f31-c4e2-3d93-be47-f6efb34e808e"]}],"mendeley":{"formattedCitation":"[182]","plainTextFormattedCitation":"[182]","previouslyFormattedCitation":"[182]"},"properties":{"noteIndex":0},"schema":"https://github.com/citation-style-language/schema/raw/master/csl-citation.json"}</w:instrText>
      </w:r>
      <w:r w:rsidR="0049516E" w:rsidRPr="003676D3">
        <w:rPr>
          <w:rFonts w:ascii="Times New Roman" w:hAnsi="Times New Roman" w:cs="Times New Roman"/>
          <w:sz w:val="24"/>
          <w:szCs w:val="24"/>
        </w:rPr>
        <w:fldChar w:fldCharType="separate"/>
      </w:r>
      <w:r w:rsidR="0049516E" w:rsidRPr="003676D3">
        <w:rPr>
          <w:rFonts w:ascii="Times New Roman" w:hAnsi="Times New Roman" w:cs="Times New Roman"/>
          <w:noProof/>
          <w:sz w:val="24"/>
          <w:szCs w:val="24"/>
        </w:rPr>
        <w:t>[182]</w:t>
      </w:r>
      <w:r w:rsidR="0049516E" w:rsidRPr="003676D3">
        <w:rPr>
          <w:rFonts w:ascii="Times New Roman" w:hAnsi="Times New Roman" w:cs="Times New Roman"/>
          <w:sz w:val="24"/>
          <w:szCs w:val="24"/>
        </w:rPr>
        <w:fldChar w:fldCharType="end"/>
      </w:r>
      <w:r w:rsidR="00F236A3" w:rsidRPr="003676D3">
        <w:rPr>
          <w:rFonts w:ascii="Times New Roman" w:hAnsi="Times New Roman" w:cs="Times New Roman"/>
          <w:sz w:val="24"/>
          <w:szCs w:val="24"/>
        </w:rPr>
        <w:t xml:space="preserve">. </w:t>
      </w:r>
      <w:r w:rsidR="0049516E" w:rsidRPr="003676D3">
        <w:rPr>
          <w:rFonts w:ascii="Times New Roman" w:hAnsi="Times New Roman" w:cs="Times New Roman"/>
          <w:sz w:val="24"/>
          <w:szCs w:val="24"/>
        </w:rPr>
        <w:t>Blo</w:t>
      </w:r>
      <w:r w:rsidR="00871B92" w:rsidRPr="003676D3">
        <w:rPr>
          <w:rFonts w:ascii="Times New Roman" w:hAnsi="Times New Roman" w:cs="Times New Roman"/>
          <w:sz w:val="24"/>
          <w:szCs w:val="24"/>
        </w:rPr>
        <w:t xml:space="preserve">ckchain technology has proven effective in optimizing big data applications, data </w:t>
      </w:r>
      <w:r w:rsidR="003B3E2E" w:rsidRPr="003676D3">
        <w:rPr>
          <w:rFonts w:ascii="Times New Roman" w:hAnsi="Times New Roman" w:cs="Times New Roman"/>
          <w:sz w:val="24"/>
          <w:szCs w:val="24"/>
        </w:rPr>
        <w:t>sharing and data circulation</w:t>
      </w:r>
      <w:r w:rsidR="00871B92" w:rsidRPr="003676D3">
        <w:rPr>
          <w:rFonts w:ascii="Times New Roman" w:hAnsi="Times New Roman" w:cs="Times New Roman"/>
          <w:sz w:val="24"/>
          <w:szCs w:val="24"/>
        </w:rPr>
        <w:t xml:space="preserve">. </w:t>
      </w:r>
      <w:r w:rsidR="004C6214" w:rsidRPr="003676D3">
        <w:rPr>
          <w:rFonts w:ascii="Times New Roman" w:hAnsi="Times New Roman" w:cs="Times New Roman"/>
          <w:b/>
          <w:bCs/>
          <w:sz w:val="24"/>
          <w:szCs w:val="24"/>
        </w:rPr>
        <w:fldChar w:fldCharType="begin"/>
      </w:r>
      <w:r w:rsidR="004C6214" w:rsidRPr="003676D3">
        <w:rPr>
          <w:rFonts w:ascii="Times New Roman" w:hAnsi="Times New Roman" w:cs="Times New Roman"/>
          <w:b/>
          <w:bCs/>
          <w:sz w:val="24"/>
          <w:szCs w:val="24"/>
        </w:rPr>
        <w:instrText xml:space="preserve"> REF _Ref168445828 \h  \* MERGEFORMAT </w:instrText>
      </w:r>
      <w:r w:rsidR="004C6214" w:rsidRPr="003676D3">
        <w:rPr>
          <w:rFonts w:ascii="Times New Roman" w:hAnsi="Times New Roman" w:cs="Times New Roman"/>
          <w:b/>
          <w:bCs/>
          <w:sz w:val="24"/>
          <w:szCs w:val="24"/>
        </w:rPr>
      </w:r>
      <w:r w:rsidR="004C6214" w:rsidRPr="003676D3">
        <w:rPr>
          <w:rFonts w:ascii="Times New Roman" w:hAnsi="Times New Roman" w:cs="Times New Roman"/>
          <w:b/>
          <w:bCs/>
          <w:sz w:val="24"/>
          <w:szCs w:val="24"/>
        </w:rPr>
        <w:fldChar w:fldCharType="separate"/>
      </w:r>
      <w:r w:rsidR="008D1E2C" w:rsidRPr="003676D3">
        <w:rPr>
          <w:rFonts w:ascii="Times New Roman" w:hAnsi="Times New Roman" w:cs="Times New Roman"/>
          <w:b/>
          <w:bCs/>
          <w:sz w:val="24"/>
          <w:szCs w:val="24"/>
        </w:rPr>
        <w:t xml:space="preserve">Figure </w:t>
      </w:r>
      <w:r w:rsidR="008D1E2C" w:rsidRPr="003676D3">
        <w:rPr>
          <w:rFonts w:ascii="Times New Roman" w:hAnsi="Times New Roman" w:cs="Times New Roman"/>
          <w:b/>
          <w:bCs/>
          <w:noProof/>
          <w:sz w:val="24"/>
          <w:szCs w:val="24"/>
        </w:rPr>
        <w:t>10</w:t>
      </w:r>
      <w:r w:rsidR="004C6214" w:rsidRPr="003676D3">
        <w:rPr>
          <w:rFonts w:ascii="Times New Roman" w:hAnsi="Times New Roman" w:cs="Times New Roman"/>
          <w:b/>
          <w:bCs/>
          <w:sz w:val="24"/>
          <w:szCs w:val="24"/>
        </w:rPr>
        <w:fldChar w:fldCharType="end"/>
      </w:r>
      <w:r w:rsidR="004C6214" w:rsidRPr="003676D3">
        <w:rPr>
          <w:rFonts w:ascii="Times New Roman" w:hAnsi="Times New Roman" w:cs="Times New Roman"/>
          <w:sz w:val="24"/>
          <w:szCs w:val="24"/>
        </w:rPr>
        <w:t xml:space="preserve"> shows the blockchain working </w:t>
      </w:r>
      <w:r w:rsidR="000128C6" w:rsidRPr="003676D3">
        <w:rPr>
          <w:rFonts w:ascii="Times New Roman" w:hAnsi="Times New Roman" w:cs="Times New Roman"/>
          <w:sz w:val="24"/>
          <w:szCs w:val="24"/>
        </w:rPr>
        <w:fldChar w:fldCharType="begin" w:fldLock="1"/>
      </w:r>
      <w:r w:rsidR="00C312C2" w:rsidRPr="003676D3">
        <w:rPr>
          <w:rFonts w:ascii="Times New Roman" w:hAnsi="Times New Roman" w:cs="Times New Roman"/>
          <w:sz w:val="24"/>
          <w:szCs w:val="24"/>
        </w:rPr>
        <w:instrText>ADDIN CSL_CITATION {"citationItems":[{"id":"ITEM-1","itemData":{"DOI":"10.3390/BDCC6020047","ISSN":"2504-2289","abstract":"Smart grids (SG) are electricity grids that communicate with each other, provide reliable information, and enable administrators to operate energy supplies across the country, ensuring optimized reliability and efficiency. The smart grid contains sensors that measure and transmit data to adjust the flow of electricity automatically based on supply/demand, and thus, responding to problems becomes quicker and easier. This also plays a crucial role in controlling carbon emissions, by avoiding energy losses during peak load hours and ensuring optimal energy management. The scope of big data analytics in smart grids is huge, as they collect information from raw data and derive intelligent information from the same. However, these benefits of the smart grid are dependent on the active and voluntary participation of the consumers in real-time. Consumers need to be motivated and conscious to avail themselves of the achievable benefits. Incentivizing the appropriate actor is an absolute necessity to encourage prosumers to generate renewable energy sources (RES) and motivate industries to establish plants that support sustainable and green-energy-based processes or products. The current study emphasizes similar aspects and presents a comprehensive survey of the start-of-the-art contributions pertinent to incentive mechanisms in smart grids, which can be used in smart grids to optimize the power distribution during peak times and also reduce carbon emissions. The various technologies, such as game theory, blockchain, and artificial intelligence, used in implementing incentive mechanisms in smart grids are discussed, followed by different incentive projects being implemented across the globe. The lessons learnt, challenges faced in such implementations, and open issues such as data quality, privacy, security, and pricing related to incentive mechanisms in SG are identified to guide the future scope of research in this sector.","author":[{"dropping-particle":"","family":"Bhattacharya","given":"Sweta","non-dropping-particle":"","parse-names":false,"suffix":""},{"dropping-particle":"","family":"Chengoden","given":"Rajeswari","non-dropping-particle":"","parse-names":false,"suffix":""},{"dropping-particle":"","family":"Srivastava","given":"Gautam","non-dropping-particle":"","parse-names":false,"suffix":""},{"dropping-particle":"","family":"Alazab","given":"Mamoun","non-dropping-particle":"","parse-names":false,"suffix":""},{"dropping-particle":"","family":"Javed","given":"Abdul Rehman","non-dropping-particle":"","parse-names":false,"suffix":""},{"dropping-particle":"","family":"Victor","given":"Nancy","non-dropping-particle":"","parse-names":false,"suffix":""},{"dropping-particle":"","family":"Maddikunta","given":"Praveen Kumar Reddy","non-dropping-particle":"","parse-names":false,"suffix":""},{"dropping-particle":"","family":"Gadekallu","given":"Thippa Reddy","non-dropping-particle":"","parse-names":false,"suffix":""}],"container-title":"Big Data and Cognitive Computing 2022, Vol. 6, Page 47","id":"ITEM-1","issue":"2","issued":{"date-parts":[["2022","4","27"]]},"page":"47","publisher":"Multidisciplinary Digital Publishing Institute","title":"Incentive Mechanisms for Smart Grid: State of the Art, Challenges, Open Issues, Future Directions","type":"article-journal","volume":"6"},"uris":["http://www.mendeley.com/documents/?uuid=a46c14f4-f20b-3372-89e3-9a89c9278d14"]}],"mendeley":{"formattedCitation":"[24]","plainTextFormattedCitation":"[24]","previouslyFormattedCitation":"[24]"},"properties":{"noteIndex":0},"schema":"https://github.com/citation-style-language/schema/raw/master/csl-citation.json"}</w:instrText>
      </w:r>
      <w:r w:rsidR="000128C6" w:rsidRPr="003676D3">
        <w:rPr>
          <w:rFonts w:ascii="Times New Roman" w:hAnsi="Times New Roman" w:cs="Times New Roman"/>
          <w:sz w:val="24"/>
          <w:szCs w:val="24"/>
        </w:rPr>
        <w:fldChar w:fldCharType="separate"/>
      </w:r>
      <w:r w:rsidR="000128C6" w:rsidRPr="003676D3">
        <w:rPr>
          <w:rFonts w:ascii="Times New Roman" w:hAnsi="Times New Roman" w:cs="Times New Roman"/>
          <w:noProof/>
          <w:sz w:val="24"/>
          <w:szCs w:val="24"/>
        </w:rPr>
        <w:t>[24]</w:t>
      </w:r>
      <w:r w:rsidR="000128C6" w:rsidRPr="003676D3">
        <w:rPr>
          <w:rFonts w:ascii="Times New Roman" w:hAnsi="Times New Roman" w:cs="Times New Roman"/>
          <w:sz w:val="24"/>
          <w:szCs w:val="24"/>
        </w:rPr>
        <w:fldChar w:fldCharType="end"/>
      </w:r>
      <w:r w:rsidR="000128C6" w:rsidRPr="003676D3">
        <w:rPr>
          <w:rFonts w:ascii="Times New Roman" w:hAnsi="Times New Roman" w:cs="Times New Roman"/>
          <w:sz w:val="24"/>
          <w:szCs w:val="24"/>
        </w:rPr>
        <w:t xml:space="preserve"> </w:t>
      </w:r>
      <w:r w:rsidR="004C6214" w:rsidRPr="003676D3">
        <w:rPr>
          <w:rFonts w:ascii="Times New Roman" w:hAnsi="Times New Roman" w:cs="Times New Roman"/>
          <w:sz w:val="24"/>
          <w:szCs w:val="24"/>
        </w:rPr>
        <w:t>in</w:t>
      </w:r>
      <w:r w:rsidR="000128C6" w:rsidRPr="003676D3">
        <w:rPr>
          <w:rFonts w:ascii="Times New Roman" w:hAnsi="Times New Roman" w:cs="Times New Roman"/>
          <w:sz w:val="24"/>
          <w:szCs w:val="24"/>
        </w:rPr>
        <w:t xml:space="preserve"> a potential</w:t>
      </w:r>
      <w:r w:rsidR="004C6214" w:rsidRPr="003676D3">
        <w:rPr>
          <w:rFonts w:ascii="Times New Roman" w:hAnsi="Times New Roman" w:cs="Times New Roman"/>
          <w:sz w:val="24"/>
          <w:szCs w:val="24"/>
        </w:rPr>
        <w:t xml:space="preserve"> SSG. </w:t>
      </w:r>
    </w:p>
    <w:p w14:paraId="2DADF74C" w14:textId="0601439B" w:rsidR="00820DC7" w:rsidRPr="003676D3" w:rsidRDefault="00EE6812"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T</w:t>
      </w:r>
      <w:r w:rsidR="00871B92" w:rsidRPr="003676D3">
        <w:rPr>
          <w:rFonts w:ascii="Times New Roman" w:hAnsi="Times New Roman" w:cs="Times New Roman"/>
          <w:sz w:val="24"/>
          <w:szCs w:val="24"/>
        </w:rPr>
        <w:t>he future Metaverse will generate vast amounts of data</w:t>
      </w:r>
      <w:r w:rsidR="005100F2" w:rsidRPr="003676D3">
        <w:rPr>
          <w:rFonts w:ascii="Times New Roman" w:hAnsi="Times New Roman" w:cs="Times New Roman"/>
          <w:sz w:val="24"/>
          <w:szCs w:val="24"/>
        </w:rPr>
        <w:t xml:space="preserve"> because of which </w:t>
      </w:r>
      <w:r w:rsidR="00871B92" w:rsidRPr="003676D3">
        <w:rPr>
          <w:rFonts w:ascii="Times New Roman" w:hAnsi="Times New Roman" w:cs="Times New Roman"/>
          <w:sz w:val="24"/>
          <w:szCs w:val="24"/>
        </w:rPr>
        <w:t xml:space="preserve">the current centralized data storage mechanisms are inadequate. </w:t>
      </w:r>
      <w:r w:rsidR="005100F2" w:rsidRPr="003676D3">
        <w:rPr>
          <w:rFonts w:ascii="Times New Roman" w:hAnsi="Times New Roman" w:cs="Times New Roman"/>
          <w:sz w:val="24"/>
          <w:szCs w:val="24"/>
        </w:rPr>
        <w:t xml:space="preserve">The solution is to use </w:t>
      </w:r>
      <w:r w:rsidR="00871B92" w:rsidRPr="003676D3">
        <w:rPr>
          <w:rFonts w:ascii="Times New Roman" w:hAnsi="Times New Roman" w:cs="Times New Roman"/>
          <w:sz w:val="24"/>
          <w:szCs w:val="24"/>
        </w:rPr>
        <w:t xml:space="preserve">Blockchain </w:t>
      </w:r>
      <w:r w:rsidR="005100F2" w:rsidRPr="003676D3">
        <w:rPr>
          <w:rFonts w:ascii="Times New Roman" w:hAnsi="Times New Roman" w:cs="Times New Roman"/>
          <w:sz w:val="24"/>
          <w:szCs w:val="24"/>
        </w:rPr>
        <w:t xml:space="preserve">which </w:t>
      </w:r>
      <w:r w:rsidR="00871B92" w:rsidRPr="003676D3">
        <w:rPr>
          <w:rFonts w:ascii="Times New Roman" w:hAnsi="Times New Roman" w:cs="Times New Roman"/>
          <w:sz w:val="24"/>
          <w:szCs w:val="24"/>
        </w:rPr>
        <w:lastRenderedPageBreak/>
        <w:t xml:space="preserve">offers promising solutions for data storage and processing in the Metaverse. Its features of non-tampering and </w:t>
      </w:r>
      <w:r w:rsidR="003B3E2E" w:rsidRPr="003676D3">
        <w:rPr>
          <w:rFonts w:ascii="Times New Roman" w:hAnsi="Times New Roman" w:cs="Times New Roman"/>
          <w:sz w:val="24"/>
          <w:szCs w:val="24"/>
        </w:rPr>
        <w:t>non-</w:t>
      </w:r>
      <w:r w:rsidR="00871B92" w:rsidRPr="003676D3">
        <w:rPr>
          <w:rFonts w:ascii="Times New Roman" w:hAnsi="Times New Roman" w:cs="Times New Roman"/>
          <w:sz w:val="24"/>
          <w:szCs w:val="24"/>
        </w:rPr>
        <w:t>traceability ensure data authenticity and high quality</w:t>
      </w:r>
      <w:r w:rsidR="005100F2" w:rsidRPr="003676D3">
        <w:rPr>
          <w:rFonts w:ascii="Times New Roman" w:hAnsi="Times New Roman" w:cs="Times New Roman"/>
          <w:sz w:val="24"/>
          <w:szCs w:val="24"/>
        </w:rPr>
        <w:t xml:space="preserve">. This </w:t>
      </w:r>
      <w:r w:rsidR="00871B92" w:rsidRPr="003676D3">
        <w:rPr>
          <w:rFonts w:ascii="Times New Roman" w:hAnsi="Times New Roman" w:cs="Times New Roman"/>
          <w:sz w:val="24"/>
          <w:szCs w:val="24"/>
        </w:rPr>
        <w:t>provid</w:t>
      </w:r>
      <w:r w:rsidR="005100F2" w:rsidRPr="003676D3">
        <w:rPr>
          <w:rFonts w:ascii="Times New Roman" w:hAnsi="Times New Roman" w:cs="Times New Roman"/>
          <w:sz w:val="24"/>
          <w:szCs w:val="24"/>
        </w:rPr>
        <w:t>es</w:t>
      </w:r>
      <w:r w:rsidR="00871B92" w:rsidRPr="003676D3">
        <w:rPr>
          <w:rFonts w:ascii="Times New Roman" w:hAnsi="Times New Roman" w:cs="Times New Roman"/>
          <w:sz w:val="24"/>
          <w:szCs w:val="24"/>
        </w:rPr>
        <w:t xml:space="preserve"> a foundation for the Metaverse's development</w:t>
      </w:r>
      <w:r w:rsidR="003A6D00" w:rsidRPr="003676D3">
        <w:rPr>
          <w:rFonts w:ascii="Times New Roman" w:hAnsi="Times New Roman" w:cs="Times New Roman"/>
          <w:sz w:val="24"/>
          <w:szCs w:val="24"/>
        </w:rPr>
        <w:t>, a</w:t>
      </w:r>
      <w:r w:rsidR="00871B92" w:rsidRPr="003676D3">
        <w:rPr>
          <w:rFonts w:ascii="Times New Roman" w:hAnsi="Times New Roman" w:cs="Times New Roman"/>
          <w:sz w:val="24"/>
          <w:szCs w:val="24"/>
        </w:rPr>
        <w:t xml:space="preserve"> unique virtual economic systems</w:t>
      </w:r>
      <w:r w:rsidR="0049516E" w:rsidRPr="003676D3">
        <w:rPr>
          <w:rFonts w:ascii="Times New Roman" w:hAnsi="Times New Roman" w:cs="Times New Roman"/>
          <w:sz w:val="24"/>
          <w:szCs w:val="24"/>
        </w:rPr>
        <w:t xml:space="preserve"> </w:t>
      </w:r>
      <w:r w:rsidR="0049516E" w:rsidRPr="003676D3">
        <w:rPr>
          <w:rFonts w:ascii="Times New Roman" w:hAnsi="Times New Roman" w:cs="Times New Roman"/>
          <w:sz w:val="24"/>
          <w:szCs w:val="24"/>
        </w:rPr>
        <w:fldChar w:fldCharType="begin" w:fldLock="1"/>
      </w:r>
      <w:r w:rsidR="0049516E" w:rsidRPr="003676D3">
        <w:rPr>
          <w:rFonts w:ascii="Times New Roman" w:hAnsi="Times New Roman" w:cs="Times New Roman"/>
          <w:sz w:val="24"/>
          <w:szCs w:val="24"/>
        </w:rPr>
        <w:instrText>ADDIN CSL_CITATION {"citationItems":[{"id":"ITEM-1","itemData":{"author":[{"dropping-particle":"","family":"Jeon","given":"HJ","non-dropping-particle":"","parse-names":false,"suffix":""},{"dropping-particle":"","family":"Youn","given":"HC","non-dropping-particle":"","parse-names":false,"suffix":""},{"dropping-particle":"","family":"Ko","given":"SM","non-dropping-particle":"","parse-names":false,"suffix":""},{"dropping-particle":"","family":"the","given":"TH Kim - Advances in","non-dropping-particle":"","parse-names":false,"suffix":""},{"dropping-particle":"","family":"2022","given":"undefined","non-dropping-particle":"","parse-names":false,"suffix":""}],"container-title":"books.google.comHJ Jeon, HC Youn, SM Ko, TH KimAdvances in the Convergence of Blockchain and Artificial Intelligence, 2022•books.google.com","id":"ITEM-1","issued":{"date-parts":[["0"]]},"title":"Blockchain and AI Meet in the Metaverse","type":"article-journal"},"uris":["http://www.mendeley.com/documents/?uuid=22d4b811-b892-3d53-8fac-909777f05aeb"]},{"id":"ITEM-2","itemData":{"DOI":"10.1016/J.DCAN.2023.02.017","ISSN":"2352-8648","abstract":"The Metaverse depicts a parallel digitalized world where virtuality and reality are fused. It has economic and social systems like those in the real world and provides intelligent services and applications. In this paper, we introduce the Metaverse from a new technology perspective, including its essence, corresponding technical framework, and potential technical challenges. Specifically, we analyze the essence of the Metaverse from its etymology and point out breakthroughs promising to be made in time, space, and contents of the Metaverse by citing Maslow's Hierarchy of Needs. Subsequently, we conclude four pillars of the Metaverse, named ubiquitous connections, space convergence, virtuality and reality interaction, and human-centered communication, and establish a corresponding technical framework. Additionally, we envision open issues and challenges of the Metaverse in the technical aspect. The work proposes a new technology perspective of the Metaverse and will provide further guidance for its technology development in the future.","author":[{"dropping-particle":"","family":"Shi","given":"Feifei","non-dropping-particle":"","parse-names":false,"suffix":""},{"dropping-particle":"","family":"Ning","given":"Huansheng","non-dropping-particle":"","parse-names":false,"suffix":""},{"dropping-particle":"","family":"Zhang","given":"Xiaohong","non-dropping-particle":"","parse-names":false,"suffix":""},{"dropping-particle":"","family":"Li","given":"Rongyang","non-dropping-particle":"","parse-names":false,"suffix":""},{"dropping-particle":"","family":"Tian","given":"Qiaohui","non-dropping-particle":"","parse-names":false,"suffix":""},{"dropping-particle":"","family":"Zhang","given":"Shiming","non-dropping-particle":"","parse-names":false,"suffix":""},{"dropping-particle":"","family":"Zheng","given":"Yuanyuan","non-dropping-particle":"","parse-names":false,"suffix":""},{"dropping-particle":"","family":"Guo","given":"Yudong","non-dropping-particle":"","parse-names":false,"suffix":""},{"dropping-particle":"","family":"Daneshmand","given":"Mahmoud","non-dropping-particle":"","parse-names":false,"suffix":""}],"container-title":"Digital Communications and Networks","id":"ITEM-2","issued":{"date-parts":[["2023","3","3"]]},"publisher":"Elsevier","title":"A new technology perspective of the Metaverse: Its essence, framework and challenges","type":"article-journal"},"uris":["http://www.mendeley.com/documents/?uuid=5ea69518-2de4-332f-b847-adfa1a3c3092"]}],"mendeley":{"formattedCitation":"[177,183]","plainTextFormattedCitation":"[177,183]","previouslyFormattedCitation":"[177,183]"},"properties":{"noteIndex":0},"schema":"https://github.com/citation-style-language/schema/raw/master/csl-citation.json"}</w:instrText>
      </w:r>
      <w:r w:rsidR="0049516E" w:rsidRPr="003676D3">
        <w:rPr>
          <w:rFonts w:ascii="Times New Roman" w:hAnsi="Times New Roman" w:cs="Times New Roman"/>
          <w:sz w:val="24"/>
          <w:szCs w:val="24"/>
        </w:rPr>
        <w:fldChar w:fldCharType="separate"/>
      </w:r>
      <w:r w:rsidR="0049516E" w:rsidRPr="003676D3">
        <w:rPr>
          <w:rFonts w:ascii="Times New Roman" w:hAnsi="Times New Roman" w:cs="Times New Roman"/>
          <w:noProof/>
          <w:sz w:val="24"/>
          <w:szCs w:val="24"/>
        </w:rPr>
        <w:t>[177,183]</w:t>
      </w:r>
      <w:r w:rsidR="0049516E" w:rsidRPr="003676D3">
        <w:rPr>
          <w:rFonts w:ascii="Times New Roman" w:hAnsi="Times New Roman" w:cs="Times New Roman"/>
          <w:sz w:val="24"/>
          <w:szCs w:val="24"/>
        </w:rPr>
        <w:fldChar w:fldCharType="end"/>
      </w:r>
      <w:r w:rsidR="00871B92" w:rsidRPr="003676D3">
        <w:rPr>
          <w:rFonts w:ascii="Times New Roman" w:hAnsi="Times New Roman" w:cs="Times New Roman"/>
          <w:sz w:val="24"/>
          <w:szCs w:val="24"/>
        </w:rPr>
        <w:t>.</w:t>
      </w:r>
      <w:r w:rsidR="002A3CCA" w:rsidRPr="003676D3">
        <w:rPr>
          <w:rFonts w:ascii="Times New Roman" w:hAnsi="Times New Roman" w:cs="Times New Roman"/>
          <w:sz w:val="24"/>
          <w:szCs w:val="24"/>
        </w:rPr>
        <w:t xml:space="preserve"> </w:t>
      </w:r>
      <w:r w:rsidR="003A6D00" w:rsidRPr="003676D3">
        <w:rPr>
          <w:rFonts w:ascii="Times New Roman" w:hAnsi="Times New Roman" w:cs="Times New Roman"/>
          <w:sz w:val="24"/>
          <w:szCs w:val="24"/>
        </w:rPr>
        <w:t xml:space="preserve">Blockchain </w:t>
      </w:r>
      <w:r w:rsidR="005775B1" w:rsidRPr="003676D3">
        <w:rPr>
          <w:rFonts w:ascii="Times New Roman" w:hAnsi="Times New Roman" w:cs="Times New Roman"/>
          <w:sz w:val="24"/>
          <w:szCs w:val="24"/>
        </w:rPr>
        <w:t xml:space="preserve">based </w:t>
      </w:r>
      <w:r w:rsidR="002A3CCA" w:rsidRPr="003676D3">
        <w:rPr>
          <w:rFonts w:ascii="Times New Roman" w:hAnsi="Times New Roman" w:cs="Times New Roman"/>
          <w:sz w:val="24"/>
          <w:szCs w:val="24"/>
        </w:rPr>
        <w:t>Distributed Ledger Technology (DLT)</w:t>
      </w:r>
      <w:r w:rsidR="003A6D00" w:rsidRPr="003676D3">
        <w:rPr>
          <w:rFonts w:ascii="Times New Roman" w:hAnsi="Times New Roman" w:cs="Times New Roman"/>
          <w:sz w:val="24"/>
          <w:szCs w:val="24"/>
        </w:rPr>
        <w:t xml:space="preserve"> </w:t>
      </w:r>
      <w:r w:rsidR="002A3CCA" w:rsidRPr="003676D3">
        <w:rPr>
          <w:rFonts w:ascii="Times New Roman" w:hAnsi="Times New Roman" w:cs="Times New Roman"/>
          <w:sz w:val="24"/>
          <w:szCs w:val="24"/>
        </w:rPr>
        <w:t xml:space="preserve">enables decentralized data management. DLT </w:t>
      </w:r>
      <w:r w:rsidR="005775B1" w:rsidRPr="003676D3">
        <w:rPr>
          <w:rFonts w:ascii="Times New Roman" w:hAnsi="Times New Roman" w:cs="Times New Roman"/>
          <w:sz w:val="24"/>
          <w:szCs w:val="24"/>
        </w:rPr>
        <w:t>have the features of</w:t>
      </w:r>
      <w:r w:rsidR="002A3CCA" w:rsidRPr="003676D3">
        <w:rPr>
          <w:rFonts w:ascii="Times New Roman" w:hAnsi="Times New Roman" w:cs="Times New Roman"/>
          <w:sz w:val="24"/>
          <w:szCs w:val="24"/>
        </w:rPr>
        <w:t xml:space="preserve"> security of digital assets</w:t>
      </w:r>
      <w:r w:rsidR="005775B1" w:rsidRPr="003676D3">
        <w:rPr>
          <w:rFonts w:ascii="Times New Roman" w:hAnsi="Times New Roman" w:cs="Times New Roman"/>
          <w:sz w:val="24"/>
          <w:szCs w:val="24"/>
        </w:rPr>
        <w:t xml:space="preserve"> and </w:t>
      </w:r>
      <w:r w:rsidR="002A3CCA" w:rsidRPr="003676D3">
        <w:rPr>
          <w:rFonts w:ascii="Times New Roman" w:hAnsi="Times New Roman" w:cs="Times New Roman"/>
          <w:sz w:val="24"/>
          <w:szCs w:val="24"/>
        </w:rPr>
        <w:t>verifies user identities</w:t>
      </w:r>
      <w:r w:rsidR="005775B1" w:rsidRPr="003676D3">
        <w:rPr>
          <w:rFonts w:ascii="Times New Roman" w:hAnsi="Times New Roman" w:cs="Times New Roman"/>
          <w:sz w:val="24"/>
          <w:szCs w:val="24"/>
        </w:rPr>
        <w:t>.</w:t>
      </w:r>
      <w:r w:rsidR="002A3CCA" w:rsidRPr="003676D3">
        <w:rPr>
          <w:rFonts w:ascii="Times New Roman" w:hAnsi="Times New Roman" w:cs="Times New Roman"/>
          <w:sz w:val="24"/>
          <w:szCs w:val="24"/>
        </w:rPr>
        <w:t xml:space="preserve"> </w:t>
      </w:r>
      <w:r w:rsidR="005775B1" w:rsidRPr="003676D3">
        <w:rPr>
          <w:rFonts w:ascii="Times New Roman" w:hAnsi="Times New Roman" w:cs="Times New Roman"/>
          <w:sz w:val="24"/>
          <w:szCs w:val="24"/>
        </w:rPr>
        <w:t xml:space="preserve">At the same time, it </w:t>
      </w:r>
      <w:r w:rsidR="002A3CCA" w:rsidRPr="003676D3">
        <w:rPr>
          <w:rFonts w:ascii="Times New Roman" w:hAnsi="Times New Roman" w:cs="Times New Roman"/>
          <w:sz w:val="24"/>
          <w:szCs w:val="24"/>
        </w:rPr>
        <w:t xml:space="preserve"> establishes a trustworthy environment for transactions</w:t>
      </w:r>
      <w:r w:rsidR="0049516E" w:rsidRPr="003676D3">
        <w:rPr>
          <w:rFonts w:ascii="Times New Roman" w:hAnsi="Times New Roman" w:cs="Times New Roman"/>
          <w:sz w:val="24"/>
          <w:szCs w:val="24"/>
        </w:rPr>
        <w:t xml:space="preserve"> </w:t>
      </w:r>
      <w:r w:rsidR="0049516E" w:rsidRPr="003676D3">
        <w:rPr>
          <w:rFonts w:ascii="Times New Roman" w:hAnsi="Times New Roman" w:cs="Times New Roman"/>
          <w:sz w:val="24"/>
          <w:szCs w:val="24"/>
        </w:rPr>
        <w:fldChar w:fldCharType="begin" w:fldLock="1"/>
      </w:r>
      <w:r w:rsidR="0049516E" w:rsidRPr="003676D3">
        <w:rPr>
          <w:rFonts w:ascii="Times New Roman" w:hAnsi="Times New Roman" w:cs="Times New Roman"/>
          <w:sz w:val="24"/>
          <w:szCs w:val="24"/>
        </w:rPr>
        <w:instrText>ADDIN CSL_CITATION {"citationItems":[{"id":"ITEM-1","itemData":{"DOI":"10.1109/ACCESS.2023.3272890","ISSN":"21693536","abstract":"The movie - The Matrix (1999) - boosted our imagination about how further we can be immersed within the cyber world, i.e., how further the cyber world can be indistinguishable from the real world. Nobody, including the creators, had expected that the aspirational fictional virtual worlds such as 'ActiveWorlds (1995)' and 'Second Life (2003)' would impact the way of experiencing our real urban environments with many urban experiences embedded into a rich featured 3D environment. Are we going to stay as ourselves while existing in a mirror world? Are the fabricated, created imaginary worlds becoming a part of real worlds or vice versa? The recent once-in-a-lifetime pandemic has confirmed the importance of location and time-independent Digital Twins (DTs) (i.e., virtual scale models) of cities and their automated services which can provide everybody with equity and accessibility. This study analyses how the metaverse (3D elevation of linear Internet), that aims to build high-fidelity virtual worlds with which to interact with, can be engaged within the Smart City (SC) ecosystem with high immersive Quality of Experiences (QoE) leading to increased Quality of Life (QoL). An urban metaverse ecosystem framework - MetaOmniCity - is designed to demonstrate a variety of insights and orchestrational directions for policymakers, city planners and all other stakeholders about how to transform data-driven SCs with DTs into virtually inhabitable cities with a network of shared urban experiences from a metaverse point of view. MetaOmniCity, allowing the metaversification of cities with granular virtual societies, i.e., MetaSocieties, and eliminating the boundaries between the real world and their virtual counterparts can be shaped to the particular requirements and features of cities. Urban metaverse shared worlds, an extension of residents and urban society, where the virtual and the physically real blend and are more organically integrated, would impact urban ways of living significantly with many practical implementations. This would open doors for potential businesses with tremendous global economic value by democratising skills/assets within an urban environment, paving the way for immersive globalisation with the bigger and richer metaverse of Country (MoC) and metaverse of World (MoW) being an immersive DT of the broader universe with tangibly connected cities. MetaOmniCity is expected to accelerate the building, deployment, and adoption of immersive urban metav…","author":[{"dropping-particle":"","family":"Kuru","given":"Kaya","non-dropping-particle":"","parse-names":false,"suffix":""}],"container-title":"IEEE Access","id":"ITEM-1","issued":{"date-parts":[["2023"]]},"page":"43844-43868","publisher":"Institute of Electrical and Electronics Engineers Inc.","title":"MetaOmniCity: Toward Immersive Urban Metaverse Cyberspaces Using Smart City Digital Twins","type":"article-journal","volume":"11"},"uris":["http://www.mendeley.com/documents/?uuid=f7af71ff-3b0c-3e40-be5c-d90b0230fe6a"]}],"mendeley":{"formattedCitation":"[184]","plainTextFormattedCitation":"[184]","previouslyFormattedCitation":"[184]"},"properties":{"noteIndex":0},"schema":"https://github.com/citation-style-language/schema/raw/master/csl-citation.json"}</w:instrText>
      </w:r>
      <w:r w:rsidR="0049516E" w:rsidRPr="003676D3">
        <w:rPr>
          <w:rFonts w:ascii="Times New Roman" w:hAnsi="Times New Roman" w:cs="Times New Roman"/>
          <w:sz w:val="24"/>
          <w:szCs w:val="24"/>
        </w:rPr>
        <w:fldChar w:fldCharType="separate"/>
      </w:r>
      <w:r w:rsidR="0049516E" w:rsidRPr="003676D3">
        <w:rPr>
          <w:rFonts w:ascii="Times New Roman" w:hAnsi="Times New Roman" w:cs="Times New Roman"/>
          <w:noProof/>
          <w:sz w:val="24"/>
          <w:szCs w:val="24"/>
        </w:rPr>
        <w:t>[184]</w:t>
      </w:r>
      <w:r w:rsidR="0049516E" w:rsidRPr="003676D3">
        <w:rPr>
          <w:rFonts w:ascii="Times New Roman" w:hAnsi="Times New Roman" w:cs="Times New Roman"/>
          <w:sz w:val="24"/>
          <w:szCs w:val="24"/>
        </w:rPr>
        <w:fldChar w:fldCharType="end"/>
      </w:r>
      <w:r w:rsidR="002A3CCA" w:rsidRPr="003676D3">
        <w:rPr>
          <w:rFonts w:ascii="Times New Roman" w:hAnsi="Times New Roman" w:cs="Times New Roman"/>
          <w:sz w:val="24"/>
          <w:szCs w:val="24"/>
        </w:rPr>
        <w:t>.</w:t>
      </w:r>
      <w:r w:rsidR="001B0655" w:rsidRPr="003676D3">
        <w:rPr>
          <w:rFonts w:ascii="Times New Roman" w:hAnsi="Times New Roman" w:cs="Times New Roman"/>
          <w:sz w:val="24"/>
          <w:szCs w:val="24"/>
        </w:rPr>
        <w:t xml:space="preserve"> DLT is extensively cited in the </w:t>
      </w:r>
      <w:r w:rsidR="0080479B" w:rsidRPr="003676D3">
        <w:rPr>
          <w:rFonts w:ascii="Times New Roman" w:hAnsi="Times New Roman" w:cs="Times New Roman"/>
          <w:sz w:val="24"/>
          <w:szCs w:val="24"/>
        </w:rPr>
        <w:t>research</w:t>
      </w:r>
      <w:r w:rsidR="001B0655" w:rsidRPr="003676D3">
        <w:rPr>
          <w:rFonts w:ascii="Times New Roman" w:hAnsi="Times New Roman" w:cs="Times New Roman"/>
          <w:sz w:val="24"/>
          <w:szCs w:val="24"/>
        </w:rPr>
        <w:t xml:space="preserve"> literature as an efficient and suitable blockchain.</w:t>
      </w:r>
      <w:r w:rsidR="00204553" w:rsidRPr="003676D3">
        <w:rPr>
          <w:rFonts w:ascii="Times New Roman" w:hAnsi="Times New Roman" w:cs="Times New Roman"/>
          <w:sz w:val="24"/>
          <w:szCs w:val="24"/>
        </w:rPr>
        <w:t xml:space="preserve"> A comprehensive </w:t>
      </w:r>
      <w:r w:rsidR="0049516E" w:rsidRPr="003676D3">
        <w:rPr>
          <w:rFonts w:ascii="Times New Roman" w:hAnsi="Times New Roman" w:cs="Times New Roman"/>
          <w:sz w:val="24"/>
          <w:szCs w:val="24"/>
        </w:rPr>
        <w:t>comparison</w:t>
      </w:r>
      <w:r w:rsidR="00204553" w:rsidRPr="003676D3">
        <w:rPr>
          <w:rFonts w:ascii="Times New Roman" w:hAnsi="Times New Roman" w:cs="Times New Roman"/>
          <w:sz w:val="24"/>
          <w:szCs w:val="24"/>
        </w:rPr>
        <w:t xml:space="preserve"> between various blockchain algorithms are given in</w:t>
      </w:r>
      <w:r w:rsidR="0049516E" w:rsidRPr="003676D3">
        <w:rPr>
          <w:rFonts w:ascii="Times New Roman" w:hAnsi="Times New Roman" w:cs="Times New Roman"/>
          <w:sz w:val="24"/>
          <w:szCs w:val="24"/>
        </w:rPr>
        <w:t xml:space="preserve"> </w:t>
      </w:r>
      <w:r w:rsidR="0049516E" w:rsidRPr="003676D3">
        <w:rPr>
          <w:rFonts w:ascii="Times New Roman" w:hAnsi="Times New Roman" w:cs="Times New Roman"/>
          <w:sz w:val="24"/>
          <w:szCs w:val="24"/>
        </w:rPr>
        <w:fldChar w:fldCharType="begin" w:fldLock="1"/>
      </w:r>
      <w:r w:rsidR="0049516E" w:rsidRPr="003676D3">
        <w:rPr>
          <w:rFonts w:ascii="Times New Roman" w:hAnsi="Times New Roman" w:cs="Times New Roman"/>
          <w:sz w:val="24"/>
          <w:szCs w:val="24"/>
        </w:rPr>
        <w:instrText>ADDIN CSL_CITATION {"citationItems":[{"id":"ITEM-1","itemData":{"DOI":"10.1016/J.EGYR.2021.05.037","ISSN":"2352-4847","abstract":"Transactive energy is an effective way to share and trade energy among peers. A transactive energy framework is composed of several integrated blocks such as an energy market, service providers, generation companies, transmission and distribution networks, prosumers, etc. The success of such a framework can be measured by analyzing the effectiveness of its major building blocks. This paper provides a basic definition of transactive energy which helps in identifying its primary building blocks. Based on the identified building blocks, each block of the transactive energy system is discussed briefly to highlight its significant role and effectiveness. Some enabling technologies for such systems are then reviewed along with pilot projects. In the end, some policy guidelines are presented to speed up their implementation.","author":[{"dropping-particle":"","family":"Huang","given":"Qi","non-dropping-particle":"","parse-names":false,"suffix":""},{"dropping-particle":"","family":"Amin","given":"Waqas","non-dropping-particle":"","parse-names":false,"suffix":""},{"dropping-particle":"","family":"Umer","given":"Khalid","non-dropping-particle":"","parse-names":false,"suffix":""},{"dropping-particle":"","family":"Gooi","given":"Hoay Beng","non-dropping-particle":"","parse-names":false,"suffix":""},{"dropping-particle":"","family":"Eddy","given":"Foo Yi Shyh","non-dropping-particle":"","parse-names":false,"suffix":""},{"dropping-particle":"","family":"Afzal","given":"Muhammad","non-dropping-particle":"","parse-names":false,"suffix":""},{"dropping-particle":"","family":"Shahzadi","given":"Mahnoor","non-dropping-particle":"","parse-names":false,"suffix":""},{"dropping-particle":"","family":"Khan","given":"Abdullah Aman","non-dropping-particle":"","parse-names":false,"suffix":""},{"dropping-particle":"","family":"Ahmad","given":"Syed Adrees","non-dropping-particle":"","parse-names":false,"suffix":""}],"container-title":"Energy Reports","id":"ITEM-1","issued":{"date-parts":[["2021","11","1"]]},"page":"7804-7824","publisher":"Elsevier","title":"A review of transactive energy systems: Concept and implementation","type":"article-journal","volume":"7"},"uris":["http://www.mendeley.com/documents/?uuid=e9b36103-7a03-3bbf-ac9c-f99325d78859"]}],"mendeley":{"formattedCitation":"[108]","plainTextFormattedCitation":"[108]","previouslyFormattedCitation":"[108]"},"properties":{"noteIndex":0},"schema":"https://github.com/citation-style-language/schema/raw/master/csl-citation.json"}</w:instrText>
      </w:r>
      <w:r w:rsidR="0049516E" w:rsidRPr="003676D3">
        <w:rPr>
          <w:rFonts w:ascii="Times New Roman" w:hAnsi="Times New Roman" w:cs="Times New Roman"/>
          <w:sz w:val="24"/>
          <w:szCs w:val="24"/>
        </w:rPr>
        <w:fldChar w:fldCharType="separate"/>
      </w:r>
      <w:r w:rsidR="0049516E" w:rsidRPr="003676D3">
        <w:rPr>
          <w:rFonts w:ascii="Times New Roman" w:hAnsi="Times New Roman" w:cs="Times New Roman"/>
          <w:noProof/>
          <w:sz w:val="24"/>
          <w:szCs w:val="24"/>
        </w:rPr>
        <w:t>[108]</w:t>
      </w:r>
      <w:r w:rsidR="0049516E" w:rsidRPr="003676D3">
        <w:rPr>
          <w:rFonts w:ascii="Times New Roman" w:hAnsi="Times New Roman" w:cs="Times New Roman"/>
          <w:sz w:val="24"/>
          <w:szCs w:val="24"/>
        </w:rPr>
        <w:fldChar w:fldCharType="end"/>
      </w:r>
      <w:r w:rsidR="00204553" w:rsidRPr="003676D3">
        <w:rPr>
          <w:rFonts w:ascii="Times New Roman" w:hAnsi="Times New Roman" w:cs="Times New Roman"/>
          <w:sz w:val="24"/>
          <w:szCs w:val="24"/>
        </w:rPr>
        <w:t>.</w:t>
      </w:r>
    </w:p>
    <w:p w14:paraId="49CCFD03" w14:textId="79AB3F6E" w:rsidR="004C6214" w:rsidRPr="003676D3" w:rsidRDefault="004C6214" w:rsidP="003676D3">
      <w:pPr>
        <w:spacing w:line="276" w:lineRule="auto"/>
        <w:jc w:val="both"/>
        <w:rPr>
          <w:rFonts w:ascii="Times New Roman" w:hAnsi="Times New Roman" w:cs="Times New Roman"/>
          <w:sz w:val="24"/>
          <w:szCs w:val="24"/>
        </w:rPr>
      </w:pPr>
      <w:r w:rsidRPr="003676D3">
        <w:rPr>
          <w:rFonts w:ascii="Times New Roman" w:hAnsi="Times New Roman" w:cs="Times New Roman"/>
          <w:noProof/>
          <w:sz w:val="24"/>
          <w:szCs w:val="24"/>
          <w:lang w:eastAsia="en-GB"/>
        </w:rPr>
        <w:drawing>
          <wp:anchor distT="0" distB="0" distL="114300" distR="114300" simplePos="0" relativeHeight="251671552" behindDoc="0" locked="0" layoutInCell="1" allowOverlap="1" wp14:anchorId="3CB4F62B" wp14:editId="4E30AC81">
            <wp:simplePos x="0" y="0"/>
            <wp:positionH relativeFrom="margin">
              <wp:posOffset>346710</wp:posOffset>
            </wp:positionH>
            <wp:positionV relativeFrom="paragraph">
              <wp:posOffset>176815</wp:posOffset>
            </wp:positionV>
            <wp:extent cx="4949825" cy="4177030"/>
            <wp:effectExtent l="0" t="0" r="317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lockchain.PNG"/>
                    <pic:cNvPicPr/>
                  </pic:nvPicPr>
                  <pic:blipFill>
                    <a:blip r:embed="rId34">
                      <a:extLst>
                        <a:ext uri="{28A0092B-C50C-407E-A947-70E740481C1C}">
                          <a14:useLocalDpi xmlns:a14="http://schemas.microsoft.com/office/drawing/2010/main" val="0"/>
                        </a:ext>
                      </a:extLst>
                    </a:blip>
                    <a:stretch>
                      <a:fillRect/>
                    </a:stretch>
                  </pic:blipFill>
                  <pic:spPr>
                    <a:xfrm>
                      <a:off x="0" y="0"/>
                      <a:ext cx="4949825" cy="4177030"/>
                    </a:xfrm>
                    <a:prstGeom prst="rect">
                      <a:avLst/>
                    </a:prstGeom>
                  </pic:spPr>
                </pic:pic>
              </a:graphicData>
            </a:graphic>
            <wp14:sizeRelH relativeFrom="margin">
              <wp14:pctWidth>0</wp14:pctWidth>
            </wp14:sizeRelH>
            <wp14:sizeRelV relativeFrom="margin">
              <wp14:pctHeight>0</wp14:pctHeight>
            </wp14:sizeRelV>
          </wp:anchor>
        </w:drawing>
      </w:r>
    </w:p>
    <w:p w14:paraId="72A16D4C" w14:textId="77777777" w:rsidR="004C6214" w:rsidRPr="003676D3" w:rsidRDefault="004C6214" w:rsidP="003676D3">
      <w:pPr>
        <w:spacing w:line="276" w:lineRule="auto"/>
        <w:jc w:val="both"/>
        <w:rPr>
          <w:rFonts w:ascii="Times New Roman" w:hAnsi="Times New Roman" w:cs="Times New Roman"/>
          <w:sz w:val="24"/>
          <w:szCs w:val="24"/>
        </w:rPr>
      </w:pPr>
    </w:p>
    <w:p w14:paraId="0F960FE8" w14:textId="77777777" w:rsidR="004C6214" w:rsidRPr="003676D3" w:rsidRDefault="004C6214" w:rsidP="003676D3">
      <w:pPr>
        <w:spacing w:line="276" w:lineRule="auto"/>
        <w:jc w:val="both"/>
        <w:rPr>
          <w:rFonts w:ascii="Times New Roman" w:hAnsi="Times New Roman" w:cs="Times New Roman"/>
          <w:sz w:val="24"/>
          <w:szCs w:val="24"/>
        </w:rPr>
      </w:pPr>
    </w:p>
    <w:p w14:paraId="3E94FF09" w14:textId="77777777" w:rsidR="004C6214" w:rsidRPr="003676D3" w:rsidRDefault="004C6214" w:rsidP="003676D3">
      <w:pPr>
        <w:spacing w:line="276" w:lineRule="auto"/>
        <w:jc w:val="both"/>
        <w:rPr>
          <w:rFonts w:ascii="Times New Roman" w:hAnsi="Times New Roman" w:cs="Times New Roman"/>
          <w:sz w:val="24"/>
          <w:szCs w:val="24"/>
        </w:rPr>
      </w:pPr>
    </w:p>
    <w:p w14:paraId="6F809C8A" w14:textId="77777777" w:rsidR="004C6214" w:rsidRPr="003676D3" w:rsidRDefault="004C6214" w:rsidP="003676D3">
      <w:pPr>
        <w:spacing w:line="276" w:lineRule="auto"/>
        <w:jc w:val="both"/>
        <w:rPr>
          <w:rFonts w:ascii="Times New Roman" w:hAnsi="Times New Roman" w:cs="Times New Roman"/>
          <w:sz w:val="24"/>
          <w:szCs w:val="24"/>
        </w:rPr>
      </w:pPr>
    </w:p>
    <w:p w14:paraId="56EF0268" w14:textId="77777777" w:rsidR="004C6214" w:rsidRPr="003676D3" w:rsidRDefault="004C6214" w:rsidP="003676D3">
      <w:pPr>
        <w:spacing w:line="276" w:lineRule="auto"/>
        <w:jc w:val="both"/>
        <w:rPr>
          <w:rFonts w:ascii="Times New Roman" w:hAnsi="Times New Roman" w:cs="Times New Roman"/>
          <w:sz w:val="24"/>
          <w:szCs w:val="24"/>
        </w:rPr>
      </w:pPr>
    </w:p>
    <w:p w14:paraId="60C22E2F" w14:textId="77777777" w:rsidR="004C6214" w:rsidRPr="003676D3" w:rsidRDefault="004C6214" w:rsidP="003676D3">
      <w:pPr>
        <w:spacing w:line="276" w:lineRule="auto"/>
        <w:jc w:val="both"/>
        <w:rPr>
          <w:rFonts w:ascii="Times New Roman" w:hAnsi="Times New Roman" w:cs="Times New Roman"/>
          <w:sz w:val="24"/>
          <w:szCs w:val="24"/>
        </w:rPr>
      </w:pPr>
    </w:p>
    <w:p w14:paraId="0C462DD4" w14:textId="77777777" w:rsidR="004C6214" w:rsidRPr="003676D3" w:rsidRDefault="004C6214" w:rsidP="003676D3">
      <w:pPr>
        <w:spacing w:line="276" w:lineRule="auto"/>
        <w:jc w:val="both"/>
        <w:rPr>
          <w:rFonts w:ascii="Times New Roman" w:hAnsi="Times New Roman" w:cs="Times New Roman"/>
          <w:sz w:val="24"/>
          <w:szCs w:val="24"/>
        </w:rPr>
      </w:pPr>
    </w:p>
    <w:p w14:paraId="1B1BACEB" w14:textId="77777777" w:rsidR="004C6214" w:rsidRPr="003676D3" w:rsidRDefault="004C6214" w:rsidP="003676D3">
      <w:pPr>
        <w:spacing w:line="276" w:lineRule="auto"/>
        <w:jc w:val="both"/>
        <w:rPr>
          <w:rFonts w:ascii="Times New Roman" w:hAnsi="Times New Roman" w:cs="Times New Roman"/>
          <w:sz w:val="24"/>
          <w:szCs w:val="24"/>
        </w:rPr>
      </w:pPr>
    </w:p>
    <w:p w14:paraId="2773F18D" w14:textId="77777777" w:rsidR="004C6214" w:rsidRPr="003676D3" w:rsidRDefault="004C6214" w:rsidP="003676D3">
      <w:pPr>
        <w:spacing w:line="276" w:lineRule="auto"/>
        <w:jc w:val="both"/>
        <w:rPr>
          <w:rFonts w:ascii="Times New Roman" w:hAnsi="Times New Roman" w:cs="Times New Roman"/>
          <w:sz w:val="24"/>
          <w:szCs w:val="24"/>
        </w:rPr>
      </w:pPr>
    </w:p>
    <w:p w14:paraId="61B035BA" w14:textId="77777777" w:rsidR="004C6214" w:rsidRPr="003676D3" w:rsidRDefault="004C6214" w:rsidP="003676D3">
      <w:pPr>
        <w:spacing w:line="276" w:lineRule="auto"/>
        <w:jc w:val="both"/>
        <w:rPr>
          <w:rFonts w:ascii="Times New Roman" w:hAnsi="Times New Roman" w:cs="Times New Roman"/>
          <w:sz w:val="24"/>
          <w:szCs w:val="24"/>
        </w:rPr>
      </w:pPr>
    </w:p>
    <w:p w14:paraId="5C848109" w14:textId="77777777" w:rsidR="004C6214" w:rsidRPr="003676D3" w:rsidRDefault="004C6214" w:rsidP="003676D3">
      <w:pPr>
        <w:spacing w:line="276" w:lineRule="auto"/>
        <w:jc w:val="both"/>
        <w:rPr>
          <w:rFonts w:ascii="Times New Roman" w:hAnsi="Times New Roman" w:cs="Times New Roman"/>
          <w:sz w:val="24"/>
          <w:szCs w:val="24"/>
        </w:rPr>
      </w:pPr>
    </w:p>
    <w:p w14:paraId="437EB7E9" w14:textId="77777777" w:rsidR="004C6214" w:rsidRPr="003676D3" w:rsidRDefault="004C6214" w:rsidP="003676D3">
      <w:pPr>
        <w:spacing w:line="276" w:lineRule="auto"/>
        <w:jc w:val="both"/>
        <w:rPr>
          <w:rFonts w:ascii="Times New Roman" w:hAnsi="Times New Roman" w:cs="Times New Roman"/>
          <w:sz w:val="24"/>
          <w:szCs w:val="24"/>
        </w:rPr>
      </w:pPr>
    </w:p>
    <w:p w14:paraId="25EE17F2" w14:textId="77777777" w:rsidR="004C6214" w:rsidRPr="003676D3" w:rsidRDefault="004C6214" w:rsidP="003676D3">
      <w:pPr>
        <w:spacing w:line="276" w:lineRule="auto"/>
        <w:jc w:val="both"/>
        <w:rPr>
          <w:rFonts w:ascii="Times New Roman" w:hAnsi="Times New Roman" w:cs="Times New Roman"/>
          <w:sz w:val="24"/>
          <w:szCs w:val="24"/>
        </w:rPr>
      </w:pPr>
    </w:p>
    <w:p w14:paraId="7D1AE2B7" w14:textId="5E2544C1" w:rsidR="004C6214" w:rsidRPr="003676D3" w:rsidRDefault="00CC49AF" w:rsidP="003676D3">
      <w:pPr>
        <w:spacing w:line="276" w:lineRule="auto"/>
        <w:jc w:val="both"/>
        <w:rPr>
          <w:rFonts w:ascii="Times New Roman" w:hAnsi="Times New Roman" w:cs="Times New Roman"/>
          <w:sz w:val="24"/>
          <w:szCs w:val="24"/>
        </w:rPr>
      </w:pPr>
      <w:r w:rsidRPr="003676D3">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004DF865" wp14:editId="735A6D64">
                <wp:simplePos x="0" y="0"/>
                <wp:positionH relativeFrom="column">
                  <wp:posOffset>462280</wp:posOffset>
                </wp:positionH>
                <wp:positionV relativeFrom="paragraph">
                  <wp:posOffset>254000</wp:posOffset>
                </wp:positionV>
                <wp:extent cx="4540250" cy="262255"/>
                <wp:effectExtent l="0" t="0" r="0" b="4445"/>
                <wp:wrapSquare wrapText="bothSides"/>
                <wp:docPr id="16" name="Text Box 16"/>
                <wp:cNvGraphicFramePr/>
                <a:graphic xmlns:a="http://schemas.openxmlformats.org/drawingml/2006/main">
                  <a:graphicData uri="http://schemas.microsoft.com/office/word/2010/wordprocessingShape">
                    <wps:wsp>
                      <wps:cNvSpPr txBox="1"/>
                      <wps:spPr>
                        <a:xfrm>
                          <a:off x="0" y="0"/>
                          <a:ext cx="4540250" cy="262255"/>
                        </a:xfrm>
                        <a:prstGeom prst="rect">
                          <a:avLst/>
                        </a:prstGeom>
                        <a:solidFill>
                          <a:prstClr val="white"/>
                        </a:solidFill>
                        <a:ln>
                          <a:noFill/>
                        </a:ln>
                      </wps:spPr>
                      <wps:txbx>
                        <w:txbxContent>
                          <w:p w14:paraId="3457B0B0" w14:textId="3261747E" w:rsidR="001F368F" w:rsidRPr="003F2161" w:rsidRDefault="001F368F" w:rsidP="004B1918">
                            <w:pPr>
                              <w:pStyle w:val="Caption"/>
                              <w:jc w:val="center"/>
                              <w:rPr>
                                <w:rFonts w:asciiTheme="majorBidi" w:hAnsiTheme="majorBidi" w:cstheme="majorBidi"/>
                                <w:b/>
                                <w:bCs/>
                                <w:i w:val="0"/>
                                <w:iCs w:val="0"/>
                                <w:color w:val="auto"/>
                                <w:sz w:val="28"/>
                                <w:szCs w:val="28"/>
                              </w:rPr>
                            </w:pPr>
                            <w:bookmarkStart w:id="25" w:name="_Ref168445828"/>
                            <w:r w:rsidRPr="003F2161">
                              <w:rPr>
                                <w:rFonts w:asciiTheme="majorBidi" w:hAnsiTheme="majorBidi" w:cstheme="majorBidi"/>
                                <w:b/>
                                <w:bCs/>
                                <w:i w:val="0"/>
                                <w:iCs w:val="0"/>
                                <w:color w:val="auto"/>
                                <w:sz w:val="20"/>
                                <w:szCs w:val="20"/>
                              </w:rPr>
                              <w:t xml:space="preserve">Figure </w:t>
                            </w:r>
                            <w:r w:rsidRPr="003F2161">
                              <w:rPr>
                                <w:rFonts w:asciiTheme="majorBidi" w:hAnsiTheme="majorBidi" w:cstheme="majorBidi"/>
                                <w:b/>
                                <w:bCs/>
                                <w:i w:val="0"/>
                                <w:iCs w:val="0"/>
                                <w:color w:val="auto"/>
                                <w:sz w:val="20"/>
                                <w:szCs w:val="20"/>
                              </w:rPr>
                              <w:fldChar w:fldCharType="begin"/>
                            </w:r>
                            <w:r w:rsidRPr="003F2161">
                              <w:rPr>
                                <w:rFonts w:asciiTheme="majorBidi" w:hAnsiTheme="majorBidi" w:cstheme="majorBidi"/>
                                <w:b/>
                                <w:bCs/>
                                <w:i w:val="0"/>
                                <w:iCs w:val="0"/>
                                <w:color w:val="auto"/>
                                <w:sz w:val="20"/>
                                <w:szCs w:val="20"/>
                              </w:rPr>
                              <w:instrText xml:space="preserve"> SEQ Figure \* ARABIC </w:instrText>
                            </w:r>
                            <w:r w:rsidRPr="003F2161">
                              <w:rPr>
                                <w:rFonts w:asciiTheme="majorBidi" w:hAnsiTheme="majorBidi" w:cstheme="majorBidi"/>
                                <w:b/>
                                <w:bCs/>
                                <w:i w:val="0"/>
                                <w:iCs w:val="0"/>
                                <w:color w:val="auto"/>
                                <w:sz w:val="20"/>
                                <w:szCs w:val="20"/>
                              </w:rPr>
                              <w:fldChar w:fldCharType="separate"/>
                            </w:r>
                            <w:r w:rsidR="008D1E2C">
                              <w:rPr>
                                <w:rFonts w:asciiTheme="majorBidi" w:hAnsiTheme="majorBidi" w:cstheme="majorBidi"/>
                                <w:b/>
                                <w:bCs/>
                                <w:i w:val="0"/>
                                <w:iCs w:val="0"/>
                                <w:noProof/>
                                <w:color w:val="auto"/>
                                <w:sz w:val="20"/>
                                <w:szCs w:val="20"/>
                              </w:rPr>
                              <w:t>10</w:t>
                            </w:r>
                            <w:r w:rsidRPr="003F2161">
                              <w:rPr>
                                <w:rFonts w:asciiTheme="majorBidi" w:hAnsiTheme="majorBidi" w:cstheme="majorBidi"/>
                                <w:b/>
                                <w:bCs/>
                                <w:i w:val="0"/>
                                <w:iCs w:val="0"/>
                                <w:color w:val="auto"/>
                                <w:sz w:val="20"/>
                                <w:szCs w:val="20"/>
                              </w:rPr>
                              <w:fldChar w:fldCharType="end"/>
                            </w:r>
                            <w:bookmarkEnd w:id="25"/>
                            <w:r w:rsidRPr="003F2161">
                              <w:rPr>
                                <w:rFonts w:asciiTheme="majorBidi" w:hAnsiTheme="majorBidi" w:cstheme="majorBidi"/>
                                <w:b/>
                                <w:bCs/>
                                <w:i w:val="0"/>
                                <w:iCs w:val="0"/>
                                <w:color w:val="auto"/>
                                <w:sz w:val="20"/>
                                <w:szCs w:val="20"/>
                              </w:rPr>
                              <w:t>. Role of</w:t>
                            </w:r>
                            <w:r>
                              <w:rPr>
                                <w:rFonts w:asciiTheme="majorBidi" w:hAnsiTheme="majorBidi" w:cstheme="majorBidi"/>
                                <w:b/>
                                <w:bCs/>
                                <w:i w:val="0"/>
                                <w:iCs w:val="0"/>
                                <w:color w:val="auto"/>
                                <w:sz w:val="20"/>
                                <w:szCs w:val="20"/>
                              </w:rPr>
                              <w:t xml:space="preserve"> Blockchain in Super Smart Grid [24].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DF865" id="Text Box 16" o:spid="_x0000_s1034" type="#_x0000_t202" style="position:absolute;left:0;text-align:left;margin-left:36.4pt;margin-top:20pt;width:357.5pt;height:2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" stroked="f">
                <v:textbox inset="0,0,0,0">
                  <w:txbxContent>
                    <w:p w14:paraId="3457B0B0" w14:textId="3261747E" w:rsidR="001F368F" w:rsidRPr="003F2161" w:rsidRDefault="001F368F" w:rsidP="004B1918">
                      <w:pPr>
                        <w:pStyle w:val="Caption"/>
                        <w:jc w:val="center"/>
                        <w:rPr>
                          <w:rFonts w:asciiTheme="majorBidi" w:hAnsiTheme="majorBidi" w:cstheme="majorBidi"/>
                          <w:b/>
                          <w:bCs/>
                          <w:i w:val="0"/>
                          <w:iCs w:val="0"/>
                          <w:color w:val="auto"/>
                          <w:sz w:val="28"/>
                          <w:szCs w:val="28"/>
                        </w:rPr>
                      </w:pPr>
                      <w:bookmarkStart w:id="26" w:name="_Ref168445828"/>
                      <w:r w:rsidRPr="003F2161">
                        <w:rPr>
                          <w:rFonts w:asciiTheme="majorBidi" w:hAnsiTheme="majorBidi" w:cstheme="majorBidi"/>
                          <w:b/>
                          <w:bCs/>
                          <w:i w:val="0"/>
                          <w:iCs w:val="0"/>
                          <w:color w:val="auto"/>
                          <w:sz w:val="20"/>
                          <w:szCs w:val="20"/>
                        </w:rPr>
                        <w:t xml:space="preserve">Figure </w:t>
                      </w:r>
                      <w:r w:rsidRPr="003F2161">
                        <w:rPr>
                          <w:rFonts w:asciiTheme="majorBidi" w:hAnsiTheme="majorBidi" w:cstheme="majorBidi"/>
                          <w:b/>
                          <w:bCs/>
                          <w:i w:val="0"/>
                          <w:iCs w:val="0"/>
                          <w:color w:val="auto"/>
                          <w:sz w:val="20"/>
                          <w:szCs w:val="20"/>
                        </w:rPr>
                        <w:fldChar w:fldCharType="begin"/>
                      </w:r>
                      <w:r w:rsidRPr="003F2161">
                        <w:rPr>
                          <w:rFonts w:asciiTheme="majorBidi" w:hAnsiTheme="majorBidi" w:cstheme="majorBidi"/>
                          <w:b/>
                          <w:bCs/>
                          <w:i w:val="0"/>
                          <w:iCs w:val="0"/>
                          <w:color w:val="auto"/>
                          <w:sz w:val="20"/>
                          <w:szCs w:val="20"/>
                        </w:rPr>
                        <w:instrText xml:space="preserve"> SEQ Figure \* ARABIC </w:instrText>
                      </w:r>
                      <w:r w:rsidRPr="003F2161">
                        <w:rPr>
                          <w:rFonts w:asciiTheme="majorBidi" w:hAnsiTheme="majorBidi" w:cstheme="majorBidi"/>
                          <w:b/>
                          <w:bCs/>
                          <w:i w:val="0"/>
                          <w:iCs w:val="0"/>
                          <w:color w:val="auto"/>
                          <w:sz w:val="20"/>
                          <w:szCs w:val="20"/>
                        </w:rPr>
                        <w:fldChar w:fldCharType="separate"/>
                      </w:r>
                      <w:r w:rsidR="008D1E2C">
                        <w:rPr>
                          <w:rFonts w:asciiTheme="majorBidi" w:hAnsiTheme="majorBidi" w:cstheme="majorBidi"/>
                          <w:b/>
                          <w:bCs/>
                          <w:i w:val="0"/>
                          <w:iCs w:val="0"/>
                          <w:noProof/>
                          <w:color w:val="auto"/>
                          <w:sz w:val="20"/>
                          <w:szCs w:val="20"/>
                        </w:rPr>
                        <w:t>10</w:t>
                      </w:r>
                      <w:r w:rsidRPr="003F2161">
                        <w:rPr>
                          <w:rFonts w:asciiTheme="majorBidi" w:hAnsiTheme="majorBidi" w:cstheme="majorBidi"/>
                          <w:b/>
                          <w:bCs/>
                          <w:i w:val="0"/>
                          <w:iCs w:val="0"/>
                          <w:color w:val="auto"/>
                          <w:sz w:val="20"/>
                          <w:szCs w:val="20"/>
                        </w:rPr>
                        <w:fldChar w:fldCharType="end"/>
                      </w:r>
                      <w:bookmarkEnd w:id="26"/>
                      <w:r w:rsidRPr="003F2161">
                        <w:rPr>
                          <w:rFonts w:asciiTheme="majorBidi" w:hAnsiTheme="majorBidi" w:cstheme="majorBidi"/>
                          <w:b/>
                          <w:bCs/>
                          <w:i w:val="0"/>
                          <w:iCs w:val="0"/>
                          <w:color w:val="auto"/>
                          <w:sz w:val="20"/>
                          <w:szCs w:val="20"/>
                        </w:rPr>
                        <w:t>. Role of</w:t>
                      </w:r>
                      <w:r>
                        <w:rPr>
                          <w:rFonts w:asciiTheme="majorBidi" w:hAnsiTheme="majorBidi" w:cstheme="majorBidi"/>
                          <w:b/>
                          <w:bCs/>
                          <w:i w:val="0"/>
                          <w:iCs w:val="0"/>
                          <w:color w:val="auto"/>
                          <w:sz w:val="20"/>
                          <w:szCs w:val="20"/>
                        </w:rPr>
                        <w:t xml:space="preserve"> Blockchain in Super Smart Grid [24].</w:t>
                      </w:r>
                    </w:p>
                  </w:txbxContent>
                </v:textbox>
                <w10:wrap type="square"/>
              </v:shape>
            </w:pict>
          </mc:Fallback>
        </mc:AlternateContent>
      </w:r>
    </w:p>
    <w:p w14:paraId="4709FFEC" w14:textId="6D57D8CE" w:rsidR="004C6214" w:rsidRPr="003676D3" w:rsidRDefault="004C6214" w:rsidP="003676D3">
      <w:pPr>
        <w:spacing w:line="276" w:lineRule="auto"/>
        <w:jc w:val="both"/>
        <w:rPr>
          <w:rFonts w:ascii="Times New Roman" w:hAnsi="Times New Roman" w:cs="Times New Roman"/>
          <w:sz w:val="24"/>
          <w:szCs w:val="24"/>
        </w:rPr>
      </w:pPr>
    </w:p>
    <w:p w14:paraId="57F2EDD1" w14:textId="06523FF0" w:rsidR="003F2161" w:rsidRPr="003676D3" w:rsidRDefault="0049516E"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To manage a crowdsourced energy system, an optimised blockchain architecture is presented in </w:t>
      </w:r>
      <w:r w:rsidRPr="003676D3">
        <w:rPr>
          <w:rFonts w:ascii="Times New Roman" w:hAnsi="Times New Roman" w:cs="Times New Roman"/>
          <w:sz w:val="24"/>
          <w:szCs w:val="24"/>
        </w:rPr>
        <w:fldChar w:fldCharType="begin" w:fldLock="1"/>
      </w:r>
      <w:r w:rsidRPr="003676D3">
        <w:rPr>
          <w:rFonts w:ascii="Times New Roman" w:hAnsi="Times New Roman" w:cs="Times New Roman"/>
          <w:sz w:val="24"/>
          <w:szCs w:val="24"/>
        </w:rPr>
        <w:instrText>ADDIN CSL_CITATION {"citationItems":[{"id":"ITEM-1","itemData":{"DOI":"10.1109/TSMC.2019.2916565","ISSN":"21682232","abstract":"The power grid is rapidly transforming, and while recent grid innovations increased the utilization of advanced control methods, the next-generation grid demands technologies that enable the integration of distributed energy resources (DERs) - and consumers that both seamlessly buy and sell electricity. This paper develops an optimization model and blockchain-based architecture to manage the operation of crowdsourced energy systems (CESs), with peer-to-peer (P2P) energy trading transactions (ETTs). An operational model of CESs in distribution networks is presented considering various types of ETT and crowdsourcees. Then, a two-phase operation algorithm is presented: Phase I focuses on the day-ahead scheduling of generation and controllable DERs, whereas Phase II is developed for hour-ahead or real-time operation of distribution networks. The developed approach supports seamless P2P energy trading between individual prosumers and/or the utility. The presented operational model can also be used to operate islanded microgrids. The CES framework and the operation algorithm are then prototyped through an efficient blockchain implementation, namely, the IBM Hyperledger Fabric. This implementation allows the system operator to manage the network users to seamlessly trade energy. Case studies and prototype illustration are provided.","author":[{"dropping-particle":"","family":"Wang","given":"Shen","non-dropping-particle":"","parse-names":false,"suffix":""},{"dropping-particle":"","family":"Taha","given":"Ahmad F.","non-dropping-particle":"","parse-names":false,"suffix":""},{"dropping-particle":"","family":"Wang","given":"Jianhui","non-dropping-particle":"","parse-names":false,"suffix":""},{"dropping-particle":"","family":"Kvaternik","given":"Karla","non-dropping-particle":"","parse-names":false,"suffix":""},{"dropping-particle":"","family":"Hahn","given":"Adam","non-dropping-particle":"","parse-names":false,"suffix":""}],"container-title":"IEEE Transactions on Systems, Man, and Cybernetics: Systems","id":"ITEM-1","issue":"8","issued":{"date-parts":[["2019","8","1"]]},"page":"1612-1623","publisher":"Institute of Electrical and Electronics Engineers Inc.","title":"Energy Crowdsourcing and Peer-to-Peer Energy Trading in Blockchain-Enabled Smart Grids","type":"article-journal","volume":"49"},"uris":["http://www.mendeley.com/documents/?uuid=1b1fee9d-9d5f-385a-a8a2-333d88a67c4b"]}],"mendeley":{"formattedCitation":"[185]","plainTextFormattedCitation":"[185]","previouslyFormattedCitation":"[185]"},"properties":{"noteIndex":0},"schema":"https://github.com/citation-style-language/schema/raw/master/csl-citation.json"}</w:instrText>
      </w:r>
      <w:r w:rsidRPr="003676D3">
        <w:rPr>
          <w:rFonts w:ascii="Times New Roman" w:hAnsi="Times New Roman" w:cs="Times New Roman"/>
          <w:sz w:val="24"/>
          <w:szCs w:val="24"/>
        </w:rPr>
        <w:fldChar w:fldCharType="separate"/>
      </w:r>
      <w:r w:rsidRPr="003676D3">
        <w:rPr>
          <w:rFonts w:ascii="Times New Roman" w:hAnsi="Times New Roman" w:cs="Times New Roman"/>
          <w:noProof/>
          <w:sz w:val="24"/>
          <w:szCs w:val="24"/>
        </w:rPr>
        <w:t>[185]</w:t>
      </w:r>
      <w:r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for seamless peer-to-peer energy transferring as well as to operate islanded microgrids. This operation algorithm is prototyped through IBM Hyperledger Fabric, an efficient blockchain implementation. Blockchain technology plays a crucial role in virtual power plants (VPPs) by facilitating real-time energy trading through smart contracts. These contracts enable secure, transparent transactions and reflect supply and demand information, allowing for efficient two-way selection under information symmetry. Blockchain helps set fair electricity prices, reduces trust costs, i</w:t>
      </w:r>
      <w:r w:rsidR="00624232" w:rsidRPr="003676D3">
        <w:rPr>
          <w:rFonts w:ascii="Times New Roman" w:hAnsi="Times New Roman" w:cs="Times New Roman"/>
          <w:sz w:val="24"/>
          <w:szCs w:val="24"/>
        </w:rPr>
        <w:t xml:space="preserve">mproves trading efficiency, </w:t>
      </w:r>
      <w:r w:rsidRPr="003676D3">
        <w:rPr>
          <w:rFonts w:ascii="Times New Roman" w:hAnsi="Times New Roman" w:cs="Times New Roman"/>
          <w:sz w:val="24"/>
          <w:szCs w:val="24"/>
        </w:rPr>
        <w:t>enhances the and scheduling of distributed energy resources</w:t>
      </w:r>
      <w:r w:rsidR="00624232" w:rsidRPr="003676D3">
        <w:rPr>
          <w:rFonts w:ascii="Times New Roman" w:hAnsi="Times New Roman" w:cs="Times New Roman"/>
          <w:sz w:val="24"/>
          <w:szCs w:val="24"/>
        </w:rPr>
        <w:t xml:space="preserve"> and their coordinated control </w:t>
      </w:r>
      <w:r w:rsidRPr="003676D3">
        <w:rPr>
          <w:rFonts w:ascii="Times New Roman" w:hAnsi="Times New Roman" w:cs="Times New Roman"/>
          <w:sz w:val="24"/>
          <w:szCs w:val="24"/>
        </w:rPr>
        <w:t xml:space="preserve">within VPPs </w:t>
      </w:r>
      <w:r w:rsidRPr="003676D3">
        <w:rPr>
          <w:rFonts w:ascii="Times New Roman" w:hAnsi="Times New Roman" w:cs="Times New Roman"/>
          <w:sz w:val="24"/>
          <w:szCs w:val="24"/>
        </w:rPr>
        <w:fldChar w:fldCharType="begin" w:fldLock="1"/>
      </w:r>
      <w:r w:rsidR="003E3F7F" w:rsidRPr="003676D3">
        <w:rPr>
          <w:rFonts w:ascii="Times New Roman" w:hAnsi="Times New Roman" w:cs="Times New Roman"/>
          <w:sz w:val="24"/>
          <w:szCs w:val="24"/>
        </w:rPr>
        <w:instrText>ADDIN CSL_CITATION {"citationItems":[{"id":"ITEM-1","itemData":{"DOI":"10.1111/COIN.12388","ISSN":"14678640","abstract":"The energy system is evolving from smart grid to energy Internet. Virtual power plant (VPP), as an important part of the energy Internet, plays an important role in the distributed energy generation and trading. In this article, a blockchain‐based VPP transaction model is established for the future energy Internet driven by real‐time electricity price. Then the smart contracts for distributed energy trading in VPPs using blockchain technology are proposed, and the key technological difficulties are analyzed and the solutions are given. Experiments show that the proposed model can reflect the supply and demand information in real time, so that two‐way selection can be carried out under the condition of information symmetry when distributed energy is connected to the grid. If our method is applied, we can help distributed energy suppliers set electricity prices, reduce the trust cost and improve the energy trading efficiency. Also, we can help the distributed energy voluntarily participate in VPPs and joint maintain the system, then solve the problem of VPP's coordinated control and scheduling of distributed energy resources.","author":[{"dropping-particle":"","family":"Lu","given":"Jing","non-dropping-particle":"","parse-names":false,"suffix":""},{"dropping-particle":"","family":"Wu","given":"Shihong","non-dropping-particle":"","parse-names":false,"suffix":""},{"dropping-particle":"","family":"Cheng","given":"Hanlei","non-dropping-particle":"","parse-names":false,"suffix":""},{"dropping-particle":"","family":"Xiang","given":"Zhiyu","non-dropping-particle":"","parse-names":false,"suffix":""}],"container-title":"Computational Intelligence","id":"ITEM-1","issue":"3","issued":{"date-parts":[["2021","8","1"]]},"page":"1445-1455","publisher":"John Wiley and Sons Inc","title":"Smart contract for distributed energy trading in virtual power plants based on blockchain","type":"article-journal","volume":"37"},"uris":["http://www.mendeley.com/documents/?uuid=75cee756-74ba-337a-8ebe-7e1b6279c605"]},{"id":"ITEM-2","itemData":{"DOI":"10.1016/j.apenergy.2017.05.066","ISSN":"03062619","abstract":"Future distribution systems will accommodate an increasing share of distributed energy resources (DERs). Facing with this new reality, virtual power plants (VPPs) play a key role to aggregate DERs with the aim of facilitating their involvement in wholesale electricity markets. In this paper, the trading strategies of a VPP in cooperation with its neighboring VPPs are addressed. Toward this aim, a portfolio of inter-regional contracts is considered to model this cooperation and maximize the energy trade opportunities of the VPP within a medium-term horizon. To hedge against profit variability caused by market price uncertainties, two efficient risk management approaches are also implemented in the VPP decision-making problem based on the concepts of conditional value at risk (CVaR) and second-order stochastic dominance constraints (SSD). The resulting models are formulated as mixed-integer linear programming (MILP) problems that can be solved using off-the-shelf software packages. The efficiency of the proposed risk-hedging models is analyzed through a detailed case study, and thereby relevant conclusions are drawn.","author":[{"dropping-particle":"","family":"Shabanzadeh","given":"Morteza","non-dropping-particle":"","parse-names":false,"suffix":""},{"dropping-particle":"","family":"Sheikh-El-Eslami","given":"Mohammad Kazem","non-dropping-particle":"","parse-names":false,"suffix":""},{"dropping-particle":"","family":"Haghifam","given":"Mahmoud Reza","non-dropping-particle":"","parse-names":false,"suffix":""}],"container-title":"Applied Energy","id":"ITEM-2","issued":{"date-parts":[["2017"]]},"title":"An interactive cooperation model for neighboring virtual power plants","type":"article-journal"},"uris":["http://www.mendeley.com/documents/?uuid=ab793567-7078-46b4-b6ee-c76cac590473"]},{"id":"ITEM-3","itemData":{"DOI":"10.1016/j.epsr.2017.04.010","ISSN":"03787796","abstract":"Virtual power plants are an integral part of advanced power systems providing different ancillary services. This paper presents a case study of an operational virtual power plant communication system providing manual Frequency Restoration Reserve service to the transmission system operator, aggregating two Distributed Energy Resources: a refinery facility with steam turbines and diesel generator sets, and a paper mill plant with an available flexible capacity of 30 MW in total. The study is based on the communication traffic data captured during the virtual power plant live operation over a one-month period with fourteen fully automatic activations. The study analyzes selected communication quality of service parameters—in particular, latency, packet loss, retransmissions, bandwidth, amount of traffic, and message patterns of the IEC 60870-5-104 protocol.","author":[{"dropping-particle":"","family":"Kolenc","given":"Mitja","non-dropping-particle":"","parse-names":false,"suffix":""},{"dropping-particle":"","family":"Nemček","given":"Peter","non-dropping-particle":"","parse-names":false,"suffix":""},{"dropping-particle":"","family":"Gutschi","given":"Christoph","non-dropping-particle":"","parse-names":false,"suffix":""},{"dropping-particle":"","family":"Suljanović","given":"Nermin","non-dropping-particle":"","parse-names":false,"suffix":""},{"dropping-particle":"","family":"Zajc","given":"Matej","non-dropping-particle":"","parse-names":false,"suffix":""}],"container-title":"Electric Power Systems Research","id":"ITEM-3","issued":{"date-parts":[["2017"]]},"title":"Performance evaluation of a virtual power plant communication system providing ancillary services","type":"article-journal"},"uris":["http://www.mendeley.com/documents/?uuid=58b46b08-39cb-4dda-9686-ac7e8648f778"]}],"mendeley":{"formattedCitation":"[116,186,187]","plainTextFormattedCitation":"[116,186,187]","previouslyFormattedCitation":"[116,186,187]"},"properties":{"noteIndex":0},"schema":"https://github.com/citation-style-language/schema/raw/master/csl-citation.json"}</w:instrText>
      </w:r>
      <w:r w:rsidRPr="003676D3">
        <w:rPr>
          <w:rFonts w:ascii="Times New Roman" w:hAnsi="Times New Roman" w:cs="Times New Roman"/>
          <w:sz w:val="24"/>
          <w:szCs w:val="24"/>
        </w:rPr>
        <w:fldChar w:fldCharType="separate"/>
      </w:r>
      <w:r w:rsidRPr="003676D3">
        <w:rPr>
          <w:rFonts w:ascii="Times New Roman" w:hAnsi="Times New Roman" w:cs="Times New Roman"/>
          <w:noProof/>
          <w:sz w:val="24"/>
          <w:szCs w:val="24"/>
        </w:rPr>
        <w:t>[116,186,187]</w:t>
      </w:r>
      <w:r w:rsidRPr="003676D3">
        <w:rPr>
          <w:rFonts w:ascii="Times New Roman" w:hAnsi="Times New Roman" w:cs="Times New Roman"/>
          <w:sz w:val="24"/>
          <w:szCs w:val="24"/>
        </w:rPr>
        <w:fldChar w:fldCharType="end"/>
      </w:r>
      <w:r w:rsidRPr="003676D3">
        <w:rPr>
          <w:rFonts w:ascii="Times New Roman" w:hAnsi="Times New Roman" w:cs="Times New Roman"/>
          <w:sz w:val="24"/>
          <w:szCs w:val="24"/>
        </w:rPr>
        <w:t>.</w:t>
      </w:r>
      <w:r w:rsidR="00CC49AF" w:rsidRPr="003676D3">
        <w:rPr>
          <w:rFonts w:ascii="Times New Roman" w:hAnsi="Times New Roman" w:cs="Times New Roman"/>
          <w:sz w:val="24"/>
          <w:szCs w:val="24"/>
        </w:rPr>
        <w:t xml:space="preserve"> </w:t>
      </w:r>
      <w:r w:rsidR="003F2161" w:rsidRPr="003676D3">
        <w:rPr>
          <w:rFonts w:ascii="Times New Roman" w:hAnsi="Times New Roman" w:cs="Times New Roman"/>
          <w:sz w:val="24"/>
          <w:szCs w:val="24"/>
        </w:rPr>
        <w:t xml:space="preserve"> </w:t>
      </w:r>
    </w:p>
    <w:p w14:paraId="178D41A1" w14:textId="0CF4FB04" w:rsidR="00CC49AF" w:rsidRPr="003676D3" w:rsidRDefault="00CC49AF" w:rsidP="004B1918">
      <w:pPr>
        <w:pStyle w:val="Caption"/>
        <w:keepNext/>
        <w:spacing w:line="276" w:lineRule="auto"/>
        <w:jc w:val="center"/>
        <w:rPr>
          <w:rFonts w:ascii="Times New Roman" w:hAnsi="Times New Roman" w:cs="Times New Roman"/>
          <w:b/>
          <w:bCs/>
          <w:i w:val="0"/>
          <w:iCs w:val="0"/>
          <w:color w:val="auto"/>
          <w:sz w:val="20"/>
          <w:szCs w:val="20"/>
        </w:rPr>
      </w:pPr>
      <w:bookmarkStart w:id="27" w:name="_Ref168484028"/>
      <w:r w:rsidRPr="003676D3">
        <w:rPr>
          <w:rFonts w:ascii="Times New Roman" w:hAnsi="Times New Roman" w:cs="Times New Roman"/>
          <w:b/>
          <w:bCs/>
          <w:i w:val="0"/>
          <w:iCs w:val="0"/>
          <w:color w:val="auto"/>
          <w:sz w:val="20"/>
          <w:szCs w:val="20"/>
        </w:rPr>
        <w:lastRenderedPageBreak/>
        <w:t xml:space="preserve">Table </w:t>
      </w:r>
      <w:r w:rsidRPr="003676D3">
        <w:rPr>
          <w:rFonts w:ascii="Times New Roman" w:hAnsi="Times New Roman" w:cs="Times New Roman"/>
          <w:b/>
          <w:bCs/>
          <w:i w:val="0"/>
          <w:iCs w:val="0"/>
          <w:color w:val="auto"/>
          <w:sz w:val="20"/>
          <w:szCs w:val="20"/>
        </w:rPr>
        <w:fldChar w:fldCharType="begin"/>
      </w:r>
      <w:r w:rsidRPr="003676D3">
        <w:rPr>
          <w:rFonts w:ascii="Times New Roman" w:hAnsi="Times New Roman" w:cs="Times New Roman"/>
          <w:b/>
          <w:bCs/>
          <w:i w:val="0"/>
          <w:iCs w:val="0"/>
          <w:color w:val="auto"/>
          <w:sz w:val="20"/>
          <w:szCs w:val="20"/>
        </w:rPr>
        <w:instrText xml:space="preserve"> SEQ Table \* ARABIC </w:instrText>
      </w:r>
      <w:r w:rsidRPr="003676D3">
        <w:rPr>
          <w:rFonts w:ascii="Times New Roman" w:hAnsi="Times New Roman" w:cs="Times New Roman"/>
          <w:b/>
          <w:bCs/>
          <w:i w:val="0"/>
          <w:iCs w:val="0"/>
          <w:color w:val="auto"/>
          <w:sz w:val="20"/>
          <w:szCs w:val="20"/>
        </w:rPr>
        <w:fldChar w:fldCharType="separate"/>
      </w:r>
      <w:r w:rsidR="008D1E2C" w:rsidRPr="003676D3">
        <w:rPr>
          <w:rFonts w:ascii="Times New Roman" w:hAnsi="Times New Roman" w:cs="Times New Roman"/>
          <w:b/>
          <w:bCs/>
          <w:i w:val="0"/>
          <w:iCs w:val="0"/>
          <w:noProof/>
          <w:color w:val="auto"/>
          <w:sz w:val="20"/>
          <w:szCs w:val="20"/>
        </w:rPr>
        <w:t>4</w:t>
      </w:r>
      <w:r w:rsidRPr="003676D3">
        <w:rPr>
          <w:rFonts w:ascii="Times New Roman" w:hAnsi="Times New Roman" w:cs="Times New Roman"/>
          <w:b/>
          <w:bCs/>
          <w:i w:val="0"/>
          <w:iCs w:val="0"/>
          <w:color w:val="auto"/>
          <w:sz w:val="20"/>
          <w:szCs w:val="20"/>
        </w:rPr>
        <w:fldChar w:fldCharType="end"/>
      </w:r>
      <w:r w:rsidRPr="003676D3">
        <w:rPr>
          <w:rFonts w:ascii="Times New Roman" w:hAnsi="Times New Roman" w:cs="Times New Roman"/>
          <w:b/>
          <w:bCs/>
          <w:i w:val="0"/>
          <w:iCs w:val="0"/>
          <w:color w:val="auto"/>
          <w:sz w:val="20"/>
          <w:szCs w:val="20"/>
        </w:rPr>
        <w:t>. Summary of research papers within the domain of enabling technologies, SG and SSG.</w:t>
      </w:r>
      <w:bookmarkEnd w:id="27"/>
    </w:p>
    <w:tbl>
      <w:tblPr>
        <w:tblStyle w:val="GridTable4-Accent1"/>
        <w:tblW w:w="5000" w:type="pct"/>
        <w:tblLook w:val="04A0" w:firstRow="1" w:lastRow="0" w:firstColumn="1" w:lastColumn="0" w:noHBand="0" w:noVBand="1"/>
      </w:tblPr>
      <w:tblGrid>
        <w:gridCol w:w="1071"/>
        <w:gridCol w:w="669"/>
        <w:gridCol w:w="7276"/>
      </w:tblGrid>
      <w:tr w:rsidR="00C312C2" w:rsidRPr="003676D3" w14:paraId="5481520F" w14:textId="77777777" w:rsidTr="00312D27">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94" w:type="pct"/>
            <w:vAlign w:val="center"/>
          </w:tcPr>
          <w:p w14:paraId="605913A0" w14:textId="77777777" w:rsidR="00CC49AF" w:rsidRPr="003676D3" w:rsidRDefault="00CC49AF" w:rsidP="003676D3">
            <w:pPr>
              <w:spacing w:line="276" w:lineRule="auto"/>
              <w:jc w:val="both"/>
              <w:rPr>
                <w:rFonts w:ascii="Times New Roman" w:hAnsi="Times New Roman" w:cs="Times New Roman"/>
                <w:color w:val="auto"/>
                <w:sz w:val="20"/>
                <w:szCs w:val="20"/>
              </w:rPr>
            </w:pPr>
            <w:r w:rsidRPr="003676D3">
              <w:rPr>
                <w:rFonts w:ascii="Times New Roman" w:hAnsi="Times New Roman" w:cs="Times New Roman"/>
                <w:color w:val="auto"/>
                <w:sz w:val="20"/>
                <w:szCs w:val="20"/>
              </w:rPr>
              <w:t>Reference</w:t>
            </w:r>
          </w:p>
        </w:tc>
        <w:tc>
          <w:tcPr>
            <w:tcW w:w="371" w:type="pct"/>
            <w:vAlign w:val="center"/>
          </w:tcPr>
          <w:p w14:paraId="5452BC29" w14:textId="77777777" w:rsidR="00CC49AF" w:rsidRPr="003676D3" w:rsidRDefault="00CC49AF" w:rsidP="003676D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676D3">
              <w:rPr>
                <w:rFonts w:ascii="Times New Roman" w:hAnsi="Times New Roman" w:cs="Times New Roman"/>
                <w:color w:val="auto"/>
                <w:sz w:val="20"/>
                <w:szCs w:val="20"/>
              </w:rPr>
              <w:t>Year</w:t>
            </w:r>
          </w:p>
        </w:tc>
        <w:tc>
          <w:tcPr>
            <w:tcW w:w="4035" w:type="pct"/>
            <w:vAlign w:val="center"/>
          </w:tcPr>
          <w:p w14:paraId="05096556" w14:textId="13AE9DEC" w:rsidR="00CC49AF" w:rsidRPr="003676D3" w:rsidRDefault="00CC49AF" w:rsidP="003676D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676D3">
              <w:rPr>
                <w:rFonts w:ascii="Times New Roman" w:hAnsi="Times New Roman" w:cs="Times New Roman"/>
                <w:color w:val="auto"/>
                <w:sz w:val="20"/>
                <w:szCs w:val="20"/>
              </w:rPr>
              <w:t>Scope of research</w:t>
            </w:r>
          </w:p>
        </w:tc>
      </w:tr>
      <w:tr w:rsidR="00C312C2" w:rsidRPr="003676D3" w14:paraId="476F0B39" w14:textId="77777777" w:rsidTr="00312D2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94" w:type="pct"/>
            <w:vAlign w:val="center"/>
          </w:tcPr>
          <w:p w14:paraId="0035DDAC" w14:textId="413EFBBB" w:rsidR="00CC49AF" w:rsidRPr="003676D3" w:rsidRDefault="00C312C2"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fldChar w:fldCharType="begin" w:fldLock="1"/>
            </w:r>
            <w:r w:rsidRPr="003676D3">
              <w:rPr>
                <w:rFonts w:ascii="Times New Roman" w:hAnsi="Times New Roman" w:cs="Times New Roman"/>
                <w:sz w:val="20"/>
                <w:szCs w:val="20"/>
              </w:rPr>
              <w:instrText>ADDIN CSL_CITATION {"citationItems":[{"id":"ITEM-1","itemData":{"DOI":"10.1016/J.SCS.2017.12.041","ISSN":"22106707","abstract":"In this paper, we present a comprehensive survey of privacy-preserving schemes for smart grid communications. Specifically, we select and in-detail examine thirty-two privacy preserving schemes developed for or applied in the context of smart grids. Based on both communication and system models, we classify these schemes that are published between 2013 and 2017, in five categories, including, (1) smart grid with advanced metering infrastructure, (2) data aggregation, (3) smart grid marketing architecture, (4) smart community of home gateways, and (5) vehicle-to grid architecture. For each scheme, we survey attacks of leaking privacy, countermeasures, and game theoretic approaches. In addition, we review survey articles published in the recent years that deal with smart grids communications, applications, standardization, and security. Based on the current survey, several recommendations for further research are discussed at the end of this paper.","author":[{"dropping-particle":"","family":"Ferrag","given":"Mohamed Amine","non-dropping-particle":"","parse-names":false,"suffix":""},{"dropping-particle":"","family":"Maglaras","given":"Leandros A.","non-dropping-particle":"","parse-names":false,"suffix":""},{"dropping-particle":"","family":"Janicke","given":"Helge","non-dropping-particle":"","parse-names":false,"suffix":""},{"dropping-particle":"","family":"Jiang","given":"Jianmin","non-dropping-particle":"","parse-names":false,"suffix":""},{"dropping-particle":"","family":"Shu","given":"Lei","non-dropping-particle":"","parse-names":false,"suffix":""}],"container-title":"Sustainable Cities and Society","id":"ITEM-1","issued":{"date-parts":[["2018","4","1"]]},"page":"806-835","publisher":"Elsevier Ltd","title":"A systematic review of data protection and privacy preservation schemes for smart grid communications","type":"article-journal","volume":"38"},"uris":["http://www.mendeley.com/documents/?uuid=82779607-be35-38ec-b554-72fd30e8203b"]}],"mendeley":{"formattedCitation":"[188]","plainTextFormattedCitation":"[188]","previouslyFormattedCitation":"[188]"},"properties":{"noteIndex":0},"schema":"https://github.com/citation-style-language/schema/raw/master/csl-citation.json"}</w:instrText>
            </w:r>
            <w:r w:rsidRPr="003676D3">
              <w:rPr>
                <w:rFonts w:ascii="Times New Roman" w:hAnsi="Times New Roman" w:cs="Times New Roman"/>
                <w:sz w:val="20"/>
                <w:szCs w:val="20"/>
              </w:rPr>
              <w:fldChar w:fldCharType="separate"/>
            </w:r>
            <w:r w:rsidRPr="003676D3">
              <w:rPr>
                <w:rFonts w:ascii="Times New Roman" w:hAnsi="Times New Roman" w:cs="Times New Roman"/>
                <w:b w:val="0"/>
                <w:noProof/>
                <w:sz w:val="20"/>
                <w:szCs w:val="20"/>
              </w:rPr>
              <w:t>[188]</w:t>
            </w:r>
            <w:r w:rsidRPr="003676D3">
              <w:rPr>
                <w:rFonts w:ascii="Times New Roman" w:hAnsi="Times New Roman" w:cs="Times New Roman"/>
                <w:sz w:val="20"/>
                <w:szCs w:val="20"/>
              </w:rPr>
              <w:fldChar w:fldCharType="end"/>
            </w:r>
          </w:p>
        </w:tc>
        <w:tc>
          <w:tcPr>
            <w:tcW w:w="371" w:type="pct"/>
            <w:vAlign w:val="center"/>
          </w:tcPr>
          <w:p w14:paraId="2D85C941" w14:textId="77777777" w:rsidR="00CC49AF" w:rsidRPr="003676D3" w:rsidRDefault="00CC49AF"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2018</w:t>
            </w:r>
          </w:p>
        </w:tc>
        <w:tc>
          <w:tcPr>
            <w:tcW w:w="4035" w:type="pct"/>
            <w:vAlign w:val="center"/>
          </w:tcPr>
          <w:p w14:paraId="00869E2E" w14:textId="77777777" w:rsidR="00CC49AF" w:rsidRPr="003676D3" w:rsidRDefault="00CC49AF"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Survey privacy preserving schemes, leaking privacy attack, countermeasures, and game theory approach. Also reviewed SG communications, standards, applications and security.</w:t>
            </w:r>
          </w:p>
        </w:tc>
      </w:tr>
      <w:tr w:rsidR="00C312C2" w:rsidRPr="003676D3" w14:paraId="619ECF5C" w14:textId="77777777" w:rsidTr="00312D27">
        <w:trPr>
          <w:trHeight w:val="510"/>
        </w:trPr>
        <w:tc>
          <w:tcPr>
            <w:cnfStyle w:val="001000000000" w:firstRow="0" w:lastRow="0" w:firstColumn="1" w:lastColumn="0" w:oddVBand="0" w:evenVBand="0" w:oddHBand="0" w:evenHBand="0" w:firstRowFirstColumn="0" w:firstRowLastColumn="0" w:lastRowFirstColumn="0" w:lastRowLastColumn="0"/>
            <w:tcW w:w="594" w:type="pct"/>
            <w:vAlign w:val="center"/>
          </w:tcPr>
          <w:p w14:paraId="0A0E729D" w14:textId="14036E8E" w:rsidR="00CC49AF" w:rsidRPr="003676D3" w:rsidRDefault="00C312C2"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fldChar w:fldCharType="begin" w:fldLock="1"/>
            </w:r>
            <w:r w:rsidRPr="003676D3">
              <w:rPr>
                <w:rFonts w:ascii="Times New Roman" w:hAnsi="Times New Roman" w:cs="Times New Roman"/>
                <w:sz w:val="20"/>
                <w:szCs w:val="20"/>
              </w:rPr>
              <w:instrText>ADDIN CSL_CITATION {"citationItems":[{"id":"ITEM-1","itemData":{"DOI":"10.1109/ACCESS.2019.2896108","ISSN":"21693536","abstract":"The past decade has witnessed the rapid evolution in blockchain technologies, which has attracted tremendous interests from both the research communities and industries. The blockchain network was originated from the Internet financial sector as a decentralized, immutable ledger system for transactional data ordering. Nowadays, it is envisioned as a powerful backbone/framework for decentralized data processing and data-driven self-organization in flat, open-access networks. In particular, the plausible characteristics of decentralization, immutability, and self-organization are primarily owing to the unique decentralized consensus mechanisms introduced by blockchain networks. This survey is motivated by the lack of a comprehensive literature review on the development of decentralized consensus mechanisms in blockchain networks. In this paper, we provide a systematic vision of the organization of blockchain networks. By emphasizing the unique characteristics of decentralized consensus in blockchain networks, our in-depth review of the state-of-the-art consensus protocols is focused on both the perspective of distributed consensus system design and the perspective of incentive mechanism design. From a game-theoretic point of view, we also provide a thorough review of the strategy adopted for self-organization by the individual nodes in the blockchain backbone networks. Consequently, we provide a comprehensive survey of the emerging applications of blockchain networks in a broad area of telecommunication. We highlight our special interest in how the consensus mechanisms impact these applications. Finally, we discuss several open issues in the protocol design for blockchain consensus and the related potential research directions.","author":[{"dropping-particle":"","family":"Wang","given":"Wenbo","non-dropping-particle":"","parse-names":false,"suffix":""},{"dropping-particle":"","family":"Hoang","given":"Dinh Thai","non-dropping-particle":"","parse-names":false,"suffix":""},{"dropping-particle":"","family":"Hu","given":"Peizhao","non-dropping-particle":"","parse-names":false,"suffix":""},{"dropping-particle":"","family":"Xiong","given":"Zehui","non-dropping-particle":"","parse-names":false,"suffix":""},{"dropping-particle":"","family":"Niyato","given":"Dusit","non-dropping-particle":"","parse-names":false,"suffix":""},{"dropping-particle":"","family":"Wang","given":"Ping","non-dropping-particle":"","parse-names":false,"suffix":""},{"dropping-particle":"","family":"Wen","given":"Yonggang","non-dropping-particle":"","parse-names":false,"suffix":""},{"dropping-particle":"","family":"Kim","given":"Dong In","non-dropping-particle":"","parse-names":false,"suffix":""}],"container-title":"IEEE Access","id":"ITEM-1","issued":{"date-parts":[["2018"]]},"page":"22328-22370","publisher":"Institute of Electrical and Electronics Engineers Inc.","title":"A Survey on Consensus Mechanisms and Mining Strategy Management in Blockchain Networks","type":"article-journal","volume":"7"},"uris":["http://www.mendeley.com/documents/?uuid=9c4c5690-8cf4-3ab1-83e2-793b287a0f6c"]}],"mendeley":{"formattedCitation":"[189]","plainTextFormattedCitation":"[189]","previouslyFormattedCitation":"[189]"},"properties":{"noteIndex":0},"schema":"https://github.com/citation-style-language/schema/raw/master/csl-citation.json"}</w:instrText>
            </w:r>
            <w:r w:rsidRPr="003676D3">
              <w:rPr>
                <w:rFonts w:ascii="Times New Roman" w:hAnsi="Times New Roman" w:cs="Times New Roman"/>
                <w:sz w:val="20"/>
                <w:szCs w:val="20"/>
              </w:rPr>
              <w:fldChar w:fldCharType="separate"/>
            </w:r>
            <w:r w:rsidRPr="003676D3">
              <w:rPr>
                <w:rFonts w:ascii="Times New Roman" w:hAnsi="Times New Roman" w:cs="Times New Roman"/>
                <w:b w:val="0"/>
                <w:noProof/>
                <w:sz w:val="20"/>
                <w:szCs w:val="20"/>
              </w:rPr>
              <w:t>[189]</w:t>
            </w:r>
            <w:r w:rsidRPr="003676D3">
              <w:rPr>
                <w:rFonts w:ascii="Times New Roman" w:hAnsi="Times New Roman" w:cs="Times New Roman"/>
                <w:sz w:val="20"/>
                <w:szCs w:val="20"/>
              </w:rPr>
              <w:fldChar w:fldCharType="end"/>
            </w:r>
          </w:p>
        </w:tc>
        <w:tc>
          <w:tcPr>
            <w:tcW w:w="371" w:type="pct"/>
            <w:vAlign w:val="center"/>
          </w:tcPr>
          <w:p w14:paraId="674F9500" w14:textId="77777777" w:rsidR="00CC49AF" w:rsidRPr="003676D3" w:rsidRDefault="00CC49AF"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2019</w:t>
            </w:r>
          </w:p>
        </w:tc>
        <w:tc>
          <w:tcPr>
            <w:tcW w:w="4035" w:type="pct"/>
            <w:vAlign w:val="center"/>
          </w:tcPr>
          <w:p w14:paraId="73140208" w14:textId="77777777" w:rsidR="00CC49AF" w:rsidRPr="003676D3" w:rsidRDefault="00CC49AF"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Presented a review of game theory based incentive mechanisms in telecommunication within blockchain networks designed to motivate participants using consensus mechanisms.</w:t>
            </w:r>
          </w:p>
        </w:tc>
      </w:tr>
      <w:tr w:rsidR="00C312C2" w:rsidRPr="003676D3" w14:paraId="7F51F4CE" w14:textId="77777777" w:rsidTr="00312D2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94" w:type="pct"/>
            <w:vAlign w:val="center"/>
          </w:tcPr>
          <w:p w14:paraId="2485F057" w14:textId="05196DBC" w:rsidR="00CC49AF" w:rsidRPr="003676D3" w:rsidRDefault="00C312C2"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fldChar w:fldCharType="begin" w:fldLock="1"/>
            </w:r>
            <w:r w:rsidRPr="003676D3">
              <w:rPr>
                <w:rFonts w:ascii="Times New Roman" w:hAnsi="Times New Roman" w:cs="Times New Roman"/>
                <w:sz w:val="20"/>
                <w:szCs w:val="20"/>
              </w:rPr>
              <w:instrText>ADDIN CSL_CITATION {"citationItems":[{"id":"ITEM-1","itemData":{"DOI":"10.1109/ACCESS.2019.2894819","ISSN":"21693536","abstract":"This paper conducts a comprehensive study on the application of big data and machine learning in the electrical power grid introduced through the emergence of the next-generation power system - the smart grid (SG). Connectivity lies at the core of this new grid infrastructure, which is provided by the Internet of Things (IoT). This connectivity, and constant communication required in this system, also introduced a massive data volume that demands techniques far superior to conventional methods for proper analysis and decision-making. The IoT-integrated SG system can provide efficient load forecasting and data acquisition technique along with cost-effectiveness. Big data analysis and machine learning techniques are essential to reaping these benefits. In the complex connected system of SG, cyber security becomes a critical issue; IoT devices and their data turning into major targets of attacks. Such security concerns and their solutions are also included in this paper. Key information obtained through literature review is tabulated in the corresponding sections to provide a clear synopsis; and the findings of this rigorous review are listed to give a concise picture of this area of study and promising future fields of academic and industrial research, with current limitations with viable solutions along with their effectiveness.","author":[{"dropping-particle":"","family":"Hossain","given":"Eklas","non-dropping-particle":"","parse-names":false,"suffix":""},{"dropping-particle":"","family":"Khan","given":"Imtiaj","non-dropping-particle":"","parse-names":false,"suffix":""},{"dropping-particle":"","family":"Un-Noor","given":"Fuad","non-dropping-particle":"","parse-names":false,"suffix":""},{"dropping-particle":"","family":"Sikander","given":"Sarder Shazali","non-dropping-particle":"","parse-names":false,"suffix":""},{"dropping-particle":"","family":"Sunny","given":"Md Samiul Haque","non-dropping-particle":"","parse-names":false,"suffix":""}],"container-title":"IEEE Access","id":"ITEM-1","issued":{"date-parts":[["2019"]]},"page":"13960-13988","publisher":"Institute of Electrical and Electronics Engineers Inc.","title":"Application of Big Data and Machine Learning in Smart Grid, and Associated Security Concerns: A Review","type":"article-journal","volume":"7"},"uris":["http://www.mendeley.com/documents/?uuid=9558debd-dc83-3f37-81bf-7184785d0f07"]}],"mendeley":{"formattedCitation":"[190]","plainTextFormattedCitation":"[190]","previouslyFormattedCitation":"[190]"},"properties":{"noteIndex":0},"schema":"https://github.com/citation-style-language/schema/raw/master/csl-citation.json"}</w:instrText>
            </w:r>
            <w:r w:rsidRPr="003676D3">
              <w:rPr>
                <w:rFonts w:ascii="Times New Roman" w:hAnsi="Times New Roman" w:cs="Times New Roman"/>
                <w:sz w:val="20"/>
                <w:szCs w:val="20"/>
              </w:rPr>
              <w:fldChar w:fldCharType="separate"/>
            </w:r>
            <w:r w:rsidRPr="003676D3">
              <w:rPr>
                <w:rFonts w:ascii="Times New Roman" w:hAnsi="Times New Roman" w:cs="Times New Roman"/>
                <w:b w:val="0"/>
                <w:noProof/>
                <w:sz w:val="20"/>
                <w:szCs w:val="20"/>
              </w:rPr>
              <w:t>[190]</w:t>
            </w:r>
            <w:r w:rsidRPr="003676D3">
              <w:rPr>
                <w:rFonts w:ascii="Times New Roman" w:hAnsi="Times New Roman" w:cs="Times New Roman"/>
                <w:sz w:val="20"/>
                <w:szCs w:val="20"/>
              </w:rPr>
              <w:fldChar w:fldCharType="end"/>
            </w:r>
          </w:p>
        </w:tc>
        <w:tc>
          <w:tcPr>
            <w:tcW w:w="371" w:type="pct"/>
            <w:vAlign w:val="center"/>
          </w:tcPr>
          <w:p w14:paraId="4161ED02" w14:textId="77777777" w:rsidR="00CC49AF" w:rsidRPr="003676D3" w:rsidRDefault="00CC49AF"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2019</w:t>
            </w:r>
          </w:p>
        </w:tc>
        <w:tc>
          <w:tcPr>
            <w:tcW w:w="4035" w:type="pct"/>
            <w:vAlign w:val="center"/>
          </w:tcPr>
          <w:p w14:paraId="5524C978" w14:textId="7C6AE2D6" w:rsidR="00CC49AF" w:rsidRPr="003676D3" w:rsidRDefault="00CC49AF" w:rsidP="003676D3">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 xml:space="preserve">Presented a review on the application of </w:t>
            </w:r>
            <w:r w:rsidR="00F80674" w:rsidRPr="003676D3">
              <w:rPr>
                <w:rFonts w:ascii="Times New Roman" w:hAnsi="Times New Roman" w:cs="Times New Roman"/>
                <w:sz w:val="20"/>
                <w:szCs w:val="20"/>
              </w:rPr>
              <w:t xml:space="preserve">big data analytics and </w:t>
            </w:r>
            <w:r w:rsidRPr="003676D3">
              <w:rPr>
                <w:rFonts w:ascii="Times New Roman" w:hAnsi="Times New Roman" w:cs="Times New Roman"/>
                <w:sz w:val="20"/>
                <w:szCs w:val="20"/>
              </w:rPr>
              <w:t>machine learning</w:t>
            </w:r>
            <w:r w:rsidR="00F80674" w:rsidRPr="003676D3">
              <w:rPr>
                <w:rFonts w:ascii="Times New Roman" w:hAnsi="Times New Roman" w:cs="Times New Roman"/>
                <w:sz w:val="20"/>
                <w:szCs w:val="20"/>
              </w:rPr>
              <w:t xml:space="preserve"> </w:t>
            </w:r>
            <w:r w:rsidRPr="003676D3">
              <w:rPr>
                <w:rFonts w:ascii="Times New Roman" w:hAnsi="Times New Roman" w:cs="Times New Roman"/>
                <w:sz w:val="20"/>
                <w:szCs w:val="20"/>
              </w:rPr>
              <w:t>in next generation of SG along with their application to load forecasting</w:t>
            </w:r>
          </w:p>
        </w:tc>
      </w:tr>
      <w:tr w:rsidR="00C312C2" w:rsidRPr="003676D3" w14:paraId="681F4222" w14:textId="77777777" w:rsidTr="00312D27">
        <w:trPr>
          <w:trHeight w:val="510"/>
        </w:trPr>
        <w:tc>
          <w:tcPr>
            <w:cnfStyle w:val="001000000000" w:firstRow="0" w:lastRow="0" w:firstColumn="1" w:lastColumn="0" w:oddVBand="0" w:evenVBand="0" w:oddHBand="0" w:evenHBand="0" w:firstRowFirstColumn="0" w:firstRowLastColumn="0" w:lastRowFirstColumn="0" w:lastRowLastColumn="0"/>
            <w:tcW w:w="594" w:type="pct"/>
            <w:vAlign w:val="center"/>
          </w:tcPr>
          <w:p w14:paraId="0629787A" w14:textId="1439D836" w:rsidR="00CC49AF" w:rsidRPr="003676D3" w:rsidRDefault="00C312C2"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fldChar w:fldCharType="begin" w:fldLock="1"/>
            </w:r>
            <w:r w:rsidRPr="003676D3">
              <w:rPr>
                <w:rFonts w:ascii="Times New Roman" w:hAnsi="Times New Roman" w:cs="Times New Roman"/>
                <w:sz w:val="20"/>
                <w:szCs w:val="20"/>
              </w:rPr>
              <w:instrText>ADDIN CSL_CITATION {"citationItems":[{"id":"ITEM-1","itemData":{"DOI":"10.3390/S19224862","ISSN":"1424-8220","PMID":"31717262","abstract":"With the integration of Wireless Sensor Networks and the Internet of Things, the smart grid is being projected as a solution for the challenges regarding electricity supply in the future. However, security and privacy issues in the consumption and trading of electricity data pose serious challenges in the adoption of the smart grid. To address these challenges, blockchain technology is being researched for applicability in the smart grid. In this paper, important application areas of blockchain in the smart grid are discussed. One use case of each area is discussed in detail, suggesting a suitable blockchain architecture, a sample block structure and the potential blockchain technicalities employed in it. The blockchain can be used for peer-to-peer energy trading, where a credit-based payment scheme can enhance the energy trading process. Efficient data aggregation schemes based on the blockchain technology can be used to overcome the challenges related to privacy and security in the grid. Energy distribution systems can also use blockchain to remotely control energy flow to a particular area by monitoring the usage statistics of that area. Further, blockchain-based frameworks can also help in the diagnosis and maintenance of smart grid equipment. We also discuss several commercial implementations of blockchain in the smart grid. Finally, various challenges to be addressed for integrating these two technologies are discussed.","author":[{"dropping-particle":"","family":"Alladi","given":"Tejasvi","non-dropping-particle":"","parse-names":false,"suffix":""},{"dropping-particle":"","family":"Chamola","given":"Vinay","non-dropping-particle":"","parse-names":false,"suffix":""},{"dropping-particle":"","family":"Rodrigues","given":"Joel J.P.C.","non-dropping-particle":"","parse-names":false,"suffix":""},{"dropping-particle":"","family":"Kozlov","given":"Sergei A.","non-dropping-particle":"","parse-names":false,"suffix":""}],"container-title":"Sensors 2019, Vol. 19, Page 4862","id":"ITEM-1","issue":"22","issued":{"date-parts":[["2019","11","8"]]},"page":"4862","publisher":"Multidisciplinary Digital Publishing Institute","title":"Blockchain in Smart Grids: A Review on Different Use Cases","type":"article-journal","volume":"19"},"uris":["http://www.mendeley.com/documents/?uuid=1100848c-63aa-32c3-b47a-7b70f2a80d33"]}],"mendeley":{"formattedCitation":"[191]","plainTextFormattedCitation":"[191]","previouslyFormattedCitation":"[191]"},"properties":{"noteIndex":0},"schema":"https://github.com/citation-style-language/schema/raw/master/csl-citation.json"}</w:instrText>
            </w:r>
            <w:r w:rsidRPr="003676D3">
              <w:rPr>
                <w:rFonts w:ascii="Times New Roman" w:hAnsi="Times New Roman" w:cs="Times New Roman"/>
                <w:sz w:val="20"/>
                <w:szCs w:val="20"/>
              </w:rPr>
              <w:fldChar w:fldCharType="separate"/>
            </w:r>
            <w:r w:rsidRPr="003676D3">
              <w:rPr>
                <w:rFonts w:ascii="Times New Roman" w:hAnsi="Times New Roman" w:cs="Times New Roman"/>
                <w:b w:val="0"/>
                <w:noProof/>
                <w:sz w:val="20"/>
                <w:szCs w:val="20"/>
              </w:rPr>
              <w:t>[191]</w:t>
            </w:r>
            <w:r w:rsidRPr="003676D3">
              <w:rPr>
                <w:rFonts w:ascii="Times New Roman" w:hAnsi="Times New Roman" w:cs="Times New Roman"/>
                <w:sz w:val="20"/>
                <w:szCs w:val="20"/>
              </w:rPr>
              <w:fldChar w:fldCharType="end"/>
            </w:r>
          </w:p>
        </w:tc>
        <w:tc>
          <w:tcPr>
            <w:tcW w:w="371" w:type="pct"/>
            <w:vAlign w:val="center"/>
          </w:tcPr>
          <w:p w14:paraId="7FFF9AB0" w14:textId="77777777" w:rsidR="00CC49AF" w:rsidRPr="003676D3" w:rsidRDefault="00CC49AF"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2019</w:t>
            </w:r>
          </w:p>
        </w:tc>
        <w:tc>
          <w:tcPr>
            <w:tcW w:w="4035" w:type="pct"/>
            <w:vAlign w:val="center"/>
          </w:tcPr>
          <w:p w14:paraId="0BDE3EE3" w14:textId="77777777" w:rsidR="00CC49AF" w:rsidRPr="003676D3" w:rsidRDefault="00CC49AF"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Explores blockchain applications in the SG, detailing its use in peer-to-peer energy trading, data privacy and security, energy distribution control, and equipment maintenance, while discussing commercial implementations and integration challenges.</w:t>
            </w:r>
          </w:p>
        </w:tc>
      </w:tr>
      <w:tr w:rsidR="00C312C2" w:rsidRPr="003676D3" w14:paraId="7590F41D" w14:textId="77777777" w:rsidTr="00312D2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94" w:type="pct"/>
            <w:vAlign w:val="center"/>
          </w:tcPr>
          <w:p w14:paraId="123910FC" w14:textId="31F77449" w:rsidR="00CC49AF" w:rsidRPr="003676D3" w:rsidRDefault="00C312C2"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fldChar w:fldCharType="begin" w:fldLock="1"/>
            </w:r>
            <w:r w:rsidRPr="003676D3">
              <w:rPr>
                <w:rFonts w:ascii="Times New Roman" w:hAnsi="Times New Roman" w:cs="Times New Roman"/>
                <w:sz w:val="20"/>
                <w:szCs w:val="20"/>
              </w:rPr>
              <w:instrText>ADDIN CSL_CITATION {"citationItems":[{"id":"ITEM-1","itemData":{"DOI":"10.3390/EN13112762","ISSN":"1996-1073","abstract":"Since the smart grid deals with a large mass of data and critical missions, it requires ubiquitous, reliable, and real-time communication. The Internet of Things (IoT) technology, which has the potential of connecting all objects over the globe through the Internet, excels in providing robust information transmission infrastructure in the smart grid. There are a multitude of possible protocols, standards, and configurations for communication in the smart grid. A commonly applied communication standard IEC 61850 recommends the use of Manufacturing Message Specification (MMS) protocol for communication in Local Area Network (LAN) and eXtensible Messaging and Presence Protocol (XMPP) in Wide Area Network (WAN). However, a plethora of research on this topic compares the behavior of other IoT protocols and standard recommendations in the smart grid. On the other hand, the sky-rocketing penetration of Renewable Energy Sources (RES), especially in the form of micro grid, transformed the central control structure of the smart grid into a distributed style called Multi-Agent Systems (MAS). This new approach defined new communication requirements and more particular IoT protocol characteristic requirements. However, a limited number of the existing studies have considered IoT protocol characteristic requirements of the smart grid and its new control structures. In this paper, we initially investigate the communication requirements of the smart grid and introduce all IoT protocols and their specifications. We analyze IoT protocol characteristics and performances in the smart grid through literature review based on the smart grid communication requirements. In this approach, we highlight weak points of these practices making them fail to acquire the holistic guidelines in utilizing proper IoT protocol that can meet the smart grid environment interaction requirements. Using the existing facilities, the public Internet, we follow the arrangement of cost-effective high penetration communication requirements for new structures of the smart grid, i.e., the MAS and multi-micro grid. In this case, we consider IoT protocol Quality of Services (QoS) requirements, especially in the case of security and reliability, to satisfy stakeholders, namely utilities and prosumers. Addressing effective elements in applying IoT in the smart grid’s future trends is another contribution to this paper.","author":[{"dropping-particle":"","family":"Tightiz","given":"Lilia","non-dropping-particle":"","parse-names":false,"suffix":""},{"dropping-particle":"","family":"Yang","given":"Hyosik","non-dropping-particle":"","parse-names":false,"suffix":""}],"container-title":"Energies 2020, Vol. 13, Page 2762","id":"ITEM-1","issue":"11","issued":{"date-parts":[["2020","6","1"]]},"page":"2762","publisher":"Multidisciplinary Digital Publishing Institute","title":"A Comprehensive Review on IoT Protocols’ Features in Smart Grid Communication","type":"article-journal","volume":"13"},"uris":["http://www.mendeley.com/documents/?uuid=20b43da8-a7ed-3a6f-a009-c7fd1b3b9ec2"]}],"mendeley":{"formattedCitation":"[192]","plainTextFormattedCitation":"[192]","previouslyFormattedCitation":"[192]"},"properties":{"noteIndex":0},"schema":"https://github.com/citation-style-language/schema/raw/master/csl-citation.json"}</w:instrText>
            </w:r>
            <w:r w:rsidRPr="003676D3">
              <w:rPr>
                <w:rFonts w:ascii="Times New Roman" w:hAnsi="Times New Roman" w:cs="Times New Roman"/>
                <w:sz w:val="20"/>
                <w:szCs w:val="20"/>
              </w:rPr>
              <w:fldChar w:fldCharType="separate"/>
            </w:r>
            <w:r w:rsidRPr="003676D3">
              <w:rPr>
                <w:rFonts w:ascii="Times New Roman" w:hAnsi="Times New Roman" w:cs="Times New Roman"/>
                <w:b w:val="0"/>
                <w:noProof/>
                <w:sz w:val="20"/>
                <w:szCs w:val="20"/>
              </w:rPr>
              <w:t>[192]</w:t>
            </w:r>
            <w:r w:rsidRPr="003676D3">
              <w:rPr>
                <w:rFonts w:ascii="Times New Roman" w:hAnsi="Times New Roman" w:cs="Times New Roman"/>
                <w:sz w:val="20"/>
                <w:szCs w:val="20"/>
              </w:rPr>
              <w:fldChar w:fldCharType="end"/>
            </w:r>
          </w:p>
        </w:tc>
        <w:tc>
          <w:tcPr>
            <w:tcW w:w="371" w:type="pct"/>
            <w:vAlign w:val="center"/>
          </w:tcPr>
          <w:p w14:paraId="324D45FA" w14:textId="77777777" w:rsidR="00CC49AF" w:rsidRPr="003676D3" w:rsidRDefault="00CC49AF"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2020</w:t>
            </w:r>
          </w:p>
        </w:tc>
        <w:tc>
          <w:tcPr>
            <w:tcW w:w="4035" w:type="pct"/>
            <w:vAlign w:val="center"/>
          </w:tcPr>
          <w:p w14:paraId="598244A9" w14:textId="77777777" w:rsidR="00CC49AF" w:rsidRPr="003676D3" w:rsidRDefault="00CC49AF"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Examines smart grid communication needs, evaluates IoT protocols, identifies their shortcomings, and proposes cost-effective, high-penetration solutions while emphasizing security and reliability.</w:t>
            </w:r>
          </w:p>
        </w:tc>
      </w:tr>
      <w:tr w:rsidR="00C312C2" w:rsidRPr="003676D3" w14:paraId="2E9C2974" w14:textId="77777777" w:rsidTr="00312D27">
        <w:trPr>
          <w:trHeight w:val="510"/>
        </w:trPr>
        <w:tc>
          <w:tcPr>
            <w:cnfStyle w:val="001000000000" w:firstRow="0" w:lastRow="0" w:firstColumn="1" w:lastColumn="0" w:oddVBand="0" w:evenVBand="0" w:oddHBand="0" w:evenHBand="0" w:firstRowFirstColumn="0" w:firstRowLastColumn="0" w:lastRowFirstColumn="0" w:lastRowLastColumn="0"/>
            <w:tcW w:w="594" w:type="pct"/>
            <w:vAlign w:val="center"/>
          </w:tcPr>
          <w:p w14:paraId="54F1EBE1" w14:textId="4A0171C0" w:rsidR="00CC49AF" w:rsidRPr="003676D3" w:rsidRDefault="00C312C2"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fldChar w:fldCharType="begin" w:fldLock="1"/>
            </w:r>
            <w:r w:rsidRPr="003676D3">
              <w:rPr>
                <w:rFonts w:ascii="Times New Roman" w:hAnsi="Times New Roman" w:cs="Times New Roman"/>
                <w:sz w:val="20"/>
                <w:szCs w:val="20"/>
              </w:rPr>
              <w:instrText>ADDIN CSL_CITATION {"citationItems":[{"id":"ITEM-1","itemData":{"DOI":"10.1109/ACCESS.2021.3058628","ISSN":"21693536","abstract":"Recent advances in the cyber-physical smart grid (CPSG) have enabled a broad range of new devices based on the information and communication technology (ICT). However, these ICT-enabled devices are susceptible to a growing threat of cyber-physical attacks. This paper performs a thorough review of the state-of-the-art cyber-physical security of the smart grid. By focusing on the physical layer of the CPSG, this paper provides an abstracted and unified state-space model, in which cyber-physical attack and defense models can be effectively generalized. The existing cyber-physical attacks are categorized in terms of their target components. We then discuss several operational and informational defense approaches that present the current state-of-the-art in the field, including moving target defense, watermarking, and data-driven approaches. Finally, we discuss challenges and future opportunities associated with the smart grid cyber-physical security.","author":[{"dropping-particle":"","family":"Zhang","given":"Hang","non-dropping-particle":"","parse-names":false,"suffix":""},{"dropping-particle":"","family":"Liu","given":"Bo","non-dropping-particle":"","parse-names":false,"suffix":""},{"dropping-particle":"","family":"Wu","given":"Hongyu","non-dropping-particle":"","parse-names":false,"suffix":""}],"container-title":"IEEE Access","id":"ITEM-1","issued":{"date-parts":[["2021"]]},"page":"29641-29659","publisher":"Institute of Electrical and Electronics Engineers Inc.","title":"Smart Grid Cyber-Physical Attack and Defense: A Review","type":"article-journal","volume":"9"},"uris":["http://www.mendeley.com/documents/?uuid=f41f7665-cebc-3fe8-94a6-d39148a1623a"]}],"mendeley":{"formattedCitation":"[193]","plainTextFormattedCitation":"[193]","previouslyFormattedCitation":"[193]"},"properties":{"noteIndex":0},"schema":"https://github.com/citation-style-language/schema/raw/master/csl-citation.json"}</w:instrText>
            </w:r>
            <w:r w:rsidRPr="003676D3">
              <w:rPr>
                <w:rFonts w:ascii="Times New Roman" w:hAnsi="Times New Roman" w:cs="Times New Roman"/>
                <w:sz w:val="20"/>
                <w:szCs w:val="20"/>
              </w:rPr>
              <w:fldChar w:fldCharType="separate"/>
            </w:r>
            <w:r w:rsidRPr="003676D3">
              <w:rPr>
                <w:rFonts w:ascii="Times New Roman" w:hAnsi="Times New Roman" w:cs="Times New Roman"/>
                <w:b w:val="0"/>
                <w:noProof/>
                <w:sz w:val="20"/>
                <w:szCs w:val="20"/>
              </w:rPr>
              <w:t>[193]</w:t>
            </w:r>
            <w:r w:rsidRPr="003676D3">
              <w:rPr>
                <w:rFonts w:ascii="Times New Roman" w:hAnsi="Times New Roman" w:cs="Times New Roman"/>
                <w:sz w:val="20"/>
                <w:szCs w:val="20"/>
              </w:rPr>
              <w:fldChar w:fldCharType="end"/>
            </w:r>
          </w:p>
        </w:tc>
        <w:tc>
          <w:tcPr>
            <w:tcW w:w="371" w:type="pct"/>
            <w:vAlign w:val="center"/>
          </w:tcPr>
          <w:p w14:paraId="5FF2ED94" w14:textId="77777777" w:rsidR="00CC49AF" w:rsidRPr="003676D3" w:rsidRDefault="00CC49AF"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2021</w:t>
            </w:r>
          </w:p>
        </w:tc>
        <w:tc>
          <w:tcPr>
            <w:tcW w:w="4035" w:type="pct"/>
            <w:vAlign w:val="center"/>
          </w:tcPr>
          <w:p w14:paraId="0591349D" w14:textId="3120EB4E" w:rsidR="00CC49AF" w:rsidRPr="003676D3" w:rsidRDefault="00CC49AF"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 xml:space="preserve">Reviews cyber-physical security in SG, categorizing attacks, presenting </w:t>
            </w:r>
            <w:r w:rsidR="00ED5CE9" w:rsidRPr="003676D3">
              <w:rPr>
                <w:rFonts w:ascii="Times New Roman" w:hAnsi="Times New Roman" w:cs="Times New Roman"/>
                <w:sz w:val="20"/>
                <w:szCs w:val="20"/>
              </w:rPr>
              <w:t>defence</w:t>
            </w:r>
            <w:r w:rsidRPr="003676D3">
              <w:rPr>
                <w:rFonts w:ascii="Times New Roman" w:hAnsi="Times New Roman" w:cs="Times New Roman"/>
                <w:sz w:val="20"/>
                <w:szCs w:val="20"/>
              </w:rPr>
              <w:t xml:space="preserve"> strategies, and discussing future security challenges and opportunities.</w:t>
            </w:r>
          </w:p>
        </w:tc>
      </w:tr>
      <w:tr w:rsidR="00C312C2" w:rsidRPr="003676D3" w14:paraId="1FAAC086" w14:textId="77777777" w:rsidTr="00312D2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94" w:type="pct"/>
            <w:vAlign w:val="center"/>
          </w:tcPr>
          <w:p w14:paraId="37EF0662" w14:textId="7AE21638" w:rsidR="00CC49AF" w:rsidRPr="003676D3" w:rsidRDefault="00C312C2"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fldChar w:fldCharType="begin" w:fldLock="1"/>
            </w:r>
            <w:r w:rsidRPr="003676D3">
              <w:rPr>
                <w:rFonts w:ascii="Times New Roman" w:hAnsi="Times New Roman" w:cs="Times New Roman"/>
                <w:sz w:val="20"/>
                <w:szCs w:val="20"/>
              </w:rPr>
              <w:instrText>ADDIN CSL_CITATION {"citationItems":[{"id":"ITEM-1","itemData":{"DOI":"10.1080/23311916.2021.1935410","ISSN":"23311916","abstract":"The industrial and economic development of the industrialized countries, from the nineteenth century, has gone hand in hand with the development of electricity, the internal combustion engine, computers, the Internet, data use, and the intensive use of knowledge focused on science and the technology. Most conventional energy sources have proven to be finite and exhaustible. In turn, the different production activities of goods and services using fossil fuels and conventional energy have significantly increased the pollution of the environment, and with it, contributed to global warming. The objective of this work was to carry out a theoretical approach to data analytics and business intelligence technologies applied to smart electrical-system networks with renewable energies. For this paper, a bibliometric and bibliographic review about Big Data Analytics, ICT tools of industry 4.0 and Business intelligence was carried out in different databases available in the public domain. The results of the analysis indicate the importance of the use of data analytics and business intelligence in the management of energy companies. The paper concludes by pointing out how business intelligence and data analytics are being applied in specific examples of energy companies and their growing importance in strategic and operational decision-making.","author":[{"dropping-particle":"","family":"Colmenares-Quintero","given":"Ramón Fernando","non-dropping-particle":"","parse-names":false,"suffix":""},{"dropping-particle":"","family":"Quiroga-Parra","given":"Darío Jesús","non-dropping-particle":"","parse-names":false,"suffix":""},{"dropping-particle":"","family":"Rojas","given":"Natalia","non-dropping-particle":"","parse-names":false,"suffix":""},{"dropping-particle":"","family":"Stansfield","given":"Kim E.","non-dropping-particle":"","parse-names":false,"suffix":""},{"dropping-particle":"","family":"Colmenares-Quintero","given":"Juan Carlos","non-dropping-particle":"","parse-names":false,"suffix":""}],"container-title":"Cogent Engineering","id":"ITEM-1","issue":"1","issued":{"date-parts":[["2021"]]},"publisher":"Cogent OA","title":"Big Data analytics in Smart Grids for renewable energy networks: Systematic review of information and communication technology tools","type":"article-journal","volume":"8"},"uris":["http://www.mendeley.com/documents/?uuid=e9674a70-8cc1-341b-ab1f-999a81a068fe"]}],"mendeley":{"formattedCitation":"[194]","plainTextFormattedCitation":"[194]","previouslyFormattedCitation":"[194]"},"properties":{"noteIndex":0},"schema":"https://github.com/citation-style-language/schema/raw/master/csl-citation.json"}</w:instrText>
            </w:r>
            <w:r w:rsidRPr="003676D3">
              <w:rPr>
                <w:rFonts w:ascii="Times New Roman" w:hAnsi="Times New Roman" w:cs="Times New Roman"/>
                <w:sz w:val="20"/>
                <w:szCs w:val="20"/>
              </w:rPr>
              <w:fldChar w:fldCharType="separate"/>
            </w:r>
            <w:r w:rsidRPr="003676D3">
              <w:rPr>
                <w:rFonts w:ascii="Times New Roman" w:hAnsi="Times New Roman" w:cs="Times New Roman"/>
                <w:b w:val="0"/>
                <w:noProof/>
                <w:sz w:val="20"/>
                <w:szCs w:val="20"/>
              </w:rPr>
              <w:t>[194]</w:t>
            </w:r>
            <w:r w:rsidRPr="003676D3">
              <w:rPr>
                <w:rFonts w:ascii="Times New Roman" w:hAnsi="Times New Roman" w:cs="Times New Roman"/>
                <w:sz w:val="20"/>
                <w:szCs w:val="20"/>
              </w:rPr>
              <w:fldChar w:fldCharType="end"/>
            </w:r>
          </w:p>
        </w:tc>
        <w:tc>
          <w:tcPr>
            <w:tcW w:w="371" w:type="pct"/>
            <w:vAlign w:val="center"/>
          </w:tcPr>
          <w:p w14:paraId="67D49CC4" w14:textId="77777777" w:rsidR="00CC49AF" w:rsidRPr="003676D3" w:rsidRDefault="00CC49AF"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2021</w:t>
            </w:r>
          </w:p>
        </w:tc>
        <w:tc>
          <w:tcPr>
            <w:tcW w:w="4035" w:type="pct"/>
            <w:vAlign w:val="center"/>
          </w:tcPr>
          <w:p w14:paraId="628EE9C3" w14:textId="6307ADBF" w:rsidR="00CC49AF" w:rsidRPr="003676D3" w:rsidRDefault="00CC49AF"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 xml:space="preserve">Explores the role of </w:t>
            </w:r>
            <w:r w:rsidR="00F80674" w:rsidRPr="003676D3">
              <w:rPr>
                <w:rFonts w:ascii="Times New Roman" w:hAnsi="Times New Roman" w:cs="Times New Roman"/>
                <w:sz w:val="20"/>
                <w:szCs w:val="20"/>
              </w:rPr>
              <w:t>business intelligence and data analytics</w:t>
            </w:r>
            <w:r w:rsidRPr="003676D3">
              <w:rPr>
                <w:rFonts w:ascii="Times New Roman" w:hAnsi="Times New Roman" w:cs="Times New Roman"/>
                <w:sz w:val="20"/>
                <w:szCs w:val="20"/>
              </w:rPr>
              <w:t xml:space="preserve"> in managing smart </w:t>
            </w:r>
            <w:r w:rsidR="00F80674" w:rsidRPr="003676D3">
              <w:rPr>
                <w:rFonts w:ascii="Times New Roman" w:hAnsi="Times New Roman" w:cs="Times New Roman"/>
                <w:sz w:val="20"/>
                <w:szCs w:val="20"/>
              </w:rPr>
              <w:t>grid</w:t>
            </w:r>
            <w:r w:rsidRPr="003676D3">
              <w:rPr>
                <w:rFonts w:ascii="Times New Roman" w:hAnsi="Times New Roman" w:cs="Times New Roman"/>
                <w:sz w:val="20"/>
                <w:szCs w:val="20"/>
              </w:rPr>
              <w:t xml:space="preserve"> </w:t>
            </w:r>
            <w:r w:rsidR="00410C91" w:rsidRPr="003676D3">
              <w:rPr>
                <w:rFonts w:ascii="Times New Roman" w:hAnsi="Times New Roman" w:cs="Times New Roman"/>
                <w:sz w:val="20"/>
                <w:szCs w:val="20"/>
              </w:rPr>
              <w:t>networks with RE</w:t>
            </w:r>
            <w:r w:rsidRPr="003676D3">
              <w:rPr>
                <w:rFonts w:ascii="Times New Roman" w:hAnsi="Times New Roman" w:cs="Times New Roman"/>
                <w:sz w:val="20"/>
                <w:szCs w:val="20"/>
              </w:rPr>
              <w:t>, highlighting their importance in</w:t>
            </w:r>
            <w:r w:rsidR="00410C91" w:rsidRPr="003676D3">
              <w:rPr>
                <w:rFonts w:ascii="Times New Roman" w:hAnsi="Times New Roman" w:cs="Times New Roman"/>
                <w:sz w:val="20"/>
                <w:szCs w:val="20"/>
              </w:rPr>
              <w:t xml:space="preserve"> operational and strategic decisions</w:t>
            </w:r>
            <w:r w:rsidRPr="003676D3">
              <w:rPr>
                <w:rFonts w:ascii="Times New Roman" w:hAnsi="Times New Roman" w:cs="Times New Roman"/>
                <w:sz w:val="20"/>
                <w:szCs w:val="20"/>
              </w:rPr>
              <w:t xml:space="preserve"> for energy companies.</w:t>
            </w:r>
          </w:p>
        </w:tc>
      </w:tr>
      <w:tr w:rsidR="00C312C2" w:rsidRPr="003676D3" w14:paraId="55816B2B" w14:textId="77777777" w:rsidTr="00312D27">
        <w:trPr>
          <w:trHeight w:val="510"/>
        </w:trPr>
        <w:tc>
          <w:tcPr>
            <w:cnfStyle w:val="001000000000" w:firstRow="0" w:lastRow="0" w:firstColumn="1" w:lastColumn="0" w:oddVBand="0" w:evenVBand="0" w:oddHBand="0" w:evenHBand="0" w:firstRowFirstColumn="0" w:firstRowLastColumn="0" w:lastRowFirstColumn="0" w:lastRowLastColumn="0"/>
            <w:tcW w:w="594" w:type="pct"/>
            <w:vAlign w:val="center"/>
          </w:tcPr>
          <w:p w14:paraId="74A8909F" w14:textId="1E63C630" w:rsidR="00CC49AF" w:rsidRPr="003676D3" w:rsidRDefault="00C312C2"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fldChar w:fldCharType="begin" w:fldLock="1"/>
            </w:r>
            <w:r w:rsidRPr="003676D3">
              <w:rPr>
                <w:rFonts w:ascii="Times New Roman" w:hAnsi="Times New Roman" w:cs="Times New Roman"/>
                <w:sz w:val="20"/>
                <w:szCs w:val="20"/>
              </w:rPr>
              <w:instrText>ADDIN CSL_CITATION {"citationItems":[{"id":"ITEM-1","itemData":{"DOI":"10.1109/COMST.2022.3202047","ISSN":"1553877X","abstract":"Metaverse, as an evolving paradigm of the next-generation Internet, aims to build a fully immersive, hyper spatiotemporal, and self-sustaining virtual shared space for humans to play, work, and socialize. Driven by recent advances in emerging technologies such as extended reality, artificial intelligence, and blockchain, metaverse is stepping from science fiction to an upcoming reality. However, severe privacy invasions and security breaches (inherited from underlying technologies or emerged in the new digital ecology) of metaverse can impede its wide deployment. At the same time, a series of fundamental challenges (e.g., scalability and interoperability) can arise in metaverse security provisioning owing to the intrinsic characteristics of metaverse, such as immersive realism, hyper spatiotemporality, sustainability, and heterogeneity. In this paper, we present a comprehensive survey of the fundamentals, security, and privacy of metaverse. Specifically, we first investigate a novel distributed metaverse architecture and its key characteristics with ternary-world interactions. Then, we discuss the security and privacy threats, present the critical challenges of metaverse systems, and review the state-of-the-art countermeasures. Finally, we draw open research directions for building future metaverse systems.","author":[{"dropping-particle":"","family":"Wang","given":"Yuntao","non-dropping-particle":"","parse-names":false,"suffix":""},{"dropping-particle":"","family":"Su","given":"Zhou","non-dropping-particle":"","parse-names":false,"suffix":""},{"dropping-particle":"","family":"Zhang","given":"Ning","non-dropping-particle":"","parse-names":false,"suffix":""},{"dropping-particle":"","family":"Xing","given":"Rui","non-dropping-particle":"","parse-names":false,"suffix":""},{"dropping-particle":"","family":"Liu","given":"Dongxiao","non-dropping-particle":"","parse-names":false,"suffix":""},{"dropping-particle":"","family":"Luan","given":"Tom H.","non-dropping-particle":"","parse-names":false,"suffix":""},{"dropping-particle":"","family":"Shen","given":"Xuemin","non-dropping-particle":"","parse-names":false,"suffix":""}],"container-title":"IEEE Communications Surveys and Tutorials","id":"ITEM-1","issue":"1","issued":{"date-parts":[["2023"]]},"page":"319-352","publisher":"Institute of Electrical and Electronics Engineers Inc.","title":"A Survey on Metaverse: Fundamentals, Security, and Privacy","type":"article-journal","volume":"25"},"uris":["http://www.mendeley.com/documents/?uuid=9f040599-20ff-3730-82c4-c98c0521aab1"]}],"mendeley":{"formattedCitation":"[141]","plainTextFormattedCitation":"[141]","previouslyFormattedCitation":"[141]"},"properties":{"noteIndex":0},"schema":"https://github.com/citation-style-language/schema/raw/master/csl-citation.json"}</w:instrText>
            </w:r>
            <w:r w:rsidRPr="003676D3">
              <w:rPr>
                <w:rFonts w:ascii="Times New Roman" w:hAnsi="Times New Roman" w:cs="Times New Roman"/>
                <w:sz w:val="20"/>
                <w:szCs w:val="20"/>
              </w:rPr>
              <w:fldChar w:fldCharType="separate"/>
            </w:r>
            <w:r w:rsidRPr="003676D3">
              <w:rPr>
                <w:rFonts w:ascii="Times New Roman" w:hAnsi="Times New Roman" w:cs="Times New Roman"/>
                <w:b w:val="0"/>
                <w:noProof/>
                <w:sz w:val="20"/>
                <w:szCs w:val="20"/>
              </w:rPr>
              <w:t>[141]</w:t>
            </w:r>
            <w:r w:rsidRPr="003676D3">
              <w:rPr>
                <w:rFonts w:ascii="Times New Roman" w:hAnsi="Times New Roman" w:cs="Times New Roman"/>
                <w:sz w:val="20"/>
                <w:szCs w:val="20"/>
              </w:rPr>
              <w:fldChar w:fldCharType="end"/>
            </w:r>
          </w:p>
        </w:tc>
        <w:tc>
          <w:tcPr>
            <w:tcW w:w="371" w:type="pct"/>
            <w:vAlign w:val="center"/>
          </w:tcPr>
          <w:p w14:paraId="01C10998" w14:textId="77777777" w:rsidR="00CC49AF" w:rsidRPr="003676D3" w:rsidRDefault="00CC49AF"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2022</w:t>
            </w:r>
          </w:p>
        </w:tc>
        <w:tc>
          <w:tcPr>
            <w:tcW w:w="4035" w:type="pct"/>
            <w:vAlign w:val="center"/>
          </w:tcPr>
          <w:p w14:paraId="6599B9FF" w14:textId="77777777" w:rsidR="00CC49AF" w:rsidRPr="003676D3" w:rsidRDefault="00CC49AF"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Surveys the fundamentals, security, and privacy of the Metaverse, exploring its architecture, key characteristics, threats, challenges, and current countermeasures, while highlighting future research directions.</w:t>
            </w:r>
          </w:p>
        </w:tc>
      </w:tr>
      <w:tr w:rsidR="00C312C2" w:rsidRPr="003676D3" w14:paraId="489D7627" w14:textId="77777777" w:rsidTr="00312D2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94" w:type="pct"/>
            <w:vAlign w:val="center"/>
          </w:tcPr>
          <w:p w14:paraId="60F920F1" w14:textId="671E8941" w:rsidR="00CC49AF" w:rsidRPr="003676D3" w:rsidRDefault="00C312C2"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fldChar w:fldCharType="begin" w:fldLock="1"/>
            </w:r>
            <w:r w:rsidRPr="003676D3">
              <w:rPr>
                <w:rFonts w:ascii="Times New Roman" w:hAnsi="Times New Roman" w:cs="Times New Roman"/>
                <w:sz w:val="20"/>
                <w:szCs w:val="20"/>
              </w:rPr>
              <w:instrText>ADDIN CSL_CITATION {"citationItems":[{"id":"ITEM-1","itemData":{"DOI":"10.1186/S13705-022-00368-Y/FIGURES/2","ISSN":"21920567","abstract":"Background: One way to design an electricity system wholly based on renewables is referred to as the global Super-grid, a vision of a transmission network of unprecedented geographical scope that uses advanced technology to balance spatially and temporally varying supply and demand across the globe. While proponents, since the 1960s, have argued that a global Super-grid is technologically possible and socially desirable, and significant technical progress has been made since the 1990s, development is slow with new transmission lines being built predominantly with established technology and within the boundaries of single countries. The aim of this study is to explore sociotechnical drivers and barriers of global Super-grid development. Results: A main driver is the century old ideas that larger grids are more efficient and contribute to cooperation and peace. Over the last decades, the level of technical knowledge and networks of proponent have grown. The Super-grid also benefits from the potential opportunity of building on existing grids. Barriers stem from the scale of investments needed to experiment, path dependences in established industry and competition from novel smaller scale solutions based on local production, energy storage and smart grid technology. Other barriers originate in the organisational and institutional complexities of international electricity trade, and in the lack of trust at local and global levels, which hinder the development of necessary coordination. Conclusions: The analysis suggests that if the Super-grid is to become part of a future electricity system, the discourse needs to open up, move beyond simplistic ideas of efficiency and ‘technocratic internationalism’, and take into account a broader set of social benefits, risks and trade-offs.","author":[{"dropping-particle":"","family":"Hojckova","given":"Kristina","non-dropping-particle":"","parse-names":false,"suffix":""},{"dropping-particle":"","family":"Ahlborg","given":"Helene","non-dropping-particle":"","parse-names":false,"suffix":""},{"dropping-particle":"","family":"Sandén","given":"Björn A.","non-dropping-particle":"","parse-names":false,"suffix":""}],"container-title":"Energy, Sustainability and Society","id":"ITEM-1","issue":"1","issued":{"date-parts":[["2022","12","1"]]},"page":"1-16","publisher":"BioMed Central Ltd","title":"A global super-grid: sociotechnical drivers and barriers","type":"article-journal","volume":"12"},"uris":["http://www.mendeley.com/documents/?uuid=67d1a25c-45e8-3569-b871-0f299e75abce"]}],"mendeley":{"formattedCitation":"[195]","plainTextFormattedCitation":"[195]","previouslyFormattedCitation":"[195]"},"properties":{"noteIndex":0},"schema":"https://github.com/citation-style-language/schema/raw/master/csl-citation.json"}</w:instrText>
            </w:r>
            <w:r w:rsidRPr="003676D3">
              <w:rPr>
                <w:rFonts w:ascii="Times New Roman" w:hAnsi="Times New Roman" w:cs="Times New Roman"/>
                <w:sz w:val="20"/>
                <w:szCs w:val="20"/>
              </w:rPr>
              <w:fldChar w:fldCharType="separate"/>
            </w:r>
            <w:r w:rsidRPr="003676D3">
              <w:rPr>
                <w:rFonts w:ascii="Times New Roman" w:hAnsi="Times New Roman" w:cs="Times New Roman"/>
                <w:b w:val="0"/>
                <w:noProof/>
                <w:sz w:val="20"/>
                <w:szCs w:val="20"/>
              </w:rPr>
              <w:t>[195]</w:t>
            </w:r>
            <w:r w:rsidRPr="003676D3">
              <w:rPr>
                <w:rFonts w:ascii="Times New Roman" w:hAnsi="Times New Roman" w:cs="Times New Roman"/>
                <w:sz w:val="20"/>
                <w:szCs w:val="20"/>
              </w:rPr>
              <w:fldChar w:fldCharType="end"/>
            </w:r>
          </w:p>
        </w:tc>
        <w:tc>
          <w:tcPr>
            <w:tcW w:w="371" w:type="pct"/>
            <w:vAlign w:val="center"/>
          </w:tcPr>
          <w:p w14:paraId="5071B2F6" w14:textId="77777777" w:rsidR="00CC49AF" w:rsidRPr="003676D3" w:rsidRDefault="00CC49AF"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2022</w:t>
            </w:r>
          </w:p>
        </w:tc>
        <w:tc>
          <w:tcPr>
            <w:tcW w:w="4035" w:type="pct"/>
            <w:vAlign w:val="center"/>
          </w:tcPr>
          <w:p w14:paraId="34EB7969" w14:textId="77777777" w:rsidR="00CC49AF" w:rsidRPr="003676D3" w:rsidRDefault="00CC49AF"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Explores the sociotechnical drivers and barriers to the development of a global Super-grid, a vision for a renewable-based electricity system with a vast, advanced transmission network.</w:t>
            </w:r>
          </w:p>
        </w:tc>
      </w:tr>
      <w:tr w:rsidR="00C312C2" w:rsidRPr="003676D3" w14:paraId="16B449DB" w14:textId="77777777" w:rsidTr="00312D27">
        <w:trPr>
          <w:trHeight w:val="510"/>
        </w:trPr>
        <w:tc>
          <w:tcPr>
            <w:cnfStyle w:val="001000000000" w:firstRow="0" w:lastRow="0" w:firstColumn="1" w:lastColumn="0" w:oddVBand="0" w:evenVBand="0" w:oddHBand="0" w:evenHBand="0" w:firstRowFirstColumn="0" w:firstRowLastColumn="0" w:lastRowFirstColumn="0" w:lastRowLastColumn="0"/>
            <w:tcW w:w="594" w:type="pct"/>
            <w:vAlign w:val="center"/>
          </w:tcPr>
          <w:p w14:paraId="5BCA9B2C" w14:textId="1E8E894D" w:rsidR="00CC49AF" w:rsidRPr="003676D3" w:rsidRDefault="00C312C2"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fldChar w:fldCharType="begin" w:fldLock="1"/>
            </w:r>
            <w:r w:rsidRPr="003676D3">
              <w:rPr>
                <w:rFonts w:ascii="Times New Roman" w:hAnsi="Times New Roman" w:cs="Times New Roman"/>
                <w:sz w:val="20"/>
                <w:szCs w:val="20"/>
              </w:rPr>
              <w:instrText>ADDIN CSL_CITATION {"citationItems":[{"id":"ITEM-1","itemData":{"abstract":"Dubbed \"the successor to the mobile Internet\", the concept of the Metaverse has grown in popularity. While there exist lite versions of the Metaverse today, they are still far from realizing the full vision of an immersive, embodied, and interoper-able Metaverse. Without addressing the issues of implementation from the communication and networking, as well as computation perspectives, the Metaverse is difficult to succeed the Internet, especially in terms of its accessibility to billions of users today. In this survey, we focus on the edge-enabled Metaverse to realize its ultimate vision. We first provide readers with a succinct tutorial of the Metaverse, an introduction to the architecture, as well as current developments. To enable ubiquitous, seamless, and embodied access to the Metaverse, we discuss the communication and networking challenges and survey cutting-edge solutions and concepts that leverage next-generation communication systems for users to immerse as and interact with embodied avatars in the Metaverse. Moreover, given the high computation costs required, e.g., to render 3D virtual worlds and run data-hungry artificial intelligence-driven avatars, we discuss the computation challenges and cloud-edge-end computation framework-driven solutions to realize the Metaverse on resource-constrained edge devices. Next, we explore how blockchain technologies can aid in the interoperable development of the Metaverse, not just in terms of empowering the economic circulation of virtual user-generated content but also to manage physical edge resources in a decentralized, transparent, and immutable manner. Finally, we discuss the future research directions towards realizing the true vision of the edge-enabled Metaverse.","author":[{"dropping-particle":"","family":"Xu","given":"Minrui","non-dropping-particle":"","parse-names":false,"suffix":""},{"dropping-particle":"","family":"Ng","given":"Wei Chong","non-dropping-particle":"","parse-names":false,"suffix":""},{"dropping-particle":"","family":"Yang","given":"Wei","non-dropping-particle":"","parse-names":false,"suffix":""},{"dropping-particle":"","family":"Lim","given":"Bryan","non-dropping-particle":"","parse-names":false,"suffix":""},{"dropping-particle":"","family":"Kang","given":"Jiawen","non-dropping-particle":"","parse-names":false,"suffix":""},{"dropping-particle":"","family":"Xiong","given":"Zehui","non-dropping-particle":"","parse-names":false,"suffix":""},{"dropping-particle":"","family":"Niyato","given":"Dusit","non-dropping-particle":"","parse-names":false,"suffix":""},{"dropping-particle":"","family":"Yang","given":"Qiang","non-dropping-particle":"","parse-names":false,"suffix":""},{"dropping-particle":"","family":"Shen","given":"Sherman","non-dropping-particle":"","parse-names":false,"suffix":""},{"dropping-particle":"","family":"Miao","given":"Chunyan","non-dropping-particle":"","parse-names":false,"suffix":""}],"container-title":"ieeexplore.ieee.orgM Xu, WC Ng, WYB Lim, J Kang, Z Xiong, D Niyato, Q Yang, X Shen, C MiaoIEEE Communications Surveys &amp; Tutorials, 2022•ieeexplore.ieee.org","id":"ITEM-1","issued":{"date-parts":[["0"]]},"title":"A full dive into realizing the edge-enabled metaverse: Visions, enabling technologies, and challenges","type":"article-journal"},"uris":["http://www.mendeley.com/documents/?uuid=24b4e804-8ea3-3732-8c98-52a293b12b43"]}],"mendeley":{"formattedCitation":"[138]","plainTextFormattedCitation":"[138]","previouslyFormattedCitation":"[138]"},"properties":{"noteIndex":0},"schema":"https://github.com/citation-style-language/schema/raw/master/csl-citation.json"}</w:instrText>
            </w:r>
            <w:r w:rsidRPr="003676D3">
              <w:rPr>
                <w:rFonts w:ascii="Times New Roman" w:hAnsi="Times New Roman" w:cs="Times New Roman"/>
                <w:sz w:val="20"/>
                <w:szCs w:val="20"/>
              </w:rPr>
              <w:fldChar w:fldCharType="separate"/>
            </w:r>
            <w:r w:rsidRPr="003676D3">
              <w:rPr>
                <w:rFonts w:ascii="Times New Roman" w:hAnsi="Times New Roman" w:cs="Times New Roman"/>
                <w:b w:val="0"/>
                <w:noProof/>
                <w:sz w:val="20"/>
                <w:szCs w:val="20"/>
              </w:rPr>
              <w:t>[138]</w:t>
            </w:r>
            <w:r w:rsidRPr="003676D3">
              <w:rPr>
                <w:rFonts w:ascii="Times New Roman" w:hAnsi="Times New Roman" w:cs="Times New Roman"/>
                <w:sz w:val="20"/>
                <w:szCs w:val="20"/>
              </w:rPr>
              <w:fldChar w:fldCharType="end"/>
            </w:r>
          </w:p>
        </w:tc>
        <w:tc>
          <w:tcPr>
            <w:tcW w:w="371" w:type="pct"/>
            <w:vAlign w:val="center"/>
          </w:tcPr>
          <w:p w14:paraId="06AFBB22" w14:textId="77777777" w:rsidR="00CC49AF" w:rsidRPr="003676D3" w:rsidRDefault="00CC49AF"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2022</w:t>
            </w:r>
          </w:p>
        </w:tc>
        <w:tc>
          <w:tcPr>
            <w:tcW w:w="4035" w:type="pct"/>
            <w:vAlign w:val="center"/>
          </w:tcPr>
          <w:p w14:paraId="1EAABA28" w14:textId="77777777" w:rsidR="00CC49AF" w:rsidRPr="003676D3" w:rsidRDefault="00CC49AF"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Explores the edge-enabled Metaverse, addressing communication, networking, and computation challenges, and examines blockchain solutions to enhance interoperability, economic transactions, and resource management.</w:t>
            </w:r>
          </w:p>
        </w:tc>
      </w:tr>
      <w:tr w:rsidR="00C312C2" w:rsidRPr="003676D3" w14:paraId="671E411C" w14:textId="77777777" w:rsidTr="00312D2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94" w:type="pct"/>
            <w:vAlign w:val="center"/>
          </w:tcPr>
          <w:p w14:paraId="1D820850" w14:textId="56958046" w:rsidR="00CC49AF" w:rsidRPr="003676D3" w:rsidRDefault="00C312C2"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fldChar w:fldCharType="begin" w:fldLock="1"/>
            </w:r>
            <w:r w:rsidRPr="003676D3">
              <w:rPr>
                <w:rFonts w:ascii="Times New Roman" w:hAnsi="Times New Roman" w:cs="Times New Roman"/>
                <w:sz w:val="20"/>
                <w:szCs w:val="20"/>
              </w:rPr>
              <w:instrText>ADDIN CSL_CITATION {"citationItems":[{"id":"ITEM-1","itemData":{"DOI":"10.1016/J.PROCS.2022.12.374","ISSN":"1877-0509","abstract":"The Metaverse is revolutionizing the world of the internet. It is the new \"virtual\"universe capable of going beyond the pure three-dimensional and immersive dimension combining the physical and digital worlds. The metaverse, which until recently was an abstract concept, is now assuming great importance and attracting the attention of consumers, investors, brands, and large global players. Certainly, the first sector to adapt to this new immersive reality is e-commerce. Obviously, e-commerce is not the only sector affected by this digital revolution. Interoperability and interconnection will revolutionize current business models. Although the business opportunities seem endless, the scenario is still not entirely clear. Thus, the aim of the present research is to provide an overview on the state of the art, technologies, applications, and challenges of metaverse. Ethical and social implications are also analized. The result is a first detailed scenario analysis on the Metaverse.","author":[{"dropping-particle":"","family":"Felice","given":"Fabio","non-dropping-particle":"De","parse-names":false,"suffix":""},{"dropping-particle":"","family":"Luca","given":"Cristina","non-dropping-particle":"De","parse-names":false,"suffix":""},{"dropping-particle":"Di","family":"Chiara","given":"Simona","non-dropping-particle":"","parse-names":false,"suffix":""},{"dropping-particle":"","family":"Petrillo","given":"Antonella","non-dropping-particle":"","parse-names":false,"suffix":""}],"container-title":"Procedia Computer Science","id":"ITEM-1","issued":{"date-parts":[["2023","1","1"]]},"page":"1744-1754","publisher":"Elsevier","title":"Physical and digital worlds: implications and opportunities of the metaverse","type":"article-journal","volume":"217"},"uris":["http://www.mendeley.com/documents/?uuid=ddf71720-5480-3022-be03-efc0d925d5be"]}],"mendeley":{"formattedCitation":"[196]","plainTextFormattedCitation":"[196]","previouslyFormattedCitation":"[196]"},"properties":{"noteIndex":0},"schema":"https://github.com/citation-style-language/schema/raw/master/csl-citation.json"}</w:instrText>
            </w:r>
            <w:r w:rsidRPr="003676D3">
              <w:rPr>
                <w:rFonts w:ascii="Times New Roman" w:hAnsi="Times New Roman" w:cs="Times New Roman"/>
                <w:sz w:val="20"/>
                <w:szCs w:val="20"/>
              </w:rPr>
              <w:fldChar w:fldCharType="separate"/>
            </w:r>
            <w:r w:rsidRPr="003676D3">
              <w:rPr>
                <w:rFonts w:ascii="Times New Roman" w:hAnsi="Times New Roman" w:cs="Times New Roman"/>
                <w:b w:val="0"/>
                <w:noProof/>
                <w:sz w:val="20"/>
                <w:szCs w:val="20"/>
              </w:rPr>
              <w:t>[196]</w:t>
            </w:r>
            <w:r w:rsidRPr="003676D3">
              <w:rPr>
                <w:rFonts w:ascii="Times New Roman" w:hAnsi="Times New Roman" w:cs="Times New Roman"/>
                <w:sz w:val="20"/>
                <w:szCs w:val="20"/>
              </w:rPr>
              <w:fldChar w:fldCharType="end"/>
            </w:r>
          </w:p>
        </w:tc>
        <w:tc>
          <w:tcPr>
            <w:tcW w:w="371" w:type="pct"/>
            <w:vAlign w:val="center"/>
          </w:tcPr>
          <w:p w14:paraId="2085AFEB" w14:textId="77777777" w:rsidR="00CC49AF" w:rsidRPr="003676D3" w:rsidRDefault="00CC49AF"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2023</w:t>
            </w:r>
          </w:p>
        </w:tc>
        <w:tc>
          <w:tcPr>
            <w:tcW w:w="4035" w:type="pct"/>
            <w:vAlign w:val="center"/>
          </w:tcPr>
          <w:p w14:paraId="43BA8F75" w14:textId="77777777" w:rsidR="00CC49AF" w:rsidRPr="003676D3" w:rsidRDefault="00CC49AF"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An overview of the Metaverse, its technologies, applications, challenges, and the ethical and social implications, with a focus on its transformative impact on e-commerce and other sectors.</w:t>
            </w:r>
          </w:p>
        </w:tc>
      </w:tr>
      <w:tr w:rsidR="00C312C2" w:rsidRPr="003676D3" w14:paraId="1DCB3DEA" w14:textId="77777777" w:rsidTr="00312D27">
        <w:trPr>
          <w:trHeight w:val="510"/>
        </w:trPr>
        <w:tc>
          <w:tcPr>
            <w:cnfStyle w:val="001000000000" w:firstRow="0" w:lastRow="0" w:firstColumn="1" w:lastColumn="0" w:oddVBand="0" w:evenVBand="0" w:oddHBand="0" w:evenHBand="0" w:firstRowFirstColumn="0" w:firstRowLastColumn="0" w:lastRowFirstColumn="0" w:lastRowLastColumn="0"/>
            <w:tcW w:w="594" w:type="pct"/>
            <w:vAlign w:val="center"/>
          </w:tcPr>
          <w:p w14:paraId="0EB4C590" w14:textId="4BBC4300" w:rsidR="00CC49AF" w:rsidRPr="003676D3" w:rsidRDefault="00C312C2"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fldChar w:fldCharType="begin" w:fldLock="1"/>
            </w:r>
            <w:r w:rsidRPr="003676D3">
              <w:rPr>
                <w:rFonts w:ascii="Times New Roman" w:hAnsi="Times New Roman" w:cs="Times New Roman"/>
                <w:sz w:val="20"/>
                <w:szCs w:val="20"/>
              </w:rPr>
              <w:instrText>ADDIN CSL_CITATION {"citationItems":[{"id":"ITEM-1","itemData":{"DOI":"10.1016/J.EGYAI.2022.100213","ISSN":"2666-5468","abstract":"The major hindrances in the energy system are ecological consciousness, lack of clean and sustainable energy management, insufficient energy distribution–transmission–optimization, expensive power transfer costs, and increased customer knowledge of energy charges. Thus why, universal access to the grid with high cybersecurity, and reliability is needed to solve all these challenges. The digital twin concept turns a new dimension of technology into the world. Electric Digital Twin grid can perform online analysis of the grid in real-time and integrates all the past and present data and express the current grid status to the producers and consumers and also predicts the future grid status. Thus, the power grid transmission loss and location of the overheated line and power connection missing can be detected in addition decision-making and self-healing can possible. The future prediction saves the power grid from small to long accidents such as power outages and even blackout problems. The whole consumers and nation feel relief from these types of accidents and saves from large economic and business loss. The blockchain-enabled digital twin grid provides high security for the grid from cyberattacks. The paper conveys the framework of the electric digital twin grid and the concept of the DT grid processing and the way of serving the producer, prosumers, consumers even the whole nation in infrastructure, education, research, economic, business, and political development.","author":[{"dropping-particle":"","family":"Sifat","given":"Md Mhamud Hussen","non-dropping-particle":"","parse-names":false,"suffix":""},{"dropping-particle":"","family":"Choudhury","given":"Safwat Mukarrama","non-dropping-particle":"","parse-names":false,"suffix":""},{"dropping-particle":"","family":"Das","given":"Sajal K.","non-dropping-particle":"","parse-names":false,"suffix":""},{"dropping-particle":"","family":"Ahamed","given":"Md Hafiz","non-dropping-particle":"","parse-names":false,"suffix":""},{"dropping-particle":"","family":"Muyeen","given":"S. M.","non-dropping-particle":"","parse-names":false,"suffix":""},{"dropping-particle":"","family":"Hasan","given":"Md Mehedi","non-dropping-particle":"","parse-names":false,"suffix":""},{"dropping-particle":"","family":"Ali","given":"Md Firoj","non-dropping-particle":"","parse-names":false,"suffix":""},{"dropping-particle":"","family":"Tasneem","given":"Zinat","non-dropping-particle":"","parse-names":false,"suffix":""},{"dropping-particle":"","family":"Islam","given":"Md Manirul","non-dropping-particle":"","parse-names":false,"suffix":""},{"dropping-particle":"","family":"Islam","given":"Md Robiul","non-dropping-particle":"","parse-names":false,"suffix":""},{"dropping-particle":"","family":"Badal","given":"Md Faisal R.","non-dropping-particle":"","parse-names":false,"suffix":""},{"dropping-particle":"","family":"Abhi","given":"Sarafat H.","non-dropping-particle":"","parse-names":false,"suffix":""},{"dropping-particle":"","family":"Sarker","given":"Subrata K.","non-dropping-particle":"","parse-names":false,"suffix":""},{"dropping-particle":"","family":"Das","given":"Prangon","non-dropping-particle":"","parse-names":false,"suffix":""}],"container-title":"Energy and AI","id":"ITEM-1","issued":{"date-parts":[["2023","1","1"]]},"page":"100213","publisher":"Elsevier","title":"Towards electric digital twin grid: Technology and framework review","type":"article-journal","volume":"11"},"uris":["http://www.mendeley.com/documents/?uuid=ee44f7b4-2236-3e16-899b-967362bd0ad2"]}],"mendeley":{"formattedCitation":"[197]","plainTextFormattedCitation":"[197]","previouslyFormattedCitation":"[197]"},"properties":{"noteIndex":0},"schema":"https://github.com/citation-style-language/schema/raw/master/csl-citation.json"}</w:instrText>
            </w:r>
            <w:r w:rsidRPr="003676D3">
              <w:rPr>
                <w:rFonts w:ascii="Times New Roman" w:hAnsi="Times New Roman" w:cs="Times New Roman"/>
                <w:sz w:val="20"/>
                <w:szCs w:val="20"/>
              </w:rPr>
              <w:fldChar w:fldCharType="separate"/>
            </w:r>
            <w:r w:rsidRPr="003676D3">
              <w:rPr>
                <w:rFonts w:ascii="Times New Roman" w:hAnsi="Times New Roman" w:cs="Times New Roman"/>
                <w:b w:val="0"/>
                <w:noProof/>
                <w:sz w:val="20"/>
                <w:szCs w:val="20"/>
              </w:rPr>
              <w:t>[197]</w:t>
            </w:r>
            <w:r w:rsidRPr="003676D3">
              <w:rPr>
                <w:rFonts w:ascii="Times New Roman" w:hAnsi="Times New Roman" w:cs="Times New Roman"/>
                <w:sz w:val="20"/>
                <w:szCs w:val="20"/>
              </w:rPr>
              <w:fldChar w:fldCharType="end"/>
            </w:r>
          </w:p>
        </w:tc>
        <w:tc>
          <w:tcPr>
            <w:tcW w:w="371" w:type="pct"/>
            <w:vAlign w:val="center"/>
          </w:tcPr>
          <w:p w14:paraId="480BD87D" w14:textId="77777777" w:rsidR="00CC49AF" w:rsidRPr="003676D3" w:rsidRDefault="00CC49AF"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2024</w:t>
            </w:r>
          </w:p>
        </w:tc>
        <w:tc>
          <w:tcPr>
            <w:tcW w:w="4035" w:type="pct"/>
            <w:vAlign w:val="center"/>
          </w:tcPr>
          <w:p w14:paraId="097D0F93" w14:textId="77777777" w:rsidR="00CC49AF" w:rsidRPr="003676D3" w:rsidRDefault="00CC49AF" w:rsidP="003676D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Outlines the framework of the electric digital twin grid and its applications in serving producers, prosumers, consumers, and national development.</w:t>
            </w:r>
          </w:p>
        </w:tc>
      </w:tr>
      <w:tr w:rsidR="00C312C2" w:rsidRPr="003676D3" w14:paraId="01BE535C" w14:textId="77777777" w:rsidTr="00312D2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94" w:type="pct"/>
            <w:vAlign w:val="center"/>
          </w:tcPr>
          <w:p w14:paraId="191306BD" w14:textId="2E17910D" w:rsidR="00CC49AF" w:rsidRPr="003676D3" w:rsidRDefault="00C312C2"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fldChar w:fldCharType="begin" w:fldLock="1"/>
            </w:r>
            <w:r w:rsidRPr="003676D3">
              <w:rPr>
                <w:rFonts w:ascii="Times New Roman" w:hAnsi="Times New Roman" w:cs="Times New Roman"/>
                <w:sz w:val="20"/>
                <w:szCs w:val="20"/>
              </w:rPr>
              <w:instrText>ADDIN CSL_CITATION {"citationItems":[{"id":"ITEM-1","itemData":{"DOI":"10.1109/ICRITO61523.2024.10522167","ISBN":"9798350350357","author":[{"dropping-particle":"","family":"Kasture","given":"Shreyas","non-dropping-particle":"","parse-names":false,"suffix":""},{"dropping-particle":"","family":"Maurya","given":"Sudhanshu","non-dropping-particle":"","parse-names":false,"suffix":""},{"dropping-particle":"","family":"Verma","given":"Rohan","non-dropping-particle":"","parse-names":false,"suffix":""},{"dropping-particle":"","family":"Pathak","given":"Nitish","non-dropping-particle":"","parse-names":false,"suffix":""},{"dropping-particle":"","family":"Joshi","given":"Priyanka","non-dropping-particle":"","parse-names":false,"suffix":""},{"dropping-particle":"","family":"Rakesh","given":"Nitin","non-dropping-particle":"","parse-names":false,"suffix":""}],"id":"ITEM-1","issued":{"date-parts":[["2024","5","14"]]},"page":"1-6","publisher":"Institute of Electrical and Electronics Engineers (IEEE)","title":"Green Cloud Computing for the Metaverse: Powering the Future of the Internet with Renewable Energy","type":"article-journal"},"uris":["http://www.mendeley.com/documents/?uuid=17e7fa59-ded0-3e7b-87d9-0e45a9889c02"]}],"mendeley":{"formattedCitation":"[198]","plainTextFormattedCitation":"[198]","previouslyFormattedCitation":"[198]"},"properties":{"noteIndex":0},"schema":"https://github.com/citation-style-language/schema/raw/master/csl-citation.json"}</w:instrText>
            </w:r>
            <w:r w:rsidRPr="003676D3">
              <w:rPr>
                <w:rFonts w:ascii="Times New Roman" w:hAnsi="Times New Roman" w:cs="Times New Roman"/>
                <w:sz w:val="20"/>
                <w:szCs w:val="20"/>
              </w:rPr>
              <w:fldChar w:fldCharType="separate"/>
            </w:r>
            <w:r w:rsidRPr="003676D3">
              <w:rPr>
                <w:rFonts w:ascii="Times New Roman" w:hAnsi="Times New Roman" w:cs="Times New Roman"/>
                <w:b w:val="0"/>
                <w:noProof/>
                <w:sz w:val="20"/>
                <w:szCs w:val="20"/>
              </w:rPr>
              <w:t>[198]</w:t>
            </w:r>
            <w:r w:rsidRPr="003676D3">
              <w:rPr>
                <w:rFonts w:ascii="Times New Roman" w:hAnsi="Times New Roman" w:cs="Times New Roman"/>
                <w:sz w:val="20"/>
                <w:szCs w:val="20"/>
              </w:rPr>
              <w:fldChar w:fldCharType="end"/>
            </w:r>
          </w:p>
        </w:tc>
        <w:tc>
          <w:tcPr>
            <w:tcW w:w="371" w:type="pct"/>
            <w:vAlign w:val="center"/>
          </w:tcPr>
          <w:p w14:paraId="09F63424" w14:textId="77777777" w:rsidR="00CC49AF" w:rsidRPr="003676D3" w:rsidRDefault="00CC49AF"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2024</w:t>
            </w:r>
          </w:p>
        </w:tc>
        <w:tc>
          <w:tcPr>
            <w:tcW w:w="4035" w:type="pct"/>
            <w:vAlign w:val="center"/>
          </w:tcPr>
          <w:p w14:paraId="453AF463" w14:textId="77777777" w:rsidR="00CC49AF" w:rsidRPr="003676D3" w:rsidRDefault="00CC49AF" w:rsidP="003676D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676D3">
              <w:rPr>
                <w:rFonts w:ascii="Times New Roman" w:hAnsi="Times New Roman" w:cs="Times New Roman"/>
                <w:sz w:val="20"/>
                <w:szCs w:val="20"/>
              </w:rPr>
              <w:t>presents strategies for integrating Green Cloud Computing techniques into metaverse platforms, aiming to create sustainable and energy-efficient cloud architectures to support immersive virtual worlds.</w:t>
            </w:r>
          </w:p>
        </w:tc>
      </w:tr>
    </w:tbl>
    <w:p w14:paraId="46059B39" w14:textId="77777777" w:rsidR="007C7973" w:rsidRPr="003676D3" w:rsidRDefault="007C7973" w:rsidP="003676D3">
      <w:pPr>
        <w:spacing w:line="276" w:lineRule="auto"/>
        <w:jc w:val="both"/>
        <w:rPr>
          <w:rFonts w:ascii="Times New Roman" w:hAnsi="Times New Roman" w:cs="Times New Roman"/>
          <w:sz w:val="24"/>
          <w:szCs w:val="24"/>
        </w:rPr>
      </w:pPr>
    </w:p>
    <w:p w14:paraId="22761F3E" w14:textId="6348B874" w:rsidR="00820DC7" w:rsidRPr="003676D3" w:rsidRDefault="00FE67FE" w:rsidP="003676D3">
      <w:pPr>
        <w:pStyle w:val="Heading1"/>
        <w:spacing w:line="276" w:lineRule="auto"/>
        <w:jc w:val="both"/>
        <w:rPr>
          <w:sz w:val="24"/>
          <w:szCs w:val="24"/>
        </w:rPr>
      </w:pPr>
      <w:r w:rsidRPr="003676D3">
        <w:rPr>
          <w:sz w:val="24"/>
          <w:szCs w:val="24"/>
        </w:rPr>
        <w:t xml:space="preserve">6. </w:t>
      </w:r>
      <w:r w:rsidR="00132774" w:rsidRPr="003676D3">
        <w:rPr>
          <w:sz w:val="24"/>
          <w:szCs w:val="24"/>
        </w:rPr>
        <w:t xml:space="preserve"> </w:t>
      </w:r>
      <w:r w:rsidR="00CF0477" w:rsidRPr="003676D3">
        <w:rPr>
          <w:sz w:val="24"/>
          <w:szCs w:val="24"/>
        </w:rPr>
        <w:t>Challenges</w:t>
      </w:r>
      <w:r w:rsidR="006F37A0" w:rsidRPr="003676D3">
        <w:rPr>
          <w:sz w:val="24"/>
          <w:szCs w:val="24"/>
        </w:rPr>
        <w:t xml:space="preserve"> </w:t>
      </w:r>
      <w:r w:rsidR="00E02AA5" w:rsidRPr="003676D3">
        <w:rPr>
          <w:sz w:val="24"/>
          <w:szCs w:val="24"/>
        </w:rPr>
        <w:t>in</w:t>
      </w:r>
      <w:r w:rsidR="00CF0477" w:rsidRPr="003676D3">
        <w:rPr>
          <w:sz w:val="24"/>
          <w:szCs w:val="24"/>
        </w:rPr>
        <w:t xml:space="preserve"> Super Smart Grid</w:t>
      </w:r>
    </w:p>
    <w:p w14:paraId="6D88F6DB" w14:textId="642DA2AF" w:rsidR="004F4B0D" w:rsidRPr="003676D3" w:rsidRDefault="004F4B0D"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The </w:t>
      </w:r>
      <w:r w:rsidR="002469AE" w:rsidRPr="003676D3">
        <w:rPr>
          <w:rFonts w:ascii="Times New Roman" w:hAnsi="Times New Roman" w:cs="Times New Roman"/>
          <w:sz w:val="24"/>
          <w:szCs w:val="24"/>
        </w:rPr>
        <w:t>acceleration</w:t>
      </w:r>
      <w:r w:rsidRPr="003676D3">
        <w:rPr>
          <w:rFonts w:ascii="Times New Roman" w:hAnsi="Times New Roman" w:cs="Times New Roman"/>
          <w:sz w:val="24"/>
          <w:szCs w:val="24"/>
        </w:rPr>
        <w:t xml:space="preserve"> of super smart grid technologies </w:t>
      </w:r>
      <w:r w:rsidR="00803383" w:rsidRPr="003676D3">
        <w:rPr>
          <w:rFonts w:ascii="Times New Roman" w:hAnsi="Times New Roman" w:cs="Times New Roman"/>
          <w:sz w:val="24"/>
          <w:szCs w:val="24"/>
        </w:rPr>
        <w:t>requires</w:t>
      </w:r>
      <w:r w:rsidRPr="003676D3">
        <w:rPr>
          <w:rFonts w:ascii="Times New Roman" w:hAnsi="Times New Roman" w:cs="Times New Roman"/>
          <w:sz w:val="24"/>
          <w:szCs w:val="24"/>
        </w:rPr>
        <w:t xml:space="preserve"> </w:t>
      </w:r>
      <w:r w:rsidR="00DA79DF" w:rsidRPr="003676D3">
        <w:rPr>
          <w:rFonts w:ascii="Times New Roman" w:hAnsi="Times New Roman" w:cs="Times New Roman"/>
          <w:sz w:val="24"/>
          <w:szCs w:val="24"/>
        </w:rPr>
        <w:t>advanced</w:t>
      </w:r>
      <w:r w:rsidRPr="003676D3">
        <w:rPr>
          <w:rFonts w:ascii="Times New Roman" w:hAnsi="Times New Roman" w:cs="Times New Roman"/>
          <w:sz w:val="24"/>
          <w:szCs w:val="24"/>
        </w:rPr>
        <w:t xml:space="preserve"> sens</w:t>
      </w:r>
      <w:r w:rsidR="00BA2B35" w:rsidRPr="003676D3">
        <w:rPr>
          <w:rFonts w:ascii="Times New Roman" w:hAnsi="Times New Roman" w:cs="Times New Roman"/>
          <w:sz w:val="24"/>
          <w:szCs w:val="24"/>
        </w:rPr>
        <w:t>or technology</w:t>
      </w:r>
      <w:r w:rsidRPr="003676D3">
        <w:rPr>
          <w:rFonts w:ascii="Times New Roman" w:hAnsi="Times New Roman" w:cs="Times New Roman"/>
          <w:sz w:val="24"/>
          <w:szCs w:val="24"/>
        </w:rPr>
        <w:t xml:space="preserve">, communication, and control strategies. However, this integration also </w:t>
      </w:r>
      <w:r w:rsidR="0025124C" w:rsidRPr="003676D3">
        <w:rPr>
          <w:rFonts w:ascii="Times New Roman" w:hAnsi="Times New Roman" w:cs="Times New Roman"/>
          <w:sz w:val="24"/>
          <w:szCs w:val="24"/>
        </w:rPr>
        <w:t>increases</w:t>
      </w:r>
      <w:r w:rsidRPr="003676D3">
        <w:rPr>
          <w:rFonts w:ascii="Times New Roman" w:hAnsi="Times New Roman" w:cs="Times New Roman"/>
          <w:sz w:val="24"/>
          <w:szCs w:val="24"/>
        </w:rPr>
        <w:t xml:space="preserve"> the </w:t>
      </w:r>
      <w:r w:rsidR="0025124C" w:rsidRPr="003676D3">
        <w:rPr>
          <w:rFonts w:ascii="Times New Roman" w:hAnsi="Times New Roman" w:cs="Times New Roman"/>
          <w:sz w:val="24"/>
          <w:szCs w:val="24"/>
        </w:rPr>
        <w:t>possibility</w:t>
      </w:r>
      <w:r w:rsidRPr="003676D3">
        <w:rPr>
          <w:rFonts w:ascii="Times New Roman" w:hAnsi="Times New Roman" w:cs="Times New Roman"/>
          <w:sz w:val="24"/>
          <w:szCs w:val="24"/>
        </w:rPr>
        <w:t xml:space="preserve"> of grids to cyber-attacks. </w:t>
      </w:r>
      <w:r w:rsidR="00DA79DF" w:rsidRPr="003676D3">
        <w:rPr>
          <w:rFonts w:ascii="Times New Roman" w:hAnsi="Times New Roman" w:cs="Times New Roman"/>
          <w:sz w:val="24"/>
          <w:szCs w:val="24"/>
        </w:rPr>
        <w:t>These</w:t>
      </w:r>
      <w:r w:rsidRPr="003676D3">
        <w:rPr>
          <w:rFonts w:ascii="Times New Roman" w:hAnsi="Times New Roman" w:cs="Times New Roman"/>
          <w:sz w:val="24"/>
          <w:szCs w:val="24"/>
        </w:rPr>
        <w:t xml:space="preserve"> attacks can </w:t>
      </w:r>
      <w:r w:rsidR="00DA79DF" w:rsidRPr="003676D3">
        <w:rPr>
          <w:rFonts w:ascii="Times New Roman" w:hAnsi="Times New Roman" w:cs="Times New Roman"/>
          <w:sz w:val="24"/>
          <w:szCs w:val="24"/>
        </w:rPr>
        <w:t>affect</w:t>
      </w:r>
      <w:r w:rsidRPr="003676D3">
        <w:rPr>
          <w:rFonts w:ascii="Times New Roman" w:hAnsi="Times New Roman" w:cs="Times New Roman"/>
          <w:sz w:val="24"/>
          <w:szCs w:val="24"/>
        </w:rPr>
        <w:t xml:space="preserve"> crucial data </w:t>
      </w:r>
      <w:r w:rsidR="0078669F" w:rsidRPr="003676D3">
        <w:rPr>
          <w:rFonts w:ascii="Times New Roman" w:hAnsi="Times New Roman" w:cs="Times New Roman"/>
          <w:sz w:val="24"/>
          <w:szCs w:val="24"/>
        </w:rPr>
        <w:t>required</w:t>
      </w:r>
      <w:r w:rsidRPr="003676D3">
        <w:rPr>
          <w:rFonts w:ascii="Times New Roman" w:hAnsi="Times New Roman" w:cs="Times New Roman"/>
          <w:sz w:val="24"/>
          <w:szCs w:val="24"/>
        </w:rPr>
        <w:t xml:space="preserve"> for grid operations</w:t>
      </w:r>
      <w:r w:rsidR="00DA79DF" w:rsidRPr="003676D3">
        <w:rPr>
          <w:rFonts w:ascii="Times New Roman" w:hAnsi="Times New Roman" w:cs="Times New Roman"/>
          <w:sz w:val="24"/>
          <w:szCs w:val="24"/>
        </w:rPr>
        <w:t>.</w:t>
      </w:r>
      <w:r w:rsidR="000117E2" w:rsidRPr="003676D3">
        <w:rPr>
          <w:rFonts w:ascii="Times New Roman" w:hAnsi="Times New Roman" w:cs="Times New Roman"/>
          <w:sz w:val="24"/>
          <w:szCs w:val="24"/>
        </w:rPr>
        <w:t xml:space="preserve"> </w:t>
      </w:r>
      <w:r w:rsidR="004B1918" w:rsidRPr="003676D3">
        <w:rPr>
          <w:rFonts w:ascii="Times New Roman" w:hAnsi="Times New Roman" w:cs="Times New Roman"/>
          <w:sz w:val="24"/>
          <w:szCs w:val="24"/>
        </w:rPr>
        <w:t>This potentially</w:t>
      </w:r>
      <w:r w:rsidRPr="003676D3">
        <w:rPr>
          <w:rFonts w:ascii="Times New Roman" w:hAnsi="Times New Roman" w:cs="Times New Roman"/>
          <w:sz w:val="24"/>
          <w:szCs w:val="24"/>
        </w:rPr>
        <w:t xml:space="preserve"> lead</w:t>
      </w:r>
      <w:r w:rsidR="000117E2" w:rsidRPr="003676D3">
        <w:rPr>
          <w:rFonts w:ascii="Times New Roman" w:hAnsi="Times New Roman" w:cs="Times New Roman"/>
          <w:sz w:val="24"/>
          <w:szCs w:val="24"/>
        </w:rPr>
        <w:t>s</w:t>
      </w:r>
      <w:r w:rsidRPr="003676D3">
        <w:rPr>
          <w:rFonts w:ascii="Times New Roman" w:hAnsi="Times New Roman" w:cs="Times New Roman"/>
          <w:sz w:val="24"/>
          <w:szCs w:val="24"/>
        </w:rPr>
        <w:t xml:space="preserve"> to significant malfunctions. Injecting </w:t>
      </w:r>
      <w:r w:rsidR="00277732" w:rsidRPr="003676D3">
        <w:rPr>
          <w:rFonts w:ascii="Times New Roman" w:hAnsi="Times New Roman" w:cs="Times New Roman"/>
          <w:sz w:val="24"/>
          <w:szCs w:val="24"/>
        </w:rPr>
        <w:t>incorrect</w:t>
      </w:r>
      <w:r w:rsidRPr="003676D3">
        <w:rPr>
          <w:rFonts w:ascii="Times New Roman" w:hAnsi="Times New Roman" w:cs="Times New Roman"/>
          <w:sz w:val="24"/>
          <w:szCs w:val="24"/>
        </w:rPr>
        <w:t xml:space="preserve"> data into the system can induce grid instability and provide financial incentives for attackers</w:t>
      </w:r>
      <w:r w:rsidR="008473C5" w:rsidRPr="003676D3">
        <w:rPr>
          <w:rFonts w:ascii="Times New Roman" w:hAnsi="Times New Roman" w:cs="Times New Roman"/>
          <w:sz w:val="24"/>
          <w:szCs w:val="24"/>
        </w:rPr>
        <w:t xml:space="preserve"> </w:t>
      </w:r>
      <w:r w:rsidR="008473C5" w:rsidRPr="003676D3">
        <w:rPr>
          <w:rFonts w:ascii="Times New Roman" w:hAnsi="Times New Roman" w:cs="Times New Roman"/>
          <w:sz w:val="24"/>
          <w:szCs w:val="24"/>
        </w:rPr>
        <w:fldChar w:fldCharType="begin" w:fldLock="1"/>
      </w:r>
      <w:r w:rsidR="00C312C2" w:rsidRPr="003676D3">
        <w:rPr>
          <w:rFonts w:ascii="Times New Roman" w:hAnsi="Times New Roman" w:cs="Times New Roman"/>
          <w:sz w:val="24"/>
          <w:szCs w:val="24"/>
        </w:rPr>
        <w:instrText>ADDIN CSL_CITATION {"citationItems":[{"id":"ITEM-1","itemData":{"DOI":"10.1016/J.JCLEPRO.2021.126877","ISSN":"0959-6526","abstract":"This paper describes a generic methodology to develop mathematical and computational models of different components of the smart grid architecture model (SGAM). The SGAM inspired integrated mathematical modelling will help develop interoperable complex system simulations for integrating different smart grid components, associated communication models for data exchange and software modules, control, estimation, and data analytics functionalities with the business perspectives. This paper is based on the existing component models inspired by SGAM, which provides a holistic view for integrating the models under operational and security constraints. Achievable results and open research problems for the SGAM mapping have also been discussed in these models supporting the interoperability challenges. The models described in this paper can serve as a guideline to design efficient and robust control strategies for smart grids against uncertain loading, generation, and communication constraints, thus optimizing and improving the whole system's performance. Mathematical and computational models of cyber-physical systems have also been discussed along with their potential challenges. Based on the above concepts, unsolved and open challenges in the smart grid control, optimization and data analytics are highlighted.","author":[{"dropping-particle":"","family":"Panda","given":"Deepak Kumar","non-dropping-particle":"","parse-names":false,"suffix":""},{"dropping-particle":"","family":"Das","given":"Saptarshi","non-dropping-particle":"","parse-names":false,"suffix":""}],"container-title":"Journal of Cleaner Production","id":"ITEM-1","issued":{"date-parts":[["2021","6","10"]]},"page":"126877","publisher":"Elsevier","title":"Smart grid architecture model for control, optimization and data analytics of future power networks with more renewable energy","type":"article-journal","volume":"301"},"uris":["http://www.mendeley.com/documents/?uuid=f91adc9d-0091-3d22-ae10-84bcaed7fab6"]},{"id":"ITEM-2","itemData":{"DOI":"10.1007/S00502-017-0472-8/METRICS","ISSN":"0932383X","abstract":"This paper gives a short overview about important guidelines and standards that set the focus on security in Smart Grids and industrial automation. The standards are described and compared regarding their scope of application within the Smart Grid and the focus of the standards. Beside the description of standards, some guidelines of major importance to the development of Smart Grids are described.","author":[{"dropping-particle":"","family":"Ruland","given":"Karl Christoph","non-dropping-particle":"","parse-names":false,"suffix":""},{"dropping-particle":"","family":"Sassmannshausen","given":"Jochen","non-dropping-particle":"","parse-names":false,"suffix":""},{"dropping-particle":"","family":"Waedt","given":"Karl","non-dropping-particle":"","parse-names":false,"suffix":""},{"dropping-particle":"","family":"Zivic","given":"Natasa","non-dropping-particle":"","parse-names":false,"suffix":""}],"container-title":"Elektrotechnik und Informationstechnik","id":"ITEM-2","issue":"1","issued":{"date-parts":[["2017","2","1"]]},"page":"19-25","publisher":"Springer-Verlag Wien","title":"Smart Grid Security – ein Überblick über Standards und Richtlinien","type":"article-journal","volume":"134"},"uris":["http://www.mendeley.com/documents/?uuid=2f908d06-6127-3f72-a674-7d047dad0485"]},{"id":"ITEM-3","itemData":{"DOI":"10.1016/J.COSE.2016.07.008","ISSN":"0167-4048","abstract":"Future smart grids will consist of legacy systems and new ICT components, which are used to support increased monitoring and control capabilities in the low- and medium-voltage grids. In this article, we present a cybersecurity risk assessment method, which involves two interrelated streams of analyses that can be used to determine the risks associated with an architectural concept of a smart grid that includes both legacy systems and novel ICT concepts. To ensure the validity of the recommendations that stem from the risk assessment with respect to national regulatory and deployment norms, the analysis is based on a consolidated national smart grid reference architecture. We have applied the method in a national smart grid security project that includes a number of key smart grid stakeholders, resulting in security recommendations that are based on a sound understanding of cybersecurity risks.","author":[{"dropping-particle":"","family":"Langer","given":"Lucie","non-dropping-particle":"","parse-names":false,"suffix":""},{"dropping-particle":"","family":"Skopik","given":"Florian","non-dropping-particle":"","parse-names":false,"suffix":""},{"dropping-particle":"","family":"Smith","given":"Paul","non-dropping-particle":"","parse-names":false,"suffix":""},{"dropping-particle":"","family":"Kammerstetter","given":"Markus","non-dropping-particle":"","parse-names":false,"suffix":""}],"container-title":"Computers &amp; Security","id":"ITEM-3","issued":{"date-parts":[["2016","9","1"]]},"page":"165-176","publisher":"Elsevier Advanced Technology","title":"From old to new: Assessing cybersecurity risks for an evolving smart grid","type":"article-journal","volume":"62"},"uris":["http://www.mendeley.com/documents/?uuid=3ae1df07-7efe-3b2a-9e8c-7fdc32568205"]},{"id":"ITEM-4","itemData":{"DOI":"10.1016/J.CSI.2017.09.005","ISSN":"0920-5489","abstract":"Resilient information and communications technologies are a prerequisite for reliable operation of the smart grid. In recent years, many standards for the new form of electricity network have been proposed, which results in operators and other smart grid stakeholders having difficulties in finding the documents which can be related to their particular problems. The purpose of this paper is to bring in all smart grid standards that describe cybersecurity issues and to provide the information regarding their contents. In order to achieve this goal, a systematic study was conducted that led to the identification of thirty six publications on security and eleven on privacy. The details of the research method and the standards’ selection and evaluation criteria are presented.","author":[{"dropping-particle":"","family":"Leszczyna","given":"Rafał","non-dropping-particle":"","parse-names":false,"suffix":""}],"container-title":"Computer Standards &amp; Interfaces","id":"ITEM-4","issued":{"date-parts":[["2018","2","1"]]},"page":"62-73","publisher":"North-Holland","title":"Cybersecurity and privacy in standards for smart grids – A comprehensive survey","type":"article-journal","volume":"56"},"uris":["http://www.mendeley.com/documents/?uuid=be6a50b3-30bb-3434-b5e9-d4ec85e5b0db"]},{"id":"ITEM-5","itemData":{"DOI":"10.1109/ISGTEUROPE.2014.7028834","ISBN":"9781479977208","abstract":"The complexity of today's power systems is continuously increasing due to the paradigm shift towards Smart Grids. This leads to a large number of use cases that need to be covered by holistic future energy systems of which power grids are just one subsystem. However, providing information about those use cases in a structured way in order to obtain a common basis for information exchange has often not been considered in the past. Covering this gap has led to the development of use case templates in the IEC and the Smart Grid Architecture Model in the EU Mandate M/490. Furthermore, regarding the usability of these two approaches, the SGAM Toolbox and the Use Case Management Repository have been developed as appropriate tool support. In this paper, a third component for visual analysis purposes is introduced. The overall goal of the approach proposed in this paper is to integrate these three components into a comprehensive toolchain that supports the whole process from use case development to visualization in compliance to the findings of EU Mandate M/490.","author":[{"dropping-particle":"","family":"Neureiter","given":"Christian","non-dropping-particle":"","parse-names":false,"suffix":""},{"dropping-particle":"","family":"Engel","given":"Dominik","non-dropping-particle":"","parse-names":false,"suffix":""},{"dropping-particle":"","family":"Trefke","given":"Jorn","non-dropping-particle":"","parse-names":false,"suffix":""},{"dropping-particle":"","family":"Santodomingo","given":"Rafael","non-dropping-particle":"","parse-names":false,"suffix":""},{"dropping-particle":"","family":"Rohjans","given":"Sebastian","non-dropping-particle":"","parse-names":false,"suffix":""},{"dropping-particle":"","family":"Uslar","given":"Mathias","non-dropping-particle":"","parse-names":false,"suffix":""}],"container-title":"IEEE PES Innovative Smart Grid Technologies Conference Europe","id":"ITEM-5","issue":"January","issued":{"date-parts":[["2015","1","30"]]},"publisher":"IEEE Computer Society","title":"Towards consistent smart grid architecture tool support: From use cases to visualization","type":"article-journal","volume":"2015-January"},"uris":["http://www.mendeley.com/documents/?uuid=a23acfff-4d3d-3f7f-8132-ad04ac3abd3c"]}],"mendeley":{"formattedCitation":"[23,199–202]","plainTextFormattedCitation":"[23,199–202]","previouslyFormattedCitation":"[23,199–202]"},"properties":{"noteIndex":0},"schema":"https://github.com/citation-style-language/schema/raw/master/csl-citation.json"}</w:instrText>
      </w:r>
      <w:r w:rsidR="008473C5" w:rsidRPr="003676D3">
        <w:rPr>
          <w:rFonts w:ascii="Times New Roman" w:hAnsi="Times New Roman" w:cs="Times New Roman"/>
          <w:sz w:val="24"/>
          <w:szCs w:val="24"/>
        </w:rPr>
        <w:fldChar w:fldCharType="separate"/>
      </w:r>
      <w:r w:rsidR="00C312C2" w:rsidRPr="003676D3">
        <w:rPr>
          <w:rFonts w:ascii="Times New Roman" w:hAnsi="Times New Roman" w:cs="Times New Roman"/>
          <w:noProof/>
          <w:sz w:val="24"/>
          <w:szCs w:val="24"/>
        </w:rPr>
        <w:t>[23,199–202]</w:t>
      </w:r>
      <w:r w:rsidR="008473C5" w:rsidRPr="003676D3">
        <w:rPr>
          <w:rFonts w:ascii="Times New Roman" w:hAnsi="Times New Roman" w:cs="Times New Roman"/>
          <w:sz w:val="24"/>
          <w:szCs w:val="24"/>
        </w:rPr>
        <w:fldChar w:fldCharType="end"/>
      </w:r>
      <w:r w:rsidRPr="003676D3">
        <w:rPr>
          <w:rFonts w:ascii="Times New Roman" w:hAnsi="Times New Roman" w:cs="Times New Roman"/>
          <w:sz w:val="24"/>
          <w:szCs w:val="24"/>
        </w:rPr>
        <w:t>.</w:t>
      </w:r>
    </w:p>
    <w:p w14:paraId="3A731CA8" w14:textId="6B056B67" w:rsidR="004F4B0D" w:rsidRPr="003676D3" w:rsidRDefault="006F37A0"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lastRenderedPageBreak/>
        <w:t xml:space="preserve">SSGs are prone to cyber-physical attacks. </w:t>
      </w:r>
      <w:r w:rsidR="004F4B0D" w:rsidRPr="003676D3">
        <w:rPr>
          <w:rFonts w:ascii="Times New Roman" w:hAnsi="Times New Roman" w:cs="Times New Roman"/>
          <w:sz w:val="24"/>
          <w:szCs w:val="24"/>
        </w:rPr>
        <w:t xml:space="preserve">The study </w:t>
      </w:r>
      <w:r w:rsidR="004B1918" w:rsidRPr="003676D3">
        <w:rPr>
          <w:rFonts w:ascii="Times New Roman" w:hAnsi="Times New Roman" w:cs="Times New Roman"/>
          <w:sz w:val="24"/>
          <w:szCs w:val="24"/>
        </w:rPr>
        <w:t>delineates</w:t>
      </w:r>
      <w:r w:rsidR="004F4B0D" w:rsidRPr="003676D3">
        <w:rPr>
          <w:rFonts w:ascii="Times New Roman" w:hAnsi="Times New Roman" w:cs="Times New Roman"/>
          <w:sz w:val="24"/>
          <w:szCs w:val="24"/>
        </w:rPr>
        <w:t xml:space="preserve"> three key security levels for smart grids: </w:t>
      </w:r>
      <w:r w:rsidR="00624232" w:rsidRPr="003676D3">
        <w:rPr>
          <w:rFonts w:ascii="Times New Roman" w:hAnsi="Times New Roman" w:cs="Times New Roman"/>
          <w:sz w:val="24"/>
          <w:szCs w:val="24"/>
        </w:rPr>
        <w:t xml:space="preserve">confidentiality, </w:t>
      </w:r>
      <w:r w:rsidR="004F4B0D" w:rsidRPr="003676D3">
        <w:rPr>
          <w:rFonts w:ascii="Times New Roman" w:hAnsi="Times New Roman" w:cs="Times New Roman"/>
          <w:sz w:val="24"/>
          <w:szCs w:val="24"/>
        </w:rPr>
        <w:t>availabi</w:t>
      </w:r>
      <w:r w:rsidR="00624232" w:rsidRPr="003676D3">
        <w:rPr>
          <w:rFonts w:ascii="Times New Roman" w:hAnsi="Times New Roman" w:cs="Times New Roman"/>
          <w:sz w:val="24"/>
          <w:szCs w:val="24"/>
        </w:rPr>
        <w:t>lity and integrity</w:t>
      </w:r>
      <w:r w:rsidR="004F4B0D" w:rsidRPr="003676D3">
        <w:rPr>
          <w:rFonts w:ascii="Times New Roman" w:hAnsi="Times New Roman" w:cs="Times New Roman"/>
          <w:sz w:val="24"/>
          <w:szCs w:val="24"/>
        </w:rPr>
        <w:t>. Various attack classification strategies have been explored, elucidating their impacts across different communication layers such as the physical, MAC, network, transport, and application layers. Detailed examinations of cyber-attacks on data integrity and confidentiality are also provided in</w:t>
      </w:r>
      <w:r w:rsidR="008473C5" w:rsidRPr="003676D3">
        <w:rPr>
          <w:rFonts w:ascii="Times New Roman" w:hAnsi="Times New Roman" w:cs="Times New Roman"/>
          <w:sz w:val="24"/>
          <w:szCs w:val="24"/>
        </w:rPr>
        <w:t xml:space="preserve"> </w:t>
      </w:r>
      <w:r w:rsidR="008473C5" w:rsidRPr="003676D3">
        <w:rPr>
          <w:rFonts w:ascii="Times New Roman" w:hAnsi="Times New Roman" w:cs="Times New Roman"/>
          <w:sz w:val="24"/>
          <w:szCs w:val="24"/>
        </w:rPr>
        <w:fldChar w:fldCharType="begin" w:fldLock="1"/>
      </w:r>
      <w:r w:rsidR="00C312C2" w:rsidRPr="003676D3">
        <w:rPr>
          <w:rFonts w:ascii="Times New Roman" w:hAnsi="Times New Roman" w:cs="Times New Roman"/>
          <w:sz w:val="24"/>
          <w:szCs w:val="24"/>
        </w:rPr>
        <w:instrText>ADDIN CSL_CITATION {"citationItems":[{"id":"ITEM-1","itemData":{"DOI":"10.1016/J.COMPELECENG.2018.01.015","ISSN":"00457906","abstract":"Abstract Smart grid uses the power of information technology to intelligently deliver energy by using a two-way communication and wisely meet the environmental requirements by facilitating the integration of green technologies. The inherent weakness of communication technology has exposed the system to numerous security threats. Several survey papers have discussed these problems and their countermeasures. However, most of these papers classified attacks based on confidentiality, integrity, and availability, but they excluded the accountability. In addition, the existing countermeasures focus on countering some specific attacks or protecting some specific components, but there is no global approach to secure the entire system. In this paper, we review the security requirements, provide descriptions of several severe cyber-attacks, and propose a cyber-security strategy to detect and counter these attacks. Lastly, we provide some future research directions.","author":[{"dropping-particle":"El","family":"Mrabet","given":"Zakaria","non-dropping-particle":"","parse-names":false,"suffix":""},{"dropping-particle":"","family":"Kaabouch","given":"Naima","non-dropping-particle":"","parse-names":false,"suffix":""},{"dropping-particle":"El","family":"Ghazi","given":"Hassan","non-dropping-particle":"","parse-names":false,"suffix":""},{"dropping-particle":"El","family":"Ghazi","given":"Hamid","non-dropping-particle":"","parse-names":false,"suffix":""}],"container-title":"ArXiv","id":"ITEM-1","issued":{"date-parts":[["2018","4","1"]]},"page":"469-482","publisher":"Elsevier Ltd","title":"Cyber-security in smart grid: Survey and challenges","type":"article-journal","volume":"abs/1809.02609"},"uris":["http://www.mendeley.com/documents/?uuid=093a36a8-d8f5-3a92-9cb9-edd30a43859b"]},{"id":"ITEM-2","itemData":{"DOI":"10.1016/J.COMNET.2012.12.017","ISSN":"1389-1286","abstract":"The Smart Grid, generally referred to as the next-generation power system, is considered as a revolutionary and evolutionary regime of existing power grids. More importantly, with the integration of advanced computing and communication technologies, the Smart Grid is expected to greatly enhance efficiency and reliability of future power systems with renewable energy resources, as well as distributed intelligence and demand response. Along with the silent features of the Smart Grid, cyber security emerges to be a critical issue because millions of electronic devices are inter-connected via communication networks throughout critical power facilities, which has an immediate impact on reliability of such a widespread infrastructure. In this paper, we present a comprehensive survey of cyber security issues for the Smart Grid. Specifically, we focus on reviewing and discussing security requirements, network vulnerabilities, attack countermeasures, secure communication protocols and architectures in the Smart Grid. We aim to provide a deep understanding of security vulnerabilities and solutions in the Smart Grid and shed light on future research directions for Smart Grid security. © 2012 Elsevier B.V. All rights reserved.","author":[{"dropping-particle":"","family":"Wang","given":"Wenye","non-dropping-particle":"","parse-names":false,"suffix":""},{"dropping-particle":"","family":"Lu","given":"Zhuo","non-dropping-particle":"","parse-names":false,"suffix":""}],"container-title":"Computer Networks","id":"ITEM-2","issue":"5","issued":{"date-parts":[["2013","4","7"]]},"page":"1344-1371","publisher":"Elsevier","title":"Cyber security in the Smart Grid: Survey and challenges","type":"article-journal","volume":"57"},"uris":["http://www.mendeley.com/documents/?uuid=90832a88-2b9e-3622-9bae-360255638b44"]}],"mendeley":{"formattedCitation":"[48,203]","plainTextFormattedCitation":"[48,203]","previouslyFormattedCitation":"[48,203]"},"properties":{"noteIndex":0},"schema":"https://github.com/citation-style-language/schema/raw/master/csl-citation.json"}</w:instrText>
      </w:r>
      <w:r w:rsidR="008473C5" w:rsidRPr="003676D3">
        <w:rPr>
          <w:rFonts w:ascii="Times New Roman" w:hAnsi="Times New Roman" w:cs="Times New Roman"/>
          <w:sz w:val="24"/>
          <w:szCs w:val="24"/>
        </w:rPr>
        <w:fldChar w:fldCharType="separate"/>
      </w:r>
      <w:r w:rsidR="00C312C2" w:rsidRPr="003676D3">
        <w:rPr>
          <w:rFonts w:ascii="Times New Roman" w:hAnsi="Times New Roman" w:cs="Times New Roman"/>
          <w:noProof/>
          <w:sz w:val="24"/>
          <w:szCs w:val="24"/>
        </w:rPr>
        <w:t>[48,203]</w:t>
      </w:r>
      <w:r w:rsidR="008473C5" w:rsidRPr="003676D3">
        <w:rPr>
          <w:rFonts w:ascii="Times New Roman" w:hAnsi="Times New Roman" w:cs="Times New Roman"/>
          <w:sz w:val="24"/>
          <w:szCs w:val="24"/>
        </w:rPr>
        <w:fldChar w:fldCharType="end"/>
      </w:r>
      <w:r w:rsidR="004F4B0D" w:rsidRPr="003676D3">
        <w:rPr>
          <w:rFonts w:ascii="Times New Roman" w:hAnsi="Times New Roman" w:cs="Times New Roman"/>
          <w:sz w:val="24"/>
          <w:szCs w:val="24"/>
        </w:rPr>
        <w:t>.</w:t>
      </w:r>
    </w:p>
    <w:p w14:paraId="167AA3C1" w14:textId="6F6C2C41" w:rsidR="00CC49AF" w:rsidRPr="003676D3" w:rsidRDefault="004F4B0D"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Security mechanisms outlined in </w:t>
      </w:r>
      <w:r w:rsidR="008473C5" w:rsidRPr="003676D3">
        <w:rPr>
          <w:rFonts w:ascii="Times New Roman" w:hAnsi="Times New Roman" w:cs="Times New Roman"/>
          <w:sz w:val="24"/>
          <w:szCs w:val="24"/>
        </w:rPr>
        <w:fldChar w:fldCharType="begin" w:fldLock="1"/>
      </w:r>
      <w:r w:rsidR="00C312C2" w:rsidRPr="003676D3">
        <w:rPr>
          <w:rFonts w:ascii="Times New Roman" w:hAnsi="Times New Roman" w:cs="Times New Roman"/>
          <w:sz w:val="24"/>
          <w:szCs w:val="24"/>
        </w:rPr>
        <w:instrText>ADDIN CSL_CITATION {"citationItems":[{"id":"ITEM-1","itemData":{"DOI":"10.1109/TSG.2011.2163829","ISSN":"19493053","abstract":"The smart grid's heavy reliance on cyber resources introduces numerous security concerns. The substantial attack surface presented by the advanced metering infrastructure (AMI) along with the dissemination of sensitive data including privacy, billing, and control information will provide attackers with significant economic incentive. In addition, the scale and complexity of the architecture will stress the capabilities of many security controls such as public key encryption (PKI), authentication, and access control. The aforementioned concerns produce a requirement for increased risk management including security models that have the capability to scale to such a complex environment. A security model is introduced to represent various privilege states in a large architecture and evaluates viable paths that an attacker could exploit. The resulting model is used to produce a quantitative information-based exposure metric to evaluate the completeness of implemented security mechanisms. Various applications are proposed to show how the metric can enhance current risk management processes by identifying information dependencies of the deployed security mechanisms. Finally, the applicability of the proposed methodologies has been evaluated through a simulation study using realistic AMI infrastructure to demonstrate the utility of the proposed metric. © 2011 IEEE.","author":[{"dropping-particle":"","family":"Hahn","given":"Adam","non-dropping-particle":"","parse-names":false,"suffix":""},{"dropping-particle":"","family":"Govindarasu","given":"Manimaran","non-dropping-particle":"","parse-names":false,"suffix":""}],"container-title":"IEEE Transactions on Smart Grid","id":"ITEM-1","issue":"4","issued":{"date-parts":[["2011","12"]]},"page":"835-843","title":"Cyber attack exposure evaluation framework for the smart grid","type":"article-journal","volume":"2"},"uris":["http://www.mendeley.com/documents/?uuid=f92f1612-b2d6-3fa9-8efc-5dacff6ad707"]}],"mendeley":{"formattedCitation":"[204]","plainTextFormattedCitation":"[204]","previouslyFormattedCitation":"[204]"},"properties":{"noteIndex":0},"schema":"https://github.com/citation-style-language/schema/raw/master/csl-citation.json"}</w:instrText>
      </w:r>
      <w:r w:rsidR="008473C5" w:rsidRPr="003676D3">
        <w:rPr>
          <w:rFonts w:ascii="Times New Roman" w:hAnsi="Times New Roman" w:cs="Times New Roman"/>
          <w:sz w:val="24"/>
          <w:szCs w:val="24"/>
        </w:rPr>
        <w:fldChar w:fldCharType="separate"/>
      </w:r>
      <w:r w:rsidR="00C312C2" w:rsidRPr="003676D3">
        <w:rPr>
          <w:rFonts w:ascii="Times New Roman" w:hAnsi="Times New Roman" w:cs="Times New Roman"/>
          <w:noProof/>
          <w:sz w:val="24"/>
          <w:szCs w:val="24"/>
        </w:rPr>
        <w:t>[204]</w:t>
      </w:r>
      <w:r w:rsidR="008473C5" w:rsidRPr="003676D3">
        <w:rPr>
          <w:rFonts w:ascii="Times New Roman" w:hAnsi="Times New Roman" w:cs="Times New Roman"/>
          <w:sz w:val="24"/>
          <w:szCs w:val="24"/>
        </w:rPr>
        <w:fldChar w:fldCharType="end"/>
      </w:r>
      <w:r w:rsidR="00540A3F" w:rsidRPr="003676D3">
        <w:rPr>
          <w:rFonts w:ascii="Times New Roman" w:hAnsi="Times New Roman" w:cs="Times New Roman"/>
          <w:sz w:val="24"/>
          <w:szCs w:val="24"/>
        </w:rPr>
        <w:t xml:space="preserve"> </w:t>
      </w:r>
      <w:r w:rsidRPr="003676D3">
        <w:rPr>
          <w:rFonts w:ascii="Times New Roman" w:hAnsi="Times New Roman" w:cs="Times New Roman"/>
          <w:sz w:val="24"/>
          <w:szCs w:val="24"/>
        </w:rPr>
        <w:t>offer protection for numerous informati</w:t>
      </w:r>
      <w:r w:rsidR="00277732" w:rsidRPr="003676D3">
        <w:rPr>
          <w:rFonts w:ascii="Times New Roman" w:hAnsi="Times New Roman" w:cs="Times New Roman"/>
          <w:sz w:val="24"/>
          <w:szCs w:val="24"/>
        </w:rPr>
        <w:t>on objects within the SG</w:t>
      </w:r>
      <w:r w:rsidRPr="003676D3">
        <w:rPr>
          <w:rFonts w:ascii="Times New Roman" w:hAnsi="Times New Roman" w:cs="Times New Roman"/>
          <w:sz w:val="24"/>
          <w:szCs w:val="24"/>
        </w:rPr>
        <w:t>. Vulnerabilities of these objects are simulated, demonstrating their effects using defined performance metrics. Additionally, the framework for sensors and actuators</w:t>
      </w:r>
      <w:r w:rsidR="0090025B" w:rsidRPr="003676D3">
        <w:rPr>
          <w:rFonts w:ascii="Times New Roman" w:hAnsi="Times New Roman" w:cs="Times New Roman"/>
          <w:sz w:val="24"/>
          <w:szCs w:val="24"/>
        </w:rPr>
        <w:t xml:space="preserve"> necessary</w:t>
      </w:r>
      <w:r w:rsidRPr="003676D3">
        <w:rPr>
          <w:rFonts w:ascii="Times New Roman" w:hAnsi="Times New Roman" w:cs="Times New Roman"/>
          <w:sz w:val="24"/>
          <w:szCs w:val="24"/>
        </w:rPr>
        <w:t xml:space="preserve"> for Industry 4.0 services and management, is discussed in </w:t>
      </w:r>
      <w:r w:rsidR="008473C5" w:rsidRPr="003676D3">
        <w:rPr>
          <w:rFonts w:ascii="Times New Roman" w:hAnsi="Times New Roman" w:cs="Times New Roman"/>
          <w:sz w:val="24"/>
          <w:szCs w:val="24"/>
        </w:rPr>
        <w:fldChar w:fldCharType="begin" w:fldLock="1"/>
      </w:r>
      <w:r w:rsidR="00C312C2" w:rsidRPr="003676D3">
        <w:rPr>
          <w:rFonts w:ascii="Times New Roman" w:hAnsi="Times New Roman" w:cs="Times New Roman"/>
          <w:sz w:val="24"/>
          <w:szCs w:val="24"/>
        </w:rPr>
        <w:instrText>ADDIN CSL_CITATION {"citationItems":[{"id":"ITEM-1","itemData":{"DOI":"10.1016/J.ENBUILD.2017.02.039","ISSN":"0378-7788","abstract":"For an industry 4.0 environment, the management and offering of services, falls over the construction of a stable and reliable sensor and actuator infrastructure. Industry 4.0 is undergoing increase advancement, infrastructure availability and public acceptance, mainly boosted by the Interconnected Things. The public acceptance drives an increase on investments, carrying an insurgence of companies competing with each other to gain market. Although lessening costs, this insurgence has brought heterogeneous infrastructures and solutions availability, challenging services providers. Among the challenges the security and different technology solutions support are of the most importance. The scattering of solutions and software code have to be conveniently gathered to avoid weak-points, eventually, a menace to be explored by hackers. This paper is a contribution in order to embraces those challenges in a new architecture framework able of supporting the creation of solutions for Smart Grid and Smart Living services providers under the industry 4.0 paradigm. The architecture framework design offers security, simplicity of implementation and maintenance, and is resilient to failures or attacks and technologically independent. Field tests are reported in order to evaluate key aspects of the proposed architecture.","author":[{"dropping-particle":"","family":"Batista","given":"N. C.","non-dropping-particle":"","parse-names":false,"suffix":""},{"dropping-particle":"","family":"Melício","given":"R.","non-dropping-particle":"","parse-names":false,"suffix":""},{"dropping-particle":"","family":"Mendes","given":"V. M.F.","non-dropping-particle":"","parse-names":false,"suffix":""}],"container-title":"Energy and Buildings","id":"ITEM-1","issued":{"date-parts":[["2017","4","15"]]},"page":"16-27","publisher":"Elsevier","title":"Services enabler architecture for smart grid and smart living services providers under industry 4.0","type":"article-journal","volume":"141"},"uris":["http://www.mendeley.com/documents/?uuid=290d2a7f-8b52-356e-b476-179862ca5088"]}],"mendeley":{"formattedCitation":"[205]","plainTextFormattedCitation":"[205]","previouslyFormattedCitation":"[205]"},"properties":{"noteIndex":0},"schema":"https://github.com/citation-style-language/schema/raw/master/csl-citation.json"}</w:instrText>
      </w:r>
      <w:r w:rsidR="008473C5" w:rsidRPr="003676D3">
        <w:rPr>
          <w:rFonts w:ascii="Times New Roman" w:hAnsi="Times New Roman" w:cs="Times New Roman"/>
          <w:sz w:val="24"/>
          <w:szCs w:val="24"/>
        </w:rPr>
        <w:fldChar w:fldCharType="separate"/>
      </w:r>
      <w:r w:rsidR="00C312C2" w:rsidRPr="003676D3">
        <w:rPr>
          <w:rFonts w:ascii="Times New Roman" w:hAnsi="Times New Roman" w:cs="Times New Roman"/>
          <w:noProof/>
          <w:sz w:val="24"/>
          <w:szCs w:val="24"/>
        </w:rPr>
        <w:t>[205]</w:t>
      </w:r>
      <w:r w:rsidR="008473C5" w:rsidRPr="003676D3">
        <w:rPr>
          <w:rFonts w:ascii="Times New Roman" w:hAnsi="Times New Roman" w:cs="Times New Roman"/>
          <w:sz w:val="24"/>
          <w:szCs w:val="24"/>
        </w:rPr>
        <w:fldChar w:fldCharType="end"/>
      </w:r>
      <w:r w:rsidR="0067737A" w:rsidRPr="003676D3">
        <w:rPr>
          <w:rFonts w:ascii="Times New Roman" w:hAnsi="Times New Roman" w:cs="Times New Roman"/>
          <w:sz w:val="24"/>
          <w:szCs w:val="24"/>
        </w:rPr>
        <w:t xml:space="preserve"> that could </w:t>
      </w:r>
      <w:r w:rsidRPr="003676D3">
        <w:rPr>
          <w:rFonts w:ascii="Times New Roman" w:hAnsi="Times New Roman" w:cs="Times New Roman"/>
          <w:sz w:val="24"/>
          <w:szCs w:val="24"/>
        </w:rPr>
        <w:t>enhanc</w:t>
      </w:r>
      <w:r w:rsidR="0067737A" w:rsidRPr="003676D3">
        <w:rPr>
          <w:rFonts w:ascii="Times New Roman" w:hAnsi="Times New Roman" w:cs="Times New Roman"/>
          <w:sz w:val="24"/>
          <w:szCs w:val="24"/>
        </w:rPr>
        <w:t>e</w:t>
      </w:r>
      <w:r w:rsidRPr="003676D3">
        <w:rPr>
          <w:rFonts w:ascii="Times New Roman" w:hAnsi="Times New Roman" w:cs="Times New Roman"/>
          <w:sz w:val="24"/>
          <w:szCs w:val="24"/>
        </w:rPr>
        <w:t xml:space="preserve"> system robustness and reliability.</w:t>
      </w:r>
      <w:r w:rsidR="00540A3F" w:rsidRPr="003676D3">
        <w:rPr>
          <w:rFonts w:ascii="Times New Roman" w:hAnsi="Times New Roman" w:cs="Times New Roman"/>
          <w:sz w:val="24"/>
          <w:szCs w:val="24"/>
        </w:rPr>
        <w:t xml:space="preserve"> </w:t>
      </w:r>
    </w:p>
    <w:p w14:paraId="67E36841" w14:textId="05D14ECF" w:rsidR="004F4B0D" w:rsidRPr="003676D3" w:rsidRDefault="001D24E5"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On the generation side, the c</w:t>
      </w:r>
      <w:r w:rsidR="004F4B0D" w:rsidRPr="003676D3">
        <w:rPr>
          <w:rFonts w:ascii="Times New Roman" w:hAnsi="Times New Roman" w:cs="Times New Roman"/>
          <w:sz w:val="24"/>
          <w:szCs w:val="24"/>
        </w:rPr>
        <w:t>yber-attacks</w:t>
      </w:r>
      <w:r w:rsidR="00277732" w:rsidRPr="003676D3">
        <w:rPr>
          <w:rFonts w:ascii="Times New Roman" w:hAnsi="Times New Roman" w:cs="Times New Roman"/>
          <w:sz w:val="24"/>
          <w:szCs w:val="24"/>
        </w:rPr>
        <w:t xml:space="preserve"> can </w:t>
      </w:r>
      <w:r w:rsidR="000F72A6" w:rsidRPr="003676D3">
        <w:rPr>
          <w:rFonts w:ascii="Times New Roman" w:hAnsi="Times New Roman" w:cs="Times New Roman"/>
          <w:sz w:val="24"/>
          <w:szCs w:val="24"/>
        </w:rPr>
        <w:t>disturb</w:t>
      </w:r>
      <w:r w:rsidR="00277732" w:rsidRPr="003676D3">
        <w:rPr>
          <w:rFonts w:ascii="Times New Roman" w:hAnsi="Times New Roman" w:cs="Times New Roman"/>
          <w:sz w:val="24"/>
          <w:szCs w:val="24"/>
        </w:rPr>
        <w:t xml:space="preserve"> </w:t>
      </w:r>
      <w:r w:rsidR="004F4B0D" w:rsidRPr="003676D3">
        <w:rPr>
          <w:rFonts w:ascii="Times New Roman" w:hAnsi="Times New Roman" w:cs="Times New Roman"/>
          <w:sz w:val="24"/>
          <w:szCs w:val="24"/>
        </w:rPr>
        <w:t>automatic voltage regulator (AVR) set-points</w:t>
      </w:r>
      <w:r w:rsidR="000F72A6" w:rsidRPr="003676D3">
        <w:rPr>
          <w:rFonts w:ascii="Times New Roman" w:hAnsi="Times New Roman" w:cs="Times New Roman"/>
          <w:sz w:val="24"/>
          <w:szCs w:val="24"/>
        </w:rPr>
        <w:t xml:space="preserve"> </w:t>
      </w:r>
      <w:r w:rsidR="00277732" w:rsidRPr="003676D3">
        <w:rPr>
          <w:rFonts w:ascii="Times New Roman" w:hAnsi="Times New Roman" w:cs="Times New Roman"/>
          <w:sz w:val="24"/>
          <w:szCs w:val="24"/>
        </w:rPr>
        <w:t>and governor settings</w:t>
      </w:r>
      <w:r w:rsidR="000F72A6" w:rsidRPr="003676D3">
        <w:rPr>
          <w:rFonts w:ascii="Times New Roman" w:hAnsi="Times New Roman" w:cs="Times New Roman"/>
          <w:sz w:val="24"/>
          <w:szCs w:val="24"/>
        </w:rPr>
        <w:t xml:space="preserve">. This could </w:t>
      </w:r>
      <w:r w:rsidR="005418F0" w:rsidRPr="003676D3">
        <w:rPr>
          <w:rFonts w:ascii="Times New Roman" w:hAnsi="Times New Roman" w:cs="Times New Roman"/>
          <w:sz w:val="24"/>
          <w:szCs w:val="24"/>
        </w:rPr>
        <w:t>cause</w:t>
      </w:r>
      <w:r w:rsidR="008D411B" w:rsidRPr="003676D3">
        <w:rPr>
          <w:rFonts w:ascii="Times New Roman" w:hAnsi="Times New Roman" w:cs="Times New Roman"/>
          <w:sz w:val="24"/>
          <w:szCs w:val="24"/>
        </w:rPr>
        <w:t xml:space="preserve"> disruption in</w:t>
      </w:r>
      <w:r w:rsidR="000F72A6" w:rsidRPr="003676D3">
        <w:rPr>
          <w:rFonts w:ascii="Times New Roman" w:hAnsi="Times New Roman" w:cs="Times New Roman"/>
          <w:sz w:val="24"/>
          <w:szCs w:val="24"/>
        </w:rPr>
        <w:t xml:space="preserve"> the</w:t>
      </w:r>
      <w:r w:rsidR="004F4B0D" w:rsidRPr="003676D3">
        <w:rPr>
          <w:rFonts w:ascii="Times New Roman" w:hAnsi="Times New Roman" w:cs="Times New Roman"/>
          <w:sz w:val="24"/>
          <w:szCs w:val="24"/>
        </w:rPr>
        <w:t xml:space="preserve"> </w:t>
      </w:r>
      <w:r w:rsidR="00247091" w:rsidRPr="003676D3">
        <w:rPr>
          <w:rFonts w:ascii="Times New Roman" w:hAnsi="Times New Roman" w:cs="Times New Roman"/>
          <w:sz w:val="24"/>
          <w:szCs w:val="24"/>
        </w:rPr>
        <w:t xml:space="preserve">system </w:t>
      </w:r>
      <w:r w:rsidR="004F4B0D" w:rsidRPr="003676D3">
        <w:rPr>
          <w:rFonts w:ascii="Times New Roman" w:hAnsi="Times New Roman" w:cs="Times New Roman"/>
          <w:sz w:val="24"/>
          <w:szCs w:val="24"/>
        </w:rPr>
        <w:t xml:space="preserve">frequency and active power control. </w:t>
      </w:r>
      <w:r w:rsidR="00247091" w:rsidRPr="003676D3">
        <w:rPr>
          <w:rFonts w:ascii="Times New Roman" w:hAnsi="Times New Roman" w:cs="Times New Roman"/>
          <w:sz w:val="24"/>
          <w:szCs w:val="24"/>
        </w:rPr>
        <w:t>Attacks on t</w:t>
      </w:r>
      <w:r w:rsidR="004F4B0D" w:rsidRPr="003676D3">
        <w:rPr>
          <w:rFonts w:ascii="Times New Roman" w:hAnsi="Times New Roman" w:cs="Times New Roman"/>
          <w:sz w:val="24"/>
          <w:szCs w:val="24"/>
        </w:rPr>
        <w:t>ransmission control can disrupt</w:t>
      </w:r>
      <w:r w:rsidR="00247091" w:rsidRPr="003676D3">
        <w:rPr>
          <w:rFonts w:ascii="Times New Roman" w:hAnsi="Times New Roman" w:cs="Times New Roman"/>
          <w:sz w:val="24"/>
          <w:szCs w:val="24"/>
        </w:rPr>
        <w:t xml:space="preserve"> operation of</w:t>
      </w:r>
      <w:r w:rsidR="00624232" w:rsidRPr="003676D3">
        <w:rPr>
          <w:rFonts w:ascii="Times New Roman" w:hAnsi="Times New Roman" w:cs="Times New Roman"/>
          <w:sz w:val="24"/>
          <w:szCs w:val="24"/>
        </w:rPr>
        <w:t xml:space="preserve"> FACTS device</w:t>
      </w:r>
      <w:r w:rsidR="008D411B" w:rsidRPr="003676D3">
        <w:rPr>
          <w:rFonts w:ascii="Times New Roman" w:hAnsi="Times New Roman" w:cs="Times New Roman"/>
          <w:sz w:val="24"/>
          <w:szCs w:val="24"/>
        </w:rPr>
        <w:t xml:space="preserve">. These operations include </w:t>
      </w:r>
      <w:r w:rsidR="00624232" w:rsidRPr="003676D3">
        <w:rPr>
          <w:rFonts w:ascii="Times New Roman" w:hAnsi="Times New Roman" w:cs="Times New Roman"/>
          <w:sz w:val="24"/>
          <w:szCs w:val="24"/>
        </w:rPr>
        <w:t xml:space="preserve">state estimation algorithms, </w:t>
      </w:r>
      <w:r w:rsidR="004F4B0D" w:rsidRPr="003676D3">
        <w:rPr>
          <w:rFonts w:ascii="Times New Roman" w:hAnsi="Times New Roman" w:cs="Times New Roman"/>
          <w:sz w:val="24"/>
          <w:szCs w:val="24"/>
        </w:rPr>
        <w:t xml:space="preserve">and wide area monitoring systems (WAMS). Similarly, attacks on distribution </w:t>
      </w:r>
      <w:r w:rsidR="00B53658" w:rsidRPr="003676D3">
        <w:rPr>
          <w:rFonts w:ascii="Times New Roman" w:hAnsi="Times New Roman" w:cs="Times New Roman"/>
          <w:sz w:val="24"/>
          <w:szCs w:val="24"/>
        </w:rPr>
        <w:t xml:space="preserve">side </w:t>
      </w:r>
      <w:r w:rsidR="004F4B0D" w:rsidRPr="003676D3">
        <w:rPr>
          <w:rFonts w:ascii="Times New Roman" w:hAnsi="Times New Roman" w:cs="Times New Roman"/>
          <w:sz w:val="24"/>
          <w:szCs w:val="24"/>
        </w:rPr>
        <w:t>can</w:t>
      </w:r>
      <w:r w:rsidR="00624232" w:rsidRPr="003676D3">
        <w:rPr>
          <w:rFonts w:ascii="Times New Roman" w:hAnsi="Times New Roman" w:cs="Times New Roman"/>
          <w:sz w:val="24"/>
          <w:szCs w:val="24"/>
        </w:rPr>
        <w:t xml:space="preserve"> </w:t>
      </w:r>
      <w:r w:rsidR="00B53658" w:rsidRPr="003676D3">
        <w:rPr>
          <w:rFonts w:ascii="Times New Roman" w:hAnsi="Times New Roman" w:cs="Times New Roman"/>
          <w:sz w:val="24"/>
          <w:szCs w:val="24"/>
        </w:rPr>
        <w:t>cause</w:t>
      </w:r>
      <w:r w:rsidR="00624232" w:rsidRPr="003676D3">
        <w:rPr>
          <w:rFonts w:ascii="Times New Roman" w:hAnsi="Times New Roman" w:cs="Times New Roman"/>
          <w:sz w:val="24"/>
          <w:szCs w:val="24"/>
        </w:rPr>
        <w:t xml:space="preserve"> load shedding and demand side management</w:t>
      </w:r>
      <w:r w:rsidR="004F4B0D" w:rsidRPr="003676D3">
        <w:rPr>
          <w:rFonts w:ascii="Times New Roman" w:hAnsi="Times New Roman" w:cs="Times New Roman"/>
          <w:sz w:val="24"/>
          <w:szCs w:val="24"/>
        </w:rPr>
        <w:t xml:space="preserve"> strategies. Once these effects are understood, supporting methodologies are implemented to detect and mitigate cyber-attacks.</w:t>
      </w:r>
      <w:r w:rsidR="00540A3F" w:rsidRPr="003676D3">
        <w:rPr>
          <w:rFonts w:ascii="Times New Roman" w:hAnsi="Times New Roman" w:cs="Times New Roman"/>
          <w:sz w:val="24"/>
          <w:szCs w:val="24"/>
        </w:rPr>
        <w:t xml:space="preserve"> </w:t>
      </w:r>
      <w:r w:rsidR="004F4B0D" w:rsidRPr="003676D3">
        <w:rPr>
          <w:rFonts w:ascii="Times New Roman" w:hAnsi="Times New Roman" w:cs="Times New Roman"/>
          <w:sz w:val="24"/>
          <w:szCs w:val="24"/>
        </w:rPr>
        <w:t xml:space="preserve">Emerging research challenges in smart grid cybersecurity, as discussed in </w:t>
      </w:r>
      <w:r w:rsidR="008473C5" w:rsidRPr="003676D3">
        <w:rPr>
          <w:rFonts w:ascii="Times New Roman" w:hAnsi="Times New Roman" w:cs="Times New Roman"/>
          <w:sz w:val="24"/>
          <w:szCs w:val="24"/>
        </w:rPr>
        <w:fldChar w:fldCharType="begin" w:fldLock="1"/>
      </w:r>
      <w:r w:rsidR="00C312C2" w:rsidRPr="003676D3">
        <w:rPr>
          <w:rFonts w:ascii="Times New Roman" w:hAnsi="Times New Roman" w:cs="Times New Roman"/>
          <w:sz w:val="24"/>
          <w:szCs w:val="24"/>
        </w:rPr>
        <w:instrText>ADDIN CSL_CITATION {"citationItems":[{"id":"ITEM-1","itemData":{"DOI":"10.1109/JPROC.2011.2165269","ISSN":"00189219","abstract":"The development of a trustworthy smart grid requires a deeper understanding of potential impacts resulting from successful cyber attacks. Estimating feasible attack impact requires an evaluation of the grid's dependency on its cyber infrastructure and its ability to tolerate potential failures. A further exploration of the cyber-physical relationships within the smart grid and a specific review of possible attack vectors is necessary to determine the adequacy of cybersecurity efforts. This paper highlights the significance of cyber infrastructure security in conjunction with power application security to prevent, mitigate, and tolerate cyber attacks. A layered approach is introduced to evaluating risk based on the security of both the physical power applications and the supporting cyber infrastructure. A classification is presented to highlight dependencies between the cyber-physical controls required to support the smart grid and the communication and computations that must be protected from cyber attack. The paper then presents current research efforts aimed at enhancing the smart grid's application and infrastructure security. Finally, current challenges are identified to facilitate future research efforts. © 2012 IEEE.","author":[{"dropping-particle":"","family":"Sridhar","given":"Siddharth","non-dropping-particle":"","parse-names":false,"suffix":""},{"dropping-particle":"","family":"Hahn","given":"Adam","non-dropping-particle":"","parse-names":false,"suffix":""},{"dropping-particle":"","family":"Govindarasu","given":"Manimaran","non-dropping-particle":"","parse-names":false,"suffix":""}],"container-title":"Proceedings of the IEEE","id":"ITEM-1","issue":"1","issued":{"date-parts":[["2012"]]},"page":"210-224","publisher":"Institute of Electrical and Electronics Engineers Inc.","title":"Cyber-physical system security for the electric power grid","type":"article-journal","volume":"100"},"uris":["http://www.mendeley.com/documents/?uuid=94da9292-a8a1-3afa-82c3-d7a487e0bc19"]}],"mendeley":{"formattedCitation":"[206]","plainTextFormattedCitation":"[206]","previouslyFormattedCitation":"[206]"},"properties":{"noteIndex":0},"schema":"https://github.com/citation-style-language/schema/raw/master/csl-citation.json"}</w:instrText>
      </w:r>
      <w:r w:rsidR="008473C5" w:rsidRPr="003676D3">
        <w:rPr>
          <w:rFonts w:ascii="Times New Roman" w:hAnsi="Times New Roman" w:cs="Times New Roman"/>
          <w:sz w:val="24"/>
          <w:szCs w:val="24"/>
        </w:rPr>
        <w:fldChar w:fldCharType="separate"/>
      </w:r>
      <w:r w:rsidR="00C312C2" w:rsidRPr="003676D3">
        <w:rPr>
          <w:rFonts w:ascii="Times New Roman" w:hAnsi="Times New Roman" w:cs="Times New Roman"/>
          <w:noProof/>
          <w:sz w:val="24"/>
          <w:szCs w:val="24"/>
        </w:rPr>
        <w:t>[206]</w:t>
      </w:r>
      <w:r w:rsidR="008473C5" w:rsidRPr="003676D3">
        <w:rPr>
          <w:rFonts w:ascii="Times New Roman" w:hAnsi="Times New Roman" w:cs="Times New Roman"/>
          <w:sz w:val="24"/>
          <w:szCs w:val="24"/>
        </w:rPr>
        <w:fldChar w:fldCharType="end"/>
      </w:r>
      <w:r w:rsidR="00540A3F" w:rsidRPr="003676D3">
        <w:rPr>
          <w:rFonts w:ascii="Times New Roman" w:hAnsi="Times New Roman" w:cs="Times New Roman"/>
          <w:sz w:val="24"/>
          <w:szCs w:val="24"/>
        </w:rPr>
        <w:t xml:space="preserve"> </w:t>
      </w:r>
      <w:r w:rsidR="004F4B0D" w:rsidRPr="003676D3">
        <w:rPr>
          <w:rFonts w:ascii="Times New Roman" w:hAnsi="Times New Roman" w:cs="Times New Roman"/>
          <w:sz w:val="24"/>
          <w:szCs w:val="24"/>
        </w:rPr>
        <w:t xml:space="preserve">encompass risk </w:t>
      </w:r>
      <w:r w:rsidR="008473C5" w:rsidRPr="003676D3">
        <w:rPr>
          <w:rFonts w:ascii="Times New Roman" w:hAnsi="Times New Roman" w:cs="Times New Roman"/>
          <w:sz w:val="24"/>
          <w:szCs w:val="24"/>
        </w:rPr>
        <w:t>modelling</w:t>
      </w:r>
      <w:r w:rsidR="004F4B0D" w:rsidRPr="003676D3">
        <w:rPr>
          <w:rFonts w:ascii="Times New Roman" w:hAnsi="Times New Roman" w:cs="Times New Roman"/>
          <w:sz w:val="24"/>
          <w:szCs w:val="24"/>
        </w:rPr>
        <w:t>, mitigation algorithms</w:t>
      </w:r>
      <w:r w:rsidR="00B53658" w:rsidRPr="003676D3">
        <w:rPr>
          <w:rFonts w:ascii="Times New Roman" w:hAnsi="Times New Roman" w:cs="Times New Roman"/>
          <w:sz w:val="24"/>
          <w:szCs w:val="24"/>
        </w:rPr>
        <w:t xml:space="preserve"> and </w:t>
      </w:r>
      <w:r w:rsidR="004F4B0D" w:rsidRPr="003676D3">
        <w:rPr>
          <w:rFonts w:ascii="Times New Roman" w:hAnsi="Times New Roman" w:cs="Times New Roman"/>
          <w:sz w:val="24"/>
          <w:szCs w:val="24"/>
        </w:rPr>
        <w:t xml:space="preserve">coordinated attack </w:t>
      </w:r>
      <w:r w:rsidR="008473C5" w:rsidRPr="003676D3">
        <w:rPr>
          <w:rFonts w:ascii="Times New Roman" w:hAnsi="Times New Roman" w:cs="Times New Roman"/>
          <w:sz w:val="24"/>
          <w:szCs w:val="24"/>
        </w:rPr>
        <w:t>defence</w:t>
      </w:r>
      <w:r w:rsidR="00B53658" w:rsidRPr="003676D3">
        <w:rPr>
          <w:rFonts w:ascii="Times New Roman" w:hAnsi="Times New Roman" w:cs="Times New Roman"/>
          <w:sz w:val="24"/>
          <w:szCs w:val="24"/>
        </w:rPr>
        <w:t xml:space="preserve">. </w:t>
      </w:r>
      <w:r w:rsidR="0048335E" w:rsidRPr="003676D3">
        <w:rPr>
          <w:rFonts w:ascii="Times New Roman" w:hAnsi="Times New Roman" w:cs="Times New Roman"/>
          <w:sz w:val="24"/>
          <w:szCs w:val="24"/>
        </w:rPr>
        <w:t xml:space="preserve">Other research challenges in this domain include </w:t>
      </w:r>
      <w:r w:rsidR="004F4B0D" w:rsidRPr="003676D3">
        <w:rPr>
          <w:rFonts w:ascii="Times New Roman" w:hAnsi="Times New Roman" w:cs="Times New Roman"/>
          <w:sz w:val="24"/>
          <w:szCs w:val="24"/>
        </w:rPr>
        <w:t>AMI security, trust management, attack attribution, and validation of incoming data.</w:t>
      </w:r>
    </w:p>
    <w:p w14:paraId="7890A194" w14:textId="10109328" w:rsidR="00CC49AF" w:rsidRPr="003676D3" w:rsidRDefault="006D62F8"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D</w:t>
      </w:r>
      <w:r w:rsidR="00CF0477" w:rsidRPr="003676D3">
        <w:rPr>
          <w:rFonts w:ascii="Times New Roman" w:hAnsi="Times New Roman" w:cs="Times New Roman"/>
          <w:sz w:val="24"/>
          <w:szCs w:val="24"/>
        </w:rPr>
        <w:t>ata</w:t>
      </w:r>
      <w:r w:rsidRPr="003676D3">
        <w:rPr>
          <w:rFonts w:ascii="Times New Roman" w:hAnsi="Times New Roman" w:cs="Times New Roman"/>
          <w:sz w:val="24"/>
          <w:szCs w:val="24"/>
        </w:rPr>
        <w:t xml:space="preserve"> management</w:t>
      </w:r>
      <w:r w:rsidR="00CF0477" w:rsidRPr="003676D3">
        <w:rPr>
          <w:rFonts w:ascii="Times New Roman" w:hAnsi="Times New Roman" w:cs="Times New Roman"/>
          <w:sz w:val="24"/>
          <w:szCs w:val="24"/>
        </w:rPr>
        <w:t xml:space="preserve"> in the metaverse </w:t>
      </w:r>
      <w:r w:rsidR="00010FA7" w:rsidRPr="003676D3">
        <w:rPr>
          <w:rFonts w:ascii="Times New Roman" w:hAnsi="Times New Roman" w:cs="Times New Roman"/>
          <w:sz w:val="24"/>
          <w:szCs w:val="24"/>
        </w:rPr>
        <w:t xml:space="preserve">has </w:t>
      </w:r>
      <w:r w:rsidR="008E7079" w:rsidRPr="003676D3">
        <w:rPr>
          <w:rFonts w:ascii="Times New Roman" w:hAnsi="Times New Roman" w:cs="Times New Roman"/>
          <w:sz w:val="24"/>
          <w:szCs w:val="24"/>
        </w:rPr>
        <w:t xml:space="preserve">to face </w:t>
      </w:r>
      <w:r w:rsidR="00CF0477" w:rsidRPr="003676D3">
        <w:rPr>
          <w:rFonts w:ascii="Times New Roman" w:hAnsi="Times New Roman" w:cs="Times New Roman"/>
          <w:sz w:val="24"/>
          <w:szCs w:val="24"/>
        </w:rPr>
        <w:t>multiple challenges</w:t>
      </w:r>
      <w:r w:rsidR="008473C5" w:rsidRPr="003676D3">
        <w:rPr>
          <w:rFonts w:ascii="Times New Roman" w:hAnsi="Times New Roman" w:cs="Times New Roman"/>
          <w:sz w:val="24"/>
          <w:szCs w:val="24"/>
        </w:rPr>
        <w:t xml:space="preserve"> </w:t>
      </w:r>
      <w:r w:rsidR="008473C5" w:rsidRPr="003676D3">
        <w:rPr>
          <w:rFonts w:ascii="Times New Roman" w:hAnsi="Times New Roman" w:cs="Times New Roman"/>
          <w:sz w:val="24"/>
          <w:szCs w:val="24"/>
        </w:rPr>
        <w:fldChar w:fldCharType="begin" w:fldLock="1"/>
      </w:r>
      <w:r w:rsidR="00C312C2" w:rsidRPr="003676D3">
        <w:rPr>
          <w:rFonts w:ascii="Times New Roman" w:hAnsi="Times New Roman" w:cs="Times New Roman"/>
          <w:sz w:val="24"/>
          <w:szCs w:val="24"/>
        </w:rPr>
        <w:instrText>ADDIN CSL_CITATION {"citationItems":[{"id":"ITEM-1","itemData":{"DOI":"10.1016/J.PROCS.2022.12.374","ISSN":"1877-0509","abstract":"The Metaverse is revolutionizing the world of the internet. It is the new \"virtual\"universe capable of going beyond the pure three-dimensional and immersive dimension combining the physical and digital worlds. The metaverse, which until recently was an abstract concept, is now assuming great importance and attracting the attention of consumers, investors, brands, and large global players. Certainly, the first sector to adapt to this new immersive reality is e-commerce. Obviously, e-commerce is not the only sector affected by this digital revolution. Interoperability and interconnection will revolutionize current business models. Although the business opportunities seem endless, the scenario is still not entirely clear. Thus, the aim of the present research is to provide an overview on the state of the art, technologies, applications, and challenges of metaverse. Ethical and social implications are also analized. The result is a first detailed scenario analysis on the Metaverse.","author":[{"dropping-particle":"","family":"Felice","given":"Fabio","non-dropping-particle":"De","parse-names":false,"suffix":""},{"dropping-particle":"","family":"Luca","given":"Cristina","non-dropping-particle":"De","parse-names":false,"suffix":""},{"dropping-particle":"Di","family":"Chiara","given":"Simona","non-dropping-particle":"","parse-names":false,"suffix":""},{"dropping-particle":"","family":"Petrillo","given":"Antonella","non-dropping-particle":"","parse-names":false,"suffix":""}],"container-title":"Procedia Computer Science","id":"ITEM-1","issued":{"date-parts":[["2023","1","1"]]},"page":"1744-1754","publisher":"Elsevier","title":"Physical and digital worlds: implications and opportunities of the metaverse","type":"article-journal","volume":"217"},"uris":["http://www.mendeley.com/documents/?uuid=ddf71720-5480-3022-be03-efc0d925d5be"]}],"mendeley":{"formattedCitation":"[196]","plainTextFormattedCitation":"[196]","previouslyFormattedCitation":"[196]"},"properties":{"noteIndex":0},"schema":"https://github.com/citation-style-language/schema/raw/master/csl-citation.json"}</w:instrText>
      </w:r>
      <w:r w:rsidR="008473C5" w:rsidRPr="003676D3">
        <w:rPr>
          <w:rFonts w:ascii="Times New Roman" w:hAnsi="Times New Roman" w:cs="Times New Roman"/>
          <w:sz w:val="24"/>
          <w:szCs w:val="24"/>
        </w:rPr>
        <w:fldChar w:fldCharType="separate"/>
      </w:r>
      <w:r w:rsidR="00C312C2" w:rsidRPr="003676D3">
        <w:rPr>
          <w:rFonts w:ascii="Times New Roman" w:hAnsi="Times New Roman" w:cs="Times New Roman"/>
          <w:noProof/>
          <w:sz w:val="24"/>
          <w:szCs w:val="24"/>
        </w:rPr>
        <w:t>[196]</w:t>
      </w:r>
      <w:r w:rsidR="008473C5" w:rsidRPr="003676D3">
        <w:rPr>
          <w:rFonts w:ascii="Times New Roman" w:hAnsi="Times New Roman" w:cs="Times New Roman"/>
          <w:sz w:val="24"/>
          <w:szCs w:val="24"/>
        </w:rPr>
        <w:fldChar w:fldCharType="end"/>
      </w:r>
      <w:r w:rsidR="00CF0477" w:rsidRPr="003676D3">
        <w:rPr>
          <w:rFonts w:ascii="Times New Roman" w:hAnsi="Times New Roman" w:cs="Times New Roman"/>
          <w:sz w:val="24"/>
          <w:szCs w:val="24"/>
        </w:rPr>
        <w:t xml:space="preserve"> due to the diversity </w:t>
      </w:r>
      <w:r w:rsidR="00644D33" w:rsidRPr="003676D3">
        <w:rPr>
          <w:rFonts w:ascii="Times New Roman" w:hAnsi="Times New Roman" w:cs="Times New Roman"/>
          <w:sz w:val="24"/>
          <w:szCs w:val="24"/>
        </w:rPr>
        <w:t>in the</w:t>
      </w:r>
      <w:r w:rsidR="00CF0477" w:rsidRPr="003676D3">
        <w:rPr>
          <w:rFonts w:ascii="Times New Roman" w:hAnsi="Times New Roman" w:cs="Times New Roman"/>
          <w:sz w:val="24"/>
          <w:szCs w:val="24"/>
        </w:rPr>
        <w:t xml:space="preserve"> data formats</w:t>
      </w:r>
      <w:r w:rsidR="00010FA7" w:rsidRPr="003676D3">
        <w:rPr>
          <w:rFonts w:ascii="Times New Roman" w:hAnsi="Times New Roman" w:cs="Times New Roman"/>
          <w:sz w:val="24"/>
          <w:szCs w:val="24"/>
        </w:rPr>
        <w:t xml:space="preserve">. The various data types </w:t>
      </w:r>
      <w:r w:rsidR="00CF0477" w:rsidRPr="003676D3">
        <w:rPr>
          <w:rFonts w:ascii="Times New Roman" w:hAnsi="Times New Roman" w:cs="Times New Roman"/>
          <w:sz w:val="24"/>
          <w:szCs w:val="24"/>
        </w:rPr>
        <w:t>includ</w:t>
      </w:r>
      <w:r w:rsidR="00010FA7" w:rsidRPr="003676D3">
        <w:rPr>
          <w:rFonts w:ascii="Times New Roman" w:hAnsi="Times New Roman" w:cs="Times New Roman"/>
          <w:sz w:val="24"/>
          <w:szCs w:val="24"/>
        </w:rPr>
        <w:t>e</w:t>
      </w:r>
      <w:r w:rsidR="00CF0477" w:rsidRPr="003676D3">
        <w:rPr>
          <w:rFonts w:ascii="Times New Roman" w:hAnsi="Times New Roman" w:cs="Times New Roman"/>
          <w:sz w:val="24"/>
          <w:szCs w:val="24"/>
        </w:rPr>
        <w:t xml:space="preserve"> structured data,</w:t>
      </w:r>
      <w:r w:rsidR="00A86A12" w:rsidRPr="003676D3">
        <w:rPr>
          <w:rFonts w:ascii="Times New Roman" w:hAnsi="Times New Roman" w:cs="Times New Roman"/>
          <w:sz w:val="24"/>
          <w:szCs w:val="24"/>
        </w:rPr>
        <w:t xml:space="preserve"> location information and multimedia</w:t>
      </w:r>
      <w:r w:rsidR="00644D33" w:rsidRPr="003676D3">
        <w:rPr>
          <w:rFonts w:ascii="Times New Roman" w:hAnsi="Times New Roman" w:cs="Times New Roman"/>
          <w:sz w:val="24"/>
          <w:szCs w:val="24"/>
        </w:rPr>
        <w:t>.</w:t>
      </w:r>
      <w:r w:rsidR="00A86A12" w:rsidRPr="003676D3">
        <w:rPr>
          <w:rFonts w:ascii="Times New Roman" w:hAnsi="Times New Roman" w:cs="Times New Roman"/>
          <w:sz w:val="24"/>
          <w:szCs w:val="24"/>
        </w:rPr>
        <w:t xml:space="preserve"> </w:t>
      </w:r>
      <w:r w:rsidR="00644D33" w:rsidRPr="003676D3">
        <w:rPr>
          <w:rFonts w:ascii="Times New Roman" w:hAnsi="Times New Roman" w:cs="Times New Roman"/>
          <w:sz w:val="24"/>
          <w:szCs w:val="24"/>
        </w:rPr>
        <w:t>E</w:t>
      </w:r>
      <w:r w:rsidR="00CF0477" w:rsidRPr="003676D3">
        <w:rPr>
          <w:rFonts w:ascii="Times New Roman" w:hAnsi="Times New Roman" w:cs="Times New Roman"/>
          <w:sz w:val="24"/>
          <w:szCs w:val="24"/>
        </w:rPr>
        <w:t>ach</w:t>
      </w:r>
      <w:r w:rsidR="00A86A12" w:rsidRPr="003676D3">
        <w:rPr>
          <w:rFonts w:ascii="Times New Roman" w:hAnsi="Times New Roman" w:cs="Times New Roman"/>
          <w:sz w:val="24"/>
          <w:szCs w:val="24"/>
        </w:rPr>
        <w:t xml:space="preserve"> </w:t>
      </w:r>
      <w:r w:rsidR="00644D33" w:rsidRPr="003676D3">
        <w:rPr>
          <w:rFonts w:ascii="Times New Roman" w:hAnsi="Times New Roman" w:cs="Times New Roman"/>
          <w:sz w:val="24"/>
          <w:szCs w:val="24"/>
        </w:rPr>
        <w:t xml:space="preserve">of these </w:t>
      </w:r>
      <w:r w:rsidR="00A86A12" w:rsidRPr="003676D3">
        <w:rPr>
          <w:rFonts w:ascii="Times New Roman" w:hAnsi="Times New Roman" w:cs="Times New Roman"/>
          <w:sz w:val="24"/>
          <w:szCs w:val="24"/>
        </w:rPr>
        <w:t>requir</w:t>
      </w:r>
      <w:r w:rsidR="00644D33" w:rsidRPr="003676D3">
        <w:rPr>
          <w:rFonts w:ascii="Times New Roman" w:hAnsi="Times New Roman" w:cs="Times New Roman"/>
          <w:sz w:val="24"/>
          <w:szCs w:val="24"/>
        </w:rPr>
        <w:t>es</w:t>
      </w:r>
      <w:r w:rsidR="00A86A12" w:rsidRPr="003676D3">
        <w:rPr>
          <w:rFonts w:ascii="Times New Roman" w:hAnsi="Times New Roman" w:cs="Times New Roman"/>
          <w:sz w:val="24"/>
          <w:szCs w:val="24"/>
        </w:rPr>
        <w:t xml:space="preserve"> distinct </w:t>
      </w:r>
      <w:r w:rsidR="00CF0477" w:rsidRPr="003676D3">
        <w:rPr>
          <w:rFonts w:ascii="Times New Roman" w:hAnsi="Times New Roman" w:cs="Times New Roman"/>
          <w:sz w:val="24"/>
          <w:szCs w:val="24"/>
        </w:rPr>
        <w:t>management</w:t>
      </w:r>
      <w:r w:rsidR="00A86A12" w:rsidRPr="003676D3">
        <w:rPr>
          <w:rFonts w:ascii="Times New Roman" w:hAnsi="Times New Roman" w:cs="Times New Roman"/>
          <w:sz w:val="24"/>
          <w:szCs w:val="24"/>
        </w:rPr>
        <w:t xml:space="preserve"> and storage</w:t>
      </w:r>
      <w:r w:rsidR="00CF0477" w:rsidRPr="003676D3">
        <w:rPr>
          <w:rFonts w:ascii="Times New Roman" w:hAnsi="Times New Roman" w:cs="Times New Roman"/>
          <w:sz w:val="24"/>
          <w:szCs w:val="24"/>
        </w:rPr>
        <w:t xml:space="preserve"> methods. Current method</w:t>
      </w:r>
      <w:r w:rsidR="00B25B0B" w:rsidRPr="003676D3">
        <w:rPr>
          <w:rFonts w:ascii="Times New Roman" w:hAnsi="Times New Roman" w:cs="Times New Roman"/>
          <w:sz w:val="24"/>
          <w:szCs w:val="24"/>
        </w:rPr>
        <w:t xml:space="preserve">s </w:t>
      </w:r>
      <w:r w:rsidR="00CF0477" w:rsidRPr="003676D3">
        <w:rPr>
          <w:rFonts w:ascii="Times New Roman" w:hAnsi="Times New Roman" w:cs="Times New Roman"/>
          <w:sz w:val="24"/>
          <w:szCs w:val="24"/>
        </w:rPr>
        <w:t xml:space="preserve">such as data compression, </w:t>
      </w:r>
      <w:r w:rsidR="00B53DCE" w:rsidRPr="003676D3">
        <w:rPr>
          <w:rFonts w:ascii="Times New Roman" w:hAnsi="Times New Roman" w:cs="Times New Roman"/>
          <w:sz w:val="24"/>
          <w:szCs w:val="24"/>
        </w:rPr>
        <w:t xml:space="preserve">data </w:t>
      </w:r>
      <w:r w:rsidR="00CF0477" w:rsidRPr="003676D3">
        <w:rPr>
          <w:rFonts w:ascii="Times New Roman" w:hAnsi="Times New Roman" w:cs="Times New Roman"/>
          <w:sz w:val="24"/>
          <w:szCs w:val="24"/>
        </w:rPr>
        <w:t>streaming, and cloud storage</w:t>
      </w:r>
      <w:r w:rsidR="00B25B0B" w:rsidRPr="003676D3">
        <w:rPr>
          <w:rFonts w:ascii="Times New Roman" w:hAnsi="Times New Roman" w:cs="Times New Roman"/>
          <w:sz w:val="24"/>
          <w:szCs w:val="24"/>
        </w:rPr>
        <w:t xml:space="preserve"> have certain</w:t>
      </w:r>
      <w:r w:rsidR="00CF0477" w:rsidRPr="003676D3">
        <w:rPr>
          <w:rFonts w:ascii="Times New Roman" w:hAnsi="Times New Roman" w:cs="Times New Roman"/>
          <w:sz w:val="24"/>
          <w:szCs w:val="24"/>
        </w:rPr>
        <w:t xml:space="preserve"> limit</w:t>
      </w:r>
      <w:r w:rsidR="00B25B0B" w:rsidRPr="003676D3">
        <w:rPr>
          <w:rFonts w:ascii="Times New Roman" w:hAnsi="Times New Roman" w:cs="Times New Roman"/>
          <w:sz w:val="24"/>
          <w:szCs w:val="24"/>
        </w:rPr>
        <w:t>ations. These limitations are due to the</w:t>
      </w:r>
      <w:r w:rsidR="00277732" w:rsidRPr="003676D3">
        <w:rPr>
          <w:rFonts w:ascii="Times New Roman" w:hAnsi="Times New Roman" w:cs="Times New Roman"/>
          <w:sz w:val="24"/>
          <w:szCs w:val="24"/>
        </w:rPr>
        <w:t xml:space="preserve"> processing power, data size, interoperability issues, </w:t>
      </w:r>
      <w:r w:rsidR="00CF0477" w:rsidRPr="003676D3">
        <w:rPr>
          <w:rFonts w:ascii="Times New Roman" w:hAnsi="Times New Roman" w:cs="Times New Roman"/>
          <w:sz w:val="24"/>
          <w:szCs w:val="24"/>
        </w:rPr>
        <w:t>network bandwidth</w:t>
      </w:r>
      <w:r w:rsidR="008473C5" w:rsidRPr="003676D3">
        <w:rPr>
          <w:rFonts w:ascii="Times New Roman" w:hAnsi="Times New Roman" w:cs="Times New Roman"/>
          <w:sz w:val="24"/>
          <w:szCs w:val="24"/>
        </w:rPr>
        <w:t xml:space="preserve"> </w:t>
      </w:r>
      <w:r w:rsidR="008473C5" w:rsidRPr="003676D3">
        <w:rPr>
          <w:rFonts w:ascii="Times New Roman" w:hAnsi="Times New Roman" w:cs="Times New Roman"/>
          <w:sz w:val="24"/>
          <w:szCs w:val="24"/>
        </w:rPr>
        <w:fldChar w:fldCharType="begin" w:fldLock="1"/>
      </w:r>
      <w:r w:rsidR="00C312C2" w:rsidRPr="003676D3">
        <w:rPr>
          <w:rFonts w:ascii="Times New Roman" w:hAnsi="Times New Roman" w:cs="Times New Roman"/>
          <w:sz w:val="24"/>
          <w:szCs w:val="24"/>
        </w:rPr>
        <w:instrText>ADDIN CSL_CITATION {"citationItems":[{"id":"ITEM-1","itemData":{"DOI":"10.1016/J.IOT.2023.100884","ISSN":"2542-6605","abstract":"Recent years have witnessed a global trend toward the metaverse. The metaverse is a collection of immersive and interconnected digital spaces in which users can interact through computer-generated environments. As smart cities aim to enhance the experiences of their citizens by improving infrastructure, modernizing government services, increasing accessibility, accelerating economic growth, and promoting sustainability, the metaverse has the potential to significantly revolutionize, reshape, and transform smart cities. In this paper, we discuss how leveraging the metaverse for smart cities can stimulate innovations and bring about major improvements. We discuss the key enabling technologies for the metaverse, along with the premier benefits of adopting this technology and the opportunities it presents for smart city applications. We present ongoing projects and case studies to showcase the practicality of metaverse technology across various industries. Furthermore, we identify and discuss critical research challenges that currently impede the realization of the full potential of the metaverse. Finally, we outline future research directions that can be pursued to further the development of the metaverse and its integration with smart cities.","author":[{"dropping-particle":"","family":"Yaqoob","given":"Ibrar","non-dropping-particle":"","parse-names":false,"suffix":""},{"dropping-particle":"","family":"Salah","given":"Khaled","non-dropping-particle":"","parse-names":false,"suffix":""},{"dropping-particle":"","family":"Jayaraman","given":"Raja","non-dropping-particle":"","parse-names":false,"suffix":""},{"dropping-particle":"","family":"Omar","given":"Mohammed","non-dropping-particle":"","parse-names":false,"suffix":""}],"container-title":"Internet of Things","id":"ITEM-1","issued":{"date-parts":[["2023","10","1"]]},"page":"100884","publisher":"Elsevier","title":"Metaverse applications in smart cities: Enabling technologies, opportunities, challenges, and future directions","type":"article-journal","volume":"23"},"uris":["http://www.mendeley.com/documents/?uuid=804308e3-d7f0-3583-85fd-b8080d27e0fa"]},{"id":"ITEM-2","itemData":{"DOI":"10.1109/JIOT.2022.3222521","ISSN":"23274662","abstract":"The virtual world created by the development of the Internet, computers, artificial intelligence (AI), and hardware technologies have brought various degrees of digital transformation to people's lives. With multiple demands for virtual reality increasing, the metaverse, a new type of social ecology that can connect the physical and virtual worlds, is booming. However, with the rapid growth of data volume and value, the continuous evolution of the metaverse faces the demands and challenges of privacy, security, high synchronization, and low latency. Fortunately, the ever-evolving blockchain and intelligent networking technologies can be used to satisfy the trusted construction, continuous data interaction, and computing demands of the metaverse. Therefore, it is necessary to conduct an in-depth review of the role and gains of blockchain, intelligent networking, and the combination of both in providing the immersive experiences of the metaverse. In this survey, we first discuss the development trend, characteristics, and architecture of the metaverse. Then, the existing work on blockchain, networking, and the combination of the two technologies are reviewed, including overviews, applications, and challenges. Next, applications of the metaverse are summarized, emphasizing the importance of the metaverse and the fields of development. Finally, we discuss some open issues, challenges, and future research directions.","author":[{"dropping-particle":"","family":"Fu","given":"Yuchuan","non-dropping-particle":"","parse-names":false,"suffix":""},{"dropping-particle":"","family":"Li","given":"Changle","non-dropping-particle":"","parse-names":false,"suffix":""},{"dropping-particle":"","family":"Yu","given":"F. Richard","non-dropping-particle":"","parse-names":false,"suffix":""},{"dropping-particle":"","family":"Luan","given":"Tom H.","non-dropping-particle":"","parse-names":false,"suffix":""},{"dropping-particle":"","family":"Zhao","given":"Pincan","non-dropping-particle":"","parse-names":false,"suffix":""},{"dropping-particle":"","family":"Liu","given":"Sha","non-dropping-particle":"","parse-names":false,"suffix":""}],"container-title":"IEEE Internet of Things Journal","id":"ITEM-2","issue":"4","issued":{"date-parts":[["2023","2","15"]]},"page":"3587-3610","publisher":"Institute of Electrical and Electronics Engineers Inc.","title":"A Survey of Blockchain and Intelligent Networking for the Metaverse","type":"article-journal","volume":"10"},"uris":["http://www.mendeley.com/documents/?uuid=08d9b1dc-3f64-3bbe-8699-2e20593f01f5"]}],"mendeley":{"formattedCitation":"[25,207]","plainTextFormattedCitation":"[25,207]","previouslyFormattedCitation":"[25,207]"},"properties":{"noteIndex":0},"schema":"https://github.com/citation-style-language/schema/raw/master/csl-citation.json"}</w:instrText>
      </w:r>
      <w:r w:rsidR="008473C5" w:rsidRPr="003676D3">
        <w:rPr>
          <w:rFonts w:ascii="Times New Roman" w:hAnsi="Times New Roman" w:cs="Times New Roman"/>
          <w:sz w:val="24"/>
          <w:szCs w:val="24"/>
        </w:rPr>
        <w:fldChar w:fldCharType="separate"/>
      </w:r>
      <w:r w:rsidR="00C312C2" w:rsidRPr="003676D3">
        <w:rPr>
          <w:rFonts w:ascii="Times New Roman" w:hAnsi="Times New Roman" w:cs="Times New Roman"/>
          <w:noProof/>
          <w:sz w:val="24"/>
          <w:szCs w:val="24"/>
        </w:rPr>
        <w:t>[25,207]</w:t>
      </w:r>
      <w:r w:rsidR="008473C5" w:rsidRPr="003676D3">
        <w:rPr>
          <w:rFonts w:ascii="Times New Roman" w:hAnsi="Times New Roman" w:cs="Times New Roman"/>
          <w:sz w:val="24"/>
          <w:szCs w:val="24"/>
        </w:rPr>
        <w:fldChar w:fldCharType="end"/>
      </w:r>
      <w:r w:rsidR="00CF0477" w:rsidRPr="003676D3">
        <w:rPr>
          <w:rFonts w:ascii="Times New Roman" w:hAnsi="Times New Roman" w:cs="Times New Roman"/>
          <w:sz w:val="24"/>
          <w:szCs w:val="24"/>
        </w:rPr>
        <w:t xml:space="preserve">. </w:t>
      </w:r>
    </w:p>
    <w:p w14:paraId="5CDC68A1" w14:textId="53A02618" w:rsidR="00CF0477" w:rsidRPr="003676D3" w:rsidRDefault="00277732"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To understand</w:t>
      </w:r>
      <w:r w:rsidR="00E02AA5" w:rsidRPr="003676D3">
        <w:rPr>
          <w:rFonts w:ascii="Times New Roman" w:hAnsi="Times New Roman" w:cs="Times New Roman"/>
          <w:sz w:val="24"/>
          <w:szCs w:val="24"/>
        </w:rPr>
        <w:t xml:space="preserve"> the metaverse</w:t>
      </w:r>
      <w:r w:rsidR="00CF0477" w:rsidRPr="003676D3">
        <w:rPr>
          <w:rFonts w:ascii="Times New Roman" w:hAnsi="Times New Roman" w:cs="Times New Roman"/>
          <w:sz w:val="24"/>
          <w:szCs w:val="24"/>
        </w:rPr>
        <w:t xml:space="preserve"> potential, new requirements must be met: scalable infrastructure, </w:t>
      </w:r>
      <w:r w:rsidR="00A86A12" w:rsidRPr="003676D3">
        <w:rPr>
          <w:rFonts w:ascii="Times New Roman" w:hAnsi="Times New Roman" w:cs="Times New Roman"/>
          <w:sz w:val="24"/>
          <w:szCs w:val="24"/>
        </w:rPr>
        <w:t xml:space="preserve">enhanced compression algorithms, </w:t>
      </w:r>
      <w:r w:rsidR="00CF0477" w:rsidRPr="003676D3">
        <w:rPr>
          <w:rFonts w:ascii="Times New Roman" w:hAnsi="Times New Roman" w:cs="Times New Roman"/>
          <w:sz w:val="24"/>
          <w:szCs w:val="24"/>
        </w:rPr>
        <w:t xml:space="preserve">efficient data management, and seamless integration of </w:t>
      </w:r>
      <w:r w:rsidRPr="003676D3">
        <w:rPr>
          <w:rFonts w:ascii="Times New Roman" w:hAnsi="Times New Roman" w:cs="Times New Roman"/>
          <w:sz w:val="24"/>
          <w:szCs w:val="24"/>
        </w:rPr>
        <w:t>various</w:t>
      </w:r>
      <w:r w:rsidR="00CF0477" w:rsidRPr="003676D3">
        <w:rPr>
          <w:rFonts w:ascii="Times New Roman" w:hAnsi="Times New Roman" w:cs="Times New Roman"/>
          <w:sz w:val="24"/>
          <w:szCs w:val="24"/>
        </w:rPr>
        <w:t xml:space="preserve"> data types. Technical challenges like </w:t>
      </w:r>
      <w:r w:rsidR="00A86A12" w:rsidRPr="003676D3">
        <w:rPr>
          <w:rFonts w:ascii="Times New Roman" w:hAnsi="Times New Roman" w:cs="Times New Roman"/>
          <w:sz w:val="24"/>
          <w:szCs w:val="24"/>
        </w:rPr>
        <w:t>user experience optimization, real-time rendering and data synchronization</w:t>
      </w:r>
      <w:r w:rsidR="00CF0477" w:rsidRPr="003676D3">
        <w:rPr>
          <w:rFonts w:ascii="Times New Roman" w:hAnsi="Times New Roman" w:cs="Times New Roman"/>
          <w:sz w:val="24"/>
          <w:szCs w:val="24"/>
        </w:rPr>
        <w:t xml:space="preserve"> also need resolution. Additionally, decisions regarding the treatment of physical and virtual data—whether separate or unified—impact data organization and performance</w:t>
      </w:r>
      <w:r w:rsidR="008473C5" w:rsidRPr="003676D3">
        <w:rPr>
          <w:rFonts w:ascii="Times New Roman" w:hAnsi="Times New Roman" w:cs="Times New Roman"/>
          <w:sz w:val="24"/>
          <w:szCs w:val="24"/>
        </w:rPr>
        <w:t xml:space="preserve"> </w:t>
      </w:r>
      <w:r w:rsidR="008473C5" w:rsidRPr="003676D3">
        <w:rPr>
          <w:rFonts w:ascii="Times New Roman" w:hAnsi="Times New Roman" w:cs="Times New Roman"/>
          <w:sz w:val="24"/>
          <w:szCs w:val="24"/>
        </w:rPr>
        <w:fldChar w:fldCharType="begin" w:fldLock="1"/>
      </w:r>
      <w:r w:rsidR="008473C5" w:rsidRPr="003676D3">
        <w:rPr>
          <w:rFonts w:ascii="Times New Roman" w:hAnsi="Times New Roman" w:cs="Times New Roman"/>
          <w:sz w:val="24"/>
          <w:szCs w:val="24"/>
        </w:rPr>
        <w:instrText>ADDIN CSL_CITATION {"citationItems":[{"id":"ITEM-1","itemData":{"DOI":"10.1016/J.FUTURE.2023.02.008","ISSN":"0167-739X","abstract":"Since Facebook officially changed its name to Meta in Oct. 2021, the metaverse has become a new norm of social networks and three-dimensional (3D) virtual worlds. The metaverse aims to bring 3D immersive and personalized experiences to users by leveraging many pertinent technologies. Despite great attention and benefits, a natural question in the metaverse is how to secure its users’ digital content and data. In this regard, blockchain is a promising solution owing to its distinct features of decentralization, immutability, and transparency. To better understand the role of blockchain in the metaverse, we aim to provide an extensive survey on the applications of blockchain for the metaverse. We first present a preliminary to blockchain and the metaverse and highlight the motivations behind the use of blockchain for the metaverse. Next, we extensively discuss blockchain-based methods for the metaverse from technical perspectives, such as data acquisition, data storage, data sharing, data interoperability, and data privacy preservation. For each perspective, we first discuss the technical challenges of the metaverse and then highlight how blockchain can help. Moreover, we investigate the impact of blockchain on key-enabling technologies in the metaverse, including Internet-of-Things, digital twins, multi-sensory and immersive applications, artificial intelligence, and big data. We also present some major projects to showcase the role of blockchain in metaverse applications and services. Finally, we present some promising directions to drive further research innovations and developments toward the use of blockchain in the metaverse in the future.","author":[{"dropping-particle":"","family":"Huynh-The","given":"Thien","non-dropping-particle":"","parse-names":false,"suffix":""},{"dropping-particle":"","family":"Gadekallu","given":"Thippa Reddy","non-dropping-particle":"","parse-names":false,"suffix":""},{"dropping-particle":"","family":"Wang","given":"Weizheng","non-dropping-particle":"","parse-names":false,"suffix":""},{"dropping-particle":"","family":"Yenduri","given":"Gokul","non-dropping-particle":"","parse-names":false,"suffix":""},{"dropping-particle":"","family":"Ranaweera","given":"Pasika","non-dropping-particle":"","parse-names":false,"suffix":""},{"dropping-particle":"","family":"Pham","given":"Quoc Viet","non-dropping-particle":"","parse-names":false,"suffix":""},{"dropping-particle":"","family":"Costa","given":"Daniel Benevides","non-dropping-particle":"da","parse-names":false,"suffix":""},{"dropping-particle":"","family":"Liyanage","given":"Madhusanka","non-dropping-particle":"","parse-names":false,"suffix":""}],"container-title":"Future Generation Computer Systems","id":"ITEM-1","issued":{"date-parts":[["2023","6","1"]]},"page":"401-419","publisher":"North-Holland","title":"Blockchain for the metaverse: A Review","type":"article-journal","volume":"143"},"uris":["http://www.mendeley.com/documents/?uuid=c1ad20dc-8b9d-3f72-a64f-fb9da74da6df"]}],"mendeley":{"formattedCitation":"[178]","plainTextFormattedCitation":"[178]","previouslyFormattedCitation":"[178]"},"properties":{"noteIndex":0},"schema":"https://github.com/citation-style-language/schema/raw/master/csl-citation.json"}</w:instrText>
      </w:r>
      <w:r w:rsidR="008473C5" w:rsidRPr="003676D3">
        <w:rPr>
          <w:rFonts w:ascii="Times New Roman" w:hAnsi="Times New Roman" w:cs="Times New Roman"/>
          <w:sz w:val="24"/>
          <w:szCs w:val="24"/>
        </w:rPr>
        <w:fldChar w:fldCharType="separate"/>
      </w:r>
      <w:r w:rsidR="008473C5" w:rsidRPr="003676D3">
        <w:rPr>
          <w:rFonts w:ascii="Times New Roman" w:hAnsi="Times New Roman" w:cs="Times New Roman"/>
          <w:noProof/>
          <w:sz w:val="24"/>
          <w:szCs w:val="24"/>
        </w:rPr>
        <w:t>[178]</w:t>
      </w:r>
      <w:r w:rsidR="008473C5" w:rsidRPr="003676D3">
        <w:rPr>
          <w:rFonts w:ascii="Times New Roman" w:hAnsi="Times New Roman" w:cs="Times New Roman"/>
          <w:sz w:val="24"/>
          <w:szCs w:val="24"/>
        </w:rPr>
        <w:fldChar w:fldCharType="end"/>
      </w:r>
      <w:r w:rsidR="00CF0477" w:rsidRPr="003676D3">
        <w:rPr>
          <w:rFonts w:ascii="Times New Roman" w:hAnsi="Times New Roman" w:cs="Times New Roman"/>
          <w:sz w:val="24"/>
          <w:szCs w:val="24"/>
        </w:rPr>
        <w:t>. Integrating diverse data sources and developing innovative solutions beyond conventional heterogeneous databases are crucial. For context-aware scenarios, the development of context-aware algorithms,</w:t>
      </w:r>
      <w:r w:rsidRPr="003676D3">
        <w:rPr>
          <w:rFonts w:ascii="Times New Roman" w:hAnsi="Times New Roman" w:cs="Times New Roman"/>
          <w:sz w:val="24"/>
          <w:szCs w:val="24"/>
        </w:rPr>
        <w:t xml:space="preserve"> novel operators</w:t>
      </w:r>
      <w:r w:rsidR="00CF0477" w:rsidRPr="003676D3">
        <w:rPr>
          <w:rFonts w:ascii="Times New Roman" w:hAnsi="Times New Roman" w:cs="Times New Roman"/>
          <w:sz w:val="24"/>
          <w:szCs w:val="24"/>
        </w:rPr>
        <w:t xml:space="preserve"> and new approximation operators is essential</w:t>
      </w:r>
      <w:r w:rsidR="008473C5" w:rsidRPr="003676D3">
        <w:rPr>
          <w:rFonts w:ascii="Times New Roman" w:hAnsi="Times New Roman" w:cs="Times New Roman"/>
          <w:sz w:val="24"/>
          <w:szCs w:val="24"/>
        </w:rPr>
        <w:t xml:space="preserve"> </w:t>
      </w:r>
      <w:r w:rsidR="008473C5" w:rsidRPr="003676D3">
        <w:rPr>
          <w:rFonts w:ascii="Times New Roman" w:hAnsi="Times New Roman" w:cs="Times New Roman"/>
          <w:sz w:val="24"/>
          <w:szCs w:val="24"/>
        </w:rPr>
        <w:fldChar w:fldCharType="begin" w:fldLock="1"/>
      </w:r>
      <w:r w:rsidR="00C312C2" w:rsidRPr="003676D3">
        <w:rPr>
          <w:rFonts w:ascii="Times New Roman" w:hAnsi="Times New Roman" w:cs="Times New Roman"/>
          <w:sz w:val="24"/>
          <w:szCs w:val="24"/>
        </w:rPr>
        <w:instrText>ADDIN CSL_CITATION {"citationItems":[{"id":"ITEM-1","itemData":{"DOI":"10.1109/ACCESS.2022.3225638","ISSN":"21693536","abstract":"Metaverse is a vision enabling to constitute an environment in which someone could see real and virtualized worlds. The Metaverse is a product (or something similar as we do not yet know its final form) of such technologies. In this circumstance, when applications that utilize the Metaverse are used, there seem to be no transportation charges, and there is no cap on amounts of individuals, users, players, learners, or trainee who can take part. Hence, and due to such a feature, the Metaverse has attracted various researchers from different fields where it has been exploited by them to contribute to those fields and research areas. As for example, it is possible to teach various target audiences by offering different events and classes from any location in the globe. In order for a participant to utilize the Metaverse, there are necessary conditions to be considered as well as other settings to be initialized. In line of this, virtual reality, augmented reality, availability of required sensors, smart glasses, headsets, and few others are considered some examples of such conditions and settings that the Metaverse requires. Despite the advantages that Metaverse offers us, there are a number of considerations that must be taken into account while developing it by interested researchers. One of these concerns is the Metaverse privacy regarding the participants (represented as avatars inside the Metaverse environment). Another issue is that since the Metaverse is still in its early stages, many attempts have to be made from interested researchers who engage to develop it to enhancing it. This review aims to survey related articles that concern the Metaverse and its development providing a review of the chronological stages throughout the history of the development of Metaverse. It aims also to list a number of recent technological advances allowing the Metaverse. Besides, Metaverse's definitions, properties, architecture, and applications have been discussed and listed in this review. The novelty of this article is that it has suggested a framework to a number of issues that are still paid attention for potential solutions by researchers aiming to contribute to researchers and designers to consider such an issue and its corresponding solution for future research works and enhancement. Challenges faced by researchers and other relevant concerned issues related to Metaverse have been in detail discussed and highlighted. Besides, future trends have been clarified.","author":[{"dropping-particle":"","family":"Al-Ghaili","given":"Abbas M.","non-dropping-particle":"","parse-names":false,"suffix":""},{"dropping-particle":"","family":"Kasim","given":"Hairoladenan","non-dropping-particle":"","parse-names":false,"suffix":""},{"dropping-particle":"","family":"Al-Hada","given":"Naif Mohammed","non-dropping-particle":"","parse-names":false,"suffix":""},{"dropping-particle":"Bin","family":"Hassan","given":"Zainuddin","non-dropping-particle":"","parse-names":false,"suffix":""},{"dropping-particle":"","family":"Othman","given":"Marini","non-dropping-particle":"","parse-names":false,"suffix":""},{"dropping-particle":"","family":"Tharik","given":"Jakir Hussain","non-dropping-particle":"","parse-names":false,"suffix":""},{"dropping-particle":"","family":"Kasmani","given":"Rafiziana Md","non-dropping-particle":"","parse-names":false,"suffix":""},{"dropping-particle":"","family":"Shayea","given":"Ibraheem","non-dropping-particle":"","parse-names":false,"suffix":""}],"container-title":"IEEE Access","id":"ITEM-1","issued":{"date-parts":[["2022"]]},"page":"125835-125866","publisher":"Institute of Electrical and Electronics Engineers Inc.","title":"A Review of Metaverse's Definitions, Architecture, Applications, Challenges, Issues, Solutions, and Future Trends","type":"article-journal","volume":"10"},"uris":["http://www.mendeley.com/documents/?uuid=418cbffa-8990-3ebc-aec4-3498b223c3d9"]}],"mendeley":{"formattedCitation":"[208]","plainTextFormattedCitation":"[208]","previouslyFormattedCitation":"[208]"},"properties":{"noteIndex":0},"schema":"https://github.com/citation-style-language/schema/raw/master/csl-citation.json"}</w:instrText>
      </w:r>
      <w:r w:rsidR="008473C5" w:rsidRPr="003676D3">
        <w:rPr>
          <w:rFonts w:ascii="Times New Roman" w:hAnsi="Times New Roman" w:cs="Times New Roman"/>
          <w:sz w:val="24"/>
          <w:szCs w:val="24"/>
        </w:rPr>
        <w:fldChar w:fldCharType="separate"/>
      </w:r>
      <w:r w:rsidR="00C312C2" w:rsidRPr="003676D3">
        <w:rPr>
          <w:rFonts w:ascii="Times New Roman" w:hAnsi="Times New Roman" w:cs="Times New Roman"/>
          <w:noProof/>
          <w:sz w:val="24"/>
          <w:szCs w:val="24"/>
        </w:rPr>
        <w:t>[208]</w:t>
      </w:r>
      <w:r w:rsidR="008473C5" w:rsidRPr="003676D3">
        <w:rPr>
          <w:rFonts w:ascii="Times New Roman" w:hAnsi="Times New Roman" w:cs="Times New Roman"/>
          <w:sz w:val="24"/>
          <w:szCs w:val="24"/>
        </w:rPr>
        <w:fldChar w:fldCharType="end"/>
      </w:r>
      <w:r w:rsidR="00CF0477" w:rsidRPr="003676D3">
        <w:rPr>
          <w:rFonts w:ascii="Times New Roman" w:hAnsi="Times New Roman" w:cs="Times New Roman"/>
          <w:sz w:val="24"/>
          <w:szCs w:val="24"/>
        </w:rPr>
        <w:t>.</w:t>
      </w:r>
      <w:r w:rsidR="00EC029C" w:rsidRPr="003676D3">
        <w:rPr>
          <w:rFonts w:ascii="Times New Roman" w:hAnsi="Times New Roman" w:cs="Times New Roman"/>
          <w:sz w:val="24"/>
          <w:szCs w:val="24"/>
        </w:rPr>
        <w:t xml:space="preserve"> </w:t>
      </w:r>
      <w:r w:rsidR="008473C5" w:rsidRPr="003676D3">
        <w:rPr>
          <w:rFonts w:ascii="Times New Roman" w:hAnsi="Times New Roman" w:cs="Times New Roman"/>
          <w:sz w:val="24"/>
          <w:szCs w:val="24"/>
        </w:rPr>
        <w:fldChar w:fldCharType="begin"/>
      </w:r>
      <w:r w:rsidR="008473C5" w:rsidRPr="003676D3">
        <w:rPr>
          <w:rFonts w:ascii="Times New Roman" w:hAnsi="Times New Roman" w:cs="Times New Roman"/>
          <w:sz w:val="24"/>
          <w:szCs w:val="24"/>
        </w:rPr>
        <w:instrText xml:space="preserve"> REF _Ref168051973 \h  \* MERGEFORMAT </w:instrText>
      </w:r>
      <w:r w:rsidR="008473C5" w:rsidRPr="003676D3">
        <w:rPr>
          <w:rFonts w:ascii="Times New Roman" w:hAnsi="Times New Roman" w:cs="Times New Roman"/>
          <w:sz w:val="24"/>
          <w:szCs w:val="24"/>
        </w:rPr>
      </w:r>
      <w:r w:rsidR="008473C5" w:rsidRPr="003676D3">
        <w:rPr>
          <w:rFonts w:ascii="Times New Roman" w:hAnsi="Times New Roman" w:cs="Times New Roman"/>
          <w:sz w:val="24"/>
          <w:szCs w:val="24"/>
        </w:rPr>
        <w:fldChar w:fldCharType="separate"/>
      </w:r>
      <w:r w:rsidR="008D1E2C" w:rsidRPr="003676D3">
        <w:rPr>
          <w:rFonts w:ascii="Times New Roman" w:hAnsi="Times New Roman" w:cs="Times New Roman"/>
          <w:sz w:val="24"/>
          <w:szCs w:val="24"/>
        </w:rPr>
        <w:t xml:space="preserve">Table </w:t>
      </w:r>
      <w:r w:rsidR="008D1E2C" w:rsidRPr="003676D3">
        <w:rPr>
          <w:rFonts w:ascii="Times New Roman" w:hAnsi="Times New Roman" w:cs="Times New Roman"/>
          <w:noProof/>
          <w:sz w:val="24"/>
          <w:szCs w:val="24"/>
        </w:rPr>
        <w:t>5.</w:t>
      </w:r>
      <w:r w:rsidR="008D1E2C" w:rsidRPr="003676D3">
        <w:rPr>
          <w:rFonts w:ascii="Times New Roman" w:hAnsi="Times New Roman" w:cs="Times New Roman"/>
          <w:sz w:val="24"/>
          <w:szCs w:val="24"/>
        </w:rPr>
        <w:t xml:space="preserve"> Super Smart Grid challenges and solutions</w:t>
      </w:r>
      <w:r w:rsidR="008473C5" w:rsidRPr="003676D3">
        <w:rPr>
          <w:rFonts w:ascii="Times New Roman" w:hAnsi="Times New Roman" w:cs="Times New Roman"/>
          <w:sz w:val="24"/>
          <w:szCs w:val="24"/>
        </w:rPr>
        <w:fldChar w:fldCharType="end"/>
      </w:r>
      <w:r w:rsidR="00CC49AF" w:rsidRPr="003676D3">
        <w:rPr>
          <w:rFonts w:ascii="Times New Roman" w:hAnsi="Times New Roman" w:cs="Times New Roman"/>
          <w:sz w:val="24"/>
          <w:szCs w:val="24"/>
        </w:rPr>
        <w:t>.</w:t>
      </w:r>
    </w:p>
    <w:p w14:paraId="28D29726" w14:textId="31FD5C01" w:rsidR="00CC49AF" w:rsidRPr="003676D3" w:rsidRDefault="00CC49AF" w:rsidP="003676D3">
      <w:pPr>
        <w:spacing w:line="276" w:lineRule="auto"/>
        <w:jc w:val="both"/>
        <w:rPr>
          <w:rFonts w:ascii="Times New Roman" w:hAnsi="Times New Roman" w:cs="Times New Roman"/>
          <w:sz w:val="24"/>
          <w:szCs w:val="24"/>
        </w:rPr>
      </w:pPr>
    </w:p>
    <w:p w14:paraId="5FBF6BFA" w14:textId="4D9E38F3" w:rsidR="00CC49AF" w:rsidRPr="003676D3" w:rsidRDefault="00CC49AF" w:rsidP="003676D3">
      <w:pPr>
        <w:spacing w:line="276" w:lineRule="auto"/>
        <w:jc w:val="both"/>
        <w:rPr>
          <w:rFonts w:ascii="Times New Roman" w:hAnsi="Times New Roman" w:cs="Times New Roman"/>
          <w:sz w:val="24"/>
          <w:szCs w:val="24"/>
        </w:rPr>
      </w:pPr>
    </w:p>
    <w:p w14:paraId="49FBA808" w14:textId="566A0802" w:rsidR="00CC49AF" w:rsidRPr="003676D3" w:rsidRDefault="00CC49AF" w:rsidP="003676D3">
      <w:pPr>
        <w:spacing w:line="276" w:lineRule="auto"/>
        <w:jc w:val="both"/>
        <w:rPr>
          <w:rFonts w:ascii="Times New Roman" w:hAnsi="Times New Roman" w:cs="Times New Roman"/>
          <w:sz w:val="24"/>
          <w:szCs w:val="24"/>
        </w:rPr>
      </w:pPr>
    </w:p>
    <w:p w14:paraId="3CC20B0B" w14:textId="77777777" w:rsidR="00CC49AF" w:rsidRPr="003676D3" w:rsidRDefault="00CC49AF" w:rsidP="003676D3">
      <w:pPr>
        <w:spacing w:line="276" w:lineRule="auto"/>
        <w:jc w:val="both"/>
        <w:rPr>
          <w:rFonts w:ascii="Times New Roman" w:hAnsi="Times New Roman" w:cs="Times New Roman"/>
          <w:sz w:val="24"/>
          <w:szCs w:val="24"/>
        </w:rPr>
      </w:pPr>
    </w:p>
    <w:p w14:paraId="2C7A606E" w14:textId="79D893A0" w:rsidR="008473C5" w:rsidRPr="003676D3" w:rsidRDefault="008473C5" w:rsidP="004B1918">
      <w:pPr>
        <w:pStyle w:val="Caption"/>
        <w:keepNext/>
        <w:spacing w:line="276" w:lineRule="auto"/>
        <w:jc w:val="center"/>
        <w:rPr>
          <w:rFonts w:ascii="Times New Roman" w:hAnsi="Times New Roman" w:cs="Times New Roman"/>
          <w:b/>
          <w:bCs/>
          <w:i w:val="0"/>
          <w:iCs w:val="0"/>
          <w:color w:val="auto"/>
          <w:sz w:val="20"/>
          <w:szCs w:val="20"/>
        </w:rPr>
      </w:pPr>
      <w:bookmarkStart w:id="28" w:name="_Ref168051973"/>
      <w:r w:rsidRPr="003676D3">
        <w:rPr>
          <w:rFonts w:ascii="Times New Roman" w:hAnsi="Times New Roman" w:cs="Times New Roman"/>
          <w:b/>
          <w:bCs/>
          <w:i w:val="0"/>
          <w:iCs w:val="0"/>
          <w:color w:val="auto"/>
          <w:sz w:val="20"/>
          <w:szCs w:val="20"/>
        </w:rPr>
        <w:lastRenderedPageBreak/>
        <w:t xml:space="preserve">Table </w:t>
      </w:r>
      <w:r w:rsidRPr="003676D3">
        <w:rPr>
          <w:rFonts w:ascii="Times New Roman" w:hAnsi="Times New Roman" w:cs="Times New Roman"/>
          <w:b/>
          <w:bCs/>
          <w:i w:val="0"/>
          <w:iCs w:val="0"/>
          <w:color w:val="auto"/>
          <w:sz w:val="20"/>
          <w:szCs w:val="20"/>
        </w:rPr>
        <w:fldChar w:fldCharType="begin"/>
      </w:r>
      <w:r w:rsidRPr="003676D3">
        <w:rPr>
          <w:rFonts w:ascii="Times New Roman" w:hAnsi="Times New Roman" w:cs="Times New Roman"/>
          <w:b/>
          <w:bCs/>
          <w:i w:val="0"/>
          <w:iCs w:val="0"/>
          <w:color w:val="auto"/>
          <w:sz w:val="20"/>
          <w:szCs w:val="20"/>
        </w:rPr>
        <w:instrText xml:space="preserve"> SEQ Table \* ARABIC </w:instrText>
      </w:r>
      <w:r w:rsidRPr="003676D3">
        <w:rPr>
          <w:rFonts w:ascii="Times New Roman" w:hAnsi="Times New Roman" w:cs="Times New Roman"/>
          <w:b/>
          <w:bCs/>
          <w:i w:val="0"/>
          <w:iCs w:val="0"/>
          <w:color w:val="auto"/>
          <w:sz w:val="20"/>
          <w:szCs w:val="20"/>
        </w:rPr>
        <w:fldChar w:fldCharType="separate"/>
      </w:r>
      <w:r w:rsidR="008D1E2C" w:rsidRPr="003676D3">
        <w:rPr>
          <w:rFonts w:ascii="Times New Roman" w:hAnsi="Times New Roman" w:cs="Times New Roman"/>
          <w:b/>
          <w:bCs/>
          <w:i w:val="0"/>
          <w:iCs w:val="0"/>
          <w:noProof/>
          <w:color w:val="auto"/>
          <w:sz w:val="20"/>
          <w:szCs w:val="20"/>
        </w:rPr>
        <w:t>5</w:t>
      </w:r>
      <w:r w:rsidRPr="003676D3">
        <w:rPr>
          <w:rFonts w:ascii="Times New Roman" w:hAnsi="Times New Roman" w:cs="Times New Roman"/>
          <w:b/>
          <w:bCs/>
          <w:i w:val="0"/>
          <w:iCs w:val="0"/>
          <w:color w:val="auto"/>
          <w:sz w:val="20"/>
          <w:szCs w:val="20"/>
        </w:rPr>
        <w:fldChar w:fldCharType="end"/>
      </w:r>
      <w:r w:rsidRPr="003676D3">
        <w:rPr>
          <w:rFonts w:ascii="Times New Roman" w:hAnsi="Times New Roman" w:cs="Times New Roman"/>
          <w:b/>
          <w:bCs/>
          <w:i w:val="0"/>
          <w:iCs w:val="0"/>
          <w:color w:val="auto"/>
          <w:sz w:val="20"/>
          <w:szCs w:val="20"/>
        </w:rPr>
        <w:t>. Super Smart Grid challenges and solutions</w:t>
      </w:r>
      <w:bookmarkEnd w:id="28"/>
    </w:p>
    <w:tbl>
      <w:tblPr>
        <w:tblStyle w:val="GridTable4-Accent1"/>
        <w:tblW w:w="5000" w:type="pct"/>
        <w:tblLook w:val="0420" w:firstRow="1" w:lastRow="0" w:firstColumn="0" w:lastColumn="0" w:noHBand="0" w:noVBand="1"/>
      </w:tblPr>
      <w:tblGrid>
        <w:gridCol w:w="1766"/>
        <w:gridCol w:w="3287"/>
        <w:gridCol w:w="3963"/>
      </w:tblGrid>
      <w:tr w:rsidR="00CC49AF" w:rsidRPr="003676D3" w14:paraId="650013BF" w14:textId="77777777" w:rsidTr="00ED5CE9">
        <w:trPr>
          <w:cnfStyle w:val="100000000000" w:firstRow="1" w:lastRow="0" w:firstColumn="0" w:lastColumn="0" w:oddVBand="0" w:evenVBand="0" w:oddHBand="0" w:evenHBand="0" w:firstRowFirstColumn="0" w:firstRowLastColumn="0" w:lastRowFirstColumn="0" w:lastRowLastColumn="0"/>
          <w:trHeight w:val="477"/>
        </w:trPr>
        <w:tc>
          <w:tcPr>
            <w:tcW w:w="979" w:type="pct"/>
            <w:vAlign w:val="center"/>
            <w:hideMark/>
          </w:tcPr>
          <w:p w14:paraId="445571E5" w14:textId="77777777" w:rsidR="00EC029C" w:rsidRPr="003676D3" w:rsidRDefault="00EC029C" w:rsidP="003676D3">
            <w:pPr>
              <w:spacing w:line="276" w:lineRule="auto"/>
              <w:jc w:val="both"/>
              <w:rPr>
                <w:rFonts w:ascii="Times New Roman" w:hAnsi="Times New Roman" w:cs="Times New Roman"/>
                <w:color w:val="auto"/>
                <w:sz w:val="20"/>
                <w:szCs w:val="20"/>
              </w:rPr>
            </w:pPr>
            <w:r w:rsidRPr="003676D3">
              <w:rPr>
                <w:rFonts w:ascii="Times New Roman" w:hAnsi="Times New Roman" w:cs="Times New Roman"/>
                <w:color w:val="auto"/>
                <w:sz w:val="20"/>
                <w:szCs w:val="20"/>
              </w:rPr>
              <w:t>Parameters</w:t>
            </w:r>
          </w:p>
        </w:tc>
        <w:tc>
          <w:tcPr>
            <w:tcW w:w="1823" w:type="pct"/>
            <w:vAlign w:val="center"/>
            <w:hideMark/>
          </w:tcPr>
          <w:p w14:paraId="1CFF34E3" w14:textId="77777777" w:rsidR="00EC029C" w:rsidRPr="003676D3" w:rsidRDefault="00EC029C" w:rsidP="003676D3">
            <w:pPr>
              <w:spacing w:line="276" w:lineRule="auto"/>
              <w:jc w:val="both"/>
              <w:rPr>
                <w:rFonts w:ascii="Times New Roman" w:hAnsi="Times New Roman" w:cs="Times New Roman"/>
                <w:color w:val="auto"/>
                <w:sz w:val="20"/>
                <w:szCs w:val="20"/>
              </w:rPr>
            </w:pPr>
            <w:r w:rsidRPr="003676D3">
              <w:rPr>
                <w:rFonts w:ascii="Times New Roman" w:hAnsi="Times New Roman" w:cs="Times New Roman"/>
                <w:color w:val="auto"/>
                <w:sz w:val="20"/>
                <w:szCs w:val="20"/>
              </w:rPr>
              <w:t>Grid Challenges</w:t>
            </w:r>
          </w:p>
        </w:tc>
        <w:tc>
          <w:tcPr>
            <w:tcW w:w="2198" w:type="pct"/>
            <w:vAlign w:val="center"/>
            <w:hideMark/>
          </w:tcPr>
          <w:p w14:paraId="059CA203" w14:textId="77777777" w:rsidR="00EC029C" w:rsidRPr="003676D3" w:rsidRDefault="00EC029C" w:rsidP="003676D3">
            <w:pPr>
              <w:spacing w:line="276" w:lineRule="auto"/>
              <w:jc w:val="both"/>
              <w:rPr>
                <w:rFonts w:ascii="Times New Roman" w:hAnsi="Times New Roman" w:cs="Times New Roman"/>
                <w:color w:val="auto"/>
                <w:sz w:val="20"/>
                <w:szCs w:val="20"/>
              </w:rPr>
            </w:pPr>
            <w:r w:rsidRPr="003676D3">
              <w:rPr>
                <w:rFonts w:ascii="Times New Roman" w:hAnsi="Times New Roman" w:cs="Times New Roman"/>
                <w:color w:val="auto"/>
                <w:sz w:val="20"/>
                <w:szCs w:val="20"/>
              </w:rPr>
              <w:t>Solution via Enabling Technologies</w:t>
            </w:r>
          </w:p>
        </w:tc>
      </w:tr>
      <w:tr w:rsidR="00CC49AF" w:rsidRPr="003676D3" w14:paraId="29067A8B" w14:textId="77777777" w:rsidTr="00ED5CE9">
        <w:trPr>
          <w:cnfStyle w:val="000000100000" w:firstRow="0" w:lastRow="0" w:firstColumn="0" w:lastColumn="0" w:oddVBand="0" w:evenVBand="0" w:oddHBand="1" w:evenHBand="0" w:firstRowFirstColumn="0" w:firstRowLastColumn="0" w:lastRowFirstColumn="0" w:lastRowLastColumn="0"/>
          <w:trHeight w:val="704"/>
        </w:trPr>
        <w:tc>
          <w:tcPr>
            <w:tcW w:w="979" w:type="pct"/>
            <w:vAlign w:val="center"/>
            <w:hideMark/>
          </w:tcPr>
          <w:p w14:paraId="4F026B3D" w14:textId="77777777"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System Monitoring</w:t>
            </w:r>
          </w:p>
        </w:tc>
        <w:tc>
          <w:tcPr>
            <w:tcW w:w="1823" w:type="pct"/>
            <w:vAlign w:val="center"/>
            <w:hideMark/>
          </w:tcPr>
          <w:p w14:paraId="2AD8EFBC" w14:textId="77777777"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Remote monitoring and maintenance of assets</w:t>
            </w:r>
          </w:p>
        </w:tc>
        <w:tc>
          <w:tcPr>
            <w:tcW w:w="2198" w:type="pct"/>
            <w:vAlign w:val="center"/>
            <w:hideMark/>
          </w:tcPr>
          <w:p w14:paraId="5F71BA57" w14:textId="77777777"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Immersive and real time monitoring and maintenance using metaverse</w:t>
            </w:r>
          </w:p>
        </w:tc>
      </w:tr>
      <w:tr w:rsidR="00CC49AF" w:rsidRPr="003676D3" w14:paraId="11D723CF" w14:textId="77777777" w:rsidTr="00ED5CE9">
        <w:trPr>
          <w:trHeight w:val="699"/>
        </w:trPr>
        <w:tc>
          <w:tcPr>
            <w:tcW w:w="979" w:type="pct"/>
            <w:vAlign w:val="center"/>
            <w:hideMark/>
          </w:tcPr>
          <w:p w14:paraId="7897DF4A" w14:textId="77777777"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Energy management solution (EMS)</w:t>
            </w:r>
          </w:p>
        </w:tc>
        <w:tc>
          <w:tcPr>
            <w:tcW w:w="1823" w:type="pct"/>
            <w:vAlign w:val="center"/>
            <w:hideMark/>
          </w:tcPr>
          <w:p w14:paraId="755E0DF2" w14:textId="77777777"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High computation</w:t>
            </w:r>
          </w:p>
        </w:tc>
        <w:tc>
          <w:tcPr>
            <w:tcW w:w="2198" w:type="pct"/>
            <w:vAlign w:val="center"/>
            <w:hideMark/>
          </w:tcPr>
          <w:p w14:paraId="3449E4B1" w14:textId="77777777"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Through virtual power plants, simulation and optimization help in EMS</w:t>
            </w:r>
          </w:p>
        </w:tc>
      </w:tr>
      <w:tr w:rsidR="00CC49AF" w:rsidRPr="003676D3" w14:paraId="1888F5CD" w14:textId="77777777" w:rsidTr="00ED5CE9">
        <w:trPr>
          <w:cnfStyle w:val="000000100000" w:firstRow="0" w:lastRow="0" w:firstColumn="0" w:lastColumn="0" w:oddVBand="0" w:evenVBand="0" w:oddHBand="1" w:evenHBand="0" w:firstRowFirstColumn="0" w:firstRowLastColumn="0" w:lastRowFirstColumn="0" w:lastRowLastColumn="0"/>
          <w:trHeight w:val="715"/>
        </w:trPr>
        <w:tc>
          <w:tcPr>
            <w:tcW w:w="979" w:type="pct"/>
            <w:vAlign w:val="center"/>
            <w:hideMark/>
          </w:tcPr>
          <w:p w14:paraId="058576F2" w14:textId="77777777"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Contingency</w:t>
            </w:r>
          </w:p>
        </w:tc>
        <w:tc>
          <w:tcPr>
            <w:tcW w:w="1823" w:type="pct"/>
            <w:vAlign w:val="center"/>
            <w:hideMark/>
          </w:tcPr>
          <w:p w14:paraId="6C30E4F9" w14:textId="77777777"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Ability to detect gaps and loopholes in the event of contingency</w:t>
            </w:r>
          </w:p>
        </w:tc>
        <w:tc>
          <w:tcPr>
            <w:tcW w:w="2198" w:type="pct"/>
            <w:vAlign w:val="center"/>
            <w:hideMark/>
          </w:tcPr>
          <w:p w14:paraId="2ACD141A" w14:textId="77777777"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Virtual visualization of system helps in pre-planning and detecting loopholes</w:t>
            </w:r>
          </w:p>
        </w:tc>
      </w:tr>
      <w:tr w:rsidR="00CC49AF" w:rsidRPr="003676D3" w14:paraId="050AEDE1" w14:textId="77777777" w:rsidTr="00ED5CE9">
        <w:trPr>
          <w:trHeight w:val="717"/>
        </w:trPr>
        <w:tc>
          <w:tcPr>
            <w:tcW w:w="979" w:type="pct"/>
            <w:vAlign w:val="center"/>
            <w:hideMark/>
          </w:tcPr>
          <w:p w14:paraId="594A7078" w14:textId="7FCA049D"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Interoperability</w:t>
            </w:r>
            <w:r w:rsidR="008473C5" w:rsidRPr="003676D3">
              <w:rPr>
                <w:rFonts w:ascii="Times New Roman" w:hAnsi="Times New Roman" w:cs="Times New Roman"/>
                <w:sz w:val="20"/>
                <w:szCs w:val="20"/>
              </w:rPr>
              <w:t xml:space="preserve"> </w:t>
            </w:r>
            <w:r w:rsidR="008473C5" w:rsidRPr="003676D3">
              <w:rPr>
                <w:rFonts w:ascii="Times New Roman" w:hAnsi="Times New Roman" w:cs="Times New Roman"/>
                <w:sz w:val="20"/>
                <w:szCs w:val="20"/>
              </w:rPr>
              <w:fldChar w:fldCharType="begin" w:fldLock="1"/>
            </w:r>
            <w:r w:rsidR="00C312C2" w:rsidRPr="003676D3">
              <w:rPr>
                <w:rFonts w:ascii="Times New Roman" w:hAnsi="Times New Roman" w:cs="Times New Roman"/>
                <w:sz w:val="20"/>
                <w:szCs w:val="20"/>
              </w:rPr>
              <w:instrText>ADDIN CSL_CITATION {"citationItems":[{"id":"ITEM-1","itemData":{"author":[{"dropping-particle":"","family":"Jaimini","given":"U","non-dropping-particle":"","parse-names":false,"suffix":""},{"dropping-particle":"","family":"Zhang","given":"T","non-dropping-particle":"","parse-names":false,"suffix":""},{"dropping-particle":"","family":"Computing","given":"GO Brikis - IEEE Internet","non-dropping-particle":"","parse-names":false,"suffix":""},{"dropping-particle":"","family":"2022","given":"undefined","non-dropping-particle":"","parse-names":false,"suffix":""}],"container-title":"ieeexplore.ieee.orgU Jaimini, T Zhang, GO Brikis, A ShethIEEE Internet Computing, 2022•ieeexplore.ieee.org","id":"ITEM-1","issued":{"date-parts":[["0"]]},"title":"iMetaverseKG: Industrial Metaverse Knowledge Graph to Promote Interoperability in Design and Engineering Applications","type":"article-journal"},"uris":["http://www.mendeley.com/documents/?uuid=e73f0899-de42-3f84-a04f-807429399652"]}],"mendeley":{"formattedCitation":"[209]","plainTextFormattedCitation":"[209]","previouslyFormattedCitation":"[209]"},"properties":{"noteIndex":0},"schema":"https://github.com/citation-style-language/schema/raw/master/csl-citation.json"}</w:instrText>
            </w:r>
            <w:r w:rsidR="008473C5" w:rsidRPr="003676D3">
              <w:rPr>
                <w:rFonts w:ascii="Times New Roman" w:hAnsi="Times New Roman" w:cs="Times New Roman"/>
                <w:sz w:val="20"/>
                <w:szCs w:val="20"/>
              </w:rPr>
              <w:fldChar w:fldCharType="separate"/>
            </w:r>
            <w:r w:rsidR="00C312C2" w:rsidRPr="003676D3">
              <w:rPr>
                <w:rFonts w:ascii="Times New Roman" w:hAnsi="Times New Roman" w:cs="Times New Roman"/>
                <w:noProof/>
                <w:sz w:val="20"/>
                <w:szCs w:val="20"/>
              </w:rPr>
              <w:t>[209]</w:t>
            </w:r>
            <w:r w:rsidR="008473C5" w:rsidRPr="003676D3">
              <w:rPr>
                <w:rFonts w:ascii="Times New Roman" w:hAnsi="Times New Roman" w:cs="Times New Roman"/>
                <w:sz w:val="20"/>
                <w:szCs w:val="20"/>
              </w:rPr>
              <w:fldChar w:fldCharType="end"/>
            </w:r>
            <w:r w:rsidR="008473C5" w:rsidRPr="003676D3">
              <w:rPr>
                <w:rFonts w:ascii="Times New Roman" w:hAnsi="Times New Roman" w:cs="Times New Roman"/>
                <w:sz w:val="20"/>
                <w:szCs w:val="20"/>
              </w:rPr>
              <w:fldChar w:fldCharType="begin" w:fldLock="1"/>
            </w:r>
            <w:r w:rsidR="00C312C2" w:rsidRPr="003676D3">
              <w:rPr>
                <w:rFonts w:ascii="Times New Roman" w:hAnsi="Times New Roman" w:cs="Times New Roman"/>
                <w:sz w:val="20"/>
                <w:szCs w:val="20"/>
              </w:rPr>
              <w:instrText>ADDIN CSL_CITATION {"citationItems":[{"id":"ITEM-1","itemData":{"URL":"https://www.weforum.org/publications/interoperability-in-the-metaverse/","accessed":{"date-parts":[["2024","5","31"]]},"id":"ITEM-1","issued":{"date-parts":[["0"]]},"title":"Interoperability in the Metaverse | World Economic Forum","type":"webpage"},"uris":["http://www.mendeley.com/documents/?uuid=7c8f0f39-621f-3114-b86e-da70e0714644"]}],"mendeley":{"formattedCitation":"[210]","plainTextFormattedCitation":"[210]","previouslyFormattedCitation":"[210]"},"properties":{"noteIndex":0},"schema":"https://github.com/citation-style-language/schema/raw/master/csl-citation.json"}</w:instrText>
            </w:r>
            <w:r w:rsidR="008473C5" w:rsidRPr="003676D3">
              <w:rPr>
                <w:rFonts w:ascii="Times New Roman" w:hAnsi="Times New Roman" w:cs="Times New Roman"/>
                <w:sz w:val="20"/>
                <w:szCs w:val="20"/>
              </w:rPr>
              <w:fldChar w:fldCharType="separate"/>
            </w:r>
            <w:r w:rsidR="00C312C2" w:rsidRPr="003676D3">
              <w:rPr>
                <w:rFonts w:ascii="Times New Roman" w:hAnsi="Times New Roman" w:cs="Times New Roman"/>
                <w:noProof/>
                <w:sz w:val="20"/>
                <w:szCs w:val="20"/>
              </w:rPr>
              <w:t>[210]</w:t>
            </w:r>
            <w:r w:rsidR="008473C5" w:rsidRPr="003676D3">
              <w:rPr>
                <w:rFonts w:ascii="Times New Roman" w:hAnsi="Times New Roman" w:cs="Times New Roman"/>
                <w:sz w:val="20"/>
                <w:szCs w:val="20"/>
              </w:rPr>
              <w:fldChar w:fldCharType="end"/>
            </w:r>
          </w:p>
        </w:tc>
        <w:tc>
          <w:tcPr>
            <w:tcW w:w="1823" w:type="pct"/>
            <w:vAlign w:val="center"/>
            <w:hideMark/>
          </w:tcPr>
          <w:p w14:paraId="17C991E0" w14:textId="77777777"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Variety of software, hardware, and network protocols as well as user inputs</w:t>
            </w:r>
          </w:p>
        </w:tc>
        <w:tc>
          <w:tcPr>
            <w:tcW w:w="2198" w:type="pct"/>
            <w:vAlign w:val="center"/>
            <w:hideMark/>
          </w:tcPr>
          <w:p w14:paraId="2AEDEF88" w14:textId="77777777"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Maintain standards and regulations, pre-testing system virtually</w:t>
            </w:r>
          </w:p>
        </w:tc>
      </w:tr>
      <w:tr w:rsidR="00CC49AF" w:rsidRPr="003676D3" w14:paraId="510AD9B9" w14:textId="77777777" w:rsidTr="00ED5CE9">
        <w:trPr>
          <w:cnfStyle w:val="000000100000" w:firstRow="0" w:lastRow="0" w:firstColumn="0" w:lastColumn="0" w:oddVBand="0" w:evenVBand="0" w:oddHBand="1" w:evenHBand="0" w:firstRowFirstColumn="0" w:firstRowLastColumn="0" w:lastRowFirstColumn="0" w:lastRowLastColumn="0"/>
          <w:trHeight w:val="961"/>
        </w:trPr>
        <w:tc>
          <w:tcPr>
            <w:tcW w:w="979" w:type="pct"/>
            <w:vAlign w:val="center"/>
            <w:hideMark/>
          </w:tcPr>
          <w:p w14:paraId="0F54906E" w14:textId="25A58A6A"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Network and communication requirements</w:t>
            </w:r>
            <w:r w:rsidR="008473C5" w:rsidRPr="003676D3">
              <w:rPr>
                <w:rFonts w:ascii="Times New Roman" w:hAnsi="Times New Roman" w:cs="Times New Roman"/>
                <w:sz w:val="20"/>
                <w:szCs w:val="20"/>
              </w:rPr>
              <w:t xml:space="preserve"> </w:t>
            </w:r>
            <w:r w:rsidR="008473C5" w:rsidRPr="003676D3">
              <w:rPr>
                <w:rFonts w:ascii="Times New Roman" w:hAnsi="Times New Roman" w:cs="Times New Roman"/>
                <w:sz w:val="20"/>
                <w:szCs w:val="20"/>
              </w:rPr>
              <w:fldChar w:fldCharType="begin" w:fldLock="1"/>
            </w:r>
            <w:r w:rsidR="00C312C2" w:rsidRPr="003676D3">
              <w:rPr>
                <w:rFonts w:ascii="Times New Roman" w:hAnsi="Times New Roman" w:cs="Times New Roman"/>
                <w:sz w:val="20"/>
                <w:szCs w:val="20"/>
              </w:rPr>
              <w:instrText>ADDIN CSL_CITATION {"citationItems":[{"id":"ITEM-1","itemData":{"URL":"https://www.iceconnect.com/blog/it-support/metaverse-network-requirements/","accessed":{"date-parts":[["2024","5","20"]]},"id":"ITEM-1","issued":{"date-parts":[["0"]]},"title":"Network Requirements for the Metaverse, Are We Ready? | iceConnect","type":"webpage"},"uris":["http://www.mendeley.com/documents/?uuid=1c871919-f5be-304c-b92d-26b13718945b"]},{"id":"ITEM-2","itemData":{"URL":"https://www.nokia.com/blog/the-metaverse-and-communication-service-providers/","accessed":{"date-parts":[["2024","5","20"]]},"id":"ITEM-2","issued":{"date-parts":[["0"]]},"title":"The metaverse and communication service providers | Nokia","type":"webpage"},"uris":["http://www.mendeley.com/documents/?uuid=03616482-ae13-3431-a851-c2c8ac442364"]}],"mendeley":{"formattedCitation":"[171,211]","plainTextFormattedCitation":"[171,211]","previouslyFormattedCitation":"[171,211]"},"properties":{"noteIndex":0},"schema":"https://github.com/citation-style-language/schema/raw/master/csl-citation.json"}</w:instrText>
            </w:r>
            <w:r w:rsidR="008473C5" w:rsidRPr="003676D3">
              <w:rPr>
                <w:rFonts w:ascii="Times New Roman" w:hAnsi="Times New Roman" w:cs="Times New Roman"/>
                <w:sz w:val="20"/>
                <w:szCs w:val="20"/>
              </w:rPr>
              <w:fldChar w:fldCharType="separate"/>
            </w:r>
            <w:r w:rsidR="00C312C2" w:rsidRPr="003676D3">
              <w:rPr>
                <w:rFonts w:ascii="Times New Roman" w:hAnsi="Times New Roman" w:cs="Times New Roman"/>
                <w:noProof/>
                <w:sz w:val="20"/>
                <w:szCs w:val="20"/>
              </w:rPr>
              <w:t>[171,211]</w:t>
            </w:r>
            <w:r w:rsidR="008473C5" w:rsidRPr="003676D3">
              <w:rPr>
                <w:rFonts w:ascii="Times New Roman" w:hAnsi="Times New Roman" w:cs="Times New Roman"/>
                <w:sz w:val="20"/>
                <w:szCs w:val="20"/>
              </w:rPr>
              <w:fldChar w:fldCharType="end"/>
            </w:r>
          </w:p>
        </w:tc>
        <w:tc>
          <w:tcPr>
            <w:tcW w:w="1823" w:type="pct"/>
            <w:vAlign w:val="center"/>
            <w:hideMark/>
          </w:tcPr>
          <w:p w14:paraId="3A358E93" w14:textId="6C918D56" w:rsidR="00EC029C" w:rsidRPr="003676D3" w:rsidRDefault="00277732"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High-bandwidth c</w:t>
            </w:r>
            <w:r w:rsidR="00EC029C" w:rsidRPr="003676D3">
              <w:rPr>
                <w:rFonts w:ascii="Times New Roman" w:hAnsi="Times New Roman" w:cs="Times New Roman"/>
                <w:sz w:val="20"/>
                <w:szCs w:val="20"/>
              </w:rPr>
              <w:t>onnectivity requirements</w:t>
            </w:r>
            <w:r w:rsidRPr="003676D3">
              <w:rPr>
                <w:rFonts w:ascii="Times New Roman" w:hAnsi="Times New Roman" w:cs="Times New Roman"/>
                <w:sz w:val="20"/>
                <w:szCs w:val="20"/>
              </w:rPr>
              <w:t xml:space="preserve"> and responsiveness</w:t>
            </w:r>
          </w:p>
        </w:tc>
        <w:tc>
          <w:tcPr>
            <w:tcW w:w="2198" w:type="pct"/>
            <w:vAlign w:val="center"/>
            <w:hideMark/>
          </w:tcPr>
          <w:p w14:paraId="33AB633D" w14:textId="77777777"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Upgradation of network infrastructure with automation</w:t>
            </w:r>
          </w:p>
        </w:tc>
      </w:tr>
      <w:tr w:rsidR="00CC49AF" w:rsidRPr="003676D3" w14:paraId="66271962" w14:textId="77777777" w:rsidTr="00ED5CE9">
        <w:trPr>
          <w:trHeight w:val="1358"/>
        </w:trPr>
        <w:tc>
          <w:tcPr>
            <w:tcW w:w="979" w:type="pct"/>
            <w:vAlign w:val="center"/>
            <w:hideMark/>
          </w:tcPr>
          <w:p w14:paraId="284F81C0" w14:textId="04A58887"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Security and Privacy</w:t>
            </w:r>
            <w:r w:rsidR="008473C5" w:rsidRPr="003676D3">
              <w:rPr>
                <w:rFonts w:ascii="Times New Roman" w:hAnsi="Times New Roman" w:cs="Times New Roman"/>
                <w:sz w:val="20"/>
                <w:szCs w:val="20"/>
              </w:rPr>
              <w:t xml:space="preserve"> </w:t>
            </w:r>
            <w:r w:rsidR="008473C5" w:rsidRPr="003676D3">
              <w:rPr>
                <w:rFonts w:ascii="Times New Roman" w:hAnsi="Times New Roman" w:cs="Times New Roman"/>
                <w:sz w:val="20"/>
                <w:szCs w:val="20"/>
              </w:rPr>
              <w:fldChar w:fldCharType="begin" w:fldLock="1"/>
            </w:r>
            <w:r w:rsidR="00C312C2" w:rsidRPr="003676D3">
              <w:rPr>
                <w:rFonts w:ascii="Times New Roman" w:hAnsi="Times New Roman" w:cs="Times New Roman"/>
                <w:sz w:val="20"/>
                <w:szCs w:val="20"/>
              </w:rPr>
              <w:instrText>ADDIN CSL_CITATION {"citationItems":[{"id":"ITEM-1","itemData":{"DOI":"10.1016/J.CHB.2022.107642","ISSN":"0747-5632","abstract":"The most ambitious visions of metaverse technology promise to create virtual places that offer the same possibilities as the real world. However, as any novel technology, the metaverse raises controversies and questions. Does one want to migrate to the metaverse? Does one's willingness to move to virtual worlds depend on the bonds with existing virtual places and the sense of threat related to this technology? To address these questions, we drew on the theories of place attachment and intergroup threat. In two studies – (1) among users of open-world games (N = 366) and (2) using a sample representative of the Polish population in terms of age, gender and size of the residential place (N = 995) – we observed a low level of willingness to migrate to the metaverse. The participants displayed a high level of perceived metaverse-related threat, ranging from privacy concerns to the belief that metaverse can deprive one of access to essential human experiences. However, greater attachment to virtual, as opposed to real, places was associated with both an increased willingness to migrate to the metaverse and a low level of perceived threat. The results provide a better understanding of individuals' perception of the metaverse and of how the bonds with virtual and real places translate into attitudes towards metaverse technology.","author":[{"dropping-particle":"","family":"Oleksy","given":"Tomasz","non-dropping-particle":"","parse-names":false,"suffix":""},{"dropping-particle":"","family":"Wnuk","given":"Anna","non-dropping-particle":"","parse-names":false,"suffix":""},{"dropping-particle":"","family":"Piskorska","given":"Małgorzata","non-dropping-particle":"","parse-names":false,"suffix":""}],"container-title":"Computers in Human Behavior","id":"ITEM-1","issued":{"date-parts":[["2023","4","1"]]},"page":"107642","publisher":"Pergamon","title":"Migration to the metaverse and its predictors: Attachment to virtual places and metaverse-related threat","type":"article-journal","volume":"141"},"uris":["http://www.mendeley.com/documents/?uuid=fe6e1764-add7-3038-abea-41cde7a32b46"]},{"id":"ITEM-2","itemData":{"DOI":"10.1016/J.FUTURE.2023.01.017","ISSN":"0167-739X","abstract":"The Metaverse shows great potential to facilitate the development of new technologies. Because the security of the Metaverse has attracted considerable attention, the automatic detection of malware in different scenarios related to the Metaverse has become significant as well. A Metaverse-based wireless system comprises various physical and virtual sensing models, and the security between these sensors and nodes should be further considered. A wormhole link is created by two malicious radio transceivers connected by high capacity out-of-band wireless or wired links. Wormhole attacks can easily subvert many network protocols and maliciously collect a large amount of traffic. As many new mobile applications in the Internet of Things (IoT) have emerged recently, the threat posed by wormhole attacks has increased. Accordingly, research efforts have been made to develop countermeasures for wormhole attacks. However, most of them have considered a static network, assuming that a wormhole does not move and that wormhole nodes cannot adaptively turn their radio on or off to avoid being detected. These assumptions limit the use of existing detection methods. Hence, we first study the security impact and characteristics of wormhole attacks in mobile cloud and Metaverse environments and find the possibility of matching statistical methods such as the sequential probability ratio test (SPRT) to detect wormholes. Moreover, in our assumed topology, nodes in the network have mobility. From our investigation results, we attempt to derive a novel defense mechanism design against wormhole attacks.","author":[{"dropping-particle":"","family":"Kuo","given":"Shu Yu","non-dropping-particle":"","parse-names":false,"suffix":""},{"dropping-particle":"","family":"Tseng","given":"Fan Hsun","non-dropping-particle":"","parse-names":false,"suffix":""},{"dropping-particle":"","family":"Chou","given":"Yao Hsin","non-dropping-particle":"","parse-names":false,"suffix":""}],"container-title":"Future Generation Computer Systems","id":"ITEM-2","issued":{"date-parts":[["2023","6","1"]]},"page":"179-190","publisher":"North-Holland","title":"Metaverse intrusion detection of wormhole attacks based on a novel statistical mechanism","type":"article-journal","volume":"143"},"uris":["http://www.mendeley.com/documents/?uuid=80b02fe8-35df-31e8-b054-5b8b29ca2fef"]}],"mendeley":{"formattedCitation":"[212,213]","plainTextFormattedCitation":"[212,213]","previouslyFormattedCitation":"[212,213]"},"properties":{"noteIndex":0},"schema":"https://github.com/citation-style-language/schema/raw/master/csl-citation.json"}</w:instrText>
            </w:r>
            <w:r w:rsidR="008473C5" w:rsidRPr="003676D3">
              <w:rPr>
                <w:rFonts w:ascii="Times New Roman" w:hAnsi="Times New Roman" w:cs="Times New Roman"/>
                <w:sz w:val="20"/>
                <w:szCs w:val="20"/>
              </w:rPr>
              <w:fldChar w:fldCharType="separate"/>
            </w:r>
            <w:r w:rsidR="00C312C2" w:rsidRPr="003676D3">
              <w:rPr>
                <w:rFonts w:ascii="Times New Roman" w:hAnsi="Times New Roman" w:cs="Times New Roman"/>
                <w:noProof/>
                <w:sz w:val="20"/>
                <w:szCs w:val="20"/>
              </w:rPr>
              <w:t>[212,213]</w:t>
            </w:r>
            <w:r w:rsidR="008473C5" w:rsidRPr="003676D3">
              <w:rPr>
                <w:rFonts w:ascii="Times New Roman" w:hAnsi="Times New Roman" w:cs="Times New Roman"/>
                <w:sz w:val="20"/>
                <w:szCs w:val="20"/>
              </w:rPr>
              <w:fldChar w:fldCharType="end"/>
            </w:r>
          </w:p>
        </w:tc>
        <w:tc>
          <w:tcPr>
            <w:tcW w:w="1823" w:type="pct"/>
            <w:vAlign w:val="center"/>
            <w:hideMark/>
          </w:tcPr>
          <w:p w14:paraId="0D3159AD" w14:textId="77777777"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Grid and user data requires high security measures and protection</w:t>
            </w:r>
          </w:p>
        </w:tc>
        <w:tc>
          <w:tcPr>
            <w:tcW w:w="2198" w:type="pct"/>
            <w:vAlign w:val="center"/>
            <w:hideMark/>
          </w:tcPr>
          <w:p w14:paraId="3949FACB" w14:textId="1883B7C5"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 xml:space="preserve">Creation of a </w:t>
            </w:r>
            <w:r w:rsidR="00277732" w:rsidRPr="003676D3">
              <w:rPr>
                <w:rFonts w:ascii="Times New Roman" w:hAnsi="Times New Roman" w:cs="Times New Roman"/>
                <w:sz w:val="20"/>
                <w:szCs w:val="20"/>
              </w:rPr>
              <w:t>doable</w:t>
            </w:r>
            <w:r w:rsidRPr="003676D3">
              <w:rPr>
                <w:rFonts w:ascii="Times New Roman" w:hAnsi="Times New Roman" w:cs="Times New Roman"/>
                <w:sz w:val="20"/>
                <w:szCs w:val="20"/>
              </w:rPr>
              <w:t xml:space="preserve"> privacy policy </w:t>
            </w:r>
            <w:r w:rsidR="00277732" w:rsidRPr="003676D3">
              <w:rPr>
                <w:rFonts w:ascii="Times New Roman" w:hAnsi="Times New Roman" w:cs="Times New Roman"/>
                <w:sz w:val="20"/>
                <w:szCs w:val="20"/>
              </w:rPr>
              <w:t>for metaverse that ensure</w:t>
            </w:r>
            <w:r w:rsidRPr="003676D3">
              <w:rPr>
                <w:rFonts w:ascii="Times New Roman" w:hAnsi="Times New Roman" w:cs="Times New Roman"/>
                <w:sz w:val="20"/>
                <w:szCs w:val="20"/>
              </w:rPr>
              <w:t xml:space="preserve"> user-to-user privacy. Employing enhanced multi-factor authentication method</w:t>
            </w:r>
            <w:r w:rsidR="008473C5" w:rsidRPr="003676D3">
              <w:rPr>
                <w:rFonts w:ascii="Times New Roman" w:hAnsi="Times New Roman" w:cs="Times New Roman"/>
                <w:sz w:val="20"/>
                <w:szCs w:val="20"/>
              </w:rPr>
              <w:t xml:space="preserve"> </w:t>
            </w:r>
            <w:r w:rsidR="008473C5" w:rsidRPr="003676D3">
              <w:rPr>
                <w:rFonts w:ascii="Times New Roman" w:hAnsi="Times New Roman" w:cs="Times New Roman"/>
                <w:sz w:val="20"/>
                <w:szCs w:val="20"/>
              </w:rPr>
              <w:fldChar w:fldCharType="begin" w:fldLock="1"/>
            </w:r>
            <w:r w:rsidR="00C312C2" w:rsidRPr="003676D3">
              <w:rPr>
                <w:rFonts w:ascii="Times New Roman" w:hAnsi="Times New Roman" w:cs="Times New Roman"/>
                <w:sz w:val="20"/>
                <w:szCs w:val="20"/>
              </w:rPr>
              <w:instrText>ADDIN CSL_CITATION {"citationItems":[{"id":"ITEM-1","itemData":{"DOI":"10.1016/J.COSE.2023.103127","ISSN":"0167-4048","abstract":"With the rapid development and evolution of immersive technologies there are growing concerns of security and privacy threats to the metaverse and extended reality (XR) systems. Immersive reality solutions are a combination of multiple vulnerable technologies allowing attackers to easily undermine security. Furthermore the deployment of appropriate security controls and defensive mechanisms for resource constrained proprietary XR products has been limited. In this paper, we provide a comprehensive overview of extended reality systems and the metaverse with emphasis on technology weaknesses, cyber security challenges and users’ safety concerns. Five major taxonomies have been presented in this research with an aim of identifying privacy inference vectors and potential cyber threats; determining the impact on human health and the extent to which cyberstalking, and digital currency scam activities proliferate when using XR. This research also proposes strategies for primary lines of defense and provides recommendations on the adoption of safety measures.","author":[{"dropping-particle":"","family":"Qamar","given":"Sara","non-dropping-particle":"","parse-names":false,"suffix":""},{"dropping-particle":"","family":"Anwar","given":"Zahid","non-dropping-particle":"","parse-names":false,"suffix":""},{"dropping-particle":"","family":"Afzal","given":"Mehreen","non-dropping-particle":"","parse-names":false,"suffix":""}],"container-title":"Computers &amp; Security","id":"ITEM-1","issued":{"date-parts":[["2023","5","1"]]},"page":"103127","publisher":"Elsevier Advanced Technology","title":"A systematic threat analysis and defense strategies for the metaverse and extended reality systems","type":"article-journal","volume":"128"},"uris":["http://www.mendeley.com/documents/?uuid=300d642b-fc0d-32b3-805b-0421d13940c9"]}],"mendeley":{"formattedCitation":"[214]","plainTextFormattedCitation":"[214]","previouslyFormattedCitation":"[214]"},"properties":{"noteIndex":0},"schema":"https://github.com/citation-style-language/schema/raw/master/csl-citation.json"}</w:instrText>
            </w:r>
            <w:r w:rsidR="008473C5" w:rsidRPr="003676D3">
              <w:rPr>
                <w:rFonts w:ascii="Times New Roman" w:hAnsi="Times New Roman" w:cs="Times New Roman"/>
                <w:sz w:val="20"/>
                <w:szCs w:val="20"/>
              </w:rPr>
              <w:fldChar w:fldCharType="separate"/>
            </w:r>
            <w:r w:rsidR="00C312C2" w:rsidRPr="003676D3">
              <w:rPr>
                <w:rFonts w:ascii="Times New Roman" w:hAnsi="Times New Roman" w:cs="Times New Roman"/>
                <w:noProof/>
                <w:sz w:val="20"/>
                <w:szCs w:val="20"/>
              </w:rPr>
              <w:t>[214]</w:t>
            </w:r>
            <w:r w:rsidR="008473C5" w:rsidRPr="003676D3">
              <w:rPr>
                <w:rFonts w:ascii="Times New Roman" w:hAnsi="Times New Roman" w:cs="Times New Roman"/>
                <w:sz w:val="20"/>
                <w:szCs w:val="20"/>
              </w:rPr>
              <w:fldChar w:fldCharType="end"/>
            </w:r>
            <w:r w:rsidRPr="003676D3">
              <w:rPr>
                <w:rFonts w:ascii="Times New Roman" w:hAnsi="Times New Roman" w:cs="Times New Roman"/>
                <w:sz w:val="20"/>
                <w:szCs w:val="20"/>
              </w:rPr>
              <w:t>.</w:t>
            </w:r>
          </w:p>
        </w:tc>
      </w:tr>
      <w:tr w:rsidR="00CC49AF" w:rsidRPr="003676D3" w14:paraId="2D901B04" w14:textId="77777777" w:rsidTr="00ED5CE9">
        <w:trPr>
          <w:cnfStyle w:val="000000100000" w:firstRow="0" w:lastRow="0" w:firstColumn="0" w:lastColumn="0" w:oddVBand="0" w:evenVBand="0" w:oddHBand="1" w:evenHBand="0" w:firstRowFirstColumn="0" w:firstRowLastColumn="0" w:lastRowFirstColumn="0" w:lastRowLastColumn="0"/>
          <w:trHeight w:val="1358"/>
        </w:trPr>
        <w:tc>
          <w:tcPr>
            <w:tcW w:w="979" w:type="pct"/>
            <w:vAlign w:val="center"/>
            <w:hideMark/>
          </w:tcPr>
          <w:p w14:paraId="0505A410" w14:textId="1BCBECE8"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Data Management</w:t>
            </w:r>
            <w:r w:rsidR="008473C5" w:rsidRPr="003676D3">
              <w:rPr>
                <w:rFonts w:ascii="Times New Roman" w:hAnsi="Times New Roman" w:cs="Times New Roman"/>
                <w:sz w:val="20"/>
                <w:szCs w:val="20"/>
              </w:rPr>
              <w:t xml:space="preserve"> </w:t>
            </w:r>
            <w:r w:rsidR="008473C5" w:rsidRPr="003676D3">
              <w:rPr>
                <w:rFonts w:ascii="Times New Roman" w:hAnsi="Times New Roman" w:cs="Times New Roman"/>
                <w:sz w:val="20"/>
                <w:szCs w:val="20"/>
              </w:rPr>
              <w:fldChar w:fldCharType="begin" w:fldLock="1"/>
            </w:r>
            <w:r w:rsidR="00C312C2" w:rsidRPr="003676D3">
              <w:rPr>
                <w:rFonts w:ascii="Times New Roman" w:hAnsi="Times New Roman" w:cs="Times New Roman"/>
                <w:sz w:val="20"/>
                <w:szCs w:val="20"/>
              </w:rPr>
              <w:instrText>ADDIN CSL_CITATION {"citationItems":[{"id":"ITEM-1","itemData":{"URL":"https://wp.sigmod.org/?p=3481","accessed":{"date-parts":[["2024","5","20"]]},"id":"ITEM-1","issued":{"date-parts":[["0"]]},"title":"Data Management For The Metaverse – ACM SIGMOD Blog","type":"webpage"},"uris":["http://www.mendeley.com/documents/?uuid=73ed3a79-5d5a-3389-82bb-3f79ab5bd970"]}],"mendeley":{"formattedCitation":"[215]","plainTextFormattedCitation":"[215]","previouslyFormattedCitation":"[215]"},"properties":{"noteIndex":0},"schema":"https://github.com/citation-style-language/schema/raw/master/csl-citation.json"}</w:instrText>
            </w:r>
            <w:r w:rsidR="008473C5" w:rsidRPr="003676D3">
              <w:rPr>
                <w:rFonts w:ascii="Times New Roman" w:hAnsi="Times New Roman" w:cs="Times New Roman"/>
                <w:sz w:val="20"/>
                <w:szCs w:val="20"/>
              </w:rPr>
              <w:fldChar w:fldCharType="separate"/>
            </w:r>
            <w:r w:rsidR="00C312C2" w:rsidRPr="003676D3">
              <w:rPr>
                <w:rFonts w:ascii="Times New Roman" w:hAnsi="Times New Roman" w:cs="Times New Roman"/>
                <w:noProof/>
                <w:sz w:val="20"/>
                <w:szCs w:val="20"/>
              </w:rPr>
              <w:t>[215]</w:t>
            </w:r>
            <w:r w:rsidR="008473C5" w:rsidRPr="003676D3">
              <w:rPr>
                <w:rFonts w:ascii="Times New Roman" w:hAnsi="Times New Roman" w:cs="Times New Roman"/>
                <w:sz w:val="20"/>
                <w:szCs w:val="20"/>
              </w:rPr>
              <w:fldChar w:fldCharType="end"/>
            </w:r>
          </w:p>
        </w:tc>
        <w:tc>
          <w:tcPr>
            <w:tcW w:w="1823" w:type="pct"/>
            <w:vAlign w:val="center"/>
            <w:hideMark/>
          </w:tcPr>
          <w:p w14:paraId="4473BD06" w14:textId="34E54F31" w:rsidR="00EC029C" w:rsidRPr="003676D3" w:rsidRDefault="00277732"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Large volume of data need to be processed</w:t>
            </w:r>
            <w:r w:rsidR="00EC029C" w:rsidRPr="003676D3">
              <w:rPr>
                <w:rFonts w:ascii="Times New Roman" w:hAnsi="Times New Roman" w:cs="Times New Roman"/>
                <w:sz w:val="20"/>
                <w:szCs w:val="20"/>
              </w:rPr>
              <w:t xml:space="preserve"> and integrate. Also, heterogeneous storage need increased</w:t>
            </w:r>
          </w:p>
        </w:tc>
        <w:tc>
          <w:tcPr>
            <w:tcW w:w="2198" w:type="pct"/>
            <w:vAlign w:val="center"/>
            <w:hideMark/>
          </w:tcPr>
          <w:p w14:paraId="27276666" w14:textId="34BC010E"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 xml:space="preserve">Design </w:t>
            </w:r>
            <w:r w:rsidR="00277732" w:rsidRPr="003676D3">
              <w:rPr>
                <w:rFonts w:ascii="Times New Roman" w:hAnsi="Times New Roman" w:cs="Times New Roman"/>
                <w:sz w:val="20"/>
                <w:szCs w:val="20"/>
              </w:rPr>
              <w:t>algorithms which are context-aware and novel</w:t>
            </w:r>
            <w:r w:rsidRPr="003676D3">
              <w:rPr>
                <w:rFonts w:ascii="Times New Roman" w:hAnsi="Times New Roman" w:cs="Times New Roman"/>
                <w:sz w:val="20"/>
                <w:szCs w:val="20"/>
              </w:rPr>
              <w:t xml:space="preserve"> approximation operators. Use pf AI, IoT and fast computing methods.</w:t>
            </w:r>
          </w:p>
        </w:tc>
      </w:tr>
      <w:tr w:rsidR="00CC49AF" w:rsidRPr="003676D3" w14:paraId="4E62B4E8" w14:textId="77777777" w:rsidTr="00ED5CE9">
        <w:trPr>
          <w:trHeight w:val="1358"/>
        </w:trPr>
        <w:tc>
          <w:tcPr>
            <w:tcW w:w="979" w:type="pct"/>
            <w:vAlign w:val="center"/>
            <w:hideMark/>
          </w:tcPr>
          <w:p w14:paraId="0C6938A1" w14:textId="0F235721"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Governance and Law</w:t>
            </w:r>
            <w:r w:rsidR="008473C5" w:rsidRPr="003676D3">
              <w:rPr>
                <w:rFonts w:ascii="Times New Roman" w:hAnsi="Times New Roman" w:cs="Times New Roman"/>
                <w:sz w:val="20"/>
                <w:szCs w:val="20"/>
              </w:rPr>
              <w:t xml:space="preserve"> </w:t>
            </w:r>
            <w:r w:rsidR="008473C5" w:rsidRPr="003676D3">
              <w:rPr>
                <w:rFonts w:ascii="Times New Roman" w:hAnsi="Times New Roman" w:cs="Times New Roman"/>
                <w:sz w:val="20"/>
                <w:szCs w:val="20"/>
              </w:rPr>
              <w:fldChar w:fldCharType="begin" w:fldLock="1"/>
            </w:r>
            <w:r w:rsidR="00C312C2" w:rsidRPr="003676D3">
              <w:rPr>
                <w:rFonts w:ascii="Times New Roman" w:hAnsi="Times New Roman" w:cs="Times New Roman"/>
                <w:sz w:val="20"/>
                <w:szCs w:val="20"/>
              </w:rPr>
              <w:instrText>ADDIN CSL_CITATION {"citationItems":[{"id":"ITEM-1","itemData":{"URL":"https://bsabh.com/knowledge-hub/news/no-country-has-jurisdiction-over-the-metaverse-yet","accessed":{"date-parts":[["2024","5","20"]]},"id":"ITEM-1","issued":{"date-parts":[["0"]]},"title":"No country has jurisdiction over the metaverse (yet) | BSA Middle East Law Firm","type":"webpage"},"uris":["http://www.mendeley.com/documents/?uuid=f343e23f-abee-350d-a03e-50f2d811195a"]}],"mendeley":{"formattedCitation":"[216]","plainTextFormattedCitation":"[216]","previouslyFormattedCitation":"[216]"},"properties":{"noteIndex":0},"schema":"https://github.com/citation-style-language/schema/raw/master/csl-citation.json"}</w:instrText>
            </w:r>
            <w:r w:rsidR="008473C5" w:rsidRPr="003676D3">
              <w:rPr>
                <w:rFonts w:ascii="Times New Roman" w:hAnsi="Times New Roman" w:cs="Times New Roman"/>
                <w:sz w:val="20"/>
                <w:szCs w:val="20"/>
              </w:rPr>
              <w:fldChar w:fldCharType="separate"/>
            </w:r>
            <w:r w:rsidR="00C312C2" w:rsidRPr="003676D3">
              <w:rPr>
                <w:rFonts w:ascii="Times New Roman" w:hAnsi="Times New Roman" w:cs="Times New Roman"/>
                <w:noProof/>
                <w:sz w:val="20"/>
                <w:szCs w:val="20"/>
              </w:rPr>
              <w:t>[216]</w:t>
            </w:r>
            <w:r w:rsidR="008473C5" w:rsidRPr="003676D3">
              <w:rPr>
                <w:rFonts w:ascii="Times New Roman" w:hAnsi="Times New Roman" w:cs="Times New Roman"/>
                <w:sz w:val="20"/>
                <w:szCs w:val="20"/>
              </w:rPr>
              <w:fldChar w:fldCharType="end"/>
            </w:r>
          </w:p>
        </w:tc>
        <w:tc>
          <w:tcPr>
            <w:tcW w:w="1823" w:type="pct"/>
            <w:vAlign w:val="center"/>
            <w:hideMark/>
          </w:tcPr>
          <w:p w14:paraId="3BAE399A" w14:textId="77777777"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 xml:space="preserve">Traditional institutions and physical premises required for resolving conflicts. </w:t>
            </w:r>
            <w:proofErr w:type="spellStart"/>
            <w:r w:rsidRPr="003676D3">
              <w:rPr>
                <w:rFonts w:ascii="Times New Roman" w:hAnsi="Times New Roman" w:cs="Times New Roman"/>
                <w:sz w:val="20"/>
                <w:szCs w:val="20"/>
              </w:rPr>
              <w:t>Well crafted</w:t>
            </w:r>
            <w:proofErr w:type="spellEnd"/>
            <w:r w:rsidRPr="003676D3">
              <w:rPr>
                <w:rFonts w:ascii="Times New Roman" w:hAnsi="Times New Roman" w:cs="Times New Roman"/>
                <w:sz w:val="20"/>
                <w:szCs w:val="20"/>
              </w:rPr>
              <w:t xml:space="preserve"> Energy and Power policies require that address every problem.</w:t>
            </w:r>
          </w:p>
        </w:tc>
        <w:tc>
          <w:tcPr>
            <w:tcW w:w="2198" w:type="pct"/>
            <w:vAlign w:val="center"/>
            <w:hideMark/>
          </w:tcPr>
          <w:p w14:paraId="25E49CDE" w14:textId="77777777"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A decentralized governance system for virtual space having transparent conflict resolution system. Policies are crafted with the support of generative AI.</w:t>
            </w:r>
          </w:p>
        </w:tc>
      </w:tr>
      <w:tr w:rsidR="00CC49AF" w:rsidRPr="003676D3" w14:paraId="2FA19F7B" w14:textId="77777777" w:rsidTr="00ED5CE9">
        <w:trPr>
          <w:cnfStyle w:val="000000100000" w:firstRow="0" w:lastRow="0" w:firstColumn="0" w:lastColumn="0" w:oddVBand="0" w:evenVBand="0" w:oddHBand="1" w:evenHBand="0" w:firstRowFirstColumn="0" w:firstRowLastColumn="0" w:lastRowFirstColumn="0" w:lastRowLastColumn="0"/>
          <w:trHeight w:val="1358"/>
        </w:trPr>
        <w:tc>
          <w:tcPr>
            <w:tcW w:w="979" w:type="pct"/>
            <w:vAlign w:val="center"/>
            <w:hideMark/>
          </w:tcPr>
          <w:p w14:paraId="3BC31454" w14:textId="77777777"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Monetarily Transactions</w:t>
            </w:r>
          </w:p>
        </w:tc>
        <w:tc>
          <w:tcPr>
            <w:tcW w:w="1823" w:type="pct"/>
            <w:vAlign w:val="center"/>
            <w:hideMark/>
          </w:tcPr>
          <w:p w14:paraId="45EFB182" w14:textId="77777777"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Traceable transactions with high security measures</w:t>
            </w:r>
          </w:p>
        </w:tc>
        <w:tc>
          <w:tcPr>
            <w:tcW w:w="2198" w:type="pct"/>
            <w:vAlign w:val="center"/>
            <w:hideMark/>
          </w:tcPr>
          <w:p w14:paraId="17799DA6" w14:textId="12887447" w:rsidR="00EC029C" w:rsidRPr="003676D3" w:rsidRDefault="00EC029C" w:rsidP="003676D3">
            <w:pPr>
              <w:spacing w:line="276" w:lineRule="auto"/>
              <w:jc w:val="both"/>
              <w:rPr>
                <w:rFonts w:ascii="Times New Roman" w:hAnsi="Times New Roman" w:cs="Times New Roman"/>
                <w:sz w:val="20"/>
                <w:szCs w:val="20"/>
              </w:rPr>
            </w:pPr>
            <w:r w:rsidRPr="003676D3">
              <w:rPr>
                <w:rFonts w:ascii="Times New Roman" w:hAnsi="Times New Roman" w:cs="Times New Roman"/>
                <w:sz w:val="20"/>
                <w:szCs w:val="20"/>
              </w:rPr>
              <w:t xml:space="preserve">Block-chain ensures immutability of transactions and storage. Transactions would be virtual, </w:t>
            </w:r>
            <w:r w:rsidR="00277732" w:rsidRPr="003676D3">
              <w:rPr>
                <w:rFonts w:ascii="Times New Roman" w:hAnsi="Times New Roman" w:cs="Times New Roman"/>
                <w:sz w:val="20"/>
                <w:szCs w:val="20"/>
              </w:rPr>
              <w:t>encrypted and anonymous</w:t>
            </w:r>
            <w:r w:rsidRPr="003676D3">
              <w:rPr>
                <w:rFonts w:ascii="Times New Roman" w:hAnsi="Times New Roman" w:cs="Times New Roman"/>
                <w:sz w:val="20"/>
                <w:szCs w:val="20"/>
              </w:rPr>
              <w:t>.</w:t>
            </w:r>
          </w:p>
        </w:tc>
      </w:tr>
    </w:tbl>
    <w:p w14:paraId="42F39364" w14:textId="77777777" w:rsidR="00EC029C" w:rsidRPr="003676D3" w:rsidRDefault="00EC029C" w:rsidP="003676D3">
      <w:pPr>
        <w:spacing w:line="276" w:lineRule="auto"/>
        <w:jc w:val="both"/>
        <w:rPr>
          <w:rFonts w:ascii="Times New Roman" w:hAnsi="Times New Roman" w:cs="Times New Roman"/>
          <w:sz w:val="24"/>
          <w:szCs w:val="24"/>
        </w:rPr>
      </w:pPr>
    </w:p>
    <w:p w14:paraId="10D4D062" w14:textId="3517386C" w:rsidR="00EC029C" w:rsidRPr="003676D3" w:rsidRDefault="00572084"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It is very challenging to e</w:t>
      </w:r>
      <w:r w:rsidR="004F1909" w:rsidRPr="003676D3">
        <w:rPr>
          <w:rFonts w:ascii="Times New Roman" w:hAnsi="Times New Roman" w:cs="Times New Roman"/>
          <w:sz w:val="24"/>
          <w:szCs w:val="24"/>
        </w:rPr>
        <w:t>nforc</w:t>
      </w:r>
      <w:r w:rsidRPr="003676D3">
        <w:rPr>
          <w:rFonts w:ascii="Times New Roman" w:hAnsi="Times New Roman" w:cs="Times New Roman"/>
          <w:sz w:val="24"/>
          <w:szCs w:val="24"/>
        </w:rPr>
        <w:t>e</w:t>
      </w:r>
      <w:r w:rsidR="004F1909" w:rsidRPr="003676D3">
        <w:rPr>
          <w:rFonts w:ascii="Times New Roman" w:hAnsi="Times New Roman" w:cs="Times New Roman"/>
          <w:sz w:val="24"/>
          <w:szCs w:val="24"/>
        </w:rPr>
        <w:t xml:space="preserve"> laws in the metaverse due to its virtual nature</w:t>
      </w:r>
      <w:r w:rsidRPr="003676D3">
        <w:rPr>
          <w:rFonts w:ascii="Times New Roman" w:hAnsi="Times New Roman" w:cs="Times New Roman"/>
          <w:sz w:val="24"/>
          <w:szCs w:val="24"/>
        </w:rPr>
        <w:t xml:space="preserve">. Another reasons include </w:t>
      </w:r>
      <w:r w:rsidR="004F1909" w:rsidRPr="003676D3">
        <w:rPr>
          <w:rFonts w:ascii="Times New Roman" w:hAnsi="Times New Roman" w:cs="Times New Roman"/>
          <w:sz w:val="24"/>
          <w:szCs w:val="24"/>
        </w:rPr>
        <w:t>the use of anonymous</w:t>
      </w:r>
      <w:r w:rsidRPr="003676D3">
        <w:rPr>
          <w:rFonts w:ascii="Times New Roman" w:hAnsi="Times New Roman" w:cs="Times New Roman"/>
          <w:sz w:val="24"/>
          <w:szCs w:val="24"/>
        </w:rPr>
        <w:t xml:space="preserve"> and </w:t>
      </w:r>
      <w:r w:rsidR="004F1909" w:rsidRPr="003676D3">
        <w:rPr>
          <w:rFonts w:ascii="Times New Roman" w:hAnsi="Times New Roman" w:cs="Times New Roman"/>
          <w:sz w:val="24"/>
          <w:szCs w:val="24"/>
        </w:rPr>
        <w:t>encrypted cryptocurrency transactions</w:t>
      </w:r>
      <w:r w:rsidR="00F6280D" w:rsidRPr="003676D3">
        <w:rPr>
          <w:rFonts w:ascii="Times New Roman" w:hAnsi="Times New Roman" w:cs="Times New Roman"/>
          <w:sz w:val="24"/>
          <w:szCs w:val="24"/>
        </w:rPr>
        <w:t xml:space="preserve"> </w:t>
      </w:r>
      <w:r w:rsidR="00F6280D" w:rsidRPr="003676D3">
        <w:rPr>
          <w:rFonts w:ascii="Times New Roman" w:hAnsi="Times New Roman" w:cs="Times New Roman"/>
          <w:sz w:val="24"/>
          <w:szCs w:val="24"/>
        </w:rPr>
        <w:fldChar w:fldCharType="begin" w:fldLock="1"/>
      </w:r>
      <w:r w:rsidR="00F6280D" w:rsidRPr="003676D3">
        <w:rPr>
          <w:rFonts w:ascii="Times New Roman" w:hAnsi="Times New Roman" w:cs="Times New Roman"/>
          <w:sz w:val="24"/>
          <w:szCs w:val="24"/>
        </w:rPr>
        <w:instrText>ADDIN CSL_CITATION {"citationItems":[{"id":"ITEM-1","itemData":{"DOI":"10.1016/J.FRL.2022.102742","ISSN":"1544-6123","abstract":"The combination of blockchain technologies and the gaming industry has given rise to metaverses and play-to-earn games, which incorporate their own economy, commerce, and currencies, namely, metaverse and play-to-earn tokens. In this study, we analysed the performance and dynamics of 174 tokens, showing that this new crypto niche is characterised by (i) a positive performance in the long run, (ii) the absence of high co-movements with the cryptocurrency market, (iii) the emergence of bubbles, (iv) and the absence of high correlations with NFT features, such as number of transactions, sales and Google searches.","author":[{"dropping-particle":"","family":"Vidal-Tomás","given":"David","non-dropping-particle":"","parse-names":false,"suffix":""}],"container-title":"Finance Research Letters","id":"ITEM-1","issued":{"date-parts":[["2022","6","1"]]},"page":"102742","publisher":"Elsevier","title":"The new crypto niche: NFTs, play-to-earn, and metaverse tokens","type":"article-journal","volume":"47"},"uris":["http://www.mendeley.com/documents/?uuid=de985f31-c4e2-3d93-be47-f6efb34e808e"]},{"id":"ITEM-2","itemData":{"DOI":"10.1016/J.IRFA.2023.102560","ISSN":"1057-5219","abstract":"This paper provides (i) a review of the existing literature on the metaverse and (ii) an empirical assessment of the current state of the Web3 meta-economy, with the focus on economic governance and metaverse commerce. We have analysed the entire Web3 metaverse niche, i.e. both the 196 available metaverse fungible tokens and all the non-fungible token (NFT) transactions belonging to the metaverse marketplace. Our results showed that economic governance is based on metaverse tokens that cannot be defined as reliable virtual currencies due to their explosive behaviour, negative performance, and higher volatility compared to traditional alternatives. Paradoxically, fiat currencies and stablecoins could be more appropriate candidates for the payment infrastructure. Moreover, we also observed that NFT prices are affected by the cryptocurrency market, which highlights the risk of metaverse commerce. For future research, developers and scholars must assess the different alternatives and infrastructures that can make the metaverse a persistent reality with a proper virtual economy. However, at present, it seems that the hype has run far ahead of reality.","author":[{"dropping-particle":"","family":"Vidal-Tomás","given":"David","non-dropping-particle":"","parse-names":false,"suffix":""}],"container-title":"International Review of Financial Analysis","id":"ITEM-2","issued":{"date-parts":[["2023","3","1"]]},"page":"102560","publisher":"North-Holland","title":"The illusion of the metaverse and meta-economy","type":"article-journal","volume":"86"},"uris":["http://www.mendeley.com/documents/?uuid=48520336-25c3-3376-a40e-d1a4b68830a6"]}],"mendeley":{"formattedCitation":"[145,182]","plainTextFormattedCitation":"[145,182]","previouslyFormattedCitation":"[145,182]"},"properties":{"noteIndex":0},"schema":"https://github.com/citation-style-language/schema/raw/master/csl-citation.json"}</w:instrText>
      </w:r>
      <w:r w:rsidR="00F6280D" w:rsidRPr="003676D3">
        <w:rPr>
          <w:rFonts w:ascii="Times New Roman" w:hAnsi="Times New Roman" w:cs="Times New Roman"/>
          <w:sz w:val="24"/>
          <w:szCs w:val="24"/>
        </w:rPr>
        <w:fldChar w:fldCharType="separate"/>
      </w:r>
      <w:r w:rsidR="00F6280D" w:rsidRPr="003676D3">
        <w:rPr>
          <w:rFonts w:ascii="Times New Roman" w:hAnsi="Times New Roman" w:cs="Times New Roman"/>
          <w:noProof/>
          <w:sz w:val="24"/>
          <w:szCs w:val="24"/>
        </w:rPr>
        <w:t>[145,182]</w:t>
      </w:r>
      <w:r w:rsidR="00F6280D" w:rsidRPr="003676D3">
        <w:rPr>
          <w:rFonts w:ascii="Times New Roman" w:hAnsi="Times New Roman" w:cs="Times New Roman"/>
          <w:sz w:val="24"/>
          <w:szCs w:val="24"/>
        </w:rPr>
        <w:fldChar w:fldCharType="end"/>
      </w:r>
      <w:r w:rsidR="004F1909" w:rsidRPr="003676D3">
        <w:rPr>
          <w:rFonts w:ascii="Times New Roman" w:hAnsi="Times New Roman" w:cs="Times New Roman"/>
          <w:sz w:val="24"/>
          <w:szCs w:val="24"/>
        </w:rPr>
        <w:t xml:space="preserve">. </w:t>
      </w:r>
      <w:r w:rsidR="00396778" w:rsidRPr="003676D3">
        <w:rPr>
          <w:rFonts w:ascii="Times New Roman" w:hAnsi="Times New Roman" w:cs="Times New Roman"/>
          <w:sz w:val="24"/>
          <w:szCs w:val="24"/>
        </w:rPr>
        <w:t>This complicates</w:t>
      </w:r>
      <w:r w:rsidR="004F1909" w:rsidRPr="003676D3">
        <w:rPr>
          <w:rFonts w:ascii="Times New Roman" w:hAnsi="Times New Roman" w:cs="Times New Roman"/>
          <w:sz w:val="24"/>
          <w:szCs w:val="24"/>
        </w:rPr>
        <w:t xml:space="preserve"> accountability for</w:t>
      </w:r>
      <w:r w:rsidR="00277732" w:rsidRPr="003676D3">
        <w:rPr>
          <w:rFonts w:ascii="Times New Roman" w:hAnsi="Times New Roman" w:cs="Times New Roman"/>
          <w:sz w:val="24"/>
          <w:szCs w:val="24"/>
        </w:rPr>
        <w:t xml:space="preserve"> data theft. </w:t>
      </w:r>
      <w:r w:rsidR="004A15C3" w:rsidRPr="003676D3">
        <w:rPr>
          <w:rFonts w:ascii="Times New Roman" w:hAnsi="Times New Roman" w:cs="Times New Roman"/>
          <w:sz w:val="24"/>
          <w:szCs w:val="24"/>
        </w:rPr>
        <w:t xml:space="preserve">In </w:t>
      </w:r>
      <w:r w:rsidR="00277732" w:rsidRPr="003676D3">
        <w:rPr>
          <w:rFonts w:ascii="Times New Roman" w:hAnsi="Times New Roman" w:cs="Times New Roman"/>
          <w:sz w:val="24"/>
          <w:szCs w:val="24"/>
        </w:rPr>
        <w:t>M</w:t>
      </w:r>
      <w:r w:rsidR="004F1909" w:rsidRPr="003676D3">
        <w:rPr>
          <w:rFonts w:ascii="Times New Roman" w:hAnsi="Times New Roman" w:cs="Times New Roman"/>
          <w:sz w:val="24"/>
          <w:szCs w:val="24"/>
        </w:rPr>
        <w:t>etaverse</w:t>
      </w:r>
      <w:r w:rsidR="001A3314" w:rsidRPr="003676D3">
        <w:rPr>
          <w:rFonts w:ascii="Times New Roman" w:hAnsi="Times New Roman" w:cs="Times New Roman"/>
          <w:sz w:val="24"/>
          <w:szCs w:val="24"/>
        </w:rPr>
        <w:t xml:space="preserve"> no physical entity is present for handling complains. </w:t>
      </w:r>
      <w:r w:rsidR="00B55F4F" w:rsidRPr="003676D3">
        <w:rPr>
          <w:rFonts w:ascii="Times New Roman" w:hAnsi="Times New Roman" w:cs="Times New Roman"/>
          <w:sz w:val="24"/>
          <w:szCs w:val="24"/>
        </w:rPr>
        <w:t xml:space="preserve">That is the reason behind its </w:t>
      </w:r>
      <w:r w:rsidR="004F1909" w:rsidRPr="003676D3">
        <w:rPr>
          <w:rFonts w:ascii="Times New Roman" w:hAnsi="Times New Roman" w:cs="Times New Roman"/>
          <w:sz w:val="24"/>
          <w:szCs w:val="24"/>
        </w:rPr>
        <w:t>lack</w:t>
      </w:r>
      <w:r w:rsidR="00B55F4F" w:rsidRPr="003676D3">
        <w:rPr>
          <w:rFonts w:ascii="Times New Roman" w:hAnsi="Times New Roman" w:cs="Times New Roman"/>
          <w:sz w:val="24"/>
          <w:szCs w:val="24"/>
        </w:rPr>
        <w:t xml:space="preserve"> of</w:t>
      </w:r>
      <w:r w:rsidR="00277732" w:rsidRPr="003676D3">
        <w:rPr>
          <w:rFonts w:ascii="Times New Roman" w:hAnsi="Times New Roman" w:cs="Times New Roman"/>
          <w:sz w:val="24"/>
          <w:szCs w:val="24"/>
        </w:rPr>
        <w:t xml:space="preserve"> consumer protection and</w:t>
      </w:r>
      <w:r w:rsidR="004F1909" w:rsidRPr="003676D3">
        <w:rPr>
          <w:rFonts w:ascii="Times New Roman" w:hAnsi="Times New Roman" w:cs="Times New Roman"/>
          <w:sz w:val="24"/>
          <w:szCs w:val="24"/>
        </w:rPr>
        <w:t xml:space="preserve"> traditional re</w:t>
      </w:r>
      <w:r w:rsidR="00277732" w:rsidRPr="003676D3">
        <w:rPr>
          <w:rFonts w:ascii="Times New Roman" w:hAnsi="Times New Roman" w:cs="Times New Roman"/>
          <w:sz w:val="24"/>
          <w:szCs w:val="24"/>
        </w:rPr>
        <w:t>gulation</w:t>
      </w:r>
      <w:r w:rsidR="004F1909" w:rsidRPr="003676D3">
        <w:rPr>
          <w:rFonts w:ascii="Times New Roman" w:hAnsi="Times New Roman" w:cs="Times New Roman"/>
          <w:sz w:val="24"/>
          <w:szCs w:val="24"/>
        </w:rPr>
        <w:t xml:space="preserve">. </w:t>
      </w:r>
      <w:r w:rsidR="00D76519" w:rsidRPr="003676D3">
        <w:rPr>
          <w:rFonts w:ascii="Times New Roman" w:hAnsi="Times New Roman" w:cs="Times New Roman"/>
          <w:sz w:val="24"/>
          <w:szCs w:val="24"/>
        </w:rPr>
        <w:t>New legislation is needed to address virtual crimes</w:t>
      </w:r>
      <w:r w:rsidR="00D27EB7" w:rsidRPr="003676D3">
        <w:rPr>
          <w:rFonts w:ascii="Times New Roman" w:hAnsi="Times New Roman" w:cs="Times New Roman"/>
          <w:sz w:val="24"/>
          <w:szCs w:val="24"/>
        </w:rPr>
        <w:t xml:space="preserve">. Even for this challenge, there exists ambiguity in </w:t>
      </w:r>
      <w:r w:rsidR="00D76519" w:rsidRPr="003676D3">
        <w:rPr>
          <w:rFonts w:ascii="Times New Roman" w:hAnsi="Times New Roman" w:cs="Times New Roman"/>
          <w:sz w:val="24"/>
          <w:szCs w:val="24"/>
        </w:rPr>
        <w:t xml:space="preserve">determining jurisdiction and enforcing laws. This is due to the intangible nature of virtual assets and </w:t>
      </w:r>
      <w:r w:rsidR="004D5C0E" w:rsidRPr="003676D3">
        <w:rPr>
          <w:rFonts w:ascii="Times New Roman" w:hAnsi="Times New Roman" w:cs="Times New Roman"/>
          <w:sz w:val="24"/>
          <w:szCs w:val="24"/>
        </w:rPr>
        <w:t>variety of</w:t>
      </w:r>
      <w:r w:rsidR="00D76519" w:rsidRPr="003676D3">
        <w:rPr>
          <w:rFonts w:ascii="Times New Roman" w:hAnsi="Times New Roman" w:cs="Times New Roman"/>
          <w:sz w:val="24"/>
          <w:szCs w:val="24"/>
        </w:rPr>
        <w:t xml:space="preserve"> legal frameworks. </w:t>
      </w:r>
      <w:r w:rsidR="004F1909" w:rsidRPr="003676D3">
        <w:rPr>
          <w:rFonts w:ascii="Times New Roman" w:hAnsi="Times New Roman" w:cs="Times New Roman"/>
          <w:sz w:val="24"/>
          <w:szCs w:val="24"/>
        </w:rPr>
        <w:t xml:space="preserve">Additionally, the metaverse </w:t>
      </w:r>
      <w:r w:rsidR="00396778" w:rsidRPr="003676D3">
        <w:rPr>
          <w:rFonts w:ascii="Times New Roman" w:hAnsi="Times New Roman" w:cs="Times New Roman"/>
          <w:sz w:val="24"/>
          <w:szCs w:val="24"/>
        </w:rPr>
        <w:t>introduces challenges</w:t>
      </w:r>
      <w:r w:rsidR="004F1909" w:rsidRPr="003676D3">
        <w:rPr>
          <w:rFonts w:ascii="Times New Roman" w:hAnsi="Times New Roman" w:cs="Times New Roman"/>
          <w:sz w:val="24"/>
          <w:szCs w:val="24"/>
        </w:rPr>
        <w:t xml:space="preserve"> including </w:t>
      </w:r>
      <w:r w:rsidR="00A86A12" w:rsidRPr="003676D3">
        <w:rPr>
          <w:rFonts w:ascii="Times New Roman" w:hAnsi="Times New Roman" w:cs="Times New Roman"/>
          <w:sz w:val="24"/>
          <w:szCs w:val="24"/>
        </w:rPr>
        <w:t>privacy breaches</w:t>
      </w:r>
      <w:r w:rsidR="00A33A51" w:rsidRPr="003676D3">
        <w:rPr>
          <w:rFonts w:ascii="Times New Roman" w:hAnsi="Times New Roman" w:cs="Times New Roman"/>
          <w:sz w:val="24"/>
          <w:szCs w:val="24"/>
        </w:rPr>
        <w:t xml:space="preserve"> and</w:t>
      </w:r>
      <w:r w:rsidR="00A86A12" w:rsidRPr="003676D3">
        <w:rPr>
          <w:rFonts w:ascii="Times New Roman" w:hAnsi="Times New Roman" w:cs="Times New Roman"/>
          <w:sz w:val="24"/>
          <w:szCs w:val="24"/>
        </w:rPr>
        <w:t xml:space="preserve"> </w:t>
      </w:r>
      <w:r w:rsidR="004F1909" w:rsidRPr="003676D3">
        <w:rPr>
          <w:rFonts w:ascii="Times New Roman" w:hAnsi="Times New Roman" w:cs="Times New Roman"/>
          <w:sz w:val="24"/>
          <w:szCs w:val="24"/>
        </w:rPr>
        <w:t>unauthorized ac</w:t>
      </w:r>
      <w:r w:rsidR="00A86A12" w:rsidRPr="003676D3">
        <w:rPr>
          <w:rFonts w:ascii="Times New Roman" w:hAnsi="Times New Roman" w:cs="Times New Roman"/>
          <w:sz w:val="24"/>
          <w:szCs w:val="24"/>
        </w:rPr>
        <w:t>cess to virtual infrastructure</w:t>
      </w:r>
      <w:r w:rsidR="00A33A51" w:rsidRPr="003676D3">
        <w:rPr>
          <w:rFonts w:ascii="Times New Roman" w:hAnsi="Times New Roman" w:cs="Times New Roman"/>
          <w:sz w:val="24"/>
          <w:szCs w:val="24"/>
        </w:rPr>
        <w:t>.</w:t>
      </w:r>
      <w:r w:rsidR="004334E7" w:rsidRPr="003676D3">
        <w:rPr>
          <w:rFonts w:ascii="Times New Roman" w:hAnsi="Times New Roman" w:cs="Times New Roman"/>
          <w:sz w:val="24"/>
          <w:szCs w:val="24"/>
        </w:rPr>
        <w:t xml:space="preserve"> Other challenges include</w:t>
      </w:r>
      <w:r w:rsidR="004F1909" w:rsidRPr="003676D3">
        <w:rPr>
          <w:rFonts w:ascii="Times New Roman" w:hAnsi="Times New Roman" w:cs="Times New Roman"/>
          <w:sz w:val="24"/>
          <w:szCs w:val="24"/>
        </w:rPr>
        <w:t xml:space="preserve"> data manip</w:t>
      </w:r>
      <w:r w:rsidR="00D76519" w:rsidRPr="003676D3">
        <w:rPr>
          <w:rFonts w:ascii="Times New Roman" w:hAnsi="Times New Roman" w:cs="Times New Roman"/>
          <w:sz w:val="24"/>
          <w:szCs w:val="24"/>
        </w:rPr>
        <w:t>ulation, and the need for comprehensive</w:t>
      </w:r>
      <w:r w:rsidR="004F1909" w:rsidRPr="003676D3">
        <w:rPr>
          <w:rFonts w:ascii="Times New Roman" w:hAnsi="Times New Roman" w:cs="Times New Roman"/>
          <w:sz w:val="24"/>
          <w:szCs w:val="24"/>
        </w:rPr>
        <w:t xml:space="preserve"> security measures to </w:t>
      </w:r>
      <w:r w:rsidR="004F1909" w:rsidRPr="003676D3">
        <w:rPr>
          <w:rFonts w:ascii="Times New Roman" w:hAnsi="Times New Roman" w:cs="Times New Roman"/>
          <w:sz w:val="24"/>
          <w:szCs w:val="24"/>
        </w:rPr>
        <w:lastRenderedPageBreak/>
        <w:t xml:space="preserve">safeguard both physical and </w:t>
      </w:r>
      <w:r w:rsidR="004334E7" w:rsidRPr="003676D3">
        <w:rPr>
          <w:rFonts w:ascii="Times New Roman" w:hAnsi="Times New Roman" w:cs="Times New Roman"/>
          <w:sz w:val="24"/>
          <w:szCs w:val="24"/>
        </w:rPr>
        <w:t>cyber</w:t>
      </w:r>
      <w:r w:rsidR="004F1909" w:rsidRPr="003676D3">
        <w:rPr>
          <w:rFonts w:ascii="Times New Roman" w:hAnsi="Times New Roman" w:cs="Times New Roman"/>
          <w:sz w:val="24"/>
          <w:szCs w:val="24"/>
        </w:rPr>
        <w:t xml:space="preserve"> </w:t>
      </w:r>
      <w:r w:rsidR="00D76519" w:rsidRPr="003676D3">
        <w:rPr>
          <w:rFonts w:ascii="Times New Roman" w:hAnsi="Times New Roman" w:cs="Times New Roman"/>
          <w:sz w:val="24"/>
          <w:szCs w:val="24"/>
        </w:rPr>
        <w:t>modules</w:t>
      </w:r>
      <w:r w:rsidR="004F1909" w:rsidRPr="003676D3">
        <w:rPr>
          <w:rFonts w:ascii="Times New Roman" w:hAnsi="Times New Roman" w:cs="Times New Roman"/>
          <w:sz w:val="24"/>
          <w:szCs w:val="24"/>
        </w:rPr>
        <w:t>. Addressing these issues is essential for ensuring user safety in the metaverse.</w:t>
      </w:r>
      <w:r w:rsidR="00EC029C" w:rsidRPr="003676D3">
        <w:rPr>
          <w:rFonts w:ascii="Times New Roman" w:hAnsi="Times New Roman" w:cs="Times New Roman"/>
          <w:sz w:val="24"/>
          <w:szCs w:val="24"/>
        </w:rPr>
        <w:t xml:space="preserve"> </w:t>
      </w:r>
    </w:p>
    <w:p w14:paraId="5BAC0A67" w14:textId="6D77048A" w:rsidR="0081302A" w:rsidRPr="003676D3" w:rsidRDefault="0081302A"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Super smart grids comprising of extensive energy internet of things (EIOT) has to face critical challenges like data security, privacy as well as latency issues</w:t>
      </w:r>
      <w:r w:rsidR="00F6280D" w:rsidRPr="003676D3">
        <w:rPr>
          <w:rFonts w:ascii="Times New Roman" w:hAnsi="Times New Roman" w:cs="Times New Roman"/>
          <w:sz w:val="24"/>
          <w:szCs w:val="24"/>
        </w:rPr>
        <w:t xml:space="preserve"> </w:t>
      </w:r>
      <w:r w:rsidR="00F6280D" w:rsidRPr="003676D3">
        <w:rPr>
          <w:rFonts w:ascii="Times New Roman" w:hAnsi="Times New Roman" w:cs="Times New Roman"/>
          <w:sz w:val="24"/>
          <w:szCs w:val="24"/>
        </w:rPr>
        <w:fldChar w:fldCharType="begin" w:fldLock="1"/>
      </w:r>
      <w:r w:rsidR="00C312C2" w:rsidRPr="003676D3">
        <w:rPr>
          <w:rFonts w:ascii="Times New Roman" w:hAnsi="Times New Roman" w:cs="Times New Roman"/>
          <w:sz w:val="24"/>
          <w:szCs w:val="24"/>
        </w:rPr>
        <w:instrText>ADDIN CSL_CITATION {"citationItems":[{"id":"ITEM-1","itemData":{"DOI":"10.1016/J.IOTCPS.2023.12.002","ISSN":"26673452","abstract":"The concept of a smart city is geared towards enhancing convenience and the efficient management of city areas through innovation. As Metaverse rises in the 2020s, providing the possible direction for a new generation of the Internet, it has a huge number of opportunities to promote smart cities. The Metaverse can empower smart cities in various aspects. In this article, we provide a detailed review of smart cities based on Metaverse technologies. Firstly, we introduce the Metaverse and smart cities and describe the future vision and applications of smart cities, which are based on the Metaverse. In addition, we discuss the essential technologies for smart cities in the Metaverse and the currently available solutions. Additionally, we have some concerns regarding the potential of Metaverse and there are still unresolved issues that should be addressed. The purpose of this article is to provide researchers and developers with essential guidance and opportunities to propel the development of the Metaverse and smart cities.","author":[{"dropping-particle":"","family":"Chen","given":"Zefeng","non-dropping-particle":"","parse-names":false,"suffix":""},{"dropping-particle":"","family":"Gan","given":"Wensheng","non-dropping-particle":"","parse-names":false,"suffix":""},{"dropping-particle":"","family":"Wu","given":"Jiayang","non-dropping-particle":"","parse-names":false,"suffix":""},{"dropping-particle":"","family":"Lin","given":"Hong","non-dropping-particle":"","parse-names":false,"suffix":""},{"dropping-particle":"","family":"Chen","given":"Chien Ming","non-dropping-particle":"","parse-names":false,"suffix":""}],"container-title":"Internet of Things and Cyber-Physical Systems","id":"ITEM-1","issued":{"date-parts":[["2024","1","1"]]},"page":"203-216","publisher":"KeAi Communications Co.","title":"Metaverse for smart cities: A survey","type":"article-journal","volume":"4"},"uris":["http://www.mendeley.com/documents/?uuid=d5a65010-7d88-39c4-b673-6e8bc1881742"]}],"mendeley":{"formattedCitation":"[217]","plainTextFormattedCitation":"[217]","previouslyFormattedCitation":"[217]"},"properties":{"noteIndex":0},"schema":"https://github.com/citation-style-language/schema/raw/master/csl-citation.json"}</w:instrText>
      </w:r>
      <w:r w:rsidR="00F6280D" w:rsidRPr="003676D3">
        <w:rPr>
          <w:rFonts w:ascii="Times New Roman" w:hAnsi="Times New Roman" w:cs="Times New Roman"/>
          <w:sz w:val="24"/>
          <w:szCs w:val="24"/>
        </w:rPr>
        <w:fldChar w:fldCharType="separate"/>
      </w:r>
      <w:r w:rsidR="00C312C2" w:rsidRPr="003676D3">
        <w:rPr>
          <w:rFonts w:ascii="Times New Roman" w:hAnsi="Times New Roman" w:cs="Times New Roman"/>
          <w:noProof/>
          <w:sz w:val="24"/>
          <w:szCs w:val="24"/>
        </w:rPr>
        <w:t>[217]</w:t>
      </w:r>
      <w:r w:rsidR="00F6280D"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due to high computation</w:t>
      </w:r>
      <w:r w:rsidR="004B4472" w:rsidRPr="003676D3">
        <w:rPr>
          <w:rFonts w:ascii="Times New Roman" w:hAnsi="Times New Roman" w:cs="Times New Roman"/>
          <w:sz w:val="24"/>
          <w:szCs w:val="24"/>
        </w:rPr>
        <w:t xml:space="preserve"> volume</w:t>
      </w:r>
      <w:r w:rsidRPr="003676D3">
        <w:rPr>
          <w:rFonts w:ascii="Times New Roman" w:hAnsi="Times New Roman" w:cs="Times New Roman"/>
          <w:sz w:val="24"/>
          <w:szCs w:val="24"/>
        </w:rPr>
        <w:t>.</w:t>
      </w:r>
      <w:r w:rsidR="004B4472" w:rsidRPr="003676D3">
        <w:rPr>
          <w:rFonts w:ascii="Times New Roman" w:hAnsi="Times New Roman" w:cs="Times New Roman"/>
          <w:sz w:val="24"/>
          <w:szCs w:val="24"/>
        </w:rPr>
        <w:t xml:space="preserve"> For this purpose, authentication schemes were employed with the help of </w:t>
      </w:r>
      <w:r w:rsidR="00D76519" w:rsidRPr="003676D3">
        <w:rPr>
          <w:rFonts w:ascii="Times New Roman" w:hAnsi="Times New Roman" w:cs="Times New Roman"/>
          <w:sz w:val="24"/>
          <w:szCs w:val="24"/>
        </w:rPr>
        <w:t xml:space="preserve">two-factor authentication (2FA), </w:t>
      </w:r>
      <w:r w:rsidR="004B4472" w:rsidRPr="003676D3">
        <w:rPr>
          <w:rFonts w:ascii="Times New Roman" w:hAnsi="Times New Roman" w:cs="Times New Roman"/>
          <w:sz w:val="24"/>
          <w:szCs w:val="24"/>
        </w:rPr>
        <w:t>ID based single</w:t>
      </w:r>
      <w:r w:rsidR="00F31851" w:rsidRPr="003676D3">
        <w:rPr>
          <w:rFonts w:ascii="Times New Roman" w:hAnsi="Times New Roman" w:cs="Times New Roman"/>
          <w:sz w:val="24"/>
          <w:szCs w:val="24"/>
        </w:rPr>
        <w:t xml:space="preserve"> factor authentication scheme</w:t>
      </w:r>
      <w:r w:rsidR="00D76519" w:rsidRPr="003676D3">
        <w:rPr>
          <w:rFonts w:ascii="Times New Roman" w:hAnsi="Times New Roman" w:cs="Times New Roman"/>
          <w:sz w:val="24"/>
          <w:szCs w:val="24"/>
        </w:rPr>
        <w:t xml:space="preserve"> and Public Key Infrastructure (PKI) </w:t>
      </w:r>
      <w:r w:rsidR="00F6280D" w:rsidRPr="003676D3">
        <w:rPr>
          <w:rFonts w:ascii="Times New Roman" w:hAnsi="Times New Roman" w:cs="Times New Roman"/>
          <w:sz w:val="24"/>
          <w:szCs w:val="24"/>
        </w:rPr>
        <w:fldChar w:fldCharType="begin" w:fldLock="1"/>
      </w:r>
      <w:r w:rsidR="00C312C2" w:rsidRPr="003676D3">
        <w:rPr>
          <w:rFonts w:ascii="Times New Roman" w:hAnsi="Times New Roman" w:cs="Times New Roman"/>
          <w:sz w:val="24"/>
          <w:szCs w:val="24"/>
        </w:rPr>
        <w:instrText>ADDIN CSL_CITATION {"citationItems":[{"id":"ITEM-1","itemData":{"DOI":"10.3390/CRYPTOGRAPHY2010001","ISSN":"2410387X","abstract":"Today, digitalization decisively penetrates all the sides of the modern society. One of the key enablers to maintain this process secure is authentication. It covers many different areas of a hyper-connected world, including online payments, communications, access right management, etc. This work sheds light on the evolution of authentication systems towards Multi-Factor Authentication (MFA) starting from Single-Factor Authentication (SFA) and through Two-Factor Authentication (2FA). Particularly, MFA is expected to be utilized for human-to-everything interactions by enabling fast, user-friendly, and reliable authentication when accessing a service. This paper surveys the already available and emerging sensors (factor providers) that allow for authenticating a user with the system directly or by involving the cloud. The corresponding challenges from the user as well as the service provider perspective are also reviewed. The MFA system based on reversed Lagrange polynomial within Shamir’s Secret Sharing (SSS) scheme is further proposed to enable more flexible authentication. This solution covers the cases of authenticating the user even if some of the factors are mismatched or absent. Our framework allows for qualifying the missing factors by authenticating the user without disclosing sensitive biometric data to the verification entity. Finally, a vision of the future trends in MFA is discussed.","author":[{"dropping-particle":"","family":"Ometov","given":"Aleksandr","non-dropping-particle":"","parse-names":false,"suffix":""},{"dropping-particle":"","family":"Bezzateev","given":"Sergey","non-dropping-particle":"","parse-names":false,"suffix":""},{"dropping-particle":"","family":"Mäkitalo","given":"Niko","non-dropping-particle":"","parse-names":false,"suffix":""},{"dropping-particle":"","family":"Andreev","given":"Sergey","non-dropping-particle":"","parse-names":false,"suffix":""},{"dropping-particle":"","family":"Mikkonen","given":"Tommi","non-dropping-particle":"","parse-names":false,"suffix":""},{"dropping-particle":"","family":"Koucheryavy","given":"Yevgeni","non-dropping-particle":"","parse-names":false,"suffix":""}],"container-title":"Cryptography","id":"ITEM-1","issue":"1","issued":{"date-parts":[["2018","3","1"]]},"page":"1-31","publisher":"MDPI AG","title":"Multi-factor authentication: A survey","type":"article-journal","volume":"2"},"uris":["http://www.mendeley.com/documents/?uuid=2c16e0a7-8a5e-3fec-9056-6002bc67cee0"]},{"id":"ITEM-2","itemData":{"DOI":"10.1145/2751323.2751327","ISBN":"9781450334792","abstract":"As text-based passwords continue to be the dominant form for user identiication today, services try to protect their costumers by ooering enhanced, and more secure, technologies for authen-tication. One of the most promising is two-factor authentication (2FA). 2FA raises the bar for the attacker signiicantly, however, it is still questionable if the technology can be realistically adopted by the majority of Internet users. In this paper, we attempt a arst study for quantifying the adoption of 2FA in probably the largest existing provider, namely Google. For achieving this, we leverage the password-reminder process in a novel way for discovering if 2FA is enabled for a particular account, without annoying or affecting the account's owner. Our technique has many challenges to overcome, since it requires issuing massively thousands of password reminders. In order to remain below the radar, and therefore avoid solving CAPTCHAs or having our hosts blocked, we leverage distributed systems, such as TOR and PlanetLab. After examining over 100,000 Google accounts, we conclude that 2FA has not yet been adopted by more than 6.4% of the users. Last but not least, as a side-eeect of our technique, we are also able to exxltrate private information, which can be potentially used for malicious purposes. Thus, in this paper we additionally present important for raising concerns about privacy risks in designing password reminders.","author":[{"dropping-particle":"","family":"Petsas","given":"T","non-dropping-particle":"","parse-names":false,"suffix":""},{"dropping-particle":"","family":"Tsirantonakis","given":"G","non-dropping-particle":"","parse-names":false,"suffix":""},{"dropping-particle":"","family":"…","given":"E Athanasopoulos - Proceedings of the","non-dropping-particle":"","parse-names":false,"suffix":""},{"dropping-particle":"","family":"2015","given":"undefined","non-dropping-particle":"","parse-names":false,"suffix":""}],"container-title":"dl.acm.orgT Petsas, G Tsirantonakis, E Athanasopoulos, S IoannidisProceedings of the eighth european workshop on system security, 2015•dl.acm.org","id":"ITEM-2","issued":{"date-parts":[["2015","4","21"]]},"publisher":"Association for Computing Machinery, Inc","title":"Two-factor authentication: is the world ready? Quantifying 2FA adoption","type":"article-journal"},"uris":["http://www.mendeley.com/documents/?uuid=d885da07-390e-35a8-bdd4-6b938adae796"]}],"mendeley":{"formattedCitation":"[218,219]","plainTextFormattedCitation":"[218,219]","previouslyFormattedCitation":"[218,219]"},"properties":{"noteIndex":0},"schema":"https://github.com/citation-style-language/schema/raw/master/csl-citation.json"}</w:instrText>
      </w:r>
      <w:r w:rsidR="00F6280D" w:rsidRPr="003676D3">
        <w:rPr>
          <w:rFonts w:ascii="Times New Roman" w:hAnsi="Times New Roman" w:cs="Times New Roman"/>
          <w:sz w:val="24"/>
          <w:szCs w:val="24"/>
        </w:rPr>
        <w:fldChar w:fldCharType="separate"/>
      </w:r>
      <w:r w:rsidR="00C312C2" w:rsidRPr="003676D3">
        <w:rPr>
          <w:rFonts w:ascii="Times New Roman" w:hAnsi="Times New Roman" w:cs="Times New Roman"/>
          <w:noProof/>
          <w:sz w:val="24"/>
          <w:szCs w:val="24"/>
        </w:rPr>
        <w:t>[218,219]</w:t>
      </w:r>
      <w:r w:rsidR="00F6280D" w:rsidRPr="003676D3">
        <w:rPr>
          <w:rFonts w:ascii="Times New Roman" w:hAnsi="Times New Roman" w:cs="Times New Roman"/>
          <w:sz w:val="24"/>
          <w:szCs w:val="24"/>
        </w:rPr>
        <w:fldChar w:fldCharType="end"/>
      </w:r>
      <w:r w:rsidR="00F6280D" w:rsidRPr="003676D3">
        <w:rPr>
          <w:rFonts w:ascii="Times New Roman" w:hAnsi="Times New Roman" w:cs="Times New Roman"/>
          <w:sz w:val="24"/>
          <w:szCs w:val="24"/>
        </w:rPr>
        <w:t xml:space="preserve"> </w:t>
      </w:r>
      <w:r w:rsidR="00F6280D" w:rsidRPr="003676D3">
        <w:rPr>
          <w:rFonts w:ascii="Times New Roman" w:hAnsi="Times New Roman" w:cs="Times New Roman"/>
          <w:sz w:val="24"/>
          <w:szCs w:val="24"/>
        </w:rPr>
        <w:fldChar w:fldCharType="begin" w:fldLock="1"/>
      </w:r>
      <w:r w:rsidR="00C312C2" w:rsidRPr="003676D3">
        <w:rPr>
          <w:rFonts w:ascii="Times New Roman" w:hAnsi="Times New Roman" w:cs="Times New Roman"/>
          <w:sz w:val="24"/>
          <w:szCs w:val="24"/>
        </w:rPr>
        <w:instrText>ADDIN CSL_CITATION {"citationItems":[{"id":"ITEM-1","itemData":{"DOI":"10.1109/TDSC.2014.2355850","abstract":"Despite two decades of intensive research, it remains a challenge to design a practical anonymous two-factor authentication scheme, for the designers are confronted with an impressive list of security requirements (e.g., resistance to smart card loss attack) and desirable attributes (e.g., local password update). Numerous solutions have been proposed, yet most of them are shortly found either unable to satisfy some critical security requirements or short of a few important features. To overcome this unsatisfactory situation, researchers often work around it in hopes of a new proposal (but no one has succeeded so far), while paying little attention to the fundamental question: whether or not there are inherent limitations that prevent us from designing an \"ideal\" scheme that satisfies all the desirable goals? In this work, we aim to provide a definite answer to this question. We first revisit two foremost proposals, i.e. Tsai et al.'s scheme and Li's scheme, revealing some subtleties and challenges in designing such schemes. Then, we systematically explore the inherent conflicts and unavoidable trade-offs among the design criteria. Our results indicate that, under the current widely accepted adversarial model, certain goals are beyond attainment. This also suggests a negative answer to the open problem left by Huang et al. in 2014. To the best of knowledge, the present study makes the first step towards understanding the underlying evaluation metric for anonymous two-factor authentication, which we believe will facilitate better design of anonymous two-factor protocols that offer acceptable trade-offs among usability, security and privacy. Index Terms-Two-factor authentication, user anonymity, offline dictionary attack, de-synchronization attack, smart card loss attack.","author":[{"dropping-particle":"","family":"Wang","given":"D","non-dropping-particle":"","parse-names":false,"suffix":""},{"dropping-particle":"","family":"He","given":"D","non-dropping-particle":"","parse-names":false,"suffix":""},{"dropping-particle":"","family":"Wang","given":"P","non-dropping-particle":"","parse-names":false,"suffix":""},{"dropping-particle":"","family":"on","given":"CH Chu - IEEE Transactions","non-dropping-particle":"","parse-names":false,"suffix":""},{"dropping-particle":"","family":"2014","given":"undefined","non-dropping-particle":"","parse-names":false,"suffix":""}],"container-title":"ieeexplore.ieee.orgD Wang, D He, P Wang, CH ChuIEEE Transactions on Dependable and Secure Computing, 2014•ieeexplore.ieee.org","id":"ITEM-1","issue":"4","issued":{"date-parts":[["2014","7","1"]]},"page":"428-442","publisher":"Institute of Electrical and Electronics Engineers Inc.","title":"Anonymous two-factor authentication in distributed systems: Certain goals are beyond attainment","type":"article-journal","volume":"12"},"uris":["http://www.mendeley.com/documents/?uuid=6b59f987-5b2b-37b8-85d5-c05b0e81f6aa"]},{"id":"ITEM-2","itemData":{"abstract":"Since the popularisation of the Internet in the 1990s, the cyberspace has kept evolving. We have created various computer-mediated virtual environments including social networks, video conferencing, virtual 3D worlds (e.g., VR Chat), augmented reality applications (e.g., Pokemon Go), and Non-Fungible Token Games (e.g., Upland). Such virtual environments, albeit non-perpetual and unconnected, have bought us various degrees of digital transformation. The term `metaverse' has been coined to further facilitate the digital transformation in every aspect of our physical lives. At the core of the metaverse stands the vision of an immersive Internet as a gigantic, unified, persistent, and shared realm. While the metaverse may seem futuristic, catalysed by emerging technologies such as Extended Reality, 5G, and Artificial Intelligence, the digital `big bang' of our cyberspace is not far away. This survey paper presents the first effort to offer a comprehensive framework that examines the latest metaverse development under the dimensions of state-of-the-art technologies and metaverse ecosystems, and illustrates the possibility of the digital `big bang'. First, technologies are the enablers that drive the transition from the current Internet to the metaverse. We thus examine eight enabling technologies rigorously - Extended Reality, User Interactivity (Human-Computer Interaction), Artificial Intelligence, Blockchain, Computer Vision, IoT and Robotics, Edge and Cloud computing, and Future Mobile Networks. In terms of applications, the metaverse ecosystem allows human users to live and play within a self-sustaining, persistent, and shared realm. Therefore, we discuss six user-centric factors -- Avatar, Content Creation, Virtual Economy, Social Acceptability, Security and Privacy, and Trust and Accountability. Finally, we propose a concrete research agenda for the development of the metaverse.","author":[{"dropping-particle":"","family":"Lee","given":"Lik-Hang","non-dropping-particle":"","parse-names":false,"suffix":""},{"dropping-particle":"","family":"Braud","given":"Tristan","non-dropping-particle":"","parse-names":false,"suffix":""},{"dropping-particle":"","family":"Zhou","given":"Pengyuan","non-dropping-particle":"","parse-names":false,"suffix":""},{"dropping-particle":"","family":"Wang","given":"Lin","non-dropping-particle":"","parse-names":false,"suffix":""},{"dropping-particle":"","family":"Xu","given":"Dianlei","non-dropping-particle":"","parse-names":false,"suffix":""},{"dropping-particle":"","family":"Lin","given":"Zijun","non-dropping-particle":"","parse-names":false,"suffix":""},{"dropping-particle":"","family":"Kumar","given":"Abhishek","non-dropping-particle":"","parse-names":false,"suffix":""},{"dropping-particle":"","family":"Bermejo","given":"Carlos","non-dropping-particle":"","parse-names":false,"suffix":""},{"dropping-particle":"","family":"Hui","given":"Pan","non-dropping-particle":"","parse-names":false,"suffix":""}],"id":"ITEM-2","issued":{"date-parts":[["2021","10","6"]]},"title":"All One Needs to Know about Metaverse: A Complete Survey on Technological Singularity, Virtual Ecosystem, and Research Agenda","type":"article-journal"},"uris":["http://www.mendeley.com/documents/?uuid=9f25d708-31f7-3083-999e-fdb016bf0d84"]}],"mendeley":{"formattedCitation":"[220,221]","plainTextFormattedCitation":"[220,221]","previouslyFormattedCitation":"[220,221]"},"properties":{"noteIndex":0},"schema":"https://github.com/citation-style-language/schema/raw/master/csl-citation.json"}</w:instrText>
      </w:r>
      <w:r w:rsidR="00F6280D" w:rsidRPr="003676D3">
        <w:rPr>
          <w:rFonts w:ascii="Times New Roman" w:hAnsi="Times New Roman" w:cs="Times New Roman"/>
          <w:sz w:val="24"/>
          <w:szCs w:val="24"/>
        </w:rPr>
        <w:fldChar w:fldCharType="separate"/>
      </w:r>
      <w:r w:rsidR="00C312C2" w:rsidRPr="003676D3">
        <w:rPr>
          <w:rFonts w:ascii="Times New Roman" w:hAnsi="Times New Roman" w:cs="Times New Roman"/>
          <w:noProof/>
          <w:sz w:val="24"/>
          <w:szCs w:val="24"/>
        </w:rPr>
        <w:t>[220,221]</w:t>
      </w:r>
      <w:r w:rsidR="00F6280D" w:rsidRPr="003676D3">
        <w:rPr>
          <w:rFonts w:ascii="Times New Roman" w:hAnsi="Times New Roman" w:cs="Times New Roman"/>
          <w:sz w:val="24"/>
          <w:szCs w:val="24"/>
        </w:rPr>
        <w:fldChar w:fldCharType="end"/>
      </w:r>
      <w:r w:rsidR="004B4472" w:rsidRPr="003676D3">
        <w:rPr>
          <w:rFonts w:ascii="Times New Roman" w:hAnsi="Times New Roman" w:cs="Times New Roman"/>
          <w:sz w:val="24"/>
          <w:szCs w:val="24"/>
        </w:rPr>
        <w:t>. Realising super smart grids in metaverse, high latency will create problem with the validity of data such as payment information.</w:t>
      </w:r>
      <w:r w:rsidR="00F31851" w:rsidRPr="003676D3">
        <w:rPr>
          <w:rFonts w:ascii="Times New Roman" w:hAnsi="Times New Roman" w:cs="Times New Roman"/>
          <w:sz w:val="24"/>
          <w:szCs w:val="24"/>
        </w:rPr>
        <w:t xml:space="preserve"> One way to manage the unbalanced computational capability (between client and server) is to use low-latency authentication and key exchange protocol LLAKEP</w:t>
      </w:r>
      <w:r w:rsidR="00F6280D" w:rsidRPr="003676D3">
        <w:rPr>
          <w:rFonts w:ascii="Times New Roman" w:hAnsi="Times New Roman" w:cs="Times New Roman"/>
          <w:sz w:val="24"/>
          <w:szCs w:val="24"/>
        </w:rPr>
        <w:t xml:space="preserve"> </w:t>
      </w:r>
      <w:r w:rsidR="00F6280D" w:rsidRPr="003676D3">
        <w:rPr>
          <w:rFonts w:ascii="Times New Roman" w:hAnsi="Times New Roman" w:cs="Times New Roman"/>
          <w:sz w:val="24"/>
          <w:szCs w:val="24"/>
        </w:rPr>
        <w:fldChar w:fldCharType="begin" w:fldLock="1"/>
      </w:r>
      <w:r w:rsidR="00C312C2" w:rsidRPr="003676D3">
        <w:rPr>
          <w:rFonts w:ascii="Times New Roman" w:hAnsi="Times New Roman" w:cs="Times New Roman"/>
          <w:sz w:val="24"/>
          <w:szCs w:val="24"/>
        </w:rPr>
        <w:instrText>ADDIN CSL_CITATION {"citationItems":[{"id":"ITEM-1","itemData":{"DOI":"10.3390/MATH10142545","ISSN":"2227-7390","abstract":"The authenticated key exchange (AKE) protocol can ensure secure communication between a client and a server in the electricity transaction of the Energy Internet of things (EIoT). Park proposed a two-factor authentication protocol 2PAKEP, whose computational burden of authentication is evenly shared by both sides. However, the computing capability of the client device is weaker than that of the server. Therefore, based on 2PAKEP, we propose an authentication protocol that transfers computational tasks from the client to the server. The client has fewer computing tasks in this protocol than the server, and the overall latency will be greatly reduced. Furthermore, the security of the proposed protocol is analyzed by using the ROR model and GNY logic. We verify the low-latency advantage of the proposed protocol through various comparative experiments and use it for EIoT electricity transaction systems in a Metaverse scenario.","author":[{"dropping-particle":"","family":"Zhang","given":"Xin","non-dropping-particle":"","parse-names":false,"suffix":""},{"dropping-particle":"","family":"Huang","given":"Xin","non-dropping-particle":"","parse-names":false,"suffix":""},{"dropping-particle":"","family":"Yin","given":"Haotian","non-dropping-particle":"","parse-names":false,"suffix":""},{"dropping-particle":"","family":"Huang","given":"Jiajia","non-dropping-particle":"","parse-names":false,"suffix":""},{"dropping-particle":"","family":"Chai","given":"Sheng","non-dropping-particle":"","parse-names":false,"suffix":""},{"dropping-particle":"","family":"Xing","given":"Bin","non-dropping-particle":"","parse-names":false,"suffix":""},{"dropping-particle":"","family":"Wu","given":"Xiaohua","non-dropping-particle":"","parse-names":false,"suffix":""},{"dropping-particle":"","family":"Zhao","given":"Liangbin","non-dropping-particle":"","parse-names":false,"suffix":""}],"container-title":"Mathematics 2022, Vol. 10, Page 2545","id":"ITEM-1","issue":"14","issued":{"date-parts":[["2022","7","21"]]},"page":"2545","publisher":"Multidisciplinary Digital Publishing Institute","title":"LLAKEP: A Low-Latency Authentication and Key Exchange Protocol for Energy Internet of Things in the Metaverse Era","type":"article-journal","volume":"10"},"uris":["http://www.mendeley.com/documents/?uuid=fef51b16-3c85-3521-b19f-cf1e695a094e"]}],"mendeley":{"formattedCitation":"[222]","plainTextFormattedCitation":"[222]","previouslyFormattedCitation":"[222]"},"properties":{"noteIndex":0},"schema":"https://github.com/citation-style-language/schema/raw/master/csl-citation.json"}</w:instrText>
      </w:r>
      <w:r w:rsidR="00F6280D" w:rsidRPr="003676D3">
        <w:rPr>
          <w:rFonts w:ascii="Times New Roman" w:hAnsi="Times New Roman" w:cs="Times New Roman"/>
          <w:sz w:val="24"/>
          <w:szCs w:val="24"/>
        </w:rPr>
        <w:fldChar w:fldCharType="separate"/>
      </w:r>
      <w:r w:rsidR="00C312C2" w:rsidRPr="003676D3">
        <w:rPr>
          <w:rFonts w:ascii="Times New Roman" w:hAnsi="Times New Roman" w:cs="Times New Roman"/>
          <w:noProof/>
          <w:sz w:val="24"/>
          <w:szCs w:val="24"/>
        </w:rPr>
        <w:t>[222]</w:t>
      </w:r>
      <w:r w:rsidR="00F6280D" w:rsidRPr="003676D3">
        <w:rPr>
          <w:rFonts w:ascii="Times New Roman" w:hAnsi="Times New Roman" w:cs="Times New Roman"/>
          <w:sz w:val="24"/>
          <w:szCs w:val="24"/>
        </w:rPr>
        <w:fldChar w:fldCharType="end"/>
      </w:r>
      <w:r w:rsidR="00F31851" w:rsidRPr="003676D3">
        <w:rPr>
          <w:rFonts w:ascii="Times New Roman" w:hAnsi="Times New Roman" w:cs="Times New Roman"/>
          <w:sz w:val="24"/>
          <w:szCs w:val="24"/>
        </w:rPr>
        <w:t>.</w:t>
      </w:r>
    </w:p>
    <w:p w14:paraId="6A8A36B2" w14:textId="7956A14E" w:rsidR="00FE1F3B" w:rsidRPr="003676D3" w:rsidRDefault="00FE1F3B"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Data uncertainty, a significant concern in designing super smart grids. It encompasses issues such as consistency, completeness, and accuracy. However, </w:t>
      </w:r>
      <w:r w:rsidR="004334E7" w:rsidRPr="003676D3">
        <w:rPr>
          <w:rFonts w:ascii="Times New Roman" w:hAnsi="Times New Roman" w:cs="Times New Roman"/>
          <w:sz w:val="24"/>
          <w:szCs w:val="24"/>
        </w:rPr>
        <w:t xml:space="preserve">there are certain </w:t>
      </w:r>
      <w:r w:rsidRPr="003676D3">
        <w:rPr>
          <w:rFonts w:ascii="Times New Roman" w:hAnsi="Times New Roman" w:cs="Times New Roman"/>
          <w:sz w:val="24"/>
          <w:szCs w:val="24"/>
        </w:rPr>
        <w:t xml:space="preserve">challenges </w:t>
      </w:r>
      <w:r w:rsidR="00764C60" w:rsidRPr="003676D3">
        <w:rPr>
          <w:rFonts w:ascii="Times New Roman" w:hAnsi="Times New Roman" w:cs="Times New Roman"/>
          <w:sz w:val="24"/>
          <w:szCs w:val="24"/>
        </w:rPr>
        <w:t>like missing</w:t>
      </w:r>
      <w:r w:rsidRPr="003676D3">
        <w:rPr>
          <w:rFonts w:ascii="Times New Roman" w:hAnsi="Times New Roman" w:cs="Times New Roman"/>
          <w:sz w:val="24"/>
          <w:szCs w:val="24"/>
        </w:rPr>
        <w:t xml:space="preserve"> or inconsistent values, noise</w:t>
      </w:r>
      <w:r w:rsidR="004334E7" w:rsidRPr="003676D3">
        <w:rPr>
          <w:rFonts w:ascii="Times New Roman" w:hAnsi="Times New Roman" w:cs="Times New Roman"/>
          <w:sz w:val="24"/>
          <w:szCs w:val="24"/>
        </w:rPr>
        <w:t xml:space="preserve"> and </w:t>
      </w:r>
      <w:r w:rsidRPr="003676D3">
        <w:rPr>
          <w:rFonts w:ascii="Times New Roman" w:hAnsi="Times New Roman" w:cs="Times New Roman"/>
          <w:sz w:val="24"/>
          <w:szCs w:val="24"/>
        </w:rPr>
        <w:t>unsynchronised data</w:t>
      </w:r>
      <w:r w:rsidR="004334E7" w:rsidRPr="003676D3">
        <w:rPr>
          <w:rFonts w:ascii="Times New Roman" w:hAnsi="Times New Roman" w:cs="Times New Roman"/>
          <w:sz w:val="24"/>
          <w:szCs w:val="24"/>
        </w:rPr>
        <w:t>. Other issues include</w:t>
      </w:r>
      <w:r w:rsidRPr="003676D3">
        <w:rPr>
          <w:rFonts w:ascii="Times New Roman" w:hAnsi="Times New Roman" w:cs="Times New Roman"/>
          <w:sz w:val="24"/>
          <w:szCs w:val="24"/>
        </w:rPr>
        <w:t xml:space="preserve"> sensor inaccuracies</w:t>
      </w:r>
      <w:r w:rsidR="004334E7" w:rsidRPr="003676D3">
        <w:rPr>
          <w:rFonts w:ascii="Times New Roman" w:hAnsi="Times New Roman" w:cs="Times New Roman"/>
          <w:sz w:val="24"/>
          <w:szCs w:val="24"/>
        </w:rPr>
        <w:t xml:space="preserve"> and factors that alter the</w:t>
      </w:r>
      <w:r w:rsidRPr="003676D3">
        <w:rPr>
          <w:rFonts w:ascii="Times New Roman" w:hAnsi="Times New Roman" w:cs="Times New Roman"/>
          <w:sz w:val="24"/>
          <w:szCs w:val="24"/>
        </w:rPr>
        <w:t xml:space="preserve"> real-time decisions</w:t>
      </w:r>
      <w:r w:rsidR="00F6280D" w:rsidRPr="003676D3">
        <w:rPr>
          <w:rFonts w:ascii="Times New Roman" w:hAnsi="Times New Roman" w:cs="Times New Roman"/>
          <w:sz w:val="24"/>
          <w:szCs w:val="24"/>
        </w:rPr>
        <w:t xml:space="preserve"> </w:t>
      </w:r>
      <w:r w:rsidR="00F6280D" w:rsidRPr="003676D3">
        <w:rPr>
          <w:rFonts w:ascii="Times New Roman" w:hAnsi="Times New Roman" w:cs="Times New Roman"/>
          <w:sz w:val="24"/>
          <w:szCs w:val="24"/>
        </w:rPr>
        <w:fldChar w:fldCharType="begin" w:fldLock="1"/>
      </w:r>
      <w:r w:rsidR="00F6280D" w:rsidRPr="003676D3">
        <w:rPr>
          <w:rFonts w:ascii="Times New Roman" w:hAnsi="Times New Roman" w:cs="Times New Roman"/>
          <w:sz w:val="24"/>
          <w:szCs w:val="24"/>
        </w:rPr>
        <w:instrText>ADDIN CSL_CITATION {"citationItems":[{"id":"ITEM-1","itemData":{"DOI":"10.3390/BDCC6020047","ISSN":"2504-2289","abstract":"Smart grids (SG) are electricity grids that communicate with each other, provide reliable information, and enable administrators to operate energy supplies across the country, ensuring optimized reliability and efficiency. The smart grid contains sensors that measure and transmit data to adjust the flow of electricity automatically based on supply/demand, and thus, responding to problems becomes quicker and easier. This also plays a crucial role in controlling carbon emissions, by avoiding energy losses during peak load hours and ensuring optimal energy management. The scope of big data analytics in smart grids is huge, as they collect information from raw data and derive intelligent information from the same. However, these benefits of the smart grid are dependent on the active and voluntary participation of the consumers in real-time. Consumers need to be motivated and conscious to avail themselves of the achievable benefits. Incentivizing the appropriate actor is an absolute necessity to encourage prosumers to generate renewable energy sources (RES) and motivate industries to establish plants that support sustainable and green-energy-based processes or products. The current study emphasizes similar aspects and presents a comprehensive survey of the start-of-the-art contributions pertinent to incentive mechanisms in smart grids, which can be used in smart grids to optimize the power distribution during peak times and also reduce carbon emissions. The various technologies, such as game theory, blockchain, and artificial intelligence, used in implementing incentive mechanisms in smart grids are discussed, followed by different incentive projects being implemented across the globe. The lessons learnt, challenges faced in such implementations, and open issues such as data quality, privacy, security, and pricing related to incentive mechanisms in SG are identified to guide the future scope of research in this sector.","author":[{"dropping-particle":"","family":"Bhattacharya","given":"Sweta","non-dropping-particle":"","parse-names":false,"suffix":""},{"dropping-particle":"","family":"Chengoden","given":"Rajeswari","non-dropping-particle":"","parse-names":false,"suffix":""},{"dropping-particle":"","family":"Srivastava","given":"Gautam","non-dropping-particle":"","parse-names":false,"suffix":""},{"dropping-particle":"","family":"Alazab","given":"Mamoun","non-dropping-particle":"","parse-names":false,"suffix":""},{"dropping-particle":"","family":"Javed","given":"Abdul Rehman","non-dropping-particle":"","parse-names":false,"suffix":""},{"dropping-particle":"","family":"Victor","given":"Nancy","non-dropping-particle":"","parse-names":false,"suffix":""},{"dropping-particle":"","family":"Maddikunta","given":"Praveen Kumar Reddy","non-dropping-particle":"","parse-names":false,"suffix":""},{"dropping-particle":"","family":"Gadekallu","given":"Thippa Reddy","non-dropping-particle":"","parse-names":false,"suffix":""}],"container-title":"Big Data and Cognitive Computing 2022, Vol. 6, Page 47","id":"ITEM-1","issue":"2","issued":{"date-parts":[["2022","4","27"]]},"page":"47","publisher":"Multidisciplinary Digital Publishing Institute","title":"Incentive Mechanisms for Smart Grid: State of the Art, Challenges, Open Issues, Future Directions","type":"article-journal","volume":"6"},"uris":["http://www.mendeley.com/documents/?uuid=a46c14f4-f20b-3372-89e3-9a89c9278d14"]}],"mendeley":{"formattedCitation":"[24]","plainTextFormattedCitation":"[24]","previouslyFormattedCitation":"[24]"},"properties":{"noteIndex":0},"schema":"https://github.com/citation-style-language/schema/raw/master/csl-citation.json"}</w:instrText>
      </w:r>
      <w:r w:rsidR="00F6280D" w:rsidRPr="003676D3">
        <w:rPr>
          <w:rFonts w:ascii="Times New Roman" w:hAnsi="Times New Roman" w:cs="Times New Roman"/>
          <w:sz w:val="24"/>
          <w:szCs w:val="24"/>
        </w:rPr>
        <w:fldChar w:fldCharType="separate"/>
      </w:r>
      <w:r w:rsidR="00F6280D" w:rsidRPr="003676D3">
        <w:rPr>
          <w:rFonts w:ascii="Times New Roman" w:hAnsi="Times New Roman" w:cs="Times New Roman"/>
          <w:noProof/>
          <w:sz w:val="24"/>
          <w:szCs w:val="24"/>
        </w:rPr>
        <w:t>[24]</w:t>
      </w:r>
      <w:r w:rsidR="00F6280D" w:rsidRPr="003676D3">
        <w:rPr>
          <w:rFonts w:ascii="Times New Roman" w:hAnsi="Times New Roman" w:cs="Times New Roman"/>
          <w:sz w:val="24"/>
          <w:szCs w:val="24"/>
        </w:rPr>
        <w:fldChar w:fldCharType="end"/>
      </w:r>
      <w:r w:rsidRPr="003676D3">
        <w:rPr>
          <w:rFonts w:ascii="Times New Roman" w:hAnsi="Times New Roman" w:cs="Times New Roman"/>
          <w:sz w:val="24"/>
          <w:szCs w:val="24"/>
        </w:rPr>
        <w:t xml:space="preserve">. </w:t>
      </w:r>
      <w:r w:rsidR="004334E7" w:rsidRPr="003676D3">
        <w:rPr>
          <w:rFonts w:ascii="Times New Roman" w:hAnsi="Times New Roman" w:cs="Times New Roman"/>
          <w:sz w:val="24"/>
          <w:szCs w:val="24"/>
        </w:rPr>
        <w:t>Safeguarding</w:t>
      </w:r>
      <w:r w:rsidRPr="003676D3">
        <w:rPr>
          <w:rFonts w:ascii="Times New Roman" w:hAnsi="Times New Roman" w:cs="Times New Roman"/>
          <w:sz w:val="24"/>
          <w:szCs w:val="24"/>
        </w:rPr>
        <w:t xml:space="preserve"> data availability and public trust are</w:t>
      </w:r>
      <w:r w:rsidR="005321B4" w:rsidRPr="003676D3">
        <w:rPr>
          <w:rFonts w:ascii="Times New Roman" w:hAnsi="Times New Roman" w:cs="Times New Roman"/>
          <w:sz w:val="24"/>
          <w:szCs w:val="24"/>
        </w:rPr>
        <w:t xml:space="preserve"> the two</w:t>
      </w:r>
      <w:r w:rsidRPr="003676D3">
        <w:rPr>
          <w:rFonts w:ascii="Times New Roman" w:hAnsi="Times New Roman" w:cs="Times New Roman"/>
          <w:sz w:val="24"/>
          <w:szCs w:val="24"/>
        </w:rPr>
        <w:t xml:space="preserve"> </w:t>
      </w:r>
      <w:r w:rsidR="00D76519" w:rsidRPr="003676D3">
        <w:rPr>
          <w:rFonts w:ascii="Times New Roman" w:hAnsi="Times New Roman" w:cs="Times New Roman"/>
          <w:sz w:val="24"/>
          <w:szCs w:val="24"/>
        </w:rPr>
        <w:t>significant</w:t>
      </w:r>
      <w:r w:rsidRPr="003676D3">
        <w:rPr>
          <w:rFonts w:ascii="Times New Roman" w:hAnsi="Times New Roman" w:cs="Times New Roman"/>
          <w:sz w:val="24"/>
          <w:szCs w:val="24"/>
        </w:rPr>
        <w:t xml:space="preserve"> challenges</w:t>
      </w:r>
      <w:r w:rsidR="005321B4" w:rsidRPr="003676D3">
        <w:rPr>
          <w:rFonts w:ascii="Times New Roman" w:hAnsi="Times New Roman" w:cs="Times New Roman"/>
          <w:sz w:val="24"/>
          <w:szCs w:val="24"/>
        </w:rPr>
        <w:t xml:space="preserve"> among others</w:t>
      </w:r>
      <w:r w:rsidRPr="003676D3">
        <w:rPr>
          <w:rFonts w:ascii="Times New Roman" w:hAnsi="Times New Roman" w:cs="Times New Roman"/>
          <w:sz w:val="24"/>
          <w:szCs w:val="24"/>
        </w:rPr>
        <w:t xml:space="preserve"> in the adoption of incentive-based smart grids</w:t>
      </w:r>
      <w:r w:rsidR="00F6280D" w:rsidRPr="003676D3">
        <w:rPr>
          <w:rFonts w:ascii="Times New Roman" w:hAnsi="Times New Roman" w:cs="Times New Roman"/>
          <w:sz w:val="24"/>
          <w:szCs w:val="24"/>
        </w:rPr>
        <w:t xml:space="preserve"> </w:t>
      </w:r>
      <w:r w:rsidR="00F6280D" w:rsidRPr="003676D3">
        <w:rPr>
          <w:rFonts w:ascii="Times New Roman" w:hAnsi="Times New Roman" w:cs="Times New Roman"/>
          <w:sz w:val="24"/>
          <w:szCs w:val="24"/>
        </w:rPr>
        <w:fldChar w:fldCharType="begin" w:fldLock="1"/>
      </w:r>
      <w:r w:rsidR="00C312C2" w:rsidRPr="003676D3">
        <w:rPr>
          <w:rFonts w:ascii="Times New Roman" w:hAnsi="Times New Roman" w:cs="Times New Roman"/>
          <w:sz w:val="24"/>
          <w:szCs w:val="24"/>
        </w:rPr>
        <w:instrText>ADDIN CSL_CITATION {"citationItems":[{"id":"ITEM-1","itemData":{"DOI":"10.1016/J.ENERGY.2018.07.115","ISSN":"03605442","abstract":"The shift to increasingly smarter grids will require preparation and planning on the part of a diverse selection of current and future stakeholders. There are substantive sources of uncertainty that will impact on the adoption of smarter grid solutions. Risks and uncertainties are placed in one of seven categories: markets, users, data and information, supply mix, policy, investment conditions, and networks. Each of these has the potential to add risk to the planning profiles of the stakeholders involved. Here, UK stakeholders drawn from industry, government, regulators, and academia are canvassed about potential sources of uncertainty within the UK's electricity sector and the attendant risks that might be engendered by them.","author":[{"dropping-particle":"","family":"Connor","given":"P. M.","non-dropping-particle":"","parse-names":false,"suffix":""},{"dropping-particle":"","family":"Axon","given":"C. J.","non-dropping-particle":"","parse-names":false,"suffix":""},{"dropping-particle":"","family":"Xenias","given":"D.","non-dropping-particle":"","parse-names":false,"suffix":""},{"dropping-particle":"","family":"Balta-Ozkan","given":"N.","non-dropping-particle":"","parse-names":false,"suffix":""}],"container-title":"Energy","id":"ITEM-1","issued":{"date-parts":[["2018","10","15"]]},"page":"1-9","publisher":"Elsevier Ltd","title":"Sources of risk and uncertainty in UK smart grid deployment: An expert stakeholder analysis","type":"article-journal","volume":"161"},"uris":["http://www.mendeley.com/documents/?uuid=937e3d83-c0f2-3331-8976-d5f74bffb3b4"]},{"id":"ITEM-2","itemData":{"DOI":"10.1016/J.IJEPES.2018.11.034","ISSN":"01420615","abstract":"The deployment of traditional computing, control and monitoring paradigms in modern smart grids is characterized by several severe limitations. These could restrict their capability to manage the huge complexities and the vast penetration of distributed and renewable energy resources that are expected in future operational scenarios. In this context, the design of more scalable and more flexible solution paradigms represents a relevant issue to address. The enabling technologies and methodologies aimed at addressing these complex challenges include decentralized computing, self-organizing sensor networks, proactive control, and holistic computing frameworks. Accordingly, in this paper a selection from literature published on these topics will be analyzed and reviewed, in order to outline the most relevant research trends, and the main open problems.","author":[{"dropping-particle":"","family":"Vaccaro","given":"A.","non-dropping-particle":"","parse-names":false,"suffix":""},{"dropping-particle":"","family":"Pisica","given":"I.","non-dropping-particle":"","parse-names":false,"suffix":""},{"dropping-particle":"","family":"Lai","given":"L. L.","non-dropping-particle":"","parse-names":false,"suffix":""},{"dropping-particle":"","family":"Zobaa","given":"A. F.","non-dropping-particle":"","parse-names":false,"suffix":""}],"container-title":"International Journal of Electrical Power and Energy Systems","id":"ITEM-2","issued":{"date-parts":[["2019","5","1"]]},"page":"516-522","publisher":"Elsevier Ltd","title":"A review of enabling methodologies for information processing in smart grids","type":"article-journal","volume":"107"},"uris":["http://www.mendeley.com/documents/?uuid=7f78aa03-d0f6-32ea-989f-102b13f68c3e"]},{"id":"ITEM-3","itemData":{"DOI":"10.1109/TSG.2016.2563461","ISSN":"19493061","abstract":"The limited available fossil fuels and the call for sustainable environment have brought about new technologies for the high efficiency in the use of fossil fuels and introduction of renewable energy. Smart grid is an emerging technology that can fulfill such demands by incorporating advanced information and communications technology (ICT). The pervasive deployment of the advanced ICT, especially the smart metering, will generate big energy data in terms of volume, velocity, and variety. The generated big data can bring huge benefits to the better energy planning, efficient energy generation, and distribution. As such data involve end users' privacy and secure operation of the critical infrastructure, there will be new security issues. This paper is to survey and discuss new findings and developments in the existing big energy data analytics and security. Several taxonomies have been proposed to express the intriguing relationships of various variables in the field.","author":[{"dropping-particle":"","family":"Hu","given":"Jiankun","non-dropping-particle":"","parse-names":false,"suffix":""},{"dropping-particle":"V.","family":"Vasilakos","given":"Athanasios","non-dropping-particle":"","parse-names":false,"suffix":""}],"container-title":"IEEE Transactions on Smart Grid","id":"ITEM-3","issue":"5","issued":{"date-parts":[["2016","9","1"]]},"page":"2423-2436","publisher":"Institute of Electrical and Electronics Engineers Inc.","title":"Energy Big Data Analytics and Security: Challenges and Opportunities","type":"article-journal","volume":"7"},"uris":["http://www.mendeley.com/documents/?uuid=304f4a1b-70d3-3bf5-b356-bc8024b462f6"]}],"mendeley":{"formattedCitation":"[223–225]","plainTextFormattedCitation":"[223–225]","previouslyFormattedCitation":"[223–225]"},"properties":{"noteIndex":0},"schema":"https://github.com/citation-style-language/schema/raw/master/csl-citation.json"}</w:instrText>
      </w:r>
      <w:r w:rsidR="00F6280D" w:rsidRPr="003676D3">
        <w:rPr>
          <w:rFonts w:ascii="Times New Roman" w:hAnsi="Times New Roman" w:cs="Times New Roman"/>
          <w:sz w:val="24"/>
          <w:szCs w:val="24"/>
        </w:rPr>
        <w:fldChar w:fldCharType="separate"/>
      </w:r>
      <w:r w:rsidR="00C312C2" w:rsidRPr="003676D3">
        <w:rPr>
          <w:rFonts w:ascii="Times New Roman" w:hAnsi="Times New Roman" w:cs="Times New Roman"/>
          <w:noProof/>
          <w:sz w:val="24"/>
          <w:szCs w:val="24"/>
        </w:rPr>
        <w:t>[223–225]</w:t>
      </w:r>
      <w:r w:rsidR="00F6280D" w:rsidRPr="003676D3">
        <w:rPr>
          <w:rFonts w:ascii="Times New Roman" w:hAnsi="Times New Roman" w:cs="Times New Roman"/>
          <w:sz w:val="24"/>
          <w:szCs w:val="24"/>
        </w:rPr>
        <w:fldChar w:fldCharType="end"/>
      </w:r>
      <w:r w:rsidRPr="003676D3">
        <w:rPr>
          <w:rFonts w:ascii="Times New Roman" w:hAnsi="Times New Roman" w:cs="Times New Roman"/>
          <w:sz w:val="24"/>
          <w:szCs w:val="24"/>
        </w:rPr>
        <w:t>. Data a</w:t>
      </w:r>
      <w:r w:rsidR="00F6280D" w:rsidRPr="003676D3">
        <w:rPr>
          <w:rFonts w:ascii="Times New Roman" w:hAnsi="Times New Roman" w:cs="Times New Roman"/>
          <w:sz w:val="24"/>
          <w:szCs w:val="24"/>
        </w:rPr>
        <w:t>nalytics and data mining</w:t>
      </w:r>
      <w:r w:rsidRPr="003676D3">
        <w:rPr>
          <w:rFonts w:ascii="Times New Roman" w:hAnsi="Times New Roman" w:cs="Times New Roman"/>
          <w:sz w:val="24"/>
          <w:szCs w:val="24"/>
        </w:rPr>
        <w:t xml:space="preserve"> can be the foremost options to resolve such data uncertainties. </w:t>
      </w:r>
      <w:r w:rsidR="001C1047" w:rsidRPr="003676D3">
        <w:rPr>
          <w:rFonts w:ascii="Times New Roman" w:hAnsi="Times New Roman" w:cs="Times New Roman"/>
          <w:sz w:val="24"/>
          <w:szCs w:val="24"/>
        </w:rPr>
        <w:t>Other challenges include data security,  privacy</w:t>
      </w:r>
      <w:r w:rsidR="00F6280D" w:rsidRPr="003676D3">
        <w:rPr>
          <w:rFonts w:ascii="Times New Roman" w:hAnsi="Times New Roman" w:cs="Times New Roman"/>
          <w:sz w:val="24"/>
          <w:szCs w:val="24"/>
        </w:rPr>
        <w:t xml:space="preserve"> </w:t>
      </w:r>
      <w:r w:rsidR="00F6280D" w:rsidRPr="003676D3">
        <w:rPr>
          <w:rFonts w:ascii="Times New Roman" w:hAnsi="Times New Roman" w:cs="Times New Roman"/>
          <w:sz w:val="24"/>
          <w:szCs w:val="24"/>
        </w:rPr>
        <w:fldChar w:fldCharType="begin" w:fldLock="1"/>
      </w:r>
      <w:r w:rsidR="00C312C2" w:rsidRPr="003676D3">
        <w:rPr>
          <w:rFonts w:ascii="Times New Roman" w:hAnsi="Times New Roman" w:cs="Times New Roman"/>
          <w:sz w:val="24"/>
          <w:szCs w:val="24"/>
        </w:rPr>
        <w:instrText>ADDIN CSL_CITATION {"citationItems":[{"id":"ITEM-1","itemData":{"DOI":"10.1016/j.rser.2017.05.134","abstract":"There are both economic and environmental urges for transition from the current outdated power grid to a sensor-embedded smart grid that monitors system stability, integrates distributed energy and schedules energy consumption for household users. Especially with the proliferation of intelligent measurement devices, exponential growth of data empowers this transition and brings new tools for the development of different applications in power system. Under this context, this paper presents a holistically overview on the state-of-the-art of big data technology in smart grid integration. First, the features of smart grid and the multisource of energy data are discussed. Then, this paper comprehensive summarizes the applications leveraged by big data in smart grid, which also contains some brand new applications with the latest big data technologies. Furthermore, some mainstream platforms and knowledge extraction techniques are looked to promote the big data insights. Finally, challenges and opportunities are pointed out in this paper as well.","author":[{"dropping-particle":"","family":"Tu","given":"C","non-dropping-particle":"","parse-names":false,"suffix":""},{"dropping-particle":"","family":"He","given":"X","non-dropping-particle":"","parse-names":false,"suffix":""},{"dropping-particle":"","family":"Shuai","given":"Z","non-dropping-particle":"","parse-names":false,"suffix":""},{"dropping-particle":"","family":"Energy","given":"F Jiang - Renewable and Sustainable","non-dropping-particle":"","parse-names":false,"suffix":""},{"dropping-particle":"","family":"2017","given":"undefined","non-dropping-particle":"","parse-names":false,"suffix":""}],"container-title":"ElsevierC Tu, X He, Z Shuai, F JiangRenewable and Sustainable Energy Reviews, 2017•Elsevier","id":"ITEM-1","issued":{"date-parts":[["2017"]]},"page":"1099-1107","publisher":"Elsevier Ltd","title":"Big data issues in smart grid–A review","type":"article-journal","volume":"79"},"uris":["http://www.mendeley.com/documents/?uuid=f20ef67f-230a-317a-a888-c70a093d97a1"]},{"id":"ITEM-2","itemData":{"DOI":"10.1109/TSG.2016.2563461","ISSN":"19493061","abstract":"The limited available fossil fuels and the call for sustainable environment have brought about new technologies for the high efficiency in the use of fossil fuels and introduction of renewable energy. Smart grid is an emerging technology that can fulfill such demands by incorporating advanced information and communications technology (ICT). The pervasive deployment of the advanced ICT, especially the smart metering, will generate big energy data in terms of volume, velocity, and variety. The generated big data can bring huge benefits to the better energy planning, efficient energy generation, and distribution. As such data involve end users' privacy and secure operation of the critical infrastructure, there will be new security issues. This paper is to survey and discuss new findings and developments in the existing big energy data analytics and security. Several taxonomies have been proposed to express the intriguing relationships of various variables in the field.","author":[{"dropping-particle":"","family":"Hu","given":"Jiankun","non-dropping-particle":"","parse-names":false,"suffix":""},{"dropping-particle":"V.","family":"Vasilakos","given":"Athanasios","non-dropping-particle":"","parse-names":false,"suffix":""}],"container-title":"IEEE Transactions on Smart Grid","id":"ITEM-2","issue":"5","issued":{"date-parts":[["2016","9","1"]]},"page":"2423-2436","publisher":"Institute of Electrical and Electronics Engineers Inc.","title":"Energy Big Data Analytics and Security: Challenges and Opportunities","type":"article-journal","volume":"7"},"uris":["http://www.mendeley.com/documents/?uuid=304f4a1b-70d3-3bf5-b356-bc8024b462f6"]},{"id":"ITEM-3","itemData":{"DOI":"10.1016/J.CSI.2017.09.005","ISSN":"0920-5489","abstract":"Resilient information and communications technologies are a prerequisite for reliable operation of the smart grid. In recent years, many standards for the new form of electricity network have been proposed, which results in operators and other smart grid stakeholders having difficulties in finding the documents which can be related to their particular problems. The purpose of this paper is to bring in all smart grid standards that describe cybersecurity issues and to provide the information regarding their contents. In order to achieve this goal, a systematic study was conducted that led to the identification of thirty six publications on security and eleven on privacy. The details of the research method and the standards’ selection and evaluation criteria are presented.","author":[{"dropping-particle":"","family":"Leszczyna","given":"Rafał","non-dropping-particle":"","parse-names":false,"suffix":""}],"container-title":"Computer Standards &amp; Interfaces","id":"ITEM-3","issued":{"date-parts":[["2018","2","1"]]},"page":"62-73","publisher":"North-Holland","title":"Cybersecurity and privacy in standards for smart grids – A comprehensive survey","type":"article-journal","volume":"56"},"uris":["http://www.mendeley.com/documents/?uuid=be6a50b3-30bb-3434-b5e9-d4ec85e5b0db"]}],"mendeley":{"formattedCitation":"[201,225,226]","plainTextFormattedCitation":"[201,225,226]","previouslyFormattedCitation":"[201,225,226]"},"properties":{"noteIndex":0},"schema":"https://github.com/citation-style-language/schema/raw/master/csl-citation.json"}</w:instrText>
      </w:r>
      <w:r w:rsidR="00F6280D" w:rsidRPr="003676D3">
        <w:rPr>
          <w:rFonts w:ascii="Times New Roman" w:hAnsi="Times New Roman" w:cs="Times New Roman"/>
          <w:sz w:val="24"/>
          <w:szCs w:val="24"/>
        </w:rPr>
        <w:fldChar w:fldCharType="separate"/>
      </w:r>
      <w:r w:rsidR="00C312C2" w:rsidRPr="003676D3">
        <w:rPr>
          <w:rFonts w:ascii="Times New Roman" w:hAnsi="Times New Roman" w:cs="Times New Roman"/>
          <w:noProof/>
          <w:sz w:val="24"/>
          <w:szCs w:val="24"/>
        </w:rPr>
        <w:t>[201,225,226]</w:t>
      </w:r>
      <w:r w:rsidR="00F6280D" w:rsidRPr="003676D3">
        <w:rPr>
          <w:rFonts w:ascii="Times New Roman" w:hAnsi="Times New Roman" w:cs="Times New Roman"/>
          <w:sz w:val="24"/>
          <w:szCs w:val="24"/>
        </w:rPr>
        <w:fldChar w:fldCharType="end"/>
      </w:r>
      <w:r w:rsidR="001C1047" w:rsidRPr="003676D3">
        <w:rPr>
          <w:rFonts w:ascii="Times New Roman" w:hAnsi="Times New Roman" w:cs="Times New Roman"/>
          <w:sz w:val="24"/>
          <w:szCs w:val="24"/>
        </w:rPr>
        <w:t>, integrity</w:t>
      </w:r>
      <w:r w:rsidR="00F6280D" w:rsidRPr="003676D3">
        <w:rPr>
          <w:rFonts w:ascii="Times New Roman" w:hAnsi="Times New Roman" w:cs="Times New Roman"/>
          <w:sz w:val="24"/>
          <w:szCs w:val="24"/>
        </w:rPr>
        <w:t xml:space="preserve"> </w:t>
      </w:r>
      <w:r w:rsidR="001C1047" w:rsidRPr="003676D3">
        <w:rPr>
          <w:rFonts w:ascii="Times New Roman" w:hAnsi="Times New Roman" w:cs="Times New Roman"/>
          <w:sz w:val="24"/>
          <w:szCs w:val="24"/>
        </w:rPr>
        <w:t>, authenticity, latency, throughput, anomaly issues and real-time pricing</w:t>
      </w:r>
      <w:r w:rsidR="00F6280D" w:rsidRPr="003676D3">
        <w:rPr>
          <w:rFonts w:ascii="Times New Roman" w:hAnsi="Times New Roman" w:cs="Times New Roman"/>
          <w:sz w:val="24"/>
          <w:szCs w:val="24"/>
        </w:rPr>
        <w:t xml:space="preserve"> </w:t>
      </w:r>
      <w:r w:rsidR="00F6280D" w:rsidRPr="003676D3">
        <w:rPr>
          <w:rFonts w:ascii="Times New Roman" w:hAnsi="Times New Roman" w:cs="Times New Roman"/>
          <w:sz w:val="24"/>
          <w:szCs w:val="24"/>
        </w:rPr>
        <w:fldChar w:fldCharType="begin" w:fldLock="1"/>
      </w:r>
      <w:r w:rsidR="00C312C2" w:rsidRPr="003676D3">
        <w:rPr>
          <w:rFonts w:ascii="Times New Roman" w:hAnsi="Times New Roman" w:cs="Times New Roman"/>
          <w:sz w:val="24"/>
          <w:szCs w:val="24"/>
        </w:rPr>
        <w:instrText>ADDIN CSL_CITATION {"citationItems":[{"id":"ITEM-1","itemData":{"author":[{"dropping-particle":"","family":"Dalipi","given":"F","non-dropping-particle":"","parse-names":false,"suffix":""},{"dropping-particle":"","family":"…","given":"SY Yayilgan - Conference on Future Internet of Things","non-dropping-particle":"","parse-names":false,"suffix":""},{"dropping-particle":"","family":"2016","given":"undefined","non-dropping-particle":"","parse-names":false,"suffix":""}],"container-title":"ieeexplore.ieee.orgF Dalipi, SY Yayilgan2016 IEEE 4th International Conference on Future Internet of, 2016•ieeexplore.ieee.org","id":"ITEM-1","issued":{"date-parts":[["0"]]},"title":"Security and privacy considerations for iot application on smart grids: Survey and research challenges","type":"article-journal"},"uris":["http://www.mendeley.com/documents/?uuid=be918916-4663-3cf4-a4a5-6c44d1d234a7"]},{"id":"ITEM-2","itemData":{"DOI":"10.1109/TIFS.2017.2656475","abstract":"Efficient power management in smart grids requires obtaining power consumption data from each resident. However, data concerning user's electricity consumption might reveal sensitive information, such as living habits and lifestyles. In order to solve this problem, this paper proposes a privacy-preserving cube-data aggregation scheme for electricity consumption. In our scheme, a data item is described as a multi-dimensional data structure (l-dimensional), and users form and live in multiple residential areas (m areas, and at most n users in each area). Based on Horner's Rule, for each user, we construct a user-level polynomial to store dimensional values in a single data space by using the first Horner parameter. After embedding the second Horner parameter into the polynomial, the polynomial is hidden by using Paillier cryptosystem. By aggregating data from m areas, we hide the area-level polynomial into the final output. Moreover, we propose a batch verification scheme in multi-dimensional data to reduce authentication cost. Finally, our analysis shows that the proposed scheme is efficient in terms of computation and communication costs, suitable for massive user groups, and supports the flexible and rapid growth of residential scales in smart grids.","author":[{"dropping-particle":"","family":"Shen","given":"H","non-dropping-particle":"","parse-names":false,"suffix":""},{"dropping-particle":"","family":"Zhang","given":"M","non-dropping-particle":"","parse-names":false,"suffix":""},{"dropping-particle":"","family":"Information","given":"J Shen - IEEE Transactions on","non-dropping-particle":"","parse-names":false,"suffix":""},{"dropping-particle":"","family":"2017","given":"undefined","non-dropping-particle":"","parse-names":false,"suffix":""}],"container-title":"ieeexplore.ieee.orgH Shen, M Zhang, J ShenIEEE Transactions on Information Forensics and Security, 2017•ieeexplore.ieee.org","id":"ITEM-2","issue":"6","issued":{"date-parts":[["2017","6","1"]]},"page":"1369","publisher":"Institute of Electrical and Electronics Engineers Inc.","title":"Efficient privacy-preserving cube-data aggregation scheme for smart grids","type":"article-journal","volume":"12"},"uris":["http://www.mendeley.com/documents/?uuid=424fb6d4-bf91-3782-8888-7f74b8a2466b"]},{"id":"ITEM-3","itemData":{"DOI":"10.1007/s12243-017-0602-7","abstract":"Data aggregation (DA) is the process of combining smart metering data so that it can be sent to a control center in package form rather than as individual data points. Smart metering data represents sensitive information that must be protected during the aggregation process. Traditional data aggregation schemes have addressed privacy issues based primarily on computationally expensive homo-morphic encryption. In contrast, this paper presents a novel method based on hash chaining to verify the integrity of a set of aggregated data. This scheme divides the user's data into two diverse groups. It also enables the control center to collect more fine-grained data aggregation results at a reduced cost. In addition, the proposed scheme ensures data integrity by maintaining a hash chain and assigning new values in the hash chain by XORing previous hash values with the current hash value. The proposed scheme is evaluated in terms of computational cost and communication overhead. A comparative analysis of our proposed methodology with existing aggregation schemes regarding computational cost and communication overhead illustrates the optimality of our proposed scheme.","author":[{"dropping-particle":"","family":"Tahir","given":"Mouzna","non-dropping-particle":"","parse-names":false,"suffix":""},{"dropping-particle":"","family":"Khan","given":"Abid","non-dropping-particle":"","parse-names":false,"suffix":""},{"dropping-particle":"","family":"Hameed","given":"Abdul","non-dropping-particle":"","parse-names":false,"suffix":""},{"dropping-particle":"","family":"Masoom Alam","given":"Muhammad","non-dropping-particle":"","parse-names":false,"suffix":""},{"dropping-particle":"","family":"Alam","given":"Masoom","non-dropping-particle":"","parse-names":false,"suffix":""},{"dropping-particle":"","family":"Khurram Khan","given":"Muhammad","non-dropping-particle":"","parse-names":false,"suffix":""},{"dropping-particle":"","family":"Jabeen","given":"Farhana","non-dropping-particle":"","parse-names":false,"suffix":""}],"container-title":"SpringerM Tahir, A Khan, A Hameed, M Alam, MK Khan, F JabeenAnnals of Telecommunications, 2017•Springer","id":"ITEM-3","issue":"9-10","issued":{"date-parts":[["2017","10","1"]]},"page":"551-561","publisher":"Springer-Verlag France","title":"Towards a set aggregation-based data integrity scheme for smart grids","type":"article-journal","volume":"72"},"uris":["http://www.mendeley.com/documents/?uuid=48e2c4f7-6c23-3b37-a113-9f9da155e539"]},{"id":"ITEM-4","itemData":{"DOI":"10.1016/J.ADHOC.2019.102020","ISSN":"15708705","abstract":"To meet the diverse QoS requirements of future Smart Grid (SG) communication network, efficient traffic scheduling and optimization techniques to prioritize data from various SG applications are required. Recently, focus has only been on the latency and criticality based priority-aware policies for same channel bandwidth. Traffic scheduling and subsequent channel allocation are required to support both the differential throughput and latency requirements simultaneously for channels having different bandwidths and SNRs. In this paper, a QoS-aware framework for data traffic scheduling in cognitive radio based SG communication network is proposed. The channels available to smart grid Communication Nodes (SCNs) are categorized as low and high bandwidths. For each bandwidth, all SG applications are categorized into several priority-classes comprised of latency and throughput sub-classes. For both channel bandwidths, the scheduler maintains and updates two sets of priority queues based on weights associated with each class and its data type. The complete scheduling framework is formulated as a multi-objective optimization problem. The overall objective function is the weighted sum of individual utility functions of latency and throughput. A novel usage of Adam optimizer is proposed to minimize the latency and maximize the throughput by obtaining optimal system cost, resulting in optimal decision policy. Simulation results show that the proposed algorithm achieves desired QoS requirements in the presence of heavy PU traffic, whereas in case of no priority assignment, QoS requirements of lower priority applications are met by compromising the QoS of higher priority data.","author":[{"dropping-particle":"","family":"Khan","given":"Muhammad Waqas","non-dropping-particle":"","parse-names":false,"suffix":""},{"dropping-particle":"","family":"Zeeshan","given":"Muhammad","non-dropping-particle":"","parse-names":false,"suffix":""},{"dropping-particle":"","family":"Farid","given":"Asma","non-dropping-particle":"","parse-names":false,"suffix":""},{"dropping-particle":"","family":"Usman","given":"Muhammad","non-dropping-particle":"","parse-names":false,"suffix":""}],"container-title":"Ad Hoc Networks","id":"ITEM-4","issued":{"date-parts":[["2020","2","1"]]},"publisher":"Elsevier B.V.","title":"QoS-aware traffic scheduling framework in cognitive radio based smart grids using multi-objective optimization of latency and throughput","type":"article-journal","volume":"97"},"uris":["http://www.mendeley.com/documents/?uuid=96bdec15-bf3b-31fe-8439-03d3faf7509a"]},{"id":"ITEM-5","itemData":{"DOI":"10.1016/J.IJEPES.2019.01.039","ISSN":"01420615","abstract":"Smart grids are required to respond quickly and efficiently to any types of electrical incidents. This is possible only if advanced monitoring and decision support tools are available for the operators to collect and analyze the real-time data from the entire power system. Sensors and smart meters become necessary for an effective smart grid operation, as they can play a significant role in measuring system parameters such as the temperature of the transmission line, power outages and power usage. These sensors allow communication between the generation side and user side to ensure full network observability. Hence, the volume of data which needs to be analyzed for more reliable electrical services has been increased. Upon the analysis of all the data collected, useful insights can be gained to bring benefits to the utilities, consumers and the related organizations. In this project, the effect of smart meter data collection frequencies on the early detection of short-duration voltage anomalies has been investigated. An anomaly detection algorithm that analyzes the voltages collected from smart meters is developed. The proposed anomaly detector checks the normality of the voltage data collected from the smart meters installed at the residential loads. To test the effectiveness of the frequent-and-large smart meter data, a smart grid model was simulated in MATLAB/Simulink and the model was tested under three different operating conditions. The efficacy of the anomaly detector with the smart meter data collected at different data collection intervals was compared under the three operating conditions. The investigation of the smart meter data clearly shows that the shorter-duration anomalies can be detected effectively with more frequent data and hence it reveals the potential of smart meters in the early detection of short-duration anomalies in smart grids.","author":[{"dropping-particle":"","family":"Wan Yen","given":"Soo","non-dropping-particle":"","parse-names":false,"suffix":""},{"dropping-particle":"","family":"Morris","given":"Stella","non-dropping-particle":"","parse-names":false,"suffix":""},{"dropping-particle":"","family":"Ezra","given":"Morris A.G.","non-dropping-particle":"","parse-names":false,"suffix":""},{"dropping-particle":"","family":"Jun Huat","given":"Tang","non-dropping-particle":"","parse-names":false,"suffix":""}],"container-title":"International Journal of Electrical Power and Energy Systems","id":"ITEM-5","issued":{"date-parts":[["2019","7","1"]]},"page":"1-8","publisher":"Elsevier Ltd","title":"Effect of smart meter data collection frequency in an early detection of shorter-duration voltage anomalies in smart grids","type":"article-journal","volume":"109"},"uris":["http://www.mendeley.com/documents/?uuid=19cc52bd-e7b0-3272-874b-a91173f352a4"]}],"mendeley":{"formattedCitation":"[227–231]","plainTextFormattedCitation":"[227–231]","previouslyFormattedCitation":"[227–231]"},"properties":{"noteIndex":0},"schema":"https://github.com/citation-style-language/schema/raw/master/csl-citation.json"}</w:instrText>
      </w:r>
      <w:r w:rsidR="00F6280D" w:rsidRPr="003676D3">
        <w:rPr>
          <w:rFonts w:ascii="Times New Roman" w:hAnsi="Times New Roman" w:cs="Times New Roman"/>
          <w:sz w:val="24"/>
          <w:szCs w:val="24"/>
        </w:rPr>
        <w:fldChar w:fldCharType="separate"/>
      </w:r>
      <w:r w:rsidR="00C312C2" w:rsidRPr="003676D3">
        <w:rPr>
          <w:rFonts w:ascii="Times New Roman" w:hAnsi="Times New Roman" w:cs="Times New Roman"/>
          <w:noProof/>
          <w:sz w:val="24"/>
          <w:szCs w:val="24"/>
        </w:rPr>
        <w:t>[227–231]</w:t>
      </w:r>
      <w:r w:rsidR="00F6280D" w:rsidRPr="003676D3">
        <w:rPr>
          <w:rFonts w:ascii="Times New Roman" w:hAnsi="Times New Roman" w:cs="Times New Roman"/>
          <w:sz w:val="24"/>
          <w:szCs w:val="24"/>
        </w:rPr>
        <w:fldChar w:fldCharType="end"/>
      </w:r>
      <w:r w:rsidR="00F6280D" w:rsidRPr="003676D3">
        <w:rPr>
          <w:rFonts w:ascii="Times New Roman" w:hAnsi="Times New Roman" w:cs="Times New Roman"/>
          <w:sz w:val="24"/>
          <w:szCs w:val="24"/>
        </w:rPr>
        <w:fldChar w:fldCharType="begin" w:fldLock="1"/>
      </w:r>
      <w:r w:rsidR="00F6280D" w:rsidRPr="003676D3">
        <w:rPr>
          <w:rFonts w:ascii="Times New Roman" w:hAnsi="Times New Roman" w:cs="Times New Roman"/>
          <w:sz w:val="24"/>
          <w:szCs w:val="24"/>
        </w:rPr>
        <w:instrText>ADDIN CSL_CITATION {"citationItems":[{"id":"ITEM-1","itemData":{"abstract":"In this paper, we consider a smart power infrastructure , where several subscribers share a common energy source. Each subscriber is equipped with an energy consumption controller (ECC) unit as part of its smart meter. Each smart meter is connected to not only the power grid but also a communication infrastructure such as a local area network. This allows two-way communication among smart meters. Considering the importance of energy pricing as an essential tool to develop efficient demand side management strategies, we propose a novel real-time pricing algorithm for the future smart grid. We focus on the interactions between the smart meters and the energy provider through the exchange of control messages which contain subscribers' energy consumption and the real-time price information. First, we analytically model the subscribers' preferences and their energy consumption patterns in form of carefully selected utility functions based on concepts from microeconomics. Second, we propose a distributed algorithm which automatically manages the interactions among the ECC units at the smart meters and the energy provider. The algorithm finds the optimal energy consumption levels for each subscriber to maximize the aggregate utility of all subscribers in the system in a fair and efficient fashion. Finally, we show that the energy provider can encourage some desirable consumption patterns among the subscribers by means of the proposed real-time pricing interactions. Simulation results confirm that the proposed distributed algorithm can potentially benefit both subscribers and the energy provider.","author":[{"dropping-particle":"","family":"Samadi","given":"Pedram","non-dropping-particle":"","parse-names":false,"suffix":""},{"dropping-particle":"","family":"Mohsenian-Rad","given":"Amir-Hamed","non-dropping-particle":"","parse-names":false,"suffix":""},{"dropping-particle":"","family":"Schober","given":"Robert","non-dropping-particle":"","parse-names":false,"suffix":""},{"dropping-particle":"","family":"Wong","given":"Vincent W S","non-dropping-particle":"","parse-names":false,"suffix":""},{"dropping-particle":"","family":"Jatskevich","given":"Juri","non-dropping-particle":"","parse-names":false,"suffix":""}],"container-title":"ieeexplore.ieee.orgP Samadi, AH Mohsenian-Rad, R Schober, VWS Wong, J Jatskevich2010 First IEEE international conference on smart grid communications, 2010•ieeexplore.ieee.org","id":"ITEM-1","issued":{"date-parts":[["0"]]},"title":"Optimal real-time pricing algorithm based on utility maximization for smart grid","type":"article-journal"},"uris":["http://www.mendeley.com/documents/?uuid=570ad672-16b5-38bc-a690-43d53a0b351c"]}],"mendeley":{"formattedCitation":"[63]","plainTextFormattedCitation":"[63]","previouslyFormattedCitation":"[63]"},"properties":{"noteIndex":0},"schema":"https://github.com/citation-style-language/schema/raw/master/csl-citation.json"}</w:instrText>
      </w:r>
      <w:r w:rsidR="00F6280D" w:rsidRPr="003676D3">
        <w:rPr>
          <w:rFonts w:ascii="Times New Roman" w:hAnsi="Times New Roman" w:cs="Times New Roman"/>
          <w:sz w:val="24"/>
          <w:szCs w:val="24"/>
        </w:rPr>
        <w:fldChar w:fldCharType="separate"/>
      </w:r>
      <w:r w:rsidR="00F6280D" w:rsidRPr="003676D3">
        <w:rPr>
          <w:rFonts w:ascii="Times New Roman" w:hAnsi="Times New Roman" w:cs="Times New Roman"/>
          <w:noProof/>
          <w:sz w:val="24"/>
          <w:szCs w:val="24"/>
        </w:rPr>
        <w:t>[63]</w:t>
      </w:r>
      <w:r w:rsidR="00F6280D" w:rsidRPr="003676D3">
        <w:rPr>
          <w:rFonts w:ascii="Times New Roman" w:hAnsi="Times New Roman" w:cs="Times New Roman"/>
          <w:sz w:val="24"/>
          <w:szCs w:val="24"/>
        </w:rPr>
        <w:fldChar w:fldCharType="end"/>
      </w:r>
      <w:r w:rsidR="001C1047" w:rsidRPr="003676D3">
        <w:rPr>
          <w:rFonts w:ascii="Times New Roman" w:hAnsi="Times New Roman" w:cs="Times New Roman"/>
          <w:sz w:val="24"/>
          <w:szCs w:val="24"/>
        </w:rPr>
        <w:t>.</w:t>
      </w:r>
    </w:p>
    <w:p w14:paraId="2E900AA4" w14:textId="444E6424" w:rsidR="00906555" w:rsidRPr="003676D3" w:rsidRDefault="0098538F"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In Metaverse</w:t>
      </w:r>
      <w:r w:rsidR="00AA55C8" w:rsidRPr="003676D3">
        <w:rPr>
          <w:rFonts w:ascii="Times New Roman" w:hAnsi="Times New Roman" w:cs="Times New Roman"/>
          <w:sz w:val="24"/>
          <w:szCs w:val="24"/>
        </w:rPr>
        <w:t xml:space="preserve"> </w:t>
      </w:r>
      <w:r w:rsidRPr="003676D3">
        <w:rPr>
          <w:rFonts w:ascii="Times New Roman" w:hAnsi="Times New Roman" w:cs="Times New Roman"/>
          <w:sz w:val="24"/>
          <w:szCs w:val="24"/>
        </w:rPr>
        <w:t xml:space="preserve">the need is to </w:t>
      </w:r>
      <w:r w:rsidR="00906555" w:rsidRPr="003676D3">
        <w:rPr>
          <w:rFonts w:ascii="Times New Roman" w:hAnsi="Times New Roman" w:cs="Times New Roman"/>
          <w:sz w:val="24"/>
          <w:szCs w:val="24"/>
        </w:rPr>
        <w:t>overcom</w:t>
      </w:r>
      <w:r w:rsidR="00AA55C8" w:rsidRPr="003676D3">
        <w:rPr>
          <w:rFonts w:ascii="Times New Roman" w:hAnsi="Times New Roman" w:cs="Times New Roman"/>
          <w:sz w:val="24"/>
          <w:szCs w:val="24"/>
        </w:rPr>
        <w:t>e</w:t>
      </w:r>
      <w:r w:rsidR="00906555" w:rsidRPr="003676D3">
        <w:rPr>
          <w:rFonts w:ascii="Times New Roman" w:hAnsi="Times New Roman" w:cs="Times New Roman"/>
          <w:sz w:val="24"/>
          <w:szCs w:val="24"/>
        </w:rPr>
        <w:t xml:space="preserve"> the challenge of integrating virtual and real spaces</w:t>
      </w:r>
      <w:r w:rsidR="00FE1F3B" w:rsidRPr="003676D3">
        <w:rPr>
          <w:rFonts w:ascii="Times New Roman" w:hAnsi="Times New Roman" w:cs="Times New Roman"/>
          <w:sz w:val="24"/>
          <w:szCs w:val="24"/>
        </w:rPr>
        <w:t xml:space="preserve"> while optimizing the energy utilisation in the network</w:t>
      </w:r>
      <w:r w:rsidR="00F6280D" w:rsidRPr="003676D3">
        <w:rPr>
          <w:rFonts w:ascii="Times New Roman" w:hAnsi="Times New Roman" w:cs="Times New Roman"/>
          <w:sz w:val="24"/>
          <w:szCs w:val="24"/>
        </w:rPr>
        <w:t xml:space="preserve"> </w:t>
      </w:r>
      <w:r w:rsidR="00F6280D" w:rsidRPr="003676D3">
        <w:rPr>
          <w:rFonts w:ascii="Times New Roman" w:hAnsi="Times New Roman" w:cs="Times New Roman"/>
          <w:sz w:val="24"/>
          <w:szCs w:val="24"/>
        </w:rPr>
        <w:fldChar w:fldCharType="begin" w:fldLock="1"/>
      </w:r>
      <w:r w:rsidR="00C312C2" w:rsidRPr="003676D3">
        <w:rPr>
          <w:rFonts w:ascii="Times New Roman" w:hAnsi="Times New Roman" w:cs="Times New Roman"/>
          <w:sz w:val="24"/>
          <w:szCs w:val="24"/>
        </w:rPr>
        <w:instrText>ADDIN CSL_CITATION {"citationItems":[{"id":"ITEM-1","itemData":{"DOI":"10.1145/3565287.3610271","ISBN":"9781450399265","abstract":"The Metaverse, an emerging digital space, is expected to offer various services mirroring the real world. Wireless communications for mobile Metaverse users should be tailored to meet the following user characteristics: 1) emphasizing application-specific perceptual utility instead of simply the transmission rate, 2) concerned with energy efficiency due to the limited device battery and energy intensiveness of some applications, and 3) caring about security as the applications may involve sensitive personal data. To this end, this paper incorporates application-specific utility, energy efficiency, and physical-layer security (PLS) into the studied optimization in a wireless network for the Metaverse. Specifically, after introducing utility-energy efficiency (UEE) to represent each Metaverse user's application-specific objective under PLS, we formulate an optimization to maximize the network's weighted sum-UEE by deciding users' transmission powers and communication bandwidths. The formulated problem belongs to the sum-of-ratios optimization, for which prior studies have demonstrated its difficulty. Nevertheless, our proposed algorithm 1) obtains the global optimum for the weighted sum-UEE optimization, via a transform to parametric convex optimization problems, 2) applies to any utility function which is concave, increasing, and twice differentiable, and 3) achieves a linear time complexity in the number of users (the optimal complexity in the order sense). Simulations confirm the superiority of our algorithm over other approaches. We explain that our technique for solving the sum-of-ratios optimization is applicable to other optimization problems in wireless networks and mobile computing.","author":[{"dropping-particle":"","family":"Zhao","given":"Jun","non-dropping-particle":"","parse-names":false,"suffix":""},{"dropping-particle":"","family":"Zhou","given":"Xinyu","non-dropping-particle":"","parse-names":false,"suffix":""},{"dropping-particle":"","family":"Li","given":"Yang","non-dropping-particle":"","parse-names":false,"suffix":""},{"dropping-particle":"","family":"Qian","given":"Liangxin","non-dropping-particle":"","parse-names":false,"suffix":""}],"container-title":"Proceedings of the Twenty-fourth International Symposium on Theory, Algorithmic Foundations, and Protocol Design for Mobile Networks and Mobile Computing","id":"ITEM-1","issued":{"date-parts":[["2023","10","23"]]},"page":"250-259","publisher":"Association for Computing Machinery","title":"Optimizing Utility-Energy Efficiency for the Metaverse over Wireless Networks under Physical Layer Security","type":"article-journal","volume":"23"},"uris":["http://www.mendeley.com/documents/?uuid=ff0c5bb9-56d1-37a7-8b3a-0377d9440145"]}],"mendeley":{"formattedCitation":"[232]","plainTextFormattedCitation":"[232]","previouslyFormattedCitation":"[232]"},"properties":{"noteIndex":0},"schema":"https://github.com/citation-style-language/schema/raw/master/csl-citation.json"}</w:instrText>
      </w:r>
      <w:r w:rsidR="00F6280D" w:rsidRPr="003676D3">
        <w:rPr>
          <w:rFonts w:ascii="Times New Roman" w:hAnsi="Times New Roman" w:cs="Times New Roman"/>
          <w:sz w:val="24"/>
          <w:szCs w:val="24"/>
        </w:rPr>
        <w:fldChar w:fldCharType="separate"/>
      </w:r>
      <w:r w:rsidR="00C312C2" w:rsidRPr="003676D3">
        <w:rPr>
          <w:rFonts w:ascii="Times New Roman" w:hAnsi="Times New Roman" w:cs="Times New Roman"/>
          <w:noProof/>
          <w:sz w:val="24"/>
          <w:szCs w:val="24"/>
        </w:rPr>
        <w:t>[232]</w:t>
      </w:r>
      <w:r w:rsidR="00F6280D" w:rsidRPr="003676D3">
        <w:rPr>
          <w:rFonts w:ascii="Times New Roman" w:hAnsi="Times New Roman" w:cs="Times New Roman"/>
          <w:sz w:val="24"/>
          <w:szCs w:val="24"/>
        </w:rPr>
        <w:fldChar w:fldCharType="end"/>
      </w:r>
      <w:r w:rsidR="00906555" w:rsidRPr="003676D3">
        <w:rPr>
          <w:rFonts w:ascii="Times New Roman" w:hAnsi="Times New Roman" w:cs="Times New Roman"/>
          <w:sz w:val="24"/>
          <w:szCs w:val="24"/>
        </w:rPr>
        <w:t xml:space="preserve">. </w:t>
      </w:r>
      <w:r w:rsidR="00AA55C8" w:rsidRPr="003676D3">
        <w:rPr>
          <w:rFonts w:ascii="Times New Roman" w:hAnsi="Times New Roman" w:cs="Times New Roman"/>
          <w:sz w:val="24"/>
          <w:szCs w:val="24"/>
        </w:rPr>
        <w:t>For this purpose, k</w:t>
      </w:r>
      <w:r w:rsidR="00906555" w:rsidRPr="003676D3">
        <w:rPr>
          <w:rFonts w:ascii="Times New Roman" w:hAnsi="Times New Roman" w:cs="Times New Roman"/>
          <w:sz w:val="24"/>
          <w:szCs w:val="24"/>
        </w:rPr>
        <w:t>ey issues include</w:t>
      </w:r>
      <w:r w:rsidR="00E434A8" w:rsidRPr="003676D3">
        <w:rPr>
          <w:rFonts w:ascii="Times New Roman" w:hAnsi="Times New Roman" w:cs="Times New Roman"/>
          <w:sz w:val="24"/>
          <w:szCs w:val="24"/>
        </w:rPr>
        <w:t xml:space="preserve"> estimating energy</w:t>
      </w:r>
      <w:r w:rsidR="00906555" w:rsidRPr="003676D3">
        <w:rPr>
          <w:rFonts w:ascii="Times New Roman" w:hAnsi="Times New Roman" w:cs="Times New Roman"/>
          <w:sz w:val="24"/>
          <w:szCs w:val="24"/>
        </w:rPr>
        <w:t xml:space="preserve"> consumption </w:t>
      </w:r>
      <w:r w:rsidR="00AA55C8" w:rsidRPr="003676D3">
        <w:rPr>
          <w:rFonts w:ascii="Times New Roman" w:hAnsi="Times New Roman" w:cs="Times New Roman"/>
          <w:sz w:val="24"/>
          <w:szCs w:val="24"/>
        </w:rPr>
        <w:t xml:space="preserve">with its </w:t>
      </w:r>
      <w:r w:rsidR="00906555" w:rsidRPr="003676D3">
        <w:rPr>
          <w:rFonts w:ascii="Times New Roman" w:hAnsi="Times New Roman" w:cs="Times New Roman"/>
          <w:sz w:val="24"/>
          <w:szCs w:val="24"/>
        </w:rPr>
        <w:t>optim</w:t>
      </w:r>
      <w:r w:rsidR="00AA55C8" w:rsidRPr="003676D3">
        <w:rPr>
          <w:rFonts w:ascii="Times New Roman" w:hAnsi="Times New Roman" w:cs="Times New Roman"/>
          <w:sz w:val="24"/>
          <w:szCs w:val="24"/>
        </w:rPr>
        <w:t>al</w:t>
      </w:r>
      <w:r w:rsidR="00906555" w:rsidRPr="003676D3">
        <w:rPr>
          <w:rFonts w:ascii="Times New Roman" w:hAnsi="Times New Roman" w:cs="Times New Roman"/>
          <w:sz w:val="24"/>
          <w:szCs w:val="24"/>
        </w:rPr>
        <w:t xml:space="preserve"> use. Addressing these challenges </w:t>
      </w:r>
      <w:r w:rsidR="00FE1F3B" w:rsidRPr="003676D3">
        <w:rPr>
          <w:rFonts w:ascii="Times New Roman" w:hAnsi="Times New Roman" w:cs="Times New Roman"/>
          <w:sz w:val="24"/>
          <w:szCs w:val="24"/>
        </w:rPr>
        <w:t>such as</w:t>
      </w:r>
      <w:r w:rsidR="003C42E4" w:rsidRPr="003676D3">
        <w:rPr>
          <w:rFonts w:ascii="Times New Roman" w:hAnsi="Times New Roman" w:cs="Times New Roman"/>
          <w:sz w:val="24"/>
          <w:szCs w:val="24"/>
        </w:rPr>
        <w:t xml:space="preserve"> in</w:t>
      </w:r>
      <w:r w:rsidR="00FE1F3B" w:rsidRPr="003676D3">
        <w:rPr>
          <w:rFonts w:ascii="Times New Roman" w:hAnsi="Times New Roman" w:cs="Times New Roman"/>
          <w:sz w:val="24"/>
          <w:szCs w:val="24"/>
        </w:rPr>
        <w:t xml:space="preserve"> Green Metaverse Networking</w:t>
      </w:r>
      <w:r w:rsidR="00F6280D" w:rsidRPr="003676D3">
        <w:rPr>
          <w:rFonts w:ascii="Times New Roman" w:hAnsi="Times New Roman" w:cs="Times New Roman"/>
          <w:sz w:val="24"/>
          <w:szCs w:val="24"/>
        </w:rPr>
        <w:t xml:space="preserve"> </w:t>
      </w:r>
      <w:r w:rsidR="00F6280D" w:rsidRPr="003676D3">
        <w:rPr>
          <w:rFonts w:ascii="Times New Roman" w:hAnsi="Times New Roman" w:cs="Times New Roman"/>
          <w:sz w:val="24"/>
          <w:szCs w:val="24"/>
        </w:rPr>
        <w:fldChar w:fldCharType="begin" w:fldLock="1"/>
      </w:r>
      <w:r w:rsidR="00C312C2" w:rsidRPr="003676D3">
        <w:rPr>
          <w:rFonts w:ascii="Times New Roman" w:hAnsi="Times New Roman" w:cs="Times New Roman"/>
          <w:sz w:val="24"/>
          <w:szCs w:val="24"/>
        </w:rPr>
        <w:instrText>ADDIN CSL_CITATION {"citationItems":[{"id":"ITEM-1","itemData":{"DOI":"10.48550/ARXIV.2211.03057","abstract":"As the Metaverse is iteratively being defined, its potential to unleash the next wave of digital disruption and create real-life value becomes increasingly clear. With distinctive features of immersive experience, simultaneous interactivity, and user agency, the Metaverse has the capability to transform all walks of life. However, the enabling technologies of the Metaverse, i.e., digital twin, artificial intelligence, blockchain, and extended reality, are known to be energy-hungry, therefore raising concerns about the sustainability of its large-scale deployment and development. This article proposes Green Metaverse Networking for the first time to optimize energy efficiencies of all network components for Metaverse sustainable development. We first analyze energy consumption, efficiency, and sustainability of energy-intensive technologies in the Metaverse. Next, focusing on computation and networking, we present major advancements related to energy efficiency and their integration into the Metaverse. A case study of energy conservation by incorporating semantic communication and stochastic resource allocation in the Metaverse is presented. Finally, we outline the critical challenges of Metaverse sustainable development, thereby indicating potential directions of future research towards the green Metaverse.","author":[{"dropping-particle":"","family":"Zhang","given":"Siyue","non-dropping-particle":"","parse-names":false,"suffix":""},{"dropping-particle":"","family":"Lim","given":"Wei Yang Bryan","non-dropping-particle":"","parse-names":false,"suffix":""},{"dropping-particle":"","family":"Ng","given":"Wei Chong","non-dropping-particle":"","parse-names":false,"suffix":""},{"dropping-particle":"","family":"Xiong","given":"Zehui","non-dropping-particle":"","parse-names":false,"suffix":""},{"dropping-particle":"","family":"Niyato","given":"D.","non-dropping-particle":"","parse-names":false,"suffix":""},{"dropping-particle":"","family":"Shen","given":"X.","non-dropping-particle":"","parse-names":false,"suffix":""},{"dropping-particle":"","family":"Miao","given":"Chunyan","non-dropping-particle":"","parse-names":false,"suffix":""}],"container-title":"ArXiv","id":"ITEM-1","issued":{"date-parts":[["0"]]},"title":"Towards Green Metaverse Networking Technologies, Advancements and Future Directions","type":"article-journal","volume":"abs/2211.03057"},"uris":["http://www.mendeley.com/documents/?uuid=273e5d73-6e09-352b-87eb-a5b711dce476"]}],"mendeley":{"formattedCitation":"[233]","plainTextFormattedCitation":"[233]","previouslyFormattedCitation":"[233]"},"properties":{"noteIndex":0},"schema":"https://github.com/citation-style-language/schema/raw/master/csl-citation.json"}</w:instrText>
      </w:r>
      <w:r w:rsidR="00F6280D" w:rsidRPr="003676D3">
        <w:rPr>
          <w:rFonts w:ascii="Times New Roman" w:hAnsi="Times New Roman" w:cs="Times New Roman"/>
          <w:sz w:val="24"/>
          <w:szCs w:val="24"/>
        </w:rPr>
        <w:fldChar w:fldCharType="separate"/>
      </w:r>
      <w:r w:rsidR="00C312C2" w:rsidRPr="003676D3">
        <w:rPr>
          <w:rFonts w:ascii="Times New Roman" w:hAnsi="Times New Roman" w:cs="Times New Roman"/>
          <w:noProof/>
          <w:sz w:val="24"/>
          <w:szCs w:val="24"/>
        </w:rPr>
        <w:t>[233]</w:t>
      </w:r>
      <w:r w:rsidR="00F6280D" w:rsidRPr="003676D3">
        <w:rPr>
          <w:rFonts w:ascii="Times New Roman" w:hAnsi="Times New Roman" w:cs="Times New Roman"/>
          <w:sz w:val="24"/>
          <w:szCs w:val="24"/>
        </w:rPr>
        <w:fldChar w:fldCharType="end"/>
      </w:r>
      <w:r w:rsidR="00FE1F3B" w:rsidRPr="003676D3">
        <w:rPr>
          <w:rFonts w:ascii="Times New Roman" w:hAnsi="Times New Roman" w:cs="Times New Roman"/>
          <w:sz w:val="24"/>
          <w:szCs w:val="24"/>
        </w:rPr>
        <w:t xml:space="preserve">, </w:t>
      </w:r>
      <w:r w:rsidR="00906555" w:rsidRPr="003676D3">
        <w:rPr>
          <w:rFonts w:ascii="Times New Roman" w:hAnsi="Times New Roman" w:cs="Times New Roman"/>
          <w:sz w:val="24"/>
          <w:szCs w:val="24"/>
        </w:rPr>
        <w:t>is essential for the power system</w:t>
      </w:r>
      <w:r w:rsidR="003F10B0" w:rsidRPr="003676D3">
        <w:rPr>
          <w:rFonts w:ascii="Times New Roman" w:hAnsi="Times New Roman" w:cs="Times New Roman"/>
          <w:sz w:val="24"/>
          <w:szCs w:val="24"/>
        </w:rPr>
        <w:t>. It will help</w:t>
      </w:r>
      <w:r w:rsidR="008F63C1" w:rsidRPr="003676D3">
        <w:rPr>
          <w:rFonts w:ascii="Times New Roman" w:hAnsi="Times New Roman" w:cs="Times New Roman"/>
          <w:sz w:val="24"/>
          <w:szCs w:val="24"/>
        </w:rPr>
        <w:t xml:space="preserve"> to</w:t>
      </w:r>
      <w:r w:rsidR="00906555" w:rsidRPr="003676D3">
        <w:rPr>
          <w:rFonts w:ascii="Times New Roman" w:hAnsi="Times New Roman" w:cs="Times New Roman"/>
          <w:sz w:val="24"/>
          <w:szCs w:val="24"/>
        </w:rPr>
        <w:t xml:space="preserve"> </w:t>
      </w:r>
      <w:r w:rsidR="00756351" w:rsidRPr="003676D3">
        <w:rPr>
          <w:rFonts w:ascii="Times New Roman" w:hAnsi="Times New Roman" w:cs="Times New Roman"/>
          <w:sz w:val="24"/>
          <w:szCs w:val="24"/>
        </w:rPr>
        <w:t>integra</w:t>
      </w:r>
      <w:r w:rsidR="008F63C1" w:rsidRPr="003676D3">
        <w:rPr>
          <w:rFonts w:ascii="Times New Roman" w:hAnsi="Times New Roman" w:cs="Times New Roman"/>
          <w:sz w:val="24"/>
          <w:szCs w:val="24"/>
        </w:rPr>
        <w:t>te</w:t>
      </w:r>
      <w:r w:rsidR="00756351" w:rsidRPr="003676D3">
        <w:rPr>
          <w:rFonts w:ascii="Times New Roman" w:hAnsi="Times New Roman" w:cs="Times New Roman"/>
          <w:sz w:val="24"/>
          <w:szCs w:val="24"/>
        </w:rPr>
        <w:t xml:space="preserve"> </w:t>
      </w:r>
      <w:r w:rsidR="00906555" w:rsidRPr="003676D3">
        <w:rPr>
          <w:rFonts w:ascii="Times New Roman" w:hAnsi="Times New Roman" w:cs="Times New Roman"/>
          <w:sz w:val="24"/>
          <w:szCs w:val="24"/>
        </w:rPr>
        <w:t xml:space="preserve">artificial intelligence and the Metaverse. </w:t>
      </w:r>
      <w:r w:rsidR="00D76519" w:rsidRPr="003676D3">
        <w:rPr>
          <w:rFonts w:ascii="Times New Roman" w:hAnsi="Times New Roman" w:cs="Times New Roman"/>
          <w:sz w:val="24"/>
          <w:szCs w:val="24"/>
        </w:rPr>
        <w:t>However,</w:t>
      </w:r>
      <w:r w:rsidR="00906555" w:rsidRPr="003676D3">
        <w:rPr>
          <w:rFonts w:ascii="Times New Roman" w:hAnsi="Times New Roman" w:cs="Times New Roman"/>
          <w:sz w:val="24"/>
          <w:szCs w:val="24"/>
        </w:rPr>
        <w:t xml:space="preserve"> </w:t>
      </w:r>
      <w:r w:rsidR="00682E21" w:rsidRPr="003676D3">
        <w:rPr>
          <w:rFonts w:ascii="Times New Roman" w:hAnsi="Times New Roman" w:cs="Times New Roman"/>
          <w:sz w:val="24"/>
          <w:szCs w:val="24"/>
        </w:rPr>
        <w:t>there is</w:t>
      </w:r>
      <w:r w:rsidR="00463AE9" w:rsidRPr="003676D3">
        <w:rPr>
          <w:rFonts w:ascii="Times New Roman" w:hAnsi="Times New Roman" w:cs="Times New Roman"/>
          <w:sz w:val="24"/>
          <w:szCs w:val="24"/>
        </w:rPr>
        <w:t xml:space="preserve"> still</w:t>
      </w:r>
      <w:r w:rsidR="00682E21" w:rsidRPr="003676D3">
        <w:rPr>
          <w:rFonts w:ascii="Times New Roman" w:hAnsi="Times New Roman" w:cs="Times New Roman"/>
          <w:sz w:val="24"/>
          <w:szCs w:val="24"/>
        </w:rPr>
        <w:t xml:space="preserve"> room for much research </w:t>
      </w:r>
      <w:r w:rsidR="00906555" w:rsidRPr="003676D3">
        <w:rPr>
          <w:rFonts w:ascii="Times New Roman" w:hAnsi="Times New Roman" w:cs="Times New Roman"/>
          <w:sz w:val="24"/>
          <w:szCs w:val="24"/>
        </w:rPr>
        <w:t xml:space="preserve">work in exploring and developing solutions for </w:t>
      </w:r>
      <w:r w:rsidR="0081302A" w:rsidRPr="003676D3">
        <w:rPr>
          <w:rFonts w:ascii="Times New Roman" w:hAnsi="Times New Roman" w:cs="Times New Roman"/>
          <w:sz w:val="24"/>
          <w:szCs w:val="24"/>
        </w:rPr>
        <w:t>the future</w:t>
      </w:r>
      <w:r w:rsidR="00906555" w:rsidRPr="003676D3">
        <w:rPr>
          <w:rFonts w:ascii="Times New Roman" w:hAnsi="Times New Roman" w:cs="Times New Roman"/>
          <w:sz w:val="24"/>
          <w:szCs w:val="24"/>
        </w:rPr>
        <w:t xml:space="preserve"> power grid.</w:t>
      </w:r>
    </w:p>
    <w:p w14:paraId="1CEF3526" w14:textId="36FE7782" w:rsidR="00204553" w:rsidRPr="003676D3" w:rsidRDefault="006140C0" w:rsidP="003676D3">
      <w:pPr>
        <w:pStyle w:val="Heading1"/>
        <w:spacing w:line="276" w:lineRule="auto"/>
        <w:jc w:val="both"/>
        <w:rPr>
          <w:sz w:val="28"/>
          <w:szCs w:val="28"/>
        </w:rPr>
      </w:pPr>
      <w:r w:rsidRPr="003676D3">
        <w:rPr>
          <w:sz w:val="28"/>
          <w:szCs w:val="28"/>
        </w:rPr>
        <w:t xml:space="preserve">7. </w:t>
      </w:r>
      <w:r w:rsidR="00204553" w:rsidRPr="003676D3">
        <w:rPr>
          <w:sz w:val="28"/>
          <w:szCs w:val="28"/>
        </w:rPr>
        <w:t>Future</w:t>
      </w:r>
      <w:r w:rsidR="00540A3F" w:rsidRPr="003676D3">
        <w:rPr>
          <w:sz w:val="28"/>
          <w:szCs w:val="28"/>
        </w:rPr>
        <w:t xml:space="preserve"> Research</w:t>
      </w:r>
      <w:r w:rsidR="00204553" w:rsidRPr="003676D3">
        <w:rPr>
          <w:sz w:val="28"/>
          <w:szCs w:val="28"/>
        </w:rPr>
        <w:t xml:space="preserve"> Direction</w:t>
      </w:r>
    </w:p>
    <w:p w14:paraId="315218ED" w14:textId="626C94AD" w:rsidR="00910AA2" w:rsidRPr="003676D3" w:rsidRDefault="00910AA2"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The transition into a grid reliant on transactive demand signals has quite a few problems. One such issue is the retail tariffs. Retail tariffs these days have various elements such as the costs incurred during energy generation, cost of energy transmission and distribution, cost of operating electricity markets, and costs incurred during the operations of negotiation parties involved in retailing. In most cases, retail tariffs also include the costs incurred for other purposes such as </w:t>
      </w:r>
      <w:r w:rsidR="009B79FF" w:rsidRPr="003676D3">
        <w:rPr>
          <w:rFonts w:ascii="Times New Roman" w:hAnsi="Times New Roman" w:cs="Times New Roman"/>
          <w:sz w:val="24"/>
          <w:szCs w:val="24"/>
        </w:rPr>
        <w:t xml:space="preserve">cost of federal regulations, </w:t>
      </w:r>
      <w:r w:rsidRPr="003676D3">
        <w:rPr>
          <w:rFonts w:ascii="Times New Roman" w:hAnsi="Times New Roman" w:cs="Times New Roman"/>
          <w:sz w:val="24"/>
          <w:szCs w:val="24"/>
        </w:rPr>
        <w:t>green energy incentive programs and various other forms of energy efficiency programs. Moving towards a tariff unaffected by transactive demand signals would pose challenges due to the legal and regulatory constraints present in the changing economic ground realities of energy consumption and production.</w:t>
      </w:r>
    </w:p>
    <w:p w14:paraId="61A5439B" w14:textId="00A00B78" w:rsidR="00540A3F" w:rsidRPr="003676D3" w:rsidRDefault="00CE3ABA"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SSGs are largely </w:t>
      </w:r>
      <w:r w:rsidR="002006E2" w:rsidRPr="003676D3">
        <w:rPr>
          <w:rFonts w:ascii="Times New Roman" w:hAnsi="Times New Roman" w:cs="Times New Roman"/>
          <w:sz w:val="24"/>
          <w:szCs w:val="24"/>
        </w:rPr>
        <w:t>interconnected,</w:t>
      </w:r>
      <w:r w:rsidRPr="003676D3">
        <w:rPr>
          <w:rFonts w:ascii="Times New Roman" w:hAnsi="Times New Roman" w:cs="Times New Roman"/>
          <w:sz w:val="24"/>
          <w:szCs w:val="24"/>
        </w:rPr>
        <w:t xml:space="preserve"> and even </w:t>
      </w:r>
      <w:r w:rsidR="00D925FE" w:rsidRPr="003676D3">
        <w:rPr>
          <w:rFonts w:ascii="Times New Roman" w:hAnsi="Times New Roman" w:cs="Times New Roman"/>
          <w:sz w:val="24"/>
          <w:szCs w:val="24"/>
        </w:rPr>
        <w:t>minor</w:t>
      </w:r>
      <w:r w:rsidRPr="003676D3">
        <w:rPr>
          <w:rFonts w:ascii="Times New Roman" w:hAnsi="Times New Roman" w:cs="Times New Roman"/>
          <w:sz w:val="24"/>
          <w:szCs w:val="24"/>
        </w:rPr>
        <w:t xml:space="preserve"> load varia</w:t>
      </w:r>
      <w:r w:rsidR="00D925FE" w:rsidRPr="003676D3">
        <w:rPr>
          <w:rFonts w:ascii="Times New Roman" w:hAnsi="Times New Roman" w:cs="Times New Roman"/>
          <w:sz w:val="24"/>
          <w:szCs w:val="24"/>
        </w:rPr>
        <w:t>tion</w:t>
      </w:r>
      <w:r w:rsidRPr="003676D3">
        <w:rPr>
          <w:rFonts w:ascii="Times New Roman" w:hAnsi="Times New Roman" w:cs="Times New Roman"/>
          <w:sz w:val="24"/>
          <w:szCs w:val="24"/>
        </w:rPr>
        <w:t xml:space="preserve"> could make a huge impact on system stability. Th</w:t>
      </w:r>
      <w:r w:rsidR="00D76519" w:rsidRPr="003676D3">
        <w:rPr>
          <w:rFonts w:ascii="Times New Roman" w:hAnsi="Times New Roman" w:cs="Times New Roman"/>
          <w:sz w:val="24"/>
          <w:szCs w:val="24"/>
        </w:rPr>
        <w:t>is load varia</w:t>
      </w:r>
      <w:r w:rsidR="00D925FE" w:rsidRPr="003676D3">
        <w:rPr>
          <w:rFonts w:ascii="Times New Roman" w:hAnsi="Times New Roman" w:cs="Times New Roman"/>
          <w:sz w:val="24"/>
          <w:szCs w:val="24"/>
        </w:rPr>
        <w:t>tion</w:t>
      </w:r>
      <w:r w:rsidR="00D76519" w:rsidRPr="003676D3">
        <w:rPr>
          <w:rFonts w:ascii="Times New Roman" w:hAnsi="Times New Roman" w:cs="Times New Roman"/>
          <w:sz w:val="24"/>
          <w:szCs w:val="24"/>
        </w:rPr>
        <w:t xml:space="preserve"> </w:t>
      </w:r>
      <w:r w:rsidR="00D925FE" w:rsidRPr="003676D3">
        <w:rPr>
          <w:rFonts w:ascii="Times New Roman" w:hAnsi="Times New Roman" w:cs="Times New Roman"/>
          <w:sz w:val="24"/>
          <w:szCs w:val="24"/>
        </w:rPr>
        <w:t xml:space="preserve">can </w:t>
      </w:r>
      <w:r w:rsidR="00D76519" w:rsidRPr="003676D3">
        <w:rPr>
          <w:rFonts w:ascii="Times New Roman" w:hAnsi="Times New Roman" w:cs="Times New Roman"/>
          <w:sz w:val="24"/>
          <w:szCs w:val="24"/>
        </w:rPr>
        <w:t xml:space="preserve">create the </w:t>
      </w:r>
      <w:r w:rsidRPr="003676D3">
        <w:rPr>
          <w:rFonts w:ascii="Times New Roman" w:hAnsi="Times New Roman" w:cs="Times New Roman"/>
          <w:sz w:val="24"/>
          <w:szCs w:val="24"/>
        </w:rPr>
        <w:t>voltage fluctuations</w:t>
      </w:r>
      <w:r w:rsidR="00D76519" w:rsidRPr="003676D3">
        <w:rPr>
          <w:rFonts w:ascii="Times New Roman" w:hAnsi="Times New Roman" w:cs="Times New Roman"/>
          <w:sz w:val="24"/>
          <w:szCs w:val="24"/>
        </w:rPr>
        <w:t xml:space="preserve"> and frequency</w:t>
      </w:r>
      <w:r w:rsidRPr="003676D3">
        <w:rPr>
          <w:rFonts w:ascii="Times New Roman" w:hAnsi="Times New Roman" w:cs="Times New Roman"/>
          <w:sz w:val="24"/>
          <w:szCs w:val="24"/>
        </w:rPr>
        <w:t xml:space="preserve"> in the </w:t>
      </w:r>
      <w:r w:rsidR="00D925FE" w:rsidRPr="003676D3">
        <w:rPr>
          <w:rFonts w:ascii="Times New Roman" w:hAnsi="Times New Roman" w:cs="Times New Roman"/>
          <w:sz w:val="24"/>
          <w:szCs w:val="24"/>
        </w:rPr>
        <w:t xml:space="preserve">whole </w:t>
      </w:r>
      <w:r w:rsidRPr="003676D3">
        <w:rPr>
          <w:rFonts w:ascii="Times New Roman" w:hAnsi="Times New Roman" w:cs="Times New Roman"/>
          <w:sz w:val="24"/>
          <w:szCs w:val="24"/>
        </w:rPr>
        <w:t xml:space="preserve">system. Moreover, </w:t>
      </w:r>
      <w:r w:rsidR="00D925FE" w:rsidRPr="003676D3">
        <w:rPr>
          <w:rFonts w:ascii="Times New Roman" w:hAnsi="Times New Roman" w:cs="Times New Roman"/>
          <w:sz w:val="24"/>
          <w:szCs w:val="24"/>
        </w:rPr>
        <w:t xml:space="preserve">in case of load fluctuation, the </w:t>
      </w:r>
      <w:r w:rsidRPr="003676D3">
        <w:rPr>
          <w:rFonts w:ascii="Times New Roman" w:hAnsi="Times New Roman" w:cs="Times New Roman"/>
          <w:sz w:val="24"/>
          <w:szCs w:val="24"/>
        </w:rPr>
        <w:t xml:space="preserve">incorporation of abundant inverter fed </w:t>
      </w:r>
      <w:r w:rsidR="00D925FE" w:rsidRPr="003676D3">
        <w:rPr>
          <w:rFonts w:ascii="Times New Roman" w:hAnsi="Times New Roman" w:cs="Times New Roman"/>
          <w:sz w:val="24"/>
          <w:szCs w:val="24"/>
        </w:rPr>
        <w:t>DG</w:t>
      </w:r>
      <w:r w:rsidRPr="003676D3">
        <w:rPr>
          <w:rFonts w:ascii="Times New Roman" w:hAnsi="Times New Roman" w:cs="Times New Roman"/>
          <w:sz w:val="24"/>
          <w:szCs w:val="24"/>
        </w:rPr>
        <w:t xml:space="preserve"> reduces the inertia of the system. Hence, the need is to devise a decoupled control strategy inclusive of inertial dynamics of the system for both voltage and frequency deviations. A study </w:t>
      </w:r>
      <w:r w:rsidRPr="003676D3">
        <w:rPr>
          <w:rFonts w:ascii="Times New Roman" w:hAnsi="Times New Roman" w:cs="Times New Roman"/>
          <w:sz w:val="24"/>
          <w:szCs w:val="24"/>
        </w:rPr>
        <w:lastRenderedPageBreak/>
        <w:t>should be done on the inclusion of non-linear devices in sophisticated inertial system in super smart grid.</w:t>
      </w:r>
      <w:r w:rsidR="00D925FE" w:rsidRPr="003676D3">
        <w:rPr>
          <w:rFonts w:ascii="Times New Roman" w:hAnsi="Times New Roman" w:cs="Times New Roman"/>
          <w:sz w:val="24"/>
          <w:szCs w:val="24"/>
        </w:rPr>
        <w:t xml:space="preserve"> R</w:t>
      </w:r>
      <w:r w:rsidR="006F37A0" w:rsidRPr="003676D3">
        <w:rPr>
          <w:rFonts w:ascii="Times New Roman" w:hAnsi="Times New Roman" w:cs="Times New Roman"/>
          <w:sz w:val="24"/>
          <w:szCs w:val="24"/>
        </w:rPr>
        <w:t xml:space="preserve">eliability concerns </w:t>
      </w:r>
      <w:r w:rsidR="00D925FE" w:rsidRPr="003676D3">
        <w:rPr>
          <w:rFonts w:ascii="Times New Roman" w:hAnsi="Times New Roman" w:cs="Times New Roman"/>
          <w:sz w:val="24"/>
          <w:szCs w:val="24"/>
        </w:rPr>
        <w:t>of</w:t>
      </w:r>
      <w:r w:rsidR="006F37A0" w:rsidRPr="003676D3">
        <w:rPr>
          <w:rFonts w:ascii="Times New Roman" w:hAnsi="Times New Roman" w:cs="Times New Roman"/>
          <w:sz w:val="24"/>
          <w:szCs w:val="24"/>
        </w:rPr>
        <w:t xml:space="preserve"> Renewable Energy Resources (RERs) </w:t>
      </w:r>
      <w:r w:rsidR="00D925FE" w:rsidRPr="003676D3">
        <w:rPr>
          <w:rFonts w:ascii="Times New Roman" w:hAnsi="Times New Roman" w:cs="Times New Roman"/>
          <w:sz w:val="24"/>
          <w:szCs w:val="24"/>
        </w:rPr>
        <w:t>should be addressed. T</w:t>
      </w:r>
      <w:r w:rsidR="006F37A0" w:rsidRPr="003676D3">
        <w:rPr>
          <w:rFonts w:ascii="Times New Roman" w:hAnsi="Times New Roman" w:cs="Times New Roman"/>
          <w:sz w:val="24"/>
          <w:szCs w:val="24"/>
        </w:rPr>
        <w:t xml:space="preserve">he unpredictable discrepancies between demand and generation </w:t>
      </w:r>
      <w:r w:rsidR="006C0EE1" w:rsidRPr="003676D3">
        <w:rPr>
          <w:rFonts w:ascii="Times New Roman" w:hAnsi="Times New Roman" w:cs="Times New Roman"/>
          <w:sz w:val="24"/>
          <w:szCs w:val="24"/>
        </w:rPr>
        <w:t>arise</w:t>
      </w:r>
      <w:r w:rsidR="006F37A0" w:rsidRPr="003676D3">
        <w:rPr>
          <w:rFonts w:ascii="Times New Roman" w:hAnsi="Times New Roman" w:cs="Times New Roman"/>
          <w:sz w:val="24"/>
          <w:szCs w:val="24"/>
        </w:rPr>
        <w:t xml:space="preserve"> challenges in Sustainable Smart Grids (SSGs). Achieving load flow equilibrium and transient stability becomes particularly complex</w:t>
      </w:r>
      <w:r w:rsidR="002D2D18" w:rsidRPr="003676D3">
        <w:rPr>
          <w:rFonts w:ascii="Times New Roman" w:hAnsi="Times New Roman" w:cs="Times New Roman"/>
          <w:sz w:val="24"/>
          <w:szCs w:val="24"/>
        </w:rPr>
        <w:t xml:space="preserve"> in SSG. It happens</w:t>
      </w:r>
      <w:r w:rsidR="006F37A0" w:rsidRPr="003676D3">
        <w:rPr>
          <w:rFonts w:ascii="Times New Roman" w:hAnsi="Times New Roman" w:cs="Times New Roman"/>
          <w:sz w:val="24"/>
          <w:szCs w:val="24"/>
        </w:rPr>
        <w:t xml:space="preserve"> especially in scenarios </w:t>
      </w:r>
      <w:r w:rsidR="002D2D18" w:rsidRPr="003676D3">
        <w:rPr>
          <w:rFonts w:ascii="Times New Roman" w:hAnsi="Times New Roman" w:cs="Times New Roman"/>
          <w:sz w:val="24"/>
          <w:szCs w:val="24"/>
        </w:rPr>
        <w:t>when</w:t>
      </w:r>
      <w:r w:rsidR="006F37A0" w:rsidRPr="003676D3">
        <w:rPr>
          <w:rFonts w:ascii="Times New Roman" w:hAnsi="Times New Roman" w:cs="Times New Roman"/>
          <w:sz w:val="24"/>
          <w:szCs w:val="24"/>
        </w:rPr>
        <w:t xml:space="preserve"> unexpected outages </w:t>
      </w:r>
      <w:r w:rsidR="002D2D18" w:rsidRPr="003676D3">
        <w:rPr>
          <w:rFonts w:ascii="Times New Roman" w:hAnsi="Times New Roman" w:cs="Times New Roman"/>
          <w:sz w:val="24"/>
          <w:szCs w:val="24"/>
        </w:rPr>
        <w:t xml:space="preserve">happen </w:t>
      </w:r>
      <w:r w:rsidR="006F37A0" w:rsidRPr="003676D3">
        <w:rPr>
          <w:rFonts w:ascii="Times New Roman" w:hAnsi="Times New Roman" w:cs="Times New Roman"/>
          <w:sz w:val="24"/>
          <w:szCs w:val="24"/>
        </w:rPr>
        <w:t xml:space="preserve">such as three-phase faults (L-L-L), which </w:t>
      </w:r>
      <w:r w:rsidR="002D2D18" w:rsidRPr="003676D3">
        <w:rPr>
          <w:rFonts w:ascii="Times New Roman" w:hAnsi="Times New Roman" w:cs="Times New Roman"/>
          <w:sz w:val="24"/>
          <w:szCs w:val="24"/>
        </w:rPr>
        <w:t>makes</w:t>
      </w:r>
      <w:r w:rsidR="006F37A0" w:rsidRPr="003676D3">
        <w:rPr>
          <w:rFonts w:ascii="Times New Roman" w:hAnsi="Times New Roman" w:cs="Times New Roman"/>
          <w:sz w:val="24"/>
          <w:szCs w:val="24"/>
        </w:rPr>
        <w:t xml:space="preserve"> power quality disturbances</w:t>
      </w:r>
      <w:r w:rsidR="00F6280D" w:rsidRPr="003676D3">
        <w:rPr>
          <w:rFonts w:ascii="Times New Roman" w:hAnsi="Times New Roman" w:cs="Times New Roman"/>
          <w:sz w:val="24"/>
          <w:szCs w:val="24"/>
        </w:rPr>
        <w:t xml:space="preserve"> </w:t>
      </w:r>
      <w:r w:rsidR="00F6280D" w:rsidRPr="003676D3">
        <w:rPr>
          <w:rFonts w:ascii="Times New Roman" w:hAnsi="Times New Roman" w:cs="Times New Roman"/>
          <w:sz w:val="24"/>
          <w:szCs w:val="24"/>
        </w:rPr>
        <w:fldChar w:fldCharType="begin" w:fldLock="1"/>
      </w:r>
      <w:r w:rsidR="00F6280D" w:rsidRPr="003676D3">
        <w:rPr>
          <w:rFonts w:ascii="Times New Roman" w:hAnsi="Times New Roman" w:cs="Times New Roman"/>
          <w:sz w:val="24"/>
          <w:szCs w:val="24"/>
        </w:rPr>
        <w:instrText>ADDIN CSL_CITATION {"citationItems":[{"id":"ITEM-1","itemData":{"DOI":"10.1109/ACCESS.2023.3296152","ISSN":"21693536","abstract":"For a utility company to reduce CO2} emissions along with managing load demands, it must strive for a 100 percent renewable electrical power generation. Europe takes initiatives to achieve this goal by developing a super smart grid (SSG) based on renewable energy resources (RERs) by 2050. The SSG is based on two exclusive alternatives: wide area and decentralized power generation using large number of RERs. Before developing such SSG, there is a need to address the critical issues associated with RERs, i.e., load flow balancing and transients stability. Considering a reliability issue involved with RERs and the random deviations between demand response and generation response patterns, load flow balancing and transient stability become challenging research issues in SSGs. These technical issues are also considered to be more challenging, if an unexpected outage in the form of an occurrence of three phase (L-L-L) faults (TPF) arises in SSGs, due to power quality disturbances. To address this problem, load flow balancing probabilistic modeling is performed in this research paper in order to formulate the complexity of randomness between generation and demand response patterns through transmission network planning (TNP) in the form of a super smart node (SSN) transmission network infrastructure. Moreover, a further optimization in SSN transmission network has been done with the addition of a cooperative control strategies in terms of an integrating vehicle to grid (V2G) technology in SSN transmission network in order to achieve further enhancement in load flow balancing and transient stability in SSGs. Furthermore, as SSGs power infrastructure is based on different clusters, therefore in order to accommodate various clusters for load flow balancing, a continuous spinning reserve (CSRs) probabilistic modeling has also been performed in this paper in terms of its integration in SSN transmission network. Considering above probabilistic analysis, future contingencies are easily predictable, before any kind of disruptive changes arises in a SSGs due an occurrence of a TPF. Moreover, from simulation results as performed in this paper, we can easily verified that our proposed probabilistic algorithm of load flow balancing and transients stability outperforms existing literature work and can also achieved near optimal performance, even for a broad range of variations in load and also in case of an arising of significant power quality disturbances in SSGs due to an…","author":[{"dropping-particle":"","family":"Adnan","given":"Muhammad","non-dropping-particle":"","parse-names":false,"suffix":""},{"dropping-particle":"","family":"Ghadi","given":"Yazeed","non-dropping-particle":"","parse-names":false,"suffix":""},{"dropping-particle":"","family":"Ahmed","given":"Ijaz","non-dropping-particle":"","parse-names":false,"suffix":""},{"dropping-particle":"","family":"Ali","given":"Mansoor","non-dropping-particle":"","parse-names":false,"suffix":""}],"container-title":"IEEE Access","id":"ITEM-1","issued":{"date-parts":[["2023"]]},"page":"77163-77227","publisher":"Institute of Electrical and Electronics Engineers Inc.","title":"Transmission Network Planning in Super Smart Grids: A Survey","type":"article-journal","volume":"11"},"uris":["http://www.mendeley.com/documents/?uuid=6b737631-ef04-3da7-b746-afcb11316fa1"]}],"mendeley":{"formattedCitation":"[28]","plainTextFormattedCitation":"[28]","previouslyFormattedCitation":"[28]"},"properties":{"noteIndex":0},"schema":"https://github.com/citation-style-language/schema/raw/master/csl-citation.json"}</w:instrText>
      </w:r>
      <w:r w:rsidR="00F6280D" w:rsidRPr="003676D3">
        <w:rPr>
          <w:rFonts w:ascii="Times New Roman" w:hAnsi="Times New Roman" w:cs="Times New Roman"/>
          <w:sz w:val="24"/>
          <w:szCs w:val="24"/>
        </w:rPr>
        <w:fldChar w:fldCharType="separate"/>
      </w:r>
      <w:r w:rsidR="00F6280D" w:rsidRPr="003676D3">
        <w:rPr>
          <w:rFonts w:ascii="Times New Roman" w:hAnsi="Times New Roman" w:cs="Times New Roman"/>
          <w:noProof/>
          <w:sz w:val="24"/>
          <w:szCs w:val="24"/>
        </w:rPr>
        <w:t>[28]</w:t>
      </w:r>
      <w:r w:rsidR="00F6280D" w:rsidRPr="003676D3">
        <w:rPr>
          <w:rFonts w:ascii="Times New Roman" w:hAnsi="Times New Roman" w:cs="Times New Roman"/>
          <w:sz w:val="24"/>
          <w:szCs w:val="24"/>
        </w:rPr>
        <w:fldChar w:fldCharType="end"/>
      </w:r>
      <w:r w:rsidR="006F37A0" w:rsidRPr="003676D3">
        <w:rPr>
          <w:rFonts w:ascii="Times New Roman" w:hAnsi="Times New Roman" w:cs="Times New Roman"/>
          <w:sz w:val="24"/>
          <w:szCs w:val="24"/>
        </w:rPr>
        <w:t xml:space="preserve">. </w:t>
      </w:r>
    </w:p>
    <w:p w14:paraId="65912728" w14:textId="141F4F22" w:rsidR="00926883" w:rsidRPr="003676D3" w:rsidRDefault="000C3976"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The proliferation of the metaverse also poses potential issues relevant to the enforcement of jurisdiction when doing cross-border commercial transactions, the lack of regulation of the activities occurring and the protection of consumers operating in the virtual sphere. These are critical issues that policymakers must prioritize in order to enable the regulation and enforcement of business activity and establish the relevant legal frameworks required to govern conflict resolution in regard to virtual assets</w:t>
      </w:r>
      <w:r w:rsidR="00926883" w:rsidRPr="003676D3">
        <w:rPr>
          <w:rFonts w:ascii="Times New Roman" w:hAnsi="Times New Roman" w:cs="Times New Roman"/>
          <w:sz w:val="24"/>
          <w:szCs w:val="24"/>
        </w:rPr>
        <w:t>. It i</w:t>
      </w:r>
      <w:r w:rsidR="00532943" w:rsidRPr="003676D3">
        <w:rPr>
          <w:rFonts w:ascii="Times New Roman" w:hAnsi="Times New Roman" w:cs="Times New Roman"/>
          <w:sz w:val="24"/>
          <w:szCs w:val="24"/>
        </w:rPr>
        <w:t xml:space="preserve">s imperative for all stakeholders to carefully deliberate </w:t>
      </w:r>
      <w:r w:rsidR="00F6280D" w:rsidRPr="003676D3">
        <w:rPr>
          <w:rFonts w:ascii="Times New Roman" w:hAnsi="Times New Roman" w:cs="Times New Roman"/>
          <w:sz w:val="24"/>
          <w:szCs w:val="24"/>
        </w:rPr>
        <w:t>on these issues moving forward.</w:t>
      </w:r>
    </w:p>
    <w:p w14:paraId="25341F30" w14:textId="5E012AB5" w:rsidR="00645477" w:rsidRPr="003676D3" w:rsidRDefault="00F6280D"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As SSGs</w:t>
      </w:r>
      <w:r w:rsidR="00B308EE" w:rsidRPr="003676D3">
        <w:rPr>
          <w:rFonts w:ascii="Times New Roman" w:hAnsi="Times New Roman" w:cs="Times New Roman"/>
          <w:sz w:val="24"/>
          <w:szCs w:val="24"/>
        </w:rPr>
        <w:t xml:space="preserve"> rely on the in</w:t>
      </w:r>
      <w:r w:rsidR="00A8492C" w:rsidRPr="003676D3">
        <w:rPr>
          <w:rFonts w:ascii="Times New Roman" w:hAnsi="Times New Roman" w:cs="Times New Roman"/>
          <w:sz w:val="24"/>
          <w:szCs w:val="24"/>
        </w:rPr>
        <w:t>corporation</w:t>
      </w:r>
      <w:r w:rsidR="00B308EE" w:rsidRPr="003676D3">
        <w:rPr>
          <w:rFonts w:ascii="Times New Roman" w:hAnsi="Times New Roman" w:cs="Times New Roman"/>
          <w:sz w:val="24"/>
          <w:szCs w:val="24"/>
        </w:rPr>
        <w:t xml:space="preserve"> of various technologies such as HVAC,</w:t>
      </w:r>
      <w:r w:rsidR="005B0EA0" w:rsidRPr="003676D3">
        <w:rPr>
          <w:rFonts w:ascii="Times New Roman" w:hAnsi="Times New Roman" w:cs="Times New Roman"/>
          <w:sz w:val="24"/>
          <w:szCs w:val="24"/>
        </w:rPr>
        <w:t xml:space="preserve"> FACTS devices and HVDC</w:t>
      </w:r>
      <w:r w:rsidR="00B308EE" w:rsidRPr="003676D3">
        <w:rPr>
          <w:rFonts w:ascii="Times New Roman" w:hAnsi="Times New Roman" w:cs="Times New Roman"/>
          <w:sz w:val="24"/>
          <w:szCs w:val="24"/>
        </w:rPr>
        <w:t xml:space="preserve"> etc</w:t>
      </w:r>
      <w:r w:rsidRPr="003676D3">
        <w:rPr>
          <w:rFonts w:ascii="Times New Roman" w:hAnsi="Times New Roman" w:cs="Times New Roman"/>
          <w:sz w:val="24"/>
          <w:szCs w:val="24"/>
        </w:rPr>
        <w:t xml:space="preserve">. </w:t>
      </w:r>
      <w:r w:rsidRPr="003676D3">
        <w:rPr>
          <w:rFonts w:ascii="Times New Roman" w:hAnsi="Times New Roman" w:cs="Times New Roman"/>
          <w:sz w:val="24"/>
          <w:szCs w:val="24"/>
        </w:rPr>
        <w:fldChar w:fldCharType="begin" w:fldLock="1"/>
      </w:r>
      <w:r w:rsidR="00C312C2" w:rsidRPr="003676D3">
        <w:rPr>
          <w:rFonts w:ascii="Times New Roman" w:hAnsi="Times New Roman" w:cs="Times New Roman"/>
          <w:sz w:val="24"/>
          <w:szCs w:val="24"/>
        </w:rPr>
        <w:instrText>ADDIN CSL_CITATION {"citationItems":[{"id":"ITEM-1","itemData":{"DOI":"10.1109/PES.2011.6039346","ISBN":"9781457710018","ISSN":"19449925","abstract":"Innovative solutions with HVDC (High Voltage Direct Current) and FACTS (Flexible AC Transmission Systems) have the potential to cope with the system planning and operational challenges of global climate developments and the call for changes in the way electricity is supplied. New power electronic technologies with self-commutated converters make advanced technical features possible, such as independent control of active and reactive power, and the capability to supply weak or passive networks. As part of the overall planning considerations, this paper presents the fundamental system planning, modeling and operational challenges of connecting large wind farms (both onshore and offshore) via long transmission systems, as well as the practical applications of traditional and new power electronic technologies. © 2011 IEEE.","author":[{"dropping-particle":"","family":"Feltes","given":"J. W.","non-dropping-particle":"","parse-names":false,"suffix":""},{"dropping-particle":"","family":"Gemmell","given":"B. D.","non-dropping-particle":"","parse-names":false,"suffix":""},{"dropping-particle":"","family":"Retzmann","given":"D.","non-dropping-particle":"","parse-names":false,"suffix":""}],"container-title":"IEEE Power and Energy Society General Meeting","id":"ITEM-1","issued":{"date-parts":[["2011"]]},"title":"From smart grid to super grid: Solutions with HVDC and FACTS for grid access of renewable energy sources","type":"article-journal"},"uris":["http://www.mendeley.com/documents/?uuid=337df912-2141-32b3-8081-0e29d78eaa88"]}],"mendeley":{"formattedCitation":"[234]","plainTextFormattedCitation":"[234]","previouslyFormattedCitation":"[234]"},"properties":{"noteIndex":0},"schema":"https://github.com/citation-style-language/schema/raw/master/csl-citation.json"}</w:instrText>
      </w:r>
      <w:r w:rsidRPr="003676D3">
        <w:rPr>
          <w:rFonts w:ascii="Times New Roman" w:hAnsi="Times New Roman" w:cs="Times New Roman"/>
          <w:sz w:val="24"/>
          <w:szCs w:val="24"/>
        </w:rPr>
        <w:fldChar w:fldCharType="separate"/>
      </w:r>
      <w:r w:rsidR="00C312C2" w:rsidRPr="003676D3">
        <w:rPr>
          <w:rFonts w:ascii="Times New Roman" w:hAnsi="Times New Roman" w:cs="Times New Roman"/>
          <w:noProof/>
          <w:sz w:val="24"/>
          <w:szCs w:val="24"/>
        </w:rPr>
        <w:t>[234]</w:t>
      </w:r>
      <w:r w:rsidRPr="003676D3">
        <w:rPr>
          <w:rFonts w:ascii="Times New Roman" w:hAnsi="Times New Roman" w:cs="Times New Roman"/>
          <w:sz w:val="24"/>
          <w:szCs w:val="24"/>
        </w:rPr>
        <w:fldChar w:fldCharType="end"/>
      </w:r>
      <w:r w:rsidR="00B308EE" w:rsidRPr="003676D3">
        <w:rPr>
          <w:rFonts w:ascii="Times New Roman" w:hAnsi="Times New Roman" w:cs="Times New Roman"/>
          <w:sz w:val="24"/>
          <w:szCs w:val="24"/>
        </w:rPr>
        <w:t xml:space="preserve">, </w:t>
      </w:r>
      <w:r w:rsidR="00A8492C" w:rsidRPr="003676D3">
        <w:rPr>
          <w:rFonts w:ascii="Times New Roman" w:hAnsi="Times New Roman" w:cs="Times New Roman"/>
          <w:sz w:val="24"/>
          <w:szCs w:val="24"/>
        </w:rPr>
        <w:t xml:space="preserve">their </w:t>
      </w:r>
      <w:r w:rsidR="00B308EE" w:rsidRPr="003676D3">
        <w:rPr>
          <w:rFonts w:ascii="Times New Roman" w:hAnsi="Times New Roman" w:cs="Times New Roman"/>
          <w:sz w:val="24"/>
          <w:szCs w:val="24"/>
        </w:rPr>
        <w:t xml:space="preserve">interoperability </w:t>
      </w:r>
      <w:r w:rsidR="00A8492C" w:rsidRPr="003676D3">
        <w:rPr>
          <w:rFonts w:ascii="Times New Roman" w:hAnsi="Times New Roman" w:cs="Times New Roman"/>
          <w:sz w:val="24"/>
          <w:szCs w:val="24"/>
        </w:rPr>
        <w:t>is a</w:t>
      </w:r>
      <w:r w:rsidR="00B308EE" w:rsidRPr="003676D3">
        <w:rPr>
          <w:rFonts w:ascii="Times New Roman" w:hAnsi="Times New Roman" w:cs="Times New Roman"/>
          <w:sz w:val="24"/>
          <w:szCs w:val="24"/>
        </w:rPr>
        <w:t xml:space="preserve"> significant research challenge. </w:t>
      </w:r>
      <w:r w:rsidR="00972BF0" w:rsidRPr="003676D3">
        <w:rPr>
          <w:rFonts w:ascii="Times New Roman" w:hAnsi="Times New Roman" w:cs="Times New Roman"/>
          <w:sz w:val="24"/>
          <w:szCs w:val="24"/>
        </w:rPr>
        <w:t>Offering the power infrastructure that SSGs need requires tackling the heterogeneity of the many components which are interconnected with multiple standards and technologies.</w:t>
      </w:r>
      <w:r w:rsidR="004A3099" w:rsidRPr="003676D3">
        <w:rPr>
          <w:rFonts w:ascii="Times New Roman" w:hAnsi="Times New Roman" w:cs="Times New Roman"/>
          <w:sz w:val="24"/>
          <w:szCs w:val="24"/>
        </w:rPr>
        <w:t xml:space="preserve"> The literature is void of optimal grid operation in event of energy trading in a SSG environment when multiple nodes are involved. Also, the evolution of energy markets in SSG should be studied in detail for real time price signalling, energy volatility and consumer behaviour.</w:t>
      </w:r>
    </w:p>
    <w:p w14:paraId="18BF46BC" w14:textId="06E8D0E8" w:rsidR="00B308EE" w:rsidRPr="003676D3" w:rsidRDefault="00F44B4B"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In order to be able to implement, operate and control SSG transactive energy systems, a suitable legislative framework has to be created. Market participants would need to have boundaries of privacy and data integrity, energy transaction mechanisms, contracts with customer participants, rules of market price clearing that would be public. </w:t>
      </w:r>
      <w:r w:rsidR="007E257C" w:rsidRPr="003676D3">
        <w:rPr>
          <w:rFonts w:ascii="Times New Roman" w:hAnsi="Times New Roman" w:cs="Times New Roman"/>
          <w:sz w:val="24"/>
          <w:szCs w:val="24"/>
        </w:rPr>
        <w:t>The behaviour</w:t>
      </w:r>
      <w:r w:rsidRPr="003676D3">
        <w:rPr>
          <w:rFonts w:ascii="Times New Roman" w:hAnsi="Times New Roman" w:cs="Times New Roman"/>
          <w:sz w:val="24"/>
          <w:szCs w:val="24"/>
        </w:rPr>
        <w:t xml:space="preserve"> of transactive energy systems should be more than just their real time balancing, but rather day-ahead optimisation and ancillary services like frequency control and voltage control. </w:t>
      </w:r>
      <w:r w:rsidR="00B308EE" w:rsidRPr="003676D3">
        <w:rPr>
          <w:rFonts w:ascii="Times New Roman" w:hAnsi="Times New Roman" w:cs="Times New Roman"/>
          <w:sz w:val="24"/>
          <w:szCs w:val="24"/>
        </w:rPr>
        <w:t>Additionally, attention is focused on implementing cooperative control strategies and security protocols within the SSGs power infrastructure.</w:t>
      </w:r>
      <w:r w:rsidR="00112021" w:rsidRPr="003676D3">
        <w:rPr>
          <w:rFonts w:ascii="Times New Roman" w:hAnsi="Times New Roman" w:cs="Times New Roman"/>
          <w:sz w:val="24"/>
          <w:szCs w:val="24"/>
        </w:rPr>
        <w:t xml:space="preserve"> Optimal deployment of information and communication infrastructure, considering investment and maintenance costs, bandwidth, and coverage, is crucial for efficient energy transactions and data sharing</w:t>
      </w:r>
    </w:p>
    <w:p w14:paraId="211A8D48" w14:textId="7C705910" w:rsidR="00847F5A" w:rsidRPr="003676D3" w:rsidRDefault="00847F5A"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Considerable research is currently underway to advance smart grid technologies. However, numerous opportunities exist for future exploration across various domains within the smart grid field. </w:t>
      </w:r>
      <w:r w:rsidR="00215127" w:rsidRPr="003676D3">
        <w:rPr>
          <w:rFonts w:ascii="Times New Roman" w:hAnsi="Times New Roman" w:cs="Times New Roman"/>
          <w:sz w:val="24"/>
          <w:szCs w:val="24"/>
        </w:rPr>
        <w:t>These include algorithms for forecasting, power flow optimization, communication protocols, micro-grid integration, demand and energy management systems, interoperability standards, economic aspects, scalability, data security, and above all, the automation of electricity generation, transmission and distribution systems.</w:t>
      </w:r>
    </w:p>
    <w:p w14:paraId="20152C95" w14:textId="578B25C9" w:rsidR="00132774" w:rsidRPr="003676D3" w:rsidRDefault="006140C0"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Additionally, defining interoperability standards for various distributed ledger technologies and enhancing network security with strong cryptographic measures are vi</w:t>
      </w:r>
      <w:r w:rsidR="005B0EA0" w:rsidRPr="003676D3">
        <w:rPr>
          <w:rFonts w:ascii="Times New Roman" w:hAnsi="Times New Roman" w:cs="Times New Roman"/>
          <w:sz w:val="24"/>
          <w:szCs w:val="24"/>
        </w:rPr>
        <w:t xml:space="preserve">tal to ensuring </w:t>
      </w:r>
      <w:r w:rsidRPr="003676D3">
        <w:rPr>
          <w:rFonts w:ascii="Times New Roman" w:hAnsi="Times New Roman" w:cs="Times New Roman"/>
          <w:sz w:val="24"/>
          <w:szCs w:val="24"/>
        </w:rPr>
        <w:t>customer privacy,</w:t>
      </w:r>
      <w:r w:rsidR="005B0EA0" w:rsidRPr="003676D3">
        <w:rPr>
          <w:rFonts w:ascii="Times New Roman" w:hAnsi="Times New Roman" w:cs="Times New Roman"/>
          <w:sz w:val="24"/>
          <w:szCs w:val="24"/>
        </w:rPr>
        <w:t xml:space="preserve"> data integrity</w:t>
      </w:r>
      <w:r w:rsidRPr="003676D3">
        <w:rPr>
          <w:rFonts w:ascii="Times New Roman" w:hAnsi="Times New Roman" w:cs="Times New Roman"/>
          <w:sz w:val="24"/>
          <w:szCs w:val="24"/>
        </w:rPr>
        <w:t xml:space="preserve"> and protection against </w:t>
      </w:r>
      <w:r w:rsidR="004B1918" w:rsidRPr="003676D3">
        <w:rPr>
          <w:rFonts w:ascii="Times New Roman" w:hAnsi="Times New Roman" w:cs="Times New Roman"/>
          <w:sz w:val="24"/>
          <w:szCs w:val="24"/>
        </w:rPr>
        <w:t>cyber-attacks</w:t>
      </w:r>
      <w:r w:rsidRPr="003676D3">
        <w:rPr>
          <w:rFonts w:ascii="Times New Roman" w:hAnsi="Times New Roman" w:cs="Times New Roman"/>
          <w:sz w:val="24"/>
          <w:szCs w:val="24"/>
        </w:rPr>
        <w:t xml:space="preserve">. These recommendations will support the transition from conventional power systems to decentralized </w:t>
      </w:r>
      <w:r w:rsidR="005B0EA0" w:rsidRPr="003676D3">
        <w:rPr>
          <w:rFonts w:ascii="Times New Roman" w:hAnsi="Times New Roman" w:cs="Times New Roman"/>
          <w:sz w:val="24"/>
          <w:szCs w:val="24"/>
        </w:rPr>
        <w:t xml:space="preserve">smart grids and </w:t>
      </w:r>
      <w:r w:rsidR="005B0EA0" w:rsidRPr="003676D3">
        <w:rPr>
          <w:rFonts w:ascii="Times New Roman" w:hAnsi="Times New Roman" w:cs="Times New Roman"/>
          <w:sz w:val="24"/>
          <w:szCs w:val="24"/>
        </w:rPr>
        <w:lastRenderedPageBreak/>
        <w:t>then all the way to super smart grid</w:t>
      </w:r>
      <w:r w:rsidRPr="003676D3">
        <w:rPr>
          <w:rFonts w:ascii="Times New Roman" w:hAnsi="Times New Roman" w:cs="Times New Roman"/>
          <w:sz w:val="24"/>
          <w:szCs w:val="24"/>
        </w:rPr>
        <w:t>, improving scalability, resilience, reliability, and sustainability.</w:t>
      </w:r>
    </w:p>
    <w:p w14:paraId="49DCB7F3" w14:textId="27AFC397" w:rsidR="00820DC7" w:rsidRPr="003676D3" w:rsidRDefault="00370893" w:rsidP="003676D3">
      <w:pPr>
        <w:pStyle w:val="Heading1"/>
        <w:spacing w:line="276" w:lineRule="auto"/>
        <w:jc w:val="both"/>
        <w:rPr>
          <w:sz w:val="24"/>
          <w:szCs w:val="24"/>
        </w:rPr>
      </w:pPr>
      <w:r w:rsidRPr="003676D3">
        <w:rPr>
          <w:sz w:val="24"/>
          <w:szCs w:val="24"/>
        </w:rPr>
        <w:t>Conclusion</w:t>
      </w:r>
    </w:p>
    <w:p w14:paraId="43797272" w14:textId="6D70280F" w:rsidR="00C1402C" w:rsidRPr="003676D3" w:rsidRDefault="00C1402C" w:rsidP="003676D3">
      <w:pPr>
        <w:pStyle w:val="NormalWeb"/>
        <w:spacing w:line="276" w:lineRule="auto"/>
        <w:jc w:val="both"/>
      </w:pPr>
      <w:r w:rsidRPr="003676D3">
        <w:t xml:space="preserve">This study contributes to the acceleration </w:t>
      </w:r>
      <w:r w:rsidR="00A86A12" w:rsidRPr="003676D3">
        <w:t xml:space="preserve">of </w:t>
      </w:r>
      <w:r w:rsidRPr="003676D3">
        <w:t>the developmen</w:t>
      </w:r>
      <w:r w:rsidR="00A86A12" w:rsidRPr="003676D3">
        <w:t>t of super smart grids by employing</w:t>
      </w:r>
      <w:r w:rsidRPr="003676D3">
        <w:t xml:space="preserve"> a new approach and </w:t>
      </w:r>
      <w:r w:rsidR="005B0EA0" w:rsidRPr="003676D3">
        <w:t>exploratory</w:t>
      </w:r>
      <w:r w:rsidRPr="003676D3">
        <w:t xml:space="preserve"> super smart grid innovation from the perspectives of policy and governance. The study’s findings can assist policymakers in developing unified strategies to address previous shortcomings in policies aimed at fostering the t</w:t>
      </w:r>
      <w:r w:rsidR="00F6280D" w:rsidRPr="003676D3">
        <w:t>ransition to super smart grids.</w:t>
      </w:r>
      <w:r w:rsidR="007D1796" w:rsidRPr="003676D3">
        <w:t xml:space="preserve"> The </w:t>
      </w:r>
      <w:r w:rsidR="00CD1B25" w:rsidRPr="003676D3">
        <w:t>qualitative analysis constitutes an important part of this review, especially wh</w:t>
      </w:r>
      <w:r w:rsidR="0025700A" w:rsidRPr="003676D3">
        <w:t>ile</w:t>
      </w:r>
      <w:r w:rsidR="00CD1B25" w:rsidRPr="003676D3">
        <w:t xml:space="preserve"> assessing </w:t>
      </w:r>
      <w:r w:rsidR="0025700A" w:rsidRPr="003676D3">
        <w:t xml:space="preserve">the </w:t>
      </w:r>
      <w:r w:rsidR="00CD1B25" w:rsidRPr="003676D3">
        <w:t xml:space="preserve">regulatory frameworks and policies across Europe. This analysis </w:t>
      </w:r>
      <w:r w:rsidR="008E2CC7" w:rsidRPr="003676D3">
        <w:t>investigates</w:t>
      </w:r>
      <w:r w:rsidR="00CD1B25" w:rsidRPr="003676D3">
        <w:t xml:space="preserve"> the </w:t>
      </w:r>
      <w:r w:rsidR="008E2CC7" w:rsidRPr="003676D3">
        <w:t>effects</w:t>
      </w:r>
      <w:r w:rsidR="00CD1B25" w:rsidRPr="003676D3">
        <w:t xml:space="preserve"> of market liberalization, the influence of </w:t>
      </w:r>
      <w:r w:rsidR="008E2CC7" w:rsidRPr="003676D3">
        <w:t>metaverse</w:t>
      </w:r>
      <w:r w:rsidR="004666ED" w:rsidRPr="003676D3">
        <w:t xml:space="preserve"> and </w:t>
      </w:r>
      <w:r w:rsidR="00CD1B25" w:rsidRPr="003676D3">
        <w:t>blockchain technologies on decentralized energy transactions</w:t>
      </w:r>
      <w:r w:rsidR="004666ED" w:rsidRPr="003676D3">
        <w:t>. It also gives insight on</w:t>
      </w:r>
      <w:r w:rsidR="00CD1B25" w:rsidRPr="003676D3">
        <w:t xml:space="preserve"> how 5G and IoT technologies assist in super smart grid operations. The paper also examines the socio-economic consequences of these transitions, as well as their implications for the process of policy formulation</w:t>
      </w:r>
      <w:r w:rsidR="00B022C8" w:rsidRPr="003676D3">
        <w:t xml:space="preserve"> </w:t>
      </w:r>
      <w:r w:rsidR="004B1918" w:rsidRPr="003676D3">
        <w:t>through stakeholder</w:t>
      </w:r>
      <w:r w:rsidR="00CD1B25" w:rsidRPr="003676D3">
        <w:t xml:space="preserve"> engagement.</w:t>
      </w:r>
    </w:p>
    <w:p w14:paraId="3EB188B1" w14:textId="294989AE" w:rsidR="00C3294E" w:rsidRPr="003676D3" w:rsidRDefault="00F6280D" w:rsidP="003676D3">
      <w:pPr>
        <w:spacing w:line="276" w:lineRule="auto"/>
        <w:jc w:val="both"/>
        <w:rPr>
          <w:rFonts w:ascii="Times New Roman" w:hAnsi="Times New Roman" w:cs="Times New Roman"/>
          <w:sz w:val="24"/>
          <w:szCs w:val="24"/>
        </w:rPr>
      </w:pPr>
      <w:r w:rsidRPr="003676D3">
        <w:rPr>
          <w:rFonts w:ascii="Times New Roman" w:hAnsi="Times New Roman" w:cs="Times New Roman"/>
          <w:sz w:val="24"/>
          <w:szCs w:val="24"/>
        </w:rPr>
        <w:t xml:space="preserve">Energy transactions in super smart grids </w:t>
      </w:r>
      <w:r w:rsidR="007D1796" w:rsidRPr="003676D3">
        <w:rPr>
          <w:rFonts w:ascii="Times New Roman" w:hAnsi="Times New Roman" w:cs="Times New Roman"/>
          <w:sz w:val="24"/>
          <w:szCs w:val="24"/>
        </w:rPr>
        <w:t>permit</w:t>
      </w:r>
      <w:r w:rsidRPr="003676D3">
        <w:rPr>
          <w:rFonts w:ascii="Times New Roman" w:hAnsi="Times New Roman" w:cs="Times New Roman"/>
          <w:sz w:val="24"/>
          <w:szCs w:val="24"/>
        </w:rPr>
        <w:t xml:space="preserve"> dynamic pricing</w:t>
      </w:r>
      <w:r w:rsidR="00B022C8" w:rsidRPr="003676D3">
        <w:rPr>
          <w:rFonts w:ascii="Times New Roman" w:hAnsi="Times New Roman" w:cs="Times New Roman"/>
          <w:sz w:val="24"/>
          <w:szCs w:val="24"/>
        </w:rPr>
        <w:t xml:space="preserve"> which</w:t>
      </w:r>
      <w:r w:rsidRPr="003676D3">
        <w:rPr>
          <w:rFonts w:ascii="Times New Roman" w:hAnsi="Times New Roman" w:cs="Times New Roman"/>
          <w:sz w:val="24"/>
          <w:szCs w:val="24"/>
        </w:rPr>
        <w:t xml:space="preserve"> </w:t>
      </w:r>
      <w:r w:rsidR="004658A8" w:rsidRPr="003676D3">
        <w:rPr>
          <w:rFonts w:ascii="Times New Roman" w:hAnsi="Times New Roman" w:cs="Times New Roman"/>
          <w:sz w:val="24"/>
          <w:szCs w:val="24"/>
        </w:rPr>
        <w:t>allow</w:t>
      </w:r>
      <w:r w:rsidR="00B022C8" w:rsidRPr="003676D3">
        <w:rPr>
          <w:rFonts w:ascii="Times New Roman" w:hAnsi="Times New Roman" w:cs="Times New Roman"/>
          <w:sz w:val="24"/>
          <w:szCs w:val="24"/>
        </w:rPr>
        <w:t>s</w:t>
      </w:r>
      <w:r w:rsidR="004658A8" w:rsidRPr="003676D3">
        <w:rPr>
          <w:rFonts w:ascii="Times New Roman" w:hAnsi="Times New Roman" w:cs="Times New Roman"/>
          <w:sz w:val="24"/>
          <w:szCs w:val="24"/>
        </w:rPr>
        <w:t xml:space="preserve"> consumers to adjust their energy consumption in order to balance supply and demand</w:t>
      </w:r>
      <w:r w:rsidRPr="003676D3">
        <w:rPr>
          <w:rFonts w:ascii="Times New Roman" w:hAnsi="Times New Roman" w:cs="Times New Roman"/>
          <w:sz w:val="24"/>
          <w:szCs w:val="24"/>
        </w:rPr>
        <w:t xml:space="preserve">. </w:t>
      </w:r>
      <w:r w:rsidR="00C3294E" w:rsidRPr="003676D3">
        <w:rPr>
          <w:rFonts w:ascii="Times New Roman" w:hAnsi="Times New Roman" w:cs="Times New Roman"/>
          <w:sz w:val="24"/>
          <w:szCs w:val="24"/>
        </w:rPr>
        <w:t>They enable distributed generation and p2p trading, improve grid performance through distribution management systems, and facilitate integration of renewables by flattening their peaks. They also improve the security of energy supply with the use of microgrids, support decarbonisation by minimising resource wastage and enable electric cars to be used as mobile batteries.</w:t>
      </w:r>
    </w:p>
    <w:p w14:paraId="317CC5B8" w14:textId="3749CEE5" w:rsidR="00C312C2" w:rsidRPr="003676D3" w:rsidRDefault="00C1402C" w:rsidP="000D4F6A">
      <w:pPr>
        <w:spacing w:line="276" w:lineRule="auto"/>
        <w:jc w:val="both"/>
        <w:rPr>
          <w:rFonts w:ascii="Times New Roman" w:eastAsia="Times New Roman" w:hAnsi="Times New Roman" w:cs="Times New Roman"/>
          <w:sz w:val="24"/>
          <w:szCs w:val="24"/>
          <w:lang w:eastAsia="en-GB"/>
        </w:rPr>
      </w:pPr>
      <w:r w:rsidRPr="003676D3">
        <w:rPr>
          <w:rFonts w:ascii="Times New Roman" w:eastAsia="Times New Roman" w:hAnsi="Times New Roman" w:cs="Times New Roman"/>
          <w:sz w:val="24"/>
          <w:szCs w:val="24"/>
          <w:lang w:eastAsia="en-GB"/>
        </w:rPr>
        <w:t>Finally, the paper conducts a thorough technological assessment, evaluating solutions such as AI for predictive analytics</w:t>
      </w:r>
      <w:r w:rsidR="00F6280D" w:rsidRPr="003676D3">
        <w:rPr>
          <w:rFonts w:ascii="Times New Roman" w:eastAsia="Times New Roman" w:hAnsi="Times New Roman" w:cs="Times New Roman"/>
          <w:sz w:val="24"/>
          <w:szCs w:val="24"/>
          <w:lang w:eastAsia="en-GB"/>
        </w:rPr>
        <w:t xml:space="preserve"> </w:t>
      </w:r>
      <w:r w:rsidRPr="003676D3">
        <w:rPr>
          <w:rFonts w:ascii="Times New Roman" w:eastAsia="Times New Roman" w:hAnsi="Times New Roman" w:cs="Times New Roman"/>
          <w:sz w:val="24"/>
          <w:szCs w:val="24"/>
          <w:lang w:eastAsia="en-GB"/>
        </w:rPr>
        <w:t xml:space="preserve">and the application of the metaverse for simulating and optimizing energy systems. </w:t>
      </w:r>
      <w:r w:rsidR="00C2295E" w:rsidRPr="003676D3">
        <w:rPr>
          <w:rFonts w:ascii="Times New Roman" w:eastAsia="Times New Roman" w:hAnsi="Times New Roman" w:cs="Times New Roman"/>
          <w:sz w:val="24"/>
          <w:szCs w:val="24"/>
          <w:lang w:eastAsia="en-GB"/>
        </w:rPr>
        <w:t xml:space="preserve">This review </w:t>
      </w:r>
      <w:r w:rsidR="00585793" w:rsidRPr="003676D3">
        <w:rPr>
          <w:rFonts w:ascii="Times New Roman" w:eastAsia="Times New Roman" w:hAnsi="Times New Roman" w:cs="Times New Roman"/>
          <w:sz w:val="24"/>
          <w:szCs w:val="24"/>
          <w:lang w:eastAsia="en-GB"/>
        </w:rPr>
        <w:t xml:space="preserve">has </w:t>
      </w:r>
      <w:r w:rsidR="00CD3EC5" w:rsidRPr="003676D3">
        <w:rPr>
          <w:rFonts w:ascii="Times New Roman" w:eastAsia="Times New Roman" w:hAnsi="Times New Roman" w:cs="Times New Roman"/>
          <w:sz w:val="24"/>
          <w:szCs w:val="24"/>
          <w:lang w:eastAsia="en-GB"/>
        </w:rPr>
        <w:t xml:space="preserve">multi-faceted approach and </w:t>
      </w:r>
      <w:r w:rsidR="00C2295E" w:rsidRPr="003676D3">
        <w:rPr>
          <w:rFonts w:ascii="Times New Roman" w:eastAsia="Times New Roman" w:hAnsi="Times New Roman" w:cs="Times New Roman"/>
          <w:sz w:val="24"/>
          <w:szCs w:val="24"/>
          <w:lang w:eastAsia="en-GB"/>
        </w:rPr>
        <w:t>covers the possible opportunities as well as the problems which these technologies encounter in achieving better grid management, safety and strength. In this comprehensive approach, the research seeks to integrate all insights, helping to understand the current contemplation and possible outcomes of moving towards super smart grids in Europe, while reinforcing the importance of technology, regulatory and economy interdependencies.</w:t>
      </w:r>
    </w:p>
    <w:p w14:paraId="49D9588B" w14:textId="757FF393" w:rsidR="000B698A" w:rsidRPr="003676D3" w:rsidRDefault="000B698A" w:rsidP="003676D3">
      <w:pPr>
        <w:pStyle w:val="Heading1"/>
        <w:spacing w:line="276" w:lineRule="auto"/>
        <w:jc w:val="both"/>
      </w:pPr>
      <w:r w:rsidRPr="003676D3">
        <w:rPr>
          <w:sz w:val="28"/>
          <w:szCs w:val="28"/>
        </w:rPr>
        <w:t>References</w:t>
      </w:r>
    </w:p>
    <w:p w14:paraId="4D582851" w14:textId="06453956" w:rsidR="00C312C2" w:rsidRPr="003676D3" w:rsidRDefault="000B698A"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eastAsia="Times New Roman" w:hAnsi="Times New Roman" w:cs="Times New Roman"/>
          <w:sz w:val="24"/>
          <w:szCs w:val="24"/>
          <w:lang w:eastAsia="en-GB"/>
        </w:rPr>
        <w:fldChar w:fldCharType="begin" w:fldLock="1"/>
      </w:r>
      <w:r w:rsidRPr="003676D3">
        <w:rPr>
          <w:rFonts w:ascii="Times New Roman" w:eastAsia="Times New Roman" w:hAnsi="Times New Roman" w:cs="Times New Roman"/>
          <w:sz w:val="24"/>
          <w:szCs w:val="24"/>
          <w:lang w:eastAsia="en-GB"/>
        </w:rPr>
        <w:instrText xml:space="preserve">ADDIN Mendeley Bibliography CSL_BIBLIOGRAPHY </w:instrText>
      </w:r>
      <w:r w:rsidRPr="003676D3">
        <w:rPr>
          <w:rFonts w:ascii="Times New Roman" w:eastAsia="Times New Roman" w:hAnsi="Times New Roman" w:cs="Times New Roman"/>
          <w:sz w:val="24"/>
          <w:szCs w:val="24"/>
          <w:lang w:eastAsia="en-GB"/>
        </w:rPr>
        <w:fldChar w:fldCharType="separate"/>
      </w:r>
      <w:r w:rsidR="00C312C2" w:rsidRPr="003676D3">
        <w:rPr>
          <w:rFonts w:ascii="Times New Roman" w:hAnsi="Times New Roman" w:cs="Times New Roman"/>
          <w:noProof/>
          <w:sz w:val="20"/>
          <w:szCs w:val="24"/>
        </w:rPr>
        <w:t>[1]</w:t>
      </w:r>
      <w:r w:rsidR="00C312C2" w:rsidRPr="003676D3">
        <w:rPr>
          <w:rFonts w:ascii="Times New Roman" w:hAnsi="Times New Roman" w:cs="Times New Roman"/>
          <w:noProof/>
          <w:sz w:val="20"/>
          <w:szCs w:val="24"/>
        </w:rPr>
        <w:tab/>
        <w:t>Amin U, Hossain MJ, Tushar W, Mahmud K. Energy Trading in Local Electricity Market with Renewables - A Contract Theoretic Approach. IEEE Trans Ind Informatics 2021;17:3717–30. https://doi.org/10.1109/TII.2020.3018123.</w:t>
      </w:r>
    </w:p>
    <w:p w14:paraId="4A0F7B13"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w:t>
      </w:r>
      <w:r w:rsidRPr="003676D3">
        <w:rPr>
          <w:rFonts w:ascii="Times New Roman" w:hAnsi="Times New Roman" w:cs="Times New Roman"/>
          <w:noProof/>
          <w:sz w:val="20"/>
          <w:szCs w:val="24"/>
        </w:rPr>
        <w:tab/>
        <w:t>Wilson C, Tyfield D. Critical perspectives on disruptive innovation and energy transformation. Energy Res Soc Sci 2018;37:211–5. https://doi.org/10.1016/J.ERSS.2017.10.032.</w:t>
      </w:r>
    </w:p>
    <w:p w14:paraId="4EF164F6"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[3]</w:t>
      </w:r>
      <w:r w:rsidRPr="003676D3">
        <w:rPr>
          <w:rFonts w:ascii="Times New Roman" w:hAnsi="Times New Roman" w:cs="Times New Roman"/>
          <w:noProof/>
          <w:sz w:val="20"/>
          <w:szCs w:val="24"/>
        </w:rPr>
        <w:tab/>
        <w:t>Sun S, Dong M, Liang B. Distributed Real-Time Power Balancing in Renewable-Integrated Power Grids With Storage and Flexible Loads. IEEE Trans Smart Grid 2016;7:2337–49. https://doi.org/10.1109/TSG.2015.2445794.</w:t>
      </w:r>
    </w:p>
    <w:p w14:paraId="1DBB2223"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[4]</w:t>
      </w:r>
      <w:r w:rsidRPr="003676D3">
        <w:rPr>
          <w:rFonts w:ascii="Times New Roman" w:hAnsi="Times New Roman" w:cs="Times New Roman"/>
          <w:noProof/>
          <w:sz w:val="20"/>
          <w:szCs w:val="24"/>
        </w:rPr>
        <w:tab/>
        <w:t>Bajaj M, Singh AK. Grid integrated renewable DG systems: A review of power quality challenges and state‐of‐the‐art mitigation techniques. Int J Energy Res 2020;44:26–69. https://doi.org/10.1002/ER.4847.</w:t>
      </w:r>
    </w:p>
    <w:p w14:paraId="2F195A5A"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lastRenderedPageBreak/>
        <w:t>[5]</w:t>
      </w:r>
      <w:r w:rsidRPr="003676D3">
        <w:rPr>
          <w:rFonts w:ascii="Times New Roman" w:hAnsi="Times New Roman" w:cs="Times New Roman"/>
          <w:noProof/>
          <w:sz w:val="20"/>
          <w:szCs w:val="24"/>
        </w:rPr>
        <w:tab/>
        <w:t>Xiaohu Z. Carbon Trading Based Low-Carbon Economic Dispatching for Power Grid Integrated With Wind Power System. Power Syst Technol 2013.</w:t>
      </w:r>
    </w:p>
    <w:p w14:paraId="7AAC0D07"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[6]</w:t>
      </w:r>
      <w:r w:rsidRPr="003676D3">
        <w:rPr>
          <w:rFonts w:ascii="Times New Roman" w:hAnsi="Times New Roman" w:cs="Times New Roman"/>
          <w:noProof/>
          <w:sz w:val="20"/>
          <w:szCs w:val="24"/>
        </w:rPr>
        <w:tab/>
        <w:t>Gerbaulet C, Von Hirschhausen C, Kemfert C, Lorenz C, Gei PY. Scenarios for decarbonizing the European electricity sector. 2017 14th Int Conf Eur Energy Mark 2017. https://doi.org/10.1109/EEM.2017.7982017.</w:t>
      </w:r>
    </w:p>
    <w:p w14:paraId="357CB9AF"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[7]</w:t>
      </w:r>
      <w:r w:rsidRPr="003676D3">
        <w:rPr>
          <w:rFonts w:ascii="Times New Roman" w:hAnsi="Times New Roman" w:cs="Times New Roman"/>
          <w:noProof/>
          <w:sz w:val="20"/>
          <w:szCs w:val="24"/>
        </w:rPr>
        <w:tab/>
        <w:t>Zappa W, Junginger M, van den Broek M. Is a 100% renewable European power system feasible by 2050? Appl Energy 2019;233–234:1027–50. https://doi.org/10.1016/J.APENERGY.2018.08.109.</w:t>
      </w:r>
    </w:p>
    <w:p w14:paraId="0CEC3709"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[8]</w:t>
      </w:r>
      <w:r w:rsidRPr="003676D3">
        <w:rPr>
          <w:rFonts w:ascii="Times New Roman" w:hAnsi="Times New Roman" w:cs="Times New Roman"/>
          <w:noProof/>
          <w:sz w:val="20"/>
          <w:szCs w:val="24"/>
        </w:rPr>
        <w:tab/>
        <w:t>Nair NKC, Zhang L. SmartGrid: Future networks for New Zealand power systems incorporating distributed generation. Energy Policy 2009;37:3418–27. https://doi.org/10.1016/J.ENPOL.2009.03.025.</w:t>
      </w:r>
    </w:p>
    <w:p w14:paraId="5D07FA2F"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[9]</w:t>
      </w:r>
      <w:r w:rsidRPr="003676D3">
        <w:rPr>
          <w:rFonts w:ascii="Times New Roman" w:hAnsi="Times New Roman" w:cs="Times New Roman"/>
          <w:noProof/>
          <w:sz w:val="20"/>
          <w:szCs w:val="24"/>
        </w:rPr>
        <w:tab/>
        <w:t>Yiwe Z. Direction of Research and Innovation in the Development of European Power Grid. Power Syst Clean Energy 2014.</w:t>
      </w:r>
    </w:p>
    <w:p w14:paraId="1615B378"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[10]</w:t>
      </w:r>
      <w:r w:rsidRPr="003676D3">
        <w:rPr>
          <w:rFonts w:ascii="Times New Roman" w:hAnsi="Times New Roman" w:cs="Times New Roman"/>
          <w:noProof/>
          <w:sz w:val="20"/>
          <w:szCs w:val="24"/>
        </w:rPr>
        <w:tab/>
        <w:t>Basit MA, Dilshad S, Badar R, Sami ur Rehman SM. Limitations, challenges, and solution approaches in grid‐connected renewable energy systems. Int J Energy Res 2020;44:4132–62. https://doi.org/10.1002/ER.5033.</w:t>
      </w:r>
    </w:p>
    <w:p w14:paraId="5992C6A1"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[11]</w:t>
      </w:r>
      <w:r w:rsidRPr="003676D3">
        <w:rPr>
          <w:rFonts w:ascii="Times New Roman" w:hAnsi="Times New Roman" w:cs="Times New Roman"/>
          <w:noProof/>
          <w:sz w:val="20"/>
          <w:szCs w:val="24"/>
        </w:rPr>
        <w:tab/>
        <w:t>Christopher AV, Rex S, Kumar.J A. Smart grid challenges and signal processing based solutions - A Literature survey. Int J Eng Trends Technol 2016;37:189–96. https://doi.org/10.14445/22315381/IJETT-V37P232.</w:t>
      </w:r>
    </w:p>
    <w:p w14:paraId="6EDAE5A1"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[12]</w:t>
      </w:r>
      <w:r w:rsidRPr="003676D3">
        <w:rPr>
          <w:rFonts w:ascii="Times New Roman" w:hAnsi="Times New Roman" w:cs="Times New Roman"/>
          <w:noProof/>
          <w:sz w:val="20"/>
          <w:szCs w:val="24"/>
        </w:rPr>
        <w:tab/>
        <w:t>Amani AM, Jalili M. Power Grids as Complex Networks: Resilience and Reliability Analysis. IEEE Access 2021;9:119010–31. https://doi.org/10.1109/ACCESS.2021.3107492.</w:t>
      </w:r>
    </w:p>
    <w:p w14:paraId="5EA834D7"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[13]</w:t>
      </w:r>
      <w:r w:rsidRPr="003676D3">
        <w:rPr>
          <w:rFonts w:ascii="Times New Roman" w:hAnsi="Times New Roman" w:cs="Times New Roman"/>
          <w:noProof/>
          <w:sz w:val="20"/>
          <w:szCs w:val="24"/>
        </w:rPr>
        <w:tab/>
        <w:t>Battaglini A, Komendantova N, Brtnik P, Patt A. Perception of barriers for expansion of electricity grids in the European Union. Energy Policy 2012;47:254–9. https://doi.org/10.1016/J.ENPOL.2012.04.065.</w:t>
      </w:r>
    </w:p>
    <w:p w14:paraId="760016E9"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[14]</w:t>
      </w:r>
      <w:r w:rsidRPr="003676D3">
        <w:rPr>
          <w:rFonts w:ascii="Times New Roman" w:hAnsi="Times New Roman" w:cs="Times New Roman"/>
          <w:noProof/>
          <w:sz w:val="20"/>
          <w:szCs w:val="24"/>
        </w:rPr>
        <w:tab/>
        <w:t>Kolokotsa D. The role of smart grids in the building sector. Energy Build 2016;116:703–8. https://doi.org/10.1016/J.ENBUILD.2015.12.033.</w:t>
      </w:r>
    </w:p>
    <w:p w14:paraId="7C7BDDAE"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[15]</w:t>
      </w:r>
      <w:r w:rsidRPr="003676D3">
        <w:rPr>
          <w:rFonts w:ascii="Times New Roman" w:hAnsi="Times New Roman" w:cs="Times New Roman"/>
          <w:noProof/>
          <w:sz w:val="20"/>
          <w:szCs w:val="24"/>
        </w:rPr>
        <w:tab/>
        <w:t>Salvadori F, Gehrke CS, De Oliveira AC, De Campos M, Sausen PS. Smart Grid Infrastructure Using a Hybrid Network Architecture. IEEE Trans Smart Grid 2013;4:1630–9. https://doi.org/10.1109/TSG.2013.2265264.</w:t>
      </w:r>
    </w:p>
    <w:p w14:paraId="36F451ED"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[16]</w:t>
      </w:r>
      <w:r w:rsidRPr="003676D3">
        <w:rPr>
          <w:rFonts w:ascii="Times New Roman" w:hAnsi="Times New Roman" w:cs="Times New Roman"/>
          <w:noProof/>
          <w:sz w:val="20"/>
          <w:szCs w:val="24"/>
        </w:rPr>
        <w:tab/>
        <w:t>Yu X, Xue Y. Smart Grids: A Cyber–Physical Systems Perspective. Proc IEEE 2016;104:1058–70. https://doi.org/10.1109/JPROC.2015.2503119.</w:t>
      </w:r>
    </w:p>
    <w:p w14:paraId="55F7B25C"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[17]</w:t>
      </w:r>
      <w:r w:rsidRPr="003676D3">
        <w:rPr>
          <w:rFonts w:ascii="Times New Roman" w:hAnsi="Times New Roman" w:cs="Times New Roman"/>
          <w:noProof/>
          <w:sz w:val="20"/>
          <w:szCs w:val="24"/>
        </w:rPr>
        <w:tab/>
        <w:t>Dileep G. A survey on smart grid technologies and applications. Renew Energy 2020;146:2589–625. https://doi.org/10.1016/J.RENENE.2019.08.092.</w:t>
      </w:r>
    </w:p>
    <w:p w14:paraId="1A825548"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[18]</w:t>
      </w:r>
      <w:r w:rsidRPr="003676D3">
        <w:rPr>
          <w:rFonts w:ascii="Times New Roman" w:hAnsi="Times New Roman" w:cs="Times New Roman"/>
          <w:noProof/>
          <w:sz w:val="20"/>
          <w:szCs w:val="24"/>
        </w:rPr>
        <w:tab/>
        <w:t>Norouzi F, Hoppe T, Kamp LM, Manktelow C, Bauer P. Diagnosis of the implementation of smart grid innovation in The Netherlands and corrective actions. Renew Sustain Energy Rev 2023;175:113185. https://doi.org/10.1016/J.RSER.2023.113185.</w:t>
      </w:r>
    </w:p>
    <w:p w14:paraId="150E672D"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[19]</w:t>
      </w:r>
      <w:r w:rsidRPr="003676D3">
        <w:rPr>
          <w:rFonts w:ascii="Times New Roman" w:hAnsi="Times New Roman" w:cs="Times New Roman"/>
          <w:noProof/>
          <w:sz w:val="20"/>
          <w:szCs w:val="24"/>
        </w:rPr>
        <w:tab/>
        <w:t>Pereira GI, Specht JM, Silva PP, Madlener R. Technology, business model, and market design adaptation toward smart electricity distribution: Insights for policy making. Energy Policy 2018;121:426–40. https://doi.org/10.1016/j.enpol.2018.06.018.</w:t>
      </w:r>
    </w:p>
    <w:p w14:paraId="6498EFC7"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[20]</w:t>
      </w:r>
      <w:r w:rsidRPr="003676D3">
        <w:rPr>
          <w:rFonts w:ascii="Times New Roman" w:hAnsi="Times New Roman" w:cs="Times New Roman"/>
          <w:noProof/>
          <w:sz w:val="20"/>
          <w:szCs w:val="24"/>
        </w:rPr>
        <w:tab/>
        <w:t>Shomali A, Pinkse J. The consequences of smart grids for the business model of electricity firms. J Clean Prod 2016;112:3830–41. https://doi.org/10.1016/J.JCLEPRO.2015.07.078.</w:t>
      </w:r>
    </w:p>
    <w:p w14:paraId="5A339B9A"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[21]</w:t>
      </w:r>
      <w:r w:rsidRPr="003676D3">
        <w:rPr>
          <w:rFonts w:ascii="Times New Roman" w:hAnsi="Times New Roman" w:cs="Times New Roman"/>
          <w:noProof/>
          <w:sz w:val="20"/>
          <w:szCs w:val="24"/>
        </w:rPr>
        <w:tab/>
        <w:t>Gui EM, Diesendorf M, MacGill I. Distributed energy infrastructure paradigm: Community microgrids in a new institutional economics context. Renew Sustain Energy Rev 2017;72:1355–65. https://doi.org/10.1016/j.rser.2016.10.047.</w:t>
      </w:r>
    </w:p>
    <w:p w14:paraId="08E55BE2"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[22]</w:t>
      </w:r>
      <w:r w:rsidRPr="003676D3">
        <w:rPr>
          <w:rFonts w:ascii="Times New Roman" w:hAnsi="Times New Roman" w:cs="Times New Roman"/>
          <w:noProof/>
          <w:sz w:val="20"/>
          <w:szCs w:val="24"/>
        </w:rPr>
        <w:tab/>
        <w:t>Lindberg MB, Markard J, Andersen AD. Policies, actors and sustainability transition pathways: A study of the EU’s energy policy mix. Res Policy 2019;48:103668. https://doi.org/10.1016/J.RESPOL.2018.09.003.</w:t>
      </w:r>
    </w:p>
    <w:p w14:paraId="6202A705"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[23]</w:t>
      </w:r>
      <w:r w:rsidRPr="003676D3">
        <w:rPr>
          <w:rFonts w:ascii="Times New Roman" w:hAnsi="Times New Roman" w:cs="Times New Roman"/>
          <w:noProof/>
          <w:sz w:val="20"/>
          <w:szCs w:val="24"/>
        </w:rPr>
        <w:tab/>
        <w:t xml:space="preserve">Panda DK, Das S. Smart grid architecture model for control, optimization and data analytics of future power networks with more renewable energy. J Clean Prod 2021;301:126877. </w:t>
      </w:r>
      <w:r w:rsidRPr="003676D3">
        <w:rPr>
          <w:rFonts w:ascii="Times New Roman" w:hAnsi="Times New Roman" w:cs="Times New Roman"/>
          <w:noProof/>
          <w:sz w:val="20"/>
          <w:szCs w:val="24"/>
        </w:rPr>
        <w:lastRenderedPageBreak/>
        <w:t>https://doi.org/10.1016/J.JCLEPRO.2021.126877.</w:t>
      </w:r>
    </w:p>
    <w:p w14:paraId="1ACE5451"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[24]</w:t>
      </w:r>
      <w:r w:rsidRPr="003676D3">
        <w:rPr>
          <w:rFonts w:ascii="Times New Roman" w:hAnsi="Times New Roman" w:cs="Times New Roman"/>
          <w:noProof/>
          <w:sz w:val="20"/>
          <w:szCs w:val="24"/>
        </w:rPr>
        <w:tab/>
        <w:t>Bhattacharya S, Chengoden R, Srivastava G, Alazab M, Javed AR, Victor N, et al. Incentive Mechanisms for Smart Grid: State of the Art, Challenges, Open Issues, Future Directions. Big Data Cogn Comput 2022, Vol 6, Page 47 2022;6:47. https://doi.org/10.3390/BDCC6020047.</w:t>
      </w:r>
    </w:p>
    <w:p w14:paraId="788577AC"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[25]</w:t>
      </w:r>
      <w:r w:rsidRPr="003676D3">
        <w:rPr>
          <w:rFonts w:ascii="Times New Roman" w:hAnsi="Times New Roman" w:cs="Times New Roman"/>
          <w:noProof/>
          <w:sz w:val="20"/>
          <w:szCs w:val="24"/>
        </w:rPr>
        <w:tab/>
        <w:t>Yaqoob I, Salah K, Jayaraman R, Omar M. Metaverse applications in smart cities: Enabling technologies, opportunities, challenges, and future directions. Internet of Things 2023;23:100884. https://doi.org/10.1016/J.IOT.2023.100884.</w:t>
      </w:r>
    </w:p>
    <w:p w14:paraId="334CEFEE"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[26]</w:t>
      </w:r>
      <w:r w:rsidRPr="003676D3">
        <w:rPr>
          <w:rFonts w:ascii="Times New Roman" w:hAnsi="Times New Roman" w:cs="Times New Roman"/>
          <w:noProof/>
          <w:sz w:val="20"/>
          <w:szCs w:val="24"/>
        </w:rPr>
        <w:tab/>
        <w:t>Majeed Butt O, Zulqarnain M, Majeed Butt T. Recent advancement in smart grid technology: Future prospects in the electrical power network. Ain Shams Eng J 2021;12:687–95. https://doi.org/10.1016/J.ASEJ.2020.05.004.</w:t>
      </w:r>
    </w:p>
    <w:p w14:paraId="299D4D69"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[27]</w:t>
      </w:r>
      <w:r w:rsidRPr="003676D3">
        <w:rPr>
          <w:rFonts w:ascii="Times New Roman" w:hAnsi="Times New Roman" w:cs="Times New Roman"/>
          <w:noProof/>
          <w:sz w:val="20"/>
          <w:szCs w:val="24"/>
        </w:rPr>
        <w:tab/>
        <w:t>Zia MF, Benbouzid M, Elbouchikhi E, Muyeen SM, Techato K, Guerrero JM. Microgrid transactive energy: Review, architectures, distributed ledger technologies, and market analysis. IEEE Access 2020;8:19410–32. https://doi.org/10.1109/ACCESS.2020.2968402.</w:t>
      </w:r>
    </w:p>
    <w:p w14:paraId="12AF87B8"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[28]</w:t>
      </w:r>
      <w:r w:rsidRPr="003676D3">
        <w:rPr>
          <w:rFonts w:ascii="Times New Roman" w:hAnsi="Times New Roman" w:cs="Times New Roman"/>
          <w:noProof/>
          <w:sz w:val="20"/>
          <w:szCs w:val="24"/>
        </w:rPr>
        <w:tab/>
        <w:t>Adnan M, Ghadi Y, Ahmed I, Ali M. Transmission Network Planning in Super Smart Grids: A Survey. IEEE Access 2023;11:77163–227. https://doi.org/10.1109/ACCESS.2023.3296152.</w:t>
      </w:r>
    </w:p>
    <w:p w14:paraId="72F657C3"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[29]</w:t>
      </w:r>
      <w:r w:rsidRPr="003676D3">
        <w:rPr>
          <w:rFonts w:ascii="Times New Roman" w:hAnsi="Times New Roman" w:cs="Times New Roman"/>
          <w:noProof/>
          <w:sz w:val="20"/>
          <w:szCs w:val="24"/>
        </w:rPr>
        <w:tab/>
        <w:t>The European Green Deal - European Commission n.d. https://commission.europa.eu/strategy-and-policy/priorities-2019-2024/european-green-deal_en (accessed May 26, 2024).</w:t>
      </w:r>
    </w:p>
    <w:p w14:paraId="6F91BD56"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[30]</w:t>
      </w:r>
      <w:r w:rsidRPr="003676D3">
        <w:rPr>
          <w:rFonts w:ascii="Times New Roman" w:hAnsi="Times New Roman" w:cs="Times New Roman"/>
          <w:noProof/>
          <w:sz w:val="20"/>
          <w:szCs w:val="24"/>
        </w:rPr>
        <w:tab/>
        <w:t>An EU Wind Power Action Plan to keep wind power a European success story - European Commission n.d. https://commission.europa.eu/news/eu-wind-power-action-plan-keep-wind-power-european-success-story-2023-10-24_en (accessed May 26, 2024).</w:t>
      </w:r>
    </w:p>
    <w:p w14:paraId="451982DB"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[31]</w:t>
      </w:r>
      <w:r w:rsidRPr="003676D3">
        <w:rPr>
          <w:rFonts w:ascii="Times New Roman" w:hAnsi="Times New Roman" w:cs="Times New Roman"/>
          <w:noProof/>
          <w:sz w:val="20"/>
          <w:szCs w:val="24"/>
        </w:rPr>
        <w:tab/>
        <w:t>Vela Almeida D, Kolinjivadi V, Ferrando T, Roy B, Herrera H, Vecchione Gonçalves M, et al. The “Greening” of Empire: The European Green Deal as the EU first agenda. Polit Geogr 2023;105:102925. https://doi.org/10.1016/J.POLGEO.2023.102925.</w:t>
      </w:r>
    </w:p>
    <w:p w14:paraId="7EBDD3B6"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[32]</w:t>
      </w:r>
      <w:r w:rsidRPr="003676D3">
        <w:rPr>
          <w:rFonts w:ascii="Times New Roman" w:hAnsi="Times New Roman" w:cs="Times New Roman"/>
          <w:noProof/>
          <w:sz w:val="20"/>
          <w:szCs w:val="24"/>
        </w:rPr>
        <w:tab/>
        <w:t>ENTSO-E’s Recommendations for the Announced EU Grid Action Plan n.d. https://www.entsoe.eu/news/2023/11/16/entso-es-recommendations-for-the-announced-eu-grid-action-plan/ (accessed May 26, 2024).</w:t>
      </w:r>
    </w:p>
    <w:p w14:paraId="536FEA3F"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[33]</w:t>
      </w:r>
      <w:r w:rsidRPr="003676D3">
        <w:rPr>
          <w:rFonts w:ascii="Times New Roman" w:hAnsi="Times New Roman" w:cs="Times New Roman"/>
          <w:noProof/>
          <w:sz w:val="20"/>
          <w:szCs w:val="24"/>
        </w:rPr>
        <w:tab/>
        <w:t>Boie I, Fernandes C, Frías P, Klobasa M. Efficient strategies for the integration of renewable energy into future energy infrastructures in Europe – An analysis based on transnational modeling and case studies for nine European regions. Energy Policy 2014;67:170–85. https://doi.org/10.1016/J.ENPOL.2013.11.014.</w:t>
      </w:r>
    </w:p>
    <w:p w14:paraId="077A59EB"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[34]</w:t>
      </w:r>
      <w:r w:rsidRPr="003676D3">
        <w:rPr>
          <w:rFonts w:ascii="Times New Roman" w:hAnsi="Times New Roman" w:cs="Times New Roman"/>
          <w:noProof/>
          <w:sz w:val="20"/>
          <w:szCs w:val="24"/>
        </w:rPr>
        <w:tab/>
        <w:t>European Comission. Questions and Answers on the EU Action Plan for Grids. 2023.</w:t>
      </w:r>
    </w:p>
    <w:p w14:paraId="7BD8367A"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[35]</w:t>
      </w:r>
      <w:r w:rsidRPr="003676D3">
        <w:rPr>
          <w:rFonts w:ascii="Times New Roman" w:hAnsi="Times New Roman" w:cs="Times New Roman"/>
          <w:noProof/>
          <w:sz w:val="20"/>
          <w:szCs w:val="24"/>
        </w:rPr>
        <w:tab/>
        <w:t>Commission E. Actions to accelerate the roll-out of electricity grids. 2023.</w:t>
      </w:r>
    </w:p>
    <w:p w14:paraId="30AEE9AC"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[36]</w:t>
      </w:r>
      <w:r w:rsidRPr="003676D3">
        <w:rPr>
          <w:rFonts w:ascii="Times New Roman" w:hAnsi="Times New Roman" w:cs="Times New Roman"/>
          <w:noProof/>
          <w:sz w:val="20"/>
          <w:szCs w:val="24"/>
        </w:rPr>
        <w:tab/>
        <w:t>Immediate actions for the European wind power industry n.d. https://ec.europa.eu/commission/presscorner/detail/e%2Bn/ip_23_5185 (accessed May 26, 2024).</w:t>
      </w:r>
    </w:p>
    <w:p w14:paraId="41472EFF"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[37]</w:t>
      </w:r>
      <w:r w:rsidRPr="003676D3">
        <w:rPr>
          <w:rFonts w:ascii="Times New Roman" w:hAnsi="Times New Roman" w:cs="Times New Roman"/>
          <w:noProof/>
          <w:sz w:val="20"/>
          <w:szCs w:val="24"/>
        </w:rPr>
        <w:tab/>
        <w:t>EU Commission announces electricity grid action plan | Reuters n.d. https://www.reuters.com/business/energy/eu-commission-announces-electricity-grid-action-plan-2023-11-28/ (accessed May 31, 2024).</w:t>
      </w:r>
    </w:p>
    <w:p w14:paraId="62E2B95D"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[38]</w:t>
      </w:r>
      <w:r w:rsidRPr="003676D3">
        <w:rPr>
          <w:rFonts w:ascii="Times New Roman" w:hAnsi="Times New Roman" w:cs="Times New Roman"/>
          <w:noProof/>
          <w:sz w:val="20"/>
          <w:szCs w:val="24"/>
        </w:rPr>
        <w:tab/>
        <w:t>EU Grid Action Plan will help renewables, but urgent action needed on excessive connection queues | WindEurope n.d. https://windeurope.org/newsroom/press-releases/eu-grid-action-plan-will-help-renewables-but-urgent-action-needed-on-excessive-connection-queues/ (accessed May 31, 2024).</w:t>
      </w:r>
    </w:p>
    <w:p w14:paraId="2EEDFEA0"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[39]</w:t>
      </w:r>
      <w:r w:rsidRPr="003676D3">
        <w:rPr>
          <w:rFonts w:ascii="Times New Roman" w:hAnsi="Times New Roman" w:cs="Times New Roman"/>
          <w:noProof/>
          <w:sz w:val="20"/>
          <w:szCs w:val="24"/>
        </w:rPr>
        <w:tab/>
        <w:t>Child M, Kemfert C, Bogdanov D, Breyer C. Flexible electricity generation, grid exchange and storage for the transition to a 100% renewable energy system in Europe. Renew Energy 2019;139:80–101. https://doi.org/10.1016/J.RENENE.2019.02.077.</w:t>
      </w:r>
    </w:p>
    <w:p w14:paraId="7B4E11CB"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[40]</w:t>
      </w:r>
      <w:r w:rsidRPr="003676D3">
        <w:rPr>
          <w:rFonts w:ascii="Times New Roman" w:hAnsi="Times New Roman" w:cs="Times New Roman"/>
          <w:noProof/>
          <w:sz w:val="20"/>
          <w:szCs w:val="24"/>
        </w:rPr>
        <w:tab/>
        <w:t>Agrell PJ, Bogetoft P, Mikkers M. Smart-grid Investments, Regulation and Organization. Energy Policy 2013;52:656–66. https://doi.org/10.1016/J.ENPOL.2012.10.026.</w:t>
      </w:r>
    </w:p>
    <w:p w14:paraId="7D0D987F"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[41]</w:t>
      </w:r>
      <w:r w:rsidRPr="003676D3">
        <w:rPr>
          <w:rFonts w:ascii="Times New Roman" w:hAnsi="Times New Roman" w:cs="Times New Roman"/>
          <w:noProof/>
          <w:sz w:val="20"/>
          <w:szCs w:val="24"/>
        </w:rPr>
        <w:tab/>
        <w:t xml:space="preserve">Shaukat N, Ali SM, Mehmood CA, Khan B, Jawad M, Farid U, et al. A survey on consumers </w:t>
      </w:r>
      <w:r w:rsidRPr="003676D3">
        <w:rPr>
          <w:rFonts w:ascii="Times New Roman" w:hAnsi="Times New Roman" w:cs="Times New Roman"/>
          <w:noProof/>
          <w:sz w:val="20"/>
          <w:szCs w:val="24"/>
        </w:rPr>
        <w:lastRenderedPageBreak/>
        <w:t>empowerment, communication technologies, and renewable generation penetration within Smart Grid. Renew Sustain Energy Rev 2018;81:1453–75. https://doi.org/10.1016/J.RSER.2017.05.208.</w:t>
      </w:r>
    </w:p>
    <w:p w14:paraId="0DA034CE"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[42]</w:t>
      </w:r>
      <w:r w:rsidRPr="003676D3">
        <w:rPr>
          <w:rFonts w:ascii="Times New Roman" w:hAnsi="Times New Roman" w:cs="Times New Roman"/>
          <w:noProof/>
          <w:sz w:val="20"/>
          <w:szCs w:val="24"/>
        </w:rPr>
        <w:tab/>
        <w:t>Salkuti SR. Challenges, issues and opportunities for the development of smart grid. Int J Electr Comput Eng 2020;10:1179–86. https://doi.org/10.11591/IJECE.V10I2.PP1179-1186.</w:t>
      </w:r>
    </w:p>
    <w:p w14:paraId="56166F44"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[43]</w:t>
      </w:r>
      <w:r w:rsidRPr="003676D3">
        <w:rPr>
          <w:rFonts w:ascii="Times New Roman" w:hAnsi="Times New Roman" w:cs="Times New Roman"/>
          <w:noProof/>
          <w:sz w:val="20"/>
          <w:szCs w:val="24"/>
        </w:rPr>
        <w:tab/>
        <w:t>González LP, Fensel A, Berbís JMG, Popa A, Seco A de A. A Survey on Energy Efficiency in Smart Homes and Smart Grids. Energies 2021;14. https://doi.org/10.3390/EN14217273.</w:t>
      </w:r>
    </w:p>
    <w:p w14:paraId="35B778E4"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[44]</w:t>
      </w:r>
      <w:r w:rsidRPr="003676D3">
        <w:rPr>
          <w:rFonts w:ascii="Times New Roman" w:hAnsi="Times New Roman" w:cs="Times New Roman"/>
          <w:noProof/>
          <w:sz w:val="20"/>
          <w:szCs w:val="24"/>
        </w:rPr>
        <w:tab/>
        <w:t>Ponce-Jara MA, Ruiz E, Gil R, Sancristóbal E, Pérez-Molina C, Castro M. Smart Grid: Assessment of the past and present in developed and developing countries. Energy Strateg Rev 2017;18:38–52. https://doi.org/10.1016/J.ESR.2017.09.011.</w:t>
      </w:r>
    </w:p>
    <w:p w14:paraId="5AA59FF6"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[45]</w:t>
      </w:r>
      <w:r w:rsidRPr="003676D3">
        <w:rPr>
          <w:rFonts w:ascii="Times New Roman" w:hAnsi="Times New Roman" w:cs="Times New Roman"/>
          <w:noProof/>
          <w:sz w:val="20"/>
          <w:szCs w:val="24"/>
        </w:rPr>
        <w:tab/>
        <w:t>IqtiyaniIlham N, Hasanuzzaman M, Hosenuzzaman M. European smart grid prospects, policies, and challenges. Renew Sustain Energy Rev 2017;67:776–90. https://doi.org/10.1016/J.RSER.2016.09.014.</w:t>
      </w:r>
    </w:p>
    <w:p w14:paraId="1EF6981B"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[46]</w:t>
      </w:r>
      <w:r w:rsidRPr="003676D3">
        <w:rPr>
          <w:rFonts w:ascii="Times New Roman" w:hAnsi="Times New Roman" w:cs="Times New Roman"/>
          <w:noProof/>
          <w:sz w:val="20"/>
          <w:szCs w:val="24"/>
        </w:rPr>
        <w:tab/>
        <w:t>Union PO of the E. European SmartGrids Technology Platform : vision and strategy for Europe’s electricity networks of the future. 2006.</w:t>
      </w:r>
    </w:p>
    <w:p w14:paraId="75360152"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[47]</w:t>
      </w:r>
      <w:r w:rsidRPr="003676D3">
        <w:rPr>
          <w:rFonts w:ascii="Times New Roman" w:hAnsi="Times New Roman" w:cs="Times New Roman"/>
          <w:noProof/>
          <w:sz w:val="20"/>
          <w:szCs w:val="24"/>
        </w:rPr>
        <w:tab/>
        <w:t>Vigurs C, Maidment C, Fell M, Shipworth D. Customer Privacy Concerns as a Barrier to Sharing Data about Energy Use in Smart Local Energy Systems: A Rapid Realist Review. Energies 2021;14. https://doi.org/10.3390/EN14051285.</w:t>
      </w:r>
    </w:p>
    <w:p w14:paraId="33DDABDD"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[48]</w:t>
      </w:r>
      <w:r w:rsidRPr="003676D3">
        <w:rPr>
          <w:rFonts w:ascii="Times New Roman" w:hAnsi="Times New Roman" w:cs="Times New Roman"/>
          <w:noProof/>
          <w:sz w:val="20"/>
          <w:szCs w:val="24"/>
        </w:rPr>
        <w:tab/>
        <w:t>Mrabet Z El, Kaabouch N, Ghazi H El, Ghazi H El. Cyber-security in smart grid: Survey and challenges. ArXiv 2018;abs/1809.02609:469–82. https://doi.org/10.1016/J.COMPELECENG.2018.01.015.</w:t>
      </w:r>
    </w:p>
    <w:p w14:paraId="5A17078A"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[49]</w:t>
      </w:r>
      <w:r w:rsidRPr="003676D3">
        <w:rPr>
          <w:rFonts w:ascii="Times New Roman" w:hAnsi="Times New Roman" w:cs="Times New Roman"/>
          <w:noProof/>
          <w:sz w:val="20"/>
          <w:szCs w:val="24"/>
        </w:rPr>
        <w:tab/>
        <w:t>Ardito L, Procaccianti G, Menga G, Morisio M. Smart Grid Technologies in Europe: An Overview. Energies 2013, Vol 6, Pages 251-281 2013;6:251–81. https://doi.org/10.3390/EN6010251.</w:t>
      </w:r>
    </w:p>
    <w:p w14:paraId="40891332"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[50]</w:t>
      </w:r>
      <w:r w:rsidRPr="003676D3">
        <w:rPr>
          <w:rFonts w:ascii="Times New Roman" w:hAnsi="Times New Roman" w:cs="Times New Roman"/>
          <w:noProof/>
          <w:sz w:val="20"/>
          <w:szCs w:val="24"/>
        </w:rPr>
        <w:tab/>
        <w:t>Rodríguez RA, Becker S, Andresen GB, Heide D, Greiner M. Transmission needs across a fully renewable European power system. Renew Energy 2014;63:467–76. https://doi.org/10.1016/J.RENENE.2013.10.005.</w:t>
      </w:r>
    </w:p>
    <w:p w14:paraId="65B24BBD"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[51]</w:t>
      </w:r>
      <w:r w:rsidRPr="003676D3">
        <w:rPr>
          <w:rFonts w:ascii="Times New Roman" w:hAnsi="Times New Roman" w:cs="Times New Roman"/>
          <w:noProof/>
          <w:sz w:val="20"/>
          <w:szCs w:val="24"/>
        </w:rPr>
        <w:tab/>
        <w:t>Smart Grids and Supergrids. Lect Notes Energy 2013;3:335–52. https://doi.org/10.1007/978-1-4471-4385-7_16.</w:t>
      </w:r>
    </w:p>
    <w:p w14:paraId="0410850E"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[52]</w:t>
      </w:r>
      <w:r w:rsidRPr="003676D3">
        <w:rPr>
          <w:rFonts w:ascii="Times New Roman" w:hAnsi="Times New Roman" w:cs="Times New Roman"/>
          <w:noProof/>
          <w:sz w:val="20"/>
          <w:szCs w:val="24"/>
        </w:rPr>
        <w:tab/>
        <w:t>Ohanu CP, Rufai SA, Oluchi UC. A comprehensive review of recent developments in smart grid through renewable energy resources integration. Heliyon 2024;10. https://doi.org/10.1016/j.heliyon.2024.e25705.</w:t>
      </w:r>
    </w:p>
    <w:p w14:paraId="08CD1313"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[53]</w:t>
      </w:r>
      <w:r w:rsidRPr="003676D3">
        <w:rPr>
          <w:rFonts w:ascii="Times New Roman" w:hAnsi="Times New Roman" w:cs="Times New Roman"/>
          <w:noProof/>
          <w:sz w:val="20"/>
          <w:szCs w:val="24"/>
        </w:rPr>
        <w:tab/>
        <w:t>Kataray T, Nitesh B, Yarram B, Sinha S, Cuce E, Shaik S, et al. Integration of smart grid with renewable energy sources: Opportunities and challenges – A comprehensive review. Sustain Energy Technol Assessments 2023;58. https://doi.org/10.1016/j.seta.2023.103363.</w:t>
      </w:r>
    </w:p>
    <w:p w14:paraId="3E618117"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[54]</w:t>
      </w:r>
      <w:r w:rsidRPr="003676D3">
        <w:rPr>
          <w:rFonts w:ascii="Times New Roman" w:hAnsi="Times New Roman" w:cs="Times New Roman"/>
          <w:noProof/>
          <w:sz w:val="20"/>
          <w:szCs w:val="24"/>
        </w:rPr>
        <w:tab/>
        <w:t>Babatunde OM, Munda JL, Hamam Y. Power system flexibility: A review. Energy Reports 2020;6:101–6. https://doi.org/10.1016/J.EGYR.2019.11.048.</w:t>
      </w:r>
    </w:p>
    <w:p w14:paraId="3DA22A3E"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[55]</w:t>
      </w:r>
      <w:r w:rsidRPr="003676D3">
        <w:rPr>
          <w:rFonts w:ascii="Times New Roman" w:hAnsi="Times New Roman" w:cs="Times New Roman"/>
          <w:noProof/>
          <w:sz w:val="20"/>
          <w:szCs w:val="24"/>
        </w:rPr>
        <w:tab/>
        <w:t>Ghorbani MJ, Choudhry MA, Feliachi A. A multiagent design for power distribution systems automation. IEEE Trans Smart Grid 2015;7:329–39.</w:t>
      </w:r>
    </w:p>
    <w:p w14:paraId="113B7307"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[56]</w:t>
      </w:r>
      <w:r w:rsidRPr="003676D3">
        <w:rPr>
          <w:rFonts w:ascii="Times New Roman" w:hAnsi="Times New Roman" w:cs="Times New Roman"/>
          <w:noProof/>
          <w:sz w:val="20"/>
          <w:szCs w:val="24"/>
        </w:rPr>
        <w:tab/>
        <w:t>Yu C, Zhang M, Ren F, Tan G. Multiagent learning of coordination in loosely coupled multiagent systems. IEEE Trans Cybern 2015;45:2853–67.</w:t>
      </w:r>
    </w:p>
    <w:p w14:paraId="30B8999A"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[57]</w:t>
      </w:r>
      <w:r w:rsidRPr="003676D3">
        <w:rPr>
          <w:rFonts w:ascii="Times New Roman" w:hAnsi="Times New Roman" w:cs="Times New Roman"/>
          <w:noProof/>
          <w:sz w:val="20"/>
          <w:szCs w:val="24"/>
        </w:rPr>
        <w:tab/>
        <w:t>Kalyaev IA, Dyachenko AA, Usachev LZ, Kapustyan SG. Multiagent Management of Smart Internet Production. 2018 Glob. Smart Ind. Conf., IEEE; 2018, p. 1–8.</w:t>
      </w:r>
    </w:p>
    <w:p w14:paraId="34E97C6B"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[58]</w:t>
      </w:r>
      <w:r w:rsidRPr="003676D3">
        <w:rPr>
          <w:rFonts w:ascii="Times New Roman" w:hAnsi="Times New Roman" w:cs="Times New Roman"/>
          <w:noProof/>
          <w:sz w:val="20"/>
          <w:szCs w:val="24"/>
        </w:rPr>
        <w:tab/>
        <w:t>Li C, Savaghebi M, Vasquez JC, Guerrero JM. Multiagent based distributed control for operation cost minimization of droop controlled AC microgrid using incremental cost consensus. 2015 17th Eur. Conf. Power Electron. Appl. (EPE’15 ECCE-Europe), IEEE; 2015, p. 1–9.</w:t>
      </w:r>
    </w:p>
    <w:p w14:paraId="7C56D5AE"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[59]</w:t>
      </w:r>
      <w:r w:rsidRPr="003676D3">
        <w:rPr>
          <w:rFonts w:ascii="Times New Roman" w:hAnsi="Times New Roman" w:cs="Times New Roman"/>
          <w:noProof/>
          <w:sz w:val="20"/>
          <w:szCs w:val="24"/>
        </w:rPr>
        <w:tab/>
        <w:t>Wang Y, Ai X, Tan Z, Yan L, Liu S. Interactive dispatch modes and bidding strategy of multiple virtual power plants based on demand response and game theory. IEEE Trans Smart Grid 2015;7:510–9.</w:t>
      </w:r>
    </w:p>
    <w:p w14:paraId="2A5078FC"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[60]</w:t>
      </w:r>
      <w:r w:rsidRPr="003676D3">
        <w:rPr>
          <w:rFonts w:ascii="Times New Roman" w:hAnsi="Times New Roman" w:cs="Times New Roman"/>
          <w:noProof/>
          <w:sz w:val="20"/>
          <w:szCs w:val="24"/>
        </w:rPr>
        <w:tab/>
        <w:t>Nagata T, Okamoto K. Electric power interchange between micro-grids by using multi-agent approach. 2014 IEEE Int. Conf. Autom. Sci. Eng., IEEE; 2014, p. 50–5.</w:t>
      </w:r>
    </w:p>
    <w:p w14:paraId="6C3E304A"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lastRenderedPageBreak/>
        <w:t>[61]</w:t>
      </w:r>
      <w:r w:rsidRPr="003676D3">
        <w:rPr>
          <w:rFonts w:ascii="Times New Roman" w:hAnsi="Times New Roman" w:cs="Times New Roman"/>
          <w:noProof/>
          <w:sz w:val="20"/>
          <w:szCs w:val="24"/>
        </w:rPr>
        <w:tab/>
        <w:t>Hernández L, Baladron C, Aguiar JM, Carro B, Sanchez-Esguevillas A, Lloret J, et al. A multi-agent system architecture for smart grid management and forecasting of energy demand in virtual power plants. IEEE Commun Mag 2013;51:106–13.</w:t>
      </w:r>
    </w:p>
    <w:p w14:paraId="28CF716F"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[62]</w:t>
      </w:r>
      <w:r w:rsidRPr="003676D3">
        <w:rPr>
          <w:rFonts w:ascii="Times New Roman" w:hAnsi="Times New Roman" w:cs="Times New Roman"/>
          <w:noProof/>
          <w:sz w:val="20"/>
          <w:szCs w:val="24"/>
        </w:rPr>
        <w:tab/>
        <w:t>Esfahani MM, Hariri A, Mohammed OA. A multiagent-based game-theoretic and optimization approach for market operation of multimicrogrid systems. IEEE Trans Ind Informatics 2018;15:280–92.</w:t>
      </w:r>
    </w:p>
    <w:p w14:paraId="393F6E31"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[63]</w:t>
      </w:r>
      <w:r w:rsidRPr="003676D3">
        <w:rPr>
          <w:rFonts w:ascii="Times New Roman" w:hAnsi="Times New Roman" w:cs="Times New Roman"/>
          <w:noProof/>
          <w:sz w:val="20"/>
          <w:szCs w:val="24"/>
        </w:rPr>
        <w:tab/>
        <w:t>Samadi P, Mohsenian-Rad A-H, Schober R, Wong VWS, Jatskevich J. Optimal real-time pricing algorithm based on utility maximization for smart grid. IeeexploreIeeeOrgP Samadi, AH Mohsenian-Rad, R Schober, VWS Wong, J Jatskevich2010 First IEEE Int Conf Smart Grid Commun 2010•ieeexploreIeeeOrg n.d.</w:t>
      </w:r>
    </w:p>
    <w:p w14:paraId="5173107C"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[64]</w:t>
      </w:r>
      <w:r w:rsidRPr="003676D3">
        <w:rPr>
          <w:rFonts w:ascii="Times New Roman" w:hAnsi="Times New Roman" w:cs="Times New Roman"/>
          <w:noProof/>
          <w:sz w:val="20"/>
          <w:szCs w:val="24"/>
        </w:rPr>
        <w:tab/>
        <w:t>Peik-Herfeh M, Seifi H, Sheikh-El-Eslami MK. Decision making of a virtual power plant under uncertainties for bidding in a day-ahead market using point estimate method. Int J Electr Power Energy Syst 2013;44:88–98.</w:t>
      </w:r>
    </w:p>
    <w:p w14:paraId="464C5836"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[65]</w:t>
      </w:r>
      <w:r w:rsidRPr="003676D3">
        <w:rPr>
          <w:rFonts w:ascii="Times New Roman" w:hAnsi="Times New Roman" w:cs="Times New Roman"/>
          <w:noProof/>
          <w:sz w:val="20"/>
          <w:szCs w:val="24"/>
        </w:rPr>
        <w:tab/>
        <w:t>Adhikaree A, Makani H, Yun J, Qiao W, Kim T. Internet of Things-enabled multiagent system for residential DC microgrids. 2017 IEEE Int. Conf. Electro Inf. Technol., IEEE; 2017, p. 100–4.</w:t>
      </w:r>
    </w:p>
    <w:p w14:paraId="79E0F06C"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[66]</w:t>
      </w:r>
      <w:r w:rsidRPr="003676D3">
        <w:rPr>
          <w:rFonts w:ascii="Times New Roman" w:hAnsi="Times New Roman" w:cs="Times New Roman"/>
          <w:noProof/>
          <w:sz w:val="20"/>
          <w:szCs w:val="24"/>
        </w:rPr>
        <w:tab/>
        <w:t>Elmitwally A, Elsaid M, Elgamal M, Chen Z. A fuzzy-multiagent service restoration scheme for distribution system with distributed generation. IEEE Trans Sustain Energy 2015;6:810–21.</w:t>
      </w:r>
    </w:p>
    <w:p w14:paraId="45745326"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[67]</w:t>
      </w:r>
      <w:r w:rsidRPr="003676D3">
        <w:rPr>
          <w:rFonts w:ascii="Times New Roman" w:hAnsi="Times New Roman" w:cs="Times New Roman"/>
          <w:noProof/>
          <w:sz w:val="20"/>
          <w:szCs w:val="24"/>
        </w:rPr>
        <w:tab/>
        <w:t>Amina M, Kodogiannis VS. Load forecasting using fuzzy wavelet neural networks. IEEE Int Conf Fuzzy Syst 2011:1033–40. https://doi.org/10.1109/FUZZY.2011.6007492.</w:t>
      </w:r>
    </w:p>
    <w:p w14:paraId="1AA6B2A5"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[68]</w:t>
      </w:r>
      <w:r w:rsidRPr="003676D3">
        <w:rPr>
          <w:rFonts w:ascii="Times New Roman" w:hAnsi="Times New Roman" w:cs="Times New Roman"/>
          <w:noProof/>
          <w:sz w:val="20"/>
          <w:szCs w:val="24"/>
        </w:rPr>
        <w:tab/>
        <w:t>Motamedi A, Zareipour H, Rosehart WD. Electricity price and demand forecasting in smart grids. IEEE Trans Smart Grid 2012;3:664–74. https://doi.org/10.1109/TSG.2011.2171046.</w:t>
      </w:r>
    </w:p>
    <w:p w14:paraId="0820359E"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[69]</w:t>
      </w:r>
      <w:r w:rsidRPr="003676D3">
        <w:rPr>
          <w:rFonts w:ascii="Times New Roman" w:hAnsi="Times New Roman" w:cs="Times New Roman"/>
          <w:noProof/>
          <w:sz w:val="20"/>
          <w:szCs w:val="24"/>
        </w:rPr>
        <w:tab/>
        <w:t>Warmer C, Kok K, Karnouskos S, Weidlich A, Nestle D, Selzam P, et al. Web services for integration of smart houses in the smart grid 2009.</w:t>
      </w:r>
    </w:p>
    <w:p w14:paraId="56B5A16C"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[70]</w:t>
      </w:r>
      <w:r w:rsidRPr="003676D3">
        <w:rPr>
          <w:rFonts w:ascii="Times New Roman" w:hAnsi="Times New Roman" w:cs="Times New Roman"/>
          <w:noProof/>
          <w:sz w:val="20"/>
          <w:szCs w:val="24"/>
        </w:rPr>
        <w:tab/>
        <w:t>Tabors RD, Parker G, Caramanis MC. Development of the smart grid: Missing elements in the policy process. Proc Annu Hawaii Int Conf Syst Sci 2010. https://doi.org/10.1109/HICSS.2010.148.</w:t>
      </w:r>
    </w:p>
    <w:p w14:paraId="10FEA0D3"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[71]</w:t>
      </w:r>
      <w:r w:rsidRPr="003676D3">
        <w:rPr>
          <w:rFonts w:ascii="Times New Roman" w:hAnsi="Times New Roman" w:cs="Times New Roman"/>
          <w:noProof/>
          <w:sz w:val="20"/>
          <w:szCs w:val="24"/>
        </w:rPr>
        <w:tab/>
        <w:t>Grijalva S, Tariq MU. Prosumer-based smart grid architecture enables a flat, sustainable electricity industry. IEEE PES Innov Smart Grid Technol Conf 2011. https://doi.org/10.1109/ISGT.2011.5759167.</w:t>
      </w:r>
    </w:p>
    <w:p w14:paraId="136C8A68"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[72]</w:t>
      </w:r>
      <w:r w:rsidRPr="003676D3">
        <w:rPr>
          <w:rFonts w:ascii="Times New Roman" w:hAnsi="Times New Roman" w:cs="Times New Roman"/>
          <w:noProof/>
          <w:sz w:val="20"/>
          <w:szCs w:val="24"/>
        </w:rPr>
        <w:tab/>
        <w:t>Ringelstein J, Nestle D. APPLICATION OF BIDIRECTIONAL ENERGY MANAGEMENT INTERFACES FOR DISTRIBUTION GRID SERVICES. IET Conf Publ 2009. https://doi.org/10.1049/CP.2009.0990.</w:t>
      </w:r>
    </w:p>
    <w:p w14:paraId="460683C2"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[73]</w:t>
      </w:r>
      <w:r w:rsidRPr="003676D3">
        <w:rPr>
          <w:rFonts w:ascii="Times New Roman" w:hAnsi="Times New Roman" w:cs="Times New Roman"/>
          <w:noProof/>
          <w:sz w:val="20"/>
          <w:szCs w:val="24"/>
        </w:rPr>
        <w:tab/>
        <w:t>VASILJEVSKA J, GANGALE F, COVRIG L, MENGOLINI AM. Smart Grids and Beyond – An EU research and innovation perspective n.d. https://doi.org/10.2760/705655.</w:t>
      </w:r>
    </w:p>
    <w:p w14:paraId="02F98A5D"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[74]</w:t>
      </w:r>
      <w:r w:rsidRPr="003676D3">
        <w:rPr>
          <w:rFonts w:ascii="Times New Roman" w:hAnsi="Times New Roman" w:cs="Times New Roman"/>
          <w:noProof/>
          <w:sz w:val="20"/>
          <w:szCs w:val="24"/>
        </w:rPr>
        <w:tab/>
        <w:t>International Renewable Energy Agency IRENA. Renewable Capacity Statistics 2021. 2021.</w:t>
      </w:r>
    </w:p>
    <w:p w14:paraId="3A3DBFF1"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[75]</w:t>
      </w:r>
      <w:r w:rsidRPr="003676D3">
        <w:rPr>
          <w:rFonts w:ascii="Times New Roman" w:hAnsi="Times New Roman" w:cs="Times New Roman"/>
          <w:noProof/>
          <w:sz w:val="20"/>
          <w:szCs w:val="24"/>
        </w:rPr>
        <w:tab/>
        <w:t>Global EV Outlook 2021 – Analysis - IEA n.d. https://www.iea.org/reports/global-ev-outlook-2021 (accessed May 27, 2024).</w:t>
      </w:r>
    </w:p>
    <w:p w14:paraId="6DF95632"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[76]</w:t>
      </w:r>
      <w:r w:rsidRPr="003676D3">
        <w:rPr>
          <w:rFonts w:ascii="Times New Roman" w:hAnsi="Times New Roman" w:cs="Times New Roman"/>
          <w:noProof/>
          <w:sz w:val="20"/>
          <w:szCs w:val="24"/>
        </w:rPr>
        <w:tab/>
        <w:t>Renewable Energy Agency I. INNOVATION LANDSCAPE FOR A RENEWABLE-POWERED FUTURE: SOLUTIONS TO INTEGRATE VARIABLE RENEWABLES 2019.</w:t>
      </w:r>
    </w:p>
    <w:p w14:paraId="116C9E40"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[77]</w:t>
      </w:r>
      <w:r w:rsidRPr="003676D3">
        <w:rPr>
          <w:rFonts w:ascii="Times New Roman" w:hAnsi="Times New Roman" w:cs="Times New Roman"/>
          <w:noProof/>
          <w:sz w:val="20"/>
          <w:szCs w:val="24"/>
        </w:rPr>
        <w:tab/>
        <w:t>Annual patents filed in sustainable energy, 2021 n.d. https://ourworldindata.org/grapher/patents-for-renewables-by-country (accessed May 27, 2024).</w:t>
      </w:r>
    </w:p>
    <w:p w14:paraId="0EFFA7E3"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[78]</w:t>
      </w:r>
      <w:r w:rsidRPr="003676D3">
        <w:rPr>
          <w:rFonts w:ascii="Times New Roman" w:hAnsi="Times New Roman" w:cs="Times New Roman"/>
          <w:noProof/>
          <w:sz w:val="20"/>
          <w:szCs w:val="24"/>
        </w:rPr>
        <w:tab/>
        <w:t>GANGALE F, VASILJEVSKA J, COVRIG C-F, MENGOLINI AM, FULLI G. Smart grid projects outlook 2017: facts, figures and trends in Europe n.d. https://doi.org/10.2760/15583.</w:t>
      </w:r>
    </w:p>
    <w:p w14:paraId="00D87082"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[79]</w:t>
      </w:r>
      <w:r w:rsidRPr="003676D3">
        <w:rPr>
          <w:rFonts w:ascii="Times New Roman" w:hAnsi="Times New Roman" w:cs="Times New Roman"/>
          <w:noProof/>
          <w:sz w:val="20"/>
          <w:szCs w:val="24"/>
        </w:rPr>
        <w:tab/>
        <w:t>de Sépibus J. The Integration of Electricity from Renewable Energy Sources in the European Union Electricity Market – The case for “Smart Grids.” Sépibus, Joëlle (July 2013) Integr Electr from Renew Energy Sources Eur Union Electr Mark – Case “Smart Grids” (NCCR Trade Work Pap 38) 2013. https://doi.org/10.7892/BORIS.49795.</w:t>
      </w:r>
    </w:p>
    <w:p w14:paraId="0A60D1D1"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[80]</w:t>
      </w:r>
      <w:r w:rsidRPr="003676D3">
        <w:rPr>
          <w:rFonts w:ascii="Times New Roman" w:hAnsi="Times New Roman" w:cs="Times New Roman"/>
          <w:noProof/>
          <w:sz w:val="20"/>
          <w:szCs w:val="24"/>
        </w:rPr>
        <w:tab/>
        <w:t xml:space="preserve">Encarnação BC da. A Smart Future? The EU Digital Agenda Between Broadband, the Grid and Energy </w:t>
      </w:r>
      <w:r w:rsidRPr="003676D3">
        <w:rPr>
          <w:rFonts w:ascii="Times New Roman" w:hAnsi="Times New Roman" w:cs="Times New Roman"/>
          <w:noProof/>
          <w:sz w:val="20"/>
          <w:szCs w:val="24"/>
        </w:rPr>
        <w:lastRenderedPageBreak/>
        <w:t>Efficiency 2013. https://doi.org/10.7892/BORIS.49795.</w:t>
      </w:r>
    </w:p>
    <w:p w14:paraId="3F5E074F"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[81]</w:t>
      </w:r>
      <w:r w:rsidRPr="003676D3">
        <w:rPr>
          <w:rFonts w:ascii="Times New Roman" w:hAnsi="Times New Roman" w:cs="Times New Roman"/>
          <w:noProof/>
          <w:sz w:val="20"/>
          <w:szCs w:val="24"/>
        </w:rPr>
        <w:tab/>
        <w:t>Alsuwian T, Basit A, Amin AA, Adnan M, Ali M. An Optimal Control Approach for Enhancing Transients Stability and Resilience in Super Smart Grids. Electron 2022, Vol 11, Page 3236 2022;11:3236. https://doi.org/10.3390/ELECTRONICS11193236.</w:t>
      </w:r>
    </w:p>
    <w:p w14:paraId="154B3283"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[82]</w:t>
      </w:r>
      <w:r w:rsidRPr="003676D3">
        <w:rPr>
          <w:rFonts w:ascii="Times New Roman" w:hAnsi="Times New Roman" w:cs="Times New Roman"/>
          <w:noProof/>
          <w:sz w:val="20"/>
          <w:szCs w:val="24"/>
        </w:rPr>
        <w:tab/>
        <w:t>Cecati C, Citro C, Siano P. Combined Operations of Renewable Energy Systems and Responsive Demand in a Smart Grid. IEEE Trans Sustain Energy 2011;2:468–76. https://doi.org/10.1109/TSTE.2011.2161624.</w:t>
      </w:r>
    </w:p>
    <w:p w14:paraId="00DD8E6E"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[83]</w:t>
      </w:r>
      <w:r w:rsidRPr="003676D3">
        <w:rPr>
          <w:rFonts w:ascii="Times New Roman" w:hAnsi="Times New Roman" w:cs="Times New Roman"/>
          <w:noProof/>
          <w:sz w:val="20"/>
          <w:szCs w:val="24"/>
        </w:rPr>
        <w:tab/>
        <w:t>Mnatsakanyan A, Kennedy SW. A novel demand response model with an application for a virtual power plant. IEEE Trans Smart Grid 2014;6:230–7.</w:t>
      </w:r>
    </w:p>
    <w:p w14:paraId="4EADC656"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[84]</w:t>
      </w:r>
      <w:r w:rsidRPr="003676D3">
        <w:rPr>
          <w:rFonts w:ascii="Times New Roman" w:hAnsi="Times New Roman" w:cs="Times New Roman"/>
          <w:noProof/>
          <w:sz w:val="20"/>
          <w:szCs w:val="24"/>
        </w:rPr>
        <w:tab/>
        <w:t>Gelazanskas L, Gamage KAA. Demand side management in smart grid: A review and proposals for future direction. Sustain Cities Soc 2014;11:22–30. https://doi.org/10.1016/j.scs.2013.11.001.</w:t>
      </w:r>
    </w:p>
    <w:p w14:paraId="7B9EA9CE"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[85]</w:t>
      </w:r>
      <w:r w:rsidRPr="003676D3">
        <w:rPr>
          <w:rFonts w:ascii="Times New Roman" w:hAnsi="Times New Roman" w:cs="Times New Roman"/>
          <w:noProof/>
          <w:sz w:val="20"/>
          <w:szCs w:val="24"/>
        </w:rPr>
        <w:tab/>
        <w:t>Alzahrani A, Ferdowsi M, Shamsi P, Dagli CH. Modeling and Simulation of Microgrid. Procedia Comput Sci 2017;114:392–400. https://doi.org/10.1016/j.procs.2017.09.053.</w:t>
      </w:r>
    </w:p>
    <w:p w14:paraId="10E543F7"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[86]</w:t>
      </w:r>
      <w:r w:rsidRPr="003676D3">
        <w:rPr>
          <w:rFonts w:ascii="Times New Roman" w:hAnsi="Times New Roman" w:cs="Times New Roman"/>
          <w:noProof/>
          <w:sz w:val="20"/>
          <w:szCs w:val="24"/>
        </w:rPr>
        <w:tab/>
        <w:t>Porsinger T, Janik P, Leonowicz Z, Gono R. Modelling and optimization in microgrids. Energies 2017;10:1–22. https://doi.org/10.3390/en10040523.</w:t>
      </w:r>
    </w:p>
    <w:p w14:paraId="466D2595"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[87]</w:t>
      </w:r>
      <w:r w:rsidRPr="003676D3">
        <w:rPr>
          <w:rFonts w:ascii="Times New Roman" w:hAnsi="Times New Roman" w:cs="Times New Roman"/>
          <w:noProof/>
          <w:sz w:val="20"/>
          <w:szCs w:val="24"/>
        </w:rPr>
        <w:tab/>
        <w:t>Cortes CA, Contreras SF, Shahidehpour M. Microgrid topology planning for enhancing the reliability of active distribution networks. IEEE Trans Smart Grid 2018;9:6369–77.</w:t>
      </w:r>
    </w:p>
    <w:p w14:paraId="6447B093"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[88]</w:t>
      </w:r>
      <w:r w:rsidRPr="003676D3">
        <w:rPr>
          <w:rFonts w:ascii="Times New Roman" w:hAnsi="Times New Roman" w:cs="Times New Roman"/>
          <w:noProof/>
          <w:sz w:val="20"/>
          <w:szCs w:val="24"/>
        </w:rPr>
        <w:tab/>
        <w:t>Bie Z, Zhang P, Li G, Hua B, Meehan M, Wang X. Reliability evaluation of active distribution systems including microgrids. IEEE Trans Power Syst 2012;27:2342–50.</w:t>
      </w:r>
    </w:p>
    <w:p w14:paraId="2D4DE360"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[89]</w:t>
      </w:r>
      <w:r w:rsidRPr="003676D3">
        <w:rPr>
          <w:rFonts w:ascii="Times New Roman" w:hAnsi="Times New Roman" w:cs="Times New Roman"/>
          <w:noProof/>
          <w:sz w:val="20"/>
          <w:szCs w:val="24"/>
        </w:rPr>
        <w:tab/>
        <w:t>Arefifar SA, Yasser A-RM, El-Fouly THM. Optimum microgrid design for enhancing reliability and supply-security. IEEE Trans Smart Grid 2013;4:1567–75.</w:t>
      </w:r>
    </w:p>
    <w:p w14:paraId="2018A9E7"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[90]</w:t>
      </w:r>
      <w:r w:rsidRPr="003676D3">
        <w:rPr>
          <w:rFonts w:ascii="Times New Roman" w:hAnsi="Times New Roman" w:cs="Times New Roman"/>
          <w:noProof/>
          <w:sz w:val="20"/>
          <w:szCs w:val="24"/>
        </w:rPr>
        <w:tab/>
        <w:t>Fang X, Misra S, Xue G, Yang D. Smart grid - The new and improved power grid: A survey. IEEE Commun Surv Tutorials 2012;14:944–80. https://doi.org/10.1109/SURV.2011.101911.00087.</w:t>
      </w:r>
    </w:p>
    <w:p w14:paraId="6D3AB617"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[91]</w:t>
      </w:r>
      <w:r w:rsidRPr="003676D3">
        <w:rPr>
          <w:rFonts w:ascii="Times New Roman" w:hAnsi="Times New Roman" w:cs="Times New Roman"/>
          <w:noProof/>
          <w:sz w:val="20"/>
          <w:szCs w:val="24"/>
        </w:rPr>
        <w:tab/>
        <w:t>Xu G, Yu W, Griffith D, Golmie N, Moulema P. Toward Integrating Distributed Energy Resources and Storage Devices in Smart Grid. IEEE Internet Things J 2017;4:192–204. https://doi.org/10.1109/JIOT.2016.2640563.</w:t>
      </w:r>
    </w:p>
    <w:p w14:paraId="006892E3"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[92]</w:t>
      </w:r>
      <w:r w:rsidRPr="003676D3">
        <w:rPr>
          <w:rFonts w:ascii="Times New Roman" w:hAnsi="Times New Roman" w:cs="Times New Roman"/>
          <w:noProof/>
          <w:sz w:val="20"/>
          <w:szCs w:val="24"/>
        </w:rPr>
        <w:tab/>
        <w:t>Keyhani A. Design of smart power grid renewable energy systems. John Wiley &amp; Sons; 2016.</w:t>
      </w:r>
    </w:p>
    <w:p w14:paraId="46D7ABC3"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[93]</w:t>
      </w:r>
      <w:r w:rsidRPr="003676D3">
        <w:rPr>
          <w:rFonts w:ascii="Times New Roman" w:hAnsi="Times New Roman" w:cs="Times New Roman"/>
          <w:noProof/>
          <w:sz w:val="20"/>
          <w:szCs w:val="24"/>
        </w:rPr>
        <w:tab/>
        <w:t>Morais H, Sousa T, Faria P, Vale Z. Reactive power management strategies in future smart grids. 2013 IEEE Power Energy Soc. Gen. Meet., IEEE; 2013, p. 1–5.</w:t>
      </w:r>
    </w:p>
    <w:p w14:paraId="5AE53281"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[94]</w:t>
      </w:r>
      <w:r w:rsidRPr="003676D3">
        <w:rPr>
          <w:rFonts w:ascii="Times New Roman" w:hAnsi="Times New Roman" w:cs="Times New Roman"/>
          <w:noProof/>
          <w:sz w:val="20"/>
          <w:szCs w:val="24"/>
        </w:rPr>
        <w:tab/>
        <w:t>Yu X, Cecati C, Dillon T, Simes MG. The new frontier of smart grids. IEEE Ind Electron Mag 2011;5:49–63. https://doi.org/10.1109/MIE.2011.942176.</w:t>
      </w:r>
    </w:p>
    <w:p w14:paraId="25CF5ED9"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[95]</w:t>
      </w:r>
      <w:r w:rsidRPr="003676D3">
        <w:rPr>
          <w:rFonts w:ascii="Times New Roman" w:hAnsi="Times New Roman" w:cs="Times New Roman"/>
          <w:noProof/>
          <w:sz w:val="20"/>
          <w:szCs w:val="24"/>
        </w:rPr>
        <w:tab/>
        <w:t>Jurado S, Nebot À, Mugica F, Avellana N. Hybrid methodologies for electricity load forecasting: Entropy-based feature selection with machine learning and soft computing techniques. Energy 2015;86:276–91. https://doi.org/10.1016/J.ENERGY.2015.04.039.</w:t>
      </w:r>
    </w:p>
    <w:p w14:paraId="1F767876"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[96]</w:t>
      </w:r>
      <w:r w:rsidRPr="003676D3">
        <w:rPr>
          <w:rFonts w:ascii="Times New Roman" w:hAnsi="Times New Roman" w:cs="Times New Roman"/>
          <w:noProof/>
          <w:sz w:val="20"/>
          <w:szCs w:val="24"/>
        </w:rPr>
        <w:tab/>
        <w:t>Ludynia A. Smart Grids in the Process of Building a Competitive Economy and Energy Security in Europe. Found Manag 2012;4:37–50. https://doi.org/10.2478/FMAN-2013-0009.</w:t>
      </w:r>
    </w:p>
    <w:p w14:paraId="1EF8013D"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[97]</w:t>
      </w:r>
      <w:r w:rsidRPr="003676D3">
        <w:rPr>
          <w:rFonts w:ascii="Times New Roman" w:hAnsi="Times New Roman" w:cs="Times New Roman"/>
          <w:noProof/>
          <w:sz w:val="20"/>
          <w:szCs w:val="24"/>
        </w:rPr>
        <w:tab/>
        <w:t>Ricci EC. An Integrated Assessment of Super &amp; Smart Grids. SSRN Electron J 2013. https://doi.org/10.2139/SSRN.2340415.</w:t>
      </w:r>
    </w:p>
    <w:p w14:paraId="2B5447BF"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[98]</w:t>
      </w:r>
      <w:r w:rsidRPr="003676D3">
        <w:rPr>
          <w:rFonts w:ascii="Times New Roman" w:hAnsi="Times New Roman" w:cs="Times New Roman"/>
          <w:noProof/>
          <w:sz w:val="20"/>
          <w:szCs w:val="24"/>
        </w:rPr>
        <w:tab/>
        <w:t>Guo L, Shi X, Zhou Y, Cao J. A Distributed Algorithm for Optimal Energy Management With Network-Independent Stepsize. Int Conf Inf Softw Technol 2023:424–31. https://doi.org/10.1109/ICIST59754.2023.10367147.</w:t>
      </w:r>
    </w:p>
    <w:p w14:paraId="5B5121E8"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[99]</w:t>
      </w:r>
      <w:r w:rsidRPr="003676D3">
        <w:rPr>
          <w:rFonts w:ascii="Times New Roman" w:hAnsi="Times New Roman" w:cs="Times New Roman"/>
          <w:noProof/>
          <w:sz w:val="20"/>
          <w:szCs w:val="24"/>
        </w:rPr>
        <w:tab/>
        <w:t>Aitzhan NZ, Svetinovic D. Security and Privacy in Decentralized Energy Trading Through Multi-Signatures, Blockchain and Anonymous Messaging Streams. IEEE Trans Dependable Secur Comput 2018;15:840–52. https://doi.org/10.1109/TDSC.2016.2616861.</w:t>
      </w:r>
    </w:p>
    <w:p w14:paraId="528EB1F9"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[100]</w:t>
      </w:r>
      <w:r w:rsidRPr="003676D3">
        <w:rPr>
          <w:rFonts w:ascii="Times New Roman" w:hAnsi="Times New Roman" w:cs="Times New Roman"/>
          <w:noProof/>
          <w:sz w:val="20"/>
          <w:szCs w:val="24"/>
        </w:rPr>
        <w:tab/>
        <w:t xml:space="preserve">Santos-Alamillos FJ, Brayshaw DJ, Methven J, Thomaidis NS, Ruiz-Arias JA, Pozo-Vázquez D. </w:t>
      </w:r>
      <w:r w:rsidRPr="003676D3">
        <w:rPr>
          <w:rFonts w:ascii="Times New Roman" w:hAnsi="Times New Roman" w:cs="Times New Roman"/>
          <w:noProof/>
          <w:sz w:val="20"/>
          <w:szCs w:val="24"/>
        </w:rPr>
        <w:lastRenderedPageBreak/>
        <w:t>Exploring the meteorological potential for planning a high performance European electricity super-grid: optimal power capacity distribution among countries. Environ Res Lett 2017;12:114030. https://doi.org/10.1088/1748-9326/AA8F18.</w:t>
      </w:r>
    </w:p>
    <w:p w14:paraId="474E7E7D"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[101]</w:t>
      </w:r>
      <w:r w:rsidRPr="003676D3">
        <w:rPr>
          <w:rFonts w:ascii="Times New Roman" w:hAnsi="Times New Roman" w:cs="Times New Roman"/>
          <w:noProof/>
          <w:sz w:val="20"/>
          <w:szCs w:val="24"/>
        </w:rPr>
        <w:tab/>
        <w:t>IEC SRD 63200 - SGAM basics - SyC Smart Energy n.d. https://syc-se.iec.ch/deliveries/sgam-basics/ (accessed May 27, 2024).</w:t>
      </w:r>
    </w:p>
    <w:p w14:paraId="295763DE"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[102]</w:t>
      </w:r>
      <w:r w:rsidRPr="003676D3">
        <w:rPr>
          <w:rFonts w:ascii="Times New Roman" w:hAnsi="Times New Roman" w:cs="Times New Roman"/>
          <w:noProof/>
          <w:sz w:val="20"/>
          <w:szCs w:val="24"/>
        </w:rPr>
        <w:tab/>
        <w:t>Uslar M, Rohjans S, Neureiter C, Andrén FP, Velasquez J, Steinbrink C, et al. Applying the Smart Grid Architecture Model for Designing and Validating System-of-Systems in the Power and Energy Domain: A European Perspective. Energies 2019, Vol 12, Page 258 2019;12:258. https://doi.org/10.3390/EN12020258.</w:t>
      </w:r>
    </w:p>
    <w:p w14:paraId="189F090D"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[103]</w:t>
      </w:r>
      <w:r w:rsidRPr="003676D3">
        <w:rPr>
          <w:rFonts w:ascii="Times New Roman" w:hAnsi="Times New Roman" w:cs="Times New Roman"/>
          <w:noProof/>
          <w:sz w:val="20"/>
          <w:szCs w:val="24"/>
        </w:rPr>
        <w:tab/>
        <w:t>Simoes MG, Roche R, Kyriakides E, Suryanarayanan S, Blunier B, McBee KD, et al. A comparison of smart grid technologies and progresses in Europe and the U.S. IEEE Trans Ind Appl 2012;48:1154–62. https://doi.org/10.1109/TIA.2012.2199730.</w:t>
      </w:r>
    </w:p>
    <w:p w14:paraId="282B038D"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[104]</w:t>
      </w:r>
      <w:r w:rsidRPr="003676D3">
        <w:rPr>
          <w:rFonts w:ascii="Times New Roman" w:hAnsi="Times New Roman" w:cs="Times New Roman"/>
          <w:noProof/>
          <w:sz w:val="20"/>
          <w:szCs w:val="24"/>
        </w:rPr>
        <w:tab/>
        <w:t>Ron Melton and Jason Fuller. Transactive energy: Envisioning the future. 2016.</w:t>
      </w:r>
    </w:p>
    <w:p w14:paraId="15340B2C"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[105]</w:t>
      </w:r>
      <w:r w:rsidRPr="003676D3">
        <w:rPr>
          <w:rFonts w:ascii="Times New Roman" w:hAnsi="Times New Roman" w:cs="Times New Roman"/>
          <w:noProof/>
          <w:sz w:val="20"/>
          <w:szCs w:val="24"/>
        </w:rPr>
        <w:tab/>
        <w:t>Safak Bayram I, Shakir MZ, Abdallah M, Member S, Qaraqe K. A Survey on Energy Trading in Smart Grid 2014.</w:t>
      </w:r>
    </w:p>
    <w:p w14:paraId="089D4D63"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[106]</w:t>
      </w:r>
      <w:r w:rsidRPr="003676D3">
        <w:rPr>
          <w:rFonts w:ascii="Times New Roman" w:hAnsi="Times New Roman" w:cs="Times New Roman"/>
          <w:noProof/>
          <w:sz w:val="20"/>
          <w:szCs w:val="24"/>
        </w:rPr>
        <w:tab/>
        <w:t>Shabanzadeh M, Sheikh-El-Eslami MK, Haghifam MR. Risk-based medium-term trading strategy for a virtual power plant with first-order stochastic dominance constraints. IET Gener Transm Distrib 2017. https://doi.org/10.1049/iet-gtd.2016.1072.</w:t>
      </w:r>
    </w:p>
    <w:p w14:paraId="15AE7D80"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[107]</w:t>
      </w:r>
      <w:r w:rsidRPr="003676D3">
        <w:rPr>
          <w:rFonts w:ascii="Times New Roman" w:hAnsi="Times New Roman" w:cs="Times New Roman"/>
          <w:noProof/>
          <w:sz w:val="20"/>
          <w:szCs w:val="24"/>
        </w:rPr>
        <w:tab/>
        <w:t>Chen S, Liu CC. From demand response to transactive energy: state of the art. J Mod Power Syst Clean Energy 2017;5:10–9. https://doi.org/10.1007/S40565-016-0256-X/TABLES/2.</w:t>
      </w:r>
    </w:p>
    <w:p w14:paraId="62114342"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[108]</w:t>
      </w:r>
      <w:r w:rsidRPr="003676D3">
        <w:rPr>
          <w:rFonts w:ascii="Times New Roman" w:hAnsi="Times New Roman" w:cs="Times New Roman"/>
          <w:noProof/>
          <w:sz w:val="20"/>
          <w:szCs w:val="24"/>
        </w:rPr>
        <w:tab/>
        <w:t>Huang Q, Amin W, Umer K, Gooi HB, Eddy FYS, Afzal M, et al. A review of transactive energy systems: Concept and implementation. Energy Reports 2021;7:7804–24. https://doi.org/10.1016/J.EGYR.2021.05.037.</w:t>
      </w:r>
    </w:p>
    <w:p w14:paraId="4B4E17D0"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[109]</w:t>
      </w:r>
      <w:r w:rsidRPr="003676D3">
        <w:rPr>
          <w:rFonts w:ascii="Times New Roman" w:hAnsi="Times New Roman" w:cs="Times New Roman"/>
          <w:noProof/>
          <w:sz w:val="20"/>
          <w:szCs w:val="24"/>
        </w:rPr>
        <w:tab/>
        <w:t>Laszka A, Eisele S, Dubey A, Karsai G, Kvaternik K. TRANSAX: A Blockchain-Based Decentralized Forward-Trading Energy Exchanged for Transactive Microgrids. Proc Int Conf Parallel Distrib Syst - ICPADS 2018;2018-December:918–27. https://doi.org/10.1109/PADSW.2018.8645001.</w:t>
      </w:r>
    </w:p>
    <w:p w14:paraId="0DF4626E"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[110]</w:t>
      </w:r>
      <w:r w:rsidRPr="003676D3">
        <w:rPr>
          <w:rFonts w:ascii="Times New Roman" w:hAnsi="Times New Roman" w:cs="Times New Roman"/>
          <w:noProof/>
          <w:sz w:val="20"/>
          <w:szCs w:val="24"/>
        </w:rPr>
        <w:tab/>
        <w:t>Yahaya AS, Javaid N, Javed MU, Shafiq M, Khan WZ, Aalsalem MY. Blockchain-Based Energy Trading and Load Balancing Using Contract Theory and Reputation in a Smart Community. IEEE Access 2020;8:222168–86. https://doi.org/10.1109/ACCESS.2020.3041931.</w:t>
      </w:r>
    </w:p>
    <w:p w14:paraId="7370BD98"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[111]</w:t>
      </w:r>
      <w:r w:rsidRPr="003676D3">
        <w:rPr>
          <w:rFonts w:ascii="Times New Roman" w:hAnsi="Times New Roman" w:cs="Times New Roman"/>
          <w:noProof/>
          <w:sz w:val="20"/>
          <w:szCs w:val="24"/>
        </w:rPr>
        <w:tab/>
        <w:t>Masaud TM, Warner J, El-Saadany EF. A Blockchain-Enabled Decentralized Energy Trading Mechanism for Islanded Networked Microgrids. IEEE Access 2020;8:211291–302. https://doi.org/10.1109/ACCESS.2020.3038824.</w:t>
      </w:r>
    </w:p>
    <w:p w14:paraId="472673CB"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[112]</w:t>
      </w:r>
      <w:r w:rsidRPr="003676D3">
        <w:rPr>
          <w:rFonts w:ascii="Times New Roman" w:hAnsi="Times New Roman" w:cs="Times New Roman"/>
          <w:noProof/>
          <w:sz w:val="20"/>
          <w:szCs w:val="24"/>
        </w:rPr>
        <w:tab/>
        <w:t>Ahl A, Yarime M, Tanaka K, Sagawa D. Review of blockchain-based distributed energy: Implications for institutional development. Renew Sustain Energy Rev 2019;107:200–11. https://doi.org/10.1016/J.RSER.2019.03.002.</w:t>
      </w:r>
    </w:p>
    <w:p w14:paraId="29350B17"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[113]</w:t>
      </w:r>
      <w:r w:rsidRPr="003676D3">
        <w:rPr>
          <w:rFonts w:ascii="Times New Roman" w:hAnsi="Times New Roman" w:cs="Times New Roman"/>
          <w:noProof/>
          <w:sz w:val="20"/>
          <w:szCs w:val="24"/>
        </w:rPr>
        <w:tab/>
        <w:t>Phadke A, Antonio Medrano F, Brahmbhatt J, Ustymenko S. A Framework for an Optimized Smart Energy System. 2022 Int Symp Electr Electron Inf Eng 2022:240–6. https://doi.org/10.1109/ISEEIE55684.2022.00049.</w:t>
      </w:r>
    </w:p>
    <w:p w14:paraId="72F72ABF"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[114]</w:t>
      </w:r>
      <w:r w:rsidRPr="003676D3">
        <w:rPr>
          <w:rFonts w:ascii="Times New Roman" w:hAnsi="Times New Roman" w:cs="Times New Roman"/>
          <w:noProof/>
          <w:sz w:val="20"/>
          <w:szCs w:val="24"/>
        </w:rPr>
        <w:tab/>
        <w:t>UNFCCC. ME SOLshare: Peer-to-Peer Smart Village Grids | Bangladesh. United Nations Framew Conv Clim Chang 2020.</w:t>
      </w:r>
    </w:p>
    <w:p w14:paraId="0F2FE6D6"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[115]</w:t>
      </w:r>
      <w:r w:rsidRPr="003676D3">
        <w:rPr>
          <w:rFonts w:ascii="Times New Roman" w:hAnsi="Times New Roman" w:cs="Times New Roman"/>
          <w:noProof/>
          <w:sz w:val="20"/>
          <w:szCs w:val="24"/>
        </w:rPr>
        <w:tab/>
        <w:t>Rehman S, Khan B, Arif J, Ullah Z, Aljuhani AJ, Alhindi A, et al. Bi-Directional Mutual Energy Trade between Smart Grid and Energy Districts Using Renewable Energy Credits. Sensors (Basel) 2021;21. https://doi.org/10.3390/S21093088.</w:t>
      </w:r>
    </w:p>
    <w:p w14:paraId="3BB7668D"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[116]</w:t>
      </w:r>
      <w:r w:rsidRPr="003676D3">
        <w:rPr>
          <w:rFonts w:ascii="Times New Roman" w:hAnsi="Times New Roman" w:cs="Times New Roman"/>
          <w:noProof/>
          <w:sz w:val="20"/>
          <w:szCs w:val="24"/>
        </w:rPr>
        <w:tab/>
        <w:t>Shabanzadeh M, Sheikh-El-Eslami MK, Haghifam MR. An interactive cooperation model for neighboring virtual power plants. Appl Energy 2017. https://doi.org/10.1016/j.apenergy.2017.05.066.</w:t>
      </w:r>
    </w:p>
    <w:p w14:paraId="05E5FBA7"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[117]</w:t>
      </w:r>
      <w:r w:rsidRPr="003676D3">
        <w:rPr>
          <w:rFonts w:ascii="Times New Roman" w:hAnsi="Times New Roman" w:cs="Times New Roman"/>
          <w:noProof/>
          <w:sz w:val="20"/>
          <w:szCs w:val="24"/>
        </w:rPr>
        <w:tab/>
        <w:t xml:space="preserve">Eisele S, Eghtesad T, Campanelli K, Agrawal P, Laszka A, Dubey A. Safe and private forward-trading </w:t>
      </w:r>
      <w:r w:rsidRPr="003676D3">
        <w:rPr>
          <w:rFonts w:ascii="Times New Roman" w:hAnsi="Times New Roman" w:cs="Times New Roman"/>
          <w:noProof/>
          <w:sz w:val="20"/>
          <w:szCs w:val="24"/>
        </w:rPr>
        <w:lastRenderedPageBreak/>
        <w:t>platform for transactive microgrids. ACM Trans Cyber-Physical Syst 2021;5. https://doi.org/10.1145/3403711.</w:t>
      </w:r>
    </w:p>
    <w:p w14:paraId="62F3F3A2"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[118]</w:t>
      </w:r>
      <w:r w:rsidRPr="003676D3">
        <w:rPr>
          <w:rFonts w:ascii="Times New Roman" w:hAnsi="Times New Roman" w:cs="Times New Roman"/>
          <w:noProof/>
          <w:sz w:val="20"/>
          <w:szCs w:val="24"/>
        </w:rPr>
        <w:tab/>
        <w:t>Siano P, De Marco G, Rolan A, Loia V. A Survey and Evaluation of the Potentials of Distributed Ledger Technology for Peer-to-Peer Transactive Energy Exchanges in Local Energy Markets. IEEE Syst J 2019;13:3454–66. https://doi.org/10.1109/JSYST.2019.2903172.</w:t>
      </w:r>
    </w:p>
    <w:p w14:paraId="43D67002"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[119]</w:t>
      </w:r>
      <w:r w:rsidRPr="003676D3">
        <w:rPr>
          <w:rFonts w:ascii="Times New Roman" w:hAnsi="Times New Roman" w:cs="Times New Roman"/>
          <w:noProof/>
          <w:sz w:val="20"/>
          <w:szCs w:val="24"/>
        </w:rPr>
        <w:tab/>
        <w:t>Gupta N, Prusty BR, Alrumayh O, Almutairi A, Alharbi T. The Role of Transactive Energy in the Future Energy Industry: A Critical Review. Energies 2022, Vol 15, Page 8047 2022;15:8047. https://doi.org/10.3390/EN15218047.</w:t>
      </w:r>
    </w:p>
    <w:p w14:paraId="1493D49F"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[120]</w:t>
      </w:r>
      <w:r w:rsidRPr="003676D3">
        <w:rPr>
          <w:rFonts w:ascii="Times New Roman" w:hAnsi="Times New Roman" w:cs="Times New Roman"/>
          <w:noProof/>
          <w:sz w:val="20"/>
          <w:szCs w:val="24"/>
        </w:rPr>
        <w:tab/>
        <w:t>Zomorodi Moghadam A, Javidi MH. Designing a two-stage transactive energy system for future distribution networks in the presence of prosumers’ P2P transactions. Electr Power Syst Res 2022;211:108202. https://doi.org/10.1016/J.EPSR.2022.108202.</w:t>
      </w:r>
    </w:p>
    <w:p w14:paraId="06508DB7"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[121]</w:t>
      </w:r>
      <w:r w:rsidRPr="003676D3">
        <w:rPr>
          <w:rFonts w:ascii="Times New Roman" w:hAnsi="Times New Roman" w:cs="Times New Roman"/>
          <w:noProof/>
          <w:sz w:val="20"/>
          <w:szCs w:val="24"/>
        </w:rPr>
        <w:tab/>
        <w:t>Negro SO, Alkemade F, Hekkert MP. Why does renewable energy diffuse so slowly? A review of innovation system problems. Renew Sustain Energy Rev 2012;16:3836–46. https://doi.org/10.1016/J.RSER.2012.03.043.</w:t>
      </w:r>
    </w:p>
    <w:p w14:paraId="5B595090"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[122]</w:t>
      </w:r>
      <w:r w:rsidRPr="003676D3">
        <w:rPr>
          <w:rFonts w:ascii="Times New Roman" w:hAnsi="Times New Roman" w:cs="Times New Roman"/>
          <w:noProof/>
          <w:sz w:val="20"/>
          <w:szCs w:val="24"/>
        </w:rPr>
        <w:tab/>
        <w:t>Wieczorek AJ, Hekkert MP. Systemic instruments for systemic innovation problems: a framework for policy makers and innovation scholars. Sci Public Policy 2012;39:74–87. https://doi.org/10.1093/SCIPOL/SCR008.</w:t>
      </w:r>
    </w:p>
    <w:p w14:paraId="0C748F2A"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[123]</w:t>
      </w:r>
      <w:r w:rsidRPr="003676D3">
        <w:rPr>
          <w:rFonts w:ascii="Times New Roman" w:hAnsi="Times New Roman" w:cs="Times New Roman"/>
          <w:noProof/>
          <w:sz w:val="20"/>
          <w:szCs w:val="24"/>
        </w:rPr>
        <w:tab/>
        <w:t>Shafie-khah M, Moghaddam MP, Sheikh-El-Eslami MK, Rahmani-Andebili M. Modeling of interactions between market regulations and behavior of plug-in electric vehicle aggregators in a virtual power market environment. Energy 2012;40:139–50.</w:t>
      </w:r>
    </w:p>
    <w:p w14:paraId="6EA4F27B"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[124]</w:t>
      </w:r>
      <w:r w:rsidRPr="003676D3">
        <w:rPr>
          <w:rFonts w:ascii="Times New Roman" w:hAnsi="Times New Roman" w:cs="Times New Roman"/>
          <w:noProof/>
          <w:sz w:val="20"/>
          <w:szCs w:val="24"/>
        </w:rPr>
        <w:tab/>
        <w:t>Pütz S, Kruse J, Witthaut D, Hagenmeyer V, Schäfer B. Regulatory Changes in German and Austrian Power Systems Explored with Explainable Artificial Intelligence. E-Energy 2023 Companion - Proc 14th ACM Int Conf Futur Energy Syst 2023:26–31. https://doi.org/10.1145/3599733.3600247.</w:t>
      </w:r>
    </w:p>
    <w:p w14:paraId="48F749AD"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[125]</w:t>
      </w:r>
      <w:r w:rsidRPr="003676D3">
        <w:rPr>
          <w:rFonts w:ascii="Times New Roman" w:hAnsi="Times New Roman" w:cs="Times New Roman"/>
          <w:noProof/>
          <w:sz w:val="20"/>
          <w:szCs w:val="24"/>
        </w:rPr>
        <w:tab/>
        <w:t>Kruse J, Schäfer B, Witthaut D. Revealing drivers and risks for power grid frequency stability with explainable AI. Patterns 2021;2. https://doi.org/10.1016/J.PATTER.2021.100365.</w:t>
      </w:r>
    </w:p>
    <w:p w14:paraId="51D24864"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[126]</w:t>
      </w:r>
      <w:r w:rsidRPr="003676D3">
        <w:rPr>
          <w:rFonts w:ascii="Times New Roman" w:hAnsi="Times New Roman" w:cs="Times New Roman"/>
          <w:noProof/>
          <w:sz w:val="20"/>
          <w:szCs w:val="24"/>
        </w:rPr>
        <w:tab/>
        <w:t>Ehrhart KM, Ocker F. Design and regulation of balancing power auctions: an integrated market model approach. J Regul Econ 2021;60:55–73. https://doi.org/10.1007/S11149-021-09430-7.</w:t>
      </w:r>
    </w:p>
    <w:p w14:paraId="0B2FF64E"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[127]</w:t>
      </w:r>
      <w:r w:rsidRPr="003676D3">
        <w:rPr>
          <w:rFonts w:ascii="Times New Roman" w:hAnsi="Times New Roman" w:cs="Times New Roman"/>
          <w:noProof/>
          <w:sz w:val="20"/>
          <w:szCs w:val="24"/>
        </w:rPr>
        <w:tab/>
        <w:t>Eicke A, Ruhnau O, Hirth L. Electricity balancing as a market equilibrium: An instrument-based estimation of supply and demand for imbalance energy. Energy Econ 2021;102. https://doi.org/10.1016/J.ENECO.2021.105455.</w:t>
      </w:r>
    </w:p>
    <w:p w14:paraId="4A08B6DF"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[128]</w:t>
      </w:r>
      <w:r w:rsidRPr="003676D3">
        <w:rPr>
          <w:rFonts w:ascii="Times New Roman" w:hAnsi="Times New Roman" w:cs="Times New Roman"/>
          <w:noProof/>
          <w:sz w:val="20"/>
          <w:szCs w:val="24"/>
        </w:rPr>
        <w:tab/>
        <w:t>Schittekatte T, Meeus L, Jamasb T, Llorca M. Regulatory experimentation in energy: Three pioneer countries and lessons for the green transition. Energy Policy 2021;156:112382. https://doi.org/10.1016/J.ENPOL.2021.112382.</w:t>
      </w:r>
    </w:p>
    <w:p w14:paraId="4B5C6D1E"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[129]</w:t>
      </w:r>
      <w:r w:rsidRPr="003676D3">
        <w:rPr>
          <w:rFonts w:ascii="Times New Roman" w:hAnsi="Times New Roman" w:cs="Times New Roman"/>
          <w:noProof/>
          <w:sz w:val="20"/>
          <w:szCs w:val="24"/>
        </w:rPr>
        <w:tab/>
        <w:t>Jamasb T;, Llorca M;, Meeus L;, Schittekatte T. Energy Network Innovation for Green Transition Economic Issues and Regulatory Options n.d. https://doi.org/10.22439/csei.pb.008.</w:t>
      </w:r>
    </w:p>
    <w:p w14:paraId="33D2E527"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[130]</w:t>
      </w:r>
      <w:r w:rsidRPr="003676D3">
        <w:rPr>
          <w:rFonts w:ascii="Times New Roman" w:hAnsi="Times New Roman" w:cs="Times New Roman"/>
          <w:noProof/>
          <w:sz w:val="20"/>
          <w:szCs w:val="24"/>
        </w:rPr>
        <w:tab/>
        <w:t>Union PO of the E. Support schemes for renewable energy n.d. https://energy.ec.europa.eu/topics/renewable-energy/financing/support-schemes-renewable-energy_en (accessed May 31, 2024).</w:t>
      </w:r>
    </w:p>
    <w:p w14:paraId="3CADC70F"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[131]</w:t>
      </w:r>
      <w:r w:rsidRPr="003676D3">
        <w:rPr>
          <w:rFonts w:ascii="Times New Roman" w:hAnsi="Times New Roman" w:cs="Times New Roman"/>
          <w:noProof/>
          <w:sz w:val="20"/>
          <w:szCs w:val="24"/>
        </w:rPr>
        <w:tab/>
        <w:t>Union PO of the E. European Commission guidance for the design of renewables support schemes [SWD(2013) 439] - European Commission 2024. https://energy.ec.europa.eu/publications/european-commission-guidance-design-renewables-support-schemes-swd2013-439_en (accessed May 31, 2024).</w:t>
      </w:r>
    </w:p>
    <w:p w14:paraId="71BA65A2"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[132]</w:t>
      </w:r>
      <w:r w:rsidRPr="003676D3">
        <w:rPr>
          <w:rFonts w:ascii="Times New Roman" w:hAnsi="Times New Roman" w:cs="Times New Roman"/>
          <w:noProof/>
          <w:sz w:val="20"/>
          <w:szCs w:val="24"/>
        </w:rPr>
        <w:tab/>
        <w:t>United Nations. Urban Energy | UN-Habitat n.d. https://unhabitat.org/topic/urban-energy (accessed May 27, 2024).</w:t>
      </w:r>
    </w:p>
    <w:p w14:paraId="16D9FA3B"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[133]</w:t>
      </w:r>
      <w:r w:rsidRPr="003676D3">
        <w:rPr>
          <w:rFonts w:ascii="Times New Roman" w:hAnsi="Times New Roman" w:cs="Times New Roman"/>
          <w:noProof/>
          <w:sz w:val="20"/>
          <w:szCs w:val="24"/>
        </w:rPr>
        <w:tab/>
        <w:t>Salam A. Internet of things in sustainable energy systems. Internet of Things, 2020, p. 183–216. https://doi.org/10.1007/978-3-030-35291-2_6.</w:t>
      </w:r>
    </w:p>
    <w:p w14:paraId="43615F02"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[134]</w:t>
      </w:r>
      <w:r w:rsidRPr="003676D3">
        <w:rPr>
          <w:rFonts w:ascii="Times New Roman" w:hAnsi="Times New Roman" w:cs="Times New Roman"/>
          <w:noProof/>
          <w:sz w:val="20"/>
          <w:szCs w:val="24"/>
        </w:rPr>
        <w:tab/>
        <w:t xml:space="preserve">Hossein Motlagh N, Mohammadrezaei M, Hunt J, Zakeri B. Internet of Things (IoT) and the Energy </w:t>
      </w:r>
      <w:r w:rsidRPr="003676D3">
        <w:rPr>
          <w:rFonts w:ascii="Times New Roman" w:hAnsi="Times New Roman" w:cs="Times New Roman"/>
          <w:noProof/>
          <w:sz w:val="20"/>
          <w:szCs w:val="24"/>
        </w:rPr>
        <w:lastRenderedPageBreak/>
        <w:t>Sector. Energies 2020;13:494. https://doi.org/10.3390/en13020494.</w:t>
      </w:r>
    </w:p>
    <w:p w14:paraId="0986A4B3"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[135]</w:t>
      </w:r>
      <w:r w:rsidRPr="003676D3">
        <w:rPr>
          <w:rFonts w:ascii="Times New Roman" w:hAnsi="Times New Roman" w:cs="Times New Roman"/>
          <w:noProof/>
          <w:sz w:val="20"/>
          <w:szCs w:val="24"/>
        </w:rPr>
        <w:tab/>
        <w:t>Ren J, Wang Z, Luo Z, Liu F. Smart Grid and Electric Power Informatization. J. Phys. Conf. Ser., IOP Publishing; 2019. https://doi.org/10.1088/1742-6596/1187/2/022017.</w:t>
      </w:r>
    </w:p>
    <w:p w14:paraId="0D6919C2"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[136]</w:t>
      </w:r>
      <w:r w:rsidRPr="003676D3">
        <w:rPr>
          <w:rFonts w:ascii="Times New Roman" w:hAnsi="Times New Roman" w:cs="Times New Roman"/>
          <w:noProof/>
          <w:sz w:val="20"/>
          <w:szCs w:val="24"/>
        </w:rPr>
        <w:tab/>
        <w:t>Silva BN, Khan M, Han K. Towards sustainable smart cities: A review of trends, architectures, components, and open challenges in smart cities. Sustain Cities Soc 2018;38:697–713. https://doi.org/10.1016/J.SCS.2018.01.053.</w:t>
      </w:r>
    </w:p>
    <w:p w14:paraId="140DD9D5"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[137]</w:t>
      </w:r>
      <w:r w:rsidRPr="003676D3">
        <w:rPr>
          <w:rFonts w:ascii="Times New Roman" w:hAnsi="Times New Roman" w:cs="Times New Roman"/>
          <w:noProof/>
          <w:sz w:val="20"/>
          <w:szCs w:val="24"/>
        </w:rPr>
        <w:tab/>
        <w:t>What role does the metaverse play in the future of energy? - Good New Energy n.d. https://goodnewenergy.enagas.es/en/innovative/what-paper-does-the-metaverse-occupy-in-the-future-of-the-energy/ (accessed May 20, 2024).</w:t>
      </w:r>
    </w:p>
    <w:p w14:paraId="726A7640"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[138]</w:t>
      </w:r>
      <w:r w:rsidRPr="003676D3">
        <w:rPr>
          <w:rFonts w:ascii="Times New Roman" w:hAnsi="Times New Roman" w:cs="Times New Roman"/>
          <w:noProof/>
          <w:sz w:val="20"/>
          <w:szCs w:val="24"/>
        </w:rPr>
        <w:tab/>
        <w:t>Xu M, Ng WC, Yang W, Lim B, Kang J, Xiong Z, et al. A full dive into realizing the edge-enabled metaverse: Visions, enabling technologies, and challenges. IeeexploreIeeeOrgM Xu, WC Ng, WYB Lim, J Kang, Z Xiong, D Niyato, Q Yang, X Shen, C MiaoIEEE Commun Surv Tutorials, 2022•ieeexploreIeeeOrg n.d.</w:t>
      </w:r>
    </w:p>
    <w:p w14:paraId="79476617"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[139]</w:t>
      </w:r>
      <w:r w:rsidRPr="003676D3">
        <w:rPr>
          <w:rFonts w:ascii="Times New Roman" w:hAnsi="Times New Roman" w:cs="Times New Roman"/>
          <w:noProof/>
          <w:sz w:val="20"/>
          <w:szCs w:val="24"/>
        </w:rPr>
        <w:tab/>
        <w:t>The next economy: creating new ways to shop, work, and play - Fast Company n.d. https://www.fastcompany.com/90771640/the-next-economy-creating-new-ways-to-shop-work-and-play (accessed May 20, 2024).</w:t>
      </w:r>
    </w:p>
    <w:p w14:paraId="43246F79"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[140]</w:t>
      </w:r>
      <w:r w:rsidRPr="003676D3">
        <w:rPr>
          <w:rFonts w:ascii="Times New Roman" w:hAnsi="Times New Roman" w:cs="Times New Roman"/>
          <w:noProof/>
          <w:sz w:val="20"/>
          <w:szCs w:val="24"/>
        </w:rPr>
        <w:tab/>
        <w:t>Virtual power plants: Metaverse for the power sector - Opinion News | The Financial Express n.d. https://www.financialexpress.com/opinion/virtual-power-plants-metaverse-for-the-power-sector/2511907/ (accessed May 20, 2024).</w:t>
      </w:r>
    </w:p>
    <w:p w14:paraId="67D55D2E"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[141]</w:t>
      </w:r>
      <w:r w:rsidRPr="003676D3">
        <w:rPr>
          <w:rFonts w:ascii="Times New Roman" w:hAnsi="Times New Roman" w:cs="Times New Roman"/>
          <w:noProof/>
          <w:sz w:val="20"/>
          <w:szCs w:val="24"/>
        </w:rPr>
        <w:tab/>
        <w:t>Wang Y, Su Z, Zhang N, Xing R, Liu D, Luan TH, et al. A Survey on Metaverse: Fundamentals, Security, and Privacy. IEEE Commun Surv Tutorials 2023;25:319–52. https://doi.org/10.1109/COMST.2022.3202047.</w:t>
      </w:r>
    </w:p>
    <w:p w14:paraId="7F64A0F2"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[142]</w:t>
      </w:r>
      <w:r w:rsidRPr="003676D3">
        <w:rPr>
          <w:rFonts w:ascii="Times New Roman" w:hAnsi="Times New Roman" w:cs="Times New Roman"/>
          <w:noProof/>
          <w:sz w:val="20"/>
          <w:szCs w:val="24"/>
        </w:rPr>
        <w:tab/>
        <w:t>Sparkes M. What is a metaverse. New Sci 2021;251:18. https://doi.org/10.1016/S0262-4079(21)01450-0.</w:t>
      </w:r>
    </w:p>
    <w:p w14:paraId="527F720D"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[143]</w:t>
      </w:r>
      <w:r w:rsidRPr="003676D3">
        <w:rPr>
          <w:rFonts w:ascii="Times New Roman" w:hAnsi="Times New Roman" w:cs="Times New Roman"/>
          <w:noProof/>
          <w:sz w:val="20"/>
          <w:szCs w:val="24"/>
        </w:rPr>
        <w:tab/>
        <w:t>Mckinsey. Value creation in the metaverse | McKinsey n.d. https://www.mckinsey.com/capabilities/growth-marketing-and-sales/our-insights/value-creation-in-the-Metaverse (accessed May 20, 2024).</w:t>
      </w:r>
    </w:p>
    <w:p w14:paraId="7E474C96"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[144]</w:t>
      </w:r>
      <w:r w:rsidRPr="003676D3">
        <w:rPr>
          <w:rFonts w:ascii="Times New Roman" w:hAnsi="Times New Roman" w:cs="Times New Roman"/>
          <w:noProof/>
          <w:sz w:val="20"/>
          <w:szCs w:val="24"/>
        </w:rPr>
        <w:tab/>
        <w:t>Allam Z, Sharifi A, Bibri SE, Jones DS, Krogstie J. The Metaverse as a Virtual Form of Smart Cities: Opportunities and Challenges for Environmental, Economic, and Social Sustainability in Urban Futures. Smart Cities 2022, Vol 5, Pages 771-801 2022;5:771–801. https://doi.org/10.3390/SMARTCITIES5030040.</w:t>
      </w:r>
    </w:p>
    <w:p w14:paraId="10521DF7"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[145]</w:t>
      </w:r>
      <w:r w:rsidRPr="003676D3">
        <w:rPr>
          <w:rFonts w:ascii="Times New Roman" w:hAnsi="Times New Roman" w:cs="Times New Roman"/>
          <w:noProof/>
          <w:sz w:val="20"/>
          <w:szCs w:val="24"/>
        </w:rPr>
        <w:tab/>
        <w:t>Vidal-Tomás D. The illusion of the metaverse and meta-economy. Int Rev Financ Anal 2023;86:102560. https://doi.org/10.1016/J.IRFA.2023.102560.</w:t>
      </w:r>
    </w:p>
    <w:p w14:paraId="39544FCB"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[146]</w:t>
      </w:r>
      <w:r w:rsidRPr="003676D3">
        <w:rPr>
          <w:rFonts w:ascii="Times New Roman" w:hAnsi="Times New Roman" w:cs="Times New Roman"/>
          <w:noProof/>
          <w:sz w:val="20"/>
          <w:szCs w:val="24"/>
        </w:rPr>
        <w:tab/>
        <w:t>POLONA C, André MT, Maria N. Metaverse: Opportunities, risks and policy implications 2022.</w:t>
      </w:r>
    </w:p>
    <w:p w14:paraId="7285E806"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[147]</w:t>
      </w:r>
      <w:r w:rsidRPr="003676D3">
        <w:rPr>
          <w:rFonts w:ascii="Times New Roman" w:hAnsi="Times New Roman" w:cs="Times New Roman"/>
          <w:noProof/>
          <w:sz w:val="20"/>
          <w:szCs w:val="24"/>
        </w:rPr>
        <w:tab/>
        <w:t>Zainab HE, Bawanay NZ. Digital Twin, Metaverse and Smart Cities in a Race to the Future. 2023 24th Int Arab Conf Inf Technol ACIT 2023 2023. https://doi.org/10.1109/ACIT58888.2023.10453803.</w:t>
      </w:r>
    </w:p>
    <w:p w14:paraId="162320BF"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[148]</w:t>
      </w:r>
      <w:r w:rsidRPr="003676D3">
        <w:rPr>
          <w:rFonts w:ascii="Times New Roman" w:hAnsi="Times New Roman" w:cs="Times New Roman"/>
          <w:noProof/>
          <w:sz w:val="20"/>
          <w:szCs w:val="24"/>
        </w:rPr>
        <w:tab/>
        <w:t>Liu Y, Shen Y, Guo C, Tian Y, Wang X, Zhu Y, et al. MetaSensing in Metaverses: See There, Be There, and Know There. IEEE Intell Syst 2022;37:7–12. https://doi.org/10.1109/MIS.2022.3221844.</w:t>
      </w:r>
    </w:p>
    <w:p w14:paraId="5CAC0EE2"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[149]</w:t>
      </w:r>
      <w:r w:rsidRPr="003676D3">
        <w:rPr>
          <w:rFonts w:ascii="Times New Roman" w:hAnsi="Times New Roman" w:cs="Times New Roman"/>
          <w:noProof/>
          <w:sz w:val="20"/>
          <w:szCs w:val="24"/>
        </w:rPr>
        <w:tab/>
        <w:t>Smart Cities – Cities of the Future | Microsoft Industry n.d. https://www.microsoft.com/en-us/industry/government/resources/smart-cities (accessed May 20, 2024).</w:t>
      </w:r>
    </w:p>
    <w:p w14:paraId="4FC3E997"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[150]</w:t>
      </w:r>
      <w:r w:rsidRPr="003676D3">
        <w:rPr>
          <w:rFonts w:ascii="Times New Roman" w:hAnsi="Times New Roman" w:cs="Times New Roman"/>
          <w:noProof/>
          <w:sz w:val="20"/>
          <w:szCs w:val="24"/>
        </w:rPr>
        <w:tab/>
        <w:t>Lv Z, Xie S, Li Y, Shamim Hossain M, El Saddik A. Building the metaverse using digital twins at all scales,states, and relations. Virtual Real Intell Hardw 2022;4:459–70. https://doi.org/10.1016/J.VRIH.2022.06.005.</w:t>
      </w:r>
    </w:p>
    <w:p w14:paraId="29E51881"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[151]</w:t>
      </w:r>
      <w:r w:rsidRPr="003676D3">
        <w:rPr>
          <w:rFonts w:ascii="Times New Roman" w:hAnsi="Times New Roman" w:cs="Times New Roman"/>
          <w:noProof/>
          <w:sz w:val="20"/>
          <w:szCs w:val="24"/>
        </w:rPr>
        <w:tab/>
        <w:t>Virtual smart cities using Metaverse, digital twins - Bizness Transform n.d. https://www.biznesstransform.com/virtual-smart-cities-using-metaverse-digital-twins/ (accessed May 13, 2024).</w:t>
      </w:r>
    </w:p>
    <w:p w14:paraId="54E9CDC0"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lastRenderedPageBreak/>
        <w:t>[152]</w:t>
      </w:r>
      <w:r w:rsidRPr="003676D3">
        <w:rPr>
          <w:rFonts w:ascii="Times New Roman" w:hAnsi="Times New Roman" w:cs="Times New Roman"/>
          <w:noProof/>
          <w:sz w:val="20"/>
          <w:szCs w:val="24"/>
        </w:rPr>
        <w:tab/>
        <w:t>Angelidou M. Smart cities: A conjuncture of four forces. Cities 2015;47:95–106. https://doi.org/10.1016/J.CITIES.2015.05.004.</w:t>
      </w:r>
    </w:p>
    <w:p w14:paraId="28872421"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[153]</w:t>
      </w:r>
      <w:r w:rsidRPr="003676D3">
        <w:rPr>
          <w:rFonts w:ascii="Times New Roman" w:hAnsi="Times New Roman" w:cs="Times New Roman"/>
          <w:noProof/>
          <w:sz w:val="20"/>
          <w:szCs w:val="24"/>
        </w:rPr>
        <w:tab/>
        <w:t>Huynh-The T, Pham QV, Pham XQ, Nguyen TT, Han Z, Kim DS. Artificial intelligence for the metaverse: A survey. Eng Appl Artif Intell 2023;117:105581. https://doi.org/10.1016/J.ENGAPPAI.2022.105581.</w:t>
      </w:r>
    </w:p>
    <w:p w14:paraId="6381D69C"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[154]</w:t>
      </w:r>
      <w:r w:rsidRPr="003676D3">
        <w:rPr>
          <w:rFonts w:ascii="Times New Roman" w:hAnsi="Times New Roman" w:cs="Times New Roman"/>
          <w:noProof/>
          <w:sz w:val="20"/>
          <w:szCs w:val="24"/>
        </w:rPr>
        <w:tab/>
        <w:t>The Role of AI in Shaping the Metaverse · Neil Sahota n.d. https://www.neilsahota.com/the-role-of-ai-in-shaping-the-metaverse/ (accessed May 13, 2024).</w:t>
      </w:r>
    </w:p>
    <w:p w14:paraId="07130999"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[155]</w:t>
      </w:r>
      <w:r w:rsidRPr="003676D3">
        <w:rPr>
          <w:rFonts w:ascii="Times New Roman" w:hAnsi="Times New Roman" w:cs="Times New Roman"/>
          <w:noProof/>
          <w:sz w:val="20"/>
          <w:szCs w:val="24"/>
        </w:rPr>
        <w:tab/>
        <w:t>AI: The driving force behind the metaverse? - ITU n.d. https://www.itu.int/hub/2022/06/ai-driving-force-metaverse/ (accessed May 13, 2024).</w:t>
      </w:r>
    </w:p>
    <w:p w14:paraId="0063EDC8"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[156]</w:t>
      </w:r>
      <w:r w:rsidRPr="003676D3">
        <w:rPr>
          <w:rFonts w:ascii="Times New Roman" w:hAnsi="Times New Roman" w:cs="Times New Roman"/>
          <w:noProof/>
          <w:sz w:val="20"/>
          <w:szCs w:val="24"/>
        </w:rPr>
        <w:tab/>
        <w:t>Yang H, Zhong W De, Chen C, Alphones A, Xie X. Deep-reinforcement-learning-based energy-efficient resource management for social and cognitive internet of things. IEEE Internet Things J 2020;7:5677–89. https://doi.org/10.1109/JIOT.2020.2980586.</w:t>
      </w:r>
    </w:p>
    <w:p w14:paraId="14A5B1CE"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[157]</w:t>
      </w:r>
      <w:r w:rsidRPr="003676D3">
        <w:rPr>
          <w:rFonts w:ascii="Times New Roman" w:hAnsi="Times New Roman" w:cs="Times New Roman"/>
          <w:noProof/>
          <w:sz w:val="20"/>
          <w:szCs w:val="24"/>
        </w:rPr>
        <w:tab/>
        <w:t>Merten M, Rücker F, Schoeneberger I, Sauer DU. Automatic frequency restoration reserve market prediction: Methodology and comparison of various approaches. Appl Energy 2020;268. https://doi.org/10.1016/J.APENERGY.2020.114978.</w:t>
      </w:r>
    </w:p>
    <w:p w14:paraId="33A2DC64"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[158]</w:t>
      </w:r>
      <w:r w:rsidRPr="003676D3">
        <w:rPr>
          <w:rFonts w:ascii="Times New Roman" w:hAnsi="Times New Roman" w:cs="Times New Roman"/>
          <w:noProof/>
          <w:sz w:val="20"/>
          <w:szCs w:val="24"/>
        </w:rPr>
        <w:tab/>
        <w:t>Lago J, Marcjasz G, De Schutter B, Weron R. Forecasting day-ahead electricity prices: A review of state-of-the-art algorithms, best practices and an open-access benchmark. Appl Energy 2020;293. https://doi.org/10.1016/J.APENERGY.2021.116983.</w:t>
      </w:r>
    </w:p>
    <w:p w14:paraId="09EDC526"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[159]</w:t>
      </w:r>
      <w:r w:rsidRPr="003676D3">
        <w:rPr>
          <w:rFonts w:ascii="Times New Roman" w:hAnsi="Times New Roman" w:cs="Times New Roman"/>
          <w:noProof/>
          <w:sz w:val="20"/>
          <w:szCs w:val="24"/>
        </w:rPr>
        <w:tab/>
        <w:t>Yang W, Sun S, Hao Y, Wang S. A novel machine learning-based electricity price forecasting model based on optimal model selection strategy. Energy 2022;238. https://doi.org/10.1016/J.ENERGY.2021.121989.</w:t>
      </w:r>
    </w:p>
    <w:p w14:paraId="01B1002D"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[160]</w:t>
      </w:r>
      <w:r w:rsidRPr="003676D3">
        <w:rPr>
          <w:rFonts w:ascii="Times New Roman" w:hAnsi="Times New Roman" w:cs="Times New Roman"/>
          <w:noProof/>
          <w:sz w:val="20"/>
          <w:szCs w:val="24"/>
        </w:rPr>
        <w:tab/>
        <w:t>Barredo Arrieta A, Díaz-Rodríguez N, Del Ser J, Bennetot A, Tabik S, Barbado A, et al. Explainable Artificial Intelligence (XAI): Concepts, Taxonomies, Opportunities and Challenges toward Responsible AI. Inf Fusion 2019;58:82–115. https://doi.org/10.1016/J.INFFUS.2019.12.012.</w:t>
      </w:r>
    </w:p>
    <w:p w14:paraId="7E6068C1"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[161]</w:t>
      </w:r>
      <w:r w:rsidRPr="003676D3">
        <w:rPr>
          <w:rFonts w:ascii="Times New Roman" w:hAnsi="Times New Roman" w:cs="Times New Roman"/>
          <w:noProof/>
          <w:sz w:val="20"/>
          <w:szCs w:val="24"/>
        </w:rPr>
        <w:tab/>
        <w:t>Trebbien J, Gorjão LR, Praktiknjo A, Schäfer B, Witthaut D. Understanding electricity prices beyond the merit order principle using explainable AI. Energy AI 2022. https://doi.org/10.48550/ARXIV.2212.04805.</w:t>
      </w:r>
    </w:p>
    <w:p w14:paraId="539FACF9"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[162]</w:t>
      </w:r>
      <w:r w:rsidRPr="003676D3">
        <w:rPr>
          <w:rFonts w:ascii="Times New Roman" w:hAnsi="Times New Roman" w:cs="Times New Roman"/>
          <w:noProof/>
          <w:sz w:val="20"/>
          <w:szCs w:val="24"/>
        </w:rPr>
        <w:tab/>
        <w:t>Sun Z, Feng J, Yin L, Zhang Z, … RL-, Continua M&amp;, et al. Fed-DFE: A Decentralized Function Encryption-Based Privacy-Preserving Scheme for Federated Learning. CdnTechscienceCnZ Sun, J Feng, L Yin, Z Zhang, R Li, Y Hu, C NaComputers, Mater Contin 2022•cdnTechscienceCn n.d. https://doi.org/10.32604/cmc.2022.022290.</w:t>
      </w:r>
    </w:p>
    <w:p w14:paraId="2FBBBCC7"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[163]</w:t>
      </w:r>
      <w:r w:rsidRPr="003676D3">
        <w:rPr>
          <w:rFonts w:ascii="Times New Roman" w:hAnsi="Times New Roman" w:cs="Times New Roman"/>
          <w:noProof/>
          <w:sz w:val="20"/>
          <w:szCs w:val="24"/>
        </w:rPr>
        <w:tab/>
        <w:t>Su Z, Wang Y, Luan TH, Zhang N, Li F, Chen T, et al. Secure and Efficient Federated Learning for Smart Grid with Edge-Cloud Collaboration. IEEE Trans Ind Informatics 2022;18:1333–44. https://doi.org/10.1109/TII.2021.3095506.</w:t>
      </w:r>
    </w:p>
    <w:p w14:paraId="5045DC7C"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[164]</w:t>
      </w:r>
      <w:r w:rsidRPr="003676D3">
        <w:rPr>
          <w:rFonts w:ascii="Times New Roman" w:hAnsi="Times New Roman" w:cs="Times New Roman"/>
          <w:noProof/>
          <w:sz w:val="20"/>
          <w:szCs w:val="24"/>
        </w:rPr>
        <w:tab/>
        <w:t>Boudko S, Abie H, Nigussie E, WINSYS RS-, 2021  undefined. Towards Federated Learning-based Collaborative Adaptive Cybersecurity for Multi-microgrids. ScitepressOrgS Boudko, H Abie, E Nigussie, R SavolaWINSYS, 2021•scitepressOrg n.d. https://doi.org/10.5220/0010580700830090.</w:t>
      </w:r>
    </w:p>
    <w:p w14:paraId="232851BF"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[165]</w:t>
      </w:r>
      <w:r w:rsidRPr="003676D3">
        <w:rPr>
          <w:rFonts w:ascii="Times New Roman" w:hAnsi="Times New Roman" w:cs="Times New Roman"/>
          <w:noProof/>
          <w:sz w:val="20"/>
          <w:szCs w:val="24"/>
        </w:rPr>
        <w:tab/>
        <w:t>Al Nuaimi E, Al Neyadi H, Mohamed N, Al-Jaroodi J. Applications of big data to smart cities. J Internet Serv Appl 2015;6:1–15. https://doi.org/10.1186/S13174-015-0041-5/FIGURES/3.</w:t>
      </w:r>
    </w:p>
    <w:p w14:paraId="5CD4D7EA"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[166]</w:t>
      </w:r>
      <w:r w:rsidRPr="003676D3">
        <w:rPr>
          <w:rFonts w:ascii="Times New Roman" w:hAnsi="Times New Roman" w:cs="Times New Roman"/>
          <w:noProof/>
          <w:sz w:val="20"/>
          <w:szCs w:val="24"/>
        </w:rPr>
        <w:tab/>
        <w:t>Yin J, Sharma P, Gorton I, Akyol B. Large-scale data challenges in future power grids. Proc - 2013 IEEE 7th Int Symp Serv Syst Eng SOSE 2013 2013:324–8. https://doi.org/10.1109/SOSE.2013.71.</w:t>
      </w:r>
    </w:p>
    <w:p w14:paraId="6C6C0971"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[167]</w:t>
      </w:r>
      <w:r w:rsidRPr="003676D3">
        <w:rPr>
          <w:rFonts w:ascii="Times New Roman" w:hAnsi="Times New Roman" w:cs="Times New Roman"/>
          <w:noProof/>
          <w:sz w:val="20"/>
          <w:szCs w:val="24"/>
        </w:rPr>
        <w:tab/>
        <w:t>Grid Modernization and the Smart Grid | Department of Energy n.d. https://www.energy.gov/oe/grid-modernization-and-smart-grid (accessed May 26, 2024).</w:t>
      </w:r>
    </w:p>
    <w:p w14:paraId="07B3214D"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[168]</w:t>
      </w:r>
      <w:r w:rsidRPr="003676D3">
        <w:rPr>
          <w:rFonts w:ascii="Times New Roman" w:hAnsi="Times New Roman" w:cs="Times New Roman"/>
          <w:noProof/>
          <w:sz w:val="20"/>
          <w:szCs w:val="24"/>
        </w:rPr>
        <w:tab/>
        <w:t>Mohamed N, Al-Jaroodi J. Real-time big data analytics: Applications and challenges. Proc 2014 Int Conf High Perform Comput Simulation, HPCS 2014 2014:305–10. https://doi.org/10.1109/HPCSIM.2014.6903700.</w:t>
      </w:r>
    </w:p>
    <w:p w14:paraId="7E113427"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lastRenderedPageBreak/>
        <w:t>[169]</w:t>
      </w:r>
      <w:r w:rsidRPr="003676D3">
        <w:rPr>
          <w:rFonts w:ascii="Times New Roman" w:hAnsi="Times New Roman" w:cs="Times New Roman"/>
          <w:noProof/>
          <w:sz w:val="20"/>
          <w:szCs w:val="24"/>
        </w:rPr>
        <w:tab/>
        <w:t>Indium. Role of IoT in Metaverse n.d. https://www.indiumsoftware.com/blog/ (accessed May 13, 2024).</w:t>
      </w:r>
    </w:p>
    <w:p w14:paraId="750AAA4F"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[170]</w:t>
      </w:r>
      <w:r w:rsidRPr="003676D3">
        <w:rPr>
          <w:rFonts w:ascii="Times New Roman" w:hAnsi="Times New Roman" w:cs="Times New Roman"/>
          <w:noProof/>
          <w:sz w:val="20"/>
          <w:szCs w:val="24"/>
        </w:rPr>
        <w:tab/>
        <w:t>5 key technologies that power the Metaverse - Excellarate n.d. https://www.encora.com/insights/5-key-technologies-that-power-the-metaverse?excellarate-is-now-encora (accessed May 13, 2024).</w:t>
      </w:r>
    </w:p>
    <w:p w14:paraId="35349980"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[171]</w:t>
      </w:r>
      <w:r w:rsidRPr="003676D3">
        <w:rPr>
          <w:rFonts w:ascii="Times New Roman" w:hAnsi="Times New Roman" w:cs="Times New Roman"/>
          <w:noProof/>
          <w:sz w:val="20"/>
          <w:szCs w:val="24"/>
        </w:rPr>
        <w:tab/>
        <w:t>Network Requirements for the Metaverse, Are We Ready? | iceConnect n.d. https://www.iceconnect.com/blog/it-support/metaverse-network-requirements/ (accessed May 20, 2024).</w:t>
      </w:r>
    </w:p>
    <w:p w14:paraId="3DF1A6A1"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[172]</w:t>
      </w:r>
      <w:r w:rsidRPr="003676D3">
        <w:rPr>
          <w:rFonts w:ascii="Times New Roman" w:hAnsi="Times New Roman" w:cs="Times New Roman"/>
          <w:noProof/>
          <w:sz w:val="20"/>
          <w:szCs w:val="24"/>
        </w:rPr>
        <w:tab/>
        <w:t>Chukwuemeka CM, Uchechi MI, Obinna CO, Modesta E, Chimezie UB, Nnamdi AI. Optimizing the Sustainability of Renewable Energy: A Review on the Impart of Internet of Things. Asian J Res Comput Sci 2020. https://doi.org/10.9734/ajrcos/2020/v5i430147.</w:t>
      </w:r>
    </w:p>
    <w:p w14:paraId="7A92543D"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[173]</w:t>
      </w:r>
      <w:r w:rsidRPr="003676D3">
        <w:rPr>
          <w:rFonts w:ascii="Times New Roman" w:hAnsi="Times New Roman" w:cs="Times New Roman"/>
          <w:noProof/>
          <w:sz w:val="20"/>
          <w:szCs w:val="24"/>
        </w:rPr>
        <w:tab/>
        <w:t>Ciavarella S, Joo J, Smart SS-IT on, 2016  undefined. Managing contingencies in smart grids via the internet of things. IeeexploreIeeeOrgS Ciavarella, JY Joo, S SilvestriIEEE Trans Smart Grid, 2016•ieeexploreIeeeOrg n.d.</w:t>
      </w:r>
    </w:p>
    <w:p w14:paraId="5AB69BA0"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[174]</w:t>
      </w:r>
      <w:r w:rsidRPr="003676D3">
        <w:rPr>
          <w:rFonts w:ascii="Times New Roman" w:hAnsi="Times New Roman" w:cs="Times New Roman"/>
          <w:noProof/>
          <w:sz w:val="20"/>
          <w:szCs w:val="24"/>
        </w:rPr>
        <w:tab/>
        <w:t>Haider H, See O, Energy WE-R and S, 2016  undefined. A review of residential demand response of smart grid. ElsevierHT Haider, OH See, W ElmenreichRenewable Sustain Energy Rev 2016•Elsevier n.d.</w:t>
      </w:r>
    </w:p>
    <w:p w14:paraId="2A7D1F85"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[175]</w:t>
      </w:r>
      <w:r w:rsidRPr="003676D3">
        <w:rPr>
          <w:rFonts w:ascii="Times New Roman" w:hAnsi="Times New Roman" w:cs="Times New Roman"/>
          <w:noProof/>
          <w:sz w:val="20"/>
          <w:szCs w:val="24"/>
        </w:rPr>
        <w:tab/>
        <w:t>Science CB-PC, 2014  undefined. Security issues and challenges for the IoT-based smart grid. ElsevierC BekaraProcedia Comput Sci 2014•Elsevier n.d.</w:t>
      </w:r>
    </w:p>
    <w:p w14:paraId="1D2EF55B"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[176]</w:t>
      </w:r>
      <w:r w:rsidRPr="003676D3">
        <w:rPr>
          <w:rFonts w:ascii="Times New Roman" w:hAnsi="Times New Roman" w:cs="Times New Roman"/>
          <w:noProof/>
          <w:sz w:val="20"/>
          <w:szCs w:val="24"/>
        </w:rPr>
        <w:tab/>
        <w:t>Andoni M, Robu V, Flynn D, Abram S, Geach D, Jenkins D, et al. Blockchain technology in the energy sector: A systematic review of challenges and opportunities 2018. https://doi.org/10.1016/j.rser.2018.10.014.</w:t>
      </w:r>
    </w:p>
    <w:p w14:paraId="2D8754D7"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[177]</w:t>
      </w:r>
      <w:r w:rsidRPr="003676D3">
        <w:rPr>
          <w:rFonts w:ascii="Times New Roman" w:hAnsi="Times New Roman" w:cs="Times New Roman"/>
          <w:noProof/>
          <w:sz w:val="20"/>
          <w:szCs w:val="24"/>
        </w:rPr>
        <w:tab/>
        <w:t>Shi F, Ning H, Zhang X, Li R, Tian Q, Zhang S, et al. A new technology perspective of the Metaverse: Its essence, framework and challenges. Digit Commun Networks 2023. https://doi.org/10.1016/J.DCAN.2023.02.017.</w:t>
      </w:r>
    </w:p>
    <w:p w14:paraId="3BCE7919"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[178]</w:t>
      </w:r>
      <w:r w:rsidRPr="003676D3">
        <w:rPr>
          <w:rFonts w:ascii="Times New Roman" w:hAnsi="Times New Roman" w:cs="Times New Roman"/>
          <w:noProof/>
          <w:sz w:val="20"/>
          <w:szCs w:val="24"/>
        </w:rPr>
        <w:tab/>
        <w:t>Huynh-The T, Gadekallu TR, Wang W, Yenduri G, Ranaweera P, Pham QV, et al. Blockchain for the metaverse: A Review. Futur Gener Comput Syst 2023;143:401–19. https://doi.org/10.1016/J.FUTURE.2023.02.008.</w:t>
      </w:r>
    </w:p>
    <w:p w14:paraId="7B088860"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[179]</w:t>
      </w:r>
      <w:r w:rsidRPr="003676D3">
        <w:rPr>
          <w:rFonts w:ascii="Times New Roman" w:hAnsi="Times New Roman" w:cs="Times New Roman"/>
          <w:noProof/>
          <w:sz w:val="20"/>
          <w:szCs w:val="24"/>
        </w:rPr>
        <w:tab/>
        <w:t>Ryu J, Son S, Lee J, Park Y, Park Y. Design of Secure Mutual Authentication Scheme for Metaverse Environments Using Blockchain. IEEE Access 2022;10:98944–58. https://doi.org/10.1109/ACCESS.2022.3206457.</w:t>
      </w:r>
    </w:p>
    <w:p w14:paraId="1164B1FB"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[180]</w:t>
      </w:r>
      <w:r w:rsidRPr="003676D3">
        <w:rPr>
          <w:rFonts w:ascii="Times New Roman" w:hAnsi="Times New Roman" w:cs="Times New Roman"/>
          <w:noProof/>
          <w:sz w:val="20"/>
          <w:szCs w:val="24"/>
        </w:rPr>
        <w:tab/>
        <w:t>Chen J, Xiao H, Hu M, Chen CM. A blockchain-based signature exchange protocol for metaverse. Futur Gener Comput Syst 2023;142:237–47. https://doi.org/10.1016/J.FUTURE.2022.12.031.</w:t>
      </w:r>
    </w:p>
    <w:p w14:paraId="5F0C9B43"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[181]</w:t>
      </w:r>
      <w:r w:rsidRPr="003676D3">
        <w:rPr>
          <w:rFonts w:ascii="Times New Roman" w:hAnsi="Times New Roman" w:cs="Times New Roman"/>
          <w:noProof/>
          <w:sz w:val="20"/>
          <w:szCs w:val="24"/>
        </w:rPr>
        <w:tab/>
        <w:t>Maksymyuk T, Gazda J, Bugár G, … VG-I, 2022  undefined. Blockchain-empowered service management for the decentralized metaverse of things. IeeexploreIeeeOrgT Maksymyuk, J Gazda, G Bugár, V Gazda, M Liyanage, M DohlerIEEE Access, 2022•ieeexploreIeeeOrg n.d.</w:t>
      </w:r>
    </w:p>
    <w:p w14:paraId="01AD3235"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[182]</w:t>
      </w:r>
      <w:r w:rsidRPr="003676D3">
        <w:rPr>
          <w:rFonts w:ascii="Times New Roman" w:hAnsi="Times New Roman" w:cs="Times New Roman"/>
          <w:noProof/>
          <w:sz w:val="20"/>
          <w:szCs w:val="24"/>
        </w:rPr>
        <w:tab/>
        <w:t>Vidal-Tomás D. The new crypto niche: NFTs, play-to-earn, and metaverse tokens. Financ Res Lett 2022;47:102742. https://doi.org/10.1016/J.FRL.2022.102742.</w:t>
      </w:r>
    </w:p>
    <w:p w14:paraId="6C6BDF10"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[183]</w:t>
      </w:r>
      <w:r w:rsidRPr="003676D3">
        <w:rPr>
          <w:rFonts w:ascii="Times New Roman" w:hAnsi="Times New Roman" w:cs="Times New Roman"/>
          <w:noProof/>
          <w:sz w:val="20"/>
          <w:szCs w:val="24"/>
        </w:rPr>
        <w:tab/>
        <w:t>Jeon H, Youn H, Ko S, the TK-A in, 2022  undefined. Blockchain and AI Meet in the Metaverse. BooksGoogleComHJ Jeon, HC Youn, SM Ko, TH KimAdvances Converg Blockchain Artif Intell 2022•booksGoogleCom n.d.</w:t>
      </w:r>
    </w:p>
    <w:p w14:paraId="0159516B"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[184]</w:t>
      </w:r>
      <w:r w:rsidRPr="003676D3">
        <w:rPr>
          <w:rFonts w:ascii="Times New Roman" w:hAnsi="Times New Roman" w:cs="Times New Roman"/>
          <w:noProof/>
          <w:sz w:val="20"/>
          <w:szCs w:val="24"/>
        </w:rPr>
        <w:tab/>
        <w:t>Kuru K. MetaOmniCity: Toward Immersive Urban Metaverse Cyberspaces Using Smart City Digital Twins. IEEE Access 2023;11:43844–68. https://doi.org/10.1109/ACCESS.2023.3272890.</w:t>
      </w:r>
    </w:p>
    <w:p w14:paraId="5A952FF0"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[185]</w:t>
      </w:r>
      <w:r w:rsidRPr="003676D3">
        <w:rPr>
          <w:rFonts w:ascii="Times New Roman" w:hAnsi="Times New Roman" w:cs="Times New Roman"/>
          <w:noProof/>
          <w:sz w:val="20"/>
          <w:szCs w:val="24"/>
        </w:rPr>
        <w:tab/>
        <w:t>Wang S, Taha AF, Wang J, Kvaternik K, Hahn A. Energy Crowdsourcing and Peer-to-Peer Energy Trading in Blockchain-Enabled Smart Grids. IEEE Trans Syst Man, Cybern Syst 2019;49:1612–23. https://doi.org/10.1109/TSMC.2019.2916565.</w:t>
      </w:r>
    </w:p>
    <w:p w14:paraId="285D01A0"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[186]</w:t>
      </w:r>
      <w:r w:rsidRPr="003676D3">
        <w:rPr>
          <w:rFonts w:ascii="Times New Roman" w:hAnsi="Times New Roman" w:cs="Times New Roman"/>
          <w:noProof/>
          <w:sz w:val="20"/>
          <w:szCs w:val="24"/>
        </w:rPr>
        <w:tab/>
        <w:t>Lu J, Wu S, Cheng H, Xiang Z. Smart contract for distributed energy trading in virtual power plants based on blockchain. Comput Intell 2021;37:1445–55. https://doi.org/10.1111/COIN.12388.</w:t>
      </w:r>
    </w:p>
    <w:p w14:paraId="13142A99"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[187]</w:t>
      </w:r>
      <w:r w:rsidRPr="003676D3">
        <w:rPr>
          <w:rFonts w:ascii="Times New Roman" w:hAnsi="Times New Roman" w:cs="Times New Roman"/>
          <w:noProof/>
          <w:sz w:val="20"/>
          <w:szCs w:val="24"/>
        </w:rPr>
        <w:tab/>
        <w:t xml:space="preserve">Kolenc M, Nemček P, Gutschi C, Suljanović N, Zajc M. Performance evaluation of a virtual power plant communication system providing ancillary services. Electr Power Syst Res 2017. </w:t>
      </w:r>
      <w:r w:rsidRPr="003676D3">
        <w:rPr>
          <w:rFonts w:ascii="Times New Roman" w:hAnsi="Times New Roman" w:cs="Times New Roman"/>
          <w:noProof/>
          <w:sz w:val="20"/>
          <w:szCs w:val="24"/>
        </w:rPr>
        <w:lastRenderedPageBreak/>
        <w:t>https://doi.org/10.1016/j.epsr.2017.04.010.</w:t>
      </w:r>
    </w:p>
    <w:p w14:paraId="07B2F066"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[188]</w:t>
      </w:r>
      <w:r w:rsidRPr="003676D3">
        <w:rPr>
          <w:rFonts w:ascii="Times New Roman" w:hAnsi="Times New Roman" w:cs="Times New Roman"/>
          <w:noProof/>
          <w:sz w:val="20"/>
          <w:szCs w:val="24"/>
        </w:rPr>
        <w:tab/>
        <w:t>Ferrag MA, Maglaras LA, Janicke H, Jiang J, Shu L. A systematic review of data protection and privacy preservation schemes for smart grid communications. Sustain Cities Soc 2018;38:806–35. https://doi.org/10.1016/J.SCS.2017.12.041.</w:t>
      </w:r>
    </w:p>
    <w:p w14:paraId="76BD3119"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[189]</w:t>
      </w:r>
      <w:r w:rsidRPr="003676D3">
        <w:rPr>
          <w:rFonts w:ascii="Times New Roman" w:hAnsi="Times New Roman" w:cs="Times New Roman"/>
          <w:noProof/>
          <w:sz w:val="20"/>
          <w:szCs w:val="24"/>
        </w:rPr>
        <w:tab/>
        <w:t>Wang W, Hoang DT, Hu P, Xiong Z, Niyato D, Wang P, et al. A Survey on Consensus Mechanisms and Mining Strategy Management in Blockchain Networks. IEEE Access 2018;7:22328–70. https://doi.org/10.1109/ACCESS.2019.2896108.</w:t>
      </w:r>
    </w:p>
    <w:p w14:paraId="53118730"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[190]</w:t>
      </w:r>
      <w:r w:rsidRPr="003676D3">
        <w:rPr>
          <w:rFonts w:ascii="Times New Roman" w:hAnsi="Times New Roman" w:cs="Times New Roman"/>
          <w:noProof/>
          <w:sz w:val="20"/>
          <w:szCs w:val="24"/>
        </w:rPr>
        <w:tab/>
        <w:t>Hossain E, Khan I, Un-Noor F, Sikander SS, Sunny MSH. Application of Big Data and Machine Learning in Smart Grid, and Associated Security Concerns: A Review. IEEE Access 2019;7:13960–88. https://doi.org/10.1109/ACCESS.2019.2894819.</w:t>
      </w:r>
    </w:p>
    <w:p w14:paraId="627C270F"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[191]</w:t>
      </w:r>
      <w:r w:rsidRPr="003676D3">
        <w:rPr>
          <w:rFonts w:ascii="Times New Roman" w:hAnsi="Times New Roman" w:cs="Times New Roman"/>
          <w:noProof/>
          <w:sz w:val="20"/>
          <w:szCs w:val="24"/>
        </w:rPr>
        <w:tab/>
        <w:t>Alladi T, Chamola V, Rodrigues JJPC, Kozlov SA. Blockchain in Smart Grids: A Review on Different Use Cases. Sensors 2019, Vol 19, Page 4862 2019;19:4862. https://doi.org/10.3390/S19224862.</w:t>
      </w:r>
    </w:p>
    <w:p w14:paraId="4FF3567F"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[192]</w:t>
      </w:r>
      <w:r w:rsidRPr="003676D3">
        <w:rPr>
          <w:rFonts w:ascii="Times New Roman" w:hAnsi="Times New Roman" w:cs="Times New Roman"/>
          <w:noProof/>
          <w:sz w:val="20"/>
          <w:szCs w:val="24"/>
        </w:rPr>
        <w:tab/>
        <w:t>Tightiz L, Yang H. A Comprehensive Review on IoT Protocols’ Features in Smart Grid Communication. Energies 2020, Vol 13, Page 2762 2020;13:2762. https://doi.org/10.3390/EN13112762.</w:t>
      </w:r>
    </w:p>
    <w:p w14:paraId="454A1D21"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[193]</w:t>
      </w:r>
      <w:r w:rsidRPr="003676D3">
        <w:rPr>
          <w:rFonts w:ascii="Times New Roman" w:hAnsi="Times New Roman" w:cs="Times New Roman"/>
          <w:noProof/>
          <w:sz w:val="20"/>
          <w:szCs w:val="24"/>
        </w:rPr>
        <w:tab/>
        <w:t>Zhang H, Liu B, Wu H. Smart Grid Cyber-Physical Attack and Defense: A Review. IEEE Access 2021;9:29641–59. https://doi.org/10.1109/ACCESS.2021.3058628.</w:t>
      </w:r>
    </w:p>
    <w:p w14:paraId="474C5068"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[194]</w:t>
      </w:r>
      <w:r w:rsidRPr="003676D3">
        <w:rPr>
          <w:rFonts w:ascii="Times New Roman" w:hAnsi="Times New Roman" w:cs="Times New Roman"/>
          <w:noProof/>
          <w:sz w:val="20"/>
          <w:szCs w:val="24"/>
        </w:rPr>
        <w:tab/>
        <w:t>Colmenares-Quintero RF, Quiroga-Parra DJ, Rojas N, Stansfield KE, Colmenares-Quintero JC. Big Data analytics in Smart Grids for renewable energy networks: Systematic review of information and communication technology tools. Cogent Eng 2021;8. https://doi.org/10.1080/23311916.2021.1935410.</w:t>
      </w:r>
    </w:p>
    <w:p w14:paraId="55B58251"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[195]</w:t>
      </w:r>
      <w:r w:rsidRPr="003676D3">
        <w:rPr>
          <w:rFonts w:ascii="Times New Roman" w:hAnsi="Times New Roman" w:cs="Times New Roman"/>
          <w:noProof/>
          <w:sz w:val="20"/>
          <w:szCs w:val="24"/>
        </w:rPr>
        <w:tab/>
        <w:t>Hojckova K, Ahlborg H, Sandén BA. A global super-grid: sociotechnical drivers and barriers. Energy Sustain Soc 2022;12:1–16. https://doi.org/10.1186/S13705-022-00368-Y/FIGURES/2.</w:t>
      </w:r>
    </w:p>
    <w:p w14:paraId="2F5543C7"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[196]</w:t>
      </w:r>
      <w:r w:rsidRPr="003676D3">
        <w:rPr>
          <w:rFonts w:ascii="Times New Roman" w:hAnsi="Times New Roman" w:cs="Times New Roman"/>
          <w:noProof/>
          <w:sz w:val="20"/>
          <w:szCs w:val="24"/>
        </w:rPr>
        <w:tab/>
        <w:t>De Felice F, De Luca C, Chiara S Di, Petrillo A. Physical and digital worlds: implications and opportunities of the metaverse. Procedia Comput Sci 2023;217:1744–54. https://doi.org/10.1016/J.PROCS.2022.12.374.</w:t>
      </w:r>
    </w:p>
    <w:p w14:paraId="751607C6"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[197]</w:t>
      </w:r>
      <w:r w:rsidRPr="003676D3">
        <w:rPr>
          <w:rFonts w:ascii="Times New Roman" w:hAnsi="Times New Roman" w:cs="Times New Roman"/>
          <w:noProof/>
          <w:sz w:val="20"/>
          <w:szCs w:val="24"/>
        </w:rPr>
        <w:tab/>
        <w:t>Sifat MMH, Choudhury SM, Das SK, Ahamed MH, Muyeen SM, Hasan MM, et al. Towards electric digital twin grid: Technology and framework review. Energy AI 2023;11:100213. https://doi.org/10.1016/J.EGYAI.2022.100213.</w:t>
      </w:r>
    </w:p>
    <w:p w14:paraId="69353901"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[198]</w:t>
      </w:r>
      <w:r w:rsidRPr="003676D3">
        <w:rPr>
          <w:rFonts w:ascii="Times New Roman" w:hAnsi="Times New Roman" w:cs="Times New Roman"/>
          <w:noProof/>
          <w:sz w:val="20"/>
          <w:szCs w:val="24"/>
        </w:rPr>
        <w:tab/>
        <w:t>Kasture S, Maurya S, Verma R, Pathak N, Joshi P, Rakesh N. Green Cloud Computing for the Metaverse: Powering the Future of the Internet with Renewable Energy 2024:1–6. https://doi.org/10.1109/ICRITO61523.2024.10522167.</w:t>
      </w:r>
    </w:p>
    <w:p w14:paraId="39D8C1CA"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[199]</w:t>
      </w:r>
      <w:r w:rsidRPr="003676D3">
        <w:rPr>
          <w:rFonts w:ascii="Times New Roman" w:hAnsi="Times New Roman" w:cs="Times New Roman"/>
          <w:noProof/>
          <w:sz w:val="20"/>
          <w:szCs w:val="24"/>
        </w:rPr>
        <w:tab/>
        <w:t>Ruland KC, Sassmannshausen J, Waedt K, Zivic N. Smart Grid Security – ein Überblick über Standards und Richtlinien. Elektrotechnik Und Informationstechnik 2017;134:19–25. https://doi.org/10.1007/S00502-017-0472-8/METRICS.</w:t>
      </w:r>
    </w:p>
    <w:p w14:paraId="4B8F47D6"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[200]</w:t>
      </w:r>
      <w:r w:rsidRPr="003676D3">
        <w:rPr>
          <w:rFonts w:ascii="Times New Roman" w:hAnsi="Times New Roman" w:cs="Times New Roman"/>
          <w:noProof/>
          <w:sz w:val="20"/>
          <w:szCs w:val="24"/>
        </w:rPr>
        <w:tab/>
        <w:t>Langer L, Skopik F, Smith P, Kammerstetter M. From old to new: Assessing cybersecurity risks for an evolving smart grid. Comput Secur 2016;62:165–76. https://doi.org/10.1016/J.COSE.2016.07.008.</w:t>
      </w:r>
    </w:p>
    <w:p w14:paraId="52C3B455"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[201]</w:t>
      </w:r>
      <w:r w:rsidRPr="003676D3">
        <w:rPr>
          <w:rFonts w:ascii="Times New Roman" w:hAnsi="Times New Roman" w:cs="Times New Roman"/>
          <w:noProof/>
          <w:sz w:val="20"/>
          <w:szCs w:val="24"/>
        </w:rPr>
        <w:tab/>
        <w:t>Leszczyna R. Cybersecurity and privacy in standards for smart grids – A comprehensive survey. Comput Stand Interfaces 2018;56:62–73. https://doi.org/10.1016/J.CSI.2017.09.005.</w:t>
      </w:r>
    </w:p>
    <w:p w14:paraId="38EA07AE"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[202]</w:t>
      </w:r>
      <w:r w:rsidRPr="003676D3">
        <w:rPr>
          <w:rFonts w:ascii="Times New Roman" w:hAnsi="Times New Roman" w:cs="Times New Roman"/>
          <w:noProof/>
          <w:sz w:val="20"/>
          <w:szCs w:val="24"/>
        </w:rPr>
        <w:tab/>
        <w:t>Neureiter C, Engel D, Trefke J, Santodomingo R, Rohjans S, Uslar M. Towards consistent smart grid architecture tool support: From use cases to visualization. IEEE PES Innov Smart Grid Technol Conf Eur 2015;2015-January. https://doi.org/10.1109/ISGTEUROPE.2014.7028834.</w:t>
      </w:r>
    </w:p>
    <w:p w14:paraId="05358025"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[203]</w:t>
      </w:r>
      <w:r w:rsidRPr="003676D3">
        <w:rPr>
          <w:rFonts w:ascii="Times New Roman" w:hAnsi="Times New Roman" w:cs="Times New Roman"/>
          <w:noProof/>
          <w:sz w:val="20"/>
          <w:szCs w:val="24"/>
        </w:rPr>
        <w:tab/>
        <w:t>Wang W, Lu Z. Cyber security in the Smart Grid: Survey and challenges. Comput Networks 2013;57:1344–71. https://doi.org/10.1016/J.COMNET.2012.12.017.</w:t>
      </w:r>
    </w:p>
    <w:p w14:paraId="7081CE6D"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[204]</w:t>
      </w:r>
      <w:r w:rsidRPr="003676D3">
        <w:rPr>
          <w:rFonts w:ascii="Times New Roman" w:hAnsi="Times New Roman" w:cs="Times New Roman"/>
          <w:noProof/>
          <w:sz w:val="20"/>
          <w:szCs w:val="24"/>
        </w:rPr>
        <w:tab/>
        <w:t>Hahn A, Govindarasu M. Cyber attack exposure evaluation framework for the smart grid. IEEE Trans Smart Grid 2011;2:835–43. https://doi.org/10.1109/TSG.2011.2163829.</w:t>
      </w:r>
    </w:p>
    <w:p w14:paraId="3ED91446"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[205]</w:t>
      </w:r>
      <w:r w:rsidRPr="003676D3">
        <w:rPr>
          <w:rFonts w:ascii="Times New Roman" w:hAnsi="Times New Roman" w:cs="Times New Roman"/>
          <w:noProof/>
          <w:sz w:val="20"/>
          <w:szCs w:val="24"/>
        </w:rPr>
        <w:tab/>
        <w:t xml:space="preserve">Batista NC, Melício R, Mendes VMF. Services enabler architecture for smart grid and smart living services providers under industry 4.0. Energy Build 2017;141:16–27. </w:t>
      </w:r>
      <w:r w:rsidRPr="003676D3">
        <w:rPr>
          <w:rFonts w:ascii="Times New Roman" w:hAnsi="Times New Roman" w:cs="Times New Roman"/>
          <w:noProof/>
          <w:sz w:val="20"/>
          <w:szCs w:val="24"/>
        </w:rPr>
        <w:lastRenderedPageBreak/>
        <w:t>https://doi.org/10.1016/J.ENBUILD.2017.02.039.</w:t>
      </w:r>
    </w:p>
    <w:p w14:paraId="28EB91D4"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[206]</w:t>
      </w:r>
      <w:r w:rsidRPr="003676D3">
        <w:rPr>
          <w:rFonts w:ascii="Times New Roman" w:hAnsi="Times New Roman" w:cs="Times New Roman"/>
          <w:noProof/>
          <w:sz w:val="20"/>
          <w:szCs w:val="24"/>
        </w:rPr>
        <w:tab/>
        <w:t>Sridhar S, Hahn A, Govindarasu M. Cyber-physical system security for the electric power grid. Proc IEEE 2012;100:210–24. https://doi.org/10.1109/JPROC.2011.2165269.</w:t>
      </w:r>
    </w:p>
    <w:p w14:paraId="70464808"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[207]</w:t>
      </w:r>
      <w:r w:rsidRPr="003676D3">
        <w:rPr>
          <w:rFonts w:ascii="Times New Roman" w:hAnsi="Times New Roman" w:cs="Times New Roman"/>
          <w:noProof/>
          <w:sz w:val="20"/>
          <w:szCs w:val="24"/>
        </w:rPr>
        <w:tab/>
        <w:t>Fu Y, Li C, Yu FR, Luan TH, Zhao P, Liu S. A Survey of Blockchain and Intelligent Networking for the Metaverse. IEEE Internet Things J 2023;10:3587–610. https://doi.org/10.1109/JIOT.2022.3222521.</w:t>
      </w:r>
    </w:p>
    <w:p w14:paraId="534648D3"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[208]</w:t>
      </w:r>
      <w:r w:rsidRPr="003676D3">
        <w:rPr>
          <w:rFonts w:ascii="Times New Roman" w:hAnsi="Times New Roman" w:cs="Times New Roman"/>
          <w:noProof/>
          <w:sz w:val="20"/>
          <w:szCs w:val="24"/>
        </w:rPr>
        <w:tab/>
        <w:t>Al-Ghaili AM, Kasim H, Al-Hada NM, Hassan Z Bin, Othman M, Tharik JH, et al. A Review of Metaverse’s Definitions, Architecture, Applications, Challenges, Issues, Solutions, and Future Trends. IEEE Access 2022;10:125835–66. https://doi.org/10.1109/ACCESS.2022.3225638.</w:t>
      </w:r>
    </w:p>
    <w:p w14:paraId="4A64B279"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[209]</w:t>
      </w:r>
      <w:r w:rsidRPr="003676D3">
        <w:rPr>
          <w:rFonts w:ascii="Times New Roman" w:hAnsi="Times New Roman" w:cs="Times New Roman"/>
          <w:noProof/>
          <w:sz w:val="20"/>
          <w:szCs w:val="24"/>
        </w:rPr>
        <w:tab/>
        <w:t>Jaimini U, Zhang T, Computing GB-II, 2022  undefined. iMetaverseKG: Industrial Metaverse Knowledge Graph to Promote Interoperability in Design and Engineering Applications. IeeexploreIeeeOrgU Jaimini, T Zhang, GO Brikis, A ShethIEEE Internet Comput 2022•ieeexploreIeeeOrg n.d.</w:t>
      </w:r>
    </w:p>
    <w:p w14:paraId="141FB469"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[210]</w:t>
      </w:r>
      <w:r w:rsidRPr="003676D3">
        <w:rPr>
          <w:rFonts w:ascii="Times New Roman" w:hAnsi="Times New Roman" w:cs="Times New Roman"/>
          <w:noProof/>
          <w:sz w:val="20"/>
          <w:szCs w:val="24"/>
        </w:rPr>
        <w:tab/>
        <w:t>Interoperability in the Metaverse | World Economic Forum n.d. https://www.weforum.org/publications/interoperability-in-the-metaverse/ (accessed May 31, 2024).</w:t>
      </w:r>
    </w:p>
    <w:p w14:paraId="1F58DB91"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[211]</w:t>
      </w:r>
      <w:r w:rsidRPr="003676D3">
        <w:rPr>
          <w:rFonts w:ascii="Times New Roman" w:hAnsi="Times New Roman" w:cs="Times New Roman"/>
          <w:noProof/>
          <w:sz w:val="20"/>
          <w:szCs w:val="24"/>
        </w:rPr>
        <w:tab/>
        <w:t>The metaverse and communication service providers | Nokia n.d. https://www.nokia.com/blog/the-metaverse-and-communication-service-providers/ (accessed May 20, 2024).</w:t>
      </w:r>
    </w:p>
    <w:p w14:paraId="2EEBFEBA"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[212]</w:t>
      </w:r>
      <w:r w:rsidRPr="003676D3">
        <w:rPr>
          <w:rFonts w:ascii="Times New Roman" w:hAnsi="Times New Roman" w:cs="Times New Roman"/>
          <w:noProof/>
          <w:sz w:val="20"/>
          <w:szCs w:val="24"/>
        </w:rPr>
        <w:tab/>
        <w:t>Oleksy T, Wnuk A, Piskorska M. Migration to the metaverse and its predictors: Attachment to virtual places and metaverse-related threat. Comput Human Behav 2023;141:107642. https://doi.org/10.1016/J.CHB.2022.107642.</w:t>
      </w:r>
    </w:p>
    <w:p w14:paraId="2E97F020"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[213]</w:t>
      </w:r>
      <w:r w:rsidRPr="003676D3">
        <w:rPr>
          <w:rFonts w:ascii="Times New Roman" w:hAnsi="Times New Roman" w:cs="Times New Roman"/>
          <w:noProof/>
          <w:sz w:val="20"/>
          <w:szCs w:val="24"/>
        </w:rPr>
        <w:tab/>
        <w:t>Kuo SY, Tseng FH, Chou YH. Metaverse intrusion detection of wormhole attacks based on a novel statistical mechanism. Futur Gener Comput Syst 2023;143:179–90. https://doi.org/10.1016/J.FUTURE.2023.01.017.</w:t>
      </w:r>
    </w:p>
    <w:p w14:paraId="15E3CB34"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[214]</w:t>
      </w:r>
      <w:r w:rsidRPr="003676D3">
        <w:rPr>
          <w:rFonts w:ascii="Times New Roman" w:hAnsi="Times New Roman" w:cs="Times New Roman"/>
          <w:noProof/>
          <w:sz w:val="20"/>
          <w:szCs w:val="24"/>
        </w:rPr>
        <w:tab/>
        <w:t>Qamar S, Anwar Z, Afzal M. A systematic threat analysis and defense strategies for the metaverse and extended reality systems. Comput Secur 2023;128:103127. https://doi.org/10.1016/J.COSE.2023.103127.</w:t>
      </w:r>
    </w:p>
    <w:p w14:paraId="5EF7399E"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[215]</w:t>
      </w:r>
      <w:r w:rsidRPr="003676D3">
        <w:rPr>
          <w:rFonts w:ascii="Times New Roman" w:hAnsi="Times New Roman" w:cs="Times New Roman"/>
          <w:noProof/>
          <w:sz w:val="20"/>
          <w:szCs w:val="24"/>
        </w:rPr>
        <w:tab/>
        <w:t>Data Management For The Metaverse – ACM SIGMOD Blog n.d. https://wp.sigmod.org/?p=3481 (accessed May 20, 2024).</w:t>
      </w:r>
    </w:p>
    <w:p w14:paraId="4D6A5749"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[216]</w:t>
      </w:r>
      <w:r w:rsidRPr="003676D3">
        <w:rPr>
          <w:rFonts w:ascii="Times New Roman" w:hAnsi="Times New Roman" w:cs="Times New Roman"/>
          <w:noProof/>
          <w:sz w:val="20"/>
          <w:szCs w:val="24"/>
        </w:rPr>
        <w:tab/>
        <w:t>No country has jurisdiction over the metaverse (yet) | BSA Middle East Law Firm n.d. https://bsabh.com/knowledge-hub/news/no-country-has-jurisdiction-over-the-metaverse-yet (accessed May 20, 2024).</w:t>
      </w:r>
    </w:p>
    <w:p w14:paraId="03A37326"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[217]</w:t>
      </w:r>
      <w:r w:rsidRPr="003676D3">
        <w:rPr>
          <w:rFonts w:ascii="Times New Roman" w:hAnsi="Times New Roman" w:cs="Times New Roman"/>
          <w:noProof/>
          <w:sz w:val="20"/>
          <w:szCs w:val="24"/>
        </w:rPr>
        <w:tab/>
        <w:t>Chen Z, Gan W, Wu J, Lin H, Chen CM. Metaverse for smart cities: A survey. Internet Things Cyber-Physical Syst 2024;4:203–16. https://doi.org/10.1016/J.IOTCPS.2023.12.002.</w:t>
      </w:r>
    </w:p>
    <w:p w14:paraId="3085344D"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[218]</w:t>
      </w:r>
      <w:r w:rsidRPr="003676D3">
        <w:rPr>
          <w:rFonts w:ascii="Times New Roman" w:hAnsi="Times New Roman" w:cs="Times New Roman"/>
          <w:noProof/>
          <w:sz w:val="20"/>
          <w:szCs w:val="24"/>
        </w:rPr>
        <w:tab/>
        <w:t>Ometov A, Bezzateev S, Mäkitalo N, Andreev S, Mikkonen T, Koucheryavy Y. Multi-factor authentication: A survey. Cryptography 2018;2:1–31. https://doi.org/10.3390/CRYPTOGRAPHY2010001.</w:t>
      </w:r>
    </w:p>
    <w:p w14:paraId="013429FF"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[219]</w:t>
      </w:r>
      <w:r w:rsidRPr="003676D3">
        <w:rPr>
          <w:rFonts w:ascii="Times New Roman" w:hAnsi="Times New Roman" w:cs="Times New Roman"/>
          <w:noProof/>
          <w:sz w:val="20"/>
          <w:szCs w:val="24"/>
        </w:rPr>
        <w:tab/>
        <w:t>Petsas T, Tsirantonakis G, … EA-P of the, 2015  undefined. Two-factor authentication: is the world ready? Quantifying 2FA adoption. DlAcmOrgT Petsas, G Tsirantonakis, E Athanasopoulos, S IoannidisProceedings Eighth Eur Work Syst Secur 2015•dlAcmOrg 2015. https://doi.org/10.1145/2751323.2751327.</w:t>
      </w:r>
    </w:p>
    <w:p w14:paraId="493BBBB5"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[220]</w:t>
      </w:r>
      <w:r w:rsidRPr="003676D3">
        <w:rPr>
          <w:rFonts w:ascii="Times New Roman" w:hAnsi="Times New Roman" w:cs="Times New Roman"/>
          <w:noProof/>
          <w:sz w:val="20"/>
          <w:szCs w:val="24"/>
        </w:rPr>
        <w:tab/>
        <w:t>Wang D, He D, Wang P, on CC-IT, 2014  undefined. Anonymous two-factor authentication in distributed systems: Certain goals are beyond attainment. IeeexploreIeeeOrgD Wang, D He, P Wang, CH ChuIEEE Trans Dependable Secur Comput 2014•ieeexploreIeeeOrg 2014;12:428–42. https://doi.org/10.1109/TDSC.2014.2355850.</w:t>
      </w:r>
    </w:p>
    <w:p w14:paraId="139CDEB5"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[221]</w:t>
      </w:r>
      <w:r w:rsidRPr="003676D3">
        <w:rPr>
          <w:rFonts w:ascii="Times New Roman" w:hAnsi="Times New Roman" w:cs="Times New Roman"/>
          <w:noProof/>
          <w:sz w:val="20"/>
          <w:szCs w:val="24"/>
        </w:rPr>
        <w:tab/>
        <w:t>Lee L-H, Braud T, Zhou P, Wang L, Xu D, Lin Z, et al. All One Needs to Know about Metaverse: A Complete Survey on Technological Singularity, Virtual Ecosystem, and Research Agenda 2021.</w:t>
      </w:r>
    </w:p>
    <w:p w14:paraId="04187D6E"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[222]</w:t>
      </w:r>
      <w:r w:rsidRPr="003676D3">
        <w:rPr>
          <w:rFonts w:ascii="Times New Roman" w:hAnsi="Times New Roman" w:cs="Times New Roman"/>
          <w:noProof/>
          <w:sz w:val="20"/>
          <w:szCs w:val="24"/>
        </w:rPr>
        <w:tab/>
        <w:t>Zhang X, Huang X, Yin H, Huang J, Chai S, Xing B, et al. LLAKEP: A Low-Latency Authentication and Key Exchange Protocol for Energy Internet of Things in the Metaverse Era. Math 2022, Vol 10, Page 2545 2022;10:2545. https://doi.org/10.3390/MATH10142545.</w:t>
      </w:r>
    </w:p>
    <w:p w14:paraId="3A9096DD"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lastRenderedPageBreak/>
        <w:t>[223]</w:t>
      </w:r>
      <w:r w:rsidRPr="003676D3">
        <w:rPr>
          <w:rFonts w:ascii="Times New Roman" w:hAnsi="Times New Roman" w:cs="Times New Roman"/>
          <w:noProof/>
          <w:sz w:val="20"/>
          <w:szCs w:val="24"/>
        </w:rPr>
        <w:tab/>
        <w:t>Connor PM, Axon CJ, Xenias D, Balta-Ozkan N. Sources of risk and uncertainty in UK smart grid deployment: An expert stakeholder analysis. Energy 2018;161:1–9. https://doi.org/10.1016/J.ENERGY.2018.07.115.</w:t>
      </w:r>
    </w:p>
    <w:p w14:paraId="57F87513"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[224]</w:t>
      </w:r>
      <w:r w:rsidRPr="003676D3">
        <w:rPr>
          <w:rFonts w:ascii="Times New Roman" w:hAnsi="Times New Roman" w:cs="Times New Roman"/>
          <w:noProof/>
          <w:sz w:val="20"/>
          <w:szCs w:val="24"/>
        </w:rPr>
        <w:tab/>
        <w:t>Vaccaro A, Pisica I, Lai LL, Zobaa AF. A review of enabling methodologies for information processing in smart grids. Int J Electr Power Energy Syst 2019;107:516–22. https://doi.org/10.1016/J.IJEPES.2018.11.034.</w:t>
      </w:r>
    </w:p>
    <w:p w14:paraId="71B03D1B"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[225]</w:t>
      </w:r>
      <w:r w:rsidRPr="003676D3">
        <w:rPr>
          <w:rFonts w:ascii="Times New Roman" w:hAnsi="Times New Roman" w:cs="Times New Roman"/>
          <w:noProof/>
          <w:sz w:val="20"/>
          <w:szCs w:val="24"/>
        </w:rPr>
        <w:tab/>
        <w:t>Hu J, Vasilakos A V. Energy Big Data Analytics and Security: Challenges and Opportunities. IEEE Trans Smart Grid 2016;7:2423–36. https://doi.org/10.1109/TSG.2016.2563461.</w:t>
      </w:r>
    </w:p>
    <w:p w14:paraId="11252188"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[226]</w:t>
      </w:r>
      <w:r w:rsidRPr="003676D3">
        <w:rPr>
          <w:rFonts w:ascii="Times New Roman" w:hAnsi="Times New Roman" w:cs="Times New Roman"/>
          <w:noProof/>
          <w:sz w:val="20"/>
          <w:szCs w:val="24"/>
        </w:rPr>
        <w:tab/>
        <w:t>Tu C, He X, Shuai Z, Energy FJ-R and S, 2017  undefined. Big data issues in smart grid–A review. ElsevierC Tu, X He, Z Shuai, F JiangRenewable Sustain Energy Rev 2017•Elsevier 2017;79:1099–107. https://doi.org/10.1016/j.rser.2017.05.134.</w:t>
      </w:r>
    </w:p>
    <w:p w14:paraId="58842776"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[227]</w:t>
      </w:r>
      <w:r w:rsidRPr="003676D3">
        <w:rPr>
          <w:rFonts w:ascii="Times New Roman" w:hAnsi="Times New Roman" w:cs="Times New Roman"/>
          <w:noProof/>
          <w:sz w:val="20"/>
          <w:szCs w:val="24"/>
        </w:rPr>
        <w:tab/>
        <w:t>Dalipi F, … SY-C on FI of T, 2016  undefined. Security and privacy considerations for iot application on smart grids: Survey and research challenges. IeeexploreIeeeOrgF Dalipi, SY Yayilgan2016 IEEE 4th Int Conf Futur Internet of, 2016•ieeexploreIeeeOrg n.d.</w:t>
      </w:r>
    </w:p>
    <w:p w14:paraId="60EAB787"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[228]</w:t>
      </w:r>
      <w:r w:rsidRPr="003676D3">
        <w:rPr>
          <w:rFonts w:ascii="Times New Roman" w:hAnsi="Times New Roman" w:cs="Times New Roman"/>
          <w:noProof/>
          <w:sz w:val="20"/>
          <w:szCs w:val="24"/>
        </w:rPr>
        <w:tab/>
        <w:t>Shen H, Zhang M, Information JS-IT on, 2017  undefined. Efficient privacy-preserving cube-data aggregation scheme for smart grids. IeeexploreIeeeOrgH Shen, M Zhang, J ShenIEEE Trans Inf Forensics Secur 2017•ieeexploreIeeeOrg 2017;12:1369. https://doi.org/10.1109/TIFS.2017.2656475.</w:t>
      </w:r>
    </w:p>
    <w:p w14:paraId="278F91D5"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[229]</w:t>
      </w:r>
      <w:r w:rsidRPr="003676D3">
        <w:rPr>
          <w:rFonts w:ascii="Times New Roman" w:hAnsi="Times New Roman" w:cs="Times New Roman"/>
          <w:noProof/>
          <w:sz w:val="20"/>
          <w:szCs w:val="24"/>
        </w:rPr>
        <w:tab/>
        <w:t>Tahir M, Khan A, Hameed A, Masoom Alam M, Alam M, Khurram Khan M, et al. Towards a set aggregation-based data integrity scheme for smart grids. SpringerM Tahir, A Khan, A Hameed, M Alam, MK Khan, F JabeenAnnals Telecommun 2017•Springer 2017;72:551–61. https://doi.org/10.1007/s12243-017-0602-7.</w:t>
      </w:r>
    </w:p>
    <w:p w14:paraId="49DA5F69"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[230]</w:t>
      </w:r>
      <w:r w:rsidRPr="003676D3">
        <w:rPr>
          <w:rFonts w:ascii="Times New Roman" w:hAnsi="Times New Roman" w:cs="Times New Roman"/>
          <w:noProof/>
          <w:sz w:val="20"/>
          <w:szCs w:val="24"/>
        </w:rPr>
        <w:tab/>
        <w:t>Khan MW, Zeeshan M, Farid A, Usman M. QoS-aware traffic scheduling framework in cognitive radio based smart grids using multi-objective optimization of latency and throughput. Ad Hoc Networks 2020;97. https://doi.org/10.1016/J.ADHOC.2019.102020.</w:t>
      </w:r>
    </w:p>
    <w:p w14:paraId="598B207A"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[231]</w:t>
      </w:r>
      <w:r w:rsidRPr="003676D3">
        <w:rPr>
          <w:rFonts w:ascii="Times New Roman" w:hAnsi="Times New Roman" w:cs="Times New Roman"/>
          <w:noProof/>
          <w:sz w:val="20"/>
          <w:szCs w:val="24"/>
        </w:rPr>
        <w:tab/>
        <w:t>Wan Yen S, Morris S, Ezra MAG, Jun Huat T. Effect of smart meter data collection frequency in an early detection of shorter-duration voltage anomalies in smart grids. Int J Electr Power Energy Syst 2019;109:1–8. https://doi.org/10.1016/J.IJEPES.2019.01.039.</w:t>
      </w:r>
    </w:p>
    <w:p w14:paraId="4969C049"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[232]</w:t>
      </w:r>
      <w:r w:rsidRPr="003676D3">
        <w:rPr>
          <w:rFonts w:ascii="Times New Roman" w:hAnsi="Times New Roman" w:cs="Times New Roman"/>
          <w:noProof/>
          <w:sz w:val="20"/>
          <w:szCs w:val="24"/>
        </w:rPr>
        <w:tab/>
        <w:t>Zhao J, Zhou X, Li Y, Qian L. Optimizing Utility-Energy Efficiency for the Metaverse over Wireless Networks under Physical Layer Security. Proc Twenty-Fourth Int Symp Theory, Algorithmic Found Protoc Des Mob Networks Mob Comput 2023;23:250–9. https://doi.org/10.1145/3565287.3610271.</w:t>
      </w:r>
    </w:p>
    <w:p w14:paraId="790293CC"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szCs w:val="24"/>
        </w:rPr>
      </w:pPr>
      <w:r w:rsidRPr="003676D3">
        <w:rPr>
          <w:rFonts w:ascii="Times New Roman" w:hAnsi="Times New Roman" w:cs="Times New Roman"/>
          <w:noProof/>
          <w:sz w:val="20"/>
          <w:szCs w:val="24"/>
        </w:rPr>
        <w:t>[233]</w:t>
      </w:r>
      <w:r w:rsidRPr="003676D3">
        <w:rPr>
          <w:rFonts w:ascii="Times New Roman" w:hAnsi="Times New Roman" w:cs="Times New Roman"/>
          <w:noProof/>
          <w:sz w:val="20"/>
          <w:szCs w:val="24"/>
        </w:rPr>
        <w:tab/>
        <w:t>Zhang S, Lim WYB, Ng WC, Xiong Z, Niyato D, Shen X, et al. Towards Green Metaverse Networking Technologies, Advancements and Future Directions. ArXiv n.d.;abs/2211.03057. https://doi.org/10.48550/ARXIV.2211.03057.</w:t>
      </w:r>
    </w:p>
    <w:p w14:paraId="72ECECCC" w14:textId="77777777" w:rsidR="00C312C2" w:rsidRPr="003676D3" w:rsidRDefault="00C312C2" w:rsidP="003676D3">
      <w:pPr>
        <w:widowControl w:val="0"/>
        <w:autoSpaceDE w:val="0"/>
        <w:autoSpaceDN w:val="0"/>
        <w:adjustRightInd w:val="0"/>
        <w:spacing w:before="100" w:after="100" w:line="276" w:lineRule="auto"/>
        <w:ind w:left="640" w:hanging="640"/>
        <w:jc w:val="both"/>
        <w:rPr>
          <w:rFonts w:ascii="Times New Roman" w:hAnsi="Times New Roman" w:cs="Times New Roman"/>
          <w:noProof/>
          <w:sz w:val="20"/>
        </w:rPr>
      </w:pPr>
      <w:r w:rsidRPr="003676D3">
        <w:rPr>
          <w:rFonts w:ascii="Times New Roman" w:hAnsi="Times New Roman" w:cs="Times New Roman"/>
          <w:noProof/>
          <w:sz w:val="20"/>
          <w:szCs w:val="24"/>
        </w:rPr>
        <w:t>[234]</w:t>
      </w:r>
      <w:r w:rsidRPr="003676D3">
        <w:rPr>
          <w:rFonts w:ascii="Times New Roman" w:hAnsi="Times New Roman" w:cs="Times New Roman"/>
          <w:noProof/>
          <w:sz w:val="20"/>
          <w:szCs w:val="24"/>
        </w:rPr>
        <w:tab/>
        <w:t>Feltes JW, Gemmell BD, Retzmann D. From smart grid to super grid: Solutions with HVDC and FACTS for grid access of renewable energy sources. IEEE Power Energy Soc Gen Meet 2011. https://doi.org/10.1109/PES.2011.6039346.</w:t>
      </w:r>
    </w:p>
    <w:p w14:paraId="72C0C68A" w14:textId="517F4C3D" w:rsidR="00F6280D" w:rsidRPr="003676D3" w:rsidRDefault="000B698A" w:rsidP="003676D3">
      <w:pPr>
        <w:spacing w:before="100" w:beforeAutospacing="1" w:after="100" w:afterAutospacing="1" w:line="276" w:lineRule="auto"/>
        <w:jc w:val="both"/>
        <w:rPr>
          <w:rFonts w:ascii="Times New Roman" w:eastAsia="Times New Roman" w:hAnsi="Times New Roman" w:cs="Times New Roman"/>
          <w:sz w:val="24"/>
          <w:szCs w:val="24"/>
          <w:lang w:eastAsia="en-GB"/>
        </w:rPr>
      </w:pPr>
      <w:r w:rsidRPr="003676D3">
        <w:rPr>
          <w:rFonts w:ascii="Times New Roman" w:eastAsia="Times New Roman" w:hAnsi="Times New Roman" w:cs="Times New Roman"/>
          <w:sz w:val="24"/>
          <w:szCs w:val="24"/>
          <w:lang w:eastAsia="en-GB"/>
        </w:rPr>
        <w:fldChar w:fldCharType="end"/>
      </w:r>
    </w:p>
    <w:sectPr w:rsidR="00F6280D" w:rsidRPr="003676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ris SIL">
    <w:charset w:val="00"/>
    <w:family w:val="auto"/>
    <w:pitch w:val="variable"/>
    <w:sig w:usb0="A00002FF" w:usb1="5200E1FF" w:usb2="02000029" w:usb3="00000000" w:csb0="00000197"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52418"/>
    <w:multiLevelType w:val="multilevel"/>
    <w:tmpl w:val="ECE21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DC0DC7"/>
    <w:multiLevelType w:val="multilevel"/>
    <w:tmpl w:val="7E6E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67A29"/>
    <w:multiLevelType w:val="hybridMultilevel"/>
    <w:tmpl w:val="BC2A1B62"/>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32591E"/>
    <w:multiLevelType w:val="multilevel"/>
    <w:tmpl w:val="47CA9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9062291">
    <w:abstractNumId w:val="2"/>
  </w:num>
  <w:num w:numId="2" w16cid:durableId="1653830697">
    <w:abstractNumId w:val="1"/>
  </w:num>
  <w:num w:numId="3" w16cid:durableId="478422306">
    <w:abstractNumId w:val="3"/>
  </w:num>
  <w:num w:numId="4" w16cid:durableId="2137284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C42"/>
    <w:rsid w:val="00010FA7"/>
    <w:rsid w:val="000117E2"/>
    <w:rsid w:val="000128C6"/>
    <w:rsid w:val="00014F88"/>
    <w:rsid w:val="00031B50"/>
    <w:rsid w:val="00063128"/>
    <w:rsid w:val="00084F2D"/>
    <w:rsid w:val="00094C6B"/>
    <w:rsid w:val="000A625F"/>
    <w:rsid w:val="000B4329"/>
    <w:rsid w:val="000B698A"/>
    <w:rsid w:val="000C3976"/>
    <w:rsid w:val="000D2AF9"/>
    <w:rsid w:val="000D4F6A"/>
    <w:rsid w:val="000E1E44"/>
    <w:rsid w:val="000E2E14"/>
    <w:rsid w:val="000F345D"/>
    <w:rsid w:val="000F566C"/>
    <w:rsid w:val="000F72A6"/>
    <w:rsid w:val="00112021"/>
    <w:rsid w:val="001159D3"/>
    <w:rsid w:val="00115C7C"/>
    <w:rsid w:val="00116D42"/>
    <w:rsid w:val="00124498"/>
    <w:rsid w:val="00132774"/>
    <w:rsid w:val="0013551F"/>
    <w:rsid w:val="00136F81"/>
    <w:rsid w:val="00154005"/>
    <w:rsid w:val="00191B7D"/>
    <w:rsid w:val="00194683"/>
    <w:rsid w:val="001A1FD1"/>
    <w:rsid w:val="001A3314"/>
    <w:rsid w:val="001B0655"/>
    <w:rsid w:val="001B2B30"/>
    <w:rsid w:val="001C1047"/>
    <w:rsid w:val="001C43F6"/>
    <w:rsid w:val="001C72F0"/>
    <w:rsid w:val="001D24E5"/>
    <w:rsid w:val="001D3358"/>
    <w:rsid w:val="001D6C16"/>
    <w:rsid w:val="001E4225"/>
    <w:rsid w:val="001F368F"/>
    <w:rsid w:val="001F3859"/>
    <w:rsid w:val="001F6C3B"/>
    <w:rsid w:val="001F73AA"/>
    <w:rsid w:val="002006E2"/>
    <w:rsid w:val="002021FB"/>
    <w:rsid w:val="00203295"/>
    <w:rsid w:val="00204553"/>
    <w:rsid w:val="002065B7"/>
    <w:rsid w:val="0020701D"/>
    <w:rsid w:val="00212972"/>
    <w:rsid w:val="00213C51"/>
    <w:rsid w:val="00215127"/>
    <w:rsid w:val="002431D5"/>
    <w:rsid w:val="002469AE"/>
    <w:rsid w:val="00247091"/>
    <w:rsid w:val="0025124C"/>
    <w:rsid w:val="0025700A"/>
    <w:rsid w:val="00263862"/>
    <w:rsid w:val="00264D90"/>
    <w:rsid w:val="00271976"/>
    <w:rsid w:val="00273E87"/>
    <w:rsid w:val="00277732"/>
    <w:rsid w:val="00290CD3"/>
    <w:rsid w:val="002A3CCA"/>
    <w:rsid w:val="002A7177"/>
    <w:rsid w:val="002B3FEA"/>
    <w:rsid w:val="002B500E"/>
    <w:rsid w:val="002C2F33"/>
    <w:rsid w:val="002C502A"/>
    <w:rsid w:val="002D078A"/>
    <w:rsid w:val="002D2AB0"/>
    <w:rsid w:val="002D2D18"/>
    <w:rsid w:val="002E27BC"/>
    <w:rsid w:val="002E3991"/>
    <w:rsid w:val="002E7150"/>
    <w:rsid w:val="00306F95"/>
    <w:rsid w:val="00312D27"/>
    <w:rsid w:val="0036426F"/>
    <w:rsid w:val="003676D3"/>
    <w:rsid w:val="00370893"/>
    <w:rsid w:val="003725D5"/>
    <w:rsid w:val="00374E65"/>
    <w:rsid w:val="00391C26"/>
    <w:rsid w:val="00392332"/>
    <w:rsid w:val="00394175"/>
    <w:rsid w:val="00396778"/>
    <w:rsid w:val="003972F8"/>
    <w:rsid w:val="00397923"/>
    <w:rsid w:val="003A3E12"/>
    <w:rsid w:val="003A3F44"/>
    <w:rsid w:val="003A6D00"/>
    <w:rsid w:val="003B3E2E"/>
    <w:rsid w:val="003B6A5E"/>
    <w:rsid w:val="003B6E51"/>
    <w:rsid w:val="003C1117"/>
    <w:rsid w:val="003C42E4"/>
    <w:rsid w:val="003D155C"/>
    <w:rsid w:val="003D7C42"/>
    <w:rsid w:val="003E3F7F"/>
    <w:rsid w:val="003E60B6"/>
    <w:rsid w:val="003F10B0"/>
    <w:rsid w:val="003F2161"/>
    <w:rsid w:val="003F3758"/>
    <w:rsid w:val="003F705A"/>
    <w:rsid w:val="00401836"/>
    <w:rsid w:val="00402291"/>
    <w:rsid w:val="004039BC"/>
    <w:rsid w:val="00410C91"/>
    <w:rsid w:val="00412050"/>
    <w:rsid w:val="00416F82"/>
    <w:rsid w:val="0042604B"/>
    <w:rsid w:val="004311FD"/>
    <w:rsid w:val="004334E7"/>
    <w:rsid w:val="0044433A"/>
    <w:rsid w:val="00463AE9"/>
    <w:rsid w:val="004658A8"/>
    <w:rsid w:val="004666ED"/>
    <w:rsid w:val="00467564"/>
    <w:rsid w:val="0048335E"/>
    <w:rsid w:val="00484832"/>
    <w:rsid w:val="0049516E"/>
    <w:rsid w:val="004A15C3"/>
    <w:rsid w:val="004A3099"/>
    <w:rsid w:val="004B1918"/>
    <w:rsid w:val="004B4472"/>
    <w:rsid w:val="004C03B2"/>
    <w:rsid w:val="004C3AFC"/>
    <w:rsid w:val="004C6214"/>
    <w:rsid w:val="004C7490"/>
    <w:rsid w:val="004D2481"/>
    <w:rsid w:val="004D3404"/>
    <w:rsid w:val="004D391F"/>
    <w:rsid w:val="004D5C0E"/>
    <w:rsid w:val="004E60A3"/>
    <w:rsid w:val="004F1909"/>
    <w:rsid w:val="004F3BF9"/>
    <w:rsid w:val="004F4B0D"/>
    <w:rsid w:val="005032FB"/>
    <w:rsid w:val="005100F2"/>
    <w:rsid w:val="00515563"/>
    <w:rsid w:val="005321B4"/>
    <w:rsid w:val="00532943"/>
    <w:rsid w:val="00533EFA"/>
    <w:rsid w:val="00534673"/>
    <w:rsid w:val="00540A3F"/>
    <w:rsid w:val="00540AED"/>
    <w:rsid w:val="005418F0"/>
    <w:rsid w:val="00546C26"/>
    <w:rsid w:val="00546E52"/>
    <w:rsid w:val="00555017"/>
    <w:rsid w:val="00560079"/>
    <w:rsid w:val="00572084"/>
    <w:rsid w:val="005775B1"/>
    <w:rsid w:val="00585793"/>
    <w:rsid w:val="0058724B"/>
    <w:rsid w:val="0059174B"/>
    <w:rsid w:val="00594E60"/>
    <w:rsid w:val="005979C0"/>
    <w:rsid w:val="005A7176"/>
    <w:rsid w:val="005B0EA0"/>
    <w:rsid w:val="005D1AA4"/>
    <w:rsid w:val="005E2E9B"/>
    <w:rsid w:val="005E3DB3"/>
    <w:rsid w:val="005E4980"/>
    <w:rsid w:val="005F07A5"/>
    <w:rsid w:val="005F75B8"/>
    <w:rsid w:val="00606264"/>
    <w:rsid w:val="006140C0"/>
    <w:rsid w:val="00616FF6"/>
    <w:rsid w:val="00620BEE"/>
    <w:rsid w:val="00624232"/>
    <w:rsid w:val="00624D3A"/>
    <w:rsid w:val="0062682E"/>
    <w:rsid w:val="006326DB"/>
    <w:rsid w:val="00636FE7"/>
    <w:rsid w:val="00637133"/>
    <w:rsid w:val="0063796A"/>
    <w:rsid w:val="00644D33"/>
    <w:rsid w:val="00645477"/>
    <w:rsid w:val="00646382"/>
    <w:rsid w:val="0065459A"/>
    <w:rsid w:val="006628AC"/>
    <w:rsid w:val="006750D2"/>
    <w:rsid w:val="0067737A"/>
    <w:rsid w:val="00682E21"/>
    <w:rsid w:val="006907A2"/>
    <w:rsid w:val="006A6F94"/>
    <w:rsid w:val="006A7299"/>
    <w:rsid w:val="006C0EE1"/>
    <w:rsid w:val="006C31FB"/>
    <w:rsid w:val="006D62F8"/>
    <w:rsid w:val="006D6D2E"/>
    <w:rsid w:val="006E12B0"/>
    <w:rsid w:val="006E1DBB"/>
    <w:rsid w:val="006E6D67"/>
    <w:rsid w:val="006F37A0"/>
    <w:rsid w:val="00705F21"/>
    <w:rsid w:val="00724DEC"/>
    <w:rsid w:val="00724E60"/>
    <w:rsid w:val="007345F4"/>
    <w:rsid w:val="00747DDB"/>
    <w:rsid w:val="0075169D"/>
    <w:rsid w:val="0075375C"/>
    <w:rsid w:val="00754013"/>
    <w:rsid w:val="00756351"/>
    <w:rsid w:val="00763330"/>
    <w:rsid w:val="007644A4"/>
    <w:rsid w:val="00764C60"/>
    <w:rsid w:val="00765BD2"/>
    <w:rsid w:val="0078669F"/>
    <w:rsid w:val="00787F42"/>
    <w:rsid w:val="00790A3B"/>
    <w:rsid w:val="0079227B"/>
    <w:rsid w:val="007C4B47"/>
    <w:rsid w:val="007C7973"/>
    <w:rsid w:val="007D1796"/>
    <w:rsid w:val="007D65CB"/>
    <w:rsid w:val="007E257C"/>
    <w:rsid w:val="00803383"/>
    <w:rsid w:val="0080479B"/>
    <w:rsid w:val="008065B6"/>
    <w:rsid w:val="0081302A"/>
    <w:rsid w:val="00820DC7"/>
    <w:rsid w:val="00821E90"/>
    <w:rsid w:val="0082783E"/>
    <w:rsid w:val="008356FD"/>
    <w:rsid w:val="00836A62"/>
    <w:rsid w:val="00836FE5"/>
    <w:rsid w:val="0084199D"/>
    <w:rsid w:val="00842807"/>
    <w:rsid w:val="00845D6E"/>
    <w:rsid w:val="008473C5"/>
    <w:rsid w:val="00847F5A"/>
    <w:rsid w:val="0085289C"/>
    <w:rsid w:val="008538EA"/>
    <w:rsid w:val="00871B92"/>
    <w:rsid w:val="00886C5A"/>
    <w:rsid w:val="00892BF8"/>
    <w:rsid w:val="00895F20"/>
    <w:rsid w:val="00896CD2"/>
    <w:rsid w:val="008C530B"/>
    <w:rsid w:val="008D1E2C"/>
    <w:rsid w:val="008D411B"/>
    <w:rsid w:val="008D5D6E"/>
    <w:rsid w:val="008E0274"/>
    <w:rsid w:val="008E2CC7"/>
    <w:rsid w:val="008E3C66"/>
    <w:rsid w:val="008E437B"/>
    <w:rsid w:val="008E7079"/>
    <w:rsid w:val="008F200C"/>
    <w:rsid w:val="008F63AC"/>
    <w:rsid w:val="008F63C1"/>
    <w:rsid w:val="0090025B"/>
    <w:rsid w:val="00900F10"/>
    <w:rsid w:val="00906555"/>
    <w:rsid w:val="00907D92"/>
    <w:rsid w:val="00910AA2"/>
    <w:rsid w:val="009122EE"/>
    <w:rsid w:val="0092012F"/>
    <w:rsid w:val="009248F7"/>
    <w:rsid w:val="00926883"/>
    <w:rsid w:val="00940258"/>
    <w:rsid w:val="00944A26"/>
    <w:rsid w:val="009573AC"/>
    <w:rsid w:val="00970A38"/>
    <w:rsid w:val="00971EC8"/>
    <w:rsid w:val="00972BF0"/>
    <w:rsid w:val="009837FA"/>
    <w:rsid w:val="00983CE6"/>
    <w:rsid w:val="0098538F"/>
    <w:rsid w:val="00993A45"/>
    <w:rsid w:val="00996978"/>
    <w:rsid w:val="009A0FCC"/>
    <w:rsid w:val="009B79FF"/>
    <w:rsid w:val="009D0E7D"/>
    <w:rsid w:val="009E094F"/>
    <w:rsid w:val="00A10F90"/>
    <w:rsid w:val="00A320EA"/>
    <w:rsid w:val="00A33A51"/>
    <w:rsid w:val="00A41422"/>
    <w:rsid w:val="00A415BF"/>
    <w:rsid w:val="00A556F5"/>
    <w:rsid w:val="00A705BC"/>
    <w:rsid w:val="00A715A2"/>
    <w:rsid w:val="00A75C9F"/>
    <w:rsid w:val="00A8492C"/>
    <w:rsid w:val="00A86A12"/>
    <w:rsid w:val="00A875CF"/>
    <w:rsid w:val="00A95DD0"/>
    <w:rsid w:val="00A9612E"/>
    <w:rsid w:val="00AA2AD6"/>
    <w:rsid w:val="00AA55C8"/>
    <w:rsid w:val="00AA5672"/>
    <w:rsid w:val="00AB7383"/>
    <w:rsid w:val="00AC16AF"/>
    <w:rsid w:val="00AE5338"/>
    <w:rsid w:val="00AE5731"/>
    <w:rsid w:val="00AE616E"/>
    <w:rsid w:val="00AF7C09"/>
    <w:rsid w:val="00B022C8"/>
    <w:rsid w:val="00B06EBA"/>
    <w:rsid w:val="00B17738"/>
    <w:rsid w:val="00B25B0B"/>
    <w:rsid w:val="00B308EE"/>
    <w:rsid w:val="00B34A38"/>
    <w:rsid w:val="00B53658"/>
    <w:rsid w:val="00B53DCE"/>
    <w:rsid w:val="00B55F4F"/>
    <w:rsid w:val="00B64064"/>
    <w:rsid w:val="00B74F95"/>
    <w:rsid w:val="00B75CD2"/>
    <w:rsid w:val="00B76FB3"/>
    <w:rsid w:val="00BA2B35"/>
    <w:rsid w:val="00BA4352"/>
    <w:rsid w:val="00BB6CD6"/>
    <w:rsid w:val="00BE2F97"/>
    <w:rsid w:val="00C01A4B"/>
    <w:rsid w:val="00C1402C"/>
    <w:rsid w:val="00C149BC"/>
    <w:rsid w:val="00C2295E"/>
    <w:rsid w:val="00C25A8C"/>
    <w:rsid w:val="00C312C2"/>
    <w:rsid w:val="00C3294E"/>
    <w:rsid w:val="00C3384E"/>
    <w:rsid w:val="00C3521D"/>
    <w:rsid w:val="00C6439B"/>
    <w:rsid w:val="00C81155"/>
    <w:rsid w:val="00C943BE"/>
    <w:rsid w:val="00C97DFA"/>
    <w:rsid w:val="00CA6EB0"/>
    <w:rsid w:val="00CC49AF"/>
    <w:rsid w:val="00CC5458"/>
    <w:rsid w:val="00CD1B25"/>
    <w:rsid w:val="00CD3EC5"/>
    <w:rsid w:val="00CD7701"/>
    <w:rsid w:val="00CE3ABA"/>
    <w:rsid w:val="00CE6578"/>
    <w:rsid w:val="00CF0477"/>
    <w:rsid w:val="00D01B4B"/>
    <w:rsid w:val="00D20DB7"/>
    <w:rsid w:val="00D2297B"/>
    <w:rsid w:val="00D26EA3"/>
    <w:rsid w:val="00D27EB7"/>
    <w:rsid w:val="00D33CAB"/>
    <w:rsid w:val="00D36763"/>
    <w:rsid w:val="00D42231"/>
    <w:rsid w:val="00D76519"/>
    <w:rsid w:val="00D77A74"/>
    <w:rsid w:val="00D925FE"/>
    <w:rsid w:val="00DA6D8E"/>
    <w:rsid w:val="00DA79DF"/>
    <w:rsid w:val="00DB03C6"/>
    <w:rsid w:val="00DB4A86"/>
    <w:rsid w:val="00DC3D82"/>
    <w:rsid w:val="00DC4CC0"/>
    <w:rsid w:val="00DD0FB4"/>
    <w:rsid w:val="00DF217F"/>
    <w:rsid w:val="00E00505"/>
    <w:rsid w:val="00E02AA5"/>
    <w:rsid w:val="00E13228"/>
    <w:rsid w:val="00E16FDA"/>
    <w:rsid w:val="00E1734C"/>
    <w:rsid w:val="00E35DE7"/>
    <w:rsid w:val="00E434A8"/>
    <w:rsid w:val="00E44652"/>
    <w:rsid w:val="00E5698E"/>
    <w:rsid w:val="00E6130F"/>
    <w:rsid w:val="00E7634E"/>
    <w:rsid w:val="00EA0FF6"/>
    <w:rsid w:val="00EB2B54"/>
    <w:rsid w:val="00EB2F53"/>
    <w:rsid w:val="00EB5C74"/>
    <w:rsid w:val="00EB65AE"/>
    <w:rsid w:val="00EC029C"/>
    <w:rsid w:val="00EC0D66"/>
    <w:rsid w:val="00ED5CE9"/>
    <w:rsid w:val="00EE6812"/>
    <w:rsid w:val="00EE7B24"/>
    <w:rsid w:val="00EF6E48"/>
    <w:rsid w:val="00F00AF1"/>
    <w:rsid w:val="00F10D5E"/>
    <w:rsid w:val="00F11DF5"/>
    <w:rsid w:val="00F236A3"/>
    <w:rsid w:val="00F24BFF"/>
    <w:rsid w:val="00F25854"/>
    <w:rsid w:val="00F31851"/>
    <w:rsid w:val="00F423F9"/>
    <w:rsid w:val="00F442D5"/>
    <w:rsid w:val="00F44B4B"/>
    <w:rsid w:val="00F44C32"/>
    <w:rsid w:val="00F6263C"/>
    <w:rsid w:val="00F6280D"/>
    <w:rsid w:val="00F70BE1"/>
    <w:rsid w:val="00F80674"/>
    <w:rsid w:val="00F86D67"/>
    <w:rsid w:val="00F90B76"/>
    <w:rsid w:val="00F95736"/>
    <w:rsid w:val="00F96771"/>
    <w:rsid w:val="00FA4AC4"/>
    <w:rsid w:val="00FB1CA5"/>
    <w:rsid w:val="00FB400D"/>
    <w:rsid w:val="00FD60C6"/>
    <w:rsid w:val="00FE1F3B"/>
    <w:rsid w:val="00FE26D6"/>
    <w:rsid w:val="00FE67FE"/>
    <w:rsid w:val="00FE7E55"/>
    <w:rsid w:val="00FF5E10"/>
    <w:rsid w:val="00FF684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8AA0C"/>
  <w15:chartTrackingRefBased/>
  <w15:docId w15:val="{E8E0F971-1FA4-4FCC-9F62-CF9B05B53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40A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E65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F21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59A"/>
    <w:pPr>
      <w:ind w:left="720"/>
      <w:contextualSpacing/>
    </w:pPr>
  </w:style>
  <w:style w:type="table" w:styleId="TableGrid">
    <w:name w:val="Table Grid"/>
    <w:basedOn w:val="TableNormal"/>
    <w:uiPriority w:val="39"/>
    <w:rsid w:val="00790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F63AC"/>
    <w:rPr>
      <w:sz w:val="16"/>
      <w:szCs w:val="16"/>
    </w:rPr>
  </w:style>
  <w:style w:type="paragraph" w:styleId="CommentText">
    <w:name w:val="annotation text"/>
    <w:basedOn w:val="Normal"/>
    <w:link w:val="CommentTextChar"/>
    <w:uiPriority w:val="99"/>
    <w:semiHidden/>
    <w:unhideWhenUsed/>
    <w:rsid w:val="008F63AC"/>
    <w:pPr>
      <w:spacing w:line="240" w:lineRule="auto"/>
    </w:pPr>
    <w:rPr>
      <w:sz w:val="20"/>
      <w:szCs w:val="20"/>
    </w:rPr>
  </w:style>
  <w:style w:type="character" w:customStyle="1" w:styleId="CommentTextChar">
    <w:name w:val="Comment Text Char"/>
    <w:basedOn w:val="DefaultParagraphFont"/>
    <w:link w:val="CommentText"/>
    <w:uiPriority w:val="99"/>
    <w:semiHidden/>
    <w:rsid w:val="008F63AC"/>
    <w:rPr>
      <w:sz w:val="20"/>
      <w:szCs w:val="20"/>
    </w:rPr>
  </w:style>
  <w:style w:type="paragraph" w:styleId="CommentSubject">
    <w:name w:val="annotation subject"/>
    <w:basedOn w:val="CommentText"/>
    <w:next w:val="CommentText"/>
    <w:link w:val="CommentSubjectChar"/>
    <w:uiPriority w:val="99"/>
    <w:semiHidden/>
    <w:unhideWhenUsed/>
    <w:rsid w:val="008F63AC"/>
    <w:rPr>
      <w:b/>
      <w:bCs/>
    </w:rPr>
  </w:style>
  <w:style w:type="character" w:customStyle="1" w:styleId="CommentSubjectChar">
    <w:name w:val="Comment Subject Char"/>
    <w:basedOn w:val="CommentTextChar"/>
    <w:link w:val="CommentSubject"/>
    <w:uiPriority w:val="99"/>
    <w:semiHidden/>
    <w:rsid w:val="008F63AC"/>
    <w:rPr>
      <w:b/>
      <w:bCs/>
      <w:sz w:val="20"/>
      <w:szCs w:val="20"/>
    </w:rPr>
  </w:style>
  <w:style w:type="paragraph" w:styleId="BalloonText">
    <w:name w:val="Balloon Text"/>
    <w:basedOn w:val="Normal"/>
    <w:link w:val="BalloonTextChar"/>
    <w:uiPriority w:val="99"/>
    <w:semiHidden/>
    <w:unhideWhenUsed/>
    <w:rsid w:val="008F63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63AC"/>
    <w:rPr>
      <w:rFonts w:ascii="Segoe UI" w:hAnsi="Segoe UI" w:cs="Segoe UI"/>
      <w:sz w:val="18"/>
      <w:szCs w:val="18"/>
    </w:rPr>
  </w:style>
  <w:style w:type="paragraph" w:customStyle="1" w:styleId="Default">
    <w:name w:val="Default"/>
    <w:rsid w:val="008F63AC"/>
    <w:pPr>
      <w:autoSpaceDE w:val="0"/>
      <w:autoSpaceDN w:val="0"/>
      <w:adjustRightInd w:val="0"/>
      <w:spacing w:after="0" w:line="240" w:lineRule="auto"/>
    </w:pPr>
    <w:rPr>
      <w:rFonts w:ascii="Charis SIL" w:hAnsi="Charis SIL" w:cs="Charis SIL"/>
      <w:color w:val="000000"/>
      <w:sz w:val="24"/>
      <w:szCs w:val="24"/>
    </w:rPr>
  </w:style>
  <w:style w:type="character" w:customStyle="1" w:styleId="Heading1Char">
    <w:name w:val="Heading 1 Char"/>
    <w:basedOn w:val="DefaultParagraphFont"/>
    <w:link w:val="Heading1"/>
    <w:uiPriority w:val="9"/>
    <w:rsid w:val="00540AED"/>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540A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6130F"/>
    <w:rPr>
      <w:i/>
      <w:iCs/>
    </w:rPr>
  </w:style>
  <w:style w:type="character" w:styleId="Hyperlink">
    <w:name w:val="Hyperlink"/>
    <w:basedOn w:val="DefaultParagraphFont"/>
    <w:uiPriority w:val="99"/>
    <w:unhideWhenUsed/>
    <w:rsid w:val="00E6130F"/>
    <w:rPr>
      <w:color w:val="0000FF"/>
      <w:u w:val="single"/>
    </w:rPr>
  </w:style>
  <w:style w:type="character" w:customStyle="1" w:styleId="inlineblock">
    <w:name w:val="inlineblock"/>
    <w:basedOn w:val="DefaultParagraphFont"/>
    <w:rsid w:val="003F705A"/>
  </w:style>
  <w:style w:type="character" w:customStyle="1" w:styleId="html-italic">
    <w:name w:val="html-italic"/>
    <w:basedOn w:val="DefaultParagraphFont"/>
    <w:rsid w:val="00BB6CD6"/>
  </w:style>
  <w:style w:type="character" w:customStyle="1" w:styleId="title-text">
    <w:name w:val="title-text"/>
    <w:basedOn w:val="DefaultParagraphFont"/>
    <w:rsid w:val="00534673"/>
  </w:style>
  <w:style w:type="character" w:customStyle="1" w:styleId="reference">
    <w:name w:val="reference"/>
    <w:basedOn w:val="DefaultParagraphFont"/>
    <w:rsid w:val="00D33CAB"/>
  </w:style>
  <w:style w:type="character" w:customStyle="1" w:styleId="anchor-text">
    <w:name w:val="anchor-text"/>
    <w:basedOn w:val="DefaultParagraphFont"/>
    <w:rsid w:val="00D33CAB"/>
  </w:style>
  <w:style w:type="character" w:customStyle="1" w:styleId="label">
    <w:name w:val="label"/>
    <w:basedOn w:val="DefaultParagraphFont"/>
    <w:rsid w:val="00D33CAB"/>
  </w:style>
  <w:style w:type="character" w:customStyle="1" w:styleId="sr-only">
    <w:name w:val="sr-only"/>
    <w:basedOn w:val="DefaultParagraphFont"/>
    <w:rsid w:val="00394175"/>
  </w:style>
  <w:style w:type="character" w:customStyle="1" w:styleId="Heading2Char">
    <w:name w:val="Heading 2 Char"/>
    <w:basedOn w:val="DefaultParagraphFont"/>
    <w:link w:val="Heading2"/>
    <w:uiPriority w:val="9"/>
    <w:rsid w:val="00CE6578"/>
    <w:rPr>
      <w:rFonts w:asciiTheme="majorHAnsi" w:eastAsiaTheme="majorEastAsia" w:hAnsiTheme="majorHAnsi" w:cstheme="majorBidi"/>
      <w:color w:val="2E74B5" w:themeColor="accent1" w:themeShade="BF"/>
      <w:sz w:val="26"/>
      <w:szCs w:val="26"/>
    </w:rPr>
  </w:style>
  <w:style w:type="character" w:customStyle="1" w:styleId="inline-flex">
    <w:name w:val="inline-flex"/>
    <w:basedOn w:val="DefaultParagraphFont"/>
    <w:rsid w:val="0062682E"/>
  </w:style>
  <w:style w:type="paragraph" w:customStyle="1" w:styleId="text-green-800">
    <w:name w:val="text-green-800"/>
    <w:basedOn w:val="Normal"/>
    <w:rsid w:val="0062682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ext-gray-400">
    <w:name w:val="text-gray-400"/>
    <w:basedOn w:val="Normal"/>
    <w:rsid w:val="0062682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r-2">
    <w:name w:val="mr-2"/>
    <w:basedOn w:val="Normal"/>
    <w:rsid w:val="0062682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DF217F"/>
    <w:rPr>
      <w:rFonts w:asciiTheme="majorHAnsi" w:eastAsiaTheme="majorEastAsia" w:hAnsiTheme="majorHAnsi" w:cstheme="majorBidi"/>
      <w:color w:val="1F4D78" w:themeColor="accent1" w:themeShade="7F"/>
      <w:sz w:val="24"/>
      <w:szCs w:val="24"/>
    </w:rPr>
  </w:style>
  <w:style w:type="character" w:customStyle="1" w:styleId="gspdot">
    <w:name w:val="gs_pdot"/>
    <w:basedOn w:val="DefaultParagraphFont"/>
    <w:rsid w:val="00DF217F"/>
  </w:style>
  <w:style w:type="character" w:customStyle="1" w:styleId="gsctg2">
    <w:name w:val="gs_ctg2"/>
    <w:basedOn w:val="DefaultParagraphFont"/>
    <w:rsid w:val="00F31851"/>
  </w:style>
  <w:style w:type="paragraph" w:styleId="Subtitle">
    <w:name w:val="Subtitle"/>
    <w:basedOn w:val="Normal"/>
    <w:next w:val="Normal"/>
    <w:link w:val="SubtitleChar"/>
    <w:uiPriority w:val="11"/>
    <w:qFormat/>
    <w:rsid w:val="0037089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70893"/>
    <w:rPr>
      <w:rFonts w:eastAsiaTheme="minorEastAsia"/>
      <w:color w:val="5A5A5A" w:themeColor="text1" w:themeTint="A5"/>
      <w:spacing w:val="15"/>
    </w:rPr>
  </w:style>
  <w:style w:type="paragraph" w:styleId="Title">
    <w:name w:val="Title"/>
    <w:basedOn w:val="Normal"/>
    <w:next w:val="Normal"/>
    <w:link w:val="TitleChar"/>
    <w:uiPriority w:val="10"/>
    <w:qFormat/>
    <w:rsid w:val="008E43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37B"/>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6C31FB"/>
    <w:pPr>
      <w:spacing w:after="200" w:line="240" w:lineRule="auto"/>
    </w:pPr>
    <w:rPr>
      <w:i/>
      <w:iCs/>
      <w:color w:val="44546A" w:themeColor="text2"/>
      <w:sz w:val="18"/>
      <w:szCs w:val="18"/>
    </w:rPr>
  </w:style>
  <w:style w:type="paragraph" w:styleId="NoSpacing">
    <w:name w:val="No Spacing"/>
    <w:uiPriority w:val="1"/>
    <w:qFormat/>
    <w:rsid w:val="006326DB"/>
    <w:pPr>
      <w:spacing w:after="0" w:line="240" w:lineRule="auto"/>
    </w:pPr>
  </w:style>
  <w:style w:type="table" w:styleId="GridTable4-Accent5">
    <w:name w:val="Grid Table 4 Accent 5"/>
    <w:basedOn w:val="TableNormal"/>
    <w:uiPriority w:val="49"/>
    <w:rsid w:val="00CC49A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1">
    <w:name w:val="Grid Table 4 Accent 1"/>
    <w:basedOn w:val="TableNormal"/>
    <w:uiPriority w:val="49"/>
    <w:rsid w:val="00CC49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1703">
      <w:bodyDiv w:val="1"/>
      <w:marLeft w:val="0"/>
      <w:marRight w:val="0"/>
      <w:marTop w:val="0"/>
      <w:marBottom w:val="0"/>
      <w:divBdr>
        <w:top w:val="none" w:sz="0" w:space="0" w:color="auto"/>
        <w:left w:val="none" w:sz="0" w:space="0" w:color="auto"/>
        <w:bottom w:val="none" w:sz="0" w:space="0" w:color="auto"/>
        <w:right w:val="none" w:sz="0" w:space="0" w:color="auto"/>
      </w:divBdr>
    </w:div>
    <w:div w:id="7220407">
      <w:bodyDiv w:val="1"/>
      <w:marLeft w:val="0"/>
      <w:marRight w:val="0"/>
      <w:marTop w:val="0"/>
      <w:marBottom w:val="0"/>
      <w:divBdr>
        <w:top w:val="none" w:sz="0" w:space="0" w:color="auto"/>
        <w:left w:val="none" w:sz="0" w:space="0" w:color="auto"/>
        <w:bottom w:val="none" w:sz="0" w:space="0" w:color="auto"/>
        <w:right w:val="none" w:sz="0" w:space="0" w:color="auto"/>
      </w:divBdr>
      <w:divsChild>
        <w:div w:id="799881837">
          <w:marLeft w:val="0"/>
          <w:marRight w:val="0"/>
          <w:marTop w:val="0"/>
          <w:marBottom w:val="0"/>
          <w:divBdr>
            <w:top w:val="none" w:sz="0" w:space="0" w:color="auto"/>
            <w:left w:val="none" w:sz="0" w:space="0" w:color="auto"/>
            <w:bottom w:val="none" w:sz="0" w:space="0" w:color="auto"/>
            <w:right w:val="none" w:sz="0" w:space="0" w:color="auto"/>
          </w:divBdr>
          <w:divsChild>
            <w:div w:id="1330519303">
              <w:marLeft w:val="0"/>
              <w:marRight w:val="0"/>
              <w:marTop w:val="0"/>
              <w:marBottom w:val="0"/>
              <w:divBdr>
                <w:top w:val="none" w:sz="0" w:space="0" w:color="auto"/>
                <w:left w:val="none" w:sz="0" w:space="0" w:color="auto"/>
                <w:bottom w:val="none" w:sz="0" w:space="0" w:color="auto"/>
                <w:right w:val="none" w:sz="0" w:space="0" w:color="auto"/>
              </w:divBdr>
            </w:div>
          </w:divsChild>
        </w:div>
        <w:div w:id="2065324162">
          <w:marLeft w:val="0"/>
          <w:marRight w:val="0"/>
          <w:marTop w:val="0"/>
          <w:marBottom w:val="0"/>
          <w:divBdr>
            <w:top w:val="none" w:sz="0" w:space="0" w:color="auto"/>
            <w:left w:val="none" w:sz="0" w:space="0" w:color="auto"/>
            <w:bottom w:val="none" w:sz="0" w:space="0" w:color="auto"/>
            <w:right w:val="none" w:sz="0" w:space="0" w:color="auto"/>
          </w:divBdr>
        </w:div>
        <w:div w:id="330062974">
          <w:marLeft w:val="0"/>
          <w:marRight w:val="0"/>
          <w:marTop w:val="0"/>
          <w:marBottom w:val="0"/>
          <w:divBdr>
            <w:top w:val="none" w:sz="0" w:space="0" w:color="auto"/>
            <w:left w:val="none" w:sz="0" w:space="0" w:color="auto"/>
            <w:bottom w:val="none" w:sz="0" w:space="0" w:color="auto"/>
            <w:right w:val="none" w:sz="0" w:space="0" w:color="auto"/>
          </w:divBdr>
        </w:div>
      </w:divsChild>
    </w:div>
    <w:div w:id="8652482">
      <w:bodyDiv w:val="1"/>
      <w:marLeft w:val="0"/>
      <w:marRight w:val="0"/>
      <w:marTop w:val="0"/>
      <w:marBottom w:val="0"/>
      <w:divBdr>
        <w:top w:val="none" w:sz="0" w:space="0" w:color="auto"/>
        <w:left w:val="none" w:sz="0" w:space="0" w:color="auto"/>
        <w:bottom w:val="none" w:sz="0" w:space="0" w:color="auto"/>
        <w:right w:val="none" w:sz="0" w:space="0" w:color="auto"/>
      </w:divBdr>
    </w:div>
    <w:div w:id="20283031">
      <w:bodyDiv w:val="1"/>
      <w:marLeft w:val="0"/>
      <w:marRight w:val="0"/>
      <w:marTop w:val="0"/>
      <w:marBottom w:val="0"/>
      <w:divBdr>
        <w:top w:val="none" w:sz="0" w:space="0" w:color="auto"/>
        <w:left w:val="none" w:sz="0" w:space="0" w:color="auto"/>
        <w:bottom w:val="none" w:sz="0" w:space="0" w:color="auto"/>
        <w:right w:val="none" w:sz="0" w:space="0" w:color="auto"/>
      </w:divBdr>
    </w:div>
    <w:div w:id="40596862">
      <w:bodyDiv w:val="1"/>
      <w:marLeft w:val="0"/>
      <w:marRight w:val="0"/>
      <w:marTop w:val="0"/>
      <w:marBottom w:val="0"/>
      <w:divBdr>
        <w:top w:val="none" w:sz="0" w:space="0" w:color="auto"/>
        <w:left w:val="none" w:sz="0" w:space="0" w:color="auto"/>
        <w:bottom w:val="none" w:sz="0" w:space="0" w:color="auto"/>
        <w:right w:val="none" w:sz="0" w:space="0" w:color="auto"/>
      </w:divBdr>
      <w:divsChild>
        <w:div w:id="265424253">
          <w:marLeft w:val="0"/>
          <w:marRight w:val="0"/>
          <w:marTop w:val="0"/>
          <w:marBottom w:val="0"/>
          <w:divBdr>
            <w:top w:val="none" w:sz="0" w:space="0" w:color="auto"/>
            <w:left w:val="none" w:sz="0" w:space="0" w:color="auto"/>
            <w:bottom w:val="none" w:sz="0" w:space="0" w:color="auto"/>
            <w:right w:val="none" w:sz="0" w:space="0" w:color="auto"/>
          </w:divBdr>
          <w:divsChild>
            <w:div w:id="1439762496">
              <w:marLeft w:val="0"/>
              <w:marRight w:val="0"/>
              <w:marTop w:val="0"/>
              <w:marBottom w:val="0"/>
              <w:divBdr>
                <w:top w:val="none" w:sz="0" w:space="0" w:color="auto"/>
                <w:left w:val="none" w:sz="0" w:space="0" w:color="auto"/>
                <w:bottom w:val="none" w:sz="0" w:space="0" w:color="auto"/>
                <w:right w:val="none" w:sz="0" w:space="0" w:color="auto"/>
              </w:divBdr>
            </w:div>
          </w:divsChild>
        </w:div>
        <w:div w:id="1931697363">
          <w:marLeft w:val="0"/>
          <w:marRight w:val="0"/>
          <w:marTop w:val="0"/>
          <w:marBottom w:val="0"/>
          <w:divBdr>
            <w:top w:val="none" w:sz="0" w:space="0" w:color="auto"/>
            <w:left w:val="none" w:sz="0" w:space="0" w:color="auto"/>
            <w:bottom w:val="none" w:sz="0" w:space="0" w:color="auto"/>
            <w:right w:val="none" w:sz="0" w:space="0" w:color="auto"/>
          </w:divBdr>
        </w:div>
        <w:div w:id="618294376">
          <w:marLeft w:val="0"/>
          <w:marRight w:val="0"/>
          <w:marTop w:val="0"/>
          <w:marBottom w:val="0"/>
          <w:divBdr>
            <w:top w:val="none" w:sz="0" w:space="0" w:color="auto"/>
            <w:left w:val="none" w:sz="0" w:space="0" w:color="auto"/>
            <w:bottom w:val="none" w:sz="0" w:space="0" w:color="auto"/>
            <w:right w:val="none" w:sz="0" w:space="0" w:color="auto"/>
          </w:divBdr>
        </w:div>
      </w:divsChild>
    </w:div>
    <w:div w:id="44108648">
      <w:bodyDiv w:val="1"/>
      <w:marLeft w:val="0"/>
      <w:marRight w:val="0"/>
      <w:marTop w:val="0"/>
      <w:marBottom w:val="0"/>
      <w:divBdr>
        <w:top w:val="none" w:sz="0" w:space="0" w:color="auto"/>
        <w:left w:val="none" w:sz="0" w:space="0" w:color="auto"/>
        <w:bottom w:val="none" w:sz="0" w:space="0" w:color="auto"/>
        <w:right w:val="none" w:sz="0" w:space="0" w:color="auto"/>
      </w:divBdr>
      <w:divsChild>
        <w:div w:id="1088113966">
          <w:marLeft w:val="0"/>
          <w:marRight w:val="0"/>
          <w:marTop w:val="0"/>
          <w:marBottom w:val="0"/>
          <w:divBdr>
            <w:top w:val="none" w:sz="0" w:space="0" w:color="auto"/>
            <w:left w:val="none" w:sz="0" w:space="0" w:color="auto"/>
            <w:bottom w:val="none" w:sz="0" w:space="0" w:color="auto"/>
            <w:right w:val="none" w:sz="0" w:space="0" w:color="auto"/>
          </w:divBdr>
          <w:divsChild>
            <w:div w:id="1769109529">
              <w:marLeft w:val="0"/>
              <w:marRight w:val="0"/>
              <w:marTop w:val="0"/>
              <w:marBottom w:val="0"/>
              <w:divBdr>
                <w:top w:val="none" w:sz="0" w:space="0" w:color="auto"/>
                <w:left w:val="none" w:sz="0" w:space="0" w:color="auto"/>
                <w:bottom w:val="none" w:sz="0" w:space="0" w:color="auto"/>
                <w:right w:val="none" w:sz="0" w:space="0" w:color="auto"/>
              </w:divBdr>
            </w:div>
            <w:div w:id="3271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33755">
      <w:bodyDiv w:val="1"/>
      <w:marLeft w:val="0"/>
      <w:marRight w:val="0"/>
      <w:marTop w:val="0"/>
      <w:marBottom w:val="0"/>
      <w:divBdr>
        <w:top w:val="none" w:sz="0" w:space="0" w:color="auto"/>
        <w:left w:val="none" w:sz="0" w:space="0" w:color="auto"/>
        <w:bottom w:val="none" w:sz="0" w:space="0" w:color="auto"/>
        <w:right w:val="none" w:sz="0" w:space="0" w:color="auto"/>
      </w:divBdr>
    </w:div>
    <w:div w:id="61608703">
      <w:bodyDiv w:val="1"/>
      <w:marLeft w:val="0"/>
      <w:marRight w:val="0"/>
      <w:marTop w:val="0"/>
      <w:marBottom w:val="0"/>
      <w:divBdr>
        <w:top w:val="none" w:sz="0" w:space="0" w:color="auto"/>
        <w:left w:val="none" w:sz="0" w:space="0" w:color="auto"/>
        <w:bottom w:val="none" w:sz="0" w:space="0" w:color="auto"/>
        <w:right w:val="none" w:sz="0" w:space="0" w:color="auto"/>
      </w:divBdr>
    </w:div>
    <w:div w:id="82383224">
      <w:bodyDiv w:val="1"/>
      <w:marLeft w:val="0"/>
      <w:marRight w:val="0"/>
      <w:marTop w:val="0"/>
      <w:marBottom w:val="0"/>
      <w:divBdr>
        <w:top w:val="none" w:sz="0" w:space="0" w:color="auto"/>
        <w:left w:val="none" w:sz="0" w:space="0" w:color="auto"/>
        <w:bottom w:val="none" w:sz="0" w:space="0" w:color="auto"/>
        <w:right w:val="none" w:sz="0" w:space="0" w:color="auto"/>
      </w:divBdr>
      <w:divsChild>
        <w:div w:id="1456168820">
          <w:marLeft w:val="0"/>
          <w:marRight w:val="0"/>
          <w:marTop w:val="0"/>
          <w:marBottom w:val="0"/>
          <w:divBdr>
            <w:top w:val="none" w:sz="0" w:space="0" w:color="auto"/>
            <w:left w:val="none" w:sz="0" w:space="0" w:color="auto"/>
            <w:bottom w:val="none" w:sz="0" w:space="0" w:color="auto"/>
            <w:right w:val="none" w:sz="0" w:space="0" w:color="auto"/>
          </w:divBdr>
          <w:divsChild>
            <w:div w:id="1314333157">
              <w:marLeft w:val="0"/>
              <w:marRight w:val="0"/>
              <w:marTop w:val="0"/>
              <w:marBottom w:val="0"/>
              <w:divBdr>
                <w:top w:val="none" w:sz="0" w:space="0" w:color="auto"/>
                <w:left w:val="none" w:sz="0" w:space="0" w:color="auto"/>
                <w:bottom w:val="none" w:sz="0" w:space="0" w:color="auto"/>
                <w:right w:val="none" w:sz="0" w:space="0" w:color="auto"/>
              </w:divBdr>
            </w:div>
          </w:divsChild>
        </w:div>
        <w:div w:id="189492289">
          <w:marLeft w:val="0"/>
          <w:marRight w:val="0"/>
          <w:marTop w:val="0"/>
          <w:marBottom w:val="0"/>
          <w:divBdr>
            <w:top w:val="none" w:sz="0" w:space="0" w:color="auto"/>
            <w:left w:val="none" w:sz="0" w:space="0" w:color="auto"/>
            <w:bottom w:val="none" w:sz="0" w:space="0" w:color="auto"/>
            <w:right w:val="none" w:sz="0" w:space="0" w:color="auto"/>
          </w:divBdr>
        </w:div>
        <w:div w:id="437604498">
          <w:marLeft w:val="0"/>
          <w:marRight w:val="0"/>
          <w:marTop w:val="0"/>
          <w:marBottom w:val="0"/>
          <w:divBdr>
            <w:top w:val="none" w:sz="0" w:space="0" w:color="auto"/>
            <w:left w:val="none" w:sz="0" w:space="0" w:color="auto"/>
            <w:bottom w:val="none" w:sz="0" w:space="0" w:color="auto"/>
            <w:right w:val="none" w:sz="0" w:space="0" w:color="auto"/>
          </w:divBdr>
        </w:div>
      </w:divsChild>
    </w:div>
    <w:div w:id="83958240">
      <w:bodyDiv w:val="1"/>
      <w:marLeft w:val="0"/>
      <w:marRight w:val="0"/>
      <w:marTop w:val="0"/>
      <w:marBottom w:val="0"/>
      <w:divBdr>
        <w:top w:val="none" w:sz="0" w:space="0" w:color="auto"/>
        <w:left w:val="none" w:sz="0" w:space="0" w:color="auto"/>
        <w:bottom w:val="none" w:sz="0" w:space="0" w:color="auto"/>
        <w:right w:val="none" w:sz="0" w:space="0" w:color="auto"/>
      </w:divBdr>
    </w:div>
    <w:div w:id="84770782">
      <w:bodyDiv w:val="1"/>
      <w:marLeft w:val="0"/>
      <w:marRight w:val="0"/>
      <w:marTop w:val="0"/>
      <w:marBottom w:val="0"/>
      <w:divBdr>
        <w:top w:val="none" w:sz="0" w:space="0" w:color="auto"/>
        <w:left w:val="none" w:sz="0" w:space="0" w:color="auto"/>
        <w:bottom w:val="none" w:sz="0" w:space="0" w:color="auto"/>
        <w:right w:val="none" w:sz="0" w:space="0" w:color="auto"/>
      </w:divBdr>
      <w:divsChild>
        <w:div w:id="2134129204">
          <w:marLeft w:val="0"/>
          <w:marRight w:val="0"/>
          <w:marTop w:val="0"/>
          <w:marBottom w:val="0"/>
          <w:divBdr>
            <w:top w:val="none" w:sz="0" w:space="0" w:color="auto"/>
            <w:left w:val="none" w:sz="0" w:space="0" w:color="auto"/>
            <w:bottom w:val="none" w:sz="0" w:space="0" w:color="auto"/>
            <w:right w:val="none" w:sz="0" w:space="0" w:color="auto"/>
          </w:divBdr>
          <w:divsChild>
            <w:div w:id="1885755938">
              <w:marLeft w:val="0"/>
              <w:marRight w:val="0"/>
              <w:marTop w:val="0"/>
              <w:marBottom w:val="0"/>
              <w:divBdr>
                <w:top w:val="none" w:sz="0" w:space="0" w:color="auto"/>
                <w:left w:val="none" w:sz="0" w:space="0" w:color="auto"/>
                <w:bottom w:val="none" w:sz="0" w:space="0" w:color="auto"/>
                <w:right w:val="none" w:sz="0" w:space="0" w:color="auto"/>
              </w:divBdr>
            </w:div>
          </w:divsChild>
        </w:div>
        <w:div w:id="152793881">
          <w:marLeft w:val="0"/>
          <w:marRight w:val="0"/>
          <w:marTop w:val="0"/>
          <w:marBottom w:val="0"/>
          <w:divBdr>
            <w:top w:val="none" w:sz="0" w:space="0" w:color="auto"/>
            <w:left w:val="none" w:sz="0" w:space="0" w:color="auto"/>
            <w:bottom w:val="none" w:sz="0" w:space="0" w:color="auto"/>
            <w:right w:val="none" w:sz="0" w:space="0" w:color="auto"/>
          </w:divBdr>
        </w:div>
        <w:div w:id="725640446">
          <w:marLeft w:val="0"/>
          <w:marRight w:val="0"/>
          <w:marTop w:val="0"/>
          <w:marBottom w:val="0"/>
          <w:divBdr>
            <w:top w:val="none" w:sz="0" w:space="0" w:color="auto"/>
            <w:left w:val="none" w:sz="0" w:space="0" w:color="auto"/>
            <w:bottom w:val="none" w:sz="0" w:space="0" w:color="auto"/>
            <w:right w:val="none" w:sz="0" w:space="0" w:color="auto"/>
          </w:divBdr>
        </w:div>
      </w:divsChild>
    </w:div>
    <w:div w:id="84890160">
      <w:bodyDiv w:val="1"/>
      <w:marLeft w:val="0"/>
      <w:marRight w:val="0"/>
      <w:marTop w:val="0"/>
      <w:marBottom w:val="0"/>
      <w:divBdr>
        <w:top w:val="none" w:sz="0" w:space="0" w:color="auto"/>
        <w:left w:val="none" w:sz="0" w:space="0" w:color="auto"/>
        <w:bottom w:val="none" w:sz="0" w:space="0" w:color="auto"/>
        <w:right w:val="none" w:sz="0" w:space="0" w:color="auto"/>
      </w:divBdr>
    </w:div>
    <w:div w:id="86730285">
      <w:bodyDiv w:val="1"/>
      <w:marLeft w:val="0"/>
      <w:marRight w:val="0"/>
      <w:marTop w:val="0"/>
      <w:marBottom w:val="0"/>
      <w:divBdr>
        <w:top w:val="none" w:sz="0" w:space="0" w:color="auto"/>
        <w:left w:val="none" w:sz="0" w:space="0" w:color="auto"/>
        <w:bottom w:val="none" w:sz="0" w:space="0" w:color="auto"/>
        <w:right w:val="none" w:sz="0" w:space="0" w:color="auto"/>
      </w:divBdr>
      <w:divsChild>
        <w:div w:id="1782411522">
          <w:marLeft w:val="0"/>
          <w:marRight w:val="0"/>
          <w:marTop w:val="0"/>
          <w:marBottom w:val="0"/>
          <w:divBdr>
            <w:top w:val="none" w:sz="0" w:space="0" w:color="auto"/>
            <w:left w:val="none" w:sz="0" w:space="0" w:color="auto"/>
            <w:bottom w:val="none" w:sz="0" w:space="0" w:color="auto"/>
            <w:right w:val="none" w:sz="0" w:space="0" w:color="auto"/>
          </w:divBdr>
          <w:divsChild>
            <w:div w:id="1286547204">
              <w:marLeft w:val="0"/>
              <w:marRight w:val="0"/>
              <w:marTop w:val="0"/>
              <w:marBottom w:val="0"/>
              <w:divBdr>
                <w:top w:val="none" w:sz="0" w:space="0" w:color="auto"/>
                <w:left w:val="none" w:sz="0" w:space="0" w:color="auto"/>
                <w:bottom w:val="none" w:sz="0" w:space="0" w:color="auto"/>
                <w:right w:val="none" w:sz="0" w:space="0" w:color="auto"/>
              </w:divBdr>
              <w:divsChild>
                <w:div w:id="77544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03059">
      <w:bodyDiv w:val="1"/>
      <w:marLeft w:val="0"/>
      <w:marRight w:val="0"/>
      <w:marTop w:val="0"/>
      <w:marBottom w:val="0"/>
      <w:divBdr>
        <w:top w:val="none" w:sz="0" w:space="0" w:color="auto"/>
        <w:left w:val="none" w:sz="0" w:space="0" w:color="auto"/>
        <w:bottom w:val="none" w:sz="0" w:space="0" w:color="auto"/>
        <w:right w:val="none" w:sz="0" w:space="0" w:color="auto"/>
      </w:divBdr>
      <w:divsChild>
        <w:div w:id="1901866538">
          <w:marLeft w:val="0"/>
          <w:marRight w:val="0"/>
          <w:marTop w:val="0"/>
          <w:marBottom w:val="0"/>
          <w:divBdr>
            <w:top w:val="none" w:sz="0" w:space="0" w:color="auto"/>
            <w:left w:val="none" w:sz="0" w:space="0" w:color="auto"/>
            <w:bottom w:val="none" w:sz="0" w:space="0" w:color="auto"/>
            <w:right w:val="none" w:sz="0" w:space="0" w:color="auto"/>
          </w:divBdr>
          <w:divsChild>
            <w:div w:id="663360751">
              <w:marLeft w:val="0"/>
              <w:marRight w:val="0"/>
              <w:marTop w:val="0"/>
              <w:marBottom w:val="0"/>
              <w:divBdr>
                <w:top w:val="none" w:sz="0" w:space="0" w:color="auto"/>
                <w:left w:val="none" w:sz="0" w:space="0" w:color="auto"/>
                <w:bottom w:val="none" w:sz="0" w:space="0" w:color="auto"/>
                <w:right w:val="none" w:sz="0" w:space="0" w:color="auto"/>
              </w:divBdr>
            </w:div>
            <w:div w:id="418596828">
              <w:marLeft w:val="0"/>
              <w:marRight w:val="0"/>
              <w:marTop w:val="0"/>
              <w:marBottom w:val="0"/>
              <w:divBdr>
                <w:top w:val="none" w:sz="0" w:space="0" w:color="auto"/>
                <w:left w:val="none" w:sz="0" w:space="0" w:color="auto"/>
                <w:bottom w:val="none" w:sz="0" w:space="0" w:color="auto"/>
                <w:right w:val="none" w:sz="0" w:space="0" w:color="auto"/>
              </w:divBdr>
            </w:div>
          </w:divsChild>
        </w:div>
        <w:div w:id="486243807">
          <w:marLeft w:val="0"/>
          <w:marRight w:val="0"/>
          <w:marTop w:val="0"/>
          <w:marBottom w:val="0"/>
          <w:divBdr>
            <w:top w:val="none" w:sz="0" w:space="0" w:color="auto"/>
            <w:left w:val="none" w:sz="0" w:space="0" w:color="auto"/>
            <w:bottom w:val="none" w:sz="0" w:space="0" w:color="auto"/>
            <w:right w:val="none" w:sz="0" w:space="0" w:color="auto"/>
          </w:divBdr>
        </w:div>
      </w:divsChild>
    </w:div>
    <w:div w:id="134572632">
      <w:bodyDiv w:val="1"/>
      <w:marLeft w:val="0"/>
      <w:marRight w:val="0"/>
      <w:marTop w:val="0"/>
      <w:marBottom w:val="0"/>
      <w:divBdr>
        <w:top w:val="none" w:sz="0" w:space="0" w:color="auto"/>
        <w:left w:val="none" w:sz="0" w:space="0" w:color="auto"/>
        <w:bottom w:val="none" w:sz="0" w:space="0" w:color="auto"/>
        <w:right w:val="none" w:sz="0" w:space="0" w:color="auto"/>
      </w:divBdr>
    </w:div>
    <w:div w:id="136344915">
      <w:bodyDiv w:val="1"/>
      <w:marLeft w:val="0"/>
      <w:marRight w:val="0"/>
      <w:marTop w:val="0"/>
      <w:marBottom w:val="0"/>
      <w:divBdr>
        <w:top w:val="none" w:sz="0" w:space="0" w:color="auto"/>
        <w:left w:val="none" w:sz="0" w:space="0" w:color="auto"/>
        <w:bottom w:val="none" w:sz="0" w:space="0" w:color="auto"/>
        <w:right w:val="none" w:sz="0" w:space="0" w:color="auto"/>
      </w:divBdr>
    </w:div>
    <w:div w:id="142893486">
      <w:bodyDiv w:val="1"/>
      <w:marLeft w:val="0"/>
      <w:marRight w:val="0"/>
      <w:marTop w:val="0"/>
      <w:marBottom w:val="0"/>
      <w:divBdr>
        <w:top w:val="none" w:sz="0" w:space="0" w:color="auto"/>
        <w:left w:val="none" w:sz="0" w:space="0" w:color="auto"/>
        <w:bottom w:val="none" w:sz="0" w:space="0" w:color="auto"/>
        <w:right w:val="none" w:sz="0" w:space="0" w:color="auto"/>
      </w:divBdr>
    </w:div>
    <w:div w:id="148715041">
      <w:bodyDiv w:val="1"/>
      <w:marLeft w:val="0"/>
      <w:marRight w:val="0"/>
      <w:marTop w:val="0"/>
      <w:marBottom w:val="0"/>
      <w:divBdr>
        <w:top w:val="none" w:sz="0" w:space="0" w:color="auto"/>
        <w:left w:val="none" w:sz="0" w:space="0" w:color="auto"/>
        <w:bottom w:val="none" w:sz="0" w:space="0" w:color="auto"/>
        <w:right w:val="none" w:sz="0" w:space="0" w:color="auto"/>
      </w:divBdr>
    </w:div>
    <w:div w:id="150609542">
      <w:bodyDiv w:val="1"/>
      <w:marLeft w:val="0"/>
      <w:marRight w:val="0"/>
      <w:marTop w:val="0"/>
      <w:marBottom w:val="0"/>
      <w:divBdr>
        <w:top w:val="none" w:sz="0" w:space="0" w:color="auto"/>
        <w:left w:val="none" w:sz="0" w:space="0" w:color="auto"/>
        <w:bottom w:val="none" w:sz="0" w:space="0" w:color="auto"/>
        <w:right w:val="none" w:sz="0" w:space="0" w:color="auto"/>
      </w:divBdr>
    </w:div>
    <w:div w:id="163328294">
      <w:bodyDiv w:val="1"/>
      <w:marLeft w:val="0"/>
      <w:marRight w:val="0"/>
      <w:marTop w:val="0"/>
      <w:marBottom w:val="0"/>
      <w:divBdr>
        <w:top w:val="none" w:sz="0" w:space="0" w:color="auto"/>
        <w:left w:val="none" w:sz="0" w:space="0" w:color="auto"/>
        <w:bottom w:val="none" w:sz="0" w:space="0" w:color="auto"/>
        <w:right w:val="none" w:sz="0" w:space="0" w:color="auto"/>
      </w:divBdr>
    </w:div>
    <w:div w:id="192233925">
      <w:bodyDiv w:val="1"/>
      <w:marLeft w:val="0"/>
      <w:marRight w:val="0"/>
      <w:marTop w:val="0"/>
      <w:marBottom w:val="0"/>
      <w:divBdr>
        <w:top w:val="none" w:sz="0" w:space="0" w:color="auto"/>
        <w:left w:val="none" w:sz="0" w:space="0" w:color="auto"/>
        <w:bottom w:val="none" w:sz="0" w:space="0" w:color="auto"/>
        <w:right w:val="none" w:sz="0" w:space="0" w:color="auto"/>
      </w:divBdr>
    </w:div>
    <w:div w:id="208953674">
      <w:bodyDiv w:val="1"/>
      <w:marLeft w:val="0"/>
      <w:marRight w:val="0"/>
      <w:marTop w:val="0"/>
      <w:marBottom w:val="0"/>
      <w:divBdr>
        <w:top w:val="none" w:sz="0" w:space="0" w:color="auto"/>
        <w:left w:val="none" w:sz="0" w:space="0" w:color="auto"/>
        <w:bottom w:val="none" w:sz="0" w:space="0" w:color="auto"/>
        <w:right w:val="none" w:sz="0" w:space="0" w:color="auto"/>
      </w:divBdr>
      <w:divsChild>
        <w:div w:id="2134253911">
          <w:marLeft w:val="0"/>
          <w:marRight w:val="0"/>
          <w:marTop w:val="0"/>
          <w:marBottom w:val="0"/>
          <w:divBdr>
            <w:top w:val="none" w:sz="0" w:space="0" w:color="auto"/>
            <w:left w:val="none" w:sz="0" w:space="0" w:color="auto"/>
            <w:bottom w:val="none" w:sz="0" w:space="0" w:color="auto"/>
            <w:right w:val="none" w:sz="0" w:space="0" w:color="auto"/>
          </w:divBdr>
          <w:divsChild>
            <w:div w:id="92445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1404">
      <w:bodyDiv w:val="1"/>
      <w:marLeft w:val="0"/>
      <w:marRight w:val="0"/>
      <w:marTop w:val="0"/>
      <w:marBottom w:val="0"/>
      <w:divBdr>
        <w:top w:val="none" w:sz="0" w:space="0" w:color="auto"/>
        <w:left w:val="none" w:sz="0" w:space="0" w:color="auto"/>
        <w:bottom w:val="none" w:sz="0" w:space="0" w:color="auto"/>
        <w:right w:val="none" w:sz="0" w:space="0" w:color="auto"/>
      </w:divBdr>
    </w:div>
    <w:div w:id="244650225">
      <w:bodyDiv w:val="1"/>
      <w:marLeft w:val="0"/>
      <w:marRight w:val="0"/>
      <w:marTop w:val="0"/>
      <w:marBottom w:val="0"/>
      <w:divBdr>
        <w:top w:val="none" w:sz="0" w:space="0" w:color="auto"/>
        <w:left w:val="none" w:sz="0" w:space="0" w:color="auto"/>
        <w:bottom w:val="none" w:sz="0" w:space="0" w:color="auto"/>
        <w:right w:val="none" w:sz="0" w:space="0" w:color="auto"/>
      </w:divBdr>
      <w:divsChild>
        <w:div w:id="275528949">
          <w:marLeft w:val="0"/>
          <w:marRight w:val="0"/>
          <w:marTop w:val="0"/>
          <w:marBottom w:val="0"/>
          <w:divBdr>
            <w:top w:val="none" w:sz="0" w:space="0" w:color="auto"/>
            <w:left w:val="none" w:sz="0" w:space="0" w:color="auto"/>
            <w:bottom w:val="none" w:sz="0" w:space="0" w:color="auto"/>
            <w:right w:val="none" w:sz="0" w:space="0" w:color="auto"/>
          </w:divBdr>
          <w:divsChild>
            <w:div w:id="934903700">
              <w:marLeft w:val="0"/>
              <w:marRight w:val="0"/>
              <w:marTop w:val="0"/>
              <w:marBottom w:val="0"/>
              <w:divBdr>
                <w:top w:val="none" w:sz="0" w:space="0" w:color="auto"/>
                <w:left w:val="none" w:sz="0" w:space="0" w:color="auto"/>
                <w:bottom w:val="none" w:sz="0" w:space="0" w:color="auto"/>
                <w:right w:val="none" w:sz="0" w:space="0" w:color="auto"/>
              </w:divBdr>
            </w:div>
          </w:divsChild>
        </w:div>
        <w:div w:id="424693586">
          <w:marLeft w:val="0"/>
          <w:marRight w:val="0"/>
          <w:marTop w:val="0"/>
          <w:marBottom w:val="0"/>
          <w:divBdr>
            <w:top w:val="none" w:sz="0" w:space="0" w:color="auto"/>
            <w:left w:val="none" w:sz="0" w:space="0" w:color="auto"/>
            <w:bottom w:val="none" w:sz="0" w:space="0" w:color="auto"/>
            <w:right w:val="none" w:sz="0" w:space="0" w:color="auto"/>
          </w:divBdr>
        </w:div>
        <w:div w:id="436755379">
          <w:marLeft w:val="0"/>
          <w:marRight w:val="0"/>
          <w:marTop w:val="0"/>
          <w:marBottom w:val="0"/>
          <w:divBdr>
            <w:top w:val="none" w:sz="0" w:space="0" w:color="auto"/>
            <w:left w:val="none" w:sz="0" w:space="0" w:color="auto"/>
            <w:bottom w:val="none" w:sz="0" w:space="0" w:color="auto"/>
            <w:right w:val="none" w:sz="0" w:space="0" w:color="auto"/>
          </w:divBdr>
        </w:div>
      </w:divsChild>
    </w:div>
    <w:div w:id="253167391">
      <w:bodyDiv w:val="1"/>
      <w:marLeft w:val="0"/>
      <w:marRight w:val="0"/>
      <w:marTop w:val="0"/>
      <w:marBottom w:val="0"/>
      <w:divBdr>
        <w:top w:val="none" w:sz="0" w:space="0" w:color="auto"/>
        <w:left w:val="none" w:sz="0" w:space="0" w:color="auto"/>
        <w:bottom w:val="none" w:sz="0" w:space="0" w:color="auto"/>
        <w:right w:val="none" w:sz="0" w:space="0" w:color="auto"/>
      </w:divBdr>
    </w:div>
    <w:div w:id="269551180">
      <w:bodyDiv w:val="1"/>
      <w:marLeft w:val="0"/>
      <w:marRight w:val="0"/>
      <w:marTop w:val="0"/>
      <w:marBottom w:val="0"/>
      <w:divBdr>
        <w:top w:val="none" w:sz="0" w:space="0" w:color="auto"/>
        <w:left w:val="none" w:sz="0" w:space="0" w:color="auto"/>
        <w:bottom w:val="none" w:sz="0" w:space="0" w:color="auto"/>
        <w:right w:val="none" w:sz="0" w:space="0" w:color="auto"/>
      </w:divBdr>
      <w:divsChild>
        <w:div w:id="2098750503">
          <w:marLeft w:val="0"/>
          <w:marRight w:val="0"/>
          <w:marTop w:val="0"/>
          <w:marBottom w:val="0"/>
          <w:divBdr>
            <w:top w:val="none" w:sz="0" w:space="0" w:color="auto"/>
            <w:left w:val="none" w:sz="0" w:space="0" w:color="auto"/>
            <w:bottom w:val="none" w:sz="0" w:space="0" w:color="auto"/>
            <w:right w:val="none" w:sz="0" w:space="0" w:color="auto"/>
          </w:divBdr>
        </w:div>
        <w:div w:id="1831216838">
          <w:marLeft w:val="0"/>
          <w:marRight w:val="0"/>
          <w:marTop w:val="0"/>
          <w:marBottom w:val="0"/>
          <w:divBdr>
            <w:top w:val="none" w:sz="0" w:space="0" w:color="auto"/>
            <w:left w:val="none" w:sz="0" w:space="0" w:color="auto"/>
            <w:bottom w:val="none" w:sz="0" w:space="0" w:color="auto"/>
            <w:right w:val="none" w:sz="0" w:space="0" w:color="auto"/>
          </w:divBdr>
          <w:divsChild>
            <w:div w:id="1686715069">
              <w:marLeft w:val="0"/>
              <w:marRight w:val="0"/>
              <w:marTop w:val="0"/>
              <w:marBottom w:val="0"/>
              <w:divBdr>
                <w:top w:val="none" w:sz="0" w:space="0" w:color="auto"/>
                <w:left w:val="none" w:sz="0" w:space="0" w:color="auto"/>
                <w:bottom w:val="none" w:sz="0" w:space="0" w:color="auto"/>
                <w:right w:val="none" w:sz="0" w:space="0" w:color="auto"/>
              </w:divBdr>
              <w:divsChild>
                <w:div w:id="2013484754">
                  <w:marLeft w:val="0"/>
                  <w:marRight w:val="0"/>
                  <w:marTop w:val="0"/>
                  <w:marBottom w:val="0"/>
                  <w:divBdr>
                    <w:top w:val="none" w:sz="0" w:space="0" w:color="auto"/>
                    <w:left w:val="none" w:sz="0" w:space="0" w:color="auto"/>
                    <w:bottom w:val="none" w:sz="0" w:space="0" w:color="auto"/>
                    <w:right w:val="none" w:sz="0" w:space="0" w:color="auto"/>
                  </w:divBdr>
                  <w:divsChild>
                    <w:div w:id="149090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236831">
      <w:bodyDiv w:val="1"/>
      <w:marLeft w:val="0"/>
      <w:marRight w:val="0"/>
      <w:marTop w:val="0"/>
      <w:marBottom w:val="0"/>
      <w:divBdr>
        <w:top w:val="none" w:sz="0" w:space="0" w:color="auto"/>
        <w:left w:val="none" w:sz="0" w:space="0" w:color="auto"/>
        <w:bottom w:val="none" w:sz="0" w:space="0" w:color="auto"/>
        <w:right w:val="none" w:sz="0" w:space="0" w:color="auto"/>
      </w:divBdr>
    </w:div>
    <w:div w:id="272783516">
      <w:bodyDiv w:val="1"/>
      <w:marLeft w:val="0"/>
      <w:marRight w:val="0"/>
      <w:marTop w:val="0"/>
      <w:marBottom w:val="0"/>
      <w:divBdr>
        <w:top w:val="none" w:sz="0" w:space="0" w:color="auto"/>
        <w:left w:val="none" w:sz="0" w:space="0" w:color="auto"/>
        <w:bottom w:val="none" w:sz="0" w:space="0" w:color="auto"/>
        <w:right w:val="none" w:sz="0" w:space="0" w:color="auto"/>
      </w:divBdr>
    </w:div>
    <w:div w:id="274335389">
      <w:bodyDiv w:val="1"/>
      <w:marLeft w:val="0"/>
      <w:marRight w:val="0"/>
      <w:marTop w:val="0"/>
      <w:marBottom w:val="0"/>
      <w:divBdr>
        <w:top w:val="none" w:sz="0" w:space="0" w:color="auto"/>
        <w:left w:val="none" w:sz="0" w:space="0" w:color="auto"/>
        <w:bottom w:val="none" w:sz="0" w:space="0" w:color="auto"/>
        <w:right w:val="none" w:sz="0" w:space="0" w:color="auto"/>
      </w:divBdr>
    </w:div>
    <w:div w:id="278224986">
      <w:bodyDiv w:val="1"/>
      <w:marLeft w:val="0"/>
      <w:marRight w:val="0"/>
      <w:marTop w:val="0"/>
      <w:marBottom w:val="0"/>
      <w:divBdr>
        <w:top w:val="none" w:sz="0" w:space="0" w:color="auto"/>
        <w:left w:val="none" w:sz="0" w:space="0" w:color="auto"/>
        <w:bottom w:val="none" w:sz="0" w:space="0" w:color="auto"/>
        <w:right w:val="none" w:sz="0" w:space="0" w:color="auto"/>
      </w:divBdr>
    </w:div>
    <w:div w:id="289164365">
      <w:bodyDiv w:val="1"/>
      <w:marLeft w:val="0"/>
      <w:marRight w:val="0"/>
      <w:marTop w:val="0"/>
      <w:marBottom w:val="0"/>
      <w:divBdr>
        <w:top w:val="none" w:sz="0" w:space="0" w:color="auto"/>
        <w:left w:val="none" w:sz="0" w:space="0" w:color="auto"/>
        <w:bottom w:val="none" w:sz="0" w:space="0" w:color="auto"/>
        <w:right w:val="none" w:sz="0" w:space="0" w:color="auto"/>
      </w:divBdr>
      <w:divsChild>
        <w:div w:id="317079984">
          <w:marLeft w:val="0"/>
          <w:marRight w:val="0"/>
          <w:marTop w:val="0"/>
          <w:marBottom w:val="0"/>
          <w:divBdr>
            <w:top w:val="none" w:sz="0" w:space="0" w:color="auto"/>
            <w:left w:val="none" w:sz="0" w:space="0" w:color="auto"/>
            <w:bottom w:val="none" w:sz="0" w:space="0" w:color="auto"/>
            <w:right w:val="none" w:sz="0" w:space="0" w:color="auto"/>
          </w:divBdr>
          <w:divsChild>
            <w:div w:id="472137053">
              <w:marLeft w:val="0"/>
              <w:marRight w:val="0"/>
              <w:marTop w:val="0"/>
              <w:marBottom w:val="0"/>
              <w:divBdr>
                <w:top w:val="none" w:sz="0" w:space="0" w:color="auto"/>
                <w:left w:val="none" w:sz="0" w:space="0" w:color="auto"/>
                <w:bottom w:val="none" w:sz="0" w:space="0" w:color="auto"/>
                <w:right w:val="none" w:sz="0" w:space="0" w:color="auto"/>
              </w:divBdr>
            </w:div>
            <w:div w:id="67464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45221">
      <w:bodyDiv w:val="1"/>
      <w:marLeft w:val="0"/>
      <w:marRight w:val="0"/>
      <w:marTop w:val="0"/>
      <w:marBottom w:val="0"/>
      <w:divBdr>
        <w:top w:val="none" w:sz="0" w:space="0" w:color="auto"/>
        <w:left w:val="none" w:sz="0" w:space="0" w:color="auto"/>
        <w:bottom w:val="none" w:sz="0" w:space="0" w:color="auto"/>
        <w:right w:val="none" w:sz="0" w:space="0" w:color="auto"/>
      </w:divBdr>
    </w:div>
    <w:div w:id="314604433">
      <w:bodyDiv w:val="1"/>
      <w:marLeft w:val="0"/>
      <w:marRight w:val="0"/>
      <w:marTop w:val="0"/>
      <w:marBottom w:val="0"/>
      <w:divBdr>
        <w:top w:val="none" w:sz="0" w:space="0" w:color="auto"/>
        <w:left w:val="none" w:sz="0" w:space="0" w:color="auto"/>
        <w:bottom w:val="none" w:sz="0" w:space="0" w:color="auto"/>
        <w:right w:val="none" w:sz="0" w:space="0" w:color="auto"/>
      </w:divBdr>
    </w:div>
    <w:div w:id="315649776">
      <w:bodyDiv w:val="1"/>
      <w:marLeft w:val="0"/>
      <w:marRight w:val="0"/>
      <w:marTop w:val="0"/>
      <w:marBottom w:val="0"/>
      <w:divBdr>
        <w:top w:val="none" w:sz="0" w:space="0" w:color="auto"/>
        <w:left w:val="none" w:sz="0" w:space="0" w:color="auto"/>
        <w:bottom w:val="none" w:sz="0" w:space="0" w:color="auto"/>
        <w:right w:val="none" w:sz="0" w:space="0" w:color="auto"/>
      </w:divBdr>
    </w:div>
    <w:div w:id="322856891">
      <w:bodyDiv w:val="1"/>
      <w:marLeft w:val="0"/>
      <w:marRight w:val="0"/>
      <w:marTop w:val="0"/>
      <w:marBottom w:val="0"/>
      <w:divBdr>
        <w:top w:val="none" w:sz="0" w:space="0" w:color="auto"/>
        <w:left w:val="none" w:sz="0" w:space="0" w:color="auto"/>
        <w:bottom w:val="none" w:sz="0" w:space="0" w:color="auto"/>
        <w:right w:val="none" w:sz="0" w:space="0" w:color="auto"/>
      </w:divBdr>
    </w:div>
    <w:div w:id="342636914">
      <w:bodyDiv w:val="1"/>
      <w:marLeft w:val="0"/>
      <w:marRight w:val="0"/>
      <w:marTop w:val="0"/>
      <w:marBottom w:val="0"/>
      <w:divBdr>
        <w:top w:val="none" w:sz="0" w:space="0" w:color="auto"/>
        <w:left w:val="none" w:sz="0" w:space="0" w:color="auto"/>
        <w:bottom w:val="none" w:sz="0" w:space="0" w:color="auto"/>
        <w:right w:val="none" w:sz="0" w:space="0" w:color="auto"/>
      </w:divBdr>
    </w:div>
    <w:div w:id="344014419">
      <w:bodyDiv w:val="1"/>
      <w:marLeft w:val="0"/>
      <w:marRight w:val="0"/>
      <w:marTop w:val="0"/>
      <w:marBottom w:val="0"/>
      <w:divBdr>
        <w:top w:val="none" w:sz="0" w:space="0" w:color="auto"/>
        <w:left w:val="none" w:sz="0" w:space="0" w:color="auto"/>
        <w:bottom w:val="none" w:sz="0" w:space="0" w:color="auto"/>
        <w:right w:val="none" w:sz="0" w:space="0" w:color="auto"/>
      </w:divBdr>
      <w:divsChild>
        <w:div w:id="1102995103">
          <w:marLeft w:val="0"/>
          <w:marRight w:val="0"/>
          <w:marTop w:val="0"/>
          <w:marBottom w:val="0"/>
          <w:divBdr>
            <w:top w:val="none" w:sz="0" w:space="0" w:color="auto"/>
            <w:left w:val="none" w:sz="0" w:space="0" w:color="auto"/>
            <w:bottom w:val="none" w:sz="0" w:space="0" w:color="auto"/>
            <w:right w:val="none" w:sz="0" w:space="0" w:color="auto"/>
          </w:divBdr>
          <w:divsChild>
            <w:div w:id="17912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556727">
      <w:bodyDiv w:val="1"/>
      <w:marLeft w:val="0"/>
      <w:marRight w:val="0"/>
      <w:marTop w:val="0"/>
      <w:marBottom w:val="0"/>
      <w:divBdr>
        <w:top w:val="none" w:sz="0" w:space="0" w:color="auto"/>
        <w:left w:val="none" w:sz="0" w:space="0" w:color="auto"/>
        <w:bottom w:val="none" w:sz="0" w:space="0" w:color="auto"/>
        <w:right w:val="none" w:sz="0" w:space="0" w:color="auto"/>
      </w:divBdr>
      <w:divsChild>
        <w:div w:id="1012872649">
          <w:marLeft w:val="0"/>
          <w:marRight w:val="0"/>
          <w:marTop w:val="0"/>
          <w:marBottom w:val="0"/>
          <w:divBdr>
            <w:top w:val="none" w:sz="0" w:space="0" w:color="auto"/>
            <w:left w:val="none" w:sz="0" w:space="0" w:color="auto"/>
            <w:bottom w:val="none" w:sz="0" w:space="0" w:color="auto"/>
            <w:right w:val="none" w:sz="0" w:space="0" w:color="auto"/>
          </w:divBdr>
          <w:divsChild>
            <w:div w:id="1699157515">
              <w:marLeft w:val="0"/>
              <w:marRight w:val="0"/>
              <w:marTop w:val="0"/>
              <w:marBottom w:val="0"/>
              <w:divBdr>
                <w:top w:val="none" w:sz="0" w:space="0" w:color="auto"/>
                <w:left w:val="none" w:sz="0" w:space="0" w:color="auto"/>
                <w:bottom w:val="none" w:sz="0" w:space="0" w:color="auto"/>
                <w:right w:val="none" w:sz="0" w:space="0" w:color="auto"/>
              </w:divBdr>
            </w:div>
          </w:divsChild>
        </w:div>
        <w:div w:id="2048488593">
          <w:marLeft w:val="0"/>
          <w:marRight w:val="0"/>
          <w:marTop w:val="0"/>
          <w:marBottom w:val="0"/>
          <w:divBdr>
            <w:top w:val="none" w:sz="0" w:space="0" w:color="auto"/>
            <w:left w:val="none" w:sz="0" w:space="0" w:color="auto"/>
            <w:bottom w:val="none" w:sz="0" w:space="0" w:color="auto"/>
            <w:right w:val="none" w:sz="0" w:space="0" w:color="auto"/>
          </w:divBdr>
        </w:div>
      </w:divsChild>
    </w:div>
    <w:div w:id="403528436">
      <w:bodyDiv w:val="1"/>
      <w:marLeft w:val="0"/>
      <w:marRight w:val="0"/>
      <w:marTop w:val="0"/>
      <w:marBottom w:val="0"/>
      <w:divBdr>
        <w:top w:val="none" w:sz="0" w:space="0" w:color="auto"/>
        <w:left w:val="none" w:sz="0" w:space="0" w:color="auto"/>
        <w:bottom w:val="none" w:sz="0" w:space="0" w:color="auto"/>
        <w:right w:val="none" w:sz="0" w:space="0" w:color="auto"/>
      </w:divBdr>
      <w:divsChild>
        <w:div w:id="531461833">
          <w:marLeft w:val="0"/>
          <w:marRight w:val="0"/>
          <w:marTop w:val="0"/>
          <w:marBottom w:val="0"/>
          <w:divBdr>
            <w:top w:val="none" w:sz="0" w:space="0" w:color="auto"/>
            <w:left w:val="none" w:sz="0" w:space="0" w:color="auto"/>
            <w:bottom w:val="none" w:sz="0" w:space="0" w:color="auto"/>
            <w:right w:val="none" w:sz="0" w:space="0" w:color="auto"/>
          </w:divBdr>
          <w:divsChild>
            <w:div w:id="1024357143">
              <w:marLeft w:val="0"/>
              <w:marRight w:val="0"/>
              <w:marTop w:val="0"/>
              <w:marBottom w:val="0"/>
              <w:divBdr>
                <w:top w:val="none" w:sz="0" w:space="0" w:color="auto"/>
                <w:left w:val="none" w:sz="0" w:space="0" w:color="auto"/>
                <w:bottom w:val="none" w:sz="0" w:space="0" w:color="auto"/>
                <w:right w:val="none" w:sz="0" w:space="0" w:color="auto"/>
              </w:divBdr>
            </w:div>
            <w:div w:id="1422918704">
              <w:marLeft w:val="0"/>
              <w:marRight w:val="0"/>
              <w:marTop w:val="0"/>
              <w:marBottom w:val="0"/>
              <w:divBdr>
                <w:top w:val="none" w:sz="0" w:space="0" w:color="auto"/>
                <w:left w:val="none" w:sz="0" w:space="0" w:color="auto"/>
                <w:bottom w:val="none" w:sz="0" w:space="0" w:color="auto"/>
                <w:right w:val="none" w:sz="0" w:space="0" w:color="auto"/>
              </w:divBdr>
            </w:div>
          </w:divsChild>
        </w:div>
        <w:div w:id="483594131">
          <w:marLeft w:val="0"/>
          <w:marRight w:val="0"/>
          <w:marTop w:val="0"/>
          <w:marBottom w:val="0"/>
          <w:divBdr>
            <w:top w:val="none" w:sz="0" w:space="0" w:color="auto"/>
            <w:left w:val="none" w:sz="0" w:space="0" w:color="auto"/>
            <w:bottom w:val="none" w:sz="0" w:space="0" w:color="auto"/>
            <w:right w:val="none" w:sz="0" w:space="0" w:color="auto"/>
          </w:divBdr>
        </w:div>
      </w:divsChild>
    </w:div>
    <w:div w:id="403649502">
      <w:bodyDiv w:val="1"/>
      <w:marLeft w:val="0"/>
      <w:marRight w:val="0"/>
      <w:marTop w:val="0"/>
      <w:marBottom w:val="0"/>
      <w:divBdr>
        <w:top w:val="none" w:sz="0" w:space="0" w:color="auto"/>
        <w:left w:val="none" w:sz="0" w:space="0" w:color="auto"/>
        <w:bottom w:val="none" w:sz="0" w:space="0" w:color="auto"/>
        <w:right w:val="none" w:sz="0" w:space="0" w:color="auto"/>
      </w:divBdr>
    </w:div>
    <w:div w:id="441995999">
      <w:bodyDiv w:val="1"/>
      <w:marLeft w:val="0"/>
      <w:marRight w:val="0"/>
      <w:marTop w:val="0"/>
      <w:marBottom w:val="0"/>
      <w:divBdr>
        <w:top w:val="none" w:sz="0" w:space="0" w:color="auto"/>
        <w:left w:val="none" w:sz="0" w:space="0" w:color="auto"/>
        <w:bottom w:val="none" w:sz="0" w:space="0" w:color="auto"/>
        <w:right w:val="none" w:sz="0" w:space="0" w:color="auto"/>
      </w:divBdr>
      <w:divsChild>
        <w:div w:id="1315715698">
          <w:marLeft w:val="0"/>
          <w:marRight w:val="0"/>
          <w:marTop w:val="0"/>
          <w:marBottom w:val="0"/>
          <w:divBdr>
            <w:top w:val="none" w:sz="0" w:space="0" w:color="auto"/>
            <w:left w:val="none" w:sz="0" w:space="0" w:color="auto"/>
            <w:bottom w:val="none" w:sz="0" w:space="0" w:color="auto"/>
            <w:right w:val="none" w:sz="0" w:space="0" w:color="auto"/>
          </w:divBdr>
          <w:divsChild>
            <w:div w:id="1327635033">
              <w:marLeft w:val="0"/>
              <w:marRight w:val="0"/>
              <w:marTop w:val="0"/>
              <w:marBottom w:val="0"/>
              <w:divBdr>
                <w:top w:val="none" w:sz="0" w:space="0" w:color="auto"/>
                <w:left w:val="none" w:sz="0" w:space="0" w:color="auto"/>
                <w:bottom w:val="none" w:sz="0" w:space="0" w:color="auto"/>
                <w:right w:val="none" w:sz="0" w:space="0" w:color="auto"/>
              </w:divBdr>
            </w:div>
            <w:div w:id="1342969586">
              <w:marLeft w:val="0"/>
              <w:marRight w:val="0"/>
              <w:marTop w:val="0"/>
              <w:marBottom w:val="0"/>
              <w:divBdr>
                <w:top w:val="none" w:sz="0" w:space="0" w:color="auto"/>
                <w:left w:val="none" w:sz="0" w:space="0" w:color="auto"/>
                <w:bottom w:val="none" w:sz="0" w:space="0" w:color="auto"/>
                <w:right w:val="none" w:sz="0" w:space="0" w:color="auto"/>
              </w:divBdr>
            </w:div>
          </w:divsChild>
        </w:div>
        <w:div w:id="996958746">
          <w:marLeft w:val="0"/>
          <w:marRight w:val="0"/>
          <w:marTop w:val="0"/>
          <w:marBottom w:val="0"/>
          <w:divBdr>
            <w:top w:val="none" w:sz="0" w:space="0" w:color="auto"/>
            <w:left w:val="none" w:sz="0" w:space="0" w:color="auto"/>
            <w:bottom w:val="none" w:sz="0" w:space="0" w:color="auto"/>
            <w:right w:val="none" w:sz="0" w:space="0" w:color="auto"/>
          </w:divBdr>
        </w:div>
      </w:divsChild>
    </w:div>
    <w:div w:id="449202585">
      <w:bodyDiv w:val="1"/>
      <w:marLeft w:val="0"/>
      <w:marRight w:val="0"/>
      <w:marTop w:val="0"/>
      <w:marBottom w:val="0"/>
      <w:divBdr>
        <w:top w:val="none" w:sz="0" w:space="0" w:color="auto"/>
        <w:left w:val="none" w:sz="0" w:space="0" w:color="auto"/>
        <w:bottom w:val="none" w:sz="0" w:space="0" w:color="auto"/>
        <w:right w:val="none" w:sz="0" w:space="0" w:color="auto"/>
      </w:divBdr>
    </w:div>
    <w:div w:id="461462484">
      <w:bodyDiv w:val="1"/>
      <w:marLeft w:val="0"/>
      <w:marRight w:val="0"/>
      <w:marTop w:val="0"/>
      <w:marBottom w:val="0"/>
      <w:divBdr>
        <w:top w:val="none" w:sz="0" w:space="0" w:color="auto"/>
        <w:left w:val="none" w:sz="0" w:space="0" w:color="auto"/>
        <w:bottom w:val="none" w:sz="0" w:space="0" w:color="auto"/>
        <w:right w:val="none" w:sz="0" w:space="0" w:color="auto"/>
      </w:divBdr>
    </w:div>
    <w:div w:id="462357099">
      <w:bodyDiv w:val="1"/>
      <w:marLeft w:val="0"/>
      <w:marRight w:val="0"/>
      <w:marTop w:val="0"/>
      <w:marBottom w:val="0"/>
      <w:divBdr>
        <w:top w:val="none" w:sz="0" w:space="0" w:color="auto"/>
        <w:left w:val="none" w:sz="0" w:space="0" w:color="auto"/>
        <w:bottom w:val="none" w:sz="0" w:space="0" w:color="auto"/>
        <w:right w:val="none" w:sz="0" w:space="0" w:color="auto"/>
      </w:divBdr>
    </w:div>
    <w:div w:id="481505090">
      <w:bodyDiv w:val="1"/>
      <w:marLeft w:val="0"/>
      <w:marRight w:val="0"/>
      <w:marTop w:val="0"/>
      <w:marBottom w:val="0"/>
      <w:divBdr>
        <w:top w:val="none" w:sz="0" w:space="0" w:color="auto"/>
        <w:left w:val="none" w:sz="0" w:space="0" w:color="auto"/>
        <w:bottom w:val="none" w:sz="0" w:space="0" w:color="auto"/>
        <w:right w:val="none" w:sz="0" w:space="0" w:color="auto"/>
      </w:divBdr>
      <w:divsChild>
        <w:div w:id="576524472">
          <w:marLeft w:val="0"/>
          <w:marRight w:val="0"/>
          <w:marTop w:val="0"/>
          <w:marBottom w:val="0"/>
          <w:divBdr>
            <w:top w:val="none" w:sz="0" w:space="0" w:color="auto"/>
            <w:left w:val="none" w:sz="0" w:space="0" w:color="auto"/>
            <w:bottom w:val="none" w:sz="0" w:space="0" w:color="auto"/>
            <w:right w:val="none" w:sz="0" w:space="0" w:color="auto"/>
          </w:divBdr>
          <w:divsChild>
            <w:div w:id="1828009552">
              <w:marLeft w:val="0"/>
              <w:marRight w:val="0"/>
              <w:marTop w:val="0"/>
              <w:marBottom w:val="0"/>
              <w:divBdr>
                <w:top w:val="none" w:sz="0" w:space="0" w:color="auto"/>
                <w:left w:val="none" w:sz="0" w:space="0" w:color="auto"/>
                <w:bottom w:val="none" w:sz="0" w:space="0" w:color="auto"/>
                <w:right w:val="none" w:sz="0" w:space="0" w:color="auto"/>
              </w:divBdr>
            </w:div>
          </w:divsChild>
        </w:div>
        <w:div w:id="1803768971">
          <w:marLeft w:val="0"/>
          <w:marRight w:val="0"/>
          <w:marTop w:val="0"/>
          <w:marBottom w:val="0"/>
          <w:divBdr>
            <w:top w:val="none" w:sz="0" w:space="0" w:color="auto"/>
            <w:left w:val="none" w:sz="0" w:space="0" w:color="auto"/>
            <w:bottom w:val="none" w:sz="0" w:space="0" w:color="auto"/>
            <w:right w:val="none" w:sz="0" w:space="0" w:color="auto"/>
          </w:divBdr>
        </w:div>
        <w:div w:id="168642762">
          <w:marLeft w:val="0"/>
          <w:marRight w:val="0"/>
          <w:marTop w:val="0"/>
          <w:marBottom w:val="0"/>
          <w:divBdr>
            <w:top w:val="none" w:sz="0" w:space="0" w:color="auto"/>
            <w:left w:val="none" w:sz="0" w:space="0" w:color="auto"/>
            <w:bottom w:val="none" w:sz="0" w:space="0" w:color="auto"/>
            <w:right w:val="none" w:sz="0" w:space="0" w:color="auto"/>
          </w:divBdr>
        </w:div>
      </w:divsChild>
    </w:div>
    <w:div w:id="482695390">
      <w:bodyDiv w:val="1"/>
      <w:marLeft w:val="0"/>
      <w:marRight w:val="0"/>
      <w:marTop w:val="0"/>
      <w:marBottom w:val="0"/>
      <w:divBdr>
        <w:top w:val="none" w:sz="0" w:space="0" w:color="auto"/>
        <w:left w:val="none" w:sz="0" w:space="0" w:color="auto"/>
        <w:bottom w:val="none" w:sz="0" w:space="0" w:color="auto"/>
        <w:right w:val="none" w:sz="0" w:space="0" w:color="auto"/>
      </w:divBdr>
    </w:div>
    <w:div w:id="482965618">
      <w:bodyDiv w:val="1"/>
      <w:marLeft w:val="0"/>
      <w:marRight w:val="0"/>
      <w:marTop w:val="0"/>
      <w:marBottom w:val="0"/>
      <w:divBdr>
        <w:top w:val="none" w:sz="0" w:space="0" w:color="auto"/>
        <w:left w:val="none" w:sz="0" w:space="0" w:color="auto"/>
        <w:bottom w:val="none" w:sz="0" w:space="0" w:color="auto"/>
        <w:right w:val="none" w:sz="0" w:space="0" w:color="auto"/>
      </w:divBdr>
    </w:div>
    <w:div w:id="557938843">
      <w:bodyDiv w:val="1"/>
      <w:marLeft w:val="0"/>
      <w:marRight w:val="0"/>
      <w:marTop w:val="0"/>
      <w:marBottom w:val="0"/>
      <w:divBdr>
        <w:top w:val="none" w:sz="0" w:space="0" w:color="auto"/>
        <w:left w:val="none" w:sz="0" w:space="0" w:color="auto"/>
        <w:bottom w:val="none" w:sz="0" w:space="0" w:color="auto"/>
        <w:right w:val="none" w:sz="0" w:space="0" w:color="auto"/>
      </w:divBdr>
    </w:div>
    <w:div w:id="558202319">
      <w:bodyDiv w:val="1"/>
      <w:marLeft w:val="0"/>
      <w:marRight w:val="0"/>
      <w:marTop w:val="0"/>
      <w:marBottom w:val="0"/>
      <w:divBdr>
        <w:top w:val="none" w:sz="0" w:space="0" w:color="auto"/>
        <w:left w:val="none" w:sz="0" w:space="0" w:color="auto"/>
        <w:bottom w:val="none" w:sz="0" w:space="0" w:color="auto"/>
        <w:right w:val="none" w:sz="0" w:space="0" w:color="auto"/>
      </w:divBdr>
      <w:divsChild>
        <w:div w:id="73747982">
          <w:marLeft w:val="0"/>
          <w:marRight w:val="0"/>
          <w:marTop w:val="0"/>
          <w:marBottom w:val="0"/>
          <w:divBdr>
            <w:top w:val="none" w:sz="0" w:space="0" w:color="auto"/>
            <w:left w:val="none" w:sz="0" w:space="0" w:color="auto"/>
            <w:bottom w:val="none" w:sz="0" w:space="0" w:color="auto"/>
            <w:right w:val="none" w:sz="0" w:space="0" w:color="auto"/>
          </w:divBdr>
          <w:divsChild>
            <w:div w:id="1441878829">
              <w:marLeft w:val="0"/>
              <w:marRight w:val="0"/>
              <w:marTop w:val="0"/>
              <w:marBottom w:val="0"/>
              <w:divBdr>
                <w:top w:val="none" w:sz="0" w:space="0" w:color="auto"/>
                <w:left w:val="none" w:sz="0" w:space="0" w:color="auto"/>
                <w:bottom w:val="none" w:sz="0" w:space="0" w:color="auto"/>
                <w:right w:val="none" w:sz="0" w:space="0" w:color="auto"/>
              </w:divBdr>
            </w:div>
          </w:divsChild>
        </w:div>
        <w:div w:id="183449254">
          <w:marLeft w:val="0"/>
          <w:marRight w:val="0"/>
          <w:marTop w:val="0"/>
          <w:marBottom w:val="0"/>
          <w:divBdr>
            <w:top w:val="none" w:sz="0" w:space="0" w:color="auto"/>
            <w:left w:val="none" w:sz="0" w:space="0" w:color="auto"/>
            <w:bottom w:val="none" w:sz="0" w:space="0" w:color="auto"/>
            <w:right w:val="none" w:sz="0" w:space="0" w:color="auto"/>
          </w:divBdr>
        </w:div>
        <w:div w:id="296953182">
          <w:marLeft w:val="0"/>
          <w:marRight w:val="0"/>
          <w:marTop w:val="0"/>
          <w:marBottom w:val="0"/>
          <w:divBdr>
            <w:top w:val="none" w:sz="0" w:space="0" w:color="auto"/>
            <w:left w:val="none" w:sz="0" w:space="0" w:color="auto"/>
            <w:bottom w:val="none" w:sz="0" w:space="0" w:color="auto"/>
            <w:right w:val="none" w:sz="0" w:space="0" w:color="auto"/>
          </w:divBdr>
        </w:div>
      </w:divsChild>
    </w:div>
    <w:div w:id="558369794">
      <w:bodyDiv w:val="1"/>
      <w:marLeft w:val="0"/>
      <w:marRight w:val="0"/>
      <w:marTop w:val="0"/>
      <w:marBottom w:val="0"/>
      <w:divBdr>
        <w:top w:val="none" w:sz="0" w:space="0" w:color="auto"/>
        <w:left w:val="none" w:sz="0" w:space="0" w:color="auto"/>
        <w:bottom w:val="none" w:sz="0" w:space="0" w:color="auto"/>
        <w:right w:val="none" w:sz="0" w:space="0" w:color="auto"/>
      </w:divBdr>
    </w:div>
    <w:div w:id="576521275">
      <w:bodyDiv w:val="1"/>
      <w:marLeft w:val="0"/>
      <w:marRight w:val="0"/>
      <w:marTop w:val="0"/>
      <w:marBottom w:val="0"/>
      <w:divBdr>
        <w:top w:val="none" w:sz="0" w:space="0" w:color="auto"/>
        <w:left w:val="none" w:sz="0" w:space="0" w:color="auto"/>
        <w:bottom w:val="none" w:sz="0" w:space="0" w:color="auto"/>
        <w:right w:val="none" w:sz="0" w:space="0" w:color="auto"/>
      </w:divBdr>
    </w:div>
    <w:div w:id="597106861">
      <w:bodyDiv w:val="1"/>
      <w:marLeft w:val="0"/>
      <w:marRight w:val="0"/>
      <w:marTop w:val="0"/>
      <w:marBottom w:val="0"/>
      <w:divBdr>
        <w:top w:val="none" w:sz="0" w:space="0" w:color="auto"/>
        <w:left w:val="none" w:sz="0" w:space="0" w:color="auto"/>
        <w:bottom w:val="none" w:sz="0" w:space="0" w:color="auto"/>
        <w:right w:val="none" w:sz="0" w:space="0" w:color="auto"/>
      </w:divBdr>
    </w:div>
    <w:div w:id="673529409">
      <w:bodyDiv w:val="1"/>
      <w:marLeft w:val="0"/>
      <w:marRight w:val="0"/>
      <w:marTop w:val="0"/>
      <w:marBottom w:val="0"/>
      <w:divBdr>
        <w:top w:val="none" w:sz="0" w:space="0" w:color="auto"/>
        <w:left w:val="none" w:sz="0" w:space="0" w:color="auto"/>
        <w:bottom w:val="none" w:sz="0" w:space="0" w:color="auto"/>
        <w:right w:val="none" w:sz="0" w:space="0" w:color="auto"/>
      </w:divBdr>
    </w:div>
    <w:div w:id="678123603">
      <w:bodyDiv w:val="1"/>
      <w:marLeft w:val="0"/>
      <w:marRight w:val="0"/>
      <w:marTop w:val="0"/>
      <w:marBottom w:val="0"/>
      <w:divBdr>
        <w:top w:val="none" w:sz="0" w:space="0" w:color="auto"/>
        <w:left w:val="none" w:sz="0" w:space="0" w:color="auto"/>
        <w:bottom w:val="none" w:sz="0" w:space="0" w:color="auto"/>
        <w:right w:val="none" w:sz="0" w:space="0" w:color="auto"/>
      </w:divBdr>
    </w:div>
    <w:div w:id="686904504">
      <w:bodyDiv w:val="1"/>
      <w:marLeft w:val="0"/>
      <w:marRight w:val="0"/>
      <w:marTop w:val="0"/>
      <w:marBottom w:val="0"/>
      <w:divBdr>
        <w:top w:val="none" w:sz="0" w:space="0" w:color="auto"/>
        <w:left w:val="none" w:sz="0" w:space="0" w:color="auto"/>
        <w:bottom w:val="none" w:sz="0" w:space="0" w:color="auto"/>
        <w:right w:val="none" w:sz="0" w:space="0" w:color="auto"/>
      </w:divBdr>
    </w:div>
    <w:div w:id="695498775">
      <w:bodyDiv w:val="1"/>
      <w:marLeft w:val="0"/>
      <w:marRight w:val="0"/>
      <w:marTop w:val="0"/>
      <w:marBottom w:val="0"/>
      <w:divBdr>
        <w:top w:val="none" w:sz="0" w:space="0" w:color="auto"/>
        <w:left w:val="none" w:sz="0" w:space="0" w:color="auto"/>
        <w:bottom w:val="none" w:sz="0" w:space="0" w:color="auto"/>
        <w:right w:val="none" w:sz="0" w:space="0" w:color="auto"/>
      </w:divBdr>
    </w:div>
    <w:div w:id="701980955">
      <w:bodyDiv w:val="1"/>
      <w:marLeft w:val="0"/>
      <w:marRight w:val="0"/>
      <w:marTop w:val="0"/>
      <w:marBottom w:val="0"/>
      <w:divBdr>
        <w:top w:val="none" w:sz="0" w:space="0" w:color="auto"/>
        <w:left w:val="none" w:sz="0" w:space="0" w:color="auto"/>
        <w:bottom w:val="none" w:sz="0" w:space="0" w:color="auto"/>
        <w:right w:val="none" w:sz="0" w:space="0" w:color="auto"/>
      </w:divBdr>
      <w:divsChild>
        <w:div w:id="490872802">
          <w:marLeft w:val="0"/>
          <w:marRight w:val="0"/>
          <w:marTop w:val="0"/>
          <w:marBottom w:val="0"/>
          <w:divBdr>
            <w:top w:val="none" w:sz="0" w:space="0" w:color="auto"/>
            <w:left w:val="none" w:sz="0" w:space="0" w:color="auto"/>
            <w:bottom w:val="none" w:sz="0" w:space="0" w:color="auto"/>
            <w:right w:val="none" w:sz="0" w:space="0" w:color="auto"/>
          </w:divBdr>
          <w:divsChild>
            <w:div w:id="1205674771">
              <w:marLeft w:val="0"/>
              <w:marRight w:val="0"/>
              <w:marTop w:val="0"/>
              <w:marBottom w:val="0"/>
              <w:divBdr>
                <w:top w:val="none" w:sz="0" w:space="0" w:color="auto"/>
                <w:left w:val="none" w:sz="0" w:space="0" w:color="auto"/>
                <w:bottom w:val="none" w:sz="0" w:space="0" w:color="auto"/>
                <w:right w:val="none" w:sz="0" w:space="0" w:color="auto"/>
              </w:divBdr>
            </w:div>
          </w:divsChild>
        </w:div>
        <w:div w:id="850922747">
          <w:marLeft w:val="0"/>
          <w:marRight w:val="0"/>
          <w:marTop w:val="0"/>
          <w:marBottom w:val="0"/>
          <w:divBdr>
            <w:top w:val="none" w:sz="0" w:space="0" w:color="auto"/>
            <w:left w:val="none" w:sz="0" w:space="0" w:color="auto"/>
            <w:bottom w:val="none" w:sz="0" w:space="0" w:color="auto"/>
            <w:right w:val="none" w:sz="0" w:space="0" w:color="auto"/>
          </w:divBdr>
        </w:div>
        <w:div w:id="1925842809">
          <w:marLeft w:val="0"/>
          <w:marRight w:val="0"/>
          <w:marTop w:val="0"/>
          <w:marBottom w:val="0"/>
          <w:divBdr>
            <w:top w:val="none" w:sz="0" w:space="0" w:color="auto"/>
            <w:left w:val="none" w:sz="0" w:space="0" w:color="auto"/>
            <w:bottom w:val="none" w:sz="0" w:space="0" w:color="auto"/>
            <w:right w:val="none" w:sz="0" w:space="0" w:color="auto"/>
          </w:divBdr>
        </w:div>
      </w:divsChild>
    </w:div>
    <w:div w:id="706175336">
      <w:bodyDiv w:val="1"/>
      <w:marLeft w:val="0"/>
      <w:marRight w:val="0"/>
      <w:marTop w:val="0"/>
      <w:marBottom w:val="0"/>
      <w:divBdr>
        <w:top w:val="none" w:sz="0" w:space="0" w:color="auto"/>
        <w:left w:val="none" w:sz="0" w:space="0" w:color="auto"/>
        <w:bottom w:val="none" w:sz="0" w:space="0" w:color="auto"/>
        <w:right w:val="none" w:sz="0" w:space="0" w:color="auto"/>
      </w:divBdr>
    </w:div>
    <w:div w:id="718209236">
      <w:bodyDiv w:val="1"/>
      <w:marLeft w:val="0"/>
      <w:marRight w:val="0"/>
      <w:marTop w:val="0"/>
      <w:marBottom w:val="0"/>
      <w:divBdr>
        <w:top w:val="none" w:sz="0" w:space="0" w:color="auto"/>
        <w:left w:val="none" w:sz="0" w:space="0" w:color="auto"/>
        <w:bottom w:val="none" w:sz="0" w:space="0" w:color="auto"/>
        <w:right w:val="none" w:sz="0" w:space="0" w:color="auto"/>
      </w:divBdr>
      <w:divsChild>
        <w:div w:id="1952467512">
          <w:marLeft w:val="0"/>
          <w:marRight w:val="0"/>
          <w:marTop w:val="0"/>
          <w:marBottom w:val="0"/>
          <w:divBdr>
            <w:top w:val="none" w:sz="0" w:space="0" w:color="auto"/>
            <w:left w:val="none" w:sz="0" w:space="0" w:color="auto"/>
            <w:bottom w:val="none" w:sz="0" w:space="0" w:color="auto"/>
            <w:right w:val="none" w:sz="0" w:space="0" w:color="auto"/>
          </w:divBdr>
          <w:divsChild>
            <w:div w:id="175850444">
              <w:marLeft w:val="0"/>
              <w:marRight w:val="0"/>
              <w:marTop w:val="0"/>
              <w:marBottom w:val="0"/>
              <w:divBdr>
                <w:top w:val="none" w:sz="0" w:space="0" w:color="auto"/>
                <w:left w:val="none" w:sz="0" w:space="0" w:color="auto"/>
                <w:bottom w:val="none" w:sz="0" w:space="0" w:color="auto"/>
                <w:right w:val="none" w:sz="0" w:space="0" w:color="auto"/>
              </w:divBdr>
            </w:div>
            <w:div w:id="335882536">
              <w:marLeft w:val="0"/>
              <w:marRight w:val="0"/>
              <w:marTop w:val="0"/>
              <w:marBottom w:val="0"/>
              <w:divBdr>
                <w:top w:val="none" w:sz="0" w:space="0" w:color="auto"/>
                <w:left w:val="none" w:sz="0" w:space="0" w:color="auto"/>
                <w:bottom w:val="none" w:sz="0" w:space="0" w:color="auto"/>
                <w:right w:val="none" w:sz="0" w:space="0" w:color="auto"/>
              </w:divBdr>
            </w:div>
          </w:divsChild>
        </w:div>
        <w:div w:id="1441416738">
          <w:marLeft w:val="0"/>
          <w:marRight w:val="0"/>
          <w:marTop w:val="0"/>
          <w:marBottom w:val="0"/>
          <w:divBdr>
            <w:top w:val="none" w:sz="0" w:space="0" w:color="auto"/>
            <w:left w:val="none" w:sz="0" w:space="0" w:color="auto"/>
            <w:bottom w:val="none" w:sz="0" w:space="0" w:color="auto"/>
            <w:right w:val="none" w:sz="0" w:space="0" w:color="auto"/>
          </w:divBdr>
        </w:div>
      </w:divsChild>
    </w:div>
    <w:div w:id="731581695">
      <w:bodyDiv w:val="1"/>
      <w:marLeft w:val="0"/>
      <w:marRight w:val="0"/>
      <w:marTop w:val="0"/>
      <w:marBottom w:val="0"/>
      <w:divBdr>
        <w:top w:val="none" w:sz="0" w:space="0" w:color="auto"/>
        <w:left w:val="none" w:sz="0" w:space="0" w:color="auto"/>
        <w:bottom w:val="none" w:sz="0" w:space="0" w:color="auto"/>
        <w:right w:val="none" w:sz="0" w:space="0" w:color="auto"/>
      </w:divBdr>
      <w:divsChild>
        <w:div w:id="516698957">
          <w:marLeft w:val="0"/>
          <w:marRight w:val="0"/>
          <w:marTop w:val="0"/>
          <w:marBottom w:val="0"/>
          <w:divBdr>
            <w:top w:val="none" w:sz="0" w:space="0" w:color="auto"/>
            <w:left w:val="none" w:sz="0" w:space="0" w:color="auto"/>
            <w:bottom w:val="none" w:sz="0" w:space="0" w:color="auto"/>
            <w:right w:val="none" w:sz="0" w:space="0" w:color="auto"/>
          </w:divBdr>
          <w:divsChild>
            <w:div w:id="301925645">
              <w:marLeft w:val="0"/>
              <w:marRight w:val="0"/>
              <w:marTop w:val="0"/>
              <w:marBottom w:val="0"/>
              <w:divBdr>
                <w:top w:val="none" w:sz="0" w:space="0" w:color="auto"/>
                <w:left w:val="none" w:sz="0" w:space="0" w:color="auto"/>
                <w:bottom w:val="none" w:sz="0" w:space="0" w:color="auto"/>
                <w:right w:val="none" w:sz="0" w:space="0" w:color="auto"/>
              </w:divBdr>
            </w:div>
            <w:div w:id="12751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25111">
      <w:bodyDiv w:val="1"/>
      <w:marLeft w:val="0"/>
      <w:marRight w:val="0"/>
      <w:marTop w:val="0"/>
      <w:marBottom w:val="0"/>
      <w:divBdr>
        <w:top w:val="none" w:sz="0" w:space="0" w:color="auto"/>
        <w:left w:val="none" w:sz="0" w:space="0" w:color="auto"/>
        <w:bottom w:val="none" w:sz="0" w:space="0" w:color="auto"/>
        <w:right w:val="none" w:sz="0" w:space="0" w:color="auto"/>
      </w:divBdr>
      <w:divsChild>
        <w:div w:id="1558516374">
          <w:marLeft w:val="0"/>
          <w:marRight w:val="0"/>
          <w:marTop w:val="0"/>
          <w:marBottom w:val="0"/>
          <w:divBdr>
            <w:top w:val="none" w:sz="0" w:space="0" w:color="auto"/>
            <w:left w:val="none" w:sz="0" w:space="0" w:color="auto"/>
            <w:bottom w:val="none" w:sz="0" w:space="0" w:color="auto"/>
            <w:right w:val="none" w:sz="0" w:space="0" w:color="auto"/>
          </w:divBdr>
          <w:divsChild>
            <w:div w:id="1248685810">
              <w:marLeft w:val="0"/>
              <w:marRight w:val="0"/>
              <w:marTop w:val="0"/>
              <w:marBottom w:val="0"/>
              <w:divBdr>
                <w:top w:val="none" w:sz="0" w:space="0" w:color="auto"/>
                <w:left w:val="none" w:sz="0" w:space="0" w:color="auto"/>
                <w:bottom w:val="none" w:sz="0" w:space="0" w:color="auto"/>
                <w:right w:val="none" w:sz="0" w:space="0" w:color="auto"/>
              </w:divBdr>
            </w:div>
          </w:divsChild>
        </w:div>
        <w:div w:id="347562969">
          <w:marLeft w:val="0"/>
          <w:marRight w:val="0"/>
          <w:marTop w:val="0"/>
          <w:marBottom w:val="0"/>
          <w:divBdr>
            <w:top w:val="none" w:sz="0" w:space="0" w:color="auto"/>
            <w:left w:val="none" w:sz="0" w:space="0" w:color="auto"/>
            <w:bottom w:val="none" w:sz="0" w:space="0" w:color="auto"/>
            <w:right w:val="none" w:sz="0" w:space="0" w:color="auto"/>
          </w:divBdr>
        </w:div>
      </w:divsChild>
    </w:div>
    <w:div w:id="803502856">
      <w:bodyDiv w:val="1"/>
      <w:marLeft w:val="0"/>
      <w:marRight w:val="0"/>
      <w:marTop w:val="0"/>
      <w:marBottom w:val="0"/>
      <w:divBdr>
        <w:top w:val="none" w:sz="0" w:space="0" w:color="auto"/>
        <w:left w:val="none" w:sz="0" w:space="0" w:color="auto"/>
        <w:bottom w:val="none" w:sz="0" w:space="0" w:color="auto"/>
        <w:right w:val="none" w:sz="0" w:space="0" w:color="auto"/>
      </w:divBdr>
      <w:divsChild>
        <w:div w:id="1453281668">
          <w:marLeft w:val="0"/>
          <w:marRight w:val="0"/>
          <w:marTop w:val="0"/>
          <w:marBottom w:val="0"/>
          <w:divBdr>
            <w:top w:val="none" w:sz="0" w:space="0" w:color="auto"/>
            <w:left w:val="none" w:sz="0" w:space="0" w:color="auto"/>
            <w:bottom w:val="none" w:sz="0" w:space="0" w:color="auto"/>
            <w:right w:val="none" w:sz="0" w:space="0" w:color="auto"/>
          </w:divBdr>
          <w:divsChild>
            <w:div w:id="210651350">
              <w:marLeft w:val="0"/>
              <w:marRight w:val="0"/>
              <w:marTop w:val="0"/>
              <w:marBottom w:val="0"/>
              <w:divBdr>
                <w:top w:val="none" w:sz="0" w:space="0" w:color="auto"/>
                <w:left w:val="none" w:sz="0" w:space="0" w:color="auto"/>
                <w:bottom w:val="none" w:sz="0" w:space="0" w:color="auto"/>
                <w:right w:val="none" w:sz="0" w:space="0" w:color="auto"/>
              </w:divBdr>
            </w:div>
          </w:divsChild>
        </w:div>
        <w:div w:id="1226840701">
          <w:marLeft w:val="0"/>
          <w:marRight w:val="0"/>
          <w:marTop w:val="0"/>
          <w:marBottom w:val="0"/>
          <w:divBdr>
            <w:top w:val="none" w:sz="0" w:space="0" w:color="auto"/>
            <w:left w:val="none" w:sz="0" w:space="0" w:color="auto"/>
            <w:bottom w:val="none" w:sz="0" w:space="0" w:color="auto"/>
            <w:right w:val="none" w:sz="0" w:space="0" w:color="auto"/>
          </w:divBdr>
        </w:div>
      </w:divsChild>
    </w:div>
    <w:div w:id="820269596">
      <w:bodyDiv w:val="1"/>
      <w:marLeft w:val="0"/>
      <w:marRight w:val="0"/>
      <w:marTop w:val="0"/>
      <w:marBottom w:val="0"/>
      <w:divBdr>
        <w:top w:val="none" w:sz="0" w:space="0" w:color="auto"/>
        <w:left w:val="none" w:sz="0" w:space="0" w:color="auto"/>
        <w:bottom w:val="none" w:sz="0" w:space="0" w:color="auto"/>
        <w:right w:val="none" w:sz="0" w:space="0" w:color="auto"/>
      </w:divBdr>
      <w:divsChild>
        <w:div w:id="20211423">
          <w:marLeft w:val="0"/>
          <w:marRight w:val="0"/>
          <w:marTop w:val="0"/>
          <w:marBottom w:val="0"/>
          <w:divBdr>
            <w:top w:val="none" w:sz="0" w:space="0" w:color="auto"/>
            <w:left w:val="none" w:sz="0" w:space="0" w:color="auto"/>
            <w:bottom w:val="none" w:sz="0" w:space="0" w:color="auto"/>
            <w:right w:val="none" w:sz="0" w:space="0" w:color="auto"/>
          </w:divBdr>
        </w:div>
      </w:divsChild>
    </w:div>
    <w:div w:id="828062704">
      <w:bodyDiv w:val="1"/>
      <w:marLeft w:val="0"/>
      <w:marRight w:val="0"/>
      <w:marTop w:val="0"/>
      <w:marBottom w:val="0"/>
      <w:divBdr>
        <w:top w:val="none" w:sz="0" w:space="0" w:color="auto"/>
        <w:left w:val="none" w:sz="0" w:space="0" w:color="auto"/>
        <w:bottom w:val="none" w:sz="0" w:space="0" w:color="auto"/>
        <w:right w:val="none" w:sz="0" w:space="0" w:color="auto"/>
      </w:divBdr>
      <w:divsChild>
        <w:div w:id="537088238">
          <w:marLeft w:val="0"/>
          <w:marRight w:val="0"/>
          <w:marTop w:val="0"/>
          <w:marBottom w:val="0"/>
          <w:divBdr>
            <w:top w:val="none" w:sz="0" w:space="0" w:color="auto"/>
            <w:left w:val="none" w:sz="0" w:space="0" w:color="auto"/>
            <w:bottom w:val="none" w:sz="0" w:space="0" w:color="auto"/>
            <w:right w:val="none" w:sz="0" w:space="0" w:color="auto"/>
          </w:divBdr>
        </w:div>
        <w:div w:id="1191065572">
          <w:marLeft w:val="0"/>
          <w:marRight w:val="0"/>
          <w:marTop w:val="0"/>
          <w:marBottom w:val="0"/>
          <w:divBdr>
            <w:top w:val="none" w:sz="0" w:space="0" w:color="auto"/>
            <w:left w:val="none" w:sz="0" w:space="0" w:color="auto"/>
            <w:bottom w:val="none" w:sz="0" w:space="0" w:color="auto"/>
            <w:right w:val="none" w:sz="0" w:space="0" w:color="auto"/>
          </w:divBdr>
          <w:divsChild>
            <w:div w:id="1062798732">
              <w:marLeft w:val="0"/>
              <w:marRight w:val="0"/>
              <w:marTop w:val="0"/>
              <w:marBottom w:val="0"/>
              <w:divBdr>
                <w:top w:val="none" w:sz="0" w:space="0" w:color="auto"/>
                <w:left w:val="none" w:sz="0" w:space="0" w:color="auto"/>
                <w:bottom w:val="none" w:sz="0" w:space="0" w:color="auto"/>
                <w:right w:val="none" w:sz="0" w:space="0" w:color="auto"/>
              </w:divBdr>
              <w:divsChild>
                <w:div w:id="76030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09883">
      <w:bodyDiv w:val="1"/>
      <w:marLeft w:val="0"/>
      <w:marRight w:val="0"/>
      <w:marTop w:val="0"/>
      <w:marBottom w:val="0"/>
      <w:divBdr>
        <w:top w:val="none" w:sz="0" w:space="0" w:color="auto"/>
        <w:left w:val="none" w:sz="0" w:space="0" w:color="auto"/>
        <w:bottom w:val="none" w:sz="0" w:space="0" w:color="auto"/>
        <w:right w:val="none" w:sz="0" w:space="0" w:color="auto"/>
      </w:divBdr>
    </w:div>
    <w:div w:id="846947892">
      <w:bodyDiv w:val="1"/>
      <w:marLeft w:val="0"/>
      <w:marRight w:val="0"/>
      <w:marTop w:val="0"/>
      <w:marBottom w:val="0"/>
      <w:divBdr>
        <w:top w:val="none" w:sz="0" w:space="0" w:color="auto"/>
        <w:left w:val="none" w:sz="0" w:space="0" w:color="auto"/>
        <w:bottom w:val="none" w:sz="0" w:space="0" w:color="auto"/>
        <w:right w:val="none" w:sz="0" w:space="0" w:color="auto"/>
      </w:divBdr>
      <w:divsChild>
        <w:div w:id="2068456932">
          <w:marLeft w:val="0"/>
          <w:marRight w:val="0"/>
          <w:marTop w:val="0"/>
          <w:marBottom w:val="0"/>
          <w:divBdr>
            <w:top w:val="none" w:sz="0" w:space="0" w:color="auto"/>
            <w:left w:val="none" w:sz="0" w:space="0" w:color="auto"/>
            <w:bottom w:val="none" w:sz="0" w:space="0" w:color="auto"/>
            <w:right w:val="none" w:sz="0" w:space="0" w:color="auto"/>
          </w:divBdr>
          <w:divsChild>
            <w:div w:id="131481486">
              <w:marLeft w:val="0"/>
              <w:marRight w:val="0"/>
              <w:marTop w:val="0"/>
              <w:marBottom w:val="0"/>
              <w:divBdr>
                <w:top w:val="none" w:sz="0" w:space="0" w:color="auto"/>
                <w:left w:val="none" w:sz="0" w:space="0" w:color="auto"/>
                <w:bottom w:val="none" w:sz="0" w:space="0" w:color="auto"/>
                <w:right w:val="none" w:sz="0" w:space="0" w:color="auto"/>
              </w:divBdr>
            </w:div>
            <w:div w:id="13674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89214">
      <w:bodyDiv w:val="1"/>
      <w:marLeft w:val="0"/>
      <w:marRight w:val="0"/>
      <w:marTop w:val="0"/>
      <w:marBottom w:val="0"/>
      <w:divBdr>
        <w:top w:val="none" w:sz="0" w:space="0" w:color="auto"/>
        <w:left w:val="none" w:sz="0" w:space="0" w:color="auto"/>
        <w:bottom w:val="none" w:sz="0" w:space="0" w:color="auto"/>
        <w:right w:val="none" w:sz="0" w:space="0" w:color="auto"/>
      </w:divBdr>
    </w:div>
    <w:div w:id="866331372">
      <w:bodyDiv w:val="1"/>
      <w:marLeft w:val="0"/>
      <w:marRight w:val="0"/>
      <w:marTop w:val="0"/>
      <w:marBottom w:val="0"/>
      <w:divBdr>
        <w:top w:val="none" w:sz="0" w:space="0" w:color="auto"/>
        <w:left w:val="none" w:sz="0" w:space="0" w:color="auto"/>
        <w:bottom w:val="none" w:sz="0" w:space="0" w:color="auto"/>
        <w:right w:val="none" w:sz="0" w:space="0" w:color="auto"/>
      </w:divBdr>
    </w:div>
    <w:div w:id="875968045">
      <w:bodyDiv w:val="1"/>
      <w:marLeft w:val="0"/>
      <w:marRight w:val="0"/>
      <w:marTop w:val="0"/>
      <w:marBottom w:val="0"/>
      <w:divBdr>
        <w:top w:val="none" w:sz="0" w:space="0" w:color="auto"/>
        <w:left w:val="none" w:sz="0" w:space="0" w:color="auto"/>
        <w:bottom w:val="none" w:sz="0" w:space="0" w:color="auto"/>
        <w:right w:val="none" w:sz="0" w:space="0" w:color="auto"/>
      </w:divBdr>
    </w:div>
    <w:div w:id="881163892">
      <w:bodyDiv w:val="1"/>
      <w:marLeft w:val="0"/>
      <w:marRight w:val="0"/>
      <w:marTop w:val="0"/>
      <w:marBottom w:val="0"/>
      <w:divBdr>
        <w:top w:val="none" w:sz="0" w:space="0" w:color="auto"/>
        <w:left w:val="none" w:sz="0" w:space="0" w:color="auto"/>
        <w:bottom w:val="none" w:sz="0" w:space="0" w:color="auto"/>
        <w:right w:val="none" w:sz="0" w:space="0" w:color="auto"/>
      </w:divBdr>
    </w:div>
    <w:div w:id="891189078">
      <w:bodyDiv w:val="1"/>
      <w:marLeft w:val="0"/>
      <w:marRight w:val="0"/>
      <w:marTop w:val="0"/>
      <w:marBottom w:val="0"/>
      <w:divBdr>
        <w:top w:val="none" w:sz="0" w:space="0" w:color="auto"/>
        <w:left w:val="none" w:sz="0" w:space="0" w:color="auto"/>
        <w:bottom w:val="none" w:sz="0" w:space="0" w:color="auto"/>
        <w:right w:val="none" w:sz="0" w:space="0" w:color="auto"/>
      </w:divBdr>
    </w:div>
    <w:div w:id="920023952">
      <w:bodyDiv w:val="1"/>
      <w:marLeft w:val="0"/>
      <w:marRight w:val="0"/>
      <w:marTop w:val="0"/>
      <w:marBottom w:val="0"/>
      <w:divBdr>
        <w:top w:val="none" w:sz="0" w:space="0" w:color="auto"/>
        <w:left w:val="none" w:sz="0" w:space="0" w:color="auto"/>
        <w:bottom w:val="none" w:sz="0" w:space="0" w:color="auto"/>
        <w:right w:val="none" w:sz="0" w:space="0" w:color="auto"/>
      </w:divBdr>
    </w:div>
    <w:div w:id="929434833">
      <w:bodyDiv w:val="1"/>
      <w:marLeft w:val="0"/>
      <w:marRight w:val="0"/>
      <w:marTop w:val="0"/>
      <w:marBottom w:val="0"/>
      <w:divBdr>
        <w:top w:val="none" w:sz="0" w:space="0" w:color="auto"/>
        <w:left w:val="none" w:sz="0" w:space="0" w:color="auto"/>
        <w:bottom w:val="none" w:sz="0" w:space="0" w:color="auto"/>
        <w:right w:val="none" w:sz="0" w:space="0" w:color="auto"/>
      </w:divBdr>
      <w:divsChild>
        <w:div w:id="1473866709">
          <w:marLeft w:val="0"/>
          <w:marRight w:val="0"/>
          <w:marTop w:val="0"/>
          <w:marBottom w:val="0"/>
          <w:divBdr>
            <w:top w:val="none" w:sz="0" w:space="0" w:color="auto"/>
            <w:left w:val="none" w:sz="0" w:space="0" w:color="auto"/>
            <w:bottom w:val="none" w:sz="0" w:space="0" w:color="auto"/>
            <w:right w:val="none" w:sz="0" w:space="0" w:color="auto"/>
          </w:divBdr>
          <w:divsChild>
            <w:div w:id="1743720008">
              <w:marLeft w:val="0"/>
              <w:marRight w:val="0"/>
              <w:marTop w:val="0"/>
              <w:marBottom w:val="0"/>
              <w:divBdr>
                <w:top w:val="none" w:sz="0" w:space="0" w:color="auto"/>
                <w:left w:val="none" w:sz="0" w:space="0" w:color="auto"/>
                <w:bottom w:val="none" w:sz="0" w:space="0" w:color="auto"/>
                <w:right w:val="none" w:sz="0" w:space="0" w:color="auto"/>
              </w:divBdr>
            </w:div>
            <w:div w:id="1939680918">
              <w:marLeft w:val="0"/>
              <w:marRight w:val="0"/>
              <w:marTop w:val="0"/>
              <w:marBottom w:val="0"/>
              <w:divBdr>
                <w:top w:val="none" w:sz="0" w:space="0" w:color="auto"/>
                <w:left w:val="none" w:sz="0" w:space="0" w:color="auto"/>
                <w:bottom w:val="none" w:sz="0" w:space="0" w:color="auto"/>
                <w:right w:val="none" w:sz="0" w:space="0" w:color="auto"/>
              </w:divBdr>
            </w:div>
          </w:divsChild>
        </w:div>
        <w:div w:id="2039701434">
          <w:marLeft w:val="0"/>
          <w:marRight w:val="0"/>
          <w:marTop w:val="0"/>
          <w:marBottom w:val="0"/>
          <w:divBdr>
            <w:top w:val="none" w:sz="0" w:space="0" w:color="auto"/>
            <w:left w:val="none" w:sz="0" w:space="0" w:color="auto"/>
            <w:bottom w:val="none" w:sz="0" w:space="0" w:color="auto"/>
            <w:right w:val="none" w:sz="0" w:space="0" w:color="auto"/>
          </w:divBdr>
        </w:div>
        <w:div w:id="58983150">
          <w:marLeft w:val="0"/>
          <w:marRight w:val="0"/>
          <w:marTop w:val="0"/>
          <w:marBottom w:val="0"/>
          <w:divBdr>
            <w:top w:val="none" w:sz="0" w:space="0" w:color="auto"/>
            <w:left w:val="none" w:sz="0" w:space="0" w:color="auto"/>
            <w:bottom w:val="none" w:sz="0" w:space="0" w:color="auto"/>
            <w:right w:val="none" w:sz="0" w:space="0" w:color="auto"/>
          </w:divBdr>
        </w:div>
        <w:div w:id="1852645537">
          <w:marLeft w:val="0"/>
          <w:marRight w:val="0"/>
          <w:marTop w:val="0"/>
          <w:marBottom w:val="0"/>
          <w:divBdr>
            <w:top w:val="none" w:sz="0" w:space="0" w:color="auto"/>
            <w:left w:val="none" w:sz="0" w:space="0" w:color="auto"/>
            <w:bottom w:val="none" w:sz="0" w:space="0" w:color="auto"/>
            <w:right w:val="none" w:sz="0" w:space="0" w:color="auto"/>
          </w:divBdr>
          <w:divsChild>
            <w:div w:id="1775244406">
              <w:marLeft w:val="0"/>
              <w:marRight w:val="0"/>
              <w:marTop w:val="0"/>
              <w:marBottom w:val="0"/>
              <w:divBdr>
                <w:top w:val="none" w:sz="0" w:space="0" w:color="auto"/>
                <w:left w:val="none" w:sz="0" w:space="0" w:color="auto"/>
                <w:bottom w:val="none" w:sz="0" w:space="0" w:color="auto"/>
                <w:right w:val="none" w:sz="0" w:space="0" w:color="auto"/>
              </w:divBdr>
            </w:div>
          </w:divsChild>
        </w:div>
        <w:div w:id="1441486494">
          <w:marLeft w:val="0"/>
          <w:marRight w:val="0"/>
          <w:marTop w:val="0"/>
          <w:marBottom w:val="0"/>
          <w:divBdr>
            <w:top w:val="none" w:sz="0" w:space="0" w:color="auto"/>
            <w:left w:val="none" w:sz="0" w:space="0" w:color="auto"/>
            <w:bottom w:val="none" w:sz="0" w:space="0" w:color="auto"/>
            <w:right w:val="none" w:sz="0" w:space="0" w:color="auto"/>
          </w:divBdr>
        </w:div>
        <w:div w:id="260459872">
          <w:marLeft w:val="0"/>
          <w:marRight w:val="0"/>
          <w:marTop w:val="0"/>
          <w:marBottom w:val="0"/>
          <w:divBdr>
            <w:top w:val="none" w:sz="0" w:space="0" w:color="auto"/>
            <w:left w:val="none" w:sz="0" w:space="0" w:color="auto"/>
            <w:bottom w:val="none" w:sz="0" w:space="0" w:color="auto"/>
            <w:right w:val="none" w:sz="0" w:space="0" w:color="auto"/>
          </w:divBdr>
        </w:div>
        <w:div w:id="141898299">
          <w:marLeft w:val="0"/>
          <w:marRight w:val="0"/>
          <w:marTop w:val="0"/>
          <w:marBottom w:val="0"/>
          <w:divBdr>
            <w:top w:val="none" w:sz="0" w:space="0" w:color="auto"/>
            <w:left w:val="none" w:sz="0" w:space="0" w:color="auto"/>
            <w:bottom w:val="none" w:sz="0" w:space="0" w:color="auto"/>
            <w:right w:val="none" w:sz="0" w:space="0" w:color="auto"/>
          </w:divBdr>
        </w:div>
        <w:div w:id="224224256">
          <w:marLeft w:val="0"/>
          <w:marRight w:val="0"/>
          <w:marTop w:val="0"/>
          <w:marBottom w:val="0"/>
          <w:divBdr>
            <w:top w:val="none" w:sz="0" w:space="0" w:color="auto"/>
            <w:left w:val="none" w:sz="0" w:space="0" w:color="auto"/>
            <w:bottom w:val="none" w:sz="0" w:space="0" w:color="auto"/>
            <w:right w:val="none" w:sz="0" w:space="0" w:color="auto"/>
          </w:divBdr>
        </w:div>
        <w:div w:id="683703833">
          <w:marLeft w:val="0"/>
          <w:marRight w:val="0"/>
          <w:marTop w:val="0"/>
          <w:marBottom w:val="0"/>
          <w:divBdr>
            <w:top w:val="none" w:sz="0" w:space="0" w:color="auto"/>
            <w:left w:val="none" w:sz="0" w:space="0" w:color="auto"/>
            <w:bottom w:val="none" w:sz="0" w:space="0" w:color="auto"/>
            <w:right w:val="none" w:sz="0" w:space="0" w:color="auto"/>
          </w:divBdr>
          <w:divsChild>
            <w:div w:id="2019848560">
              <w:marLeft w:val="0"/>
              <w:marRight w:val="0"/>
              <w:marTop w:val="0"/>
              <w:marBottom w:val="0"/>
              <w:divBdr>
                <w:top w:val="none" w:sz="0" w:space="0" w:color="auto"/>
                <w:left w:val="none" w:sz="0" w:space="0" w:color="auto"/>
                <w:bottom w:val="none" w:sz="0" w:space="0" w:color="auto"/>
                <w:right w:val="none" w:sz="0" w:space="0" w:color="auto"/>
              </w:divBdr>
            </w:div>
            <w:div w:id="2075397579">
              <w:marLeft w:val="0"/>
              <w:marRight w:val="0"/>
              <w:marTop w:val="0"/>
              <w:marBottom w:val="0"/>
              <w:divBdr>
                <w:top w:val="none" w:sz="0" w:space="0" w:color="auto"/>
                <w:left w:val="none" w:sz="0" w:space="0" w:color="auto"/>
                <w:bottom w:val="none" w:sz="0" w:space="0" w:color="auto"/>
                <w:right w:val="none" w:sz="0" w:space="0" w:color="auto"/>
              </w:divBdr>
            </w:div>
          </w:divsChild>
        </w:div>
        <w:div w:id="556479108">
          <w:marLeft w:val="0"/>
          <w:marRight w:val="0"/>
          <w:marTop w:val="0"/>
          <w:marBottom w:val="0"/>
          <w:divBdr>
            <w:top w:val="none" w:sz="0" w:space="0" w:color="auto"/>
            <w:left w:val="none" w:sz="0" w:space="0" w:color="auto"/>
            <w:bottom w:val="none" w:sz="0" w:space="0" w:color="auto"/>
            <w:right w:val="none" w:sz="0" w:space="0" w:color="auto"/>
          </w:divBdr>
        </w:div>
        <w:div w:id="306205715">
          <w:marLeft w:val="0"/>
          <w:marRight w:val="0"/>
          <w:marTop w:val="0"/>
          <w:marBottom w:val="0"/>
          <w:divBdr>
            <w:top w:val="none" w:sz="0" w:space="0" w:color="auto"/>
            <w:left w:val="none" w:sz="0" w:space="0" w:color="auto"/>
            <w:bottom w:val="none" w:sz="0" w:space="0" w:color="auto"/>
            <w:right w:val="none" w:sz="0" w:space="0" w:color="auto"/>
          </w:divBdr>
        </w:div>
        <w:div w:id="2085300441">
          <w:marLeft w:val="0"/>
          <w:marRight w:val="0"/>
          <w:marTop w:val="0"/>
          <w:marBottom w:val="0"/>
          <w:divBdr>
            <w:top w:val="none" w:sz="0" w:space="0" w:color="auto"/>
            <w:left w:val="none" w:sz="0" w:space="0" w:color="auto"/>
            <w:bottom w:val="none" w:sz="0" w:space="0" w:color="auto"/>
            <w:right w:val="none" w:sz="0" w:space="0" w:color="auto"/>
          </w:divBdr>
          <w:divsChild>
            <w:div w:id="126628924">
              <w:marLeft w:val="0"/>
              <w:marRight w:val="0"/>
              <w:marTop w:val="0"/>
              <w:marBottom w:val="0"/>
              <w:divBdr>
                <w:top w:val="none" w:sz="0" w:space="0" w:color="auto"/>
                <w:left w:val="none" w:sz="0" w:space="0" w:color="auto"/>
                <w:bottom w:val="none" w:sz="0" w:space="0" w:color="auto"/>
                <w:right w:val="none" w:sz="0" w:space="0" w:color="auto"/>
              </w:divBdr>
            </w:div>
            <w:div w:id="72704040">
              <w:marLeft w:val="0"/>
              <w:marRight w:val="0"/>
              <w:marTop w:val="0"/>
              <w:marBottom w:val="0"/>
              <w:divBdr>
                <w:top w:val="none" w:sz="0" w:space="0" w:color="auto"/>
                <w:left w:val="none" w:sz="0" w:space="0" w:color="auto"/>
                <w:bottom w:val="none" w:sz="0" w:space="0" w:color="auto"/>
                <w:right w:val="none" w:sz="0" w:space="0" w:color="auto"/>
              </w:divBdr>
            </w:div>
          </w:divsChild>
        </w:div>
        <w:div w:id="548762990">
          <w:marLeft w:val="0"/>
          <w:marRight w:val="0"/>
          <w:marTop w:val="0"/>
          <w:marBottom w:val="0"/>
          <w:divBdr>
            <w:top w:val="none" w:sz="0" w:space="0" w:color="auto"/>
            <w:left w:val="none" w:sz="0" w:space="0" w:color="auto"/>
            <w:bottom w:val="none" w:sz="0" w:space="0" w:color="auto"/>
            <w:right w:val="none" w:sz="0" w:space="0" w:color="auto"/>
          </w:divBdr>
        </w:div>
      </w:divsChild>
    </w:div>
    <w:div w:id="951088283">
      <w:bodyDiv w:val="1"/>
      <w:marLeft w:val="0"/>
      <w:marRight w:val="0"/>
      <w:marTop w:val="0"/>
      <w:marBottom w:val="0"/>
      <w:divBdr>
        <w:top w:val="none" w:sz="0" w:space="0" w:color="auto"/>
        <w:left w:val="none" w:sz="0" w:space="0" w:color="auto"/>
        <w:bottom w:val="none" w:sz="0" w:space="0" w:color="auto"/>
        <w:right w:val="none" w:sz="0" w:space="0" w:color="auto"/>
      </w:divBdr>
    </w:div>
    <w:div w:id="956252516">
      <w:bodyDiv w:val="1"/>
      <w:marLeft w:val="0"/>
      <w:marRight w:val="0"/>
      <w:marTop w:val="0"/>
      <w:marBottom w:val="0"/>
      <w:divBdr>
        <w:top w:val="none" w:sz="0" w:space="0" w:color="auto"/>
        <w:left w:val="none" w:sz="0" w:space="0" w:color="auto"/>
        <w:bottom w:val="none" w:sz="0" w:space="0" w:color="auto"/>
        <w:right w:val="none" w:sz="0" w:space="0" w:color="auto"/>
      </w:divBdr>
    </w:div>
    <w:div w:id="962345543">
      <w:bodyDiv w:val="1"/>
      <w:marLeft w:val="0"/>
      <w:marRight w:val="0"/>
      <w:marTop w:val="0"/>
      <w:marBottom w:val="0"/>
      <w:divBdr>
        <w:top w:val="none" w:sz="0" w:space="0" w:color="auto"/>
        <w:left w:val="none" w:sz="0" w:space="0" w:color="auto"/>
        <w:bottom w:val="none" w:sz="0" w:space="0" w:color="auto"/>
        <w:right w:val="none" w:sz="0" w:space="0" w:color="auto"/>
      </w:divBdr>
      <w:divsChild>
        <w:div w:id="183255925">
          <w:marLeft w:val="0"/>
          <w:marRight w:val="0"/>
          <w:marTop w:val="0"/>
          <w:marBottom w:val="0"/>
          <w:divBdr>
            <w:top w:val="none" w:sz="0" w:space="0" w:color="auto"/>
            <w:left w:val="none" w:sz="0" w:space="0" w:color="auto"/>
            <w:bottom w:val="none" w:sz="0" w:space="0" w:color="auto"/>
            <w:right w:val="none" w:sz="0" w:space="0" w:color="auto"/>
          </w:divBdr>
          <w:divsChild>
            <w:div w:id="26369501">
              <w:marLeft w:val="0"/>
              <w:marRight w:val="0"/>
              <w:marTop w:val="0"/>
              <w:marBottom w:val="0"/>
              <w:divBdr>
                <w:top w:val="none" w:sz="0" w:space="0" w:color="auto"/>
                <w:left w:val="none" w:sz="0" w:space="0" w:color="auto"/>
                <w:bottom w:val="none" w:sz="0" w:space="0" w:color="auto"/>
                <w:right w:val="none" w:sz="0" w:space="0" w:color="auto"/>
              </w:divBdr>
            </w:div>
          </w:divsChild>
        </w:div>
        <w:div w:id="1872691645">
          <w:marLeft w:val="0"/>
          <w:marRight w:val="0"/>
          <w:marTop w:val="0"/>
          <w:marBottom w:val="0"/>
          <w:divBdr>
            <w:top w:val="none" w:sz="0" w:space="0" w:color="auto"/>
            <w:left w:val="none" w:sz="0" w:space="0" w:color="auto"/>
            <w:bottom w:val="none" w:sz="0" w:space="0" w:color="auto"/>
            <w:right w:val="none" w:sz="0" w:space="0" w:color="auto"/>
          </w:divBdr>
        </w:div>
      </w:divsChild>
    </w:div>
    <w:div w:id="962661530">
      <w:bodyDiv w:val="1"/>
      <w:marLeft w:val="0"/>
      <w:marRight w:val="0"/>
      <w:marTop w:val="0"/>
      <w:marBottom w:val="0"/>
      <w:divBdr>
        <w:top w:val="none" w:sz="0" w:space="0" w:color="auto"/>
        <w:left w:val="none" w:sz="0" w:space="0" w:color="auto"/>
        <w:bottom w:val="none" w:sz="0" w:space="0" w:color="auto"/>
        <w:right w:val="none" w:sz="0" w:space="0" w:color="auto"/>
      </w:divBdr>
      <w:divsChild>
        <w:div w:id="1216307509">
          <w:marLeft w:val="0"/>
          <w:marRight w:val="0"/>
          <w:marTop w:val="0"/>
          <w:marBottom w:val="0"/>
          <w:divBdr>
            <w:top w:val="none" w:sz="0" w:space="0" w:color="auto"/>
            <w:left w:val="none" w:sz="0" w:space="0" w:color="auto"/>
            <w:bottom w:val="none" w:sz="0" w:space="0" w:color="auto"/>
            <w:right w:val="none" w:sz="0" w:space="0" w:color="auto"/>
          </w:divBdr>
          <w:divsChild>
            <w:div w:id="1154562921">
              <w:marLeft w:val="0"/>
              <w:marRight w:val="0"/>
              <w:marTop w:val="0"/>
              <w:marBottom w:val="0"/>
              <w:divBdr>
                <w:top w:val="none" w:sz="0" w:space="0" w:color="auto"/>
                <w:left w:val="none" w:sz="0" w:space="0" w:color="auto"/>
                <w:bottom w:val="none" w:sz="0" w:space="0" w:color="auto"/>
                <w:right w:val="none" w:sz="0" w:space="0" w:color="auto"/>
              </w:divBdr>
            </w:div>
          </w:divsChild>
        </w:div>
        <w:div w:id="1236891471">
          <w:marLeft w:val="0"/>
          <w:marRight w:val="0"/>
          <w:marTop w:val="0"/>
          <w:marBottom w:val="0"/>
          <w:divBdr>
            <w:top w:val="none" w:sz="0" w:space="0" w:color="auto"/>
            <w:left w:val="none" w:sz="0" w:space="0" w:color="auto"/>
            <w:bottom w:val="none" w:sz="0" w:space="0" w:color="auto"/>
            <w:right w:val="none" w:sz="0" w:space="0" w:color="auto"/>
          </w:divBdr>
        </w:div>
      </w:divsChild>
    </w:div>
    <w:div w:id="975649314">
      <w:bodyDiv w:val="1"/>
      <w:marLeft w:val="0"/>
      <w:marRight w:val="0"/>
      <w:marTop w:val="0"/>
      <w:marBottom w:val="0"/>
      <w:divBdr>
        <w:top w:val="none" w:sz="0" w:space="0" w:color="auto"/>
        <w:left w:val="none" w:sz="0" w:space="0" w:color="auto"/>
        <w:bottom w:val="none" w:sz="0" w:space="0" w:color="auto"/>
        <w:right w:val="none" w:sz="0" w:space="0" w:color="auto"/>
      </w:divBdr>
    </w:div>
    <w:div w:id="1004668679">
      <w:bodyDiv w:val="1"/>
      <w:marLeft w:val="0"/>
      <w:marRight w:val="0"/>
      <w:marTop w:val="0"/>
      <w:marBottom w:val="0"/>
      <w:divBdr>
        <w:top w:val="none" w:sz="0" w:space="0" w:color="auto"/>
        <w:left w:val="none" w:sz="0" w:space="0" w:color="auto"/>
        <w:bottom w:val="none" w:sz="0" w:space="0" w:color="auto"/>
        <w:right w:val="none" w:sz="0" w:space="0" w:color="auto"/>
      </w:divBdr>
    </w:div>
    <w:div w:id="1010990389">
      <w:bodyDiv w:val="1"/>
      <w:marLeft w:val="0"/>
      <w:marRight w:val="0"/>
      <w:marTop w:val="0"/>
      <w:marBottom w:val="0"/>
      <w:divBdr>
        <w:top w:val="none" w:sz="0" w:space="0" w:color="auto"/>
        <w:left w:val="none" w:sz="0" w:space="0" w:color="auto"/>
        <w:bottom w:val="none" w:sz="0" w:space="0" w:color="auto"/>
        <w:right w:val="none" w:sz="0" w:space="0" w:color="auto"/>
      </w:divBdr>
      <w:divsChild>
        <w:div w:id="1302425698">
          <w:marLeft w:val="0"/>
          <w:marRight w:val="0"/>
          <w:marTop w:val="0"/>
          <w:marBottom w:val="0"/>
          <w:divBdr>
            <w:top w:val="none" w:sz="0" w:space="0" w:color="auto"/>
            <w:left w:val="none" w:sz="0" w:space="0" w:color="auto"/>
            <w:bottom w:val="none" w:sz="0" w:space="0" w:color="auto"/>
            <w:right w:val="none" w:sz="0" w:space="0" w:color="auto"/>
          </w:divBdr>
          <w:divsChild>
            <w:div w:id="1826386675">
              <w:marLeft w:val="0"/>
              <w:marRight w:val="0"/>
              <w:marTop w:val="0"/>
              <w:marBottom w:val="0"/>
              <w:divBdr>
                <w:top w:val="none" w:sz="0" w:space="0" w:color="auto"/>
                <w:left w:val="none" w:sz="0" w:space="0" w:color="auto"/>
                <w:bottom w:val="none" w:sz="0" w:space="0" w:color="auto"/>
                <w:right w:val="none" w:sz="0" w:space="0" w:color="auto"/>
              </w:divBdr>
            </w:div>
            <w:div w:id="74325523">
              <w:marLeft w:val="0"/>
              <w:marRight w:val="0"/>
              <w:marTop w:val="0"/>
              <w:marBottom w:val="0"/>
              <w:divBdr>
                <w:top w:val="none" w:sz="0" w:space="0" w:color="auto"/>
                <w:left w:val="none" w:sz="0" w:space="0" w:color="auto"/>
                <w:bottom w:val="none" w:sz="0" w:space="0" w:color="auto"/>
                <w:right w:val="none" w:sz="0" w:space="0" w:color="auto"/>
              </w:divBdr>
            </w:div>
          </w:divsChild>
        </w:div>
        <w:div w:id="110175107">
          <w:marLeft w:val="0"/>
          <w:marRight w:val="0"/>
          <w:marTop w:val="0"/>
          <w:marBottom w:val="0"/>
          <w:divBdr>
            <w:top w:val="none" w:sz="0" w:space="0" w:color="auto"/>
            <w:left w:val="none" w:sz="0" w:space="0" w:color="auto"/>
            <w:bottom w:val="none" w:sz="0" w:space="0" w:color="auto"/>
            <w:right w:val="none" w:sz="0" w:space="0" w:color="auto"/>
          </w:divBdr>
        </w:div>
        <w:div w:id="568542393">
          <w:marLeft w:val="0"/>
          <w:marRight w:val="0"/>
          <w:marTop w:val="0"/>
          <w:marBottom w:val="0"/>
          <w:divBdr>
            <w:top w:val="none" w:sz="0" w:space="0" w:color="auto"/>
            <w:left w:val="none" w:sz="0" w:space="0" w:color="auto"/>
            <w:bottom w:val="none" w:sz="0" w:space="0" w:color="auto"/>
            <w:right w:val="none" w:sz="0" w:space="0" w:color="auto"/>
          </w:divBdr>
          <w:divsChild>
            <w:div w:id="1632905369">
              <w:marLeft w:val="0"/>
              <w:marRight w:val="0"/>
              <w:marTop w:val="0"/>
              <w:marBottom w:val="0"/>
              <w:divBdr>
                <w:top w:val="none" w:sz="0" w:space="0" w:color="auto"/>
                <w:left w:val="none" w:sz="0" w:space="0" w:color="auto"/>
                <w:bottom w:val="none" w:sz="0" w:space="0" w:color="auto"/>
                <w:right w:val="none" w:sz="0" w:space="0" w:color="auto"/>
              </w:divBdr>
            </w:div>
            <w:div w:id="17196310">
              <w:marLeft w:val="0"/>
              <w:marRight w:val="0"/>
              <w:marTop w:val="0"/>
              <w:marBottom w:val="0"/>
              <w:divBdr>
                <w:top w:val="none" w:sz="0" w:space="0" w:color="auto"/>
                <w:left w:val="none" w:sz="0" w:space="0" w:color="auto"/>
                <w:bottom w:val="none" w:sz="0" w:space="0" w:color="auto"/>
                <w:right w:val="none" w:sz="0" w:space="0" w:color="auto"/>
              </w:divBdr>
            </w:div>
          </w:divsChild>
        </w:div>
        <w:div w:id="116339188">
          <w:marLeft w:val="0"/>
          <w:marRight w:val="0"/>
          <w:marTop w:val="0"/>
          <w:marBottom w:val="0"/>
          <w:divBdr>
            <w:top w:val="none" w:sz="0" w:space="0" w:color="auto"/>
            <w:left w:val="none" w:sz="0" w:space="0" w:color="auto"/>
            <w:bottom w:val="none" w:sz="0" w:space="0" w:color="auto"/>
            <w:right w:val="none" w:sz="0" w:space="0" w:color="auto"/>
          </w:divBdr>
        </w:div>
        <w:div w:id="1720204174">
          <w:marLeft w:val="0"/>
          <w:marRight w:val="0"/>
          <w:marTop w:val="0"/>
          <w:marBottom w:val="0"/>
          <w:divBdr>
            <w:top w:val="none" w:sz="0" w:space="0" w:color="auto"/>
            <w:left w:val="none" w:sz="0" w:space="0" w:color="auto"/>
            <w:bottom w:val="none" w:sz="0" w:space="0" w:color="auto"/>
            <w:right w:val="none" w:sz="0" w:space="0" w:color="auto"/>
          </w:divBdr>
          <w:divsChild>
            <w:div w:id="1633555620">
              <w:marLeft w:val="0"/>
              <w:marRight w:val="0"/>
              <w:marTop w:val="0"/>
              <w:marBottom w:val="0"/>
              <w:divBdr>
                <w:top w:val="none" w:sz="0" w:space="0" w:color="auto"/>
                <w:left w:val="none" w:sz="0" w:space="0" w:color="auto"/>
                <w:bottom w:val="none" w:sz="0" w:space="0" w:color="auto"/>
                <w:right w:val="none" w:sz="0" w:space="0" w:color="auto"/>
              </w:divBdr>
            </w:div>
            <w:div w:id="1473524142">
              <w:marLeft w:val="0"/>
              <w:marRight w:val="0"/>
              <w:marTop w:val="0"/>
              <w:marBottom w:val="0"/>
              <w:divBdr>
                <w:top w:val="none" w:sz="0" w:space="0" w:color="auto"/>
                <w:left w:val="none" w:sz="0" w:space="0" w:color="auto"/>
                <w:bottom w:val="none" w:sz="0" w:space="0" w:color="auto"/>
                <w:right w:val="none" w:sz="0" w:space="0" w:color="auto"/>
              </w:divBdr>
            </w:div>
          </w:divsChild>
        </w:div>
        <w:div w:id="1537615671">
          <w:marLeft w:val="0"/>
          <w:marRight w:val="0"/>
          <w:marTop w:val="0"/>
          <w:marBottom w:val="0"/>
          <w:divBdr>
            <w:top w:val="none" w:sz="0" w:space="0" w:color="auto"/>
            <w:left w:val="none" w:sz="0" w:space="0" w:color="auto"/>
            <w:bottom w:val="none" w:sz="0" w:space="0" w:color="auto"/>
            <w:right w:val="none" w:sz="0" w:space="0" w:color="auto"/>
          </w:divBdr>
        </w:div>
        <w:div w:id="973483706">
          <w:marLeft w:val="0"/>
          <w:marRight w:val="0"/>
          <w:marTop w:val="0"/>
          <w:marBottom w:val="0"/>
          <w:divBdr>
            <w:top w:val="none" w:sz="0" w:space="0" w:color="auto"/>
            <w:left w:val="none" w:sz="0" w:space="0" w:color="auto"/>
            <w:bottom w:val="none" w:sz="0" w:space="0" w:color="auto"/>
            <w:right w:val="none" w:sz="0" w:space="0" w:color="auto"/>
          </w:divBdr>
          <w:divsChild>
            <w:div w:id="1789353048">
              <w:marLeft w:val="0"/>
              <w:marRight w:val="0"/>
              <w:marTop w:val="0"/>
              <w:marBottom w:val="0"/>
              <w:divBdr>
                <w:top w:val="none" w:sz="0" w:space="0" w:color="auto"/>
                <w:left w:val="none" w:sz="0" w:space="0" w:color="auto"/>
                <w:bottom w:val="none" w:sz="0" w:space="0" w:color="auto"/>
                <w:right w:val="none" w:sz="0" w:space="0" w:color="auto"/>
              </w:divBdr>
            </w:div>
            <w:div w:id="115267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02541">
      <w:bodyDiv w:val="1"/>
      <w:marLeft w:val="0"/>
      <w:marRight w:val="0"/>
      <w:marTop w:val="0"/>
      <w:marBottom w:val="0"/>
      <w:divBdr>
        <w:top w:val="none" w:sz="0" w:space="0" w:color="auto"/>
        <w:left w:val="none" w:sz="0" w:space="0" w:color="auto"/>
        <w:bottom w:val="none" w:sz="0" w:space="0" w:color="auto"/>
        <w:right w:val="none" w:sz="0" w:space="0" w:color="auto"/>
      </w:divBdr>
      <w:divsChild>
        <w:div w:id="346030221">
          <w:marLeft w:val="0"/>
          <w:marRight w:val="0"/>
          <w:marTop w:val="0"/>
          <w:marBottom w:val="0"/>
          <w:divBdr>
            <w:top w:val="none" w:sz="0" w:space="0" w:color="auto"/>
            <w:left w:val="none" w:sz="0" w:space="0" w:color="auto"/>
            <w:bottom w:val="none" w:sz="0" w:space="0" w:color="auto"/>
            <w:right w:val="none" w:sz="0" w:space="0" w:color="auto"/>
          </w:divBdr>
          <w:divsChild>
            <w:div w:id="930315041">
              <w:marLeft w:val="0"/>
              <w:marRight w:val="0"/>
              <w:marTop w:val="0"/>
              <w:marBottom w:val="0"/>
              <w:divBdr>
                <w:top w:val="none" w:sz="0" w:space="0" w:color="auto"/>
                <w:left w:val="none" w:sz="0" w:space="0" w:color="auto"/>
                <w:bottom w:val="none" w:sz="0" w:space="0" w:color="auto"/>
                <w:right w:val="none" w:sz="0" w:space="0" w:color="auto"/>
              </w:divBdr>
            </w:div>
            <w:div w:id="1057778966">
              <w:marLeft w:val="0"/>
              <w:marRight w:val="0"/>
              <w:marTop w:val="0"/>
              <w:marBottom w:val="0"/>
              <w:divBdr>
                <w:top w:val="none" w:sz="0" w:space="0" w:color="auto"/>
                <w:left w:val="none" w:sz="0" w:space="0" w:color="auto"/>
                <w:bottom w:val="none" w:sz="0" w:space="0" w:color="auto"/>
                <w:right w:val="none" w:sz="0" w:space="0" w:color="auto"/>
              </w:divBdr>
            </w:div>
          </w:divsChild>
        </w:div>
        <w:div w:id="494878212">
          <w:marLeft w:val="0"/>
          <w:marRight w:val="0"/>
          <w:marTop w:val="0"/>
          <w:marBottom w:val="0"/>
          <w:divBdr>
            <w:top w:val="none" w:sz="0" w:space="0" w:color="auto"/>
            <w:left w:val="none" w:sz="0" w:space="0" w:color="auto"/>
            <w:bottom w:val="none" w:sz="0" w:space="0" w:color="auto"/>
            <w:right w:val="none" w:sz="0" w:space="0" w:color="auto"/>
          </w:divBdr>
        </w:div>
      </w:divsChild>
    </w:div>
    <w:div w:id="1030689362">
      <w:bodyDiv w:val="1"/>
      <w:marLeft w:val="0"/>
      <w:marRight w:val="0"/>
      <w:marTop w:val="0"/>
      <w:marBottom w:val="0"/>
      <w:divBdr>
        <w:top w:val="none" w:sz="0" w:space="0" w:color="auto"/>
        <w:left w:val="none" w:sz="0" w:space="0" w:color="auto"/>
        <w:bottom w:val="none" w:sz="0" w:space="0" w:color="auto"/>
        <w:right w:val="none" w:sz="0" w:space="0" w:color="auto"/>
      </w:divBdr>
      <w:divsChild>
        <w:div w:id="1149058737">
          <w:marLeft w:val="0"/>
          <w:marRight w:val="0"/>
          <w:marTop w:val="0"/>
          <w:marBottom w:val="0"/>
          <w:divBdr>
            <w:top w:val="none" w:sz="0" w:space="0" w:color="auto"/>
            <w:left w:val="none" w:sz="0" w:space="0" w:color="auto"/>
            <w:bottom w:val="none" w:sz="0" w:space="0" w:color="auto"/>
            <w:right w:val="none" w:sz="0" w:space="0" w:color="auto"/>
          </w:divBdr>
          <w:divsChild>
            <w:div w:id="378742621">
              <w:marLeft w:val="0"/>
              <w:marRight w:val="0"/>
              <w:marTop w:val="0"/>
              <w:marBottom w:val="0"/>
              <w:divBdr>
                <w:top w:val="none" w:sz="0" w:space="0" w:color="auto"/>
                <w:left w:val="none" w:sz="0" w:space="0" w:color="auto"/>
                <w:bottom w:val="none" w:sz="0" w:space="0" w:color="auto"/>
                <w:right w:val="none" w:sz="0" w:space="0" w:color="auto"/>
              </w:divBdr>
            </w:div>
            <w:div w:id="493570979">
              <w:marLeft w:val="0"/>
              <w:marRight w:val="0"/>
              <w:marTop w:val="0"/>
              <w:marBottom w:val="0"/>
              <w:divBdr>
                <w:top w:val="none" w:sz="0" w:space="0" w:color="auto"/>
                <w:left w:val="none" w:sz="0" w:space="0" w:color="auto"/>
                <w:bottom w:val="none" w:sz="0" w:space="0" w:color="auto"/>
                <w:right w:val="none" w:sz="0" w:space="0" w:color="auto"/>
              </w:divBdr>
            </w:div>
          </w:divsChild>
        </w:div>
        <w:div w:id="464351972">
          <w:marLeft w:val="0"/>
          <w:marRight w:val="0"/>
          <w:marTop w:val="0"/>
          <w:marBottom w:val="0"/>
          <w:divBdr>
            <w:top w:val="none" w:sz="0" w:space="0" w:color="auto"/>
            <w:left w:val="none" w:sz="0" w:space="0" w:color="auto"/>
            <w:bottom w:val="none" w:sz="0" w:space="0" w:color="auto"/>
            <w:right w:val="none" w:sz="0" w:space="0" w:color="auto"/>
          </w:divBdr>
        </w:div>
      </w:divsChild>
    </w:div>
    <w:div w:id="1043021204">
      <w:bodyDiv w:val="1"/>
      <w:marLeft w:val="0"/>
      <w:marRight w:val="0"/>
      <w:marTop w:val="0"/>
      <w:marBottom w:val="0"/>
      <w:divBdr>
        <w:top w:val="none" w:sz="0" w:space="0" w:color="auto"/>
        <w:left w:val="none" w:sz="0" w:space="0" w:color="auto"/>
        <w:bottom w:val="none" w:sz="0" w:space="0" w:color="auto"/>
        <w:right w:val="none" w:sz="0" w:space="0" w:color="auto"/>
      </w:divBdr>
    </w:div>
    <w:div w:id="1061439071">
      <w:bodyDiv w:val="1"/>
      <w:marLeft w:val="0"/>
      <w:marRight w:val="0"/>
      <w:marTop w:val="0"/>
      <w:marBottom w:val="0"/>
      <w:divBdr>
        <w:top w:val="none" w:sz="0" w:space="0" w:color="auto"/>
        <w:left w:val="none" w:sz="0" w:space="0" w:color="auto"/>
        <w:bottom w:val="none" w:sz="0" w:space="0" w:color="auto"/>
        <w:right w:val="none" w:sz="0" w:space="0" w:color="auto"/>
      </w:divBdr>
    </w:div>
    <w:div w:id="1081876425">
      <w:bodyDiv w:val="1"/>
      <w:marLeft w:val="0"/>
      <w:marRight w:val="0"/>
      <w:marTop w:val="0"/>
      <w:marBottom w:val="0"/>
      <w:divBdr>
        <w:top w:val="none" w:sz="0" w:space="0" w:color="auto"/>
        <w:left w:val="none" w:sz="0" w:space="0" w:color="auto"/>
        <w:bottom w:val="none" w:sz="0" w:space="0" w:color="auto"/>
        <w:right w:val="none" w:sz="0" w:space="0" w:color="auto"/>
      </w:divBdr>
    </w:div>
    <w:div w:id="1090466072">
      <w:bodyDiv w:val="1"/>
      <w:marLeft w:val="0"/>
      <w:marRight w:val="0"/>
      <w:marTop w:val="0"/>
      <w:marBottom w:val="0"/>
      <w:divBdr>
        <w:top w:val="none" w:sz="0" w:space="0" w:color="auto"/>
        <w:left w:val="none" w:sz="0" w:space="0" w:color="auto"/>
        <w:bottom w:val="none" w:sz="0" w:space="0" w:color="auto"/>
        <w:right w:val="none" w:sz="0" w:space="0" w:color="auto"/>
      </w:divBdr>
      <w:divsChild>
        <w:div w:id="941646069">
          <w:marLeft w:val="0"/>
          <w:marRight w:val="0"/>
          <w:marTop w:val="0"/>
          <w:marBottom w:val="0"/>
          <w:divBdr>
            <w:top w:val="none" w:sz="0" w:space="0" w:color="auto"/>
            <w:left w:val="none" w:sz="0" w:space="0" w:color="auto"/>
            <w:bottom w:val="none" w:sz="0" w:space="0" w:color="auto"/>
            <w:right w:val="none" w:sz="0" w:space="0" w:color="auto"/>
          </w:divBdr>
          <w:divsChild>
            <w:div w:id="2125804312">
              <w:marLeft w:val="0"/>
              <w:marRight w:val="0"/>
              <w:marTop w:val="0"/>
              <w:marBottom w:val="0"/>
              <w:divBdr>
                <w:top w:val="none" w:sz="0" w:space="0" w:color="auto"/>
                <w:left w:val="none" w:sz="0" w:space="0" w:color="auto"/>
                <w:bottom w:val="none" w:sz="0" w:space="0" w:color="auto"/>
                <w:right w:val="none" w:sz="0" w:space="0" w:color="auto"/>
              </w:divBdr>
            </w:div>
          </w:divsChild>
        </w:div>
        <w:div w:id="884373094">
          <w:marLeft w:val="0"/>
          <w:marRight w:val="0"/>
          <w:marTop w:val="0"/>
          <w:marBottom w:val="0"/>
          <w:divBdr>
            <w:top w:val="none" w:sz="0" w:space="0" w:color="auto"/>
            <w:left w:val="none" w:sz="0" w:space="0" w:color="auto"/>
            <w:bottom w:val="none" w:sz="0" w:space="0" w:color="auto"/>
            <w:right w:val="none" w:sz="0" w:space="0" w:color="auto"/>
          </w:divBdr>
        </w:div>
      </w:divsChild>
    </w:div>
    <w:div w:id="1096292525">
      <w:bodyDiv w:val="1"/>
      <w:marLeft w:val="0"/>
      <w:marRight w:val="0"/>
      <w:marTop w:val="0"/>
      <w:marBottom w:val="0"/>
      <w:divBdr>
        <w:top w:val="none" w:sz="0" w:space="0" w:color="auto"/>
        <w:left w:val="none" w:sz="0" w:space="0" w:color="auto"/>
        <w:bottom w:val="none" w:sz="0" w:space="0" w:color="auto"/>
        <w:right w:val="none" w:sz="0" w:space="0" w:color="auto"/>
      </w:divBdr>
    </w:div>
    <w:div w:id="1115977772">
      <w:bodyDiv w:val="1"/>
      <w:marLeft w:val="0"/>
      <w:marRight w:val="0"/>
      <w:marTop w:val="0"/>
      <w:marBottom w:val="0"/>
      <w:divBdr>
        <w:top w:val="none" w:sz="0" w:space="0" w:color="auto"/>
        <w:left w:val="none" w:sz="0" w:space="0" w:color="auto"/>
        <w:bottom w:val="none" w:sz="0" w:space="0" w:color="auto"/>
        <w:right w:val="none" w:sz="0" w:space="0" w:color="auto"/>
      </w:divBdr>
    </w:div>
    <w:div w:id="1116170096">
      <w:bodyDiv w:val="1"/>
      <w:marLeft w:val="0"/>
      <w:marRight w:val="0"/>
      <w:marTop w:val="0"/>
      <w:marBottom w:val="0"/>
      <w:divBdr>
        <w:top w:val="none" w:sz="0" w:space="0" w:color="auto"/>
        <w:left w:val="none" w:sz="0" w:space="0" w:color="auto"/>
        <w:bottom w:val="none" w:sz="0" w:space="0" w:color="auto"/>
        <w:right w:val="none" w:sz="0" w:space="0" w:color="auto"/>
      </w:divBdr>
      <w:divsChild>
        <w:div w:id="1178620261">
          <w:marLeft w:val="0"/>
          <w:marRight w:val="0"/>
          <w:marTop w:val="0"/>
          <w:marBottom w:val="0"/>
          <w:divBdr>
            <w:top w:val="none" w:sz="0" w:space="0" w:color="auto"/>
            <w:left w:val="none" w:sz="0" w:space="0" w:color="auto"/>
            <w:bottom w:val="none" w:sz="0" w:space="0" w:color="auto"/>
            <w:right w:val="none" w:sz="0" w:space="0" w:color="auto"/>
          </w:divBdr>
          <w:divsChild>
            <w:div w:id="943804382">
              <w:marLeft w:val="0"/>
              <w:marRight w:val="0"/>
              <w:marTop w:val="0"/>
              <w:marBottom w:val="0"/>
              <w:divBdr>
                <w:top w:val="none" w:sz="0" w:space="0" w:color="auto"/>
                <w:left w:val="none" w:sz="0" w:space="0" w:color="auto"/>
                <w:bottom w:val="none" w:sz="0" w:space="0" w:color="auto"/>
                <w:right w:val="none" w:sz="0" w:space="0" w:color="auto"/>
              </w:divBdr>
            </w:div>
            <w:div w:id="30469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039196">
      <w:bodyDiv w:val="1"/>
      <w:marLeft w:val="0"/>
      <w:marRight w:val="0"/>
      <w:marTop w:val="0"/>
      <w:marBottom w:val="0"/>
      <w:divBdr>
        <w:top w:val="none" w:sz="0" w:space="0" w:color="auto"/>
        <w:left w:val="none" w:sz="0" w:space="0" w:color="auto"/>
        <w:bottom w:val="none" w:sz="0" w:space="0" w:color="auto"/>
        <w:right w:val="none" w:sz="0" w:space="0" w:color="auto"/>
      </w:divBdr>
      <w:divsChild>
        <w:div w:id="735325413">
          <w:marLeft w:val="0"/>
          <w:marRight w:val="0"/>
          <w:marTop w:val="0"/>
          <w:marBottom w:val="0"/>
          <w:divBdr>
            <w:top w:val="none" w:sz="0" w:space="0" w:color="auto"/>
            <w:left w:val="none" w:sz="0" w:space="0" w:color="auto"/>
            <w:bottom w:val="none" w:sz="0" w:space="0" w:color="auto"/>
            <w:right w:val="none" w:sz="0" w:space="0" w:color="auto"/>
          </w:divBdr>
          <w:divsChild>
            <w:div w:id="1237936854">
              <w:marLeft w:val="0"/>
              <w:marRight w:val="0"/>
              <w:marTop w:val="0"/>
              <w:marBottom w:val="0"/>
              <w:divBdr>
                <w:top w:val="none" w:sz="0" w:space="0" w:color="auto"/>
                <w:left w:val="none" w:sz="0" w:space="0" w:color="auto"/>
                <w:bottom w:val="none" w:sz="0" w:space="0" w:color="auto"/>
                <w:right w:val="none" w:sz="0" w:space="0" w:color="auto"/>
              </w:divBdr>
            </w:div>
          </w:divsChild>
        </w:div>
        <w:div w:id="1560356571">
          <w:marLeft w:val="0"/>
          <w:marRight w:val="0"/>
          <w:marTop w:val="0"/>
          <w:marBottom w:val="0"/>
          <w:divBdr>
            <w:top w:val="none" w:sz="0" w:space="0" w:color="auto"/>
            <w:left w:val="none" w:sz="0" w:space="0" w:color="auto"/>
            <w:bottom w:val="none" w:sz="0" w:space="0" w:color="auto"/>
            <w:right w:val="none" w:sz="0" w:space="0" w:color="auto"/>
          </w:divBdr>
        </w:div>
        <w:div w:id="755980770">
          <w:marLeft w:val="0"/>
          <w:marRight w:val="0"/>
          <w:marTop w:val="0"/>
          <w:marBottom w:val="0"/>
          <w:divBdr>
            <w:top w:val="none" w:sz="0" w:space="0" w:color="auto"/>
            <w:left w:val="none" w:sz="0" w:space="0" w:color="auto"/>
            <w:bottom w:val="none" w:sz="0" w:space="0" w:color="auto"/>
            <w:right w:val="none" w:sz="0" w:space="0" w:color="auto"/>
          </w:divBdr>
        </w:div>
      </w:divsChild>
    </w:div>
    <w:div w:id="1187594593">
      <w:bodyDiv w:val="1"/>
      <w:marLeft w:val="0"/>
      <w:marRight w:val="0"/>
      <w:marTop w:val="0"/>
      <w:marBottom w:val="0"/>
      <w:divBdr>
        <w:top w:val="none" w:sz="0" w:space="0" w:color="auto"/>
        <w:left w:val="none" w:sz="0" w:space="0" w:color="auto"/>
        <w:bottom w:val="none" w:sz="0" w:space="0" w:color="auto"/>
        <w:right w:val="none" w:sz="0" w:space="0" w:color="auto"/>
      </w:divBdr>
      <w:divsChild>
        <w:div w:id="1193155434">
          <w:marLeft w:val="0"/>
          <w:marRight w:val="0"/>
          <w:marTop w:val="0"/>
          <w:marBottom w:val="0"/>
          <w:divBdr>
            <w:top w:val="none" w:sz="0" w:space="0" w:color="auto"/>
            <w:left w:val="none" w:sz="0" w:space="0" w:color="auto"/>
            <w:bottom w:val="none" w:sz="0" w:space="0" w:color="auto"/>
            <w:right w:val="none" w:sz="0" w:space="0" w:color="auto"/>
          </w:divBdr>
          <w:divsChild>
            <w:div w:id="95630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70178">
      <w:bodyDiv w:val="1"/>
      <w:marLeft w:val="0"/>
      <w:marRight w:val="0"/>
      <w:marTop w:val="0"/>
      <w:marBottom w:val="0"/>
      <w:divBdr>
        <w:top w:val="none" w:sz="0" w:space="0" w:color="auto"/>
        <w:left w:val="none" w:sz="0" w:space="0" w:color="auto"/>
        <w:bottom w:val="none" w:sz="0" w:space="0" w:color="auto"/>
        <w:right w:val="none" w:sz="0" w:space="0" w:color="auto"/>
      </w:divBdr>
    </w:div>
    <w:div w:id="1212496099">
      <w:bodyDiv w:val="1"/>
      <w:marLeft w:val="0"/>
      <w:marRight w:val="0"/>
      <w:marTop w:val="0"/>
      <w:marBottom w:val="0"/>
      <w:divBdr>
        <w:top w:val="none" w:sz="0" w:space="0" w:color="auto"/>
        <w:left w:val="none" w:sz="0" w:space="0" w:color="auto"/>
        <w:bottom w:val="none" w:sz="0" w:space="0" w:color="auto"/>
        <w:right w:val="none" w:sz="0" w:space="0" w:color="auto"/>
      </w:divBdr>
    </w:div>
    <w:div w:id="1235317218">
      <w:bodyDiv w:val="1"/>
      <w:marLeft w:val="0"/>
      <w:marRight w:val="0"/>
      <w:marTop w:val="0"/>
      <w:marBottom w:val="0"/>
      <w:divBdr>
        <w:top w:val="none" w:sz="0" w:space="0" w:color="auto"/>
        <w:left w:val="none" w:sz="0" w:space="0" w:color="auto"/>
        <w:bottom w:val="none" w:sz="0" w:space="0" w:color="auto"/>
        <w:right w:val="none" w:sz="0" w:space="0" w:color="auto"/>
      </w:divBdr>
    </w:div>
    <w:div w:id="1266693640">
      <w:bodyDiv w:val="1"/>
      <w:marLeft w:val="0"/>
      <w:marRight w:val="0"/>
      <w:marTop w:val="0"/>
      <w:marBottom w:val="0"/>
      <w:divBdr>
        <w:top w:val="none" w:sz="0" w:space="0" w:color="auto"/>
        <w:left w:val="none" w:sz="0" w:space="0" w:color="auto"/>
        <w:bottom w:val="none" w:sz="0" w:space="0" w:color="auto"/>
        <w:right w:val="none" w:sz="0" w:space="0" w:color="auto"/>
      </w:divBdr>
    </w:div>
    <w:div w:id="1270311050">
      <w:bodyDiv w:val="1"/>
      <w:marLeft w:val="0"/>
      <w:marRight w:val="0"/>
      <w:marTop w:val="0"/>
      <w:marBottom w:val="0"/>
      <w:divBdr>
        <w:top w:val="none" w:sz="0" w:space="0" w:color="auto"/>
        <w:left w:val="none" w:sz="0" w:space="0" w:color="auto"/>
        <w:bottom w:val="none" w:sz="0" w:space="0" w:color="auto"/>
        <w:right w:val="none" w:sz="0" w:space="0" w:color="auto"/>
      </w:divBdr>
    </w:div>
    <w:div w:id="1297220520">
      <w:bodyDiv w:val="1"/>
      <w:marLeft w:val="0"/>
      <w:marRight w:val="0"/>
      <w:marTop w:val="0"/>
      <w:marBottom w:val="0"/>
      <w:divBdr>
        <w:top w:val="none" w:sz="0" w:space="0" w:color="auto"/>
        <w:left w:val="none" w:sz="0" w:space="0" w:color="auto"/>
        <w:bottom w:val="none" w:sz="0" w:space="0" w:color="auto"/>
        <w:right w:val="none" w:sz="0" w:space="0" w:color="auto"/>
      </w:divBdr>
    </w:div>
    <w:div w:id="1298492000">
      <w:bodyDiv w:val="1"/>
      <w:marLeft w:val="0"/>
      <w:marRight w:val="0"/>
      <w:marTop w:val="0"/>
      <w:marBottom w:val="0"/>
      <w:divBdr>
        <w:top w:val="none" w:sz="0" w:space="0" w:color="auto"/>
        <w:left w:val="none" w:sz="0" w:space="0" w:color="auto"/>
        <w:bottom w:val="none" w:sz="0" w:space="0" w:color="auto"/>
        <w:right w:val="none" w:sz="0" w:space="0" w:color="auto"/>
      </w:divBdr>
      <w:divsChild>
        <w:div w:id="173691167">
          <w:marLeft w:val="0"/>
          <w:marRight w:val="0"/>
          <w:marTop w:val="0"/>
          <w:marBottom w:val="0"/>
          <w:divBdr>
            <w:top w:val="none" w:sz="0" w:space="0" w:color="auto"/>
            <w:left w:val="none" w:sz="0" w:space="0" w:color="auto"/>
            <w:bottom w:val="none" w:sz="0" w:space="0" w:color="auto"/>
            <w:right w:val="none" w:sz="0" w:space="0" w:color="auto"/>
          </w:divBdr>
          <w:divsChild>
            <w:div w:id="795417615">
              <w:marLeft w:val="0"/>
              <w:marRight w:val="0"/>
              <w:marTop w:val="0"/>
              <w:marBottom w:val="0"/>
              <w:divBdr>
                <w:top w:val="none" w:sz="0" w:space="0" w:color="auto"/>
                <w:left w:val="none" w:sz="0" w:space="0" w:color="auto"/>
                <w:bottom w:val="none" w:sz="0" w:space="0" w:color="auto"/>
                <w:right w:val="none" w:sz="0" w:space="0" w:color="auto"/>
              </w:divBdr>
            </w:div>
          </w:divsChild>
        </w:div>
        <w:div w:id="666786849">
          <w:marLeft w:val="0"/>
          <w:marRight w:val="0"/>
          <w:marTop w:val="0"/>
          <w:marBottom w:val="0"/>
          <w:divBdr>
            <w:top w:val="none" w:sz="0" w:space="0" w:color="auto"/>
            <w:left w:val="none" w:sz="0" w:space="0" w:color="auto"/>
            <w:bottom w:val="none" w:sz="0" w:space="0" w:color="auto"/>
            <w:right w:val="none" w:sz="0" w:space="0" w:color="auto"/>
          </w:divBdr>
        </w:div>
        <w:div w:id="172769930">
          <w:marLeft w:val="0"/>
          <w:marRight w:val="0"/>
          <w:marTop w:val="0"/>
          <w:marBottom w:val="0"/>
          <w:divBdr>
            <w:top w:val="none" w:sz="0" w:space="0" w:color="auto"/>
            <w:left w:val="none" w:sz="0" w:space="0" w:color="auto"/>
            <w:bottom w:val="none" w:sz="0" w:space="0" w:color="auto"/>
            <w:right w:val="none" w:sz="0" w:space="0" w:color="auto"/>
          </w:divBdr>
        </w:div>
      </w:divsChild>
    </w:div>
    <w:div w:id="1300501322">
      <w:bodyDiv w:val="1"/>
      <w:marLeft w:val="0"/>
      <w:marRight w:val="0"/>
      <w:marTop w:val="0"/>
      <w:marBottom w:val="0"/>
      <w:divBdr>
        <w:top w:val="none" w:sz="0" w:space="0" w:color="auto"/>
        <w:left w:val="none" w:sz="0" w:space="0" w:color="auto"/>
        <w:bottom w:val="none" w:sz="0" w:space="0" w:color="auto"/>
        <w:right w:val="none" w:sz="0" w:space="0" w:color="auto"/>
      </w:divBdr>
    </w:div>
    <w:div w:id="1301839024">
      <w:bodyDiv w:val="1"/>
      <w:marLeft w:val="0"/>
      <w:marRight w:val="0"/>
      <w:marTop w:val="0"/>
      <w:marBottom w:val="0"/>
      <w:divBdr>
        <w:top w:val="none" w:sz="0" w:space="0" w:color="auto"/>
        <w:left w:val="none" w:sz="0" w:space="0" w:color="auto"/>
        <w:bottom w:val="none" w:sz="0" w:space="0" w:color="auto"/>
        <w:right w:val="none" w:sz="0" w:space="0" w:color="auto"/>
      </w:divBdr>
      <w:divsChild>
        <w:div w:id="2050102849">
          <w:marLeft w:val="0"/>
          <w:marRight w:val="0"/>
          <w:marTop w:val="0"/>
          <w:marBottom w:val="0"/>
          <w:divBdr>
            <w:top w:val="none" w:sz="0" w:space="0" w:color="auto"/>
            <w:left w:val="none" w:sz="0" w:space="0" w:color="auto"/>
            <w:bottom w:val="none" w:sz="0" w:space="0" w:color="auto"/>
            <w:right w:val="none" w:sz="0" w:space="0" w:color="auto"/>
          </w:divBdr>
          <w:divsChild>
            <w:div w:id="1582060566">
              <w:marLeft w:val="0"/>
              <w:marRight w:val="0"/>
              <w:marTop w:val="0"/>
              <w:marBottom w:val="0"/>
              <w:divBdr>
                <w:top w:val="none" w:sz="0" w:space="0" w:color="auto"/>
                <w:left w:val="none" w:sz="0" w:space="0" w:color="auto"/>
                <w:bottom w:val="none" w:sz="0" w:space="0" w:color="auto"/>
                <w:right w:val="none" w:sz="0" w:space="0" w:color="auto"/>
              </w:divBdr>
            </w:div>
          </w:divsChild>
        </w:div>
        <w:div w:id="1238788201">
          <w:marLeft w:val="0"/>
          <w:marRight w:val="0"/>
          <w:marTop w:val="0"/>
          <w:marBottom w:val="0"/>
          <w:divBdr>
            <w:top w:val="none" w:sz="0" w:space="0" w:color="auto"/>
            <w:left w:val="none" w:sz="0" w:space="0" w:color="auto"/>
            <w:bottom w:val="none" w:sz="0" w:space="0" w:color="auto"/>
            <w:right w:val="none" w:sz="0" w:space="0" w:color="auto"/>
          </w:divBdr>
        </w:div>
        <w:div w:id="571087562">
          <w:marLeft w:val="0"/>
          <w:marRight w:val="0"/>
          <w:marTop w:val="0"/>
          <w:marBottom w:val="0"/>
          <w:divBdr>
            <w:top w:val="none" w:sz="0" w:space="0" w:color="auto"/>
            <w:left w:val="none" w:sz="0" w:space="0" w:color="auto"/>
            <w:bottom w:val="none" w:sz="0" w:space="0" w:color="auto"/>
            <w:right w:val="none" w:sz="0" w:space="0" w:color="auto"/>
          </w:divBdr>
        </w:div>
      </w:divsChild>
    </w:div>
    <w:div w:id="1304313930">
      <w:bodyDiv w:val="1"/>
      <w:marLeft w:val="0"/>
      <w:marRight w:val="0"/>
      <w:marTop w:val="0"/>
      <w:marBottom w:val="0"/>
      <w:divBdr>
        <w:top w:val="none" w:sz="0" w:space="0" w:color="auto"/>
        <w:left w:val="none" w:sz="0" w:space="0" w:color="auto"/>
        <w:bottom w:val="none" w:sz="0" w:space="0" w:color="auto"/>
        <w:right w:val="none" w:sz="0" w:space="0" w:color="auto"/>
      </w:divBdr>
    </w:div>
    <w:div w:id="1310402933">
      <w:bodyDiv w:val="1"/>
      <w:marLeft w:val="0"/>
      <w:marRight w:val="0"/>
      <w:marTop w:val="0"/>
      <w:marBottom w:val="0"/>
      <w:divBdr>
        <w:top w:val="none" w:sz="0" w:space="0" w:color="auto"/>
        <w:left w:val="none" w:sz="0" w:space="0" w:color="auto"/>
        <w:bottom w:val="none" w:sz="0" w:space="0" w:color="auto"/>
        <w:right w:val="none" w:sz="0" w:space="0" w:color="auto"/>
      </w:divBdr>
    </w:div>
    <w:div w:id="1310477625">
      <w:bodyDiv w:val="1"/>
      <w:marLeft w:val="0"/>
      <w:marRight w:val="0"/>
      <w:marTop w:val="0"/>
      <w:marBottom w:val="0"/>
      <w:divBdr>
        <w:top w:val="none" w:sz="0" w:space="0" w:color="auto"/>
        <w:left w:val="none" w:sz="0" w:space="0" w:color="auto"/>
        <w:bottom w:val="none" w:sz="0" w:space="0" w:color="auto"/>
        <w:right w:val="none" w:sz="0" w:space="0" w:color="auto"/>
      </w:divBdr>
      <w:divsChild>
        <w:div w:id="1076903425">
          <w:marLeft w:val="0"/>
          <w:marRight w:val="0"/>
          <w:marTop w:val="0"/>
          <w:marBottom w:val="0"/>
          <w:divBdr>
            <w:top w:val="none" w:sz="0" w:space="0" w:color="auto"/>
            <w:left w:val="none" w:sz="0" w:space="0" w:color="auto"/>
            <w:bottom w:val="none" w:sz="0" w:space="0" w:color="auto"/>
            <w:right w:val="none" w:sz="0" w:space="0" w:color="auto"/>
          </w:divBdr>
          <w:divsChild>
            <w:div w:id="297340774">
              <w:marLeft w:val="0"/>
              <w:marRight w:val="0"/>
              <w:marTop w:val="0"/>
              <w:marBottom w:val="0"/>
              <w:divBdr>
                <w:top w:val="none" w:sz="0" w:space="0" w:color="auto"/>
                <w:left w:val="none" w:sz="0" w:space="0" w:color="auto"/>
                <w:bottom w:val="none" w:sz="0" w:space="0" w:color="auto"/>
                <w:right w:val="none" w:sz="0" w:space="0" w:color="auto"/>
              </w:divBdr>
              <w:divsChild>
                <w:div w:id="1639260580">
                  <w:marLeft w:val="0"/>
                  <w:marRight w:val="0"/>
                  <w:marTop w:val="0"/>
                  <w:marBottom w:val="0"/>
                  <w:divBdr>
                    <w:top w:val="none" w:sz="0" w:space="0" w:color="auto"/>
                    <w:left w:val="none" w:sz="0" w:space="0" w:color="auto"/>
                    <w:bottom w:val="none" w:sz="0" w:space="0" w:color="auto"/>
                    <w:right w:val="none" w:sz="0" w:space="0" w:color="auto"/>
                  </w:divBdr>
                  <w:divsChild>
                    <w:div w:id="89843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642777">
      <w:bodyDiv w:val="1"/>
      <w:marLeft w:val="0"/>
      <w:marRight w:val="0"/>
      <w:marTop w:val="0"/>
      <w:marBottom w:val="0"/>
      <w:divBdr>
        <w:top w:val="none" w:sz="0" w:space="0" w:color="auto"/>
        <w:left w:val="none" w:sz="0" w:space="0" w:color="auto"/>
        <w:bottom w:val="none" w:sz="0" w:space="0" w:color="auto"/>
        <w:right w:val="none" w:sz="0" w:space="0" w:color="auto"/>
      </w:divBdr>
    </w:div>
    <w:div w:id="1351562698">
      <w:bodyDiv w:val="1"/>
      <w:marLeft w:val="0"/>
      <w:marRight w:val="0"/>
      <w:marTop w:val="0"/>
      <w:marBottom w:val="0"/>
      <w:divBdr>
        <w:top w:val="none" w:sz="0" w:space="0" w:color="auto"/>
        <w:left w:val="none" w:sz="0" w:space="0" w:color="auto"/>
        <w:bottom w:val="none" w:sz="0" w:space="0" w:color="auto"/>
        <w:right w:val="none" w:sz="0" w:space="0" w:color="auto"/>
      </w:divBdr>
    </w:div>
    <w:div w:id="1354266633">
      <w:bodyDiv w:val="1"/>
      <w:marLeft w:val="0"/>
      <w:marRight w:val="0"/>
      <w:marTop w:val="0"/>
      <w:marBottom w:val="0"/>
      <w:divBdr>
        <w:top w:val="none" w:sz="0" w:space="0" w:color="auto"/>
        <w:left w:val="none" w:sz="0" w:space="0" w:color="auto"/>
        <w:bottom w:val="none" w:sz="0" w:space="0" w:color="auto"/>
        <w:right w:val="none" w:sz="0" w:space="0" w:color="auto"/>
      </w:divBdr>
      <w:divsChild>
        <w:div w:id="663359618">
          <w:marLeft w:val="0"/>
          <w:marRight w:val="0"/>
          <w:marTop w:val="0"/>
          <w:marBottom w:val="0"/>
          <w:divBdr>
            <w:top w:val="none" w:sz="0" w:space="0" w:color="auto"/>
            <w:left w:val="none" w:sz="0" w:space="0" w:color="auto"/>
            <w:bottom w:val="none" w:sz="0" w:space="0" w:color="auto"/>
            <w:right w:val="none" w:sz="0" w:space="0" w:color="auto"/>
          </w:divBdr>
          <w:divsChild>
            <w:div w:id="1647007918">
              <w:marLeft w:val="0"/>
              <w:marRight w:val="0"/>
              <w:marTop w:val="0"/>
              <w:marBottom w:val="0"/>
              <w:divBdr>
                <w:top w:val="none" w:sz="0" w:space="0" w:color="auto"/>
                <w:left w:val="none" w:sz="0" w:space="0" w:color="auto"/>
                <w:bottom w:val="none" w:sz="0" w:space="0" w:color="auto"/>
                <w:right w:val="none" w:sz="0" w:space="0" w:color="auto"/>
              </w:divBdr>
              <w:divsChild>
                <w:div w:id="186104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515962">
      <w:bodyDiv w:val="1"/>
      <w:marLeft w:val="0"/>
      <w:marRight w:val="0"/>
      <w:marTop w:val="0"/>
      <w:marBottom w:val="0"/>
      <w:divBdr>
        <w:top w:val="none" w:sz="0" w:space="0" w:color="auto"/>
        <w:left w:val="none" w:sz="0" w:space="0" w:color="auto"/>
        <w:bottom w:val="none" w:sz="0" w:space="0" w:color="auto"/>
        <w:right w:val="none" w:sz="0" w:space="0" w:color="auto"/>
      </w:divBdr>
    </w:div>
    <w:div w:id="1366633963">
      <w:bodyDiv w:val="1"/>
      <w:marLeft w:val="0"/>
      <w:marRight w:val="0"/>
      <w:marTop w:val="0"/>
      <w:marBottom w:val="0"/>
      <w:divBdr>
        <w:top w:val="none" w:sz="0" w:space="0" w:color="auto"/>
        <w:left w:val="none" w:sz="0" w:space="0" w:color="auto"/>
        <w:bottom w:val="none" w:sz="0" w:space="0" w:color="auto"/>
        <w:right w:val="none" w:sz="0" w:space="0" w:color="auto"/>
      </w:divBdr>
    </w:div>
    <w:div w:id="1369375615">
      <w:bodyDiv w:val="1"/>
      <w:marLeft w:val="0"/>
      <w:marRight w:val="0"/>
      <w:marTop w:val="0"/>
      <w:marBottom w:val="0"/>
      <w:divBdr>
        <w:top w:val="none" w:sz="0" w:space="0" w:color="auto"/>
        <w:left w:val="none" w:sz="0" w:space="0" w:color="auto"/>
        <w:bottom w:val="none" w:sz="0" w:space="0" w:color="auto"/>
        <w:right w:val="none" w:sz="0" w:space="0" w:color="auto"/>
      </w:divBdr>
      <w:divsChild>
        <w:div w:id="813254277">
          <w:marLeft w:val="0"/>
          <w:marRight w:val="0"/>
          <w:marTop w:val="0"/>
          <w:marBottom w:val="0"/>
          <w:divBdr>
            <w:top w:val="none" w:sz="0" w:space="0" w:color="auto"/>
            <w:left w:val="none" w:sz="0" w:space="0" w:color="auto"/>
            <w:bottom w:val="none" w:sz="0" w:space="0" w:color="auto"/>
            <w:right w:val="none" w:sz="0" w:space="0" w:color="auto"/>
          </w:divBdr>
          <w:divsChild>
            <w:div w:id="508757874">
              <w:marLeft w:val="0"/>
              <w:marRight w:val="0"/>
              <w:marTop w:val="0"/>
              <w:marBottom w:val="0"/>
              <w:divBdr>
                <w:top w:val="none" w:sz="0" w:space="0" w:color="auto"/>
                <w:left w:val="none" w:sz="0" w:space="0" w:color="auto"/>
                <w:bottom w:val="none" w:sz="0" w:space="0" w:color="auto"/>
                <w:right w:val="none" w:sz="0" w:space="0" w:color="auto"/>
              </w:divBdr>
            </w:div>
          </w:divsChild>
        </w:div>
        <w:div w:id="1759715582">
          <w:marLeft w:val="0"/>
          <w:marRight w:val="0"/>
          <w:marTop w:val="0"/>
          <w:marBottom w:val="0"/>
          <w:divBdr>
            <w:top w:val="none" w:sz="0" w:space="0" w:color="auto"/>
            <w:left w:val="none" w:sz="0" w:space="0" w:color="auto"/>
            <w:bottom w:val="none" w:sz="0" w:space="0" w:color="auto"/>
            <w:right w:val="none" w:sz="0" w:space="0" w:color="auto"/>
          </w:divBdr>
          <w:divsChild>
            <w:div w:id="680164644">
              <w:marLeft w:val="0"/>
              <w:marRight w:val="0"/>
              <w:marTop w:val="0"/>
              <w:marBottom w:val="0"/>
              <w:divBdr>
                <w:top w:val="none" w:sz="0" w:space="0" w:color="auto"/>
                <w:left w:val="none" w:sz="0" w:space="0" w:color="auto"/>
                <w:bottom w:val="none" w:sz="0" w:space="0" w:color="auto"/>
                <w:right w:val="none" w:sz="0" w:space="0" w:color="auto"/>
              </w:divBdr>
              <w:divsChild>
                <w:div w:id="1896968745">
                  <w:marLeft w:val="0"/>
                  <w:marRight w:val="0"/>
                  <w:marTop w:val="0"/>
                  <w:marBottom w:val="0"/>
                  <w:divBdr>
                    <w:top w:val="none" w:sz="0" w:space="0" w:color="auto"/>
                    <w:left w:val="none" w:sz="0" w:space="0" w:color="auto"/>
                    <w:bottom w:val="none" w:sz="0" w:space="0" w:color="auto"/>
                    <w:right w:val="none" w:sz="0" w:space="0" w:color="auto"/>
                  </w:divBdr>
                  <w:divsChild>
                    <w:div w:id="76559733">
                      <w:marLeft w:val="0"/>
                      <w:marRight w:val="0"/>
                      <w:marTop w:val="0"/>
                      <w:marBottom w:val="0"/>
                      <w:divBdr>
                        <w:top w:val="none" w:sz="0" w:space="0" w:color="auto"/>
                        <w:left w:val="none" w:sz="0" w:space="0" w:color="auto"/>
                        <w:bottom w:val="none" w:sz="0" w:space="0" w:color="auto"/>
                        <w:right w:val="none" w:sz="0" w:space="0" w:color="auto"/>
                      </w:divBdr>
                      <w:divsChild>
                        <w:div w:id="2109621701">
                          <w:marLeft w:val="0"/>
                          <w:marRight w:val="0"/>
                          <w:marTop w:val="0"/>
                          <w:marBottom w:val="0"/>
                          <w:divBdr>
                            <w:top w:val="none" w:sz="0" w:space="0" w:color="auto"/>
                            <w:left w:val="none" w:sz="0" w:space="0" w:color="auto"/>
                            <w:bottom w:val="none" w:sz="0" w:space="0" w:color="auto"/>
                            <w:right w:val="none" w:sz="0" w:space="0" w:color="auto"/>
                          </w:divBdr>
                          <w:divsChild>
                            <w:div w:id="2060012082">
                              <w:marLeft w:val="0"/>
                              <w:marRight w:val="0"/>
                              <w:marTop w:val="0"/>
                              <w:marBottom w:val="0"/>
                              <w:divBdr>
                                <w:top w:val="none" w:sz="0" w:space="0" w:color="auto"/>
                                <w:left w:val="none" w:sz="0" w:space="0" w:color="auto"/>
                                <w:bottom w:val="none" w:sz="0" w:space="0" w:color="auto"/>
                                <w:right w:val="none" w:sz="0" w:space="0" w:color="auto"/>
                              </w:divBdr>
                              <w:divsChild>
                                <w:div w:id="194846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73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688804">
      <w:bodyDiv w:val="1"/>
      <w:marLeft w:val="0"/>
      <w:marRight w:val="0"/>
      <w:marTop w:val="0"/>
      <w:marBottom w:val="0"/>
      <w:divBdr>
        <w:top w:val="none" w:sz="0" w:space="0" w:color="auto"/>
        <w:left w:val="none" w:sz="0" w:space="0" w:color="auto"/>
        <w:bottom w:val="none" w:sz="0" w:space="0" w:color="auto"/>
        <w:right w:val="none" w:sz="0" w:space="0" w:color="auto"/>
      </w:divBdr>
    </w:div>
    <w:div w:id="1385568819">
      <w:bodyDiv w:val="1"/>
      <w:marLeft w:val="0"/>
      <w:marRight w:val="0"/>
      <w:marTop w:val="0"/>
      <w:marBottom w:val="0"/>
      <w:divBdr>
        <w:top w:val="none" w:sz="0" w:space="0" w:color="auto"/>
        <w:left w:val="none" w:sz="0" w:space="0" w:color="auto"/>
        <w:bottom w:val="none" w:sz="0" w:space="0" w:color="auto"/>
        <w:right w:val="none" w:sz="0" w:space="0" w:color="auto"/>
      </w:divBdr>
      <w:divsChild>
        <w:div w:id="1466510291">
          <w:marLeft w:val="0"/>
          <w:marRight w:val="0"/>
          <w:marTop w:val="0"/>
          <w:marBottom w:val="0"/>
          <w:divBdr>
            <w:top w:val="none" w:sz="0" w:space="0" w:color="auto"/>
            <w:left w:val="none" w:sz="0" w:space="0" w:color="auto"/>
            <w:bottom w:val="none" w:sz="0" w:space="0" w:color="auto"/>
            <w:right w:val="none" w:sz="0" w:space="0" w:color="auto"/>
          </w:divBdr>
          <w:divsChild>
            <w:div w:id="1847553975">
              <w:marLeft w:val="0"/>
              <w:marRight w:val="0"/>
              <w:marTop w:val="0"/>
              <w:marBottom w:val="0"/>
              <w:divBdr>
                <w:top w:val="none" w:sz="0" w:space="0" w:color="auto"/>
                <w:left w:val="none" w:sz="0" w:space="0" w:color="auto"/>
                <w:bottom w:val="none" w:sz="0" w:space="0" w:color="auto"/>
                <w:right w:val="none" w:sz="0" w:space="0" w:color="auto"/>
              </w:divBdr>
              <w:divsChild>
                <w:div w:id="134952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149709">
      <w:bodyDiv w:val="1"/>
      <w:marLeft w:val="0"/>
      <w:marRight w:val="0"/>
      <w:marTop w:val="0"/>
      <w:marBottom w:val="0"/>
      <w:divBdr>
        <w:top w:val="none" w:sz="0" w:space="0" w:color="auto"/>
        <w:left w:val="none" w:sz="0" w:space="0" w:color="auto"/>
        <w:bottom w:val="none" w:sz="0" w:space="0" w:color="auto"/>
        <w:right w:val="none" w:sz="0" w:space="0" w:color="auto"/>
      </w:divBdr>
    </w:div>
    <w:div w:id="1395003053">
      <w:bodyDiv w:val="1"/>
      <w:marLeft w:val="0"/>
      <w:marRight w:val="0"/>
      <w:marTop w:val="0"/>
      <w:marBottom w:val="0"/>
      <w:divBdr>
        <w:top w:val="none" w:sz="0" w:space="0" w:color="auto"/>
        <w:left w:val="none" w:sz="0" w:space="0" w:color="auto"/>
        <w:bottom w:val="none" w:sz="0" w:space="0" w:color="auto"/>
        <w:right w:val="none" w:sz="0" w:space="0" w:color="auto"/>
      </w:divBdr>
      <w:divsChild>
        <w:div w:id="518735446">
          <w:marLeft w:val="0"/>
          <w:marRight w:val="0"/>
          <w:marTop w:val="0"/>
          <w:marBottom w:val="0"/>
          <w:divBdr>
            <w:top w:val="none" w:sz="0" w:space="0" w:color="auto"/>
            <w:left w:val="none" w:sz="0" w:space="0" w:color="auto"/>
            <w:bottom w:val="none" w:sz="0" w:space="0" w:color="auto"/>
            <w:right w:val="none" w:sz="0" w:space="0" w:color="auto"/>
          </w:divBdr>
        </w:div>
        <w:div w:id="1604723271">
          <w:marLeft w:val="0"/>
          <w:marRight w:val="0"/>
          <w:marTop w:val="0"/>
          <w:marBottom w:val="0"/>
          <w:divBdr>
            <w:top w:val="none" w:sz="0" w:space="0" w:color="auto"/>
            <w:left w:val="none" w:sz="0" w:space="0" w:color="auto"/>
            <w:bottom w:val="none" w:sz="0" w:space="0" w:color="auto"/>
            <w:right w:val="none" w:sz="0" w:space="0" w:color="auto"/>
          </w:divBdr>
        </w:div>
        <w:div w:id="42607694">
          <w:marLeft w:val="0"/>
          <w:marRight w:val="0"/>
          <w:marTop w:val="0"/>
          <w:marBottom w:val="0"/>
          <w:divBdr>
            <w:top w:val="none" w:sz="0" w:space="0" w:color="auto"/>
            <w:left w:val="none" w:sz="0" w:space="0" w:color="auto"/>
            <w:bottom w:val="none" w:sz="0" w:space="0" w:color="auto"/>
            <w:right w:val="none" w:sz="0" w:space="0" w:color="auto"/>
          </w:divBdr>
        </w:div>
      </w:divsChild>
    </w:div>
    <w:div w:id="1404059294">
      <w:bodyDiv w:val="1"/>
      <w:marLeft w:val="0"/>
      <w:marRight w:val="0"/>
      <w:marTop w:val="0"/>
      <w:marBottom w:val="0"/>
      <w:divBdr>
        <w:top w:val="none" w:sz="0" w:space="0" w:color="auto"/>
        <w:left w:val="none" w:sz="0" w:space="0" w:color="auto"/>
        <w:bottom w:val="none" w:sz="0" w:space="0" w:color="auto"/>
        <w:right w:val="none" w:sz="0" w:space="0" w:color="auto"/>
      </w:divBdr>
      <w:divsChild>
        <w:div w:id="1093473010">
          <w:marLeft w:val="0"/>
          <w:marRight w:val="0"/>
          <w:marTop w:val="0"/>
          <w:marBottom w:val="0"/>
          <w:divBdr>
            <w:top w:val="none" w:sz="0" w:space="0" w:color="auto"/>
            <w:left w:val="none" w:sz="0" w:space="0" w:color="auto"/>
            <w:bottom w:val="none" w:sz="0" w:space="0" w:color="auto"/>
            <w:right w:val="none" w:sz="0" w:space="0" w:color="auto"/>
          </w:divBdr>
          <w:divsChild>
            <w:div w:id="137307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9225">
      <w:bodyDiv w:val="1"/>
      <w:marLeft w:val="0"/>
      <w:marRight w:val="0"/>
      <w:marTop w:val="0"/>
      <w:marBottom w:val="0"/>
      <w:divBdr>
        <w:top w:val="none" w:sz="0" w:space="0" w:color="auto"/>
        <w:left w:val="none" w:sz="0" w:space="0" w:color="auto"/>
        <w:bottom w:val="none" w:sz="0" w:space="0" w:color="auto"/>
        <w:right w:val="none" w:sz="0" w:space="0" w:color="auto"/>
      </w:divBdr>
    </w:div>
    <w:div w:id="1425106635">
      <w:bodyDiv w:val="1"/>
      <w:marLeft w:val="0"/>
      <w:marRight w:val="0"/>
      <w:marTop w:val="0"/>
      <w:marBottom w:val="0"/>
      <w:divBdr>
        <w:top w:val="none" w:sz="0" w:space="0" w:color="auto"/>
        <w:left w:val="none" w:sz="0" w:space="0" w:color="auto"/>
        <w:bottom w:val="none" w:sz="0" w:space="0" w:color="auto"/>
        <w:right w:val="none" w:sz="0" w:space="0" w:color="auto"/>
      </w:divBdr>
    </w:div>
    <w:div w:id="1449818151">
      <w:bodyDiv w:val="1"/>
      <w:marLeft w:val="0"/>
      <w:marRight w:val="0"/>
      <w:marTop w:val="0"/>
      <w:marBottom w:val="0"/>
      <w:divBdr>
        <w:top w:val="none" w:sz="0" w:space="0" w:color="auto"/>
        <w:left w:val="none" w:sz="0" w:space="0" w:color="auto"/>
        <w:bottom w:val="none" w:sz="0" w:space="0" w:color="auto"/>
        <w:right w:val="none" w:sz="0" w:space="0" w:color="auto"/>
      </w:divBdr>
    </w:div>
    <w:div w:id="1480923695">
      <w:bodyDiv w:val="1"/>
      <w:marLeft w:val="0"/>
      <w:marRight w:val="0"/>
      <w:marTop w:val="0"/>
      <w:marBottom w:val="0"/>
      <w:divBdr>
        <w:top w:val="none" w:sz="0" w:space="0" w:color="auto"/>
        <w:left w:val="none" w:sz="0" w:space="0" w:color="auto"/>
        <w:bottom w:val="none" w:sz="0" w:space="0" w:color="auto"/>
        <w:right w:val="none" w:sz="0" w:space="0" w:color="auto"/>
      </w:divBdr>
      <w:divsChild>
        <w:div w:id="1234269901">
          <w:marLeft w:val="0"/>
          <w:marRight w:val="0"/>
          <w:marTop w:val="0"/>
          <w:marBottom w:val="0"/>
          <w:divBdr>
            <w:top w:val="none" w:sz="0" w:space="0" w:color="auto"/>
            <w:left w:val="none" w:sz="0" w:space="0" w:color="auto"/>
            <w:bottom w:val="none" w:sz="0" w:space="0" w:color="auto"/>
            <w:right w:val="none" w:sz="0" w:space="0" w:color="auto"/>
          </w:divBdr>
          <w:divsChild>
            <w:div w:id="709959991">
              <w:marLeft w:val="0"/>
              <w:marRight w:val="0"/>
              <w:marTop w:val="0"/>
              <w:marBottom w:val="0"/>
              <w:divBdr>
                <w:top w:val="none" w:sz="0" w:space="0" w:color="auto"/>
                <w:left w:val="none" w:sz="0" w:space="0" w:color="auto"/>
                <w:bottom w:val="none" w:sz="0" w:space="0" w:color="auto"/>
                <w:right w:val="none" w:sz="0" w:space="0" w:color="auto"/>
              </w:divBdr>
            </w:div>
          </w:divsChild>
        </w:div>
        <w:div w:id="992223750">
          <w:marLeft w:val="0"/>
          <w:marRight w:val="0"/>
          <w:marTop w:val="0"/>
          <w:marBottom w:val="0"/>
          <w:divBdr>
            <w:top w:val="none" w:sz="0" w:space="0" w:color="auto"/>
            <w:left w:val="none" w:sz="0" w:space="0" w:color="auto"/>
            <w:bottom w:val="none" w:sz="0" w:space="0" w:color="auto"/>
            <w:right w:val="none" w:sz="0" w:space="0" w:color="auto"/>
          </w:divBdr>
        </w:div>
      </w:divsChild>
    </w:div>
    <w:div w:id="1524978544">
      <w:bodyDiv w:val="1"/>
      <w:marLeft w:val="0"/>
      <w:marRight w:val="0"/>
      <w:marTop w:val="0"/>
      <w:marBottom w:val="0"/>
      <w:divBdr>
        <w:top w:val="none" w:sz="0" w:space="0" w:color="auto"/>
        <w:left w:val="none" w:sz="0" w:space="0" w:color="auto"/>
        <w:bottom w:val="none" w:sz="0" w:space="0" w:color="auto"/>
        <w:right w:val="none" w:sz="0" w:space="0" w:color="auto"/>
      </w:divBdr>
      <w:divsChild>
        <w:div w:id="29107999">
          <w:marLeft w:val="0"/>
          <w:marRight w:val="0"/>
          <w:marTop w:val="0"/>
          <w:marBottom w:val="0"/>
          <w:divBdr>
            <w:top w:val="none" w:sz="0" w:space="0" w:color="auto"/>
            <w:left w:val="none" w:sz="0" w:space="0" w:color="auto"/>
            <w:bottom w:val="none" w:sz="0" w:space="0" w:color="auto"/>
            <w:right w:val="none" w:sz="0" w:space="0" w:color="auto"/>
          </w:divBdr>
          <w:divsChild>
            <w:div w:id="1268809281">
              <w:marLeft w:val="0"/>
              <w:marRight w:val="0"/>
              <w:marTop w:val="0"/>
              <w:marBottom w:val="0"/>
              <w:divBdr>
                <w:top w:val="none" w:sz="0" w:space="0" w:color="auto"/>
                <w:left w:val="none" w:sz="0" w:space="0" w:color="auto"/>
                <w:bottom w:val="none" w:sz="0" w:space="0" w:color="auto"/>
                <w:right w:val="none" w:sz="0" w:space="0" w:color="auto"/>
              </w:divBdr>
            </w:div>
            <w:div w:id="674848291">
              <w:marLeft w:val="0"/>
              <w:marRight w:val="0"/>
              <w:marTop w:val="0"/>
              <w:marBottom w:val="0"/>
              <w:divBdr>
                <w:top w:val="none" w:sz="0" w:space="0" w:color="auto"/>
                <w:left w:val="none" w:sz="0" w:space="0" w:color="auto"/>
                <w:bottom w:val="none" w:sz="0" w:space="0" w:color="auto"/>
                <w:right w:val="none" w:sz="0" w:space="0" w:color="auto"/>
              </w:divBdr>
            </w:div>
          </w:divsChild>
        </w:div>
        <w:div w:id="1936401933">
          <w:marLeft w:val="0"/>
          <w:marRight w:val="0"/>
          <w:marTop w:val="0"/>
          <w:marBottom w:val="0"/>
          <w:divBdr>
            <w:top w:val="none" w:sz="0" w:space="0" w:color="auto"/>
            <w:left w:val="none" w:sz="0" w:space="0" w:color="auto"/>
            <w:bottom w:val="none" w:sz="0" w:space="0" w:color="auto"/>
            <w:right w:val="none" w:sz="0" w:space="0" w:color="auto"/>
          </w:divBdr>
        </w:div>
      </w:divsChild>
    </w:div>
    <w:div w:id="1574851699">
      <w:bodyDiv w:val="1"/>
      <w:marLeft w:val="0"/>
      <w:marRight w:val="0"/>
      <w:marTop w:val="0"/>
      <w:marBottom w:val="0"/>
      <w:divBdr>
        <w:top w:val="none" w:sz="0" w:space="0" w:color="auto"/>
        <w:left w:val="none" w:sz="0" w:space="0" w:color="auto"/>
        <w:bottom w:val="none" w:sz="0" w:space="0" w:color="auto"/>
        <w:right w:val="none" w:sz="0" w:space="0" w:color="auto"/>
      </w:divBdr>
      <w:divsChild>
        <w:div w:id="527060144">
          <w:marLeft w:val="0"/>
          <w:marRight w:val="0"/>
          <w:marTop w:val="0"/>
          <w:marBottom w:val="0"/>
          <w:divBdr>
            <w:top w:val="none" w:sz="0" w:space="0" w:color="auto"/>
            <w:left w:val="none" w:sz="0" w:space="0" w:color="auto"/>
            <w:bottom w:val="none" w:sz="0" w:space="0" w:color="auto"/>
            <w:right w:val="none" w:sz="0" w:space="0" w:color="auto"/>
          </w:divBdr>
        </w:div>
      </w:divsChild>
    </w:div>
    <w:div w:id="1580142081">
      <w:bodyDiv w:val="1"/>
      <w:marLeft w:val="0"/>
      <w:marRight w:val="0"/>
      <w:marTop w:val="0"/>
      <w:marBottom w:val="0"/>
      <w:divBdr>
        <w:top w:val="none" w:sz="0" w:space="0" w:color="auto"/>
        <w:left w:val="none" w:sz="0" w:space="0" w:color="auto"/>
        <w:bottom w:val="none" w:sz="0" w:space="0" w:color="auto"/>
        <w:right w:val="none" w:sz="0" w:space="0" w:color="auto"/>
      </w:divBdr>
    </w:div>
    <w:div w:id="1605460937">
      <w:bodyDiv w:val="1"/>
      <w:marLeft w:val="0"/>
      <w:marRight w:val="0"/>
      <w:marTop w:val="0"/>
      <w:marBottom w:val="0"/>
      <w:divBdr>
        <w:top w:val="none" w:sz="0" w:space="0" w:color="auto"/>
        <w:left w:val="none" w:sz="0" w:space="0" w:color="auto"/>
        <w:bottom w:val="none" w:sz="0" w:space="0" w:color="auto"/>
        <w:right w:val="none" w:sz="0" w:space="0" w:color="auto"/>
      </w:divBdr>
    </w:div>
    <w:div w:id="1610699996">
      <w:bodyDiv w:val="1"/>
      <w:marLeft w:val="0"/>
      <w:marRight w:val="0"/>
      <w:marTop w:val="0"/>
      <w:marBottom w:val="0"/>
      <w:divBdr>
        <w:top w:val="none" w:sz="0" w:space="0" w:color="auto"/>
        <w:left w:val="none" w:sz="0" w:space="0" w:color="auto"/>
        <w:bottom w:val="none" w:sz="0" w:space="0" w:color="auto"/>
        <w:right w:val="none" w:sz="0" w:space="0" w:color="auto"/>
      </w:divBdr>
    </w:div>
    <w:div w:id="1624380302">
      <w:bodyDiv w:val="1"/>
      <w:marLeft w:val="0"/>
      <w:marRight w:val="0"/>
      <w:marTop w:val="0"/>
      <w:marBottom w:val="0"/>
      <w:divBdr>
        <w:top w:val="none" w:sz="0" w:space="0" w:color="auto"/>
        <w:left w:val="none" w:sz="0" w:space="0" w:color="auto"/>
        <w:bottom w:val="none" w:sz="0" w:space="0" w:color="auto"/>
        <w:right w:val="none" w:sz="0" w:space="0" w:color="auto"/>
      </w:divBdr>
      <w:divsChild>
        <w:div w:id="1990747386">
          <w:marLeft w:val="0"/>
          <w:marRight w:val="0"/>
          <w:marTop w:val="0"/>
          <w:marBottom w:val="0"/>
          <w:divBdr>
            <w:top w:val="none" w:sz="0" w:space="0" w:color="auto"/>
            <w:left w:val="none" w:sz="0" w:space="0" w:color="auto"/>
            <w:bottom w:val="none" w:sz="0" w:space="0" w:color="auto"/>
            <w:right w:val="none" w:sz="0" w:space="0" w:color="auto"/>
          </w:divBdr>
          <w:divsChild>
            <w:div w:id="14828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49864">
      <w:bodyDiv w:val="1"/>
      <w:marLeft w:val="0"/>
      <w:marRight w:val="0"/>
      <w:marTop w:val="0"/>
      <w:marBottom w:val="0"/>
      <w:divBdr>
        <w:top w:val="none" w:sz="0" w:space="0" w:color="auto"/>
        <w:left w:val="none" w:sz="0" w:space="0" w:color="auto"/>
        <w:bottom w:val="none" w:sz="0" w:space="0" w:color="auto"/>
        <w:right w:val="none" w:sz="0" w:space="0" w:color="auto"/>
      </w:divBdr>
    </w:div>
    <w:div w:id="1634479383">
      <w:bodyDiv w:val="1"/>
      <w:marLeft w:val="0"/>
      <w:marRight w:val="0"/>
      <w:marTop w:val="0"/>
      <w:marBottom w:val="0"/>
      <w:divBdr>
        <w:top w:val="none" w:sz="0" w:space="0" w:color="auto"/>
        <w:left w:val="none" w:sz="0" w:space="0" w:color="auto"/>
        <w:bottom w:val="none" w:sz="0" w:space="0" w:color="auto"/>
        <w:right w:val="none" w:sz="0" w:space="0" w:color="auto"/>
      </w:divBdr>
    </w:div>
    <w:div w:id="1655720152">
      <w:bodyDiv w:val="1"/>
      <w:marLeft w:val="0"/>
      <w:marRight w:val="0"/>
      <w:marTop w:val="0"/>
      <w:marBottom w:val="0"/>
      <w:divBdr>
        <w:top w:val="none" w:sz="0" w:space="0" w:color="auto"/>
        <w:left w:val="none" w:sz="0" w:space="0" w:color="auto"/>
        <w:bottom w:val="none" w:sz="0" w:space="0" w:color="auto"/>
        <w:right w:val="none" w:sz="0" w:space="0" w:color="auto"/>
      </w:divBdr>
    </w:div>
    <w:div w:id="1667367035">
      <w:bodyDiv w:val="1"/>
      <w:marLeft w:val="0"/>
      <w:marRight w:val="0"/>
      <w:marTop w:val="0"/>
      <w:marBottom w:val="0"/>
      <w:divBdr>
        <w:top w:val="none" w:sz="0" w:space="0" w:color="auto"/>
        <w:left w:val="none" w:sz="0" w:space="0" w:color="auto"/>
        <w:bottom w:val="none" w:sz="0" w:space="0" w:color="auto"/>
        <w:right w:val="none" w:sz="0" w:space="0" w:color="auto"/>
      </w:divBdr>
    </w:div>
    <w:div w:id="1668944374">
      <w:bodyDiv w:val="1"/>
      <w:marLeft w:val="0"/>
      <w:marRight w:val="0"/>
      <w:marTop w:val="0"/>
      <w:marBottom w:val="0"/>
      <w:divBdr>
        <w:top w:val="none" w:sz="0" w:space="0" w:color="auto"/>
        <w:left w:val="none" w:sz="0" w:space="0" w:color="auto"/>
        <w:bottom w:val="none" w:sz="0" w:space="0" w:color="auto"/>
        <w:right w:val="none" w:sz="0" w:space="0" w:color="auto"/>
      </w:divBdr>
    </w:div>
    <w:div w:id="1679187715">
      <w:bodyDiv w:val="1"/>
      <w:marLeft w:val="0"/>
      <w:marRight w:val="0"/>
      <w:marTop w:val="0"/>
      <w:marBottom w:val="0"/>
      <w:divBdr>
        <w:top w:val="none" w:sz="0" w:space="0" w:color="auto"/>
        <w:left w:val="none" w:sz="0" w:space="0" w:color="auto"/>
        <w:bottom w:val="none" w:sz="0" w:space="0" w:color="auto"/>
        <w:right w:val="none" w:sz="0" w:space="0" w:color="auto"/>
      </w:divBdr>
    </w:div>
    <w:div w:id="1685329179">
      <w:bodyDiv w:val="1"/>
      <w:marLeft w:val="0"/>
      <w:marRight w:val="0"/>
      <w:marTop w:val="0"/>
      <w:marBottom w:val="0"/>
      <w:divBdr>
        <w:top w:val="none" w:sz="0" w:space="0" w:color="auto"/>
        <w:left w:val="none" w:sz="0" w:space="0" w:color="auto"/>
        <w:bottom w:val="none" w:sz="0" w:space="0" w:color="auto"/>
        <w:right w:val="none" w:sz="0" w:space="0" w:color="auto"/>
      </w:divBdr>
      <w:divsChild>
        <w:div w:id="613824035">
          <w:marLeft w:val="0"/>
          <w:marRight w:val="0"/>
          <w:marTop w:val="0"/>
          <w:marBottom w:val="0"/>
          <w:divBdr>
            <w:top w:val="none" w:sz="0" w:space="0" w:color="auto"/>
            <w:left w:val="none" w:sz="0" w:space="0" w:color="auto"/>
            <w:bottom w:val="none" w:sz="0" w:space="0" w:color="auto"/>
            <w:right w:val="none" w:sz="0" w:space="0" w:color="auto"/>
          </w:divBdr>
          <w:divsChild>
            <w:div w:id="884831775">
              <w:marLeft w:val="0"/>
              <w:marRight w:val="0"/>
              <w:marTop w:val="0"/>
              <w:marBottom w:val="0"/>
              <w:divBdr>
                <w:top w:val="none" w:sz="0" w:space="0" w:color="auto"/>
                <w:left w:val="none" w:sz="0" w:space="0" w:color="auto"/>
                <w:bottom w:val="none" w:sz="0" w:space="0" w:color="auto"/>
                <w:right w:val="none" w:sz="0" w:space="0" w:color="auto"/>
              </w:divBdr>
            </w:div>
          </w:divsChild>
        </w:div>
        <w:div w:id="1831285214">
          <w:marLeft w:val="0"/>
          <w:marRight w:val="0"/>
          <w:marTop w:val="0"/>
          <w:marBottom w:val="0"/>
          <w:divBdr>
            <w:top w:val="none" w:sz="0" w:space="0" w:color="auto"/>
            <w:left w:val="none" w:sz="0" w:space="0" w:color="auto"/>
            <w:bottom w:val="none" w:sz="0" w:space="0" w:color="auto"/>
            <w:right w:val="none" w:sz="0" w:space="0" w:color="auto"/>
          </w:divBdr>
        </w:div>
        <w:div w:id="475338099">
          <w:marLeft w:val="0"/>
          <w:marRight w:val="0"/>
          <w:marTop w:val="0"/>
          <w:marBottom w:val="0"/>
          <w:divBdr>
            <w:top w:val="none" w:sz="0" w:space="0" w:color="auto"/>
            <w:left w:val="none" w:sz="0" w:space="0" w:color="auto"/>
            <w:bottom w:val="none" w:sz="0" w:space="0" w:color="auto"/>
            <w:right w:val="none" w:sz="0" w:space="0" w:color="auto"/>
          </w:divBdr>
        </w:div>
      </w:divsChild>
    </w:div>
    <w:div w:id="1686708279">
      <w:bodyDiv w:val="1"/>
      <w:marLeft w:val="0"/>
      <w:marRight w:val="0"/>
      <w:marTop w:val="0"/>
      <w:marBottom w:val="0"/>
      <w:divBdr>
        <w:top w:val="none" w:sz="0" w:space="0" w:color="auto"/>
        <w:left w:val="none" w:sz="0" w:space="0" w:color="auto"/>
        <w:bottom w:val="none" w:sz="0" w:space="0" w:color="auto"/>
        <w:right w:val="none" w:sz="0" w:space="0" w:color="auto"/>
      </w:divBdr>
      <w:divsChild>
        <w:div w:id="1429884943">
          <w:marLeft w:val="0"/>
          <w:marRight w:val="0"/>
          <w:marTop w:val="0"/>
          <w:marBottom w:val="0"/>
          <w:divBdr>
            <w:top w:val="none" w:sz="0" w:space="0" w:color="auto"/>
            <w:left w:val="none" w:sz="0" w:space="0" w:color="auto"/>
            <w:bottom w:val="none" w:sz="0" w:space="0" w:color="auto"/>
            <w:right w:val="none" w:sz="0" w:space="0" w:color="auto"/>
          </w:divBdr>
          <w:divsChild>
            <w:div w:id="921986628">
              <w:marLeft w:val="0"/>
              <w:marRight w:val="0"/>
              <w:marTop w:val="0"/>
              <w:marBottom w:val="0"/>
              <w:divBdr>
                <w:top w:val="none" w:sz="0" w:space="0" w:color="auto"/>
                <w:left w:val="none" w:sz="0" w:space="0" w:color="auto"/>
                <w:bottom w:val="none" w:sz="0" w:space="0" w:color="auto"/>
                <w:right w:val="none" w:sz="0" w:space="0" w:color="auto"/>
              </w:divBdr>
              <w:divsChild>
                <w:div w:id="56846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084904">
      <w:bodyDiv w:val="1"/>
      <w:marLeft w:val="0"/>
      <w:marRight w:val="0"/>
      <w:marTop w:val="0"/>
      <w:marBottom w:val="0"/>
      <w:divBdr>
        <w:top w:val="none" w:sz="0" w:space="0" w:color="auto"/>
        <w:left w:val="none" w:sz="0" w:space="0" w:color="auto"/>
        <w:bottom w:val="none" w:sz="0" w:space="0" w:color="auto"/>
        <w:right w:val="none" w:sz="0" w:space="0" w:color="auto"/>
      </w:divBdr>
    </w:div>
    <w:div w:id="1733431871">
      <w:bodyDiv w:val="1"/>
      <w:marLeft w:val="0"/>
      <w:marRight w:val="0"/>
      <w:marTop w:val="0"/>
      <w:marBottom w:val="0"/>
      <w:divBdr>
        <w:top w:val="none" w:sz="0" w:space="0" w:color="auto"/>
        <w:left w:val="none" w:sz="0" w:space="0" w:color="auto"/>
        <w:bottom w:val="none" w:sz="0" w:space="0" w:color="auto"/>
        <w:right w:val="none" w:sz="0" w:space="0" w:color="auto"/>
      </w:divBdr>
    </w:div>
    <w:div w:id="1736734101">
      <w:bodyDiv w:val="1"/>
      <w:marLeft w:val="0"/>
      <w:marRight w:val="0"/>
      <w:marTop w:val="0"/>
      <w:marBottom w:val="0"/>
      <w:divBdr>
        <w:top w:val="none" w:sz="0" w:space="0" w:color="auto"/>
        <w:left w:val="none" w:sz="0" w:space="0" w:color="auto"/>
        <w:bottom w:val="none" w:sz="0" w:space="0" w:color="auto"/>
        <w:right w:val="none" w:sz="0" w:space="0" w:color="auto"/>
      </w:divBdr>
    </w:div>
    <w:div w:id="1750468941">
      <w:bodyDiv w:val="1"/>
      <w:marLeft w:val="0"/>
      <w:marRight w:val="0"/>
      <w:marTop w:val="0"/>
      <w:marBottom w:val="0"/>
      <w:divBdr>
        <w:top w:val="none" w:sz="0" w:space="0" w:color="auto"/>
        <w:left w:val="none" w:sz="0" w:space="0" w:color="auto"/>
        <w:bottom w:val="none" w:sz="0" w:space="0" w:color="auto"/>
        <w:right w:val="none" w:sz="0" w:space="0" w:color="auto"/>
      </w:divBdr>
    </w:div>
    <w:div w:id="1765883479">
      <w:bodyDiv w:val="1"/>
      <w:marLeft w:val="0"/>
      <w:marRight w:val="0"/>
      <w:marTop w:val="0"/>
      <w:marBottom w:val="0"/>
      <w:divBdr>
        <w:top w:val="none" w:sz="0" w:space="0" w:color="auto"/>
        <w:left w:val="none" w:sz="0" w:space="0" w:color="auto"/>
        <w:bottom w:val="none" w:sz="0" w:space="0" w:color="auto"/>
        <w:right w:val="none" w:sz="0" w:space="0" w:color="auto"/>
      </w:divBdr>
      <w:divsChild>
        <w:div w:id="553345807">
          <w:marLeft w:val="0"/>
          <w:marRight w:val="0"/>
          <w:marTop w:val="0"/>
          <w:marBottom w:val="0"/>
          <w:divBdr>
            <w:top w:val="none" w:sz="0" w:space="0" w:color="auto"/>
            <w:left w:val="none" w:sz="0" w:space="0" w:color="auto"/>
            <w:bottom w:val="none" w:sz="0" w:space="0" w:color="auto"/>
            <w:right w:val="none" w:sz="0" w:space="0" w:color="auto"/>
          </w:divBdr>
        </w:div>
      </w:divsChild>
    </w:div>
    <w:div w:id="1777095666">
      <w:bodyDiv w:val="1"/>
      <w:marLeft w:val="0"/>
      <w:marRight w:val="0"/>
      <w:marTop w:val="0"/>
      <w:marBottom w:val="0"/>
      <w:divBdr>
        <w:top w:val="none" w:sz="0" w:space="0" w:color="auto"/>
        <w:left w:val="none" w:sz="0" w:space="0" w:color="auto"/>
        <w:bottom w:val="none" w:sz="0" w:space="0" w:color="auto"/>
        <w:right w:val="none" w:sz="0" w:space="0" w:color="auto"/>
      </w:divBdr>
      <w:divsChild>
        <w:div w:id="1610772287">
          <w:marLeft w:val="0"/>
          <w:marRight w:val="0"/>
          <w:marTop w:val="0"/>
          <w:marBottom w:val="0"/>
          <w:divBdr>
            <w:top w:val="none" w:sz="0" w:space="0" w:color="auto"/>
            <w:left w:val="none" w:sz="0" w:space="0" w:color="auto"/>
            <w:bottom w:val="none" w:sz="0" w:space="0" w:color="auto"/>
            <w:right w:val="none" w:sz="0" w:space="0" w:color="auto"/>
          </w:divBdr>
        </w:div>
      </w:divsChild>
    </w:div>
    <w:div w:id="1780448682">
      <w:bodyDiv w:val="1"/>
      <w:marLeft w:val="0"/>
      <w:marRight w:val="0"/>
      <w:marTop w:val="0"/>
      <w:marBottom w:val="0"/>
      <w:divBdr>
        <w:top w:val="none" w:sz="0" w:space="0" w:color="auto"/>
        <w:left w:val="none" w:sz="0" w:space="0" w:color="auto"/>
        <w:bottom w:val="none" w:sz="0" w:space="0" w:color="auto"/>
        <w:right w:val="none" w:sz="0" w:space="0" w:color="auto"/>
      </w:divBdr>
    </w:div>
    <w:div w:id="1782526382">
      <w:bodyDiv w:val="1"/>
      <w:marLeft w:val="0"/>
      <w:marRight w:val="0"/>
      <w:marTop w:val="0"/>
      <w:marBottom w:val="0"/>
      <w:divBdr>
        <w:top w:val="none" w:sz="0" w:space="0" w:color="auto"/>
        <w:left w:val="none" w:sz="0" w:space="0" w:color="auto"/>
        <w:bottom w:val="none" w:sz="0" w:space="0" w:color="auto"/>
        <w:right w:val="none" w:sz="0" w:space="0" w:color="auto"/>
      </w:divBdr>
    </w:div>
    <w:div w:id="1784112388">
      <w:bodyDiv w:val="1"/>
      <w:marLeft w:val="0"/>
      <w:marRight w:val="0"/>
      <w:marTop w:val="0"/>
      <w:marBottom w:val="0"/>
      <w:divBdr>
        <w:top w:val="none" w:sz="0" w:space="0" w:color="auto"/>
        <w:left w:val="none" w:sz="0" w:space="0" w:color="auto"/>
        <w:bottom w:val="none" w:sz="0" w:space="0" w:color="auto"/>
        <w:right w:val="none" w:sz="0" w:space="0" w:color="auto"/>
      </w:divBdr>
    </w:div>
    <w:div w:id="1791629150">
      <w:bodyDiv w:val="1"/>
      <w:marLeft w:val="0"/>
      <w:marRight w:val="0"/>
      <w:marTop w:val="0"/>
      <w:marBottom w:val="0"/>
      <w:divBdr>
        <w:top w:val="none" w:sz="0" w:space="0" w:color="auto"/>
        <w:left w:val="none" w:sz="0" w:space="0" w:color="auto"/>
        <w:bottom w:val="none" w:sz="0" w:space="0" w:color="auto"/>
        <w:right w:val="none" w:sz="0" w:space="0" w:color="auto"/>
      </w:divBdr>
    </w:div>
    <w:div w:id="1851943127">
      <w:bodyDiv w:val="1"/>
      <w:marLeft w:val="0"/>
      <w:marRight w:val="0"/>
      <w:marTop w:val="0"/>
      <w:marBottom w:val="0"/>
      <w:divBdr>
        <w:top w:val="none" w:sz="0" w:space="0" w:color="auto"/>
        <w:left w:val="none" w:sz="0" w:space="0" w:color="auto"/>
        <w:bottom w:val="none" w:sz="0" w:space="0" w:color="auto"/>
        <w:right w:val="none" w:sz="0" w:space="0" w:color="auto"/>
      </w:divBdr>
    </w:div>
    <w:div w:id="1858881641">
      <w:bodyDiv w:val="1"/>
      <w:marLeft w:val="0"/>
      <w:marRight w:val="0"/>
      <w:marTop w:val="0"/>
      <w:marBottom w:val="0"/>
      <w:divBdr>
        <w:top w:val="none" w:sz="0" w:space="0" w:color="auto"/>
        <w:left w:val="none" w:sz="0" w:space="0" w:color="auto"/>
        <w:bottom w:val="none" w:sz="0" w:space="0" w:color="auto"/>
        <w:right w:val="none" w:sz="0" w:space="0" w:color="auto"/>
      </w:divBdr>
    </w:div>
    <w:div w:id="1873613556">
      <w:bodyDiv w:val="1"/>
      <w:marLeft w:val="0"/>
      <w:marRight w:val="0"/>
      <w:marTop w:val="0"/>
      <w:marBottom w:val="0"/>
      <w:divBdr>
        <w:top w:val="none" w:sz="0" w:space="0" w:color="auto"/>
        <w:left w:val="none" w:sz="0" w:space="0" w:color="auto"/>
        <w:bottom w:val="none" w:sz="0" w:space="0" w:color="auto"/>
        <w:right w:val="none" w:sz="0" w:space="0" w:color="auto"/>
      </w:divBdr>
    </w:div>
    <w:div w:id="1885293569">
      <w:bodyDiv w:val="1"/>
      <w:marLeft w:val="0"/>
      <w:marRight w:val="0"/>
      <w:marTop w:val="0"/>
      <w:marBottom w:val="0"/>
      <w:divBdr>
        <w:top w:val="none" w:sz="0" w:space="0" w:color="auto"/>
        <w:left w:val="none" w:sz="0" w:space="0" w:color="auto"/>
        <w:bottom w:val="none" w:sz="0" w:space="0" w:color="auto"/>
        <w:right w:val="none" w:sz="0" w:space="0" w:color="auto"/>
      </w:divBdr>
    </w:div>
    <w:div w:id="1888294222">
      <w:bodyDiv w:val="1"/>
      <w:marLeft w:val="0"/>
      <w:marRight w:val="0"/>
      <w:marTop w:val="0"/>
      <w:marBottom w:val="0"/>
      <w:divBdr>
        <w:top w:val="none" w:sz="0" w:space="0" w:color="auto"/>
        <w:left w:val="none" w:sz="0" w:space="0" w:color="auto"/>
        <w:bottom w:val="none" w:sz="0" w:space="0" w:color="auto"/>
        <w:right w:val="none" w:sz="0" w:space="0" w:color="auto"/>
      </w:divBdr>
    </w:div>
    <w:div w:id="1897158364">
      <w:bodyDiv w:val="1"/>
      <w:marLeft w:val="0"/>
      <w:marRight w:val="0"/>
      <w:marTop w:val="0"/>
      <w:marBottom w:val="0"/>
      <w:divBdr>
        <w:top w:val="none" w:sz="0" w:space="0" w:color="auto"/>
        <w:left w:val="none" w:sz="0" w:space="0" w:color="auto"/>
        <w:bottom w:val="none" w:sz="0" w:space="0" w:color="auto"/>
        <w:right w:val="none" w:sz="0" w:space="0" w:color="auto"/>
      </w:divBdr>
    </w:div>
    <w:div w:id="1906838830">
      <w:bodyDiv w:val="1"/>
      <w:marLeft w:val="0"/>
      <w:marRight w:val="0"/>
      <w:marTop w:val="0"/>
      <w:marBottom w:val="0"/>
      <w:divBdr>
        <w:top w:val="none" w:sz="0" w:space="0" w:color="auto"/>
        <w:left w:val="none" w:sz="0" w:space="0" w:color="auto"/>
        <w:bottom w:val="none" w:sz="0" w:space="0" w:color="auto"/>
        <w:right w:val="none" w:sz="0" w:space="0" w:color="auto"/>
      </w:divBdr>
      <w:divsChild>
        <w:div w:id="556671872">
          <w:marLeft w:val="0"/>
          <w:marRight w:val="0"/>
          <w:marTop w:val="0"/>
          <w:marBottom w:val="0"/>
          <w:divBdr>
            <w:top w:val="none" w:sz="0" w:space="0" w:color="auto"/>
            <w:left w:val="none" w:sz="0" w:space="0" w:color="auto"/>
            <w:bottom w:val="none" w:sz="0" w:space="0" w:color="auto"/>
            <w:right w:val="none" w:sz="0" w:space="0" w:color="auto"/>
          </w:divBdr>
          <w:divsChild>
            <w:div w:id="756827335">
              <w:marLeft w:val="0"/>
              <w:marRight w:val="0"/>
              <w:marTop w:val="0"/>
              <w:marBottom w:val="0"/>
              <w:divBdr>
                <w:top w:val="none" w:sz="0" w:space="0" w:color="auto"/>
                <w:left w:val="none" w:sz="0" w:space="0" w:color="auto"/>
                <w:bottom w:val="none" w:sz="0" w:space="0" w:color="auto"/>
                <w:right w:val="none" w:sz="0" w:space="0" w:color="auto"/>
              </w:divBdr>
              <w:divsChild>
                <w:div w:id="210587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628864">
      <w:bodyDiv w:val="1"/>
      <w:marLeft w:val="0"/>
      <w:marRight w:val="0"/>
      <w:marTop w:val="0"/>
      <w:marBottom w:val="0"/>
      <w:divBdr>
        <w:top w:val="none" w:sz="0" w:space="0" w:color="auto"/>
        <w:left w:val="none" w:sz="0" w:space="0" w:color="auto"/>
        <w:bottom w:val="none" w:sz="0" w:space="0" w:color="auto"/>
        <w:right w:val="none" w:sz="0" w:space="0" w:color="auto"/>
      </w:divBdr>
    </w:div>
    <w:div w:id="1922716111">
      <w:bodyDiv w:val="1"/>
      <w:marLeft w:val="0"/>
      <w:marRight w:val="0"/>
      <w:marTop w:val="0"/>
      <w:marBottom w:val="0"/>
      <w:divBdr>
        <w:top w:val="none" w:sz="0" w:space="0" w:color="auto"/>
        <w:left w:val="none" w:sz="0" w:space="0" w:color="auto"/>
        <w:bottom w:val="none" w:sz="0" w:space="0" w:color="auto"/>
        <w:right w:val="none" w:sz="0" w:space="0" w:color="auto"/>
      </w:divBdr>
    </w:div>
    <w:div w:id="1930385699">
      <w:bodyDiv w:val="1"/>
      <w:marLeft w:val="0"/>
      <w:marRight w:val="0"/>
      <w:marTop w:val="0"/>
      <w:marBottom w:val="0"/>
      <w:divBdr>
        <w:top w:val="none" w:sz="0" w:space="0" w:color="auto"/>
        <w:left w:val="none" w:sz="0" w:space="0" w:color="auto"/>
        <w:bottom w:val="none" w:sz="0" w:space="0" w:color="auto"/>
        <w:right w:val="none" w:sz="0" w:space="0" w:color="auto"/>
      </w:divBdr>
      <w:divsChild>
        <w:div w:id="1167938465">
          <w:marLeft w:val="0"/>
          <w:marRight w:val="0"/>
          <w:marTop w:val="0"/>
          <w:marBottom w:val="0"/>
          <w:divBdr>
            <w:top w:val="none" w:sz="0" w:space="0" w:color="auto"/>
            <w:left w:val="none" w:sz="0" w:space="0" w:color="auto"/>
            <w:bottom w:val="none" w:sz="0" w:space="0" w:color="auto"/>
            <w:right w:val="none" w:sz="0" w:space="0" w:color="auto"/>
          </w:divBdr>
          <w:divsChild>
            <w:div w:id="1714883316">
              <w:marLeft w:val="0"/>
              <w:marRight w:val="0"/>
              <w:marTop w:val="0"/>
              <w:marBottom w:val="0"/>
              <w:divBdr>
                <w:top w:val="none" w:sz="0" w:space="0" w:color="auto"/>
                <w:left w:val="none" w:sz="0" w:space="0" w:color="auto"/>
                <w:bottom w:val="none" w:sz="0" w:space="0" w:color="auto"/>
                <w:right w:val="none" w:sz="0" w:space="0" w:color="auto"/>
              </w:divBdr>
            </w:div>
          </w:divsChild>
        </w:div>
        <w:div w:id="1496804595">
          <w:marLeft w:val="0"/>
          <w:marRight w:val="0"/>
          <w:marTop w:val="0"/>
          <w:marBottom w:val="0"/>
          <w:divBdr>
            <w:top w:val="none" w:sz="0" w:space="0" w:color="auto"/>
            <w:left w:val="none" w:sz="0" w:space="0" w:color="auto"/>
            <w:bottom w:val="none" w:sz="0" w:space="0" w:color="auto"/>
            <w:right w:val="none" w:sz="0" w:space="0" w:color="auto"/>
          </w:divBdr>
        </w:div>
        <w:div w:id="1567645992">
          <w:marLeft w:val="0"/>
          <w:marRight w:val="0"/>
          <w:marTop w:val="0"/>
          <w:marBottom w:val="0"/>
          <w:divBdr>
            <w:top w:val="none" w:sz="0" w:space="0" w:color="auto"/>
            <w:left w:val="none" w:sz="0" w:space="0" w:color="auto"/>
            <w:bottom w:val="none" w:sz="0" w:space="0" w:color="auto"/>
            <w:right w:val="none" w:sz="0" w:space="0" w:color="auto"/>
          </w:divBdr>
        </w:div>
      </w:divsChild>
    </w:div>
    <w:div w:id="1945140917">
      <w:bodyDiv w:val="1"/>
      <w:marLeft w:val="0"/>
      <w:marRight w:val="0"/>
      <w:marTop w:val="0"/>
      <w:marBottom w:val="0"/>
      <w:divBdr>
        <w:top w:val="none" w:sz="0" w:space="0" w:color="auto"/>
        <w:left w:val="none" w:sz="0" w:space="0" w:color="auto"/>
        <w:bottom w:val="none" w:sz="0" w:space="0" w:color="auto"/>
        <w:right w:val="none" w:sz="0" w:space="0" w:color="auto"/>
      </w:divBdr>
    </w:div>
    <w:div w:id="1949040867">
      <w:bodyDiv w:val="1"/>
      <w:marLeft w:val="0"/>
      <w:marRight w:val="0"/>
      <w:marTop w:val="0"/>
      <w:marBottom w:val="0"/>
      <w:divBdr>
        <w:top w:val="none" w:sz="0" w:space="0" w:color="auto"/>
        <w:left w:val="none" w:sz="0" w:space="0" w:color="auto"/>
        <w:bottom w:val="none" w:sz="0" w:space="0" w:color="auto"/>
        <w:right w:val="none" w:sz="0" w:space="0" w:color="auto"/>
      </w:divBdr>
    </w:div>
    <w:div w:id="1949115857">
      <w:bodyDiv w:val="1"/>
      <w:marLeft w:val="0"/>
      <w:marRight w:val="0"/>
      <w:marTop w:val="0"/>
      <w:marBottom w:val="0"/>
      <w:divBdr>
        <w:top w:val="none" w:sz="0" w:space="0" w:color="auto"/>
        <w:left w:val="none" w:sz="0" w:space="0" w:color="auto"/>
        <w:bottom w:val="none" w:sz="0" w:space="0" w:color="auto"/>
        <w:right w:val="none" w:sz="0" w:space="0" w:color="auto"/>
      </w:divBdr>
    </w:div>
    <w:div w:id="2030258878">
      <w:bodyDiv w:val="1"/>
      <w:marLeft w:val="0"/>
      <w:marRight w:val="0"/>
      <w:marTop w:val="0"/>
      <w:marBottom w:val="0"/>
      <w:divBdr>
        <w:top w:val="none" w:sz="0" w:space="0" w:color="auto"/>
        <w:left w:val="none" w:sz="0" w:space="0" w:color="auto"/>
        <w:bottom w:val="none" w:sz="0" w:space="0" w:color="auto"/>
        <w:right w:val="none" w:sz="0" w:space="0" w:color="auto"/>
      </w:divBdr>
    </w:div>
    <w:div w:id="2031177509">
      <w:bodyDiv w:val="1"/>
      <w:marLeft w:val="0"/>
      <w:marRight w:val="0"/>
      <w:marTop w:val="0"/>
      <w:marBottom w:val="0"/>
      <w:divBdr>
        <w:top w:val="none" w:sz="0" w:space="0" w:color="auto"/>
        <w:left w:val="none" w:sz="0" w:space="0" w:color="auto"/>
        <w:bottom w:val="none" w:sz="0" w:space="0" w:color="auto"/>
        <w:right w:val="none" w:sz="0" w:space="0" w:color="auto"/>
      </w:divBdr>
    </w:div>
    <w:div w:id="2050764476">
      <w:bodyDiv w:val="1"/>
      <w:marLeft w:val="0"/>
      <w:marRight w:val="0"/>
      <w:marTop w:val="0"/>
      <w:marBottom w:val="0"/>
      <w:divBdr>
        <w:top w:val="none" w:sz="0" w:space="0" w:color="auto"/>
        <w:left w:val="none" w:sz="0" w:space="0" w:color="auto"/>
        <w:bottom w:val="none" w:sz="0" w:space="0" w:color="auto"/>
        <w:right w:val="none" w:sz="0" w:space="0" w:color="auto"/>
      </w:divBdr>
    </w:div>
    <w:div w:id="2059283328">
      <w:bodyDiv w:val="1"/>
      <w:marLeft w:val="0"/>
      <w:marRight w:val="0"/>
      <w:marTop w:val="0"/>
      <w:marBottom w:val="0"/>
      <w:divBdr>
        <w:top w:val="none" w:sz="0" w:space="0" w:color="auto"/>
        <w:left w:val="none" w:sz="0" w:space="0" w:color="auto"/>
        <w:bottom w:val="none" w:sz="0" w:space="0" w:color="auto"/>
        <w:right w:val="none" w:sz="0" w:space="0" w:color="auto"/>
      </w:divBdr>
    </w:div>
    <w:div w:id="2067295874">
      <w:bodyDiv w:val="1"/>
      <w:marLeft w:val="0"/>
      <w:marRight w:val="0"/>
      <w:marTop w:val="0"/>
      <w:marBottom w:val="0"/>
      <w:divBdr>
        <w:top w:val="none" w:sz="0" w:space="0" w:color="auto"/>
        <w:left w:val="none" w:sz="0" w:space="0" w:color="auto"/>
        <w:bottom w:val="none" w:sz="0" w:space="0" w:color="auto"/>
        <w:right w:val="none" w:sz="0" w:space="0" w:color="auto"/>
      </w:divBdr>
    </w:div>
    <w:div w:id="2081633772">
      <w:bodyDiv w:val="1"/>
      <w:marLeft w:val="0"/>
      <w:marRight w:val="0"/>
      <w:marTop w:val="0"/>
      <w:marBottom w:val="0"/>
      <w:divBdr>
        <w:top w:val="none" w:sz="0" w:space="0" w:color="auto"/>
        <w:left w:val="none" w:sz="0" w:space="0" w:color="auto"/>
        <w:bottom w:val="none" w:sz="0" w:space="0" w:color="auto"/>
        <w:right w:val="none" w:sz="0" w:space="0" w:color="auto"/>
      </w:divBdr>
    </w:div>
    <w:div w:id="2089766703">
      <w:bodyDiv w:val="1"/>
      <w:marLeft w:val="0"/>
      <w:marRight w:val="0"/>
      <w:marTop w:val="0"/>
      <w:marBottom w:val="0"/>
      <w:divBdr>
        <w:top w:val="none" w:sz="0" w:space="0" w:color="auto"/>
        <w:left w:val="none" w:sz="0" w:space="0" w:color="auto"/>
        <w:bottom w:val="none" w:sz="0" w:space="0" w:color="auto"/>
        <w:right w:val="none" w:sz="0" w:space="0" w:color="auto"/>
      </w:divBdr>
    </w:div>
    <w:div w:id="2094736323">
      <w:bodyDiv w:val="1"/>
      <w:marLeft w:val="0"/>
      <w:marRight w:val="0"/>
      <w:marTop w:val="0"/>
      <w:marBottom w:val="0"/>
      <w:divBdr>
        <w:top w:val="none" w:sz="0" w:space="0" w:color="auto"/>
        <w:left w:val="none" w:sz="0" w:space="0" w:color="auto"/>
        <w:bottom w:val="none" w:sz="0" w:space="0" w:color="auto"/>
        <w:right w:val="none" w:sz="0" w:space="0" w:color="auto"/>
      </w:divBdr>
    </w:div>
    <w:div w:id="2101481089">
      <w:bodyDiv w:val="1"/>
      <w:marLeft w:val="0"/>
      <w:marRight w:val="0"/>
      <w:marTop w:val="0"/>
      <w:marBottom w:val="0"/>
      <w:divBdr>
        <w:top w:val="none" w:sz="0" w:space="0" w:color="auto"/>
        <w:left w:val="none" w:sz="0" w:space="0" w:color="auto"/>
        <w:bottom w:val="none" w:sz="0" w:space="0" w:color="auto"/>
        <w:right w:val="none" w:sz="0" w:space="0" w:color="auto"/>
      </w:divBdr>
      <w:divsChild>
        <w:div w:id="257105219">
          <w:marLeft w:val="0"/>
          <w:marRight w:val="0"/>
          <w:marTop w:val="0"/>
          <w:marBottom w:val="0"/>
          <w:divBdr>
            <w:top w:val="none" w:sz="0" w:space="0" w:color="auto"/>
            <w:left w:val="none" w:sz="0" w:space="0" w:color="auto"/>
            <w:bottom w:val="none" w:sz="0" w:space="0" w:color="auto"/>
            <w:right w:val="none" w:sz="0" w:space="0" w:color="auto"/>
          </w:divBdr>
          <w:divsChild>
            <w:div w:id="1636447042">
              <w:marLeft w:val="0"/>
              <w:marRight w:val="0"/>
              <w:marTop w:val="0"/>
              <w:marBottom w:val="0"/>
              <w:divBdr>
                <w:top w:val="none" w:sz="0" w:space="0" w:color="auto"/>
                <w:left w:val="none" w:sz="0" w:space="0" w:color="auto"/>
                <w:bottom w:val="none" w:sz="0" w:space="0" w:color="auto"/>
                <w:right w:val="none" w:sz="0" w:space="0" w:color="auto"/>
              </w:divBdr>
            </w:div>
          </w:divsChild>
        </w:div>
        <w:div w:id="1222054883">
          <w:marLeft w:val="0"/>
          <w:marRight w:val="0"/>
          <w:marTop w:val="0"/>
          <w:marBottom w:val="0"/>
          <w:divBdr>
            <w:top w:val="none" w:sz="0" w:space="0" w:color="auto"/>
            <w:left w:val="none" w:sz="0" w:space="0" w:color="auto"/>
            <w:bottom w:val="none" w:sz="0" w:space="0" w:color="auto"/>
            <w:right w:val="none" w:sz="0" w:space="0" w:color="auto"/>
          </w:divBdr>
          <w:divsChild>
            <w:div w:id="1649165909">
              <w:marLeft w:val="0"/>
              <w:marRight w:val="0"/>
              <w:marTop w:val="0"/>
              <w:marBottom w:val="0"/>
              <w:divBdr>
                <w:top w:val="none" w:sz="0" w:space="0" w:color="auto"/>
                <w:left w:val="none" w:sz="0" w:space="0" w:color="auto"/>
                <w:bottom w:val="none" w:sz="0" w:space="0" w:color="auto"/>
                <w:right w:val="none" w:sz="0" w:space="0" w:color="auto"/>
              </w:divBdr>
              <w:divsChild>
                <w:div w:id="163479146">
                  <w:marLeft w:val="0"/>
                  <w:marRight w:val="0"/>
                  <w:marTop w:val="0"/>
                  <w:marBottom w:val="0"/>
                  <w:divBdr>
                    <w:top w:val="none" w:sz="0" w:space="0" w:color="auto"/>
                    <w:left w:val="none" w:sz="0" w:space="0" w:color="auto"/>
                    <w:bottom w:val="none" w:sz="0" w:space="0" w:color="auto"/>
                    <w:right w:val="none" w:sz="0" w:space="0" w:color="auto"/>
                  </w:divBdr>
                  <w:divsChild>
                    <w:div w:id="1493763252">
                      <w:marLeft w:val="0"/>
                      <w:marRight w:val="0"/>
                      <w:marTop w:val="0"/>
                      <w:marBottom w:val="0"/>
                      <w:divBdr>
                        <w:top w:val="none" w:sz="0" w:space="0" w:color="auto"/>
                        <w:left w:val="none" w:sz="0" w:space="0" w:color="auto"/>
                        <w:bottom w:val="none" w:sz="0" w:space="0" w:color="auto"/>
                        <w:right w:val="none" w:sz="0" w:space="0" w:color="auto"/>
                      </w:divBdr>
                      <w:divsChild>
                        <w:div w:id="35785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4855108">
      <w:bodyDiv w:val="1"/>
      <w:marLeft w:val="0"/>
      <w:marRight w:val="0"/>
      <w:marTop w:val="0"/>
      <w:marBottom w:val="0"/>
      <w:divBdr>
        <w:top w:val="none" w:sz="0" w:space="0" w:color="auto"/>
        <w:left w:val="none" w:sz="0" w:space="0" w:color="auto"/>
        <w:bottom w:val="none" w:sz="0" w:space="0" w:color="auto"/>
        <w:right w:val="none" w:sz="0" w:space="0" w:color="auto"/>
      </w:divBdr>
    </w:div>
    <w:div w:id="2116553283">
      <w:bodyDiv w:val="1"/>
      <w:marLeft w:val="0"/>
      <w:marRight w:val="0"/>
      <w:marTop w:val="0"/>
      <w:marBottom w:val="0"/>
      <w:divBdr>
        <w:top w:val="none" w:sz="0" w:space="0" w:color="auto"/>
        <w:left w:val="none" w:sz="0" w:space="0" w:color="auto"/>
        <w:bottom w:val="none" w:sz="0" w:space="0" w:color="auto"/>
        <w:right w:val="none" w:sz="0" w:space="0" w:color="auto"/>
      </w:divBdr>
    </w:div>
    <w:div w:id="2126997376">
      <w:bodyDiv w:val="1"/>
      <w:marLeft w:val="0"/>
      <w:marRight w:val="0"/>
      <w:marTop w:val="0"/>
      <w:marBottom w:val="0"/>
      <w:divBdr>
        <w:top w:val="none" w:sz="0" w:space="0" w:color="auto"/>
        <w:left w:val="none" w:sz="0" w:space="0" w:color="auto"/>
        <w:bottom w:val="none" w:sz="0" w:space="0" w:color="auto"/>
        <w:right w:val="none" w:sz="0" w:space="0" w:color="auto"/>
      </w:divBdr>
      <w:divsChild>
        <w:div w:id="1575507013">
          <w:marLeft w:val="0"/>
          <w:marRight w:val="0"/>
          <w:marTop w:val="0"/>
          <w:marBottom w:val="0"/>
          <w:divBdr>
            <w:top w:val="none" w:sz="0" w:space="0" w:color="auto"/>
            <w:left w:val="none" w:sz="0" w:space="0" w:color="auto"/>
            <w:bottom w:val="none" w:sz="0" w:space="0" w:color="auto"/>
            <w:right w:val="none" w:sz="0" w:space="0" w:color="auto"/>
          </w:divBdr>
          <w:divsChild>
            <w:div w:id="1884977226">
              <w:marLeft w:val="0"/>
              <w:marRight w:val="0"/>
              <w:marTop w:val="0"/>
              <w:marBottom w:val="0"/>
              <w:divBdr>
                <w:top w:val="none" w:sz="0" w:space="0" w:color="auto"/>
                <w:left w:val="none" w:sz="0" w:space="0" w:color="auto"/>
                <w:bottom w:val="none" w:sz="0" w:space="0" w:color="auto"/>
                <w:right w:val="none" w:sz="0" w:space="0" w:color="auto"/>
              </w:divBdr>
            </w:div>
          </w:divsChild>
        </w:div>
        <w:div w:id="2060321240">
          <w:marLeft w:val="0"/>
          <w:marRight w:val="0"/>
          <w:marTop w:val="0"/>
          <w:marBottom w:val="0"/>
          <w:divBdr>
            <w:top w:val="none" w:sz="0" w:space="0" w:color="auto"/>
            <w:left w:val="none" w:sz="0" w:space="0" w:color="auto"/>
            <w:bottom w:val="none" w:sz="0" w:space="0" w:color="auto"/>
            <w:right w:val="none" w:sz="0" w:space="0" w:color="auto"/>
          </w:divBdr>
        </w:div>
        <w:div w:id="1204364744">
          <w:marLeft w:val="0"/>
          <w:marRight w:val="0"/>
          <w:marTop w:val="0"/>
          <w:marBottom w:val="0"/>
          <w:divBdr>
            <w:top w:val="none" w:sz="0" w:space="0" w:color="auto"/>
            <w:left w:val="none" w:sz="0" w:space="0" w:color="auto"/>
            <w:bottom w:val="none" w:sz="0" w:space="0" w:color="auto"/>
            <w:right w:val="none" w:sz="0" w:space="0" w:color="auto"/>
          </w:divBdr>
        </w:div>
      </w:divsChild>
    </w:div>
    <w:div w:id="2127580556">
      <w:bodyDiv w:val="1"/>
      <w:marLeft w:val="0"/>
      <w:marRight w:val="0"/>
      <w:marTop w:val="0"/>
      <w:marBottom w:val="0"/>
      <w:divBdr>
        <w:top w:val="none" w:sz="0" w:space="0" w:color="auto"/>
        <w:left w:val="none" w:sz="0" w:space="0" w:color="auto"/>
        <w:bottom w:val="none" w:sz="0" w:space="0" w:color="auto"/>
        <w:right w:val="none" w:sz="0" w:space="0" w:color="auto"/>
      </w:divBdr>
    </w:div>
    <w:div w:id="2145660699">
      <w:bodyDiv w:val="1"/>
      <w:marLeft w:val="0"/>
      <w:marRight w:val="0"/>
      <w:marTop w:val="0"/>
      <w:marBottom w:val="0"/>
      <w:divBdr>
        <w:top w:val="none" w:sz="0" w:space="0" w:color="auto"/>
        <w:left w:val="none" w:sz="0" w:space="0" w:color="auto"/>
        <w:bottom w:val="none" w:sz="0" w:space="0" w:color="auto"/>
        <w:right w:val="none" w:sz="0" w:space="0" w:color="auto"/>
      </w:divBdr>
    </w:div>
    <w:div w:id="2146655220">
      <w:bodyDiv w:val="1"/>
      <w:marLeft w:val="0"/>
      <w:marRight w:val="0"/>
      <w:marTop w:val="0"/>
      <w:marBottom w:val="0"/>
      <w:divBdr>
        <w:top w:val="none" w:sz="0" w:space="0" w:color="auto"/>
        <w:left w:val="none" w:sz="0" w:space="0" w:color="auto"/>
        <w:bottom w:val="none" w:sz="0" w:space="0" w:color="auto"/>
        <w:right w:val="none" w:sz="0" w:space="0" w:color="auto"/>
      </w:divBdr>
      <w:divsChild>
        <w:div w:id="1632519116">
          <w:marLeft w:val="0"/>
          <w:marRight w:val="0"/>
          <w:marTop w:val="0"/>
          <w:marBottom w:val="0"/>
          <w:divBdr>
            <w:top w:val="none" w:sz="0" w:space="0" w:color="auto"/>
            <w:left w:val="none" w:sz="0" w:space="0" w:color="auto"/>
            <w:bottom w:val="none" w:sz="0" w:space="0" w:color="auto"/>
            <w:right w:val="none" w:sz="0" w:space="0" w:color="auto"/>
          </w:divBdr>
          <w:divsChild>
            <w:div w:id="1013066814">
              <w:marLeft w:val="0"/>
              <w:marRight w:val="0"/>
              <w:marTop w:val="0"/>
              <w:marBottom w:val="0"/>
              <w:divBdr>
                <w:top w:val="none" w:sz="0" w:space="0" w:color="auto"/>
                <w:left w:val="none" w:sz="0" w:space="0" w:color="auto"/>
                <w:bottom w:val="none" w:sz="0" w:space="0" w:color="auto"/>
                <w:right w:val="none" w:sz="0" w:space="0" w:color="auto"/>
              </w:divBdr>
            </w:div>
          </w:divsChild>
        </w:div>
        <w:div w:id="171846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nan@nu.edu.pk" TargetMode="External"/><Relationship Id="rId13" Type="http://schemas.openxmlformats.org/officeDocument/2006/relationships/image" Target="media/image2.gif"/><Relationship Id="rId18" Type="http://schemas.microsoft.com/office/2007/relationships/diagramDrawing" Target="diagrams/drawing1.xml"/><Relationship Id="rId26" Type="http://schemas.openxmlformats.org/officeDocument/2006/relationships/diagramLayout" Target="diagrams/layout3.xml"/><Relationship Id="rId3" Type="http://schemas.openxmlformats.org/officeDocument/2006/relationships/styles" Target="styles.xml"/><Relationship Id="rId21" Type="http://schemas.openxmlformats.org/officeDocument/2006/relationships/diagramLayout" Target="diagrams/layout2.xml"/><Relationship Id="rId34" Type="http://schemas.openxmlformats.org/officeDocument/2006/relationships/image" Target="media/image10.PNG"/><Relationship Id="rId7" Type="http://schemas.openxmlformats.org/officeDocument/2006/relationships/hyperlink" Target="mailto:adil.zulfiqar@nu.edu.pk" TargetMode="External"/><Relationship Id="rId12" Type="http://schemas.openxmlformats.org/officeDocument/2006/relationships/image" Target="media/image1.png"/><Relationship Id="rId17" Type="http://schemas.openxmlformats.org/officeDocument/2006/relationships/diagramColors" Target="diagrams/colors1.xml"/><Relationship Id="rId25" Type="http://schemas.openxmlformats.org/officeDocument/2006/relationships/diagramData" Target="diagrams/data3.xml"/><Relationship Id="rId33"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Data" Target="diagrams/data2.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hyperlink" Target="mailto:herman.zahid@gmail.com" TargetMode="External"/><Relationship Id="rId11" Type="http://schemas.openxmlformats.org/officeDocument/2006/relationships/hyperlink" Target="mailto:m.adnan@nu.edu.pk" TargetMode="External"/><Relationship Id="rId24" Type="http://schemas.microsoft.com/office/2007/relationships/diagramDrawing" Target="diagrams/drawing2.xml"/><Relationship Id="rId32"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theme" Target="theme/theme1.xml"/><Relationship Id="rId10" Type="http://schemas.openxmlformats.org/officeDocument/2006/relationships/hyperlink" Target="mailto:salahedingasim@sustech.edu" TargetMode="External"/><Relationship Id="rId19" Type="http://schemas.openxmlformats.org/officeDocument/2006/relationships/image" Target="media/image6.png"/><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Iqbal.sajid@nu.edu.pk" TargetMode="External"/><Relationship Id="rId14" Type="http://schemas.openxmlformats.org/officeDocument/2006/relationships/diagramData" Target="diagrams/data1.xm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hyperlink" Target="https://www.sciencedirect.com/topics/computer-science/resource-allocation" TargetMode="External"/><Relationship Id="rId35" Type="http://schemas.openxmlformats.org/officeDocument/2006/relationships/fontTable" Target="fontTable.xml"/></Relationships>
</file>

<file path=word/diagrams/_rels/data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9CE320-D107-4EFB-9D9D-78FAA885DF57}" type="doc">
      <dgm:prSet loTypeId="urn:microsoft.com/office/officeart/2011/layout/RadialPictureList" loCatId="officeonline" qsTypeId="urn:microsoft.com/office/officeart/2005/8/quickstyle/simple1" qsCatId="simple" csTypeId="urn:microsoft.com/office/officeart/2005/8/colors/accent1_2" csCatId="accent1" phldr="1"/>
      <dgm:spPr/>
      <dgm:t>
        <a:bodyPr/>
        <a:lstStyle/>
        <a:p>
          <a:endParaRPr lang="en-US"/>
        </a:p>
      </dgm:t>
    </dgm:pt>
    <dgm:pt modelId="{2D4F5FAC-CFF1-47AB-B4B3-F011C5007BB5}">
      <dgm:prSet phldrT="[Text]" custT="1"/>
      <dgm:spPr/>
      <dgm:t>
        <a:bodyPr/>
        <a:lstStyle/>
        <a:p>
          <a:r>
            <a:rPr lang="en-US" sz="1800">
              <a:solidFill>
                <a:sysClr val="windowText" lastClr="000000"/>
              </a:solidFill>
            </a:rPr>
            <a:t>Super Smart Grid</a:t>
          </a:r>
        </a:p>
      </dgm:t>
    </dgm:pt>
    <dgm:pt modelId="{8BF458F3-6E11-40D2-8E91-B35F90D62C58}" type="parTrans" cxnId="{FCFE1C2C-7C48-4BC5-B313-A464D0EC7DCD}">
      <dgm:prSet/>
      <dgm:spPr/>
      <dgm:t>
        <a:bodyPr/>
        <a:lstStyle/>
        <a:p>
          <a:endParaRPr lang="en-US" sz="2000"/>
        </a:p>
      </dgm:t>
    </dgm:pt>
    <dgm:pt modelId="{3CC3F358-87CB-4805-872C-E4A7870A63B1}" type="sibTrans" cxnId="{FCFE1C2C-7C48-4BC5-B313-A464D0EC7DCD}">
      <dgm:prSet/>
      <dgm:spPr/>
      <dgm:t>
        <a:bodyPr/>
        <a:lstStyle/>
        <a:p>
          <a:endParaRPr lang="en-US" sz="2000"/>
        </a:p>
      </dgm:t>
    </dgm:pt>
    <dgm:pt modelId="{4BDFBE51-E64B-4025-8743-202D45915636}">
      <dgm:prSet phldrT="[Text]" custT="1"/>
      <dgm:spPr/>
      <dgm:t>
        <a:bodyPr/>
        <a:lstStyle/>
        <a:p>
          <a:r>
            <a:rPr lang="en-US" sz="1050"/>
            <a:t>Wide Area Network</a:t>
          </a:r>
        </a:p>
      </dgm:t>
    </dgm:pt>
    <dgm:pt modelId="{A1AA218D-9B35-4227-A0D8-E0751B83166E}" type="parTrans" cxnId="{15A634D0-C657-4C4E-990C-8459E816A3BD}">
      <dgm:prSet/>
      <dgm:spPr/>
      <dgm:t>
        <a:bodyPr/>
        <a:lstStyle/>
        <a:p>
          <a:endParaRPr lang="en-US" sz="2000"/>
        </a:p>
      </dgm:t>
    </dgm:pt>
    <dgm:pt modelId="{E722FD72-71BC-4533-BAE9-2710B9E8CEE1}" type="sibTrans" cxnId="{15A634D0-C657-4C4E-990C-8459E816A3BD}">
      <dgm:prSet/>
      <dgm:spPr/>
      <dgm:t>
        <a:bodyPr/>
        <a:lstStyle/>
        <a:p>
          <a:endParaRPr lang="en-US" sz="2000"/>
        </a:p>
      </dgm:t>
    </dgm:pt>
    <dgm:pt modelId="{11EB806E-65A4-405F-8E5B-19FE3852A0AE}">
      <dgm:prSet phldrT="[Text]" custT="1"/>
      <dgm:spPr/>
      <dgm:t>
        <a:bodyPr/>
        <a:lstStyle/>
        <a:p>
          <a:r>
            <a:rPr lang="en-US" sz="1050"/>
            <a:t>Advanced Automation</a:t>
          </a:r>
        </a:p>
      </dgm:t>
    </dgm:pt>
    <dgm:pt modelId="{70AE104F-7F12-46F0-BD6C-BE47593BA4A4}" type="parTrans" cxnId="{1555691D-BB70-45A2-96A0-0203EC34F291}">
      <dgm:prSet/>
      <dgm:spPr/>
      <dgm:t>
        <a:bodyPr/>
        <a:lstStyle/>
        <a:p>
          <a:endParaRPr lang="en-US" sz="2000"/>
        </a:p>
      </dgm:t>
    </dgm:pt>
    <dgm:pt modelId="{47C096E9-F8D1-45DD-9938-0F7B1676F50D}" type="sibTrans" cxnId="{1555691D-BB70-45A2-96A0-0203EC34F291}">
      <dgm:prSet/>
      <dgm:spPr/>
      <dgm:t>
        <a:bodyPr/>
        <a:lstStyle/>
        <a:p>
          <a:endParaRPr lang="en-US" sz="2000"/>
        </a:p>
      </dgm:t>
    </dgm:pt>
    <dgm:pt modelId="{8439DD55-63E2-40EB-AE6B-67E0304B906C}">
      <dgm:prSet phldrT="[Text]" custT="1"/>
      <dgm:spPr/>
      <dgm:t>
        <a:bodyPr/>
        <a:lstStyle/>
        <a:p>
          <a:r>
            <a:rPr lang="en-US" sz="1050"/>
            <a:t>Super Computation</a:t>
          </a:r>
        </a:p>
      </dgm:t>
    </dgm:pt>
    <dgm:pt modelId="{8F2518F1-7D0C-481C-ADA6-23BE9CCCA9DB}" type="parTrans" cxnId="{1C272C0B-A0ED-4E48-AFD2-9E7EBF212B95}">
      <dgm:prSet/>
      <dgm:spPr/>
      <dgm:t>
        <a:bodyPr/>
        <a:lstStyle/>
        <a:p>
          <a:endParaRPr lang="en-US" sz="2000"/>
        </a:p>
      </dgm:t>
    </dgm:pt>
    <dgm:pt modelId="{1BF93A93-7CF0-4A85-8BA4-2ECDA785A279}" type="sibTrans" cxnId="{1C272C0B-A0ED-4E48-AFD2-9E7EBF212B95}">
      <dgm:prSet/>
      <dgm:spPr/>
      <dgm:t>
        <a:bodyPr/>
        <a:lstStyle/>
        <a:p>
          <a:endParaRPr lang="en-US" sz="2000"/>
        </a:p>
      </dgm:t>
    </dgm:pt>
    <dgm:pt modelId="{B4215B41-A193-4F7E-BF0C-1C231B2BFA07}" type="pres">
      <dgm:prSet presAssocID="{CA9CE320-D107-4EFB-9D9D-78FAA885DF57}" presName="Name0" presStyleCnt="0">
        <dgm:presLayoutVars>
          <dgm:chMax val="1"/>
          <dgm:chPref val="1"/>
          <dgm:dir/>
          <dgm:resizeHandles/>
        </dgm:presLayoutVars>
      </dgm:prSet>
      <dgm:spPr/>
    </dgm:pt>
    <dgm:pt modelId="{34B98279-9F5C-4B83-922E-653551910DAA}" type="pres">
      <dgm:prSet presAssocID="{2D4F5FAC-CFF1-47AB-B4B3-F011C5007BB5}" presName="Parent" presStyleLbl="node1" presStyleIdx="0" presStyleCnt="2">
        <dgm:presLayoutVars>
          <dgm:chMax val="4"/>
          <dgm:chPref val="3"/>
        </dgm:presLayoutVars>
      </dgm:prSet>
      <dgm:spPr/>
    </dgm:pt>
    <dgm:pt modelId="{49CA762A-3883-42E5-AE32-BFD62E55ED7A}" type="pres">
      <dgm:prSet presAssocID="{4BDFBE51-E64B-4025-8743-202D45915636}" presName="Accent" presStyleLbl="node1" presStyleIdx="1" presStyleCnt="2"/>
      <dgm:spPr/>
    </dgm:pt>
    <dgm:pt modelId="{91845AFB-B6FD-4408-9339-0009EC3099CD}" type="pres">
      <dgm:prSet presAssocID="{4BDFBE51-E64B-4025-8743-202D45915636}" presName="Image1" presStyleLbl="fgImgPlace1" presStyleIdx="0" presStyleCnt="3"/>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dgm:spPr>
    </dgm:pt>
    <dgm:pt modelId="{37D010D4-18CE-4806-BAC3-58E3F5A4A0EF}" type="pres">
      <dgm:prSet presAssocID="{4BDFBE51-E64B-4025-8743-202D45915636}" presName="Child1" presStyleLbl="revTx" presStyleIdx="0" presStyleCnt="3">
        <dgm:presLayoutVars>
          <dgm:chMax val="0"/>
          <dgm:chPref val="0"/>
          <dgm:bulletEnabled val="1"/>
        </dgm:presLayoutVars>
      </dgm:prSet>
      <dgm:spPr/>
    </dgm:pt>
    <dgm:pt modelId="{9DDFBABF-52BB-4FD9-8958-8E7A8F281984}" type="pres">
      <dgm:prSet presAssocID="{11EB806E-65A4-405F-8E5B-19FE3852A0AE}" presName="Image2" presStyleCnt="0"/>
      <dgm:spPr/>
    </dgm:pt>
    <dgm:pt modelId="{737823C8-CB57-4AAD-85D3-73100F0ED530}" type="pres">
      <dgm:prSet presAssocID="{11EB806E-65A4-405F-8E5B-19FE3852A0AE}" presName="Image" presStyleLbl="fgImgPlace1" presStyleIdx="1" presStyleCnt="3"/>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30000" r="-30000"/>
          </a:stretch>
        </a:blipFill>
      </dgm:spPr>
    </dgm:pt>
    <dgm:pt modelId="{C505D9AE-799A-44D4-A637-3FE6BE0EAF8C}" type="pres">
      <dgm:prSet presAssocID="{11EB806E-65A4-405F-8E5B-19FE3852A0AE}" presName="Child2" presStyleLbl="revTx" presStyleIdx="1" presStyleCnt="3">
        <dgm:presLayoutVars>
          <dgm:chMax val="0"/>
          <dgm:chPref val="0"/>
          <dgm:bulletEnabled val="1"/>
        </dgm:presLayoutVars>
      </dgm:prSet>
      <dgm:spPr/>
    </dgm:pt>
    <dgm:pt modelId="{6BF72A9F-4B38-445D-8E83-4D165C585DE6}" type="pres">
      <dgm:prSet presAssocID="{8439DD55-63E2-40EB-AE6B-67E0304B906C}" presName="Image3" presStyleCnt="0"/>
      <dgm:spPr/>
    </dgm:pt>
    <dgm:pt modelId="{32A096A9-16A8-4929-9587-E2D3FA82DD27}" type="pres">
      <dgm:prSet presAssocID="{8439DD55-63E2-40EB-AE6B-67E0304B906C}" presName="Image" presStyleLbl="fgImgPlace1" presStyleIdx="2" presStyleCnt="3"/>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21000" r="-21000"/>
          </a:stretch>
        </a:blipFill>
      </dgm:spPr>
    </dgm:pt>
    <dgm:pt modelId="{3FFB5F1E-F730-4C03-903D-4B5A9B1768FB}" type="pres">
      <dgm:prSet presAssocID="{8439DD55-63E2-40EB-AE6B-67E0304B906C}" presName="Child3" presStyleLbl="revTx" presStyleIdx="2" presStyleCnt="3">
        <dgm:presLayoutVars>
          <dgm:chMax val="0"/>
          <dgm:chPref val="0"/>
          <dgm:bulletEnabled val="1"/>
        </dgm:presLayoutVars>
      </dgm:prSet>
      <dgm:spPr/>
    </dgm:pt>
  </dgm:ptLst>
  <dgm:cxnLst>
    <dgm:cxn modelId="{1C272C0B-A0ED-4E48-AFD2-9E7EBF212B95}" srcId="{2D4F5FAC-CFF1-47AB-B4B3-F011C5007BB5}" destId="{8439DD55-63E2-40EB-AE6B-67E0304B906C}" srcOrd="2" destOrd="0" parTransId="{8F2518F1-7D0C-481C-ADA6-23BE9CCCA9DB}" sibTransId="{1BF93A93-7CF0-4A85-8BA4-2ECDA785A279}"/>
    <dgm:cxn modelId="{1555691D-BB70-45A2-96A0-0203EC34F291}" srcId="{2D4F5FAC-CFF1-47AB-B4B3-F011C5007BB5}" destId="{11EB806E-65A4-405F-8E5B-19FE3852A0AE}" srcOrd="1" destOrd="0" parTransId="{70AE104F-7F12-46F0-BD6C-BE47593BA4A4}" sibTransId="{47C096E9-F8D1-45DD-9938-0F7B1676F50D}"/>
    <dgm:cxn modelId="{FCFE1C2C-7C48-4BC5-B313-A464D0EC7DCD}" srcId="{CA9CE320-D107-4EFB-9D9D-78FAA885DF57}" destId="{2D4F5FAC-CFF1-47AB-B4B3-F011C5007BB5}" srcOrd="0" destOrd="0" parTransId="{8BF458F3-6E11-40D2-8E91-B35F90D62C58}" sibTransId="{3CC3F358-87CB-4805-872C-E4A7870A63B1}"/>
    <dgm:cxn modelId="{F53EBE76-C979-4BD7-B198-A9766FD9C6F7}" type="presOf" srcId="{4BDFBE51-E64B-4025-8743-202D45915636}" destId="{37D010D4-18CE-4806-BAC3-58E3F5A4A0EF}" srcOrd="0" destOrd="0" presId="urn:microsoft.com/office/officeart/2011/layout/RadialPictureList"/>
    <dgm:cxn modelId="{72DAD07B-CE4B-4652-AB6D-81B6CC5DEDF7}" type="presOf" srcId="{11EB806E-65A4-405F-8E5B-19FE3852A0AE}" destId="{C505D9AE-799A-44D4-A637-3FE6BE0EAF8C}" srcOrd="0" destOrd="0" presId="urn:microsoft.com/office/officeart/2011/layout/RadialPictureList"/>
    <dgm:cxn modelId="{7FF970B6-FDDE-4274-8D72-3752B8B51DB3}" type="presOf" srcId="{2D4F5FAC-CFF1-47AB-B4B3-F011C5007BB5}" destId="{34B98279-9F5C-4B83-922E-653551910DAA}" srcOrd="0" destOrd="0" presId="urn:microsoft.com/office/officeart/2011/layout/RadialPictureList"/>
    <dgm:cxn modelId="{F636A6C3-B02B-448E-8D34-20B3F50B65A3}" type="presOf" srcId="{8439DD55-63E2-40EB-AE6B-67E0304B906C}" destId="{3FFB5F1E-F730-4C03-903D-4B5A9B1768FB}" srcOrd="0" destOrd="0" presId="urn:microsoft.com/office/officeart/2011/layout/RadialPictureList"/>
    <dgm:cxn modelId="{15A634D0-C657-4C4E-990C-8459E816A3BD}" srcId="{2D4F5FAC-CFF1-47AB-B4B3-F011C5007BB5}" destId="{4BDFBE51-E64B-4025-8743-202D45915636}" srcOrd="0" destOrd="0" parTransId="{A1AA218D-9B35-4227-A0D8-E0751B83166E}" sibTransId="{E722FD72-71BC-4533-BAE9-2710B9E8CEE1}"/>
    <dgm:cxn modelId="{41E68DED-0CE4-4CC0-825D-A16FCBB20929}" type="presOf" srcId="{CA9CE320-D107-4EFB-9D9D-78FAA885DF57}" destId="{B4215B41-A193-4F7E-BF0C-1C231B2BFA07}" srcOrd="0" destOrd="0" presId="urn:microsoft.com/office/officeart/2011/layout/RadialPictureList"/>
    <dgm:cxn modelId="{E279DA37-0468-4B6C-8ED2-DB2796B96EAD}" type="presParOf" srcId="{B4215B41-A193-4F7E-BF0C-1C231B2BFA07}" destId="{34B98279-9F5C-4B83-922E-653551910DAA}" srcOrd="0" destOrd="0" presId="urn:microsoft.com/office/officeart/2011/layout/RadialPictureList"/>
    <dgm:cxn modelId="{A66DEE49-6F42-46BC-895B-B5B0F5332B05}" type="presParOf" srcId="{B4215B41-A193-4F7E-BF0C-1C231B2BFA07}" destId="{49CA762A-3883-42E5-AE32-BFD62E55ED7A}" srcOrd="1" destOrd="0" presId="urn:microsoft.com/office/officeart/2011/layout/RadialPictureList"/>
    <dgm:cxn modelId="{64131D63-EE4C-4496-BF9F-2E952B061AB2}" type="presParOf" srcId="{B4215B41-A193-4F7E-BF0C-1C231B2BFA07}" destId="{91845AFB-B6FD-4408-9339-0009EC3099CD}" srcOrd="2" destOrd="0" presId="urn:microsoft.com/office/officeart/2011/layout/RadialPictureList"/>
    <dgm:cxn modelId="{293BAF0A-CA8D-46DB-ACF2-9FBF87D86ADA}" type="presParOf" srcId="{B4215B41-A193-4F7E-BF0C-1C231B2BFA07}" destId="{37D010D4-18CE-4806-BAC3-58E3F5A4A0EF}" srcOrd="3" destOrd="0" presId="urn:microsoft.com/office/officeart/2011/layout/RadialPictureList"/>
    <dgm:cxn modelId="{EF9095FE-F8C7-4321-B90C-491CEC5BCC21}" type="presParOf" srcId="{B4215B41-A193-4F7E-BF0C-1C231B2BFA07}" destId="{9DDFBABF-52BB-4FD9-8958-8E7A8F281984}" srcOrd="4" destOrd="0" presId="urn:microsoft.com/office/officeart/2011/layout/RadialPictureList"/>
    <dgm:cxn modelId="{0A02D93B-DD24-45CD-BB66-9E7624C9EC2D}" type="presParOf" srcId="{9DDFBABF-52BB-4FD9-8958-8E7A8F281984}" destId="{737823C8-CB57-4AAD-85D3-73100F0ED530}" srcOrd="0" destOrd="0" presId="urn:microsoft.com/office/officeart/2011/layout/RadialPictureList"/>
    <dgm:cxn modelId="{A6F97D39-88D9-4C34-B409-88FC02C672ED}" type="presParOf" srcId="{B4215B41-A193-4F7E-BF0C-1C231B2BFA07}" destId="{C505D9AE-799A-44D4-A637-3FE6BE0EAF8C}" srcOrd="5" destOrd="0" presId="urn:microsoft.com/office/officeart/2011/layout/RadialPictureList"/>
    <dgm:cxn modelId="{A9DB5C82-5A47-4513-829D-4D6C0824B700}" type="presParOf" srcId="{B4215B41-A193-4F7E-BF0C-1C231B2BFA07}" destId="{6BF72A9F-4B38-445D-8E83-4D165C585DE6}" srcOrd="6" destOrd="0" presId="urn:microsoft.com/office/officeart/2011/layout/RadialPictureList"/>
    <dgm:cxn modelId="{3961A0D4-1F1F-4BFE-85A7-B709D7A3C816}" type="presParOf" srcId="{6BF72A9F-4B38-445D-8E83-4D165C585DE6}" destId="{32A096A9-16A8-4929-9587-E2D3FA82DD27}" srcOrd="0" destOrd="0" presId="urn:microsoft.com/office/officeart/2011/layout/RadialPictureList"/>
    <dgm:cxn modelId="{348B1427-0C2C-463B-8105-F93290B86797}" type="presParOf" srcId="{B4215B41-A193-4F7E-BF0C-1C231B2BFA07}" destId="{3FFB5F1E-F730-4C03-903D-4B5A9B1768FB}" srcOrd="7" destOrd="0" presId="urn:microsoft.com/office/officeart/2011/layout/RadialPictureLis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B5658EE-6F08-498C-A090-3D139177EAA7}" type="doc">
      <dgm:prSet loTypeId="urn:microsoft.com/office/officeart/2011/layout/HexagonRadial" loCatId="cycle" qsTypeId="urn:microsoft.com/office/officeart/2005/8/quickstyle/simple3" qsCatId="simple" csTypeId="urn:microsoft.com/office/officeart/2005/8/colors/colorful1" csCatId="colorful" phldr="1"/>
      <dgm:spPr/>
      <dgm:t>
        <a:bodyPr/>
        <a:lstStyle/>
        <a:p>
          <a:endParaRPr lang="en-US"/>
        </a:p>
      </dgm:t>
    </dgm:pt>
    <dgm:pt modelId="{2E33ACBA-F8E9-4A42-94DA-EDF3C047435C}">
      <dgm:prSet phldrT="[Text]" custT="1"/>
      <dgm:spPr/>
      <dgm:t>
        <a:bodyPr/>
        <a:lstStyle/>
        <a:p>
          <a:r>
            <a:rPr lang="en-US" sz="1000"/>
            <a:t>Transactive Energy</a:t>
          </a:r>
        </a:p>
      </dgm:t>
    </dgm:pt>
    <dgm:pt modelId="{38C34373-8814-4453-968C-3FC2233C1543}" type="parTrans" cxnId="{173BA0B6-377C-4041-915B-13AF2618B2C4}">
      <dgm:prSet/>
      <dgm:spPr/>
      <dgm:t>
        <a:bodyPr/>
        <a:lstStyle/>
        <a:p>
          <a:endParaRPr lang="en-US" sz="2400">
            <a:solidFill>
              <a:sysClr val="windowText" lastClr="000000"/>
            </a:solidFill>
          </a:endParaRPr>
        </a:p>
      </dgm:t>
    </dgm:pt>
    <dgm:pt modelId="{413669BB-BF61-46DA-81ED-DF8887CF3B87}" type="sibTrans" cxnId="{173BA0B6-377C-4041-915B-13AF2618B2C4}">
      <dgm:prSet/>
      <dgm:spPr/>
      <dgm:t>
        <a:bodyPr/>
        <a:lstStyle/>
        <a:p>
          <a:endParaRPr lang="en-US" sz="2400">
            <a:solidFill>
              <a:sysClr val="windowText" lastClr="000000"/>
            </a:solidFill>
          </a:endParaRPr>
        </a:p>
      </dgm:t>
    </dgm:pt>
    <dgm:pt modelId="{005618EA-7D29-450A-8263-39E956D82841}">
      <dgm:prSet phldrT="[Text]" custT="1"/>
      <dgm:spPr/>
      <dgm:t>
        <a:bodyPr/>
        <a:lstStyle/>
        <a:p>
          <a:r>
            <a:rPr lang="en-US" sz="1000"/>
            <a:t>Grid Control Strategies</a:t>
          </a:r>
        </a:p>
      </dgm:t>
    </dgm:pt>
    <dgm:pt modelId="{BF494CB8-1E25-4BE7-9576-2DB8EE22686A}" type="parTrans" cxnId="{E37F9C28-9342-4374-9374-7C4CD811C53F}">
      <dgm:prSet/>
      <dgm:spPr/>
      <dgm:t>
        <a:bodyPr/>
        <a:lstStyle/>
        <a:p>
          <a:endParaRPr lang="en-US" sz="2400">
            <a:solidFill>
              <a:sysClr val="windowText" lastClr="000000"/>
            </a:solidFill>
          </a:endParaRPr>
        </a:p>
      </dgm:t>
    </dgm:pt>
    <dgm:pt modelId="{E90E9B12-AB35-41F9-9701-F3C9EF9966F8}" type="sibTrans" cxnId="{E37F9C28-9342-4374-9374-7C4CD811C53F}">
      <dgm:prSet/>
      <dgm:spPr/>
      <dgm:t>
        <a:bodyPr/>
        <a:lstStyle/>
        <a:p>
          <a:endParaRPr lang="en-US" sz="2400">
            <a:solidFill>
              <a:sysClr val="windowText" lastClr="000000"/>
            </a:solidFill>
          </a:endParaRPr>
        </a:p>
      </dgm:t>
    </dgm:pt>
    <dgm:pt modelId="{6D1C785B-0FD8-4CEA-9211-DD959C9FAEAC}">
      <dgm:prSet phldrT="[Text]" custT="1"/>
      <dgm:spPr/>
      <dgm:t>
        <a:bodyPr/>
        <a:lstStyle/>
        <a:p>
          <a:r>
            <a:rPr lang="en-US" sz="1000"/>
            <a:t>Regulatory Framework</a:t>
          </a:r>
        </a:p>
      </dgm:t>
    </dgm:pt>
    <dgm:pt modelId="{0F500F85-8752-4CD5-8518-AEBFCDF3F919}" type="parTrans" cxnId="{BDB0E47D-3CAC-4E2A-8A6E-86578AAFD60A}">
      <dgm:prSet/>
      <dgm:spPr/>
      <dgm:t>
        <a:bodyPr/>
        <a:lstStyle/>
        <a:p>
          <a:endParaRPr lang="en-US" sz="2400">
            <a:solidFill>
              <a:sysClr val="windowText" lastClr="000000"/>
            </a:solidFill>
          </a:endParaRPr>
        </a:p>
      </dgm:t>
    </dgm:pt>
    <dgm:pt modelId="{C723FBCB-4B8B-470B-9B98-B783491CC198}" type="sibTrans" cxnId="{BDB0E47D-3CAC-4E2A-8A6E-86578AAFD60A}">
      <dgm:prSet/>
      <dgm:spPr/>
      <dgm:t>
        <a:bodyPr/>
        <a:lstStyle/>
        <a:p>
          <a:endParaRPr lang="en-US" sz="2400">
            <a:solidFill>
              <a:sysClr val="windowText" lastClr="000000"/>
            </a:solidFill>
          </a:endParaRPr>
        </a:p>
      </dgm:t>
    </dgm:pt>
    <dgm:pt modelId="{A93BAF3D-E594-408B-B802-D62EA3190B6F}">
      <dgm:prSet phldrT="[Text]" custT="1"/>
      <dgm:spPr/>
      <dgm:t>
        <a:bodyPr/>
        <a:lstStyle/>
        <a:p>
          <a:r>
            <a:rPr lang="en-US" sz="1000"/>
            <a:t>Robust Smart Grid Technologies</a:t>
          </a:r>
        </a:p>
      </dgm:t>
    </dgm:pt>
    <dgm:pt modelId="{6FB2759A-EEDC-4298-A10B-E0DE7DAF83AF}" type="parTrans" cxnId="{6D2246ED-8F39-4C58-ACD1-831EBC179858}">
      <dgm:prSet/>
      <dgm:spPr/>
      <dgm:t>
        <a:bodyPr/>
        <a:lstStyle/>
        <a:p>
          <a:endParaRPr lang="en-US" sz="2400">
            <a:solidFill>
              <a:sysClr val="windowText" lastClr="000000"/>
            </a:solidFill>
          </a:endParaRPr>
        </a:p>
      </dgm:t>
    </dgm:pt>
    <dgm:pt modelId="{C900BF91-D86C-4513-9C20-E72DA25B9DFA}" type="sibTrans" cxnId="{6D2246ED-8F39-4C58-ACD1-831EBC179858}">
      <dgm:prSet/>
      <dgm:spPr/>
      <dgm:t>
        <a:bodyPr/>
        <a:lstStyle/>
        <a:p>
          <a:endParaRPr lang="en-US" sz="2400">
            <a:solidFill>
              <a:sysClr val="windowText" lastClr="000000"/>
            </a:solidFill>
          </a:endParaRPr>
        </a:p>
      </dgm:t>
    </dgm:pt>
    <dgm:pt modelId="{ABDD4A28-8511-410C-8AC2-A926670DF6C7}">
      <dgm:prSet phldrT="[Text]" custT="1"/>
      <dgm:spPr/>
      <dgm:t>
        <a:bodyPr/>
        <a:lstStyle/>
        <a:p>
          <a:r>
            <a:rPr lang="en-US" sz="1000"/>
            <a:t>Real Time Pricing strategy</a:t>
          </a:r>
        </a:p>
      </dgm:t>
    </dgm:pt>
    <dgm:pt modelId="{8EAF9E40-5506-4514-9FCB-3F47486E90AB}" type="parTrans" cxnId="{DE08D71B-5654-4231-8394-B12772ABB348}">
      <dgm:prSet/>
      <dgm:spPr/>
      <dgm:t>
        <a:bodyPr/>
        <a:lstStyle/>
        <a:p>
          <a:endParaRPr lang="en-US" sz="2400">
            <a:solidFill>
              <a:sysClr val="windowText" lastClr="000000"/>
            </a:solidFill>
          </a:endParaRPr>
        </a:p>
      </dgm:t>
    </dgm:pt>
    <dgm:pt modelId="{6960BD79-441C-427B-9BCF-A9211C1F7A89}" type="sibTrans" cxnId="{DE08D71B-5654-4231-8394-B12772ABB348}">
      <dgm:prSet/>
      <dgm:spPr/>
      <dgm:t>
        <a:bodyPr/>
        <a:lstStyle/>
        <a:p>
          <a:endParaRPr lang="en-US" sz="2400">
            <a:solidFill>
              <a:sysClr val="windowText" lastClr="000000"/>
            </a:solidFill>
          </a:endParaRPr>
        </a:p>
      </dgm:t>
    </dgm:pt>
    <dgm:pt modelId="{DE20B14F-A46E-4C72-A70C-D9EAC62047FB}">
      <dgm:prSet phldrT="[Text]" custT="1"/>
      <dgm:spPr/>
      <dgm:t>
        <a:bodyPr/>
        <a:lstStyle/>
        <a:p>
          <a:r>
            <a:rPr lang="en-US" sz="1000"/>
            <a:t>Dynamic Energy Balance</a:t>
          </a:r>
        </a:p>
      </dgm:t>
    </dgm:pt>
    <dgm:pt modelId="{8C4271E0-B1B4-42F1-9EA9-54FB321F4807}" type="parTrans" cxnId="{5A746A8D-3BC4-49B7-98FB-083CC15122C1}">
      <dgm:prSet/>
      <dgm:spPr/>
      <dgm:t>
        <a:bodyPr/>
        <a:lstStyle/>
        <a:p>
          <a:endParaRPr lang="en-US" sz="2400">
            <a:solidFill>
              <a:sysClr val="windowText" lastClr="000000"/>
            </a:solidFill>
          </a:endParaRPr>
        </a:p>
      </dgm:t>
    </dgm:pt>
    <dgm:pt modelId="{FA617A50-4E09-4808-A07B-4B59B4222B18}" type="sibTrans" cxnId="{5A746A8D-3BC4-49B7-98FB-083CC15122C1}">
      <dgm:prSet/>
      <dgm:spPr/>
      <dgm:t>
        <a:bodyPr/>
        <a:lstStyle/>
        <a:p>
          <a:endParaRPr lang="en-US" sz="2400">
            <a:solidFill>
              <a:sysClr val="windowText" lastClr="000000"/>
            </a:solidFill>
          </a:endParaRPr>
        </a:p>
      </dgm:t>
    </dgm:pt>
    <dgm:pt modelId="{61510219-0B3E-4290-8938-9FA4139F149E}">
      <dgm:prSet phldrT="[Text]" custT="1"/>
      <dgm:spPr/>
      <dgm:t>
        <a:bodyPr/>
        <a:lstStyle/>
        <a:p>
          <a:r>
            <a:rPr lang="en-US" sz="1000"/>
            <a:t>Transparent Energy  Market and Business Models</a:t>
          </a:r>
        </a:p>
      </dgm:t>
    </dgm:pt>
    <dgm:pt modelId="{2EC79B6F-16B6-4DB2-AB4C-4CD46D462523}" type="parTrans" cxnId="{133BE968-5B4D-40F9-AEB8-BD1FB4684D45}">
      <dgm:prSet/>
      <dgm:spPr/>
      <dgm:t>
        <a:bodyPr/>
        <a:lstStyle/>
        <a:p>
          <a:endParaRPr lang="en-US" sz="2400">
            <a:solidFill>
              <a:sysClr val="windowText" lastClr="000000"/>
            </a:solidFill>
          </a:endParaRPr>
        </a:p>
      </dgm:t>
    </dgm:pt>
    <dgm:pt modelId="{FDF70AE6-D066-4513-9B09-0229DE41D18F}" type="sibTrans" cxnId="{133BE968-5B4D-40F9-AEB8-BD1FB4684D45}">
      <dgm:prSet/>
      <dgm:spPr/>
      <dgm:t>
        <a:bodyPr/>
        <a:lstStyle/>
        <a:p>
          <a:endParaRPr lang="en-US" sz="2400">
            <a:solidFill>
              <a:sysClr val="windowText" lastClr="000000"/>
            </a:solidFill>
          </a:endParaRPr>
        </a:p>
      </dgm:t>
    </dgm:pt>
    <dgm:pt modelId="{DC877B0C-CDEE-4BC8-A1A7-EA1485A286E0}" type="pres">
      <dgm:prSet presAssocID="{8B5658EE-6F08-498C-A090-3D139177EAA7}" presName="Name0" presStyleCnt="0">
        <dgm:presLayoutVars>
          <dgm:chMax val="1"/>
          <dgm:chPref val="1"/>
          <dgm:dir/>
          <dgm:animOne val="branch"/>
          <dgm:animLvl val="lvl"/>
        </dgm:presLayoutVars>
      </dgm:prSet>
      <dgm:spPr/>
    </dgm:pt>
    <dgm:pt modelId="{5169CAF8-B9EB-4B00-AC64-DE304A73A70E}" type="pres">
      <dgm:prSet presAssocID="{2E33ACBA-F8E9-4A42-94DA-EDF3C047435C}" presName="Parent" presStyleLbl="node0" presStyleIdx="0" presStyleCnt="1">
        <dgm:presLayoutVars>
          <dgm:chMax val="6"/>
          <dgm:chPref val="6"/>
        </dgm:presLayoutVars>
      </dgm:prSet>
      <dgm:spPr/>
    </dgm:pt>
    <dgm:pt modelId="{E93A81D3-6BAD-421F-B128-1FC7B073B8EC}" type="pres">
      <dgm:prSet presAssocID="{005618EA-7D29-450A-8263-39E956D82841}" presName="Accent1" presStyleCnt="0"/>
      <dgm:spPr/>
    </dgm:pt>
    <dgm:pt modelId="{EE03E45E-EA6D-4CE8-9841-46ECD0E91F27}" type="pres">
      <dgm:prSet presAssocID="{005618EA-7D29-450A-8263-39E956D82841}" presName="Accent" presStyleLbl="bgShp" presStyleIdx="0" presStyleCnt="6"/>
      <dgm:spPr/>
    </dgm:pt>
    <dgm:pt modelId="{C34E9726-FE8E-4D43-80F0-5087D4632E9E}" type="pres">
      <dgm:prSet presAssocID="{005618EA-7D29-450A-8263-39E956D82841}" presName="Child1" presStyleLbl="node1" presStyleIdx="0" presStyleCnt="6">
        <dgm:presLayoutVars>
          <dgm:chMax val="0"/>
          <dgm:chPref val="0"/>
          <dgm:bulletEnabled val="1"/>
        </dgm:presLayoutVars>
      </dgm:prSet>
      <dgm:spPr/>
    </dgm:pt>
    <dgm:pt modelId="{28178AC5-20C2-405E-BC70-CB05A55E661A}" type="pres">
      <dgm:prSet presAssocID="{6D1C785B-0FD8-4CEA-9211-DD959C9FAEAC}" presName="Accent2" presStyleCnt="0"/>
      <dgm:spPr/>
    </dgm:pt>
    <dgm:pt modelId="{E166C18B-7727-4E27-BF72-5ADB7D853BC8}" type="pres">
      <dgm:prSet presAssocID="{6D1C785B-0FD8-4CEA-9211-DD959C9FAEAC}" presName="Accent" presStyleLbl="bgShp" presStyleIdx="1" presStyleCnt="6"/>
      <dgm:spPr/>
    </dgm:pt>
    <dgm:pt modelId="{1AA7CC76-4A3A-4798-962A-3DDECA80B7C9}" type="pres">
      <dgm:prSet presAssocID="{6D1C785B-0FD8-4CEA-9211-DD959C9FAEAC}" presName="Child2" presStyleLbl="node1" presStyleIdx="1" presStyleCnt="6">
        <dgm:presLayoutVars>
          <dgm:chMax val="0"/>
          <dgm:chPref val="0"/>
          <dgm:bulletEnabled val="1"/>
        </dgm:presLayoutVars>
      </dgm:prSet>
      <dgm:spPr/>
    </dgm:pt>
    <dgm:pt modelId="{7526983A-AA95-4949-A8A8-36F715A4223D}" type="pres">
      <dgm:prSet presAssocID="{A93BAF3D-E594-408B-B802-D62EA3190B6F}" presName="Accent3" presStyleCnt="0"/>
      <dgm:spPr/>
    </dgm:pt>
    <dgm:pt modelId="{BD135302-CC9D-4D88-8987-18CA569C9268}" type="pres">
      <dgm:prSet presAssocID="{A93BAF3D-E594-408B-B802-D62EA3190B6F}" presName="Accent" presStyleLbl="bgShp" presStyleIdx="2" presStyleCnt="6"/>
      <dgm:spPr/>
    </dgm:pt>
    <dgm:pt modelId="{C54149E9-DED2-4072-A289-3CDD9689C0AA}" type="pres">
      <dgm:prSet presAssocID="{A93BAF3D-E594-408B-B802-D62EA3190B6F}" presName="Child3" presStyleLbl="node1" presStyleIdx="2" presStyleCnt="6">
        <dgm:presLayoutVars>
          <dgm:chMax val="0"/>
          <dgm:chPref val="0"/>
          <dgm:bulletEnabled val="1"/>
        </dgm:presLayoutVars>
      </dgm:prSet>
      <dgm:spPr/>
    </dgm:pt>
    <dgm:pt modelId="{C692E891-3FB7-4007-8E67-74CA0E415995}" type="pres">
      <dgm:prSet presAssocID="{ABDD4A28-8511-410C-8AC2-A926670DF6C7}" presName="Accent4" presStyleCnt="0"/>
      <dgm:spPr/>
    </dgm:pt>
    <dgm:pt modelId="{EC8264B4-4F04-4052-8797-02557A878EE9}" type="pres">
      <dgm:prSet presAssocID="{ABDD4A28-8511-410C-8AC2-A926670DF6C7}" presName="Accent" presStyleLbl="bgShp" presStyleIdx="3" presStyleCnt="6"/>
      <dgm:spPr/>
    </dgm:pt>
    <dgm:pt modelId="{4C0604EF-A9BE-448D-8708-31E396F8D9BB}" type="pres">
      <dgm:prSet presAssocID="{ABDD4A28-8511-410C-8AC2-A926670DF6C7}" presName="Child4" presStyleLbl="node1" presStyleIdx="3" presStyleCnt="6">
        <dgm:presLayoutVars>
          <dgm:chMax val="0"/>
          <dgm:chPref val="0"/>
          <dgm:bulletEnabled val="1"/>
        </dgm:presLayoutVars>
      </dgm:prSet>
      <dgm:spPr/>
    </dgm:pt>
    <dgm:pt modelId="{9975C633-ABD7-4B4B-AA64-5B34C2EEA53C}" type="pres">
      <dgm:prSet presAssocID="{DE20B14F-A46E-4C72-A70C-D9EAC62047FB}" presName="Accent5" presStyleCnt="0"/>
      <dgm:spPr/>
    </dgm:pt>
    <dgm:pt modelId="{3DC8C56F-BC89-4A80-AA34-13B5850A5437}" type="pres">
      <dgm:prSet presAssocID="{DE20B14F-A46E-4C72-A70C-D9EAC62047FB}" presName="Accent" presStyleLbl="bgShp" presStyleIdx="4" presStyleCnt="6"/>
      <dgm:spPr/>
    </dgm:pt>
    <dgm:pt modelId="{7D370742-5468-40BD-8A80-BEDC069A6D91}" type="pres">
      <dgm:prSet presAssocID="{DE20B14F-A46E-4C72-A70C-D9EAC62047FB}" presName="Child5" presStyleLbl="node1" presStyleIdx="4" presStyleCnt="6">
        <dgm:presLayoutVars>
          <dgm:chMax val="0"/>
          <dgm:chPref val="0"/>
          <dgm:bulletEnabled val="1"/>
        </dgm:presLayoutVars>
      </dgm:prSet>
      <dgm:spPr/>
    </dgm:pt>
    <dgm:pt modelId="{99462D83-6E95-4743-865C-18553BE1EBCB}" type="pres">
      <dgm:prSet presAssocID="{61510219-0B3E-4290-8938-9FA4139F149E}" presName="Accent6" presStyleCnt="0"/>
      <dgm:spPr/>
    </dgm:pt>
    <dgm:pt modelId="{7FD3FDD7-7999-4C9C-B25B-0CCD7E533563}" type="pres">
      <dgm:prSet presAssocID="{61510219-0B3E-4290-8938-9FA4139F149E}" presName="Accent" presStyleLbl="bgShp" presStyleIdx="5" presStyleCnt="6"/>
      <dgm:spPr/>
    </dgm:pt>
    <dgm:pt modelId="{423D8C4B-59DC-41A2-8462-C748F8AD7B6B}" type="pres">
      <dgm:prSet presAssocID="{61510219-0B3E-4290-8938-9FA4139F149E}" presName="Child6" presStyleLbl="node1" presStyleIdx="5" presStyleCnt="6">
        <dgm:presLayoutVars>
          <dgm:chMax val="0"/>
          <dgm:chPref val="0"/>
          <dgm:bulletEnabled val="1"/>
        </dgm:presLayoutVars>
      </dgm:prSet>
      <dgm:spPr/>
    </dgm:pt>
  </dgm:ptLst>
  <dgm:cxnLst>
    <dgm:cxn modelId="{25652011-8AE6-4861-9585-E5F847167FF8}" type="presOf" srcId="{6D1C785B-0FD8-4CEA-9211-DD959C9FAEAC}" destId="{1AA7CC76-4A3A-4798-962A-3DDECA80B7C9}" srcOrd="0" destOrd="0" presId="urn:microsoft.com/office/officeart/2011/layout/HexagonRadial"/>
    <dgm:cxn modelId="{DE08D71B-5654-4231-8394-B12772ABB348}" srcId="{2E33ACBA-F8E9-4A42-94DA-EDF3C047435C}" destId="{ABDD4A28-8511-410C-8AC2-A926670DF6C7}" srcOrd="3" destOrd="0" parTransId="{8EAF9E40-5506-4514-9FCB-3F47486E90AB}" sibTransId="{6960BD79-441C-427B-9BCF-A9211C1F7A89}"/>
    <dgm:cxn modelId="{6000281E-CDBE-4E7D-B0C5-F2F6822EADE5}" type="presOf" srcId="{005618EA-7D29-450A-8263-39E956D82841}" destId="{C34E9726-FE8E-4D43-80F0-5087D4632E9E}" srcOrd="0" destOrd="0" presId="urn:microsoft.com/office/officeart/2011/layout/HexagonRadial"/>
    <dgm:cxn modelId="{E37F9C28-9342-4374-9374-7C4CD811C53F}" srcId="{2E33ACBA-F8E9-4A42-94DA-EDF3C047435C}" destId="{005618EA-7D29-450A-8263-39E956D82841}" srcOrd="0" destOrd="0" parTransId="{BF494CB8-1E25-4BE7-9576-2DB8EE22686A}" sibTransId="{E90E9B12-AB35-41F9-9701-F3C9EF9966F8}"/>
    <dgm:cxn modelId="{C1A09B30-7FD9-41F3-A12A-95085C291C4B}" type="presOf" srcId="{61510219-0B3E-4290-8938-9FA4139F149E}" destId="{423D8C4B-59DC-41A2-8462-C748F8AD7B6B}" srcOrd="0" destOrd="0" presId="urn:microsoft.com/office/officeart/2011/layout/HexagonRadial"/>
    <dgm:cxn modelId="{6B93E03B-A25C-43ED-88C7-A3AD566C456D}" type="presOf" srcId="{ABDD4A28-8511-410C-8AC2-A926670DF6C7}" destId="{4C0604EF-A9BE-448D-8708-31E396F8D9BB}" srcOrd="0" destOrd="0" presId="urn:microsoft.com/office/officeart/2011/layout/HexagonRadial"/>
    <dgm:cxn modelId="{3312AA3D-14E3-4E9C-83F2-6C54AE5383FC}" type="presOf" srcId="{DE20B14F-A46E-4C72-A70C-D9EAC62047FB}" destId="{7D370742-5468-40BD-8A80-BEDC069A6D91}" srcOrd="0" destOrd="0" presId="urn:microsoft.com/office/officeart/2011/layout/HexagonRadial"/>
    <dgm:cxn modelId="{133BE968-5B4D-40F9-AEB8-BD1FB4684D45}" srcId="{2E33ACBA-F8E9-4A42-94DA-EDF3C047435C}" destId="{61510219-0B3E-4290-8938-9FA4139F149E}" srcOrd="5" destOrd="0" parTransId="{2EC79B6F-16B6-4DB2-AB4C-4CD46D462523}" sibTransId="{FDF70AE6-D066-4513-9B09-0229DE41D18F}"/>
    <dgm:cxn modelId="{AC235551-0FDB-4C03-B78E-85D0DC4F3018}" type="presOf" srcId="{8B5658EE-6F08-498C-A090-3D139177EAA7}" destId="{DC877B0C-CDEE-4BC8-A1A7-EA1485A286E0}" srcOrd="0" destOrd="0" presId="urn:microsoft.com/office/officeart/2011/layout/HexagonRadial"/>
    <dgm:cxn modelId="{BDB0E47D-3CAC-4E2A-8A6E-86578AAFD60A}" srcId="{2E33ACBA-F8E9-4A42-94DA-EDF3C047435C}" destId="{6D1C785B-0FD8-4CEA-9211-DD959C9FAEAC}" srcOrd="1" destOrd="0" parTransId="{0F500F85-8752-4CD5-8518-AEBFCDF3F919}" sibTransId="{C723FBCB-4B8B-470B-9B98-B783491CC198}"/>
    <dgm:cxn modelId="{5A746A8D-3BC4-49B7-98FB-083CC15122C1}" srcId="{2E33ACBA-F8E9-4A42-94DA-EDF3C047435C}" destId="{DE20B14F-A46E-4C72-A70C-D9EAC62047FB}" srcOrd="4" destOrd="0" parTransId="{8C4271E0-B1B4-42F1-9EA9-54FB321F4807}" sibTransId="{FA617A50-4E09-4808-A07B-4B59B4222B18}"/>
    <dgm:cxn modelId="{28B5D999-B6D4-41B7-B7DF-FA09E1F6A285}" type="presOf" srcId="{2E33ACBA-F8E9-4A42-94DA-EDF3C047435C}" destId="{5169CAF8-B9EB-4B00-AC64-DE304A73A70E}" srcOrd="0" destOrd="0" presId="urn:microsoft.com/office/officeart/2011/layout/HexagonRadial"/>
    <dgm:cxn modelId="{173BA0B6-377C-4041-915B-13AF2618B2C4}" srcId="{8B5658EE-6F08-498C-A090-3D139177EAA7}" destId="{2E33ACBA-F8E9-4A42-94DA-EDF3C047435C}" srcOrd="0" destOrd="0" parTransId="{38C34373-8814-4453-968C-3FC2233C1543}" sibTransId="{413669BB-BF61-46DA-81ED-DF8887CF3B87}"/>
    <dgm:cxn modelId="{6D2246ED-8F39-4C58-ACD1-831EBC179858}" srcId="{2E33ACBA-F8E9-4A42-94DA-EDF3C047435C}" destId="{A93BAF3D-E594-408B-B802-D62EA3190B6F}" srcOrd="2" destOrd="0" parTransId="{6FB2759A-EEDC-4298-A10B-E0DE7DAF83AF}" sibTransId="{C900BF91-D86C-4513-9C20-E72DA25B9DFA}"/>
    <dgm:cxn modelId="{1E3706F4-29E0-490E-898E-8D86DC9FAC9C}" type="presOf" srcId="{A93BAF3D-E594-408B-B802-D62EA3190B6F}" destId="{C54149E9-DED2-4072-A289-3CDD9689C0AA}" srcOrd="0" destOrd="0" presId="urn:microsoft.com/office/officeart/2011/layout/HexagonRadial"/>
    <dgm:cxn modelId="{5F7BA2B8-2372-4B7C-AB1B-7DBA5FD54B39}" type="presParOf" srcId="{DC877B0C-CDEE-4BC8-A1A7-EA1485A286E0}" destId="{5169CAF8-B9EB-4B00-AC64-DE304A73A70E}" srcOrd="0" destOrd="0" presId="urn:microsoft.com/office/officeart/2011/layout/HexagonRadial"/>
    <dgm:cxn modelId="{5E10BC8E-6DCA-4AD3-9A82-3104067A8ECC}" type="presParOf" srcId="{DC877B0C-CDEE-4BC8-A1A7-EA1485A286E0}" destId="{E93A81D3-6BAD-421F-B128-1FC7B073B8EC}" srcOrd="1" destOrd="0" presId="urn:microsoft.com/office/officeart/2011/layout/HexagonRadial"/>
    <dgm:cxn modelId="{A18E8CDC-D70E-4B1C-91D5-B2BF6D4E315E}" type="presParOf" srcId="{E93A81D3-6BAD-421F-B128-1FC7B073B8EC}" destId="{EE03E45E-EA6D-4CE8-9841-46ECD0E91F27}" srcOrd="0" destOrd="0" presId="urn:microsoft.com/office/officeart/2011/layout/HexagonRadial"/>
    <dgm:cxn modelId="{F42CCE9D-9293-42A9-B936-6DCEF205B52C}" type="presParOf" srcId="{DC877B0C-CDEE-4BC8-A1A7-EA1485A286E0}" destId="{C34E9726-FE8E-4D43-80F0-5087D4632E9E}" srcOrd="2" destOrd="0" presId="urn:microsoft.com/office/officeart/2011/layout/HexagonRadial"/>
    <dgm:cxn modelId="{E2D6B8D1-668E-4702-9CD8-B10093BAC2CC}" type="presParOf" srcId="{DC877B0C-CDEE-4BC8-A1A7-EA1485A286E0}" destId="{28178AC5-20C2-405E-BC70-CB05A55E661A}" srcOrd="3" destOrd="0" presId="urn:microsoft.com/office/officeart/2011/layout/HexagonRadial"/>
    <dgm:cxn modelId="{A8B8FE97-65B8-4E77-8E1B-DD51F2DB8DCB}" type="presParOf" srcId="{28178AC5-20C2-405E-BC70-CB05A55E661A}" destId="{E166C18B-7727-4E27-BF72-5ADB7D853BC8}" srcOrd="0" destOrd="0" presId="urn:microsoft.com/office/officeart/2011/layout/HexagonRadial"/>
    <dgm:cxn modelId="{91AF85C5-F9D8-4B91-B24D-25AF69D49E9C}" type="presParOf" srcId="{DC877B0C-CDEE-4BC8-A1A7-EA1485A286E0}" destId="{1AA7CC76-4A3A-4798-962A-3DDECA80B7C9}" srcOrd="4" destOrd="0" presId="urn:microsoft.com/office/officeart/2011/layout/HexagonRadial"/>
    <dgm:cxn modelId="{BE3EB150-9182-43A1-9F1C-462CDF91FE02}" type="presParOf" srcId="{DC877B0C-CDEE-4BC8-A1A7-EA1485A286E0}" destId="{7526983A-AA95-4949-A8A8-36F715A4223D}" srcOrd="5" destOrd="0" presId="urn:microsoft.com/office/officeart/2011/layout/HexagonRadial"/>
    <dgm:cxn modelId="{A14915CF-691F-4A3F-961E-9E8CF85932B9}" type="presParOf" srcId="{7526983A-AA95-4949-A8A8-36F715A4223D}" destId="{BD135302-CC9D-4D88-8987-18CA569C9268}" srcOrd="0" destOrd="0" presId="urn:microsoft.com/office/officeart/2011/layout/HexagonRadial"/>
    <dgm:cxn modelId="{3BABAD69-4ECB-4672-9968-4A51BEF81227}" type="presParOf" srcId="{DC877B0C-CDEE-4BC8-A1A7-EA1485A286E0}" destId="{C54149E9-DED2-4072-A289-3CDD9689C0AA}" srcOrd="6" destOrd="0" presId="urn:microsoft.com/office/officeart/2011/layout/HexagonRadial"/>
    <dgm:cxn modelId="{9A1DCB5D-4166-4BC2-8B38-1D201E237728}" type="presParOf" srcId="{DC877B0C-CDEE-4BC8-A1A7-EA1485A286E0}" destId="{C692E891-3FB7-4007-8E67-74CA0E415995}" srcOrd="7" destOrd="0" presId="urn:microsoft.com/office/officeart/2011/layout/HexagonRadial"/>
    <dgm:cxn modelId="{0D9EA58C-9903-4622-B238-A4567DAF8160}" type="presParOf" srcId="{C692E891-3FB7-4007-8E67-74CA0E415995}" destId="{EC8264B4-4F04-4052-8797-02557A878EE9}" srcOrd="0" destOrd="0" presId="urn:microsoft.com/office/officeart/2011/layout/HexagonRadial"/>
    <dgm:cxn modelId="{69BE7694-0AC1-4ADA-9C8E-0B8987091839}" type="presParOf" srcId="{DC877B0C-CDEE-4BC8-A1A7-EA1485A286E0}" destId="{4C0604EF-A9BE-448D-8708-31E396F8D9BB}" srcOrd="8" destOrd="0" presId="urn:microsoft.com/office/officeart/2011/layout/HexagonRadial"/>
    <dgm:cxn modelId="{CA3A52CA-B384-4BC0-8767-EBB5CAE64D97}" type="presParOf" srcId="{DC877B0C-CDEE-4BC8-A1A7-EA1485A286E0}" destId="{9975C633-ABD7-4B4B-AA64-5B34C2EEA53C}" srcOrd="9" destOrd="0" presId="urn:microsoft.com/office/officeart/2011/layout/HexagonRadial"/>
    <dgm:cxn modelId="{3DA6F662-62CF-4C85-8089-FA1CAA11DB13}" type="presParOf" srcId="{9975C633-ABD7-4B4B-AA64-5B34C2EEA53C}" destId="{3DC8C56F-BC89-4A80-AA34-13B5850A5437}" srcOrd="0" destOrd="0" presId="urn:microsoft.com/office/officeart/2011/layout/HexagonRadial"/>
    <dgm:cxn modelId="{E3B59BAC-B44A-466E-8C5D-69775EA2A8F0}" type="presParOf" srcId="{DC877B0C-CDEE-4BC8-A1A7-EA1485A286E0}" destId="{7D370742-5468-40BD-8A80-BEDC069A6D91}" srcOrd="10" destOrd="0" presId="urn:microsoft.com/office/officeart/2011/layout/HexagonRadial"/>
    <dgm:cxn modelId="{7844D5E5-3D51-4DD5-BC7B-02D74EFB67A3}" type="presParOf" srcId="{DC877B0C-CDEE-4BC8-A1A7-EA1485A286E0}" destId="{99462D83-6E95-4743-865C-18553BE1EBCB}" srcOrd="11" destOrd="0" presId="urn:microsoft.com/office/officeart/2011/layout/HexagonRadial"/>
    <dgm:cxn modelId="{A6D8BC91-37FA-4292-A4C1-8C407AF20A66}" type="presParOf" srcId="{99462D83-6E95-4743-865C-18553BE1EBCB}" destId="{7FD3FDD7-7999-4C9C-B25B-0CCD7E533563}" srcOrd="0" destOrd="0" presId="urn:microsoft.com/office/officeart/2011/layout/HexagonRadial"/>
    <dgm:cxn modelId="{A2B8169B-0C69-4683-A056-58363B9D2AAA}" type="presParOf" srcId="{DC877B0C-CDEE-4BC8-A1A7-EA1485A286E0}" destId="{423D8C4B-59DC-41A2-8462-C748F8AD7B6B}" srcOrd="12" destOrd="0" presId="urn:microsoft.com/office/officeart/2011/layout/HexagonRadial"/>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2878FBF-F3DD-4B27-B06F-55B8E67503C9}" type="doc">
      <dgm:prSet loTypeId="urn:microsoft.com/office/officeart/2011/layout/TabList" loCatId="list" qsTypeId="urn:microsoft.com/office/officeart/2005/8/quickstyle/simple1" qsCatId="simple" csTypeId="urn:microsoft.com/office/officeart/2005/8/colors/colorful1" csCatId="colorful" phldr="1"/>
      <dgm:spPr/>
      <dgm:t>
        <a:bodyPr/>
        <a:lstStyle/>
        <a:p>
          <a:endParaRPr lang="en-US"/>
        </a:p>
      </dgm:t>
    </dgm:pt>
    <dgm:pt modelId="{721658FF-E368-43D1-ADA7-550CEAED92F6}">
      <dgm:prSet phldrT="[Text]" custT="1"/>
      <dgm:spPr/>
      <dgm:t>
        <a:bodyPr/>
        <a:lstStyle/>
        <a:p>
          <a:pPr algn="ctr"/>
          <a:r>
            <a:rPr lang="en-US" sz="1000">
              <a:latin typeface="Times New Roman" panose="02020603050405020304" pitchFamily="18" charset="0"/>
              <a:cs typeface="Times New Roman" panose="02020603050405020304" pitchFamily="18" charset="0"/>
            </a:rPr>
            <a:t>Harmonizing Execution Efforts</a:t>
          </a:r>
        </a:p>
      </dgm:t>
    </dgm:pt>
    <dgm:pt modelId="{A7B3E771-B63D-4261-95E8-D12F882A616F}" type="parTrans" cxnId="{E31A4F99-6038-4D96-8930-95C654792656}">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A876720E-239D-4E0A-8A8B-8D2701A19F39}" type="sibTrans" cxnId="{E31A4F99-6038-4D96-8930-95C654792656}">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87292C9D-7FBB-44A7-BBFE-E5E82200D295}">
      <dgm:prSet phldrT="[Text]" custT="1"/>
      <dgm:spPr/>
      <dgm:t>
        <a:bodyPr/>
        <a:lstStyle/>
        <a:p>
          <a:pPr algn="ctr"/>
          <a:r>
            <a:rPr lang="en-US" sz="1000">
              <a:latin typeface="Times New Roman" panose="02020603050405020304" pitchFamily="18" charset="0"/>
              <a:cs typeface="Times New Roman" panose="02020603050405020304" pitchFamily="18" charset="0"/>
            </a:rPr>
            <a:t>Enhance Recognition of Digital Solutions</a:t>
          </a:r>
        </a:p>
      </dgm:t>
    </dgm:pt>
    <dgm:pt modelId="{59AD1396-FEEF-4880-A79D-0126D42B146A}" type="parTrans" cxnId="{495F83F6-356B-498C-AD54-8F377F8AA260}">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83F5AD62-236E-4279-B658-3A2788B666C4}" type="sibTrans" cxnId="{495F83F6-356B-498C-AD54-8F377F8AA260}">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CF4BB3AA-2ED7-49AE-B0E7-56B1E9605842}">
      <dgm:prSet phldrT="[Text]" custT="1"/>
      <dgm:spPr/>
      <dgm:t>
        <a:bodyPr/>
        <a:lstStyle/>
        <a:p>
          <a:pPr algn="ctr"/>
          <a:r>
            <a:rPr lang="en-US" sz="1000">
              <a:latin typeface="Times New Roman" panose="02020603050405020304" pitchFamily="18" charset="0"/>
              <a:cs typeface="Times New Roman" panose="02020603050405020304" pitchFamily="18" charset="0"/>
            </a:rPr>
            <a:t>Embed Resilience and Security in Electricity Policies</a:t>
          </a:r>
        </a:p>
      </dgm:t>
    </dgm:pt>
    <dgm:pt modelId="{D8ACA022-6FFB-4A87-8AF2-37A79ED150D8}" type="parTrans" cxnId="{4EC394CB-AB0B-452E-A7CD-9AB69D222268}">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D2D81936-1D66-4EDB-AF42-FB3A98CBA128}" type="sibTrans" cxnId="{4EC394CB-AB0B-452E-A7CD-9AB69D222268}">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AD0B2600-A32E-4C1E-B58A-C1C056783DCD}">
      <dgm:prSet phldrT="[Text]" custT="1"/>
      <dgm:spPr/>
      <dgm:t>
        <a:bodyPr/>
        <a:lstStyle/>
        <a:p>
          <a:pPr algn="ctr"/>
          <a:r>
            <a:rPr lang="en-US" sz="1000">
              <a:latin typeface="Times New Roman" panose="02020603050405020304" pitchFamily="18" charset="0"/>
              <a:cs typeface="Times New Roman" panose="02020603050405020304" pitchFamily="18" charset="0"/>
            </a:rPr>
            <a:t>Monitor, Share and support Digitalization Progress</a:t>
          </a:r>
        </a:p>
      </dgm:t>
    </dgm:pt>
    <dgm:pt modelId="{8B75D909-F77E-448B-9C12-571B86E09242}" type="parTrans" cxnId="{7E39205A-E140-49A5-BF93-371B83A50B0B}">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A89FF5AB-986A-41D8-B3B5-99707F978359}" type="sibTrans" cxnId="{7E39205A-E140-49A5-BF93-371B83A50B0B}">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6DA77713-228B-4961-BC9D-B712207E84E4}">
      <dgm:prSet custT="1"/>
      <dgm:spPr/>
      <dgm:t>
        <a:bodyPr/>
        <a:lstStyle/>
        <a:p>
          <a:pPr algn="ctr"/>
          <a:r>
            <a:rPr lang="en-US" sz="1000">
              <a:latin typeface="Times New Roman" panose="02020603050405020304" pitchFamily="18" charset="0"/>
              <a:cs typeface="Times New Roman" panose="02020603050405020304" pitchFamily="18" charset="0"/>
            </a:rPr>
            <a:t>Forging a Unified Vision: Advancing Planning into the Modern Era</a:t>
          </a:r>
        </a:p>
      </dgm:t>
    </dgm:pt>
    <dgm:pt modelId="{D1275468-B1E3-434E-8019-0D73257E6038}" type="parTrans" cxnId="{DE66B9EC-AA5D-4A15-B9B6-352BF740D1B0}">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586EB76A-9D37-4236-922B-B96210826253}" type="sibTrans" cxnId="{DE66B9EC-AA5D-4A15-B9B6-352BF740D1B0}">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FFF4EFE4-476F-45EE-B821-A663C4BC5DF9}">
      <dgm:prSet custT="1"/>
      <dgm:spPr/>
      <dgm:t>
        <a:bodyPr/>
        <a:lstStyle/>
        <a:p>
          <a:pPr algn="ctr"/>
          <a:r>
            <a:rPr lang="en-GB" sz="1000">
              <a:latin typeface="Times New Roman" panose="02020603050405020304" pitchFamily="18" charset="0"/>
              <a:cs typeface="Times New Roman" panose="02020603050405020304" pitchFamily="18" charset="0"/>
            </a:rPr>
            <a:t> Digital grid technologies for national priorities like grid upgrades and decarbonization.</a:t>
          </a:r>
        </a:p>
        <a:p>
          <a:pPr algn="ctr"/>
          <a:r>
            <a:rPr lang="en-GB" sz="1000">
              <a:latin typeface="Times New Roman" panose="02020603050405020304" pitchFamily="18" charset="0"/>
              <a:cs typeface="Times New Roman" panose="02020603050405020304" pitchFamily="18" charset="0"/>
            </a:rPr>
            <a:t>Upgrade policies to support investments in digital capabilities and system efficiency.</a:t>
          </a:r>
        </a:p>
        <a:p>
          <a:pPr algn="ctr"/>
          <a:r>
            <a:rPr lang="en-GB" sz="1000">
              <a:latin typeface="Times New Roman" panose="02020603050405020304" pitchFamily="18" charset="0"/>
              <a:cs typeface="Times New Roman" panose="02020603050405020304" pitchFamily="18" charset="0"/>
            </a:rPr>
            <a:t>Promote integrated planning considering to align investments across stakeholders.</a:t>
          </a:r>
          <a:endParaRPr lang="en-US" sz="1000">
            <a:latin typeface="Times New Roman" panose="02020603050405020304" pitchFamily="18" charset="0"/>
            <a:cs typeface="Times New Roman" panose="02020603050405020304" pitchFamily="18" charset="0"/>
          </a:endParaRPr>
        </a:p>
      </dgm:t>
    </dgm:pt>
    <dgm:pt modelId="{E7B92EF8-752D-49E0-BF65-8CA94E383B39}" type="parTrans" cxnId="{835B8636-6491-4D08-9936-AF3CAEABF141}">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F3A10EAA-39B2-4D52-AB41-5988B84D682D}" type="sibTrans" cxnId="{835B8636-6491-4D08-9936-AF3CAEABF141}">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6AAD54E4-B615-4496-ACAE-8A3D7AB8E0B6}">
      <dgm:prSet custT="1"/>
      <dgm:spPr/>
      <dgm:t>
        <a:bodyPr/>
        <a:lstStyle/>
        <a:p>
          <a:pPr algn="ctr"/>
          <a:r>
            <a:rPr lang="en-GB" sz="1000">
              <a:latin typeface="Times New Roman" panose="02020603050405020304" pitchFamily="18" charset="0"/>
              <a:cs typeface="Times New Roman" panose="02020603050405020304" pitchFamily="18" charset="0"/>
            </a:rPr>
            <a:t>Foster intergovernmental coordination for energy, digital, and economic sectors.</a:t>
          </a:r>
        </a:p>
        <a:p>
          <a:pPr algn="ctr"/>
          <a:r>
            <a:rPr lang="en-GB" sz="1000">
              <a:latin typeface="Times New Roman" panose="02020603050405020304" pitchFamily="18" charset="0"/>
              <a:cs typeface="Times New Roman" panose="02020603050405020304" pitchFamily="18" charset="0"/>
            </a:rPr>
            <a:t>Support digital transformation in energy policies through large-scale projects</a:t>
          </a:r>
        </a:p>
        <a:p>
          <a:pPr algn="ctr"/>
          <a:r>
            <a:rPr lang="en-GB" sz="1000">
              <a:latin typeface="Times New Roman" panose="02020603050405020304" pitchFamily="18" charset="0"/>
              <a:cs typeface="Times New Roman" panose="02020603050405020304" pitchFamily="18" charset="0"/>
            </a:rPr>
            <a:t>Govern power system planning to ensure socio-economic benefits</a:t>
          </a:r>
        </a:p>
        <a:p>
          <a:pPr algn="ctr"/>
          <a:r>
            <a:rPr lang="en-GB" sz="1000">
              <a:latin typeface="Times New Roman" panose="02020603050405020304" pitchFamily="18" charset="0"/>
              <a:cs typeface="Times New Roman" panose="02020603050405020304" pitchFamily="18" charset="0"/>
            </a:rPr>
            <a:t> Skill development for smart grid employment.</a:t>
          </a:r>
          <a:endParaRPr lang="en-US" sz="1000">
            <a:latin typeface="Times New Roman" panose="02020603050405020304" pitchFamily="18" charset="0"/>
            <a:cs typeface="Times New Roman" panose="02020603050405020304" pitchFamily="18" charset="0"/>
          </a:endParaRPr>
        </a:p>
      </dgm:t>
    </dgm:pt>
    <dgm:pt modelId="{208A7F4E-307A-488A-BE15-EB833E87DF8A}" type="parTrans" cxnId="{F4367712-5040-463C-A2BD-690407EEDFD5}">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6E973C21-AB5B-4A4F-9CD7-7C3145AEB3E0}" type="sibTrans" cxnId="{F4367712-5040-463C-A2BD-690407EEDFD5}">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769AF000-3D98-455B-A34A-2548FB7BE37A}">
      <dgm:prSet custT="1"/>
      <dgm:spPr/>
      <dgm:t>
        <a:bodyPr/>
        <a:lstStyle/>
        <a:p>
          <a:pPr algn="ctr"/>
          <a:r>
            <a:rPr lang="en-GB" sz="1000">
              <a:latin typeface="Times New Roman" panose="02020603050405020304" pitchFamily="18" charset="0"/>
              <a:cs typeface="Times New Roman" panose="02020603050405020304" pitchFamily="18" charset="0"/>
            </a:rPr>
            <a:t>Introduce policies incentivizing and de-risking digitalization investments.</a:t>
          </a:r>
        </a:p>
        <a:p>
          <a:pPr algn="ctr"/>
          <a:r>
            <a:rPr lang="en-GB" sz="1000">
              <a:latin typeface="Times New Roman" panose="02020603050405020304" pitchFamily="18" charset="0"/>
              <a:cs typeface="Times New Roman" panose="02020603050405020304" pitchFamily="18" charset="0"/>
            </a:rPr>
            <a:t>Adopt performance-based regulations that aligns with clean energy goals.</a:t>
          </a:r>
        </a:p>
        <a:p>
          <a:pPr algn="ctr"/>
          <a:r>
            <a:rPr lang="en-GB" sz="1000">
              <a:latin typeface="Times New Roman" panose="02020603050405020304" pitchFamily="18" charset="0"/>
              <a:cs typeface="Times New Roman" panose="02020603050405020304" pitchFamily="18" charset="0"/>
            </a:rPr>
            <a:t>Embed electricity value into policies, guiding efficient digitalization integration in grids.</a:t>
          </a:r>
          <a:endParaRPr lang="en-US" sz="1000">
            <a:latin typeface="Times New Roman" panose="02020603050405020304" pitchFamily="18" charset="0"/>
            <a:cs typeface="Times New Roman" panose="02020603050405020304" pitchFamily="18" charset="0"/>
          </a:endParaRPr>
        </a:p>
      </dgm:t>
    </dgm:pt>
    <dgm:pt modelId="{9DBFD3E7-8EAD-43D6-A803-34F73639548F}" type="parTrans" cxnId="{D4BD64F9-CDE6-47DF-985D-82DCE04AC74E}">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AD2490FD-46B6-497A-9922-C399FE5E8E7E}" type="sibTrans" cxnId="{D4BD64F9-CDE6-47DF-985D-82DCE04AC74E}">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6A0AA617-75F7-4228-A0C2-8B16B9C7911C}">
      <dgm:prSet custT="1"/>
      <dgm:spPr/>
      <dgm:t>
        <a:bodyPr/>
        <a:lstStyle/>
        <a:p>
          <a:pPr algn="ctr"/>
          <a:r>
            <a:rPr lang="en-GB" sz="1000">
              <a:latin typeface="Times New Roman" panose="02020603050405020304" pitchFamily="18" charset="0"/>
              <a:cs typeface="Times New Roman" panose="02020603050405020304" pitchFamily="18" charset="0"/>
            </a:rPr>
            <a:t>Strengthen power system resilience amidst climate change.</a:t>
          </a:r>
        </a:p>
        <a:p>
          <a:pPr algn="ctr"/>
          <a:r>
            <a:rPr lang="en-GB" sz="1000">
              <a:latin typeface="Times New Roman" panose="02020603050405020304" pitchFamily="18" charset="0"/>
              <a:cs typeface="Times New Roman" panose="02020603050405020304" pitchFamily="18" charset="0"/>
            </a:rPr>
            <a:t>Integrate resilience and through long-term energy planning.</a:t>
          </a:r>
        </a:p>
        <a:p>
          <a:pPr algn="ctr"/>
          <a:r>
            <a:rPr lang="en-GB" sz="1000">
              <a:latin typeface="Times New Roman" panose="02020603050405020304" pitchFamily="18" charset="0"/>
              <a:cs typeface="Times New Roman" panose="02020603050405020304" pitchFamily="18" charset="0"/>
            </a:rPr>
            <a:t> Cyber resilience in regulations to boost digitalization investment and manage  risks.</a:t>
          </a:r>
          <a:endParaRPr lang="en-US" sz="1000">
            <a:latin typeface="Times New Roman" panose="02020603050405020304" pitchFamily="18" charset="0"/>
            <a:cs typeface="Times New Roman" panose="02020603050405020304" pitchFamily="18" charset="0"/>
          </a:endParaRPr>
        </a:p>
      </dgm:t>
    </dgm:pt>
    <dgm:pt modelId="{36C5B456-3EE1-4A9A-BD15-10B566D07248}" type="parTrans" cxnId="{CE335A8C-E504-4CD5-8641-8AF9820C9892}">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0B41A496-C9E4-4377-88B6-0C7A142B753F}" type="sibTrans" cxnId="{CE335A8C-E504-4CD5-8641-8AF9820C9892}">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0E595D56-23B0-4378-A5DE-E9DFE7356912}">
      <dgm:prSet custT="1"/>
      <dgm:spPr/>
      <dgm:t>
        <a:bodyPr/>
        <a:lstStyle/>
        <a:p>
          <a:pPr algn="ctr"/>
          <a:r>
            <a:rPr lang="en-GB" sz="1000">
              <a:latin typeface="Times New Roman" panose="02020603050405020304" pitchFamily="18" charset="0"/>
              <a:cs typeface="Times New Roman" panose="02020603050405020304" pitchFamily="18" charset="0"/>
            </a:rPr>
            <a:t>Foster a data-driven culture in the public and private sector to keep track of progress.</a:t>
          </a:r>
        </a:p>
        <a:p>
          <a:pPr algn="ctr"/>
          <a:r>
            <a:rPr lang="en-GB" sz="1000">
              <a:latin typeface="Times New Roman" panose="02020603050405020304" pitchFamily="18" charset="0"/>
              <a:cs typeface="Times New Roman" panose="02020603050405020304" pitchFamily="18" charset="0"/>
            </a:rPr>
            <a:t>Enhance policy implementation through iterative monitoring of transition strategies.</a:t>
          </a:r>
        </a:p>
        <a:p>
          <a:pPr algn="ctr"/>
          <a:r>
            <a:rPr lang="en-GB" sz="1000">
              <a:latin typeface="Times New Roman" panose="02020603050405020304" pitchFamily="18" charset="0"/>
              <a:cs typeface="Times New Roman" panose="02020603050405020304" pitchFamily="18" charset="0"/>
            </a:rPr>
            <a:t>Promote international collaboration and knowledge sharing to accelerate progress and de-risk future digitalization investments.</a:t>
          </a:r>
          <a:endParaRPr lang="en-US" sz="1000">
            <a:latin typeface="Times New Roman" panose="02020603050405020304" pitchFamily="18" charset="0"/>
            <a:cs typeface="Times New Roman" panose="02020603050405020304" pitchFamily="18" charset="0"/>
          </a:endParaRPr>
        </a:p>
      </dgm:t>
    </dgm:pt>
    <dgm:pt modelId="{487828C4-05E5-4025-BA4B-F3D8F25F3261}" type="parTrans" cxnId="{C7550EAB-192C-4D7D-A66E-2CE0884F8C55}">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3EC762CC-9483-47EF-B8EB-5ABDE6B1BACC}" type="sibTrans" cxnId="{C7550EAB-192C-4D7D-A66E-2CE0884F8C55}">
      <dgm:prSet/>
      <dgm:spPr/>
      <dgm:t>
        <a:bodyPr/>
        <a:lstStyle/>
        <a:p>
          <a:pPr algn="ctr"/>
          <a:endParaRPr lang="en-US" sz="1000">
            <a:latin typeface="Times New Roman" panose="02020603050405020304" pitchFamily="18" charset="0"/>
            <a:cs typeface="Times New Roman" panose="02020603050405020304" pitchFamily="18" charset="0"/>
          </a:endParaRPr>
        </a:p>
      </dgm:t>
    </dgm:pt>
    <dgm:pt modelId="{6DE07344-E09D-41C1-A0F7-8862F10BB59E}" type="pres">
      <dgm:prSet presAssocID="{E2878FBF-F3DD-4B27-B06F-55B8E67503C9}" presName="Name0" presStyleCnt="0">
        <dgm:presLayoutVars>
          <dgm:chMax/>
          <dgm:chPref val="3"/>
          <dgm:dir/>
          <dgm:animOne val="branch"/>
          <dgm:animLvl val="lvl"/>
        </dgm:presLayoutVars>
      </dgm:prSet>
      <dgm:spPr/>
    </dgm:pt>
    <dgm:pt modelId="{A2ECFC52-6090-4528-BDD2-38013BA310EA}" type="pres">
      <dgm:prSet presAssocID="{721658FF-E368-43D1-ADA7-550CEAED92F6}" presName="composite" presStyleCnt="0"/>
      <dgm:spPr/>
    </dgm:pt>
    <dgm:pt modelId="{34FDBE18-C88B-4DF7-A83A-C47277635425}" type="pres">
      <dgm:prSet presAssocID="{721658FF-E368-43D1-ADA7-550CEAED92F6}" presName="FirstChild" presStyleLbl="revTx" presStyleIdx="0" presStyleCnt="5">
        <dgm:presLayoutVars>
          <dgm:chMax val="0"/>
          <dgm:chPref val="0"/>
          <dgm:bulletEnabled val="1"/>
        </dgm:presLayoutVars>
      </dgm:prSet>
      <dgm:spPr/>
    </dgm:pt>
    <dgm:pt modelId="{C5DFABD4-7E95-488A-883F-EACFC440529D}" type="pres">
      <dgm:prSet presAssocID="{721658FF-E368-43D1-ADA7-550CEAED92F6}" presName="Parent" presStyleLbl="alignNode1" presStyleIdx="0" presStyleCnt="5">
        <dgm:presLayoutVars>
          <dgm:chMax val="3"/>
          <dgm:chPref val="3"/>
          <dgm:bulletEnabled val="1"/>
        </dgm:presLayoutVars>
      </dgm:prSet>
      <dgm:spPr/>
    </dgm:pt>
    <dgm:pt modelId="{5E13A337-DB16-4B39-9439-F218042A30E4}" type="pres">
      <dgm:prSet presAssocID="{721658FF-E368-43D1-ADA7-550CEAED92F6}" presName="Accent" presStyleLbl="parChTrans1D1" presStyleIdx="0" presStyleCnt="5"/>
      <dgm:spPr/>
    </dgm:pt>
    <dgm:pt modelId="{43DCABDE-8755-4D7F-B458-B9F5A853E30F}" type="pres">
      <dgm:prSet presAssocID="{A876720E-239D-4E0A-8A8B-8D2701A19F39}" presName="sibTrans" presStyleCnt="0"/>
      <dgm:spPr/>
    </dgm:pt>
    <dgm:pt modelId="{91F39D2C-59C4-411F-A7C4-3BD25159754F}" type="pres">
      <dgm:prSet presAssocID="{6DA77713-228B-4961-BC9D-B712207E84E4}" presName="composite" presStyleCnt="0"/>
      <dgm:spPr/>
    </dgm:pt>
    <dgm:pt modelId="{2636D47A-0623-45D7-BA16-5BA95EDF05C1}" type="pres">
      <dgm:prSet presAssocID="{6DA77713-228B-4961-BC9D-B712207E84E4}" presName="FirstChild" presStyleLbl="revTx" presStyleIdx="1" presStyleCnt="5">
        <dgm:presLayoutVars>
          <dgm:chMax val="0"/>
          <dgm:chPref val="0"/>
          <dgm:bulletEnabled val="1"/>
        </dgm:presLayoutVars>
      </dgm:prSet>
      <dgm:spPr/>
    </dgm:pt>
    <dgm:pt modelId="{94208F6F-EE27-4F8F-A834-C902D392CFDD}" type="pres">
      <dgm:prSet presAssocID="{6DA77713-228B-4961-BC9D-B712207E84E4}" presName="Parent" presStyleLbl="alignNode1" presStyleIdx="1" presStyleCnt="5">
        <dgm:presLayoutVars>
          <dgm:chMax val="3"/>
          <dgm:chPref val="3"/>
          <dgm:bulletEnabled val="1"/>
        </dgm:presLayoutVars>
      </dgm:prSet>
      <dgm:spPr/>
    </dgm:pt>
    <dgm:pt modelId="{3310E8DA-203D-4D78-8D21-E37F215087E8}" type="pres">
      <dgm:prSet presAssocID="{6DA77713-228B-4961-BC9D-B712207E84E4}" presName="Accent" presStyleLbl="parChTrans1D1" presStyleIdx="1" presStyleCnt="5"/>
      <dgm:spPr/>
    </dgm:pt>
    <dgm:pt modelId="{0C2D4F15-685B-4CF0-95AA-88D6D2363FB6}" type="pres">
      <dgm:prSet presAssocID="{586EB76A-9D37-4236-922B-B96210826253}" presName="sibTrans" presStyleCnt="0"/>
      <dgm:spPr/>
    </dgm:pt>
    <dgm:pt modelId="{90FAF4BB-C0D9-41E4-8A71-F8EEED497527}" type="pres">
      <dgm:prSet presAssocID="{87292C9D-7FBB-44A7-BBFE-E5E82200D295}" presName="composite" presStyleCnt="0"/>
      <dgm:spPr/>
    </dgm:pt>
    <dgm:pt modelId="{C2208B52-AF57-476C-908E-DE6431360530}" type="pres">
      <dgm:prSet presAssocID="{87292C9D-7FBB-44A7-BBFE-E5E82200D295}" presName="FirstChild" presStyleLbl="revTx" presStyleIdx="2" presStyleCnt="5">
        <dgm:presLayoutVars>
          <dgm:chMax val="0"/>
          <dgm:chPref val="0"/>
          <dgm:bulletEnabled val="1"/>
        </dgm:presLayoutVars>
      </dgm:prSet>
      <dgm:spPr/>
    </dgm:pt>
    <dgm:pt modelId="{CB036C44-956A-4E05-813B-E29A581DCEF6}" type="pres">
      <dgm:prSet presAssocID="{87292C9D-7FBB-44A7-BBFE-E5E82200D295}" presName="Parent" presStyleLbl="alignNode1" presStyleIdx="2" presStyleCnt="5">
        <dgm:presLayoutVars>
          <dgm:chMax val="3"/>
          <dgm:chPref val="3"/>
          <dgm:bulletEnabled val="1"/>
        </dgm:presLayoutVars>
      </dgm:prSet>
      <dgm:spPr/>
    </dgm:pt>
    <dgm:pt modelId="{66623E9E-FD3D-4181-AB7F-87327DE58B67}" type="pres">
      <dgm:prSet presAssocID="{87292C9D-7FBB-44A7-BBFE-E5E82200D295}" presName="Accent" presStyleLbl="parChTrans1D1" presStyleIdx="2" presStyleCnt="5"/>
      <dgm:spPr/>
    </dgm:pt>
    <dgm:pt modelId="{E119B2FA-D973-44C9-A3A3-836AEEA3D617}" type="pres">
      <dgm:prSet presAssocID="{83F5AD62-236E-4279-B658-3A2788B666C4}" presName="sibTrans" presStyleCnt="0"/>
      <dgm:spPr/>
    </dgm:pt>
    <dgm:pt modelId="{477D8332-EF4A-4830-8037-65945EB9CCD1}" type="pres">
      <dgm:prSet presAssocID="{CF4BB3AA-2ED7-49AE-B0E7-56B1E9605842}" presName="composite" presStyleCnt="0"/>
      <dgm:spPr/>
    </dgm:pt>
    <dgm:pt modelId="{51AA1DD4-267F-4134-B5CD-CD784A626EBC}" type="pres">
      <dgm:prSet presAssocID="{CF4BB3AA-2ED7-49AE-B0E7-56B1E9605842}" presName="FirstChild" presStyleLbl="revTx" presStyleIdx="3" presStyleCnt="5">
        <dgm:presLayoutVars>
          <dgm:chMax val="0"/>
          <dgm:chPref val="0"/>
          <dgm:bulletEnabled val="1"/>
        </dgm:presLayoutVars>
      </dgm:prSet>
      <dgm:spPr/>
    </dgm:pt>
    <dgm:pt modelId="{0D9F5B8A-46DC-4D8B-B3F6-3E44C337E3AF}" type="pres">
      <dgm:prSet presAssocID="{CF4BB3AA-2ED7-49AE-B0E7-56B1E9605842}" presName="Parent" presStyleLbl="alignNode1" presStyleIdx="3" presStyleCnt="5">
        <dgm:presLayoutVars>
          <dgm:chMax val="3"/>
          <dgm:chPref val="3"/>
          <dgm:bulletEnabled val="1"/>
        </dgm:presLayoutVars>
      </dgm:prSet>
      <dgm:spPr/>
    </dgm:pt>
    <dgm:pt modelId="{C0EF774A-B4C7-4751-94E7-B5BC524BB42C}" type="pres">
      <dgm:prSet presAssocID="{CF4BB3AA-2ED7-49AE-B0E7-56B1E9605842}" presName="Accent" presStyleLbl="parChTrans1D1" presStyleIdx="3" presStyleCnt="5"/>
      <dgm:spPr/>
    </dgm:pt>
    <dgm:pt modelId="{00CEC7C3-9B6D-4829-97E9-C50855167559}" type="pres">
      <dgm:prSet presAssocID="{D2D81936-1D66-4EDB-AF42-FB3A98CBA128}" presName="sibTrans" presStyleCnt="0"/>
      <dgm:spPr/>
    </dgm:pt>
    <dgm:pt modelId="{75280967-B319-4A0C-8539-01F5D95A8CF0}" type="pres">
      <dgm:prSet presAssocID="{AD0B2600-A32E-4C1E-B58A-C1C056783DCD}" presName="composite" presStyleCnt="0"/>
      <dgm:spPr/>
    </dgm:pt>
    <dgm:pt modelId="{3E877086-DB20-4472-8979-C26E8F321F5D}" type="pres">
      <dgm:prSet presAssocID="{AD0B2600-A32E-4C1E-B58A-C1C056783DCD}" presName="FirstChild" presStyleLbl="revTx" presStyleIdx="4" presStyleCnt="5">
        <dgm:presLayoutVars>
          <dgm:chMax val="0"/>
          <dgm:chPref val="0"/>
          <dgm:bulletEnabled val="1"/>
        </dgm:presLayoutVars>
      </dgm:prSet>
      <dgm:spPr/>
    </dgm:pt>
    <dgm:pt modelId="{17C45847-CA18-4258-B833-C062085B154A}" type="pres">
      <dgm:prSet presAssocID="{AD0B2600-A32E-4C1E-B58A-C1C056783DCD}" presName="Parent" presStyleLbl="alignNode1" presStyleIdx="4" presStyleCnt="5">
        <dgm:presLayoutVars>
          <dgm:chMax val="3"/>
          <dgm:chPref val="3"/>
          <dgm:bulletEnabled val="1"/>
        </dgm:presLayoutVars>
      </dgm:prSet>
      <dgm:spPr/>
    </dgm:pt>
    <dgm:pt modelId="{05E7A5DD-D489-4207-8919-74F224B53C57}" type="pres">
      <dgm:prSet presAssocID="{AD0B2600-A32E-4C1E-B58A-C1C056783DCD}" presName="Accent" presStyleLbl="parChTrans1D1" presStyleIdx="4" presStyleCnt="5"/>
      <dgm:spPr/>
    </dgm:pt>
  </dgm:ptLst>
  <dgm:cxnLst>
    <dgm:cxn modelId="{F4367712-5040-463C-A2BD-690407EEDFD5}" srcId="{721658FF-E368-43D1-ADA7-550CEAED92F6}" destId="{6AAD54E4-B615-4496-ACAE-8A3D7AB8E0B6}" srcOrd="0" destOrd="0" parTransId="{208A7F4E-307A-488A-BE15-EB833E87DF8A}" sibTransId="{6E973C21-AB5B-4A4F-9CD7-7C3145AEB3E0}"/>
    <dgm:cxn modelId="{6D3A3728-2631-4A13-8C35-068106D5A411}" type="presOf" srcId="{769AF000-3D98-455B-A34A-2548FB7BE37A}" destId="{C2208B52-AF57-476C-908E-DE6431360530}" srcOrd="0" destOrd="0" presId="urn:microsoft.com/office/officeart/2011/layout/TabList"/>
    <dgm:cxn modelId="{835B8636-6491-4D08-9936-AF3CAEABF141}" srcId="{6DA77713-228B-4961-BC9D-B712207E84E4}" destId="{FFF4EFE4-476F-45EE-B821-A663C4BC5DF9}" srcOrd="0" destOrd="0" parTransId="{E7B92EF8-752D-49E0-BF65-8CA94E383B39}" sibTransId="{F3A10EAA-39B2-4D52-AB41-5988B84D682D}"/>
    <dgm:cxn modelId="{DF5B5A3A-F3FA-4327-8CEB-66769D76CEAE}" type="presOf" srcId="{6A0AA617-75F7-4228-A0C2-8B16B9C7911C}" destId="{51AA1DD4-267F-4134-B5CD-CD784A626EBC}" srcOrd="0" destOrd="0" presId="urn:microsoft.com/office/officeart/2011/layout/TabList"/>
    <dgm:cxn modelId="{780C763D-60BE-4A0D-8E0B-2AE1B258D869}" type="presOf" srcId="{AD0B2600-A32E-4C1E-B58A-C1C056783DCD}" destId="{17C45847-CA18-4258-B833-C062085B154A}" srcOrd="0" destOrd="0" presId="urn:microsoft.com/office/officeart/2011/layout/TabList"/>
    <dgm:cxn modelId="{4B5D7566-754D-49C5-B242-A6DDA97FB1CB}" type="presOf" srcId="{CF4BB3AA-2ED7-49AE-B0E7-56B1E9605842}" destId="{0D9F5B8A-46DC-4D8B-B3F6-3E44C337E3AF}" srcOrd="0" destOrd="0" presId="urn:microsoft.com/office/officeart/2011/layout/TabList"/>
    <dgm:cxn modelId="{D605564E-1489-4663-8B61-A35C4B76554F}" type="presOf" srcId="{FFF4EFE4-476F-45EE-B821-A663C4BC5DF9}" destId="{2636D47A-0623-45D7-BA16-5BA95EDF05C1}" srcOrd="0" destOrd="0" presId="urn:microsoft.com/office/officeart/2011/layout/TabList"/>
    <dgm:cxn modelId="{EC5FF352-E1DD-4587-A84B-1705E7186CC9}" type="presOf" srcId="{6AAD54E4-B615-4496-ACAE-8A3D7AB8E0B6}" destId="{34FDBE18-C88B-4DF7-A83A-C47277635425}" srcOrd="0" destOrd="0" presId="urn:microsoft.com/office/officeart/2011/layout/TabList"/>
    <dgm:cxn modelId="{7E39205A-E140-49A5-BF93-371B83A50B0B}" srcId="{E2878FBF-F3DD-4B27-B06F-55B8E67503C9}" destId="{AD0B2600-A32E-4C1E-B58A-C1C056783DCD}" srcOrd="4" destOrd="0" parTransId="{8B75D909-F77E-448B-9C12-571B86E09242}" sibTransId="{A89FF5AB-986A-41D8-B3B5-99707F978359}"/>
    <dgm:cxn modelId="{A3CAE785-48F2-441A-9F7D-F9FE237AD7F6}" type="presOf" srcId="{87292C9D-7FBB-44A7-BBFE-E5E82200D295}" destId="{CB036C44-956A-4E05-813B-E29A581DCEF6}" srcOrd="0" destOrd="0" presId="urn:microsoft.com/office/officeart/2011/layout/TabList"/>
    <dgm:cxn modelId="{2957C389-A9F1-4A44-B93C-F7D164EC9192}" type="presOf" srcId="{721658FF-E368-43D1-ADA7-550CEAED92F6}" destId="{C5DFABD4-7E95-488A-883F-EACFC440529D}" srcOrd="0" destOrd="0" presId="urn:microsoft.com/office/officeart/2011/layout/TabList"/>
    <dgm:cxn modelId="{CE335A8C-E504-4CD5-8641-8AF9820C9892}" srcId="{CF4BB3AA-2ED7-49AE-B0E7-56B1E9605842}" destId="{6A0AA617-75F7-4228-A0C2-8B16B9C7911C}" srcOrd="0" destOrd="0" parTransId="{36C5B456-3EE1-4A9A-BD15-10B566D07248}" sibTransId="{0B41A496-C9E4-4377-88B6-0C7A142B753F}"/>
    <dgm:cxn modelId="{E31A4F99-6038-4D96-8930-95C654792656}" srcId="{E2878FBF-F3DD-4B27-B06F-55B8E67503C9}" destId="{721658FF-E368-43D1-ADA7-550CEAED92F6}" srcOrd="0" destOrd="0" parTransId="{A7B3E771-B63D-4261-95E8-D12F882A616F}" sibTransId="{A876720E-239D-4E0A-8A8B-8D2701A19F39}"/>
    <dgm:cxn modelId="{C7550EAB-192C-4D7D-A66E-2CE0884F8C55}" srcId="{AD0B2600-A32E-4C1E-B58A-C1C056783DCD}" destId="{0E595D56-23B0-4378-A5DE-E9DFE7356912}" srcOrd="0" destOrd="0" parTransId="{487828C4-05E5-4025-BA4B-F3D8F25F3261}" sibTransId="{3EC762CC-9483-47EF-B8EB-5ABDE6B1BACC}"/>
    <dgm:cxn modelId="{E47243BD-3027-4ABE-AFB8-7495C8209BF1}" type="presOf" srcId="{6DA77713-228B-4961-BC9D-B712207E84E4}" destId="{94208F6F-EE27-4F8F-A834-C902D392CFDD}" srcOrd="0" destOrd="0" presId="urn:microsoft.com/office/officeart/2011/layout/TabList"/>
    <dgm:cxn modelId="{1A06DACA-BEA4-40AC-AF13-34555AC8EF6D}" type="presOf" srcId="{0E595D56-23B0-4378-A5DE-E9DFE7356912}" destId="{3E877086-DB20-4472-8979-C26E8F321F5D}" srcOrd="0" destOrd="0" presId="urn:microsoft.com/office/officeart/2011/layout/TabList"/>
    <dgm:cxn modelId="{4EC394CB-AB0B-452E-A7CD-9AB69D222268}" srcId="{E2878FBF-F3DD-4B27-B06F-55B8E67503C9}" destId="{CF4BB3AA-2ED7-49AE-B0E7-56B1E9605842}" srcOrd="3" destOrd="0" parTransId="{D8ACA022-6FFB-4A87-8AF2-37A79ED150D8}" sibTransId="{D2D81936-1D66-4EDB-AF42-FB3A98CBA128}"/>
    <dgm:cxn modelId="{DE66B9EC-AA5D-4A15-B9B6-352BF740D1B0}" srcId="{E2878FBF-F3DD-4B27-B06F-55B8E67503C9}" destId="{6DA77713-228B-4961-BC9D-B712207E84E4}" srcOrd="1" destOrd="0" parTransId="{D1275468-B1E3-434E-8019-0D73257E6038}" sibTransId="{586EB76A-9D37-4236-922B-B96210826253}"/>
    <dgm:cxn modelId="{3E1418F0-53D7-40DA-A3DA-12F391F69CB4}" type="presOf" srcId="{E2878FBF-F3DD-4B27-B06F-55B8E67503C9}" destId="{6DE07344-E09D-41C1-A0F7-8862F10BB59E}" srcOrd="0" destOrd="0" presId="urn:microsoft.com/office/officeart/2011/layout/TabList"/>
    <dgm:cxn modelId="{495F83F6-356B-498C-AD54-8F377F8AA260}" srcId="{E2878FBF-F3DD-4B27-B06F-55B8E67503C9}" destId="{87292C9D-7FBB-44A7-BBFE-E5E82200D295}" srcOrd="2" destOrd="0" parTransId="{59AD1396-FEEF-4880-A79D-0126D42B146A}" sibTransId="{83F5AD62-236E-4279-B658-3A2788B666C4}"/>
    <dgm:cxn modelId="{D4BD64F9-CDE6-47DF-985D-82DCE04AC74E}" srcId="{87292C9D-7FBB-44A7-BBFE-E5E82200D295}" destId="{769AF000-3D98-455B-A34A-2548FB7BE37A}" srcOrd="0" destOrd="0" parTransId="{9DBFD3E7-8EAD-43D6-A803-34F73639548F}" sibTransId="{AD2490FD-46B6-497A-9922-C399FE5E8E7E}"/>
    <dgm:cxn modelId="{23A98A9F-363C-48AE-A8AF-C0405E428AD2}" type="presParOf" srcId="{6DE07344-E09D-41C1-A0F7-8862F10BB59E}" destId="{A2ECFC52-6090-4528-BDD2-38013BA310EA}" srcOrd="0" destOrd="0" presId="urn:microsoft.com/office/officeart/2011/layout/TabList"/>
    <dgm:cxn modelId="{A0F0FE29-4A4D-4955-A67F-2B2CCDF61452}" type="presParOf" srcId="{A2ECFC52-6090-4528-BDD2-38013BA310EA}" destId="{34FDBE18-C88B-4DF7-A83A-C47277635425}" srcOrd="0" destOrd="0" presId="urn:microsoft.com/office/officeart/2011/layout/TabList"/>
    <dgm:cxn modelId="{E8A5C62E-F7FA-4FA1-BA2D-85EA24DBFE69}" type="presParOf" srcId="{A2ECFC52-6090-4528-BDD2-38013BA310EA}" destId="{C5DFABD4-7E95-488A-883F-EACFC440529D}" srcOrd="1" destOrd="0" presId="urn:microsoft.com/office/officeart/2011/layout/TabList"/>
    <dgm:cxn modelId="{48A8766E-8990-4373-9EAD-9E3825FB4E4D}" type="presParOf" srcId="{A2ECFC52-6090-4528-BDD2-38013BA310EA}" destId="{5E13A337-DB16-4B39-9439-F218042A30E4}" srcOrd="2" destOrd="0" presId="urn:microsoft.com/office/officeart/2011/layout/TabList"/>
    <dgm:cxn modelId="{E6361066-42AE-4183-B74D-2A644BA4F2BE}" type="presParOf" srcId="{6DE07344-E09D-41C1-A0F7-8862F10BB59E}" destId="{43DCABDE-8755-4D7F-B458-B9F5A853E30F}" srcOrd="1" destOrd="0" presId="urn:microsoft.com/office/officeart/2011/layout/TabList"/>
    <dgm:cxn modelId="{A15B53E5-3D37-4DA6-A599-81F691B74B53}" type="presParOf" srcId="{6DE07344-E09D-41C1-A0F7-8862F10BB59E}" destId="{91F39D2C-59C4-411F-A7C4-3BD25159754F}" srcOrd="2" destOrd="0" presId="urn:microsoft.com/office/officeart/2011/layout/TabList"/>
    <dgm:cxn modelId="{AA8CC698-E5A5-4B17-AF91-8AC7DF68C0C4}" type="presParOf" srcId="{91F39D2C-59C4-411F-A7C4-3BD25159754F}" destId="{2636D47A-0623-45D7-BA16-5BA95EDF05C1}" srcOrd="0" destOrd="0" presId="urn:microsoft.com/office/officeart/2011/layout/TabList"/>
    <dgm:cxn modelId="{E679534F-0AFD-4930-89B8-471F87BACE36}" type="presParOf" srcId="{91F39D2C-59C4-411F-A7C4-3BD25159754F}" destId="{94208F6F-EE27-4F8F-A834-C902D392CFDD}" srcOrd="1" destOrd="0" presId="urn:microsoft.com/office/officeart/2011/layout/TabList"/>
    <dgm:cxn modelId="{8FB61796-8A50-40AA-B88E-F10C4E615521}" type="presParOf" srcId="{91F39D2C-59C4-411F-A7C4-3BD25159754F}" destId="{3310E8DA-203D-4D78-8D21-E37F215087E8}" srcOrd="2" destOrd="0" presId="urn:microsoft.com/office/officeart/2011/layout/TabList"/>
    <dgm:cxn modelId="{DAD300D0-AE17-4D9E-94A6-96DEADD13608}" type="presParOf" srcId="{6DE07344-E09D-41C1-A0F7-8862F10BB59E}" destId="{0C2D4F15-685B-4CF0-95AA-88D6D2363FB6}" srcOrd="3" destOrd="0" presId="urn:microsoft.com/office/officeart/2011/layout/TabList"/>
    <dgm:cxn modelId="{83770244-2818-41E0-A341-1C1A96CCCF56}" type="presParOf" srcId="{6DE07344-E09D-41C1-A0F7-8862F10BB59E}" destId="{90FAF4BB-C0D9-41E4-8A71-F8EEED497527}" srcOrd="4" destOrd="0" presId="urn:microsoft.com/office/officeart/2011/layout/TabList"/>
    <dgm:cxn modelId="{B37DC1D3-A040-4FE9-A3D5-0CB4B99D03D6}" type="presParOf" srcId="{90FAF4BB-C0D9-41E4-8A71-F8EEED497527}" destId="{C2208B52-AF57-476C-908E-DE6431360530}" srcOrd="0" destOrd="0" presId="urn:microsoft.com/office/officeart/2011/layout/TabList"/>
    <dgm:cxn modelId="{946C2478-7DED-4568-938B-8ACBD500C22D}" type="presParOf" srcId="{90FAF4BB-C0D9-41E4-8A71-F8EEED497527}" destId="{CB036C44-956A-4E05-813B-E29A581DCEF6}" srcOrd="1" destOrd="0" presId="urn:microsoft.com/office/officeart/2011/layout/TabList"/>
    <dgm:cxn modelId="{45CA6795-6780-4CB2-8A0A-38F21DDB999D}" type="presParOf" srcId="{90FAF4BB-C0D9-41E4-8A71-F8EEED497527}" destId="{66623E9E-FD3D-4181-AB7F-87327DE58B67}" srcOrd="2" destOrd="0" presId="urn:microsoft.com/office/officeart/2011/layout/TabList"/>
    <dgm:cxn modelId="{AA1540B9-ACD8-4CB3-AB7F-8417754E16B1}" type="presParOf" srcId="{6DE07344-E09D-41C1-A0F7-8862F10BB59E}" destId="{E119B2FA-D973-44C9-A3A3-836AEEA3D617}" srcOrd="5" destOrd="0" presId="urn:microsoft.com/office/officeart/2011/layout/TabList"/>
    <dgm:cxn modelId="{1DBE16C7-7AC1-494F-8B62-217BE9F29F56}" type="presParOf" srcId="{6DE07344-E09D-41C1-A0F7-8862F10BB59E}" destId="{477D8332-EF4A-4830-8037-65945EB9CCD1}" srcOrd="6" destOrd="0" presId="urn:microsoft.com/office/officeart/2011/layout/TabList"/>
    <dgm:cxn modelId="{F4641514-2346-4273-B74F-56EAD1652D39}" type="presParOf" srcId="{477D8332-EF4A-4830-8037-65945EB9CCD1}" destId="{51AA1DD4-267F-4134-B5CD-CD784A626EBC}" srcOrd="0" destOrd="0" presId="urn:microsoft.com/office/officeart/2011/layout/TabList"/>
    <dgm:cxn modelId="{0260621F-7E31-4BF8-88BC-B9CC1986D5A6}" type="presParOf" srcId="{477D8332-EF4A-4830-8037-65945EB9CCD1}" destId="{0D9F5B8A-46DC-4D8B-B3F6-3E44C337E3AF}" srcOrd="1" destOrd="0" presId="urn:microsoft.com/office/officeart/2011/layout/TabList"/>
    <dgm:cxn modelId="{DA2C8ADF-4546-473F-95D6-9EEB64305440}" type="presParOf" srcId="{477D8332-EF4A-4830-8037-65945EB9CCD1}" destId="{C0EF774A-B4C7-4751-94E7-B5BC524BB42C}" srcOrd="2" destOrd="0" presId="urn:microsoft.com/office/officeart/2011/layout/TabList"/>
    <dgm:cxn modelId="{3EDD9371-0C5B-4813-BBA2-E4C64193C7C7}" type="presParOf" srcId="{6DE07344-E09D-41C1-A0F7-8862F10BB59E}" destId="{00CEC7C3-9B6D-4829-97E9-C50855167559}" srcOrd="7" destOrd="0" presId="urn:microsoft.com/office/officeart/2011/layout/TabList"/>
    <dgm:cxn modelId="{464B069E-C95E-43CA-BA04-98BD24F0ECAE}" type="presParOf" srcId="{6DE07344-E09D-41C1-A0F7-8862F10BB59E}" destId="{75280967-B319-4A0C-8539-01F5D95A8CF0}" srcOrd="8" destOrd="0" presId="urn:microsoft.com/office/officeart/2011/layout/TabList"/>
    <dgm:cxn modelId="{D67FD8BB-9DAC-4B2A-8F97-C3DB4B4279F5}" type="presParOf" srcId="{75280967-B319-4A0C-8539-01F5D95A8CF0}" destId="{3E877086-DB20-4472-8979-C26E8F321F5D}" srcOrd="0" destOrd="0" presId="urn:microsoft.com/office/officeart/2011/layout/TabList"/>
    <dgm:cxn modelId="{51E1E87D-757D-4FEA-A425-FC06E981F572}" type="presParOf" srcId="{75280967-B319-4A0C-8539-01F5D95A8CF0}" destId="{17C45847-CA18-4258-B833-C062085B154A}" srcOrd="1" destOrd="0" presId="urn:microsoft.com/office/officeart/2011/layout/TabList"/>
    <dgm:cxn modelId="{7143E507-2B89-4D89-9FA2-A414D83BF165}" type="presParOf" srcId="{75280967-B319-4A0C-8539-01F5D95A8CF0}" destId="{05E7A5DD-D489-4207-8919-74F224B53C57}" srcOrd="2" destOrd="0" presId="urn:microsoft.com/office/officeart/2011/layout/TabList"/>
  </dgm:cxnLst>
  <dgm:bg/>
  <dgm:whole>
    <a:ln>
      <a:noFill/>
    </a:ln>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B98279-9F5C-4B83-922E-653551910DAA}">
      <dsp:nvSpPr>
        <dsp:cNvPr id="0" name=""/>
        <dsp:cNvSpPr/>
      </dsp:nvSpPr>
      <dsp:spPr>
        <a:xfrm>
          <a:off x="1181472" y="587233"/>
          <a:ext cx="1056124" cy="105617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n-US" sz="1800" kern="1200">
              <a:solidFill>
                <a:sysClr val="windowText" lastClr="000000"/>
              </a:solidFill>
            </a:rPr>
            <a:t>Super Smart Grid</a:t>
          </a:r>
        </a:p>
      </dsp:txBody>
      <dsp:txXfrm>
        <a:off x="1336138" y="741906"/>
        <a:ext cx="746792" cy="746830"/>
      </dsp:txXfrm>
    </dsp:sp>
    <dsp:sp modelId="{49CA762A-3883-42E5-AE32-BFD62E55ED7A}">
      <dsp:nvSpPr>
        <dsp:cNvPr id="0" name=""/>
        <dsp:cNvSpPr/>
      </dsp:nvSpPr>
      <dsp:spPr>
        <a:xfrm>
          <a:off x="636844" y="0"/>
          <a:ext cx="2128972" cy="2219325"/>
        </a:xfrm>
        <a:prstGeom prst="blockArc">
          <a:avLst>
            <a:gd name="adj1" fmla="val 17527788"/>
            <a:gd name="adj2" fmla="val 4119114"/>
            <a:gd name="adj3" fmla="val 575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1845AFB-B6FD-4408-9339-0009EC3099CD}">
      <dsp:nvSpPr>
        <dsp:cNvPr id="0" name=""/>
        <dsp:cNvSpPr/>
      </dsp:nvSpPr>
      <dsp:spPr>
        <a:xfrm>
          <a:off x="2204465" y="187089"/>
          <a:ext cx="565769" cy="565927"/>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7D010D4-18CE-4806-BAC3-58E3F5A4A0EF}">
      <dsp:nvSpPr>
        <dsp:cNvPr id="0" name=""/>
        <dsp:cNvSpPr/>
      </dsp:nvSpPr>
      <dsp:spPr>
        <a:xfrm>
          <a:off x="2813148" y="196188"/>
          <a:ext cx="757304" cy="5477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l" defTabSz="466725">
            <a:lnSpc>
              <a:spcPct val="90000"/>
            </a:lnSpc>
            <a:spcBef>
              <a:spcPct val="0"/>
            </a:spcBef>
            <a:spcAft>
              <a:spcPct val="10000"/>
            </a:spcAft>
            <a:buNone/>
          </a:pPr>
          <a:r>
            <a:rPr lang="en-US" sz="1050" kern="1200"/>
            <a:t>Wide Area Network</a:t>
          </a:r>
        </a:p>
      </dsp:txBody>
      <dsp:txXfrm>
        <a:off x="2813148" y="196188"/>
        <a:ext cx="757304" cy="547729"/>
      </dsp:txXfrm>
    </dsp:sp>
    <dsp:sp modelId="{737823C8-CB57-4AAD-85D3-73100F0ED530}">
      <dsp:nvSpPr>
        <dsp:cNvPr id="0" name=""/>
        <dsp:cNvSpPr/>
      </dsp:nvSpPr>
      <dsp:spPr>
        <a:xfrm>
          <a:off x="2423136" y="830915"/>
          <a:ext cx="565769" cy="565927"/>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30000" r="-3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505D9AE-799A-44D4-A637-3FE6BE0EAF8C}">
      <dsp:nvSpPr>
        <dsp:cNvPr id="0" name=""/>
        <dsp:cNvSpPr/>
      </dsp:nvSpPr>
      <dsp:spPr>
        <a:xfrm>
          <a:off x="3034975" y="838904"/>
          <a:ext cx="757304" cy="5477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l" defTabSz="466725">
            <a:lnSpc>
              <a:spcPct val="90000"/>
            </a:lnSpc>
            <a:spcBef>
              <a:spcPct val="0"/>
            </a:spcBef>
            <a:spcAft>
              <a:spcPct val="10000"/>
            </a:spcAft>
            <a:buNone/>
          </a:pPr>
          <a:r>
            <a:rPr lang="en-US" sz="1050" kern="1200"/>
            <a:t>Advanced Automation</a:t>
          </a:r>
        </a:p>
      </dsp:txBody>
      <dsp:txXfrm>
        <a:off x="3034975" y="838904"/>
        <a:ext cx="757304" cy="547729"/>
      </dsp:txXfrm>
    </dsp:sp>
    <dsp:sp modelId="{32A096A9-16A8-4929-9587-E2D3FA82DD27}">
      <dsp:nvSpPr>
        <dsp:cNvPr id="0" name=""/>
        <dsp:cNvSpPr/>
      </dsp:nvSpPr>
      <dsp:spPr>
        <a:xfrm>
          <a:off x="2204465" y="1483840"/>
          <a:ext cx="565769" cy="565927"/>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21000" r="-2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FFB5F1E-F730-4C03-903D-4B5A9B1768FB}">
      <dsp:nvSpPr>
        <dsp:cNvPr id="0" name=""/>
        <dsp:cNvSpPr/>
      </dsp:nvSpPr>
      <dsp:spPr>
        <a:xfrm>
          <a:off x="2813148" y="1495381"/>
          <a:ext cx="757304" cy="5477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l" defTabSz="466725">
            <a:lnSpc>
              <a:spcPct val="90000"/>
            </a:lnSpc>
            <a:spcBef>
              <a:spcPct val="0"/>
            </a:spcBef>
            <a:spcAft>
              <a:spcPct val="10000"/>
            </a:spcAft>
            <a:buNone/>
          </a:pPr>
          <a:r>
            <a:rPr lang="en-US" sz="1050" kern="1200"/>
            <a:t>Super Computation</a:t>
          </a:r>
        </a:p>
      </dsp:txBody>
      <dsp:txXfrm>
        <a:off x="2813148" y="1495381"/>
        <a:ext cx="757304" cy="5477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69CAF8-B9EB-4B00-AC64-DE304A73A70E}">
      <dsp:nvSpPr>
        <dsp:cNvPr id="0" name=""/>
        <dsp:cNvSpPr/>
      </dsp:nvSpPr>
      <dsp:spPr>
        <a:xfrm>
          <a:off x="2086903" y="1032449"/>
          <a:ext cx="1312287" cy="1135181"/>
        </a:xfrm>
        <a:prstGeom prst="hexagon">
          <a:avLst>
            <a:gd name="adj" fmla="val 28570"/>
            <a:gd name="vf" fmla="val 11547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Transactive Energy</a:t>
          </a:r>
        </a:p>
      </dsp:txBody>
      <dsp:txXfrm>
        <a:off x="2304367" y="1220564"/>
        <a:ext cx="877359" cy="758951"/>
      </dsp:txXfrm>
    </dsp:sp>
    <dsp:sp modelId="{E166C18B-7727-4E27-BF72-5ADB7D853BC8}">
      <dsp:nvSpPr>
        <dsp:cNvPr id="0" name=""/>
        <dsp:cNvSpPr/>
      </dsp:nvSpPr>
      <dsp:spPr>
        <a:xfrm>
          <a:off x="2908647" y="489341"/>
          <a:ext cx="495122" cy="426613"/>
        </a:xfrm>
        <a:prstGeom prst="hexagon">
          <a:avLst>
            <a:gd name="adj" fmla="val 28900"/>
            <a:gd name="vf" fmla="val 11547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sp>
    <dsp:sp modelId="{C34E9726-FE8E-4D43-80F0-5087D4632E9E}">
      <dsp:nvSpPr>
        <dsp:cNvPr id="0" name=""/>
        <dsp:cNvSpPr/>
      </dsp:nvSpPr>
      <dsp:spPr>
        <a:xfrm>
          <a:off x="2207784" y="0"/>
          <a:ext cx="1075410" cy="930356"/>
        </a:xfrm>
        <a:prstGeom prst="hexagon">
          <a:avLst>
            <a:gd name="adj" fmla="val 28570"/>
            <a:gd name="vf" fmla="val 11547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Grid Control Strategies</a:t>
          </a:r>
        </a:p>
      </dsp:txBody>
      <dsp:txXfrm>
        <a:off x="2386002" y="154180"/>
        <a:ext cx="718974" cy="621996"/>
      </dsp:txXfrm>
    </dsp:sp>
    <dsp:sp modelId="{BD135302-CC9D-4D88-8987-18CA569C9268}">
      <dsp:nvSpPr>
        <dsp:cNvPr id="0" name=""/>
        <dsp:cNvSpPr/>
      </dsp:nvSpPr>
      <dsp:spPr>
        <a:xfrm>
          <a:off x="3486493" y="1286880"/>
          <a:ext cx="495122" cy="426613"/>
        </a:xfrm>
        <a:prstGeom prst="hexagon">
          <a:avLst>
            <a:gd name="adj" fmla="val 28900"/>
            <a:gd name="vf" fmla="val 11547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sp>
    <dsp:sp modelId="{1AA7CC76-4A3A-4798-962A-3DDECA80B7C9}">
      <dsp:nvSpPr>
        <dsp:cNvPr id="0" name=""/>
        <dsp:cNvSpPr/>
      </dsp:nvSpPr>
      <dsp:spPr>
        <a:xfrm>
          <a:off x="3194060" y="572231"/>
          <a:ext cx="1075410" cy="930356"/>
        </a:xfrm>
        <a:prstGeom prst="hexagon">
          <a:avLst>
            <a:gd name="adj" fmla="val 28570"/>
            <a:gd name="vf" fmla="val 11547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Regulatory Framework</a:t>
          </a:r>
        </a:p>
      </dsp:txBody>
      <dsp:txXfrm>
        <a:off x="3372278" y="726411"/>
        <a:ext cx="718974" cy="621996"/>
      </dsp:txXfrm>
    </dsp:sp>
    <dsp:sp modelId="{EC8264B4-4F04-4052-8797-02557A878EE9}">
      <dsp:nvSpPr>
        <dsp:cNvPr id="0" name=""/>
        <dsp:cNvSpPr/>
      </dsp:nvSpPr>
      <dsp:spPr>
        <a:xfrm>
          <a:off x="3085084" y="2187153"/>
          <a:ext cx="495122" cy="426613"/>
        </a:xfrm>
        <a:prstGeom prst="hexagon">
          <a:avLst>
            <a:gd name="adj" fmla="val 28900"/>
            <a:gd name="vf" fmla="val 11547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sp>
    <dsp:sp modelId="{C54149E9-DED2-4072-A289-3CDD9689C0AA}">
      <dsp:nvSpPr>
        <dsp:cNvPr id="0" name=""/>
        <dsp:cNvSpPr/>
      </dsp:nvSpPr>
      <dsp:spPr>
        <a:xfrm>
          <a:off x="3194060" y="1697172"/>
          <a:ext cx="1075410" cy="930356"/>
        </a:xfrm>
        <a:prstGeom prst="hexagon">
          <a:avLst>
            <a:gd name="adj" fmla="val 28570"/>
            <a:gd name="vf" fmla="val 11547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Robust Smart Grid Technologies</a:t>
          </a:r>
        </a:p>
      </dsp:txBody>
      <dsp:txXfrm>
        <a:off x="3372278" y="1851352"/>
        <a:ext cx="718974" cy="621996"/>
      </dsp:txXfrm>
    </dsp:sp>
    <dsp:sp modelId="{3DC8C56F-BC89-4A80-AA34-13B5850A5437}">
      <dsp:nvSpPr>
        <dsp:cNvPr id="0" name=""/>
        <dsp:cNvSpPr/>
      </dsp:nvSpPr>
      <dsp:spPr>
        <a:xfrm>
          <a:off x="2089345" y="2280605"/>
          <a:ext cx="495122" cy="426613"/>
        </a:xfrm>
        <a:prstGeom prst="hexagon">
          <a:avLst>
            <a:gd name="adj" fmla="val 28900"/>
            <a:gd name="vf" fmla="val 11547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sp>
    <dsp:sp modelId="{4C0604EF-A9BE-448D-8708-31E396F8D9BB}">
      <dsp:nvSpPr>
        <dsp:cNvPr id="0" name=""/>
        <dsp:cNvSpPr/>
      </dsp:nvSpPr>
      <dsp:spPr>
        <a:xfrm>
          <a:off x="2207784" y="2270043"/>
          <a:ext cx="1075410" cy="930356"/>
        </a:xfrm>
        <a:prstGeom prst="hexagon">
          <a:avLst>
            <a:gd name="adj" fmla="val 28570"/>
            <a:gd name="vf" fmla="val 11547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Real Time Pricing strategy</a:t>
          </a:r>
        </a:p>
      </dsp:txBody>
      <dsp:txXfrm>
        <a:off x="2386002" y="2424223"/>
        <a:ext cx="718974" cy="621996"/>
      </dsp:txXfrm>
    </dsp:sp>
    <dsp:sp modelId="{7FD3FDD7-7999-4C9C-B25B-0CCD7E533563}">
      <dsp:nvSpPr>
        <dsp:cNvPr id="0" name=""/>
        <dsp:cNvSpPr/>
      </dsp:nvSpPr>
      <dsp:spPr>
        <a:xfrm>
          <a:off x="1502036" y="1483385"/>
          <a:ext cx="495122" cy="426613"/>
        </a:xfrm>
        <a:prstGeom prst="hexagon">
          <a:avLst>
            <a:gd name="adj" fmla="val 28900"/>
            <a:gd name="vf" fmla="val 11547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sp>
    <dsp:sp modelId="{7D370742-5468-40BD-8A80-BEDC069A6D91}">
      <dsp:nvSpPr>
        <dsp:cNvPr id="0" name=""/>
        <dsp:cNvSpPr/>
      </dsp:nvSpPr>
      <dsp:spPr>
        <a:xfrm>
          <a:off x="1216929" y="1697812"/>
          <a:ext cx="1075410" cy="930356"/>
        </a:xfrm>
        <a:prstGeom prst="hexagon">
          <a:avLst>
            <a:gd name="adj" fmla="val 28570"/>
            <a:gd name="vf" fmla="val 11547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Dynamic Energy Balance</a:t>
          </a:r>
        </a:p>
      </dsp:txBody>
      <dsp:txXfrm>
        <a:off x="1395147" y="1851992"/>
        <a:ext cx="718974" cy="621996"/>
      </dsp:txXfrm>
    </dsp:sp>
    <dsp:sp modelId="{423D8C4B-59DC-41A2-8462-C748F8AD7B6B}">
      <dsp:nvSpPr>
        <dsp:cNvPr id="0" name=""/>
        <dsp:cNvSpPr/>
      </dsp:nvSpPr>
      <dsp:spPr>
        <a:xfrm>
          <a:off x="1216929" y="570951"/>
          <a:ext cx="1075410" cy="930356"/>
        </a:xfrm>
        <a:prstGeom prst="hexagon">
          <a:avLst>
            <a:gd name="adj" fmla="val 28570"/>
            <a:gd name="vf" fmla="val 11547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Transparent Energy  Market and Business Models</a:t>
          </a:r>
        </a:p>
      </dsp:txBody>
      <dsp:txXfrm>
        <a:off x="1395147" y="725131"/>
        <a:ext cx="718974" cy="62199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E7A5DD-D489-4207-8919-74F224B53C57}">
      <dsp:nvSpPr>
        <dsp:cNvPr id="0" name=""/>
        <dsp:cNvSpPr/>
      </dsp:nvSpPr>
      <dsp:spPr>
        <a:xfrm>
          <a:off x="0" y="5073266"/>
          <a:ext cx="5734050" cy="0"/>
        </a:xfrm>
        <a:prstGeom prst="line">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EF774A-B4C7-4751-94E7-B5BC524BB42C}">
      <dsp:nvSpPr>
        <dsp:cNvPr id="0" name=""/>
        <dsp:cNvSpPr/>
      </dsp:nvSpPr>
      <dsp:spPr>
        <a:xfrm>
          <a:off x="0" y="4049575"/>
          <a:ext cx="5734050" cy="0"/>
        </a:xfrm>
        <a:prstGeom prst="line">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623E9E-FD3D-4181-AB7F-87327DE58B67}">
      <dsp:nvSpPr>
        <dsp:cNvPr id="0" name=""/>
        <dsp:cNvSpPr/>
      </dsp:nvSpPr>
      <dsp:spPr>
        <a:xfrm>
          <a:off x="0" y="3025884"/>
          <a:ext cx="5734050" cy="0"/>
        </a:xfrm>
        <a:prstGeom prst="line">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10E8DA-203D-4D78-8D21-E37F215087E8}">
      <dsp:nvSpPr>
        <dsp:cNvPr id="0" name=""/>
        <dsp:cNvSpPr/>
      </dsp:nvSpPr>
      <dsp:spPr>
        <a:xfrm>
          <a:off x="0" y="2002193"/>
          <a:ext cx="5734050" cy="0"/>
        </a:xfrm>
        <a:prstGeom prst="line">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13A337-DB16-4B39-9439-F218042A30E4}">
      <dsp:nvSpPr>
        <dsp:cNvPr id="0" name=""/>
        <dsp:cNvSpPr/>
      </dsp:nvSpPr>
      <dsp:spPr>
        <a:xfrm>
          <a:off x="0" y="978502"/>
          <a:ext cx="5734050" cy="0"/>
        </a:xfrm>
        <a:prstGeom prst="line">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FDBE18-C88B-4DF7-A83A-C47277635425}">
      <dsp:nvSpPr>
        <dsp:cNvPr id="0" name=""/>
        <dsp:cNvSpPr/>
      </dsp:nvSpPr>
      <dsp:spPr>
        <a:xfrm>
          <a:off x="1490852" y="3558"/>
          <a:ext cx="4243197" cy="9749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b" anchorCtr="0">
          <a:noAutofit/>
        </a:bodyPr>
        <a:lstStyle/>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Foster intergovernmental coordination for energy, digital, and economic sectors.</a:t>
          </a:r>
        </a:p>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Support digital transformation in energy policies through large-scale projects</a:t>
          </a:r>
        </a:p>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Govern power system planning to ensure socio-economic benefits</a:t>
          </a:r>
        </a:p>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 Skill development for smart grid employment.</a:t>
          </a:r>
          <a:endParaRPr lang="en-US" sz="1000" kern="1200">
            <a:latin typeface="Times New Roman" panose="02020603050405020304" pitchFamily="18" charset="0"/>
            <a:cs typeface="Times New Roman" panose="02020603050405020304" pitchFamily="18" charset="0"/>
          </a:endParaRPr>
        </a:p>
      </dsp:txBody>
      <dsp:txXfrm>
        <a:off x="1490852" y="3558"/>
        <a:ext cx="4243197" cy="974943"/>
      </dsp:txXfrm>
    </dsp:sp>
    <dsp:sp modelId="{C5DFABD4-7E95-488A-883F-EACFC440529D}">
      <dsp:nvSpPr>
        <dsp:cNvPr id="0" name=""/>
        <dsp:cNvSpPr/>
      </dsp:nvSpPr>
      <dsp:spPr>
        <a:xfrm>
          <a:off x="0" y="3558"/>
          <a:ext cx="1490853" cy="974943"/>
        </a:xfrm>
        <a:prstGeom prst="round2SameRect">
          <a:avLst>
            <a:gd name="adj1" fmla="val 16670"/>
            <a:gd name="adj2" fmla="val 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Harmonizing Execution Efforts</a:t>
          </a:r>
        </a:p>
      </dsp:txBody>
      <dsp:txXfrm>
        <a:off x="47601" y="51159"/>
        <a:ext cx="1395651" cy="927342"/>
      </dsp:txXfrm>
    </dsp:sp>
    <dsp:sp modelId="{2636D47A-0623-45D7-BA16-5BA95EDF05C1}">
      <dsp:nvSpPr>
        <dsp:cNvPr id="0" name=""/>
        <dsp:cNvSpPr/>
      </dsp:nvSpPr>
      <dsp:spPr>
        <a:xfrm>
          <a:off x="1490852" y="1027249"/>
          <a:ext cx="4243197" cy="9749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b" anchorCtr="0">
          <a:noAutofit/>
        </a:bodyPr>
        <a:lstStyle/>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 Digital grid technologies for national priorities like grid upgrades and decarbonization.</a:t>
          </a:r>
        </a:p>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Upgrade policies to support investments in digital capabilities and system efficiency.</a:t>
          </a:r>
        </a:p>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Promote integrated planning considering to align investments across stakeholders.</a:t>
          </a:r>
          <a:endParaRPr lang="en-US" sz="1000" kern="1200">
            <a:latin typeface="Times New Roman" panose="02020603050405020304" pitchFamily="18" charset="0"/>
            <a:cs typeface="Times New Roman" panose="02020603050405020304" pitchFamily="18" charset="0"/>
          </a:endParaRPr>
        </a:p>
      </dsp:txBody>
      <dsp:txXfrm>
        <a:off x="1490852" y="1027249"/>
        <a:ext cx="4243197" cy="974943"/>
      </dsp:txXfrm>
    </dsp:sp>
    <dsp:sp modelId="{94208F6F-EE27-4F8F-A834-C902D392CFDD}">
      <dsp:nvSpPr>
        <dsp:cNvPr id="0" name=""/>
        <dsp:cNvSpPr/>
      </dsp:nvSpPr>
      <dsp:spPr>
        <a:xfrm>
          <a:off x="0" y="1027249"/>
          <a:ext cx="1490853" cy="974943"/>
        </a:xfrm>
        <a:prstGeom prst="round2SameRect">
          <a:avLst>
            <a:gd name="adj1" fmla="val 16670"/>
            <a:gd name="adj2" fmla="val 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Forging a Unified Vision: Advancing Planning into the Modern Era</a:t>
          </a:r>
        </a:p>
      </dsp:txBody>
      <dsp:txXfrm>
        <a:off x="47601" y="1074850"/>
        <a:ext cx="1395651" cy="927342"/>
      </dsp:txXfrm>
    </dsp:sp>
    <dsp:sp modelId="{C2208B52-AF57-476C-908E-DE6431360530}">
      <dsp:nvSpPr>
        <dsp:cNvPr id="0" name=""/>
        <dsp:cNvSpPr/>
      </dsp:nvSpPr>
      <dsp:spPr>
        <a:xfrm>
          <a:off x="1490852" y="2050940"/>
          <a:ext cx="4243197" cy="9749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b" anchorCtr="0">
          <a:noAutofit/>
        </a:bodyPr>
        <a:lstStyle/>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Introduce policies incentivizing and de-risking digitalization investments.</a:t>
          </a:r>
        </a:p>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Adopt performance-based regulations that aligns with clean energy goals.</a:t>
          </a:r>
        </a:p>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Embed electricity value into policies, guiding efficient digitalization integration in grids.</a:t>
          </a:r>
          <a:endParaRPr lang="en-US" sz="1000" kern="1200">
            <a:latin typeface="Times New Roman" panose="02020603050405020304" pitchFamily="18" charset="0"/>
            <a:cs typeface="Times New Roman" panose="02020603050405020304" pitchFamily="18" charset="0"/>
          </a:endParaRPr>
        </a:p>
      </dsp:txBody>
      <dsp:txXfrm>
        <a:off x="1490852" y="2050940"/>
        <a:ext cx="4243197" cy="974943"/>
      </dsp:txXfrm>
    </dsp:sp>
    <dsp:sp modelId="{CB036C44-956A-4E05-813B-E29A581DCEF6}">
      <dsp:nvSpPr>
        <dsp:cNvPr id="0" name=""/>
        <dsp:cNvSpPr/>
      </dsp:nvSpPr>
      <dsp:spPr>
        <a:xfrm>
          <a:off x="0" y="2050940"/>
          <a:ext cx="1490853" cy="974943"/>
        </a:xfrm>
        <a:prstGeom prst="round2SameRect">
          <a:avLst>
            <a:gd name="adj1" fmla="val 16670"/>
            <a:gd name="adj2" fmla="val 0"/>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Enhance Recognition of Digital Solutions</a:t>
          </a:r>
        </a:p>
      </dsp:txBody>
      <dsp:txXfrm>
        <a:off x="47601" y="2098541"/>
        <a:ext cx="1395651" cy="927342"/>
      </dsp:txXfrm>
    </dsp:sp>
    <dsp:sp modelId="{51AA1DD4-267F-4134-B5CD-CD784A626EBC}">
      <dsp:nvSpPr>
        <dsp:cNvPr id="0" name=""/>
        <dsp:cNvSpPr/>
      </dsp:nvSpPr>
      <dsp:spPr>
        <a:xfrm>
          <a:off x="1490852" y="3074631"/>
          <a:ext cx="4243197" cy="9749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b" anchorCtr="0">
          <a:noAutofit/>
        </a:bodyPr>
        <a:lstStyle/>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Strengthen power system resilience amidst climate change.</a:t>
          </a:r>
        </a:p>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Integrate resilience and through long-term energy planning.</a:t>
          </a:r>
        </a:p>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 Cyber resilience in regulations to boost digitalization investment and manage  risks.</a:t>
          </a:r>
          <a:endParaRPr lang="en-US" sz="1000" kern="1200">
            <a:latin typeface="Times New Roman" panose="02020603050405020304" pitchFamily="18" charset="0"/>
            <a:cs typeface="Times New Roman" panose="02020603050405020304" pitchFamily="18" charset="0"/>
          </a:endParaRPr>
        </a:p>
      </dsp:txBody>
      <dsp:txXfrm>
        <a:off x="1490852" y="3074631"/>
        <a:ext cx="4243197" cy="974943"/>
      </dsp:txXfrm>
    </dsp:sp>
    <dsp:sp modelId="{0D9F5B8A-46DC-4D8B-B3F6-3E44C337E3AF}">
      <dsp:nvSpPr>
        <dsp:cNvPr id="0" name=""/>
        <dsp:cNvSpPr/>
      </dsp:nvSpPr>
      <dsp:spPr>
        <a:xfrm>
          <a:off x="0" y="3074631"/>
          <a:ext cx="1490853" cy="974943"/>
        </a:xfrm>
        <a:prstGeom prst="round2SameRect">
          <a:avLst>
            <a:gd name="adj1" fmla="val 16670"/>
            <a:gd name="adj2" fmla="val 0"/>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Embed Resilience and Security in Electricity Policies</a:t>
          </a:r>
        </a:p>
      </dsp:txBody>
      <dsp:txXfrm>
        <a:off x="47601" y="3122232"/>
        <a:ext cx="1395651" cy="927342"/>
      </dsp:txXfrm>
    </dsp:sp>
    <dsp:sp modelId="{3E877086-DB20-4472-8979-C26E8F321F5D}">
      <dsp:nvSpPr>
        <dsp:cNvPr id="0" name=""/>
        <dsp:cNvSpPr/>
      </dsp:nvSpPr>
      <dsp:spPr>
        <a:xfrm>
          <a:off x="1490852" y="4098322"/>
          <a:ext cx="4243197" cy="9749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b" anchorCtr="0">
          <a:noAutofit/>
        </a:bodyPr>
        <a:lstStyle/>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Foster a data-driven culture in the public and private sector to keep track of progress.</a:t>
          </a:r>
        </a:p>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Enhance policy implementation through iterative monitoring of transition strategies.</a:t>
          </a:r>
        </a:p>
        <a:p>
          <a:pPr marL="0" lvl="0" indent="0" algn="ctr" defTabSz="444500">
            <a:lnSpc>
              <a:spcPct val="90000"/>
            </a:lnSpc>
            <a:spcBef>
              <a:spcPct val="0"/>
            </a:spcBef>
            <a:spcAft>
              <a:spcPct val="35000"/>
            </a:spcAft>
            <a:buNone/>
          </a:pPr>
          <a:r>
            <a:rPr lang="en-GB" sz="1000" kern="1200">
              <a:latin typeface="Times New Roman" panose="02020603050405020304" pitchFamily="18" charset="0"/>
              <a:cs typeface="Times New Roman" panose="02020603050405020304" pitchFamily="18" charset="0"/>
            </a:rPr>
            <a:t>Promote international collaboration and knowledge sharing to accelerate progress and de-risk future digitalization investments.</a:t>
          </a:r>
          <a:endParaRPr lang="en-US" sz="1000" kern="1200">
            <a:latin typeface="Times New Roman" panose="02020603050405020304" pitchFamily="18" charset="0"/>
            <a:cs typeface="Times New Roman" panose="02020603050405020304" pitchFamily="18" charset="0"/>
          </a:endParaRPr>
        </a:p>
      </dsp:txBody>
      <dsp:txXfrm>
        <a:off x="1490852" y="4098322"/>
        <a:ext cx="4243197" cy="974943"/>
      </dsp:txXfrm>
    </dsp:sp>
    <dsp:sp modelId="{17C45847-CA18-4258-B833-C062085B154A}">
      <dsp:nvSpPr>
        <dsp:cNvPr id="0" name=""/>
        <dsp:cNvSpPr/>
      </dsp:nvSpPr>
      <dsp:spPr>
        <a:xfrm>
          <a:off x="0" y="4098322"/>
          <a:ext cx="1490853" cy="974943"/>
        </a:xfrm>
        <a:prstGeom prst="round2SameRect">
          <a:avLst>
            <a:gd name="adj1" fmla="val 16670"/>
            <a:gd name="adj2" fmla="val 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Monitor, Share and support Digitalization Progress</a:t>
          </a:r>
        </a:p>
      </dsp:txBody>
      <dsp:txXfrm>
        <a:off x="47601" y="4145923"/>
        <a:ext cx="1395651" cy="927342"/>
      </dsp:txXfrm>
    </dsp:sp>
  </dsp:spTree>
</dsp:drawing>
</file>

<file path=word/diagrams/layout1.xml><?xml version="1.0" encoding="utf-8"?>
<dgm:layoutDef xmlns:dgm="http://schemas.openxmlformats.org/drawingml/2006/diagram" xmlns:a="http://schemas.openxmlformats.org/drawingml/2006/main" uniqueId="urn:microsoft.com/office/officeart/2011/layout/RadialPictureList">
  <dgm:title val="Radial Picture List"/>
  <dgm:desc val="Use to show relationships to a central idea. The Level 1 shape contains text and all Level 2 shapes contain a picture with corresponding text. Limited to four Level 2 pictures.  Unused pictures do not appear, but remain available if you switch layouts. Works best with a small amount of Level 2 text."/>
  <dgm:catLst>
    <dgm:cat type="picture" pri="2500"/>
    <dgm:cat type="officeonline" pri="2500"/>
  </dgm:catLst>
  <dgm:sampData>
    <dgm:dataModel>
      <dgm:ptLst>
        <dgm:pt modelId="0" type="doc"/>
        <dgm:pt modelId="10">
          <dgm:prSet phldr="1"/>
        </dgm:pt>
        <dgm:pt modelId="11">
          <dgm:prSet phldr="1"/>
        </dgm:pt>
        <dgm:pt modelId="12">
          <dgm:prSet phldr="1"/>
        </dgm:pt>
        <dgm:pt modelId="13">
          <dgm:prSet phldr="1"/>
        </dgm:pt>
      </dgm:ptLst>
      <dgm:cxnLst>
        <dgm:cxn modelId="1" srcId="0" destId="10" srcOrd="0" destOrd="0"/>
        <dgm:cxn modelId="2" srcId="10" destId="11" srcOrd="0" destOrd="0"/>
        <dgm:cxn modelId="3" srcId="10" destId="12" srcOrd="1" destOrd="0"/>
        <dgm:cxn modelId="4" srcId="10" destId="13" srcOrd="2" destOrd="0"/>
      </dgm:cxnLst>
      <dgm:bg/>
      <dgm:whole/>
    </dgm:dataModel>
  </dgm:sampData>
  <dgm:styleData>
    <dgm:dataModel>
      <dgm:ptLst>
        <dgm:pt modelId="0" type="doc"/>
        <dgm:pt modelId="10">
          <dgm:prSet phldr="1"/>
        </dgm:pt>
        <dgm:pt modelId="11">
          <dgm:prSet phldr="1"/>
        </dgm:pt>
        <dgm:pt modelId="12">
          <dgm:prSet phldr="1"/>
        </dgm:pt>
      </dgm:ptLst>
      <dgm:cxnLst>
        <dgm:cxn modelId="1" srcId="0" destId="10" srcOrd="0" destOrd="0"/>
        <dgm:cxn modelId="2" srcId="10" destId="11" srcOrd="0" destOrd="0"/>
        <dgm:cxn modelId="3" srcId="10" destId="12" srcOrd="1"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Lst>
      <dgm:cxnLst>
        <dgm:cxn modelId="1" srcId="0" destId="10" srcOrd="0" destOrd="0"/>
        <dgm:cxn modelId="2" srcId="10" destId="11" srcOrd="0" destOrd="0"/>
        <dgm:cxn modelId="3" srcId="10" destId="12" srcOrd="1" destOrd="0"/>
        <dgm:cxn modelId="4" srcId="10" destId="13" srcOrd="2" destOrd="0"/>
        <dgm:cxn modelId="5" srcId="10" destId="14" srcOrd="3" destOrd="0"/>
      </dgm:cxnLst>
      <dgm:bg/>
      <dgm:whole/>
    </dgm:dataModel>
  </dgm:clrData>
  <dgm:layoutNode name="Name0">
    <dgm:varLst>
      <dgm:chMax val="1"/>
      <dgm:chPref val="1"/>
      <dgm:dir/>
      <dgm:resizeHandles/>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equ" val="1">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l" for="ch" forName="Accent" refType="w" fact="0"/>
              <dgm:constr type="t" for="ch" forName="Accent" refType="h" fact="0"/>
              <dgm:constr type="w" for="ch" forName="Accent" refType="w" fact="0.6747"/>
              <dgm:constr type="h" for="ch" forName="Accent" refType="h"/>
              <dgm:constr type="l" for="ch" forName="Child1" refType="w" fact="0.76"/>
              <dgm:constr type="t" for="ch" forName="Child1" refType="h" fact="0.3739"/>
              <dgm:constr type="w" for="ch" forName="Child1" refType="w" fact="0.24"/>
              <dgm:constr type="h" for="ch" forName="Child1" refType="h" fact="0.255"/>
              <dgm:constr type="l" for="ch" forName="Parent" refType="w" fact="0.1726"/>
              <dgm:constr type="t" for="ch" forName="Parent" refType="h" fact="0.2646"/>
              <dgm:constr type="w" for="ch" forName="Parent" refType="w" fact="0.3347"/>
              <dgm:constr type="h" for="ch" forName="Parent" refType="h" fact="0.4759"/>
              <dgm:constr type="l" for="ch" forName="Image1" refType="w" fact="0.5661"/>
              <dgm:constr type="t" for="ch" forName="Image1" refType="h" fact="0.3744"/>
              <dgm:constr type="w" for="ch" forName="Image1" refType="w" fact="0.1793"/>
              <dgm:constr type="h" for="ch" forName="Image1" refType="h" fact="0.255"/>
            </dgm:constrLst>
          </dgm:if>
          <dgm:if name="Name6" axis="ch ch" ptType="node node" st="1 1" cnt="1 0" func="cnt" op="equ" val="2">
            <dgm:alg type="composite">
              <dgm:param type="ar" val="1.381"/>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 refType="w" fact="0"/>
              <dgm:constr type="t" for="ch" forName="Accent" refType="h" fact="0"/>
              <dgm:constr type="w" for="ch" forName="Accent" refType="w" fact="0.6946"/>
              <dgm:constr type="h" for="ch" forName="Accent" refType="h"/>
              <dgm:constr type="l" for="ch" forName="Parent" refType="w" fact="0.1777"/>
              <dgm:constr type="t" for="ch" forName="Parent" refType="h" fact="0.2646"/>
              <dgm:constr type="w" for="ch" forName="Parent" refType="w" fact="0.3446"/>
              <dgm:constr type="h" for="ch" forName="Parent" refType="h" fact="0.4759"/>
              <dgm:constr type="l" for="ch" forName="Image1" refType="w" fact="0.5531"/>
              <dgm:constr type="t" for="ch" forName="Image1" refType="h" fact="0.1585"/>
              <dgm:constr type="w" for="ch" forName="Image1" refType="w" fact="0.1846"/>
              <dgm:constr type="h" for="ch" forName="Image1" refType="h" fact="0.255"/>
              <dgm:constr type="l" for="ch" forName="Image2" refType="w" fact="0.5531"/>
              <dgm:constr type="t" for="ch" forName="Image2" refType="h" fact="0.5624"/>
              <dgm:constr type="w" for="ch" forName="Image2" refType="w" fact="0.1846"/>
              <dgm:constr type="h" for="ch" forName="Image2" refType="h" fact="0.255"/>
              <dgm:constr type="l" for="ch" forName="Child1" refType="w" fact="0.7529"/>
              <dgm:constr type="t" for="ch" forName="Child1" refType="h" fact="0.1618"/>
              <dgm:constr type="w" for="ch" forName="Child1" refType="w" fact="0.2471"/>
              <dgm:constr type="h" for="ch" forName="Child1" refType="h" fact="0.2468"/>
              <dgm:constr type="l" for="ch" forName="Child2" refType="w" fact="0.7529"/>
              <dgm:constr type="t" for="ch" forName="Child2" refType="h" fact="0.5657"/>
              <dgm:constr type="w" for="ch" forName="Child2" refType="w" fact="0.2471"/>
              <dgm:constr type="h" for="ch" forName="Child2" refType="h" fact="0.2468"/>
            </dgm:constrLst>
          </dgm:if>
          <dgm:if name="Name7" axis="ch ch" ptType="node node" st="1 1" cnt="1 0" func="cnt" op="equ" val="3">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 refType="w" fact="0"/>
              <dgm:constr type="t" for="ch" forName="Accent" refType="h" fact="0"/>
              <dgm:constr type="w" for="ch" forName="Accent" refType="w" fact="0.6747"/>
              <dgm:constr type="h" for="ch" forName="Accent" refType="h"/>
              <dgm:constr type="l" for="ch" forName="Parent" refType="w" fact="0.1726"/>
              <dgm:constr type="t" for="ch" forName="Parent" refType="h" fact="0.2646"/>
              <dgm:constr type="w" for="ch" forName="Parent" refType="w" fact="0.3347"/>
              <dgm:constr type="h" for="ch" forName="Parent" refType="h" fact="0.4759"/>
              <dgm:constr type="l" for="ch" forName="Image1" refType="w" fact="0.4968"/>
              <dgm:constr type="t" for="ch" forName="Image1" refType="h" fact="0.0843"/>
              <dgm:constr type="w" for="ch" forName="Image1" refType="w" fact="0.1793"/>
              <dgm:constr type="h" for="ch" forName="Image1" refType="h" fact="0.255"/>
              <dgm:constr type="l" for="ch" forName="Image2" refType="w" fact="0.5661"/>
              <dgm:constr type="t" for="ch" forName="Image2" refType="h" fact="0.3744"/>
              <dgm:constr type="w" for="ch" forName="Image2" refType="w" fact="0.1793"/>
              <dgm:constr type="h" for="ch" forName="Image2" refType="h" fact="0.255"/>
              <dgm:constr type="l" for="ch" forName="Image3" refType="w" fact="0.4968"/>
              <dgm:constr type="t" for="ch" forName="Image3" refType="h" fact="0.6686"/>
              <dgm:constr type="w" for="ch" forName="Image3" refType="w" fact="0.1793"/>
              <dgm:constr type="h" for="ch" forName="Image3" refType="h" fact="0.255"/>
              <dgm:constr type="l" for="ch" forName="Child1" refType="w" fact="0.6897"/>
              <dgm:constr type="t" for="ch" forName="Child1" refType="h" fact="0.0884"/>
              <dgm:constr type="w" for="ch" forName="Child1" refType="w" fact="0.24"/>
              <dgm:constr type="h" for="ch" forName="Child1" refType="h" fact="0.2468"/>
              <dgm:constr type="l" for="ch" forName="Child2" refType="w" fact="0.76"/>
              <dgm:constr type="t" for="ch" forName="Child2" refType="h" fact="0.378"/>
              <dgm:constr type="w" for="ch" forName="Child2" refType="w" fact="0.24"/>
              <dgm:constr type="h" for="ch" forName="Child2" refType="h" fact="0.2468"/>
              <dgm:constr type="l" for="ch" forName="Child3" refType="w" fact="0.6897"/>
              <dgm:constr type="t" for="ch" forName="Child3" refType="h" fact="0.6738"/>
              <dgm:constr type="w" for="ch" forName="Child3" refType="w" fact="0.24"/>
              <dgm:constr type="h" for="ch" forName="Child3" refType="h" fact="0.2468"/>
            </dgm:constrLst>
          </dgm:if>
          <dgm:else name="Name8">
            <dgm:alg type="composite">
              <dgm:param type="ar" val="1.2852"/>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 refType="w" fact="0"/>
              <dgm:constr type="t" for="ch" forName="Accent" refType="h" fact="0.0361"/>
              <dgm:constr type="w" for="ch" forName="Accent" refType="w" fact="0.6865"/>
              <dgm:constr type="h" for="ch" forName="Accent" refType="h" fact="0.9197"/>
              <dgm:constr type="l" for="ch" forName="Parent" refType="w" fact="0.1756"/>
              <dgm:constr type="t" for="ch" forName="Parent" refType="h" fact="0.2795"/>
              <dgm:constr type="w" for="ch" forName="Parent" refType="w" fact="0.3406"/>
              <dgm:constr type="h" for="ch" forName="Parent" refType="h" fact="0.4377"/>
              <dgm:constr type="l" for="ch" forName="Image1" refType="w" fact="0.425"/>
              <dgm:constr type="t" for="ch" forName="Image1" refType="h" fact="0"/>
              <dgm:constr type="w" for="ch" forName="Image1" refType="w" fact="0.1825"/>
              <dgm:constr type="h" for="ch" forName="Image1" refType="h" fact="0.2345"/>
              <dgm:constr type="l" for="ch" forName="Image2" refType="w" fact="0.5598"/>
              <dgm:constr type="t" for="ch" forName="Image2" refType="h" fact="0.2184"/>
              <dgm:constr type="w" for="ch" forName="Image2" refType="w" fact="0.1825"/>
              <dgm:constr type="h" for="ch" forName="Image2" refType="h" fact="0.2345"/>
              <dgm:constr type="l" for="ch" forName="Image3" refType="w" fact="0.5591"/>
              <dgm:constr type="t" for="ch" forName="Image3" refType="h" fact="0.5395"/>
              <dgm:constr type="w" for="ch" forName="Image3" refType="w" fact="0.1825"/>
              <dgm:constr type="h" for="ch" forName="Image3" refType="h" fact="0.2345"/>
              <dgm:constr type="l" for="ch" forName="Image4" refType="w" fact="0.425"/>
              <dgm:constr type="t" for="ch" forName="Image4" refType="h" fact="0.7655"/>
              <dgm:constr type="w" for="ch" forName="Image4" refType="w" fact="0.1825"/>
              <dgm:constr type="h" for="ch" forName="Image4" refType="h" fact="0.2345"/>
              <dgm:constr type="l" for="ch" forName="Child1" refType="w" fact="0.6214"/>
              <dgm:constr type="t" for="ch" forName="Child1" refType="h" fact="0.003"/>
              <dgm:constr type="w" for="ch" forName="Child1" refType="w" fact="0.2443"/>
              <dgm:constr type="h" for="ch" forName="Child1" refType="h" fact="0.227"/>
              <dgm:constr type="l" for="ch" forName="Child2" refType="w" fact="0.7557"/>
              <dgm:constr type="t" for="ch" forName="Child2" refType="h" fact="0.2225"/>
              <dgm:constr type="w" for="ch" forName="Child2" refType="w" fact="0.2443"/>
              <dgm:constr type="h" for="ch" forName="Child2" refType="h" fact="0.227"/>
              <dgm:constr type="l" for="ch" forName="Child3" refType="w" fact="0.7557"/>
              <dgm:constr type="t" for="ch" forName="Child3" refType="h" fact="0.5433"/>
              <dgm:constr type="w" for="ch" forName="Child3" refType="w" fact="0.2443"/>
              <dgm:constr type="h" for="ch" forName="Child3" refType="h" fact="0.227"/>
              <dgm:constr type="l" for="ch" forName="Child4" refType="w" fact="0.6214"/>
              <dgm:constr type="t" for="ch" forName="Child4" refType="h" fact="0.7703"/>
              <dgm:constr type="w" for="ch" forName="Child4" refType="w" fact="0.2443"/>
              <dgm:constr type="h" for="ch" forName="Child4" refType="h" fact="0.227"/>
            </dgm:constrLst>
          </dgm:else>
        </dgm:choose>
      </dgm:if>
      <dgm:else name="Name9">
        <dgm:choose name="Name10">
          <dgm:if name="Name11" axis="ch ch" ptType="node node" st="1 1" cnt="1 0" func="cnt" op="equ" val="0">
            <dgm:alg type="composite">
              <dgm:param type="ar" val="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2" axis="ch ch" ptType="node node" st="1 1" cnt="1 0" func="cnt" op="equ" val="1">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r" for="ch" forName="Accent" refType="w"/>
              <dgm:constr type="t" for="ch" forName="Accent" refType="h" fact="0"/>
              <dgm:constr type="w" for="ch" forName="Accent" refType="w" fact="0.6747"/>
              <dgm:constr type="h" for="ch" forName="Accent" refType="h"/>
              <dgm:constr type="r" for="ch" forName="Child1" refType="w" fact="0.24"/>
              <dgm:constr type="t" for="ch" forName="Child1" refType="h" fact="0.3739"/>
              <dgm:constr type="w" for="ch" forName="Child1" refType="w" fact="0.24"/>
              <dgm:constr type="h" for="ch" forName="Child1" refType="h" fact="0.255"/>
              <dgm:constr type="r" for="ch" forName="Parent" refType="w" fact="0.8274"/>
              <dgm:constr type="t" for="ch" forName="Parent" refType="h" fact="0.2646"/>
              <dgm:constr type="w" for="ch" forName="Parent" refType="w" fact="0.3347"/>
              <dgm:constr type="h" for="ch" forName="Parent" refType="h" fact="0.4759"/>
              <dgm:constr type="r" for="ch" forName="Image1" refType="w" fact="0.4339"/>
              <dgm:constr type="t" for="ch" forName="Image1" refType="h" fact="0.3744"/>
              <dgm:constr type="w" for="ch" forName="Image1" refType="w" fact="0.1793"/>
              <dgm:constr type="h" for="ch" forName="Image1" refType="h" fact="0.255"/>
            </dgm:constrLst>
          </dgm:if>
          <dgm:if name="Name13" axis="ch ch" ptType="node node" st="1 1" cnt="1 0" func="cnt" op="equ" val="2">
            <dgm:alg type="composite">
              <dgm:param type="ar" val="1.381"/>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 refType="w"/>
              <dgm:constr type="t" for="ch" forName="Accent" refType="h" fact="0"/>
              <dgm:constr type="w" for="ch" forName="Accent" refType="w" fact="0.6946"/>
              <dgm:constr type="h" for="ch" forName="Accent" refType="h"/>
              <dgm:constr type="r" for="ch" forName="Parent" refType="w" fact="0.8223"/>
              <dgm:constr type="t" for="ch" forName="Parent" refType="h" fact="0.2646"/>
              <dgm:constr type="w" for="ch" forName="Parent" refType="w" fact="0.3446"/>
              <dgm:constr type="h" for="ch" forName="Parent" refType="h" fact="0.4759"/>
              <dgm:constr type="r" for="ch" forName="Image1" refType="w" fact="0.4469"/>
              <dgm:constr type="t" for="ch" forName="Image1" refType="h" fact="0.1585"/>
              <dgm:constr type="w" for="ch" forName="Image1" refType="w" fact="0.1846"/>
              <dgm:constr type="h" for="ch" forName="Image1" refType="h" fact="0.255"/>
              <dgm:constr type="r" for="ch" forName="Image2" refType="w" fact="0.4469"/>
              <dgm:constr type="t" for="ch" forName="Image2" refType="h" fact="0.5624"/>
              <dgm:constr type="w" for="ch" forName="Image2" refType="w" fact="0.1846"/>
              <dgm:constr type="h" for="ch" forName="Image2" refType="h" fact="0.255"/>
              <dgm:constr type="r" for="ch" forName="Child1" refType="w" fact="0.2471"/>
              <dgm:constr type="t" for="ch" forName="Child1" refType="h" fact="0.1618"/>
              <dgm:constr type="w" for="ch" forName="Child1" refType="w" fact="0.2471"/>
              <dgm:constr type="h" for="ch" forName="Child1" refType="h" fact="0.2468"/>
              <dgm:constr type="r" for="ch" forName="Child2" refType="w" fact="0.2471"/>
              <dgm:constr type="t" for="ch" forName="Child2" refType="h" fact="0.5657"/>
              <dgm:constr type="w" for="ch" forName="Child2" refType="w" fact="0.2471"/>
              <dgm:constr type="h" for="ch" forName="Child2" refType="h" fact="0.2468"/>
            </dgm:constrLst>
          </dgm:if>
          <dgm:if name="Name14" axis="ch ch" ptType="node node" st="1 1" cnt="1 0" func="cnt" op="equ" val="3">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 refType="w"/>
              <dgm:constr type="t" for="ch" forName="Accent" refType="h" fact="0"/>
              <dgm:constr type="w" for="ch" forName="Accent" refType="w" fact="0.6747"/>
              <dgm:constr type="h" for="ch" forName="Accent" refType="h"/>
              <dgm:constr type="r" for="ch" forName="Parent" refType="w" fact="0.8274"/>
              <dgm:constr type="t" for="ch" forName="Parent" refType="h" fact="0.2646"/>
              <dgm:constr type="w" for="ch" forName="Parent" refType="w" fact="0.3347"/>
              <dgm:constr type="h" for="ch" forName="Parent" refType="h" fact="0.4759"/>
              <dgm:constr type="r" for="ch" forName="Image1" refType="w" fact="0.5032"/>
              <dgm:constr type="t" for="ch" forName="Image1" refType="h" fact="0.0843"/>
              <dgm:constr type="w" for="ch" forName="Image1" refType="w" fact="0.1793"/>
              <dgm:constr type="h" for="ch" forName="Image1" refType="h" fact="0.255"/>
              <dgm:constr type="r" for="ch" forName="Image2" refType="w" fact="0.4339"/>
              <dgm:constr type="t" for="ch" forName="Image2" refType="h" fact="0.3744"/>
              <dgm:constr type="w" for="ch" forName="Image2" refType="w" fact="0.1793"/>
              <dgm:constr type="h" for="ch" forName="Image2" refType="h" fact="0.255"/>
              <dgm:constr type="r" for="ch" forName="Image3" refType="w" fact="0.5032"/>
              <dgm:constr type="t" for="ch" forName="Image3" refType="h" fact="0.6686"/>
              <dgm:constr type="w" for="ch" forName="Image3" refType="w" fact="0.1793"/>
              <dgm:constr type="h" for="ch" forName="Image3" refType="h" fact="0.255"/>
              <dgm:constr type="r" for="ch" forName="Child1" refType="w" fact="0.3103"/>
              <dgm:constr type="t" for="ch" forName="Child1" refType="h" fact="0.0884"/>
              <dgm:constr type="w" for="ch" forName="Child1" refType="w" fact="0.24"/>
              <dgm:constr type="h" for="ch" forName="Child1" refType="h" fact="0.2468"/>
              <dgm:constr type="r" for="ch" forName="Child2" refType="w" fact="0.24"/>
              <dgm:constr type="t" for="ch" forName="Child2" refType="h" fact="0.378"/>
              <dgm:constr type="w" for="ch" forName="Child2" refType="w" fact="0.24"/>
              <dgm:constr type="h" for="ch" forName="Child2" refType="h" fact="0.2468"/>
              <dgm:constr type="r" for="ch" forName="Child3" refType="w" fact="0.3103"/>
              <dgm:constr type="t" for="ch" forName="Child3" refType="h" fact="0.6738"/>
              <dgm:constr type="w" for="ch" forName="Child3" refType="w" fact="0.24"/>
              <dgm:constr type="h" for="ch" forName="Child3" refType="h" fact="0.2468"/>
            </dgm:constrLst>
          </dgm:if>
          <dgm:else name="Name15">
            <dgm:alg type="composite">
              <dgm:param type="ar" val="1.2852"/>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 refType="w"/>
              <dgm:constr type="t" for="ch" forName="Accent" refType="h" fact="0.0361"/>
              <dgm:constr type="w" for="ch" forName="Accent" refType="w" fact="0.6865"/>
              <dgm:constr type="h" for="ch" forName="Accent" refType="h" fact="0.9197"/>
              <dgm:constr type="r" for="ch" forName="Parent" refType="w" fact="0.8244"/>
              <dgm:constr type="t" for="ch" forName="Parent" refType="h" fact="0.2795"/>
              <dgm:constr type="w" for="ch" forName="Parent" refType="w" fact="0.3406"/>
              <dgm:constr type="h" for="ch" forName="Parent" refType="h" fact="0.4377"/>
              <dgm:constr type="r" for="ch" forName="Image1" refType="w" fact="0.575"/>
              <dgm:constr type="t" for="ch" forName="Image1" refType="h" fact="0"/>
              <dgm:constr type="w" for="ch" forName="Image1" refType="w" fact="0.1825"/>
              <dgm:constr type="h" for="ch" forName="Image1" refType="h" fact="0.2345"/>
              <dgm:constr type="r" for="ch" forName="Image2" refType="w" fact="0.4402"/>
              <dgm:constr type="t" for="ch" forName="Image2" refType="h" fact="0.2184"/>
              <dgm:constr type="w" for="ch" forName="Image2" refType="w" fact="0.1825"/>
              <dgm:constr type="h" for="ch" forName="Image2" refType="h" fact="0.2345"/>
              <dgm:constr type="r" for="ch" forName="Image3" refType="w" fact="0.4409"/>
              <dgm:constr type="t" for="ch" forName="Image3" refType="h" fact="0.5395"/>
              <dgm:constr type="w" for="ch" forName="Image3" refType="w" fact="0.1825"/>
              <dgm:constr type="h" for="ch" forName="Image3" refType="h" fact="0.2345"/>
              <dgm:constr type="r" for="ch" forName="Image4" refType="w" fact="0.575"/>
              <dgm:constr type="t" for="ch" forName="Image4" refType="h" fact="0.7655"/>
              <dgm:constr type="w" for="ch" forName="Image4" refType="w" fact="0.1825"/>
              <dgm:constr type="h" for="ch" forName="Image4" refType="h" fact="0.2345"/>
              <dgm:constr type="r" for="ch" forName="Child1" refType="w" fact="0.3786"/>
              <dgm:constr type="t" for="ch" forName="Child1" refType="h" fact="0.003"/>
              <dgm:constr type="w" for="ch" forName="Child1" refType="w" fact="0.2443"/>
              <dgm:constr type="h" for="ch" forName="Child1" refType="h" fact="0.227"/>
              <dgm:constr type="r" for="ch" forName="Child2" refType="w" fact="0.2443"/>
              <dgm:constr type="t" for="ch" forName="Child2" refType="h" fact="0.2225"/>
              <dgm:constr type="w" for="ch" forName="Child2" refType="w" fact="0.2443"/>
              <dgm:constr type="h" for="ch" forName="Child2" refType="h" fact="0.227"/>
              <dgm:constr type="r" for="ch" forName="Child3" refType="w" fact="0.2443"/>
              <dgm:constr type="t" for="ch" forName="Child3" refType="h" fact="0.5433"/>
              <dgm:constr type="w" for="ch" forName="Child3" refType="w" fact="0.2443"/>
              <dgm:constr type="h" for="ch" forName="Child3" refType="h" fact="0.227"/>
              <dgm:constr type="r" for="ch" forName="Child4" refType="w" fact="0.3786"/>
              <dgm:constr type="t" for="ch" forName="Child4" refType="h" fact="0.7703"/>
              <dgm:constr type="w" for="ch" forName="Child4" refType="w" fact="0.2443"/>
              <dgm:constr type="h" for="ch" forName="Child4" refType="h" fact="0.227"/>
            </dgm:constrLst>
          </dgm:else>
        </dgm:choose>
      </dgm:else>
    </dgm:choose>
    <dgm:forEach name="wrapper" axis="self" ptType="parTrans">
      <dgm:forEach name="ImageRepeat" axis="self">
        <dgm:layoutNode name="Image" styleLbl="fgImgPlace1">
          <dgm:alg type="sp"/>
          <dgm:shape xmlns:r="http://schemas.openxmlformats.org/officeDocument/2006/relationships" type="ellipse" r:blip="" blipPhldr="1">
            <dgm:adjLst/>
          </dgm:shape>
          <dgm:presOf/>
        </dgm:layoutNode>
      </dgm:forEach>
    </dgm:forEach>
    <dgm:forEach name="Name16" axis="ch" ptType="node" cnt="1">
      <dgm:layoutNode name="Parent" styleLbl="node1">
        <dgm:varLst>
          <dgm:chMax val="4"/>
          <dgm:chPref val="3"/>
        </dgm:varLst>
        <dgm:alg type="tx"/>
        <dgm:shape xmlns:r="http://schemas.openxmlformats.org/officeDocument/2006/relationships" type="ellipse"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17" axis="ch ch" ptType="node node" st="1 1" cnt="1 1">
      <dgm:layoutNode name="Accent" styleLbl="node1">
        <dgm:alg type="sp"/>
        <dgm:choose name="Name18">
          <dgm:if name="Name19" func="var" arg="dir" op="equ" val="norm">
            <dgm:choose name="Name20">
              <dgm:if name="Name21" axis="followSib" ptType="node" func="cnt" op="equ" val="0">
                <dgm:shape xmlns:r="http://schemas.openxmlformats.org/officeDocument/2006/relationships" type="blockArc" r:blip="">
                  <dgm:adjLst>
                    <dgm:adj idx="1" val="-49.0368"/>
                    <dgm:adj idx="2" val="49.4265"/>
                    <dgm:adj idx="3" val="0.0564"/>
                  </dgm:adjLst>
                </dgm:shape>
              </dgm:if>
              <dgm:if name="Name22" axis="followSib" ptType="node" func="cnt" op="equ" val="1">
                <dgm:shape xmlns:r="http://schemas.openxmlformats.org/officeDocument/2006/relationships" type="blockArc" r:blip="">
                  <dgm:adjLst>
                    <dgm:adj idx="1" val="-64.2028"/>
                    <dgm:adj idx="2" val="64.5456"/>
                    <dgm:adj idx="3" val="0.0558"/>
                  </dgm:adjLst>
                </dgm:shape>
              </dgm:if>
              <dgm:if name="Name23" axis="followSib" ptType="node" func="cnt" op="equ" val="2">
                <dgm:shape xmlns:r="http://schemas.openxmlformats.org/officeDocument/2006/relationships" type="blockArc" r:blip="">
                  <dgm:adjLst>
                    <dgm:adj idx="1" val="-67.8702"/>
                    <dgm:adj idx="2" val="68.6519"/>
                    <dgm:adj idx="3" val="0.0575"/>
                  </dgm:adjLst>
                </dgm:shape>
              </dgm:if>
              <dgm:else name="Name24">
                <dgm:shape xmlns:r="http://schemas.openxmlformats.org/officeDocument/2006/relationships" type="blockArc" r:blip="">
                  <dgm:adjLst>
                    <dgm:adj idx="1" val="-84.8426"/>
                    <dgm:adj idx="2" val="84.8009"/>
                    <dgm:adj idx="3" val="0.0524"/>
                  </dgm:adjLst>
                </dgm:shape>
              </dgm:else>
            </dgm:choose>
          </dgm:if>
          <dgm:else name="Name25">
            <dgm:choose name="Name26">
              <dgm:if name="Name27" axis="followSib" ptType="node" func="cnt" op="equ" val="0">
                <dgm:shape xmlns:r="http://schemas.openxmlformats.org/officeDocument/2006/relationships" rot="180" type="blockArc" r:blip="">
                  <dgm:adjLst>
                    <dgm:adj idx="1" val="-49.0368"/>
                    <dgm:adj idx="2" val="49.4265"/>
                    <dgm:adj idx="3" val="0.0564"/>
                  </dgm:adjLst>
                </dgm:shape>
              </dgm:if>
              <dgm:if name="Name28" axis="followSib" ptType="node" func="cnt" op="equ" val="1">
                <dgm:shape xmlns:r="http://schemas.openxmlformats.org/officeDocument/2006/relationships" rot="180" type="blockArc" r:blip="">
                  <dgm:adjLst>
                    <dgm:adj idx="1" val="-64.2028"/>
                    <dgm:adj idx="2" val="64.5456"/>
                    <dgm:adj idx="3" val="0.0558"/>
                  </dgm:adjLst>
                </dgm:shape>
              </dgm:if>
              <dgm:if name="Name29" axis="followSib" ptType="node" func="cnt" op="equ" val="2">
                <dgm:shape xmlns:r="http://schemas.openxmlformats.org/officeDocument/2006/relationships" rot="180" type="blockArc" r:blip="">
                  <dgm:adjLst>
                    <dgm:adj idx="1" val="-67.8702"/>
                    <dgm:adj idx="2" val="68.6519"/>
                    <dgm:adj idx="3" val="0.0575"/>
                  </dgm:adjLst>
                </dgm:shape>
              </dgm:if>
              <dgm:else name="Name30">
                <dgm:shape xmlns:r="http://schemas.openxmlformats.org/officeDocument/2006/relationships" rot="180" type="blockArc" r:blip="">
                  <dgm:adjLst>
                    <dgm:adj idx="1" val="-84.8426"/>
                    <dgm:adj idx="2" val="84.8009"/>
                    <dgm:adj idx="3" val="0.0524"/>
                  </dgm:adjLst>
                </dgm:shape>
              </dgm:else>
            </dgm:choose>
          </dgm:else>
        </dgm:choose>
        <dgm:presOf/>
      </dgm:layoutNode>
      <dgm:layoutNode name="Image1" styleLbl="fgImgPlace1">
        <dgm:alg type="sp"/>
        <dgm:shape xmlns:r="http://schemas.openxmlformats.org/officeDocument/2006/relationships" type="ellipse" r:blip="" blipPhldr="1">
          <dgm:adjLst/>
        </dgm:shape>
        <dgm:presOf/>
      </dgm:layoutNode>
      <dgm:layoutNode name="Child1" styleLbl="revTx">
        <dgm:varLst>
          <dgm:chMax val="0"/>
          <dgm:chPref val="0"/>
          <dgm:bulletEnabled val="1"/>
        </dgm:varLst>
        <dgm:choose name="Name31">
          <dgm:if name="Name32" func="var" arg="dir" op="equ" val="norm">
            <dgm:alg type="tx">
              <dgm:param type="parTxLTRAlign" val="l"/>
              <dgm:param type="shpTxLTRAlignCh" val="l"/>
              <dgm:param type="parTxRTLAlign" val="l"/>
              <dgm:param type="shpTxRTLAlignCh" val="l"/>
              <dgm:param type="lnSpAfParP" val="10"/>
            </dgm:alg>
          </dgm:if>
          <dgm:else name="Name33">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4" axis="ch ch" ptType="node node" st="1 2" cnt="1 1">
      <dgm:layoutNode name="Image2">
        <dgm:alg type="sp"/>
        <dgm:shape xmlns:r="http://schemas.openxmlformats.org/officeDocument/2006/relationships" r:blip="">
          <dgm:adjLst/>
        </dgm:shape>
        <dgm:presOf/>
        <dgm:constrLst/>
        <dgm:forEach name="Name35" ref="ImageRepeat"/>
      </dgm:layoutNode>
      <dgm:layoutNode name="Child2" styleLbl="revTx">
        <dgm:varLst>
          <dgm:chMax val="0"/>
          <dgm:chPref val="0"/>
          <dgm:bulletEnabled val="1"/>
        </dgm:varLst>
        <dgm:choose name="Name36">
          <dgm:if name="Name37" func="var" arg="dir" op="equ" val="norm">
            <dgm:alg type="tx">
              <dgm:param type="parTxLTRAlign" val="l"/>
              <dgm:param type="shpTxLTRAlignCh" val="l"/>
              <dgm:param type="parTxRTLAlign" val="l"/>
              <dgm:param type="shpTxRTLAlignCh" val="l"/>
              <dgm:param type="lnSpAfParP" val="10"/>
            </dgm:alg>
          </dgm:if>
          <dgm:else name="Name38">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9" axis="ch ch" ptType="node node" st="1 3" cnt="1 1">
      <dgm:layoutNode name="Image3">
        <dgm:alg type="sp"/>
        <dgm:shape xmlns:r="http://schemas.openxmlformats.org/officeDocument/2006/relationships" r:blip="">
          <dgm:adjLst/>
        </dgm:shape>
        <dgm:presOf/>
        <dgm:constrLst/>
        <dgm:forEach name="Name40" ref="ImageRepeat"/>
      </dgm:layoutNode>
      <dgm:layoutNode name="Child3" styleLbl="revTx">
        <dgm:varLst>
          <dgm:chMax val="0"/>
          <dgm:chPref val="0"/>
          <dgm:bulletEnabled val="1"/>
        </dgm:varLst>
        <dgm:choose name="Name41">
          <dgm:if name="Name42" func="var" arg="dir" op="equ" val="norm">
            <dgm:alg type="tx">
              <dgm:param type="parTxLTRAlign" val="l"/>
              <dgm:param type="shpTxLTRAlignCh" val="l"/>
              <dgm:param type="parTxRTLAlign" val="l"/>
              <dgm:param type="shpTxRTLAlignCh" val="l"/>
              <dgm:param type="lnSpAfParP" val="10"/>
            </dgm:alg>
          </dgm:if>
          <dgm:else name="Name43">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4" axis="ch ch" ptType="node node" st="1 4" cnt="1 1">
      <dgm:layoutNode name="Image4">
        <dgm:alg type="sp"/>
        <dgm:shape xmlns:r="http://schemas.openxmlformats.org/officeDocument/2006/relationships" r:blip="">
          <dgm:adjLst/>
        </dgm:shape>
        <dgm:presOf/>
        <dgm:constrLst/>
        <dgm:forEach name="Name45" ref="ImageRepeat"/>
      </dgm:layoutNode>
      <dgm:layoutNode name="Child4" styleLbl="revTx">
        <dgm:varLst>
          <dgm:chMax val="0"/>
          <dgm:chPref val="0"/>
          <dgm:bulletEnabled val="1"/>
        </dgm:varLst>
        <dgm:choose name="Name46">
          <dgm:if name="Name47" func="var" arg="dir" op="equ" val="norm">
            <dgm:alg type="tx">
              <dgm:param type="parTxLTRAlign" val="l"/>
              <dgm:param type="shpTxLTRAlignCh" val="l"/>
              <dgm:param type="parTxRTLAlign" val="l"/>
              <dgm:param type="shpTxRTLAlignCh" val="l"/>
              <dgm:param type="lnSpAfParP" val="10"/>
            </dgm:alg>
          </dgm:if>
          <dgm:else name="Name48">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A65037-5A79-4663-9AE5-4260DED8423E}">
  <we:reference id="wa200005740" version="1.0.0.0" store="en-US" storeType="OMEX"/>
  <we:alternateReferences>
    <we:reference id="wa200005740" version="1.0.0.0" store="WA200005740"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496BF45-2FEE-4335-B348-53A6E1DA1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42</Pages>
  <Words>106565</Words>
  <Characters>607426</Characters>
  <Application>Microsoft Office Word</Application>
  <DocSecurity>0</DocSecurity>
  <Lines>5061</Lines>
  <Paragraphs>1425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 Zahid</dc:creator>
  <cp:keywords/>
  <dc:description/>
  <cp:lastModifiedBy>Muhammad Sajid Iqbal</cp:lastModifiedBy>
  <cp:revision>4</cp:revision>
  <cp:lastPrinted>2024-06-05T08:20:00Z</cp:lastPrinted>
  <dcterms:created xsi:type="dcterms:W3CDTF">2024-12-12T04:44:00Z</dcterms:created>
  <dcterms:modified xsi:type="dcterms:W3CDTF">2024-12-12T07:53:00Z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http://www.zotero.org/styles/energy-policy</vt:lpwstr>
  </property>
  <property fmtid="{D5CDD505-2E9C-101B-9397-08002B2CF9AE}" pid="9" name="Mendeley Recent Style Name 3_1">
    <vt:lpwstr>Energy Policy</vt:lpwstr>
  </property>
  <property fmtid="{D5CDD505-2E9C-101B-9397-08002B2CF9AE}" pid="10" name="Mendeley Recent Style Id 4_1">
    <vt:lpwstr>http://www.zotero.org/styles/energy-reports</vt:lpwstr>
  </property>
  <property fmtid="{D5CDD505-2E9C-101B-9397-08002B2CF9AE}" pid="11" name="Mendeley Recent Style Name 4_1">
    <vt:lpwstr>Energy Reports</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http://www.zotero.org/styles/multidisciplinary-digital-publishing-institute</vt:lpwstr>
  </property>
  <property fmtid="{D5CDD505-2E9C-101B-9397-08002B2CF9AE}" pid="17" name="Mendeley Recent Style Name 7_1">
    <vt:lpwstr>Multidisciplinary Digital Publishing Institute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http://www.zotero.org/styles/sustainable-energy-technologies-and-assessments</vt:lpwstr>
  </property>
  <property fmtid="{D5CDD505-2E9C-101B-9397-08002B2CF9AE}" pid="21" name="Mendeley Recent Style Name 9_1">
    <vt:lpwstr>Sustainable Energy Technologies and Assessments</vt:lpwstr>
  </property>
  <property fmtid="{D5CDD505-2E9C-101B-9397-08002B2CF9AE}" pid="22" name="Mendeley Document_1">
    <vt:lpwstr>True</vt:lpwstr>
  </property>
  <property fmtid="{D5CDD505-2E9C-101B-9397-08002B2CF9AE}" pid="23" name="Mendeley Citation Style_1">
    <vt:lpwstr>http://www.zotero.org/styles/sustainable-energy-technologies-and-assessments</vt:lpwstr>
  </property>
  <property fmtid="{D5CDD505-2E9C-101B-9397-08002B2CF9AE}" pid="24" name="Mendeley Unique User Id_1">
    <vt:lpwstr>5278ce66-3b0c-38a4-9000-b6af7c72c3fa</vt:lpwstr>
  </property>
</Properties>
</file>