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2DDFB" w14:textId="77777777" w:rsidR="004B1918" w:rsidRPr="002A664E" w:rsidRDefault="004B1918" w:rsidP="004B1918">
      <w:pPr>
        <w:pStyle w:val="Title"/>
        <w:spacing w:after="240" w:line="276" w:lineRule="auto"/>
        <w:jc w:val="center"/>
        <w:rPr>
          <w:rFonts w:asciiTheme="majorBidi" w:hAnsiTheme="majorBidi"/>
          <w:b/>
          <w:bCs/>
          <w:sz w:val="28"/>
          <w:szCs w:val="28"/>
        </w:rPr>
      </w:pPr>
      <w:r w:rsidRPr="002A664E">
        <w:rPr>
          <w:rFonts w:asciiTheme="majorBidi" w:hAnsiTheme="majorBidi"/>
          <w:b/>
          <w:bCs/>
          <w:sz w:val="28"/>
          <w:szCs w:val="28"/>
        </w:rPr>
        <w:t>A Review on Socio-technical Transition Pathway to European Super Smart Grid: Trends, Challenges and Way Forward via Enabling Technologies</w:t>
      </w:r>
    </w:p>
    <w:p w14:paraId="2C5ADFDE" w14:textId="77777777" w:rsidR="004B1918" w:rsidRPr="002A664E" w:rsidRDefault="004B1918" w:rsidP="004B1918">
      <w:pPr>
        <w:spacing w:line="276" w:lineRule="auto"/>
        <w:jc w:val="center"/>
        <w:rPr>
          <w:rFonts w:asciiTheme="majorBidi" w:hAnsiTheme="majorBidi" w:cstheme="majorBidi"/>
          <w:color w:val="0070C0"/>
          <w:sz w:val="20"/>
          <w:szCs w:val="20"/>
        </w:rPr>
      </w:pPr>
      <w:bookmarkStart w:id="0" w:name="_Hlk168995121"/>
      <w:r w:rsidRPr="008538EA">
        <w:rPr>
          <w:rFonts w:asciiTheme="majorBidi" w:hAnsiTheme="majorBidi" w:cstheme="majorBidi"/>
          <w:color w:val="0070C0"/>
          <w:sz w:val="20"/>
          <w:szCs w:val="20"/>
        </w:rPr>
        <w:t>Herman Zahid</w:t>
      </w:r>
      <w:r>
        <w:rPr>
          <w:rFonts w:asciiTheme="majorBidi" w:hAnsiTheme="majorBidi" w:cstheme="majorBidi"/>
          <w:color w:val="0070C0"/>
          <w:sz w:val="20"/>
          <w:szCs w:val="20"/>
          <w:vertAlign w:val="superscript"/>
        </w:rPr>
        <w:t>1</w:t>
      </w:r>
      <w:r>
        <w:rPr>
          <w:rFonts w:asciiTheme="majorBidi" w:hAnsiTheme="majorBidi" w:cstheme="majorBidi"/>
          <w:color w:val="0070C0"/>
          <w:sz w:val="20"/>
          <w:szCs w:val="20"/>
        </w:rPr>
        <w:t>, Adil Zulfiqar</w:t>
      </w:r>
      <w:r w:rsidRPr="001B1939">
        <w:rPr>
          <w:rFonts w:asciiTheme="majorBidi" w:hAnsiTheme="majorBidi" w:cstheme="majorBidi"/>
          <w:color w:val="0070C0"/>
          <w:sz w:val="20"/>
          <w:szCs w:val="20"/>
          <w:vertAlign w:val="superscript"/>
        </w:rPr>
        <w:t>1</w:t>
      </w:r>
      <w:r>
        <w:rPr>
          <w:rFonts w:asciiTheme="majorBidi" w:hAnsiTheme="majorBidi" w:cstheme="majorBidi"/>
          <w:color w:val="0070C0"/>
          <w:sz w:val="20"/>
          <w:szCs w:val="20"/>
        </w:rPr>
        <w:t>, Muhammad Adnan</w:t>
      </w:r>
      <w:r w:rsidRPr="001B1939">
        <w:rPr>
          <w:rFonts w:asciiTheme="majorBidi" w:hAnsiTheme="majorBidi" w:cstheme="majorBidi"/>
          <w:color w:val="0070C0"/>
          <w:sz w:val="20"/>
          <w:szCs w:val="20"/>
          <w:vertAlign w:val="superscript"/>
        </w:rPr>
        <w:t>1</w:t>
      </w:r>
      <w:r>
        <w:rPr>
          <w:rFonts w:asciiTheme="majorBidi" w:hAnsiTheme="majorBidi" w:cstheme="majorBidi"/>
          <w:color w:val="0070C0"/>
          <w:sz w:val="20"/>
          <w:szCs w:val="20"/>
        </w:rPr>
        <w:t>, Sajid Iqbal</w:t>
      </w:r>
      <w:r w:rsidRPr="001B1939">
        <w:rPr>
          <w:rFonts w:asciiTheme="majorBidi" w:hAnsiTheme="majorBidi" w:cstheme="majorBidi"/>
          <w:color w:val="0070C0"/>
          <w:sz w:val="20"/>
          <w:szCs w:val="20"/>
          <w:vertAlign w:val="superscript"/>
        </w:rPr>
        <w:t>1</w:t>
      </w:r>
      <w:r>
        <w:rPr>
          <w:rFonts w:asciiTheme="majorBidi" w:hAnsiTheme="majorBidi" w:cstheme="majorBidi"/>
          <w:color w:val="0070C0"/>
          <w:sz w:val="20"/>
          <w:szCs w:val="20"/>
          <w:vertAlign w:val="superscript"/>
        </w:rPr>
        <w:t xml:space="preserve">, </w:t>
      </w:r>
      <w:r w:rsidRPr="002A664E">
        <w:rPr>
          <w:rFonts w:asciiTheme="majorBidi" w:hAnsiTheme="majorBidi" w:cstheme="majorBidi"/>
          <w:color w:val="0070C0"/>
          <w:sz w:val="20"/>
          <w:szCs w:val="20"/>
        </w:rPr>
        <w:t xml:space="preserve">and </w:t>
      </w:r>
      <w:r>
        <w:rPr>
          <w:rFonts w:asciiTheme="majorBidi" w:hAnsiTheme="majorBidi" w:cstheme="majorBidi"/>
          <w:color w:val="0070C0"/>
          <w:sz w:val="20"/>
          <w:szCs w:val="20"/>
        </w:rPr>
        <w:t>S</w:t>
      </w:r>
      <w:r w:rsidRPr="002A664E">
        <w:rPr>
          <w:rFonts w:asciiTheme="majorBidi" w:hAnsiTheme="majorBidi" w:cstheme="majorBidi"/>
          <w:color w:val="0070C0"/>
          <w:sz w:val="20"/>
          <w:szCs w:val="20"/>
        </w:rPr>
        <w:t>alah</w:t>
      </w:r>
      <w:r>
        <w:rPr>
          <w:rFonts w:asciiTheme="majorBidi" w:hAnsiTheme="majorBidi" w:cstheme="majorBidi"/>
          <w:color w:val="0070C0"/>
          <w:sz w:val="20"/>
          <w:szCs w:val="20"/>
        </w:rPr>
        <w:t xml:space="preserve"> </w:t>
      </w:r>
      <w:r w:rsidRPr="002A664E">
        <w:rPr>
          <w:rFonts w:asciiTheme="majorBidi" w:hAnsiTheme="majorBidi" w:cstheme="majorBidi"/>
          <w:color w:val="0070C0"/>
          <w:sz w:val="20"/>
          <w:szCs w:val="20"/>
        </w:rPr>
        <w:t xml:space="preserve">Eldeen </w:t>
      </w:r>
      <w:r>
        <w:rPr>
          <w:rFonts w:asciiTheme="majorBidi" w:hAnsiTheme="majorBidi" w:cstheme="majorBidi"/>
          <w:color w:val="0070C0"/>
          <w:sz w:val="20"/>
          <w:szCs w:val="20"/>
        </w:rPr>
        <w:t>G</w:t>
      </w:r>
      <w:r w:rsidRPr="002A664E">
        <w:rPr>
          <w:rFonts w:asciiTheme="majorBidi" w:hAnsiTheme="majorBidi" w:cstheme="majorBidi"/>
          <w:color w:val="0070C0"/>
          <w:sz w:val="20"/>
          <w:szCs w:val="20"/>
        </w:rPr>
        <w:t xml:space="preserve">asim </w:t>
      </w:r>
      <w:r>
        <w:rPr>
          <w:rFonts w:asciiTheme="majorBidi" w:hAnsiTheme="majorBidi" w:cstheme="majorBidi"/>
          <w:color w:val="0070C0"/>
          <w:sz w:val="20"/>
          <w:szCs w:val="20"/>
        </w:rPr>
        <w:t>M</w:t>
      </w:r>
      <w:r w:rsidRPr="002A664E">
        <w:rPr>
          <w:rFonts w:asciiTheme="majorBidi" w:hAnsiTheme="majorBidi" w:cstheme="majorBidi"/>
          <w:color w:val="0070C0"/>
          <w:sz w:val="20"/>
          <w:szCs w:val="20"/>
        </w:rPr>
        <w:t>ohamed</w:t>
      </w:r>
      <w:r w:rsidRPr="002A664E">
        <w:rPr>
          <w:rFonts w:asciiTheme="majorBidi" w:hAnsiTheme="majorBidi" w:cstheme="majorBidi"/>
          <w:color w:val="0070C0"/>
          <w:sz w:val="20"/>
          <w:szCs w:val="20"/>
          <w:vertAlign w:val="superscript"/>
        </w:rPr>
        <w:t>2</w:t>
      </w:r>
    </w:p>
    <w:p w14:paraId="354B20E4" w14:textId="77777777" w:rsidR="004B1918" w:rsidRDefault="004B1918" w:rsidP="004B1918">
      <w:pPr>
        <w:spacing w:line="276" w:lineRule="auto"/>
        <w:jc w:val="center"/>
        <w:rPr>
          <w:rStyle w:val="Hyperlink"/>
          <w:rFonts w:asciiTheme="majorBidi" w:hAnsiTheme="majorBidi" w:cstheme="majorBidi"/>
          <w:sz w:val="20"/>
          <w:szCs w:val="20"/>
        </w:rPr>
      </w:pPr>
      <w:r>
        <w:rPr>
          <w:rFonts w:asciiTheme="majorBidi" w:hAnsiTheme="majorBidi" w:cstheme="majorBidi"/>
          <w:color w:val="0070C0"/>
          <w:sz w:val="20"/>
          <w:szCs w:val="20"/>
          <w:vertAlign w:val="superscript"/>
        </w:rPr>
        <w:t>1</w:t>
      </w:r>
      <w:r w:rsidRPr="008538EA">
        <w:rPr>
          <w:rFonts w:asciiTheme="majorBidi" w:hAnsiTheme="majorBidi" w:cstheme="majorBidi"/>
          <w:color w:val="0070C0"/>
          <w:sz w:val="20"/>
          <w:szCs w:val="20"/>
        </w:rPr>
        <w:t xml:space="preserve">Department of Electrical Engineering, National University of Computer and Emerging Sciences (FAST), Chiniot-Faisalabad Campus, Chiniot 38000, Pakistan; </w:t>
      </w:r>
      <w:hyperlink r:id="rId6" w:history="1">
        <w:r w:rsidRPr="005C0266">
          <w:rPr>
            <w:rStyle w:val="Hyperlink"/>
            <w:rFonts w:asciiTheme="majorBidi" w:hAnsiTheme="majorBidi" w:cstheme="majorBidi"/>
            <w:sz w:val="20"/>
            <w:szCs w:val="20"/>
          </w:rPr>
          <w:t>herman.zahid@gmail.com</w:t>
        </w:r>
      </w:hyperlink>
      <w:r>
        <w:rPr>
          <w:rFonts w:asciiTheme="majorBidi" w:hAnsiTheme="majorBidi" w:cstheme="majorBidi"/>
          <w:color w:val="0070C0"/>
          <w:sz w:val="20"/>
          <w:szCs w:val="20"/>
        </w:rPr>
        <w:t xml:space="preserve">, </w:t>
      </w:r>
      <w:hyperlink r:id="rId7" w:history="1">
        <w:r w:rsidRPr="005C0266">
          <w:rPr>
            <w:rStyle w:val="Hyperlink"/>
            <w:rFonts w:asciiTheme="majorBidi" w:hAnsiTheme="majorBidi" w:cstheme="majorBidi"/>
            <w:sz w:val="20"/>
            <w:szCs w:val="20"/>
          </w:rPr>
          <w:t>adil.zulfiqar@nu.edu.pk</w:t>
        </w:r>
      </w:hyperlink>
      <w:r>
        <w:rPr>
          <w:rFonts w:asciiTheme="majorBidi" w:hAnsiTheme="majorBidi" w:cstheme="majorBidi"/>
          <w:color w:val="0070C0"/>
          <w:sz w:val="20"/>
          <w:szCs w:val="20"/>
        </w:rPr>
        <w:t xml:space="preserve">, </w:t>
      </w:r>
      <w:hyperlink r:id="rId8" w:history="1">
        <w:r w:rsidRPr="005C0266">
          <w:rPr>
            <w:rStyle w:val="Hyperlink"/>
            <w:rFonts w:asciiTheme="majorBidi" w:hAnsiTheme="majorBidi" w:cstheme="majorBidi"/>
            <w:sz w:val="20"/>
            <w:szCs w:val="20"/>
          </w:rPr>
          <w:t>m.adnan@nu.edu.pk</w:t>
        </w:r>
      </w:hyperlink>
      <w:r>
        <w:rPr>
          <w:rFonts w:asciiTheme="majorBidi" w:hAnsiTheme="majorBidi" w:cstheme="majorBidi"/>
          <w:color w:val="0070C0"/>
          <w:sz w:val="20"/>
          <w:szCs w:val="20"/>
        </w:rPr>
        <w:t xml:space="preserve">, </w:t>
      </w:r>
      <w:hyperlink r:id="rId9" w:history="1">
        <w:r w:rsidRPr="005C0266">
          <w:rPr>
            <w:rStyle w:val="Hyperlink"/>
            <w:rFonts w:asciiTheme="majorBidi" w:hAnsiTheme="majorBidi" w:cstheme="majorBidi"/>
            <w:sz w:val="20"/>
            <w:szCs w:val="20"/>
          </w:rPr>
          <w:t>Iqbal.sajid@nu.edu.pk</w:t>
        </w:r>
      </w:hyperlink>
    </w:p>
    <w:p w14:paraId="1E398B1E" w14:textId="77777777" w:rsidR="004B1918" w:rsidRDefault="004B1918" w:rsidP="004B1918">
      <w:pPr>
        <w:spacing w:line="276" w:lineRule="auto"/>
        <w:jc w:val="center"/>
        <w:rPr>
          <w:rFonts w:asciiTheme="majorBidi" w:hAnsiTheme="majorBidi" w:cstheme="majorBidi"/>
          <w:color w:val="0070C0"/>
          <w:sz w:val="20"/>
          <w:szCs w:val="20"/>
        </w:rPr>
      </w:pPr>
      <w:r w:rsidRPr="002A664E">
        <w:rPr>
          <w:rFonts w:asciiTheme="majorBidi" w:hAnsiTheme="majorBidi" w:cstheme="majorBidi"/>
          <w:color w:val="0070C0"/>
          <w:sz w:val="20"/>
          <w:szCs w:val="20"/>
          <w:vertAlign w:val="superscript"/>
        </w:rPr>
        <w:t>2</w:t>
      </w:r>
      <w:r w:rsidRPr="002A664E">
        <w:rPr>
          <w:rFonts w:asciiTheme="majorBidi" w:hAnsiTheme="majorBidi" w:cstheme="majorBidi"/>
          <w:color w:val="0070C0"/>
          <w:sz w:val="20"/>
          <w:szCs w:val="20"/>
        </w:rPr>
        <w:t xml:space="preserve">Department of Electronic Engineering, Sudan </w:t>
      </w:r>
      <w:r>
        <w:rPr>
          <w:rFonts w:asciiTheme="majorBidi" w:hAnsiTheme="majorBidi" w:cstheme="majorBidi"/>
          <w:color w:val="0070C0"/>
          <w:sz w:val="20"/>
          <w:szCs w:val="20"/>
        </w:rPr>
        <w:t>U</w:t>
      </w:r>
      <w:r w:rsidRPr="002A664E">
        <w:rPr>
          <w:rFonts w:asciiTheme="majorBidi" w:hAnsiTheme="majorBidi" w:cstheme="majorBidi"/>
          <w:color w:val="0070C0"/>
          <w:sz w:val="20"/>
          <w:szCs w:val="20"/>
        </w:rPr>
        <w:t xml:space="preserve">niversity of </w:t>
      </w:r>
      <w:r>
        <w:rPr>
          <w:rFonts w:asciiTheme="majorBidi" w:hAnsiTheme="majorBidi" w:cstheme="majorBidi"/>
          <w:color w:val="0070C0"/>
          <w:sz w:val="20"/>
          <w:szCs w:val="20"/>
        </w:rPr>
        <w:t>S</w:t>
      </w:r>
      <w:r w:rsidRPr="002A664E">
        <w:rPr>
          <w:rFonts w:asciiTheme="majorBidi" w:hAnsiTheme="majorBidi" w:cstheme="majorBidi"/>
          <w:color w:val="0070C0"/>
          <w:sz w:val="20"/>
          <w:szCs w:val="20"/>
        </w:rPr>
        <w:t>cience and Technology</w:t>
      </w:r>
      <w:r>
        <w:rPr>
          <w:rFonts w:asciiTheme="majorBidi" w:hAnsiTheme="majorBidi" w:cstheme="majorBidi"/>
          <w:color w:val="0070C0"/>
          <w:sz w:val="20"/>
          <w:szCs w:val="20"/>
        </w:rPr>
        <w:t xml:space="preserve">, Sudan; </w:t>
      </w:r>
      <w:hyperlink r:id="rId10" w:history="1">
        <w:r w:rsidRPr="00047E3C">
          <w:rPr>
            <w:rStyle w:val="Hyperlink"/>
            <w:rFonts w:asciiTheme="majorBidi" w:hAnsiTheme="majorBidi" w:cstheme="majorBidi"/>
            <w:sz w:val="20"/>
            <w:szCs w:val="20"/>
          </w:rPr>
          <w:t>salahedingasim@sustech.edu</w:t>
        </w:r>
      </w:hyperlink>
      <w:r>
        <w:rPr>
          <w:rFonts w:asciiTheme="majorBidi" w:hAnsiTheme="majorBidi" w:cstheme="majorBidi"/>
          <w:color w:val="0070C0"/>
          <w:sz w:val="20"/>
          <w:szCs w:val="20"/>
        </w:rPr>
        <w:t xml:space="preserve"> </w:t>
      </w:r>
    </w:p>
    <w:p w14:paraId="209AD1E5" w14:textId="77777777" w:rsidR="004B1918" w:rsidRPr="008538EA" w:rsidRDefault="004B1918" w:rsidP="004B1918">
      <w:pPr>
        <w:spacing w:line="276" w:lineRule="auto"/>
        <w:jc w:val="center"/>
        <w:rPr>
          <w:rFonts w:asciiTheme="majorBidi" w:hAnsiTheme="majorBidi" w:cstheme="majorBidi"/>
          <w:color w:val="0070C0"/>
          <w:sz w:val="20"/>
          <w:szCs w:val="20"/>
        </w:rPr>
      </w:pPr>
      <w:r w:rsidRPr="008538EA">
        <w:rPr>
          <w:rFonts w:asciiTheme="majorBidi" w:hAnsiTheme="majorBidi" w:cstheme="majorBidi"/>
          <w:color w:val="0070C0"/>
          <w:sz w:val="20"/>
          <w:szCs w:val="20"/>
        </w:rPr>
        <w:t>*Corres</w:t>
      </w:r>
      <w:r>
        <w:rPr>
          <w:rFonts w:asciiTheme="majorBidi" w:hAnsiTheme="majorBidi" w:cstheme="majorBidi"/>
          <w:color w:val="0070C0"/>
          <w:sz w:val="20"/>
          <w:szCs w:val="20"/>
        </w:rPr>
        <w:t xml:space="preserve">pondence Authors: </w:t>
      </w:r>
      <w:hyperlink r:id="rId11" w:history="1">
        <w:r w:rsidRPr="005C0266">
          <w:rPr>
            <w:rStyle w:val="Hyperlink"/>
            <w:rFonts w:asciiTheme="majorBidi" w:hAnsiTheme="majorBidi" w:cstheme="majorBidi"/>
            <w:sz w:val="20"/>
            <w:szCs w:val="20"/>
          </w:rPr>
          <w:t>m.adnan@nu.edu.pk</w:t>
        </w:r>
      </w:hyperlink>
      <w:r w:rsidRPr="00FD7868">
        <w:rPr>
          <w:rStyle w:val="Hyperlink"/>
          <w:rFonts w:asciiTheme="majorBidi" w:hAnsiTheme="majorBidi" w:cstheme="majorBidi"/>
          <w:color w:val="auto"/>
          <w:sz w:val="20"/>
          <w:szCs w:val="20"/>
          <w:u w:val="none"/>
        </w:rPr>
        <w:t xml:space="preserve"> </w:t>
      </w:r>
    </w:p>
    <w:bookmarkEnd w:id="0"/>
    <w:p w14:paraId="2C701A70" w14:textId="6A830805" w:rsidR="00C1402C" w:rsidRPr="003676D3" w:rsidRDefault="0065459A" w:rsidP="003676D3">
      <w:pPr>
        <w:spacing w:line="276" w:lineRule="auto"/>
        <w:jc w:val="both"/>
        <w:rPr>
          <w:rFonts w:ascii="Times New Roman" w:hAnsi="Times New Roman" w:cs="Times New Roman"/>
          <w:sz w:val="24"/>
          <w:szCs w:val="24"/>
        </w:rPr>
      </w:pPr>
      <w:r w:rsidRPr="003676D3">
        <w:rPr>
          <w:rFonts w:ascii="Times New Roman" w:hAnsi="Times New Roman" w:cs="Times New Roman"/>
          <w:b/>
          <w:bCs/>
          <w:sz w:val="24"/>
          <w:szCs w:val="24"/>
        </w:rPr>
        <w:t>Abstract</w:t>
      </w:r>
      <w:r w:rsidR="008E437B" w:rsidRPr="003676D3">
        <w:rPr>
          <w:rFonts w:ascii="Times New Roman" w:hAnsi="Times New Roman" w:cs="Times New Roman"/>
          <w:b/>
          <w:bCs/>
          <w:sz w:val="24"/>
          <w:szCs w:val="24"/>
        </w:rPr>
        <w:t>:</w:t>
      </w:r>
      <w:r w:rsidR="008E437B" w:rsidRPr="003676D3">
        <w:rPr>
          <w:rFonts w:ascii="Times New Roman" w:hAnsi="Times New Roman" w:cs="Times New Roman"/>
          <w:sz w:val="24"/>
          <w:szCs w:val="24"/>
        </w:rPr>
        <w:t xml:space="preserve"> </w:t>
      </w:r>
      <w:r w:rsidR="00724E60" w:rsidRPr="003676D3">
        <w:rPr>
          <w:rFonts w:ascii="Times New Roman" w:hAnsi="Times New Roman" w:cs="Times New Roman"/>
          <w:sz w:val="24"/>
          <w:szCs w:val="24"/>
        </w:rPr>
        <w:t xml:space="preserve">This study employs retrospective empirical approach to assess the innovative methods and techniques in the European union perspective with the aim to transition from smart grid to super smart grid. The European union has embarked on a significant modernization of its electricity infrastructure. This transformation is centralized on the idea of the development of a super smart grid, which leverages on emerging technologies to enhance grid intelligence and interconnectivity all across the Europe. This study critically analyses the technical, regulatory and economic steps taken by the EU to facilitate this transition. It put forward the challenges due to the integration of RES, such as intermittency, cybersecurity threats, as well as the need for advance demand-supply balance for the network. It addresses the market hurdles for grid expansion and modernization, and also include the need for updated regulatory frameworks. This study also explores the </w:t>
      </w:r>
      <w:r w:rsidR="00416F82" w:rsidRPr="003676D3">
        <w:rPr>
          <w:rFonts w:ascii="Times New Roman" w:hAnsi="Times New Roman" w:cs="Times New Roman"/>
          <w:sz w:val="24"/>
          <w:szCs w:val="24"/>
        </w:rPr>
        <w:t>cutting-edge</w:t>
      </w:r>
      <w:r w:rsidR="00724E60" w:rsidRPr="003676D3">
        <w:rPr>
          <w:rFonts w:ascii="Times New Roman" w:hAnsi="Times New Roman" w:cs="Times New Roman"/>
          <w:sz w:val="24"/>
          <w:szCs w:val="24"/>
        </w:rPr>
        <w:t xml:space="preserve"> solutions like blockchain based decentralized energy transactions, which offers a secure platform for an efficient, and autonomous energy balance. </w:t>
      </w:r>
      <w:r w:rsidR="008E437B" w:rsidRPr="003676D3">
        <w:rPr>
          <w:rFonts w:ascii="Times New Roman" w:hAnsi="Times New Roman" w:cs="Times New Roman"/>
          <w:sz w:val="24"/>
          <w:szCs w:val="24"/>
        </w:rPr>
        <w:t xml:space="preserve">The development of a super smart grid </w:t>
      </w:r>
      <w:r w:rsidR="00C25A8C" w:rsidRPr="003676D3">
        <w:rPr>
          <w:rFonts w:ascii="Times New Roman" w:hAnsi="Times New Roman" w:cs="Times New Roman"/>
          <w:sz w:val="24"/>
          <w:szCs w:val="24"/>
        </w:rPr>
        <w:t>makes use of</w:t>
      </w:r>
      <w:r w:rsidR="008E437B" w:rsidRPr="003676D3">
        <w:rPr>
          <w:rFonts w:ascii="Times New Roman" w:hAnsi="Times New Roman" w:cs="Times New Roman"/>
          <w:sz w:val="24"/>
          <w:szCs w:val="24"/>
        </w:rPr>
        <w:t xml:space="preserve"> artificial intelligence for predictive analytics, demand forecasting, and real-time decision-making</w:t>
      </w:r>
      <w:r w:rsidR="00C25A8C" w:rsidRPr="003676D3">
        <w:rPr>
          <w:rFonts w:ascii="Times New Roman" w:hAnsi="Times New Roman" w:cs="Times New Roman"/>
          <w:sz w:val="24"/>
          <w:szCs w:val="24"/>
        </w:rPr>
        <w:t xml:space="preserve">. The </w:t>
      </w:r>
      <w:r w:rsidR="008E437B" w:rsidRPr="003676D3">
        <w:rPr>
          <w:rFonts w:ascii="Times New Roman" w:hAnsi="Times New Roman" w:cs="Times New Roman"/>
          <w:sz w:val="24"/>
          <w:szCs w:val="24"/>
        </w:rPr>
        <w:t xml:space="preserve">metaverse </w:t>
      </w:r>
      <w:r w:rsidR="00C25A8C" w:rsidRPr="003676D3">
        <w:rPr>
          <w:rFonts w:ascii="Times New Roman" w:hAnsi="Times New Roman" w:cs="Times New Roman"/>
          <w:sz w:val="24"/>
          <w:szCs w:val="24"/>
        </w:rPr>
        <w:t xml:space="preserve">and digital twin </w:t>
      </w:r>
      <w:r w:rsidR="008E437B" w:rsidRPr="003676D3">
        <w:rPr>
          <w:rFonts w:ascii="Times New Roman" w:hAnsi="Times New Roman" w:cs="Times New Roman"/>
          <w:sz w:val="24"/>
          <w:szCs w:val="24"/>
        </w:rPr>
        <w:t>f</w:t>
      </w:r>
      <w:r w:rsidR="00C25A8C" w:rsidRPr="003676D3">
        <w:rPr>
          <w:rFonts w:ascii="Times New Roman" w:hAnsi="Times New Roman" w:cs="Times New Roman"/>
          <w:sz w:val="24"/>
          <w:szCs w:val="24"/>
        </w:rPr>
        <w:t>ormulates</w:t>
      </w:r>
      <w:r w:rsidR="008E437B" w:rsidRPr="003676D3">
        <w:rPr>
          <w:rFonts w:ascii="Times New Roman" w:hAnsi="Times New Roman" w:cs="Times New Roman"/>
          <w:sz w:val="24"/>
          <w:szCs w:val="24"/>
        </w:rPr>
        <w:t xml:space="preserve"> simulation and optimization of energy systems</w:t>
      </w:r>
      <w:r w:rsidR="00724DEC" w:rsidRPr="003676D3">
        <w:rPr>
          <w:rFonts w:ascii="Times New Roman" w:hAnsi="Times New Roman" w:cs="Times New Roman"/>
          <w:sz w:val="24"/>
          <w:szCs w:val="24"/>
        </w:rPr>
        <w:t>. Furthermore, this study</w:t>
      </w:r>
      <w:r w:rsidR="008E437B" w:rsidRPr="003676D3">
        <w:rPr>
          <w:rFonts w:ascii="Times New Roman" w:hAnsi="Times New Roman" w:cs="Times New Roman"/>
          <w:sz w:val="24"/>
          <w:szCs w:val="24"/>
        </w:rPr>
        <w:t xml:space="preserve"> </w:t>
      </w:r>
      <w:r w:rsidR="00C25A8C" w:rsidRPr="003676D3">
        <w:rPr>
          <w:rFonts w:ascii="Times New Roman" w:hAnsi="Times New Roman" w:cs="Times New Roman"/>
          <w:sz w:val="24"/>
          <w:szCs w:val="24"/>
        </w:rPr>
        <w:t>put forwards</w:t>
      </w:r>
      <w:r w:rsidR="008E437B" w:rsidRPr="003676D3">
        <w:rPr>
          <w:rFonts w:ascii="Times New Roman" w:hAnsi="Times New Roman" w:cs="Times New Roman"/>
          <w:sz w:val="24"/>
          <w:szCs w:val="24"/>
        </w:rPr>
        <w:t xml:space="preserve"> a comprehensive overview of the potential challenges and issues e</w:t>
      </w:r>
      <w:r w:rsidR="00724DEC" w:rsidRPr="003676D3">
        <w:rPr>
          <w:rFonts w:ascii="Times New Roman" w:hAnsi="Times New Roman" w:cs="Times New Roman"/>
          <w:sz w:val="24"/>
          <w:szCs w:val="24"/>
        </w:rPr>
        <w:t>ncountered in super smart grids</w:t>
      </w:r>
      <w:r w:rsidR="008E437B" w:rsidRPr="003676D3">
        <w:rPr>
          <w:rFonts w:ascii="Times New Roman" w:hAnsi="Times New Roman" w:cs="Times New Roman"/>
          <w:sz w:val="24"/>
          <w:szCs w:val="24"/>
        </w:rPr>
        <w:t>, emphasizing the role of regulatory reforms and</w:t>
      </w:r>
      <w:r w:rsidR="007644A4" w:rsidRPr="003676D3">
        <w:rPr>
          <w:rFonts w:ascii="Times New Roman" w:hAnsi="Times New Roman" w:cs="Times New Roman"/>
          <w:sz w:val="24"/>
          <w:szCs w:val="24"/>
        </w:rPr>
        <w:t xml:space="preserve"> innovations in technology for</w:t>
      </w:r>
      <w:r w:rsidR="008E437B" w:rsidRPr="003676D3">
        <w:rPr>
          <w:rFonts w:ascii="Times New Roman" w:hAnsi="Times New Roman" w:cs="Times New Roman"/>
          <w:sz w:val="24"/>
          <w:szCs w:val="24"/>
        </w:rPr>
        <w:t xml:space="preserve"> achieving a sustainable, intelligent and interconnected European power grid.</w:t>
      </w:r>
    </w:p>
    <w:p w14:paraId="40E1AB29" w14:textId="40693311" w:rsidR="00C1402C" w:rsidRPr="003676D3" w:rsidRDefault="008E437B" w:rsidP="003676D3">
      <w:pPr>
        <w:spacing w:line="276" w:lineRule="auto"/>
        <w:jc w:val="both"/>
        <w:rPr>
          <w:rFonts w:ascii="Times New Roman" w:hAnsi="Times New Roman" w:cs="Times New Roman"/>
          <w:sz w:val="24"/>
          <w:szCs w:val="24"/>
        </w:rPr>
      </w:pPr>
      <w:r w:rsidRPr="003676D3">
        <w:rPr>
          <w:rFonts w:ascii="Times New Roman" w:hAnsi="Times New Roman" w:cs="Times New Roman"/>
          <w:b/>
          <w:bCs/>
          <w:sz w:val="24"/>
          <w:szCs w:val="24"/>
        </w:rPr>
        <w:t>Keywords</w:t>
      </w:r>
      <w:r w:rsidRPr="003676D3">
        <w:rPr>
          <w:rFonts w:ascii="Times New Roman" w:hAnsi="Times New Roman" w:cs="Times New Roman"/>
          <w:sz w:val="24"/>
          <w:szCs w:val="24"/>
        </w:rPr>
        <w:t>: Super Smart Grid, Energy, Metaverse, Digital Twin, Blockchain, Artificial Intelligence</w:t>
      </w:r>
    </w:p>
    <w:p w14:paraId="18E2A749" w14:textId="77777777" w:rsidR="0065459A" w:rsidRPr="003676D3" w:rsidRDefault="0065459A" w:rsidP="003676D3">
      <w:pPr>
        <w:pStyle w:val="Heading1"/>
        <w:spacing w:line="276" w:lineRule="auto"/>
        <w:jc w:val="both"/>
        <w:rPr>
          <w:sz w:val="24"/>
          <w:szCs w:val="24"/>
        </w:rPr>
      </w:pPr>
      <w:r w:rsidRPr="003676D3">
        <w:rPr>
          <w:sz w:val="24"/>
          <w:szCs w:val="24"/>
        </w:rPr>
        <w:t>1. Introduction</w:t>
      </w:r>
    </w:p>
    <w:p w14:paraId="15F0B936" w14:textId="5FCF1259" w:rsidR="00754013" w:rsidRPr="003676D3" w:rsidRDefault="00754013" w:rsidP="003676D3">
      <w:pPr>
        <w:widowControl w:val="0"/>
        <w:autoSpaceDE w:val="0"/>
        <w:autoSpaceDN w:val="0"/>
        <w:adjustRightInd w:val="0"/>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In numerous nations, the electricity sector has experienced a </w:t>
      </w:r>
      <w:r w:rsidR="00FB400D" w:rsidRPr="003676D3">
        <w:rPr>
          <w:rFonts w:ascii="Times New Roman" w:hAnsi="Times New Roman" w:cs="Times New Roman"/>
          <w:sz w:val="24"/>
          <w:szCs w:val="24"/>
        </w:rPr>
        <w:t>remarkable shift towards the fostering</w:t>
      </w:r>
      <w:r w:rsidRPr="003676D3">
        <w:rPr>
          <w:rFonts w:ascii="Times New Roman" w:hAnsi="Times New Roman" w:cs="Times New Roman"/>
          <w:sz w:val="24"/>
          <w:szCs w:val="24"/>
        </w:rPr>
        <w:t xml:space="preserve"> of Renewable Energy Systems (RESs)</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{"citationItems":[{"id":"ITEM-1","itemData":{"DOI":"10.1109/TII.2020.3018123","ISSN":"19410050","abstract":"Emerging smart grid technologies and increased penetration of renewable energy sources (RESs) direct the power sector to focus on RESs as an alternative to meet both baseload and peak load demands in a cost-efficient way. A key issue in such schemes is the design and analysis of energy trading techniques involving complex interactions between an aggregator and multiple electricity suppliers (ESs) with RESs fulfilling a certain demand. This is challenging because ESs can be of various categories, such as small/medium/large scale, and they are self-interested and generally have different preferences toward trading based on their types and constraints. This article introduces a new contract theoretic framework to tackle this challenge by designing optimal contracts for ESs. To this end, a dynamic pricing scheme is developed such that the aggregator can utilize to incentivize the ESs to contribute to both baseload and peak load demands according to their categories. An algorithm is proposed that can be implemented in a distributed manner by trading partners to enable energy trading. It is shown that the trading strategy under a baseload scenario is feasible, and the aggregator only needs to consider the per unit generation cost of ESs to decide on its strategy. The trading strategy for a peak load scenario, however, is complex and requires consideration of different factors, such as variations in the wholesale price and its effect on the selling price of ESs, and the uncertainty of energy generation from RESs. Simulation results demonstrate the effectiveness of the proposed scheme for energy trading in the local electricity market.","author":[{"dropping-particle":"","family":"Amin","given":"Uzma","non-dropping-particle":"","parse-names":false,"suffix":""},{"dropping-particle":"","family":"Hossain","given":"M. Jahangir","non-dropping-particle":"","parse-names":false,"suffix":""},{"dropping-particle":"","family":"Tushar","given":"Wayes","non-dropping-particle":"","parse-names":false,"suffix":""},{"dropping-particle":"","family":"Mahmud","given":"Khizir","non-dropping-particle":"","parse-names":false,"suffix":""}],"container-title":"IEEE Transactions on Industrial Informatics","id":"ITEM-1","issue":"6","issued":{"date-parts":[["2021","6","1"]]},"page":"3717-3730","publisher":"IEEE Computer Society","title":"Energy Trading in Local Electricity Market with Renewables - A Contract Theoretic Approach","type":"article-journal","volume":"17"},"uris":["http://www.mendeley.com/documents/?uuid=61c4af2d-2eb6-3e78-b616-3a39a23efee6"]}],"mendeley":{"formattedCitation":"[1]","plainTextFormattedCitation":"[1]","previouslyFormattedCitation":"[1]"},"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marking an initial phase of systemic transformation</w:t>
      </w:r>
      <w:r w:rsidR="00FF5E10" w:rsidRPr="003676D3">
        <w:rPr>
          <w:rFonts w:ascii="Times New Roman" w:hAnsi="Times New Roman" w:cs="Times New Roman"/>
          <w:sz w:val="24"/>
          <w:szCs w:val="24"/>
        </w:rPr>
        <w:t xml:space="preserve"> and disruptive innovation</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{"citationItems":[{"id":"ITEM-1","itemData":{"DOI":"10.1016/J.ERSS.2017.10.032","ISSN":"22146296","abstract":"What are ‘disruption’ and ‘disruptive innovation’? And what relevance do they have for energy transformation? Ten critical perspectives offer ten contrasting responses to these questions. The relevance of Christensen’s canonical definition of disruptive innovation is highly contested in its applicability to energy and climate challenges, as is the usefulness of analysing discrete business models or technologies rather than socio-technical systems. Further research on disruptive innovation and energy transformation needs to tackle: (i) the social, systemic and emissions impact of widespread adoption; (ii) how to mitigate the adverse distributional consequences of disruption; (iii) the consumer appeal of ‘good enough’ products for users marginalised or excluded from mainstream markets; (iv) the role of incumbents in system transformation; and (v) the reasons for geographic variation in disruption processes currently underway.","author":[{"dropping-particle":"","family":"Wilson","given":"Charlie","non-dropping-particle":"","parse-names":false,"suffix":""},{"dropping-particle":"","family":"Tyfield","given":"David","non-dropping-particle":"","parse-names":false,"suffix":""}],"container-title":"Energy research and social science","id":"ITEM-1","issued":{"date-parts":[["2018","3","1"]]},"page":"211-215","publisher":"Elsevier Ltd","title":"Critical perspectives on disruptive innovation and energy transformation","type":"article-journal","volume":"37"},"uris":["http://www.mendeley.com/documents/?uuid=d4e2dfb8-5540-3757-a08d-8f9aa3edd21d"]}],"mendeley":{"formattedCitation":"[2]","plainTextFormattedCitation":"[2]","previouslyFormattedCitation":"[2]"},"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[2]</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r w:rsidR="00FF5E10" w:rsidRPr="003676D3">
        <w:rPr>
          <w:rFonts w:ascii="Times New Roman" w:hAnsi="Times New Roman" w:cs="Times New Roman"/>
          <w:sz w:val="24"/>
          <w:szCs w:val="24"/>
        </w:rPr>
        <w:t xml:space="preserve">Regulation should not </w:t>
      </w:r>
      <w:r w:rsidR="00724DEC" w:rsidRPr="003676D3">
        <w:rPr>
          <w:rFonts w:ascii="Times New Roman" w:hAnsi="Times New Roman" w:cs="Times New Roman"/>
          <w:sz w:val="24"/>
          <w:szCs w:val="24"/>
        </w:rPr>
        <w:t xml:space="preserve">exclusively prioritize the </w:t>
      </w:r>
      <w:r w:rsidR="003A3E12" w:rsidRPr="003676D3">
        <w:rPr>
          <w:rFonts w:ascii="Times New Roman" w:hAnsi="Times New Roman" w:cs="Times New Roman"/>
          <w:sz w:val="24"/>
          <w:szCs w:val="24"/>
        </w:rPr>
        <w:t>cost-efficient</w:t>
      </w:r>
      <w:r w:rsidR="00FF5E10" w:rsidRPr="003676D3">
        <w:rPr>
          <w:rFonts w:ascii="Times New Roman" w:hAnsi="Times New Roman" w:cs="Times New Roman"/>
          <w:sz w:val="24"/>
          <w:szCs w:val="24"/>
        </w:rPr>
        <w:t xml:space="preserve"> utilization of current infrastructure and investments in </w:t>
      </w:r>
      <w:r w:rsidR="00FB400D" w:rsidRPr="003676D3">
        <w:rPr>
          <w:rFonts w:ascii="Times New Roman" w:hAnsi="Times New Roman" w:cs="Times New Roman"/>
          <w:sz w:val="24"/>
          <w:szCs w:val="24"/>
        </w:rPr>
        <w:t>reinforcement and replacement</w:t>
      </w:r>
      <w:r w:rsidR="00FF5E10" w:rsidRPr="003676D3">
        <w:rPr>
          <w:rFonts w:ascii="Times New Roman" w:hAnsi="Times New Roman" w:cs="Times New Roman"/>
          <w:sz w:val="24"/>
          <w:szCs w:val="24"/>
        </w:rPr>
        <w:t xml:space="preserve">; </w:t>
      </w:r>
      <w:r w:rsidR="00FE7E55" w:rsidRPr="003676D3">
        <w:rPr>
          <w:rFonts w:ascii="Times New Roman" w:hAnsi="Times New Roman" w:cs="Times New Roman"/>
          <w:sz w:val="24"/>
          <w:szCs w:val="24"/>
        </w:rPr>
        <w:t>innovation</w:t>
      </w:r>
      <w:r w:rsidR="00FB400D" w:rsidRPr="003676D3">
        <w:rPr>
          <w:rFonts w:ascii="Times New Roman" w:hAnsi="Times New Roman" w:cs="Times New Roman"/>
          <w:sz w:val="24"/>
          <w:szCs w:val="24"/>
        </w:rPr>
        <w:t xml:space="preserve"> should also be a factor to consider</w:t>
      </w:r>
      <w:r w:rsidR="00FF5E10" w:rsidRPr="003676D3">
        <w:rPr>
          <w:rFonts w:ascii="Times New Roman" w:hAnsi="Times New Roman" w:cs="Times New Roman"/>
          <w:sz w:val="24"/>
          <w:szCs w:val="24"/>
        </w:rPr>
        <w:t xml:space="preserve">. </w:t>
      </w:r>
      <w:r w:rsidR="00724E60" w:rsidRPr="003676D3">
        <w:rPr>
          <w:rFonts w:ascii="Times New Roman" w:hAnsi="Times New Roman" w:cs="Times New Roman"/>
          <w:sz w:val="24"/>
          <w:szCs w:val="24"/>
        </w:rPr>
        <w:t xml:space="preserve">This commencement of transition is mainly about the technical and economic feasibility of RESs, which enables their penetration into the electricity systems. In this case, the new narrative also goes further than just substitution of fossil fuel resources, but rather it is the consideration of how the whole </w:t>
      </w:r>
      <w:r w:rsidR="00724E60" w:rsidRPr="003676D3">
        <w:rPr>
          <w:rFonts w:ascii="Times New Roman" w:hAnsi="Times New Roman" w:cs="Times New Roman"/>
          <w:sz w:val="24"/>
          <w:szCs w:val="24"/>
        </w:rPr>
        <w:lastRenderedPageBreak/>
        <w:t xml:space="preserve">electricity systems should function In this regard, the composition of RESs is complemented with finely balanced supply, demand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{"citationItems":[{"id":"ITEM-1","itemData":{"DOI":"10.1109/TSG.2015.2445794","ISSN":"19493053","abstract":"The large-scale integration of renewable generation directly affects the reliability of power grids. We investigate the problem of power balancing in a general renewable-integrated power grid with storage and flexible loads. We consider a power grid that is supplied by one conventional generator (CG) and multiple renewable generators (RGs) each co-located with storage, and is connected with external markets. An aggregator operates the power grid to maintain power balance between supply and demand. Aiming at minimizing the long-term system cost, we first propose a real-time centralized power balancing solution, taking into account the uncertainty of the renewable generation, loads, and energy prices. We then provide a distributed implementation algorithm, significantly reducing both computational burden and communication overhead. We demonstrate that our proposed algorithm is asymptotically optimal as the storage capacity increases and the CG ramping constraint loosens. Moreover, the distributed implementation enjoys a fast convergence rate, and enables each RG and the aggregator to make their own decisions. Simulation shows that our proposed algorithm outperforms alternatives and can achieve near-optimal performance for a wide range of storage capacity.","author":[{"dropping-particle":"","family":"Sun","given":"Sun","non-dropping-particle":"","parse-names":false,"suffix":""},{"dropping-particle":"","family":"Dong","given":"Min","non-dropping-particle":"","parse-names":false,"suffix":""},{"dropping-particle":"","family":"Liang","given":"Ben","non-dropping-particle":"","parse-names":false,"suffix":""}],"container-title":"IEEE Transactions on Smart Grid","id":"ITEM-1","issue":"5","issued":{"date-parts":[["2016","9","1"]]},"page":"2337-2349","publisher":"Institute of Electrical and Electronics Engineers Inc.","title":"Distributed Real-Time Power Balancing in Renewable-Integrated Power Grids With Storage and Flexible Loads","type":"article-journal","volume":"7"},"uris":["http://www.mendeley.com/documents/?uuid=17f6dbaf-f259-37c9-b2bf-12a9a115cb19"]}],"mendeley":{"formattedCitation":"[3]","plainTextFormattedCitation":"[3]","previouslyFormattedCitation":"[3]"},"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[3]</w:t>
      </w:r>
      <w:r w:rsidR="00A705BC" w:rsidRPr="003676D3">
        <w:rPr>
          <w:rFonts w:ascii="Times New Roman" w:hAnsi="Times New Roman" w:cs="Times New Roman"/>
          <w:sz w:val="24"/>
          <w:szCs w:val="24"/>
        </w:rPr>
        <w:fldChar w:fldCharType="end"/>
      </w:r>
      <w:r w:rsidR="00FB400D" w:rsidRPr="003676D3">
        <w:rPr>
          <w:rFonts w:ascii="Times New Roman" w:hAnsi="Times New Roman" w:cs="Times New Roman"/>
          <w:sz w:val="24"/>
          <w:szCs w:val="24"/>
        </w:rPr>
        <w:t xml:space="preserve">, </w:t>
      </w:r>
      <w:r w:rsidR="004B1918" w:rsidRPr="003676D3">
        <w:rPr>
          <w:rFonts w:ascii="Times New Roman" w:hAnsi="Times New Roman" w:cs="Times New Roman"/>
          <w:sz w:val="24"/>
          <w:szCs w:val="24"/>
        </w:rPr>
        <w:t>along with</w:t>
      </w:r>
      <w:r w:rsidRPr="003676D3">
        <w:rPr>
          <w:rFonts w:ascii="Times New Roman" w:hAnsi="Times New Roman" w:cs="Times New Roman"/>
          <w:sz w:val="24"/>
          <w:szCs w:val="24"/>
        </w:rPr>
        <w:t xml:space="preserve"> storage</w:t>
      </w:r>
      <w:r w:rsidR="00724E60" w:rsidRPr="003676D3">
        <w:rPr>
          <w:rFonts w:ascii="Times New Roman" w:hAnsi="Times New Roman" w:cs="Times New Roman"/>
          <w:sz w:val="24"/>
          <w:szCs w:val="24"/>
        </w:rPr>
        <w:t>. This ensure</w:t>
      </w:r>
      <w:r w:rsidRPr="003676D3">
        <w:rPr>
          <w:rFonts w:ascii="Times New Roman" w:hAnsi="Times New Roman" w:cs="Times New Roman"/>
          <w:sz w:val="24"/>
          <w:szCs w:val="24"/>
        </w:rPr>
        <w:t xml:space="preserve"> </w:t>
      </w:r>
      <w:r w:rsidR="00724DEC" w:rsidRPr="003676D3">
        <w:rPr>
          <w:rFonts w:ascii="Times New Roman" w:hAnsi="Times New Roman" w:cs="Times New Roman"/>
          <w:sz w:val="24"/>
          <w:szCs w:val="24"/>
        </w:rPr>
        <w:t xml:space="preserve">high </w:t>
      </w:r>
      <w:r w:rsidRPr="003676D3">
        <w:rPr>
          <w:rFonts w:ascii="Times New Roman" w:hAnsi="Times New Roman" w:cs="Times New Roman"/>
          <w:sz w:val="24"/>
          <w:szCs w:val="24"/>
        </w:rPr>
        <w:t>power quality and mitigating congestion</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{"citationItems":[{"id":"ITEM-1","itemData":{"DOI":"10.1002/ER.4847","ISSN":"1099114X","abstract":"Increased energy demands due to rapid industrialization, environmental concerns with fossil fuel–based generation, diminishing fossil energy resources, transmission network congestion, and technical performance deterioration are the motivations behind the integration of small renewable distributed generation (DG) units and turning the existing power systems into a restructured one. Optimizing the technical benefits offered by DG placement is a well‐known challenge for distribution network operators (DNOs) for both fossil and renewable energy resource–based DGs, but renewable DG systems have several power quality (PQ) challenges associated additionally. Power quality is a very significant characteristic of renewable DG systems because today's loads are more sensitive to PQ disturbances and penetration of renewable energy as well as nonlinear loads is proliferating in distribution power networks. So the need for innovative power quality improvement (PQI) techniques becomes inevitable due to ongoing reformation in traditional distribution networks by the integration of renewable energy. This article presents a comprehensive analysis of power quality challenges with grid integration of renewable DG systems and current research status of associated mitigation techniques. Firstly, this paper puts emphasis on theoretically illustrating all the crucial power quality challenges associated with grid integration of renewable energy, and secondly, a thorough survey, of all PQI techniques introduced till date, is elaborated along with highlighting the opportunities for future research. Furthermore, all the crucial power quality issues, the impact of high penetration of renewable energy and mitigation techniques on power quality, are demonstrated also by simulating a grid integrated PV‐based DG system in MATLAB/Simulink. This article is believed to be very beneficial for academics as well as industry professionals to understand existing PQ challenges, PQI techniques, and future research directions for renewable energy technologies.","author":[{"dropping-particle":"","family":"Bajaj","given":"Mohit","non-dropping-particle":"","parse-names":false,"suffix":""},{"dropping-particle":"","family":"Singh","given":"Amit Kumar","non-dropping-particle":"","parse-names":false,"suffix":""}],"container-title":"International Journal of Energy Research","id":"ITEM-1","issue":"1","issued":{"date-parts":[["2020","1","1"]]},"page":"26-69","publisher":"John Wiley and Sons Ltd","title":"Grid integrated renewable DG systems: A review of power quality challenges and state‐of‐the‐art mitigation techniques","type":"article-journal","volume":"44"},"uris":["http://www.mendeley.com/documents/?uuid=a909a287-62cb-3e02-a401-5999b44e3f46"]}],"mendeley":{"formattedCitation":"[4]","plainTextFormattedCitation":"[4]","previouslyFormattedCitation":"[4]"},"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[4]</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in </w:t>
      </w:r>
      <w:r w:rsidR="00724DEC" w:rsidRPr="003676D3">
        <w:rPr>
          <w:rFonts w:ascii="Times New Roman" w:hAnsi="Times New Roman" w:cs="Times New Roman"/>
          <w:sz w:val="24"/>
          <w:szCs w:val="24"/>
        </w:rPr>
        <w:t xml:space="preserve">power transmission and distribution </w:t>
      </w:r>
      <w:r w:rsidR="004B1918" w:rsidRPr="003676D3">
        <w:rPr>
          <w:rFonts w:ascii="Times New Roman" w:hAnsi="Times New Roman" w:cs="Times New Roman"/>
          <w:sz w:val="24"/>
          <w:szCs w:val="24"/>
        </w:rPr>
        <w:t>along with</w:t>
      </w:r>
      <w:r w:rsidR="003A3E12" w:rsidRPr="003676D3">
        <w:rPr>
          <w:rFonts w:ascii="Times New Roman" w:hAnsi="Times New Roman" w:cs="Times New Roman"/>
          <w:sz w:val="24"/>
          <w:szCs w:val="24"/>
        </w:rPr>
        <w:t xml:space="preserve"> energy</w:t>
      </w:r>
      <w:r w:rsidR="00724DEC" w:rsidRPr="003676D3">
        <w:rPr>
          <w:rFonts w:ascii="Times New Roman" w:hAnsi="Times New Roman" w:cs="Times New Roman"/>
          <w:sz w:val="24"/>
          <w:szCs w:val="24"/>
        </w:rPr>
        <w:t xml:space="preserve"> </w:t>
      </w:r>
      <w:r w:rsidRPr="003676D3">
        <w:rPr>
          <w:rFonts w:ascii="Times New Roman" w:hAnsi="Times New Roman" w:cs="Times New Roman"/>
          <w:sz w:val="24"/>
          <w:szCs w:val="24"/>
        </w:rPr>
        <w:t xml:space="preserve">storage. </w:t>
      </w:r>
      <w:r w:rsidR="004B1918" w:rsidRPr="003676D3">
        <w:rPr>
          <w:rFonts w:ascii="Times New Roman" w:hAnsi="Times New Roman" w:cs="Times New Roman"/>
          <w:sz w:val="24"/>
          <w:szCs w:val="24"/>
        </w:rPr>
        <w:t>These complex combinations of factors</w:t>
      </w:r>
      <w:r w:rsidR="003A3E12" w:rsidRPr="003676D3">
        <w:rPr>
          <w:rFonts w:ascii="Times New Roman" w:hAnsi="Times New Roman" w:cs="Times New Roman"/>
          <w:sz w:val="24"/>
          <w:szCs w:val="24"/>
        </w:rPr>
        <w:t xml:space="preserve"> present new demands for electricity grids’ operational models and require that all parts of the supply chain from generation to usage be reviewed in a holistic manner.</w:t>
      </w:r>
    </w:p>
    <w:p w14:paraId="436CB1E7" w14:textId="0854208E" w:rsidR="00624D3A" w:rsidRPr="003676D3" w:rsidRDefault="00FB40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w:t>
      </w:r>
      <w:r w:rsidR="00724DEC" w:rsidRPr="003676D3">
        <w:rPr>
          <w:rFonts w:ascii="Times New Roman" w:hAnsi="Times New Roman" w:cs="Times New Roman"/>
          <w:sz w:val="24"/>
          <w:szCs w:val="24"/>
        </w:rPr>
        <w:t>he energy and power</w:t>
      </w:r>
      <w:r w:rsidRPr="003676D3">
        <w:rPr>
          <w:rFonts w:ascii="Times New Roman" w:hAnsi="Times New Roman" w:cs="Times New Roman"/>
          <w:sz w:val="24"/>
          <w:szCs w:val="24"/>
        </w:rPr>
        <w:t xml:space="preserve"> sector is expected </w:t>
      </w:r>
      <w:r w:rsidR="00724DEC" w:rsidRPr="003676D3">
        <w:rPr>
          <w:rFonts w:ascii="Times New Roman" w:hAnsi="Times New Roman" w:cs="Times New Roman"/>
          <w:sz w:val="24"/>
          <w:szCs w:val="24"/>
        </w:rPr>
        <w:t>t</w:t>
      </w:r>
      <w:r w:rsidR="004F3BF9" w:rsidRPr="003676D3">
        <w:rPr>
          <w:rFonts w:ascii="Times New Roman" w:hAnsi="Times New Roman" w:cs="Times New Roman"/>
          <w:sz w:val="24"/>
          <w:szCs w:val="24"/>
        </w:rPr>
        <w:t>o play an important</w:t>
      </w:r>
      <w:r w:rsidR="00724DEC" w:rsidRPr="003676D3">
        <w:rPr>
          <w:rFonts w:ascii="Times New Roman" w:hAnsi="Times New Roman" w:cs="Times New Roman"/>
          <w:sz w:val="24"/>
          <w:szCs w:val="24"/>
        </w:rPr>
        <w:t xml:space="preserve"> role in establishing a low </w:t>
      </w:r>
      <w:r w:rsidRPr="003676D3">
        <w:rPr>
          <w:rFonts w:ascii="Times New Roman" w:hAnsi="Times New Roman" w:cs="Times New Roman"/>
          <w:sz w:val="24"/>
          <w:szCs w:val="24"/>
        </w:rPr>
        <w:t xml:space="preserve">carbon economy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{"citationItems":[{"id":"ITEM-1","itemData":{"author":[{"dropping-particle":"","family":"Xiaohu","given":"Zhang","non-dropping-particle":"","parse-names":false,"suffix":""}],"container-title":"Power system technology","id":"ITEM-1","issued":{"date-parts":[["2013"]]},"title":"Carbon Trading Based Low-Carbon Economic Dispatching for Power Grid Integrated With Wind Power System","type":"article-journal"},"uris":["http://www.mendeley.com/documents/?uuid=7125062b-7e2c-342b-9359-fca73186528e"]}],"mendeley":{"formattedCitation":"[5]","plainTextFormattedCitation":"[5]","previouslyFormattedCitation":"[5]"},"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[5]</w:t>
      </w:r>
      <w:r w:rsidR="00A705BC" w:rsidRPr="003676D3">
        <w:rPr>
          <w:rFonts w:ascii="Times New Roman" w:hAnsi="Times New Roman" w:cs="Times New Roman"/>
          <w:sz w:val="24"/>
          <w:szCs w:val="24"/>
        </w:rPr>
        <w:fldChar w:fldCharType="end"/>
      </w:r>
      <w:r w:rsidR="00CE6578" w:rsidRPr="003676D3">
        <w:rPr>
          <w:rFonts w:ascii="Times New Roman" w:hAnsi="Times New Roman" w:cs="Times New Roman"/>
          <w:sz w:val="24"/>
          <w:szCs w:val="24"/>
        </w:rPr>
        <w:t xml:space="preserve">. </w:t>
      </w:r>
      <w:r w:rsidRPr="003676D3">
        <w:rPr>
          <w:rFonts w:ascii="Times New Roman" w:hAnsi="Times New Roman" w:cs="Times New Roman"/>
          <w:sz w:val="24"/>
          <w:szCs w:val="24"/>
        </w:rPr>
        <w:t>Across all European Union</w:t>
      </w:r>
      <w:r w:rsidR="00724DEC" w:rsidRPr="003676D3">
        <w:rPr>
          <w:rFonts w:ascii="Times New Roman" w:hAnsi="Times New Roman" w:cs="Times New Roman"/>
          <w:sz w:val="24"/>
          <w:szCs w:val="24"/>
        </w:rPr>
        <w:t xml:space="preserve"> (EU)</w:t>
      </w:r>
      <w:r w:rsidRPr="003676D3">
        <w:rPr>
          <w:rFonts w:ascii="Times New Roman" w:hAnsi="Times New Roman" w:cs="Times New Roman"/>
          <w:sz w:val="24"/>
          <w:szCs w:val="24"/>
        </w:rPr>
        <w:t xml:space="preserve"> decarbonisation scenarios, renewable energy sources (RES) are integral to the solution</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{"citationItems":[{"id":"ITEM-1","itemData":{"DOI":"10.1109/EEM.2017.7982017","ISBN":"9781509054992","ISSN":"21654093","abstract":"Since the climate conferences in Paris and Marrakesh the outstanding question is not if but how and how fast to enable a decarbonization of the European electricity sector. Nuclear power has a difficult time to survive in electricity markets in all Western countries, such as the U.S., Europe, Japan, etc., and is getting increasingly under pressure due to high costs, and the falling costs of alternative sources, such as renewable energies in combination with storage technologies. This paper compares different approaches to decarbonize the electricity sector in Europe using a specific model developed by the authors called dynEL-MOD. We find that, renewables carry the major burden of decarbonization. Scenario analysis suggests that only in the case of a breakthrough of CCTS some biomass-CCTS plants can play a role by 2050 through their negative CO2-emissions. Nuclear power (3rd or 4th generation), on the contrary, is unable to compete with other fuels even by then, and will, therefore, rely on dedicated national programs to survive until 2050. Incorporating the climate targets makes the investment into any additional fossil capacity uneconomic from 2025 onwards, resulting in a coal and natural gas phase-out in the 2040s. The model is run using different foresight assumptions. Limited foresight thus results in stranded investments of fossil capacities in the 2020s. Using a CO2 budgetary approach, on the other hand, leads to an even sharper emission reduction in the early periods before 2030, reducing overall costs.","author":[{"dropping-particle":"","family":"Gerbaulet","given":"Clemens","non-dropping-particle":"","parse-names":false,"suffix":""},{"dropping-particle":"","family":"Hirschhausen","given":"Christian","non-dropping-particle":"Von","parse-names":false,"suffix":""},{"dropping-particle":"","family":"Kemfert","given":"Claudia","non-dropping-particle":"","parse-names":false,"suffix":""},{"dropping-particle":"","family":"Lorenz","given":"Casimir","non-dropping-particle":"","parse-names":false,"suffix":""},{"dropping-particle":"","family":"Gei","given":"Pao Yu","non-dropping-particle":"","parse-names":false,"suffix":""}],"container-title":"2017 14th International Conference on the European Energy Market (EEM)","id":"ITEM-1","issued":{"date-parts":[["2017","7","14"]]},"publisher":"IEEE Computer Society","title":"Scenarios for decarbonizing the European electricity sector","type":"article-journal"},"uris":["http://www.mendeley.com/documents/?uuid=b7fced23-df78-3ddc-a3f5-476924e43c8c"]},{"id":"ITEM-2","itemData":{"DOI":"10.1016/J.APENERGY.2018.08.109","ISSN":"0306-2619","abstract":"In this study, we model seven scenarios for the European power system in 2050 based on 100% renewable energy sources, assuming different levels of future demand and technology availability, and compare them with a scenario which includes low-carbon non-renewable technologies. We find that a 100% renewable European power system could operate with the same level of system adequacy as today when relying on European resources alone, even in the most challenging weather year observed in the period from 1979 to 2015. However, based on our scenario results, realising such a system by 2050 would require: (i) a 90% increase in generation capacity to at least 1.9 TW (compared with 1 TW installed today), (ii) reliable cross-border transmission capacity at least 140 GW higher than current levels (60 GW), (iii) the well-managed integration of heat pumps and electric vehicles into the power system to reduce demand peaks and biogas requirements, (iv) the implementation of energy efficiency measures to avoid even larger increases in required biomass demand, generation and transmission capacity, (v) wind deployment levels of 7.5 GW y−1 (currently 10.6 GW y−1) to be maintained, while solar photovoltaic deployment to increase to at least 15 GW y−1 (currently 10.5 GW y−1), (vi) large-scale mobilisation of Europe's biomass resources, with power sector biomass consumption reaching at least 8.5 EJ in the most challenging year (compared with 1.9 EJ today), and (vii) increasing solid biomass and biogas capacity deployment to at least 4 GW y−1 and 6 GW y−1 respectively. We find that even when wind and solar photovoltaic capacity is installed in optimum locations, the total cost of a 100% renewable power system (</w:instrText>
      </w:r>
      <w:r w:rsidR="00A705BC" w:rsidRPr="003676D3">
        <w:rPr>
          <w:rFonts w:ascii="Cambria Math" w:hAnsi="Cambria Math" w:cs="Cambria Math"/>
          <w:sz w:val="24"/>
          <w:szCs w:val="24"/>
        </w:rPr>
        <w:instrText>∼</w:instrText>
      </w:r>
      <w:r w:rsidR="00A705BC" w:rsidRPr="003676D3">
        <w:rPr>
          <w:rFonts w:ascii="Times New Roman" w:hAnsi="Times New Roman" w:cs="Times New Roman"/>
          <w:sz w:val="24"/>
          <w:szCs w:val="24"/>
        </w:rPr>
        <w:instrText>530 €bn y−1) would be approximately 30% higher than a power system which includes other low-carbon technologies such as nuclear, or carbon capture and storage (</w:instrText>
      </w:r>
      <w:r w:rsidR="00A705BC" w:rsidRPr="003676D3">
        <w:rPr>
          <w:rFonts w:ascii="Cambria Math" w:hAnsi="Cambria Math" w:cs="Cambria Math"/>
          <w:sz w:val="24"/>
          <w:szCs w:val="24"/>
        </w:rPr>
        <w:instrText>∼</w:instrText>
      </w:r>
      <w:r w:rsidR="00A705BC" w:rsidRPr="003676D3">
        <w:rPr>
          <w:rFonts w:ascii="Times New Roman" w:hAnsi="Times New Roman" w:cs="Times New Roman"/>
          <w:sz w:val="24"/>
          <w:szCs w:val="24"/>
        </w:rPr>
        <w:instrText>410 €bn y−1). Furthermore, a 100% renewable system may not deliver the level of emission reductions necessary to achieve Europe's climate goals by 2050, as negative emissions from biomass with carbon capture and storage may still be required to offset an increase in indirect emissions, or to realise more ambitious decarbonisation pathways.","author":[{"dropping-particle":"","family":"Zappa","given":"William","non-dropping-particle":"","parse-names":false,"suffix":""},{"dropping-particle":"","family":"Junginger","given":"Martin","non-dropping-particle":"","parse-names":false,"suffix":""},{"dropping-particle":"","family":"Broek","given":"Machteld","non-dropping-particle":"van den","parse-names":false,"suffix":""}],"container-title":"Applied Energy","id":"ITEM-2","issued":{"date-parts":[["2019","1","1"]]},"page":"1027-1050","publisher":"Elsevier","title":"Is a 100% renewable European power system feasible by 2050?","type":"article-journal","volume":"233-234"},"uris":["http://www.mendeley.com/documents/?uuid=909af6ed-16e7-3157-abe8-6273e0cc5885"]}],"mendeley":{"formattedCitation":"[6,7]","plainTextFormattedCitation":"[6,7]","previouslyFormattedCitation":"[6,7]"},"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[6,7]</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However, existing grids present significant </w:t>
      </w:r>
      <w:r w:rsidR="00724DEC" w:rsidRPr="003676D3">
        <w:rPr>
          <w:rFonts w:ascii="Times New Roman" w:hAnsi="Times New Roman" w:cs="Times New Roman"/>
          <w:sz w:val="24"/>
          <w:szCs w:val="24"/>
        </w:rPr>
        <w:t>barriers to the future uptake</w:t>
      </w:r>
      <w:r w:rsidRPr="003676D3">
        <w:rPr>
          <w:rFonts w:ascii="Times New Roman" w:hAnsi="Times New Roman" w:cs="Times New Roman"/>
          <w:sz w:val="24"/>
          <w:szCs w:val="24"/>
        </w:rPr>
        <w:t xml:space="preserve"> of RES. </w:t>
      </w:r>
      <w:r w:rsidR="004F3BF9" w:rsidRPr="003676D3">
        <w:rPr>
          <w:rFonts w:ascii="Times New Roman" w:hAnsi="Times New Roman" w:cs="Times New Roman"/>
          <w:sz w:val="24"/>
          <w:szCs w:val="24"/>
        </w:rPr>
        <w:t>The EU has a</w:t>
      </w:r>
      <w:r w:rsidRPr="003676D3">
        <w:rPr>
          <w:rFonts w:ascii="Times New Roman" w:hAnsi="Times New Roman" w:cs="Times New Roman"/>
          <w:sz w:val="24"/>
          <w:szCs w:val="24"/>
        </w:rPr>
        <w:t>cknowl</w:t>
      </w:r>
      <w:r w:rsidR="00724DEC" w:rsidRPr="003676D3">
        <w:rPr>
          <w:rFonts w:ascii="Times New Roman" w:hAnsi="Times New Roman" w:cs="Times New Roman"/>
          <w:sz w:val="24"/>
          <w:szCs w:val="24"/>
        </w:rPr>
        <w:t>edg</w:t>
      </w:r>
      <w:r w:rsidR="004F3BF9" w:rsidRPr="003676D3">
        <w:rPr>
          <w:rFonts w:ascii="Times New Roman" w:hAnsi="Times New Roman" w:cs="Times New Roman"/>
          <w:sz w:val="24"/>
          <w:szCs w:val="24"/>
        </w:rPr>
        <w:t>ed</w:t>
      </w:r>
      <w:r w:rsidR="00724DEC" w:rsidRPr="003676D3">
        <w:rPr>
          <w:rFonts w:ascii="Times New Roman" w:hAnsi="Times New Roman" w:cs="Times New Roman"/>
          <w:sz w:val="24"/>
          <w:szCs w:val="24"/>
        </w:rPr>
        <w:t xml:space="preserve"> the need to modernize the grids</w:t>
      </w:r>
      <w:r w:rsidR="004F3BF9" w:rsidRPr="003676D3">
        <w:rPr>
          <w:rFonts w:ascii="Times New Roman" w:hAnsi="Times New Roman" w:cs="Times New Roman"/>
          <w:sz w:val="24"/>
          <w:szCs w:val="24"/>
        </w:rPr>
        <w:t xml:space="preserve"> by </w:t>
      </w:r>
      <w:r w:rsidRPr="003676D3">
        <w:rPr>
          <w:rFonts w:ascii="Times New Roman" w:hAnsi="Times New Roman" w:cs="Times New Roman"/>
          <w:sz w:val="24"/>
          <w:szCs w:val="24"/>
        </w:rPr>
        <w:t>advocat</w:t>
      </w:r>
      <w:r w:rsidR="004F3BF9" w:rsidRPr="003676D3">
        <w:rPr>
          <w:rFonts w:ascii="Times New Roman" w:hAnsi="Times New Roman" w:cs="Times New Roman"/>
          <w:sz w:val="24"/>
          <w:szCs w:val="24"/>
        </w:rPr>
        <w:t>ing</w:t>
      </w:r>
      <w:r w:rsidRPr="003676D3">
        <w:rPr>
          <w:rFonts w:ascii="Times New Roman" w:hAnsi="Times New Roman" w:cs="Times New Roman"/>
          <w:sz w:val="24"/>
          <w:szCs w:val="24"/>
        </w:rPr>
        <w:t xml:space="preserve"> the development of a "super smart grid." This initiative</w:t>
      </w:r>
      <w:r w:rsidR="00637133" w:rsidRPr="003676D3">
        <w:rPr>
          <w:rFonts w:ascii="Times New Roman" w:hAnsi="Times New Roman" w:cs="Times New Roman"/>
          <w:sz w:val="24"/>
          <w:szCs w:val="24"/>
        </w:rPr>
        <w:t xml:space="preserve"> will</w:t>
      </w:r>
      <w:r w:rsidRPr="003676D3">
        <w:rPr>
          <w:rFonts w:ascii="Times New Roman" w:hAnsi="Times New Roman" w:cs="Times New Roman"/>
          <w:sz w:val="24"/>
          <w:szCs w:val="24"/>
        </w:rPr>
        <w:t xml:space="preserve"> interconnect European grids </w:t>
      </w:r>
      <w:r w:rsidR="00637133" w:rsidRPr="003676D3">
        <w:rPr>
          <w:rFonts w:ascii="Times New Roman" w:hAnsi="Times New Roman" w:cs="Times New Roman"/>
          <w:sz w:val="24"/>
          <w:szCs w:val="24"/>
        </w:rPr>
        <w:t>on the</w:t>
      </w:r>
      <w:r w:rsidRPr="003676D3">
        <w:rPr>
          <w:rFonts w:ascii="Times New Roman" w:hAnsi="Times New Roman" w:cs="Times New Roman"/>
          <w:sz w:val="24"/>
          <w:szCs w:val="24"/>
        </w:rPr>
        <w:t xml:space="preserve"> continental level and </w:t>
      </w:r>
      <w:r w:rsidR="00637133" w:rsidRPr="003676D3">
        <w:rPr>
          <w:rFonts w:ascii="Times New Roman" w:hAnsi="Times New Roman" w:cs="Times New Roman"/>
          <w:sz w:val="24"/>
          <w:szCs w:val="24"/>
        </w:rPr>
        <w:t>connect</w:t>
      </w:r>
      <w:r w:rsidR="00724DEC" w:rsidRPr="003676D3">
        <w:rPr>
          <w:rFonts w:ascii="Times New Roman" w:hAnsi="Times New Roman" w:cs="Times New Roman"/>
          <w:sz w:val="24"/>
          <w:szCs w:val="24"/>
        </w:rPr>
        <w:t xml:space="preserve"> the grid</w:t>
      </w:r>
      <w:r w:rsidRPr="003676D3">
        <w:rPr>
          <w:rFonts w:ascii="Times New Roman" w:hAnsi="Times New Roman" w:cs="Times New Roman"/>
          <w:sz w:val="24"/>
          <w:szCs w:val="24"/>
        </w:rPr>
        <w:t xml:space="preserve"> with information and communication technology (ICT).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{"citationItems":[{"id":"ITEM-1","itemData":{"DOI":"10.1016/J.ENPOL.2009.03.025","ISSN":"03014215","abstract":"The concept of intelligent electricity grids, which primarily involves the integration of new information and communication technologies with power transmission lines and distribution cables, is being actively explored in the European Union and the United States. Both developments share common technological developmental goals but also differ distinctly towards the role of distributed generation for their future electrical energy security. This paper looks at options that could find relevance to New Zealand (NZ), in the context of its aspiration of achieving 90% renewable energy electricity generation portfolio by 2025. It also identifies developments in technical standardization and industry investments that facilitate a pathway towards an intelligent or smart grid development for NZ. Some areas where policy can support research in NZ being a \"fast adapter\" to future grid development are also listed. This paper will help policy makers quickly review developments surrounding SmartGrid and also identify its potential to support NZ Energy Strategy in the electricity infrastructure. This paper will also help researchers and power system stakeholders for identifying international standardization, projects and potential partners in the area of future grid technologies. © 2009 Elsevier Ltd. All rights reserved.","author":[{"dropping-particle":"","family":"Nair","given":"Nirmal Kumar C.","non-dropping-particle":"","parse-names":false,"suffix":""},{"dropping-particle":"","family":"Zhang","given":"Lixi","non-dropping-particle":"","parse-names":false,"suffix":""}],"container-title":"Energy Policy","id":"ITEM-1","issue":"9","issued":{"date-parts":[["2009","9"]]},"page":"3418-3427","title":"SmartGrid: Future networks for New Zealand power systems incorporating distributed generation","type":"article-journal","volume":"37"},"uris":["http://www.mendeley.com/documents/?uuid=a58ea606-5d5a-3e9a-81fc-575a525dc629"]}],"mendeley":{"formattedCitation":"[8]","plainTextFormattedCitation":"[8]","previouslyFormattedCitation":"[8]"},"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[8]</w:t>
      </w:r>
      <w:r w:rsidR="00A705BC" w:rsidRPr="003676D3">
        <w:rPr>
          <w:rFonts w:ascii="Times New Roman" w:hAnsi="Times New Roman" w:cs="Times New Roman"/>
          <w:sz w:val="24"/>
          <w:szCs w:val="24"/>
        </w:rPr>
        <w:fldChar w:fldCharType="end"/>
      </w:r>
      <w:r w:rsidR="00CE6578" w:rsidRPr="003676D3">
        <w:rPr>
          <w:rFonts w:ascii="Times New Roman" w:hAnsi="Times New Roman" w:cs="Times New Roman"/>
          <w:sz w:val="24"/>
          <w:szCs w:val="24"/>
        </w:rPr>
        <w:t>.</w:t>
      </w:r>
      <w:r w:rsidRPr="003676D3">
        <w:rPr>
          <w:rFonts w:ascii="Times New Roman" w:hAnsi="Times New Roman" w:cs="Times New Roman"/>
          <w:sz w:val="24"/>
          <w:szCs w:val="24"/>
        </w:rPr>
        <w:t xml:space="preserve"> To achieve this goal, the EU </w:t>
      </w:r>
      <w:r w:rsidR="00724DEC" w:rsidRPr="003676D3">
        <w:rPr>
          <w:rFonts w:ascii="Times New Roman" w:hAnsi="Times New Roman" w:cs="Times New Roman"/>
          <w:sz w:val="24"/>
          <w:szCs w:val="24"/>
        </w:rPr>
        <w:t xml:space="preserve">has </w:t>
      </w:r>
      <w:r w:rsidR="00637133" w:rsidRPr="003676D3">
        <w:rPr>
          <w:rFonts w:ascii="Times New Roman" w:hAnsi="Times New Roman" w:cs="Times New Roman"/>
          <w:sz w:val="24"/>
          <w:szCs w:val="24"/>
        </w:rPr>
        <w:t>started</w:t>
      </w:r>
      <w:r w:rsidR="00724DEC" w:rsidRPr="003676D3">
        <w:rPr>
          <w:rFonts w:ascii="Times New Roman" w:hAnsi="Times New Roman" w:cs="Times New Roman"/>
          <w:sz w:val="24"/>
          <w:szCs w:val="24"/>
        </w:rPr>
        <w:t xml:space="preserve"> research and development project</w:t>
      </w:r>
      <w:r w:rsidRPr="003676D3">
        <w:rPr>
          <w:rFonts w:ascii="Times New Roman" w:hAnsi="Times New Roman" w:cs="Times New Roman"/>
          <w:sz w:val="24"/>
          <w:szCs w:val="24"/>
        </w:rPr>
        <w:t xml:space="preserve"> and established a unified legislative framework to facilitate the </w:t>
      </w:r>
      <w:r w:rsidR="00724DEC" w:rsidRPr="003676D3">
        <w:rPr>
          <w:rFonts w:ascii="Times New Roman" w:hAnsi="Times New Roman" w:cs="Times New Roman"/>
          <w:sz w:val="24"/>
          <w:szCs w:val="24"/>
        </w:rPr>
        <w:t>indispensable</w:t>
      </w:r>
      <w:r w:rsidRPr="003676D3">
        <w:rPr>
          <w:rFonts w:ascii="Times New Roman" w:hAnsi="Times New Roman" w:cs="Times New Roman"/>
          <w:sz w:val="24"/>
          <w:szCs w:val="24"/>
        </w:rPr>
        <w:t xml:space="preserve"> grid modernization across Europe</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{"citationItems":[{"id":"ITEM-1","itemData":{"author":[{"dropping-particle":"","family":"Yiwe","given":"Zhang","non-dropping-particle":"","parse-names":false,"suffix":""}],"container-title":"Power System and Clean Energy","id":"ITEM-1","issued":{"date-parts":[["2014"]]},"title":"Direction of Research and Innovation in the Development of European Power Grid","type":"article-journal"},"uris":["http://www.mendeley.com/documents/?uuid=0f3e9d67-35a3-3e89-b295-aae168536997"]}],"mendeley":{"formattedCitation":"[9]","plainTextFormattedCitation":"[9]","previouslyFormattedCitation":"[9]"},"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[9]</w:t>
      </w:r>
      <w:r w:rsidR="00A705BC" w:rsidRPr="003676D3">
        <w:rPr>
          <w:rFonts w:ascii="Times New Roman" w:hAnsi="Times New Roman" w:cs="Times New Roman"/>
          <w:sz w:val="24"/>
          <w:szCs w:val="24"/>
        </w:rPr>
        <w:fldChar w:fldCharType="end"/>
      </w:r>
      <w:r w:rsidR="00CE6578" w:rsidRPr="003676D3">
        <w:rPr>
          <w:rFonts w:ascii="Times New Roman" w:hAnsi="Times New Roman" w:cs="Times New Roman"/>
          <w:sz w:val="24"/>
          <w:szCs w:val="24"/>
        </w:rPr>
        <w:t xml:space="preserve">. </w:t>
      </w:r>
    </w:p>
    <w:p w14:paraId="3526C72C" w14:textId="567D972B" w:rsidR="00CE6578" w:rsidRPr="003676D3" w:rsidRDefault="00FB40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Our study aims to provide both an overview and a critical assessment of the actions undertaken by the </w:t>
      </w:r>
      <w:r w:rsidR="00724DEC" w:rsidRPr="003676D3">
        <w:rPr>
          <w:rFonts w:ascii="Times New Roman" w:hAnsi="Times New Roman" w:cs="Times New Roman"/>
          <w:sz w:val="24"/>
          <w:szCs w:val="24"/>
        </w:rPr>
        <w:t>EU</w:t>
      </w:r>
      <w:r w:rsidRPr="003676D3">
        <w:rPr>
          <w:rFonts w:ascii="Times New Roman" w:hAnsi="Times New Roman" w:cs="Times New Roman"/>
          <w:sz w:val="24"/>
          <w:szCs w:val="24"/>
        </w:rPr>
        <w:t xml:space="preserve"> to transform the grids into the foundation of a decarbonized electricity system. It proposes that for an aggressive and effective deployment of super smart grids, the existing regulatory framework must be </w:t>
      </w:r>
      <w:r w:rsidR="004B1918" w:rsidRPr="003676D3">
        <w:rPr>
          <w:rFonts w:ascii="Times New Roman" w:hAnsi="Times New Roman" w:cs="Times New Roman"/>
          <w:sz w:val="24"/>
          <w:szCs w:val="24"/>
        </w:rPr>
        <w:t>re-evaluated,</w:t>
      </w:r>
      <w:r w:rsidR="00724DEC" w:rsidRPr="003676D3">
        <w:rPr>
          <w:rFonts w:ascii="Times New Roman" w:hAnsi="Times New Roman" w:cs="Times New Roman"/>
          <w:sz w:val="24"/>
          <w:szCs w:val="24"/>
        </w:rPr>
        <w:t xml:space="preserve"> and it is imperative to incorporate the enabling technologies</w:t>
      </w:r>
      <w:r w:rsidRPr="003676D3">
        <w:rPr>
          <w:rFonts w:ascii="Times New Roman" w:hAnsi="Times New Roman" w:cs="Times New Roman"/>
          <w:sz w:val="24"/>
          <w:szCs w:val="24"/>
        </w:rPr>
        <w:t>.</w:t>
      </w:r>
    </w:p>
    <w:p w14:paraId="05EE17F7" w14:textId="127C2981" w:rsidR="00C3384E" w:rsidRPr="003676D3" w:rsidRDefault="00C3384E"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1.1. Challenges of Conventional Grid</w:t>
      </w:r>
    </w:p>
    <w:p w14:paraId="1505F183" w14:textId="1B758AB8" w:rsidR="00C3384E" w:rsidRPr="003676D3" w:rsidRDefault="00C3384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Even the modern power systems are prone to challenges and achieving the national goal to accommodate the RE generation is still a problem for </w:t>
      </w:r>
      <w:r w:rsidR="004B1918" w:rsidRPr="003676D3">
        <w:rPr>
          <w:rFonts w:ascii="Times New Roman" w:hAnsi="Times New Roman" w:cs="Times New Roman"/>
          <w:sz w:val="24"/>
          <w:szCs w:val="24"/>
        </w:rPr>
        <w:t>policymakers</w:t>
      </w:r>
      <w:r w:rsidRPr="003676D3">
        <w:rPr>
          <w:rFonts w:ascii="Times New Roman" w:hAnsi="Times New Roman" w:cs="Times New Roman"/>
          <w:sz w:val="24"/>
          <w:szCs w:val="24"/>
        </w:rPr>
        <w:t xml:space="preserve"> and regulators. These challenges include maintaining stable power due to intermittency, cyber-attacks, supply-demand balance, lessen the peak-demand, uninterrupted supply and the management of digital devices</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{"citationItems":[{"id":"ITEM-1","itemData":{"DOI":"10.1002/ER.5033","ISSN":"1099114X","abstract":"In the modern world, only conventional energy resources cannot fulfil the growing energy demand. Electricity is a fundamental building block of a technological revolution. Today, most of the electricity demand is met by the burning of fossil fuels but at the cost of adverse environmental impact. In order to bridge the gap between electricity demand and supply, nonconventional and eco-friendly means of energy generation are considered. Renewable energy systems (RESs) offer an adequate solution to mitigate the challenges originated due to greenhouse gasses (GHG). However, they have an unpredictable power generation with specific site requirements. Grid integration of RESs may lead to new challenges related to power quality, reliability, power system stability, harmonics, subsynchronous oscillations (SSOs), power quality, and reactive power compensation. The integration with energy storage systems (ESSs) can reduce these complexities that arise due to the intermittent nature of RESs. In this paper, a comprehensive review of renewable energy sources has been presented. Application of ESSs in RESs and their development phase has been discussed. Role of ESSs in increasing lifetime, efficiency, and energy density of power system having RESs has been reviewed. Moreover, different techniques to solve the critical issues like low efficiency, harmonics, and inertia reduction in photovoltaic (PV) systems have been presented. Unlike most of the available review papers, this article also investigates the impact of FACTS technology in RESs-based power system using multitype flexible AC transmission system (FACTS) controllers. Three simulation models have been developed in MATLAB/Simulink. The results show that FACTS devices help to maintain the stability of RESs integrated power system. This review paper is believed to be of potential benefit for researchers from both the industry and academia to develop better understanding of challenges and solution techniques for REs-based power systems and future research dimensions in this area.","author":[{"dropping-particle":"","family":"Basit","given":"Muhammad Abdul","non-dropping-particle":"","parse-names":false,"suffix":""},{"dropping-particle":"","family":"Dilshad","given":"Saad","non-dropping-particle":"","parse-names":false,"suffix":""},{"dropping-particle":"","family":"Badar","given":"Rabiah","non-dropping-particle":"","parse-names":false,"suffix":""},{"dropping-particle":"","family":"Sami ur Rehman","given":"Syed Muhammad","non-dropping-particle":"","parse-names":false,"suffix":""}],"container-title":"International Journal of Energy Research","id":"ITEM-1","issue":"6","issued":{"date-parts":[["2020","5","1"]]},"page":"4132-4162","publisher":"John Wiley and Sons Ltd","title":"Limitations, challenges, and solution approaches in grid‐connected renewable energy systems","type":"article-journal","volume":"44"},"uris":["http://www.mendeley.com/documents/?uuid=b8e3f1c4-6630-33aa-a90d-c122d24ba2fb"]},{"id":"ITEM-2","itemData":{"DOI":"10.14445/22315381/IJETT-V37P232","author":[{"dropping-particle":"","family":"Christopher","given":"Alwin Vinifred","non-dropping-particle":"","parse-names":false,"suffix":""},{"dropping-particle":"","family":"Rex","given":"Sibiah","non-dropping-particle":"","parse-names":false,"suffix":""},{"dropping-particle":"","family":"Kumar.J","given":"Anish","non-dropping-particle":"","parse-names":false,"suffix":""}],"container-title":"International Journal of Engineering Trends and Technology","id":"ITEM-2","issue":"4","issued":{"date-parts":[["2016","7","25"]]},"page":"189-196","publisher":"Seventh Sense Research Group Journals","title":"Smart grid challenges and signal processing based solutions - A Literature survey","type":"article-journal","volume":"37"},"uris":["http://www.mendeley.com/documents/?uuid=c9b497d2-dd44-353d-805a-050d572ff978"]}],"mendeley":{"formattedCitation":"[10,11]","plainTextFormattedCitation":"[10,11]","previouslyFormattedCitation":"[10,11]"},"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[10,11]</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Hence, the need is to take a step further to develop a more resilient</w:t>
      </w:r>
      <w:r w:rsidR="001A1FD1" w:rsidRPr="003676D3">
        <w:rPr>
          <w:rFonts w:ascii="Times New Roman" w:hAnsi="Times New Roman" w:cs="Times New Roman"/>
          <w:sz w:val="24"/>
          <w:szCs w:val="24"/>
        </w:rPr>
        <w:t xml:space="preserve"> and reliable network with vitality metrics and simulations to prove their authenticity</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{"citationItems":[{"id":"ITEM-1","itemData":{"DOI":"10.1109/ACCESS.2021.3107492","ISSN":"21693536","abstract":"Power grids are cyber-physical systems and can be modelled as network systems where individual units (generators, busbars and loads) are interconnected through physical and cyber links. Network components (nodes/edges) may undergo intentional and/or random failures. In catastrophic cases, a failure initiating from a small set of these components can quickly propagate through the whole network, leading to a cascade of failures that might force a deep whole-grid blackout. Often network components have different vitality and protecting some is more critical than others. This manuscript aims to provide a focused overview of modelling power grids as complex networks and their resilience and reliability analysis. We also perform a critical review of vitality metrics and their precision in power grid resilience analysis. The review is accompanied by some simulations on benchmark and real power grids to show the applicability of these concepts in studying resilience.","author":[{"dropping-particle":"","family":"Amani","given":"Ali Moradi","non-dropping-particle":"","parse-names":false,"suffix":""},{"dropping-particle":"","family":"Jalili","given":"Mahdi","non-dropping-particle":"","parse-names":false,"suffix":""}],"container-title":"IEEE Access","id":"ITEM-1","issued":{"date-parts":[["2021"]]},"page":"119010-119031","publisher":"Institute of Electrical and Electronics Engineers Inc.","title":"Power Grids as Complex Networks: Resilience and Reliability Analysis","type":"article-journal","volume":"9"},"uris":["http://www.mendeley.com/documents/?uuid=ba2b27ad-ddee-32af-a579-40c9ebda3a88"]}],"mendeley":{"formattedCitation":"[12]","plainTextFormattedCitation":"[12]","previouslyFormattedCitation":"[12]"},"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[12]</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According to</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{"citationItems":[{"id":"ITEM-1","itemData":{"DOI":"10.1016/J.ENPOL.2012.04.065","ISSN":"0301-4215","abstract":"Many of the scenarios for decarbonising the European energy system involve the integration of large-scale and decentralised renewable energy sources, such as wind and solar power. However, such integration requires substantial and rapid improvements to the existing transmission grids. Using a mix of qualitative and quantitative methods, we analysed the opinions and views of stakeholders concerning the main barriers and solutions to this problem. The results suggest two conclusions. The first is that primary barriers to the currently needed level of grid expansion are not technical or financial, but the lack of appropriate regulatory frameworks and public acceptance. The second is that major changes are needed in the overall regulatory process, rather than simply minor modifications or improved implementation of existing regulations. © 2012 Elsevier Ltd.","author":[{"dropping-particle":"","family":"Battaglini","given":"Antonella","non-dropping-particle":"","parse-names":false,"suffix":""},{"dropping-particle":"","family":"Komendantova","given":"Nadejda","non-dropping-particle":"","parse-names":false,"suffix":""},{"dropping-particle":"","family":"Brtnik","given":"Patricia","non-dropping-particle":"","parse-names":false,"suffix":""},{"dropping-particle":"","family":"Patt","given":"Anthony","non-dropping-particle":"","parse-names":false,"suffix":""}],"container-title":"Energy Policy","id":"ITEM-1","issued":{"date-parts":[["2012","8","1"]]},"page":"254-259","publisher":"Elsevier","title":"Perception of barriers for expansion of electricity grids in the European Union","type":"article-journal","volume":"47"},"uris":["http://www.mendeley.com/documents/?uuid=34f43e59-53e1-3583-807e-e74e5cb076e7"]}],"mendeley":{"formattedCitation":"[13]","plainTextFormattedCitation":"[13]","previouslyFormattedCitation":"[13]"},"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[13]</w:t>
      </w:r>
      <w:r w:rsidR="00A705BC" w:rsidRPr="003676D3">
        <w:rPr>
          <w:rFonts w:ascii="Times New Roman" w:hAnsi="Times New Roman" w:cs="Times New Roman"/>
          <w:sz w:val="24"/>
          <w:szCs w:val="24"/>
        </w:rPr>
        <w:fldChar w:fldCharType="end"/>
      </w:r>
      <w:r w:rsidR="00A705BC" w:rsidRPr="003676D3">
        <w:rPr>
          <w:rFonts w:ascii="Times New Roman" w:hAnsi="Times New Roman" w:cs="Times New Roman"/>
          <w:sz w:val="24"/>
          <w:szCs w:val="24"/>
        </w:rPr>
        <w:t xml:space="preserve"> </w:t>
      </w:r>
      <w:r w:rsidRPr="003676D3">
        <w:rPr>
          <w:rFonts w:ascii="Times New Roman" w:hAnsi="Times New Roman" w:cs="Times New Roman"/>
          <w:sz w:val="24"/>
          <w:szCs w:val="24"/>
        </w:rPr>
        <w:t>the foremost obstacle in achieving the required grid expansion do not stem from technical or financial constraints but are primarily associated with the absence of apt regulatory frameworks and constrained public acceptance. Moreover,</w:t>
      </w:r>
      <w:r w:rsidR="002C2F33" w:rsidRPr="003676D3">
        <w:rPr>
          <w:rFonts w:ascii="Times New Roman" w:hAnsi="Times New Roman" w:cs="Times New Roman"/>
          <w:sz w:val="24"/>
          <w:szCs w:val="24"/>
        </w:rPr>
        <w:t xml:space="preserve"> to address</w:t>
      </w:r>
      <w:r w:rsidRPr="003676D3">
        <w:rPr>
          <w:rFonts w:ascii="Times New Roman" w:hAnsi="Times New Roman" w:cs="Times New Roman"/>
          <w:sz w:val="24"/>
          <w:szCs w:val="24"/>
        </w:rPr>
        <w:t xml:space="preserve"> </w:t>
      </w:r>
      <w:r w:rsidR="002C2F33" w:rsidRPr="003676D3">
        <w:rPr>
          <w:rFonts w:ascii="Times New Roman" w:hAnsi="Times New Roman" w:cs="Times New Roman"/>
          <w:sz w:val="24"/>
          <w:szCs w:val="24"/>
        </w:rPr>
        <w:t>this issue</w:t>
      </w:r>
      <w:r w:rsidRPr="003676D3">
        <w:rPr>
          <w:rFonts w:ascii="Times New Roman" w:hAnsi="Times New Roman" w:cs="Times New Roman"/>
          <w:sz w:val="24"/>
          <w:szCs w:val="24"/>
        </w:rPr>
        <w:t xml:space="preserve"> substantial modifications</w:t>
      </w:r>
      <w:r w:rsidR="002C2F33" w:rsidRPr="003676D3">
        <w:rPr>
          <w:rFonts w:ascii="Times New Roman" w:hAnsi="Times New Roman" w:cs="Times New Roman"/>
          <w:sz w:val="24"/>
          <w:szCs w:val="24"/>
        </w:rPr>
        <w:t xml:space="preserve"> are required</w:t>
      </w:r>
      <w:r w:rsidRPr="003676D3">
        <w:rPr>
          <w:rFonts w:ascii="Times New Roman" w:hAnsi="Times New Roman" w:cs="Times New Roman"/>
          <w:sz w:val="24"/>
          <w:szCs w:val="24"/>
        </w:rPr>
        <w:t xml:space="preserve"> in the </w:t>
      </w:r>
      <w:r w:rsidR="002C2F33" w:rsidRPr="003676D3">
        <w:rPr>
          <w:rFonts w:ascii="Times New Roman" w:hAnsi="Times New Roman" w:cs="Times New Roman"/>
          <w:sz w:val="24"/>
          <w:szCs w:val="24"/>
        </w:rPr>
        <w:t>existing</w:t>
      </w:r>
      <w:r w:rsidRPr="003676D3">
        <w:rPr>
          <w:rFonts w:ascii="Times New Roman" w:hAnsi="Times New Roman" w:cs="Times New Roman"/>
          <w:sz w:val="24"/>
          <w:szCs w:val="24"/>
        </w:rPr>
        <w:t xml:space="preserve"> regulatory process rather than </w:t>
      </w:r>
      <w:r w:rsidR="002C2F33" w:rsidRPr="003676D3">
        <w:rPr>
          <w:rFonts w:ascii="Times New Roman" w:hAnsi="Times New Roman" w:cs="Times New Roman"/>
          <w:sz w:val="24"/>
          <w:szCs w:val="24"/>
        </w:rPr>
        <w:t>small</w:t>
      </w:r>
      <w:r w:rsidRPr="003676D3">
        <w:rPr>
          <w:rFonts w:ascii="Times New Roman" w:hAnsi="Times New Roman" w:cs="Times New Roman"/>
          <w:sz w:val="24"/>
          <w:szCs w:val="24"/>
        </w:rPr>
        <w:t xml:space="preserve"> amendments or j</w:t>
      </w:r>
      <w:r w:rsidR="001A1FD1" w:rsidRPr="003676D3">
        <w:rPr>
          <w:rFonts w:ascii="Times New Roman" w:hAnsi="Times New Roman" w:cs="Times New Roman"/>
          <w:sz w:val="24"/>
          <w:szCs w:val="24"/>
        </w:rPr>
        <w:t>ust improving the current</w:t>
      </w:r>
      <w:r w:rsidRPr="003676D3">
        <w:rPr>
          <w:rFonts w:ascii="Times New Roman" w:hAnsi="Times New Roman" w:cs="Times New Roman"/>
          <w:sz w:val="24"/>
          <w:szCs w:val="24"/>
        </w:rPr>
        <w:t xml:space="preserve"> regulations.</w:t>
      </w:r>
    </w:p>
    <w:p w14:paraId="5F17A1AC" w14:textId="05006A3E" w:rsidR="00C3384E" w:rsidRPr="003676D3" w:rsidRDefault="00C3384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response to these challenges, the smart grids</w:t>
      </w:r>
      <w:r w:rsidR="002C2F33" w:rsidRPr="003676D3">
        <w:rPr>
          <w:rFonts w:ascii="Times New Roman" w:hAnsi="Times New Roman" w:cs="Times New Roman"/>
          <w:sz w:val="24"/>
          <w:szCs w:val="24"/>
        </w:rPr>
        <w:t>’ concept</w:t>
      </w:r>
      <w:r w:rsidRPr="003676D3">
        <w:rPr>
          <w:rFonts w:ascii="Times New Roman" w:hAnsi="Times New Roman" w:cs="Times New Roman"/>
          <w:sz w:val="24"/>
          <w:szCs w:val="24"/>
        </w:rPr>
        <w:t xml:space="preserve"> has emerged as a strategic framework</w:t>
      </w:r>
      <w:r w:rsidR="002C2F33" w:rsidRPr="003676D3">
        <w:rPr>
          <w:rFonts w:ascii="Times New Roman" w:hAnsi="Times New Roman" w:cs="Times New Roman"/>
          <w:sz w:val="24"/>
          <w:szCs w:val="24"/>
        </w:rPr>
        <w:t>, which could</w:t>
      </w:r>
      <w:r w:rsidRPr="003676D3">
        <w:rPr>
          <w:rFonts w:ascii="Times New Roman" w:hAnsi="Times New Roman" w:cs="Times New Roman"/>
          <w:sz w:val="24"/>
          <w:szCs w:val="24"/>
        </w:rPr>
        <w:t xml:space="preserve"> enhance the efficiency and resilience of </w:t>
      </w:r>
      <w:r w:rsidR="00845D6E" w:rsidRPr="003676D3">
        <w:rPr>
          <w:rFonts w:ascii="Times New Roman" w:hAnsi="Times New Roman" w:cs="Times New Roman"/>
          <w:sz w:val="24"/>
          <w:szCs w:val="24"/>
        </w:rPr>
        <w:t xml:space="preserve">the </w:t>
      </w:r>
      <w:r w:rsidRPr="003676D3">
        <w:rPr>
          <w:rFonts w:ascii="Times New Roman" w:hAnsi="Times New Roman" w:cs="Times New Roman"/>
          <w:sz w:val="24"/>
          <w:szCs w:val="24"/>
        </w:rPr>
        <w:t>electricity systems</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{"citationItems":[{"id":"ITEM-1","itemData":{"DOI":"10.1016/J.ENBUILD.2015.12.033","ISSN":"03787788","abstract":"Abstract The smart grids are modern electric power grid infrastructure for enhanced efficiency and reliability through automated control, high-power converters, modern communications infrastructure, sensing and metering technologies, and modern energy management techniques based on the optimization of demand, energy and network availability. The role of buildings in this framework is very crucial. This paper addresses critical issues on smart grid technologies and the integration of buildings in this new power grid framework. The main objective of this paper is to provide a contemporary look at the current state of the art in the potential of buildings and communities to be integrated in smart grids as well as to discuss the still-open research issues in this field. The challenges for the building sector are discussed and future research prospects are analysed.","author":[{"dropping-particle":"","family":"Kolokotsa","given":"Dionysia","non-dropping-particle":"","parse-names":false,"suffix":""}],"container-title":"Energy and Buildings","id":"ITEM-1","issued":{"date-parts":[["2016","3","15"]]},"page":"703-708","publisher":"Elsevier Ltd","title":"The role of smart grids in the building sector","type":"article-journal","volume":"116"},"uris":["http://www.mendeley.com/documents/?uuid=27cb60e5-23e2-33c1-ab06-00b1db80c503"]}],"mendeley":{"formattedCitation":"[14]","plainTextFormattedCitation":"[14]","previouslyFormattedCitation":"[14]"},"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[14]</w:t>
      </w:r>
      <w:r w:rsidR="00A705BC"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845D6E" w:rsidRPr="003676D3">
        <w:rPr>
          <w:rFonts w:ascii="Times New Roman" w:hAnsi="Times New Roman" w:cs="Times New Roman"/>
          <w:sz w:val="24"/>
          <w:szCs w:val="24"/>
        </w:rPr>
        <w:t>Super</w:t>
      </w:r>
      <w:r w:rsidRPr="003676D3">
        <w:rPr>
          <w:rFonts w:ascii="Times New Roman" w:hAnsi="Times New Roman" w:cs="Times New Roman"/>
          <w:sz w:val="24"/>
          <w:szCs w:val="24"/>
        </w:rPr>
        <w:t xml:space="preserve"> Smart </w:t>
      </w:r>
      <w:r w:rsidR="00845D6E" w:rsidRPr="003676D3">
        <w:rPr>
          <w:rFonts w:ascii="Times New Roman" w:hAnsi="Times New Roman" w:cs="Times New Roman"/>
          <w:sz w:val="24"/>
          <w:szCs w:val="24"/>
        </w:rPr>
        <w:t>G</w:t>
      </w:r>
      <w:r w:rsidRPr="003676D3">
        <w:rPr>
          <w:rFonts w:ascii="Times New Roman" w:hAnsi="Times New Roman" w:cs="Times New Roman"/>
          <w:sz w:val="24"/>
          <w:szCs w:val="24"/>
        </w:rPr>
        <w:t xml:space="preserve">rids </w:t>
      </w:r>
      <w:r w:rsidR="00845D6E" w:rsidRPr="003676D3">
        <w:rPr>
          <w:rFonts w:ascii="Times New Roman" w:hAnsi="Times New Roman" w:cs="Times New Roman"/>
          <w:sz w:val="24"/>
          <w:szCs w:val="24"/>
        </w:rPr>
        <w:t>works</w:t>
      </w:r>
      <w:r w:rsidRPr="003676D3">
        <w:rPr>
          <w:rFonts w:ascii="Times New Roman" w:hAnsi="Times New Roman" w:cs="Times New Roman"/>
          <w:sz w:val="24"/>
          <w:szCs w:val="24"/>
        </w:rPr>
        <w:t xml:space="preserve"> to </w:t>
      </w:r>
      <w:r w:rsidR="00845D6E" w:rsidRPr="003676D3">
        <w:rPr>
          <w:rFonts w:ascii="Times New Roman" w:hAnsi="Times New Roman" w:cs="Times New Roman"/>
          <w:sz w:val="24"/>
          <w:szCs w:val="24"/>
        </w:rPr>
        <w:t>ease</w:t>
      </w:r>
      <w:r w:rsidRPr="003676D3">
        <w:rPr>
          <w:rFonts w:ascii="Times New Roman" w:hAnsi="Times New Roman" w:cs="Times New Roman"/>
          <w:sz w:val="24"/>
          <w:szCs w:val="24"/>
        </w:rPr>
        <w:t xml:space="preserve"> the integration of decentralized electricity </w:t>
      </w:r>
      <w:r w:rsidR="00845D6E" w:rsidRPr="003676D3">
        <w:rPr>
          <w:rFonts w:ascii="Times New Roman" w:hAnsi="Times New Roman" w:cs="Times New Roman"/>
          <w:sz w:val="24"/>
          <w:szCs w:val="24"/>
        </w:rPr>
        <w:t xml:space="preserve">generation </w:t>
      </w:r>
      <w:r w:rsidRPr="003676D3">
        <w:rPr>
          <w:rFonts w:ascii="Times New Roman" w:hAnsi="Times New Roman" w:cs="Times New Roman"/>
          <w:sz w:val="24"/>
          <w:szCs w:val="24"/>
        </w:rPr>
        <w:t>technologies</w:t>
      </w:r>
      <w:r w:rsidR="00845D6E" w:rsidRPr="003676D3">
        <w:rPr>
          <w:rFonts w:ascii="Times New Roman" w:hAnsi="Times New Roman" w:cs="Times New Roman"/>
          <w:sz w:val="24"/>
          <w:szCs w:val="24"/>
        </w:rPr>
        <w:t xml:space="preserve"> and also</w:t>
      </w:r>
      <w:r w:rsidRPr="003676D3">
        <w:rPr>
          <w:rFonts w:ascii="Times New Roman" w:hAnsi="Times New Roman" w:cs="Times New Roman"/>
          <w:sz w:val="24"/>
          <w:szCs w:val="24"/>
        </w:rPr>
        <w:t xml:space="preserve"> focu</w:t>
      </w:r>
      <w:r w:rsidR="00845D6E" w:rsidRPr="003676D3">
        <w:rPr>
          <w:rFonts w:ascii="Times New Roman" w:hAnsi="Times New Roman" w:cs="Times New Roman"/>
          <w:sz w:val="24"/>
          <w:szCs w:val="24"/>
        </w:rPr>
        <w:t>s</w:t>
      </w:r>
      <w:r w:rsidRPr="003676D3">
        <w:rPr>
          <w:rFonts w:ascii="Times New Roman" w:hAnsi="Times New Roman" w:cs="Times New Roman"/>
          <w:sz w:val="24"/>
          <w:szCs w:val="24"/>
        </w:rPr>
        <w:t xml:space="preserve"> on system operation</w:t>
      </w:r>
      <w:r w:rsidR="00845D6E" w:rsidRPr="003676D3">
        <w:rPr>
          <w:rFonts w:ascii="Times New Roman" w:hAnsi="Times New Roman" w:cs="Times New Roman"/>
          <w:sz w:val="24"/>
          <w:szCs w:val="24"/>
        </w:rPr>
        <w:t xml:space="preserve"> and</w:t>
      </w:r>
      <w:r w:rsidRPr="003676D3">
        <w:rPr>
          <w:rFonts w:ascii="Times New Roman" w:hAnsi="Times New Roman" w:cs="Times New Roman"/>
          <w:sz w:val="24"/>
          <w:szCs w:val="24"/>
        </w:rPr>
        <w:t xml:space="preserve"> transmission across national and international grids. </w:t>
      </w:r>
    </w:p>
    <w:p w14:paraId="1FA0B2E0" w14:textId="4C406B43" w:rsidR="00754013" w:rsidRPr="003676D3" w:rsidRDefault="00845D6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S</w:t>
      </w:r>
      <w:r w:rsidR="00754013" w:rsidRPr="003676D3">
        <w:rPr>
          <w:rFonts w:ascii="Times New Roman" w:hAnsi="Times New Roman" w:cs="Times New Roman"/>
          <w:sz w:val="24"/>
          <w:szCs w:val="24"/>
        </w:rPr>
        <w:t>mart grid</w:t>
      </w:r>
      <w:r w:rsidRPr="003676D3">
        <w:rPr>
          <w:rFonts w:ascii="Times New Roman" w:hAnsi="Times New Roman" w:cs="Times New Roman"/>
          <w:sz w:val="24"/>
          <w:szCs w:val="24"/>
        </w:rPr>
        <w:t>s being highly adaptable and versatile</w:t>
      </w:r>
      <w:r w:rsidR="00754013" w:rsidRPr="003676D3">
        <w:rPr>
          <w:rFonts w:ascii="Times New Roman" w:hAnsi="Times New Roman" w:cs="Times New Roman"/>
          <w:sz w:val="24"/>
          <w:szCs w:val="24"/>
        </w:rPr>
        <w:t xml:space="preserve"> can be </w:t>
      </w:r>
      <w:r w:rsidRPr="003676D3">
        <w:rPr>
          <w:rFonts w:ascii="Times New Roman" w:hAnsi="Times New Roman" w:cs="Times New Roman"/>
          <w:sz w:val="24"/>
          <w:szCs w:val="24"/>
        </w:rPr>
        <w:t>modified</w:t>
      </w:r>
      <w:r w:rsidR="00754013" w:rsidRPr="003676D3">
        <w:rPr>
          <w:rFonts w:ascii="Times New Roman" w:hAnsi="Times New Roman" w:cs="Times New Roman"/>
          <w:sz w:val="24"/>
          <w:szCs w:val="24"/>
        </w:rPr>
        <w:t xml:space="preserve"> according to specific applications. However, a consensus exists regarding its fundamental attributes, which serve as foundational pillars in grasping its transformative potential</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A705BC" w:rsidRPr="003676D3">
        <w:rPr>
          <w:rFonts w:ascii="Times New Roman" w:hAnsi="Times New Roman" w:cs="Times New Roman"/>
          <w:sz w:val="24"/>
          <w:szCs w:val="24"/>
        </w:rPr>
        <w:instrText>ADDIN CSL_CITATION {"citationItems":[{"id":"ITEM-1","itemData":{"DOI":"10.1109/TSG.2013.2265264","ISSN":"19493053","abstract":"Smart grid can be defined as a modern electric power grid infrastructure for improved efficiency, reliability and safety, with smooth integration of renewable and alternative energy sources through automated control and modern communications technologies. The increase need for more effective power electrical systems control turned the development of smart grids, the main object of study for many researchers. This paper proposes a digital system for condition monitoring, diagnosis and supervisory control applied to smart grids. The system is based on hybrid network architecture (HNA), consisting of a wired infrastructure, a wireless sensor network (WSN), a power line communications (PLC) and a controller area network (CAN). The system is based on three hardware topologies: remote data acquisition units (RDAUs), intelligent sensors modules (ISMs) and a PLC modem. The basic characteristics are: a) easy/low cost implementation, b) easy to set up by user, c) easy implementation of redundant routines (security), d) portability/versatility, and e) open system. To validate the developed system, it was implanted in one underground electric substation power distribution, characterized as an extremely hostile environment for supervisory control applications. In this application, the main challenge is to establish a communication system installed inside the substation with the outside (operations center-OC) considering that there are not commercial solutions appropriate to solve completely this problem.","author":[{"dropping-particle":"","family":"Salvadori","given":"F.","non-dropping-particle":"","parse-names":false,"suffix":""},{"dropping-particle":"","family":"Gehrke","given":"C. S.","non-dropping-particle":"","parse-names":false,"suffix":""},{"dropping-particle":"","family":"Oliveira","given":"A. C.","non-dropping-particle":"De","parse-names":false,"suffix":""},{"dropping-particle":"","family":"Campos","given":"M.","non-dropping-particle":"De","parse-names":false,"suffix":""},{"dropping-particle":"","family":"Sausen","given":"P. S.","non-dropping-particle":"","parse-names":false,"suffix":""}],"container-title":"IEEE Transactions on Smart Grid","id":"ITEM-1","issue":"3","issued":{"date-parts":[["2013"]]},"page":"1630-1639","title":"Smart Grid Infrastructure Using a Hybrid Network Architecture","type":"article-journal","volume":"4"},"uris":["http://www.mendeley.com/documents/?uuid=ce45721f-e385-3a22-9533-8c044cc27649"]},{"id":"ITEM-2","itemData":{"DOI":"10.1109/JPROC.2015.2503119","ISSN":"15582256","abstract":"Smart grids are electric networks that employ advanced monitoring, control, and communication technologies to deliver reliable and secure energy supply, enhance operation efficiency for generators and distributors, and provide flexible choices for prosumers. Smart grids are a combination of complex physical network systems and cyber systems that face many technological challenges. In this paper, we will first present an overview of these challenges in the context of cyber-physical systems. We will then outline potential contributions that cyber-physical systems can make to smart grids, as well as the challenges that smart grids present to cyber-physical systems. Finally, implications of current technological advances to smart grids are outlined.","author":[{"dropping-particle":"","family":"Yu","given":"Xinghuo","non-dropping-particle":"","parse-names":false,"suffix":""},{"dropping-particle":"","family":"Xue","given":"Yusheng","non-dropping-particle":"","parse-names":false,"suffix":""}],"container-title":"Proceedings of the IEEE","id":"ITEM-2","issue":"5","issued":{"date-parts":[["2016","5","1"]]},"page":"1058-1070","publisher":"Institute of Electrical and Electronics Engineers Inc.","title":"Smart Grids: A Cyber–Physical Systems Perspective","type":"article-journal","volume":"104"},"uris":["http://www.mendeley.com/documents/?uuid=b4b817f5-314c-3d7d-ae28-953d7bc18a07"]},{"id":"ITEM-3","itemData":{"DOI":"10.1016/J.RENENE.2019.08.092","ISSN":"18790682","abstract":"The Smart Grid is an advanced digital two-way power flow power system capable of self-healing, adaptive, resilient and sustainable with foresight for prediction under different uncertainties. In this paper, a survey on various Smart Grid enabling technologies, Smart Grid metering and communication, cloud computing in Smart Grid and Smart Grid applications are explored in detail. Opportunities and future of Smart Grid is also described in this paper. For Smart grid enabling technologies Smart meters, smart sensors, vehicle to grid, plug in hybrid electric vehicle technology, sensor and actuator networks are explored. Advanced metering infrastructure, intelligent electronic devices, phasor measurement units, wide area measurement systems, local area network, home access network, neighborhood area network, wide area networks and cloud computing are explored for Smart Grid metering and communication. Home and building automation, smart substation, feeder automation is explored for smart grid applications. Associations of initial studies for the next step in smart grid applications will provide an economic benefit for the authorities in the long term, and will help to establish standards to be compatible with every application so that all smart grid applications can be coordinated under the control of the same authorities. Therefore, this study is expected to be an important guiding source for researchers and engineers studying the smart grid. It also helps transmission and distribution system operators to follow the right path as they are transforming their classical grids to smart grids.","author":[{"dropping-particle":"","family":"Dileep","given":"G.","non-dropping-particle":"","parse-names":false,"suffix":""}],"container-title":"Renewable Energy","id":"ITEM-3","issued":{"date-parts":[["2020","2","1"]]},"page":"2589-2625","publisher":"Elsevier Ltd","title":"A survey on smart grid technologies and applications","type":"article-journal","volume":"146"},"uris":["http://www.mendeley.com/documents/?uuid=9c562195-5089-3fba-a978-157c445700ba"]}],"mendeley":{"formattedCitation":"[15–17]","plainTextFormattedCitation":"[15–17]","previouslyFormattedCitation":"[15–17]"},"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[15–17]</w:t>
      </w:r>
      <w:r w:rsidR="00A705BC" w:rsidRPr="003676D3">
        <w:rPr>
          <w:rFonts w:ascii="Times New Roman" w:hAnsi="Times New Roman" w:cs="Times New Roman"/>
          <w:sz w:val="24"/>
          <w:szCs w:val="24"/>
        </w:rPr>
        <w:fldChar w:fldCharType="end"/>
      </w:r>
      <w:r w:rsidR="00754013" w:rsidRPr="003676D3">
        <w:rPr>
          <w:rFonts w:ascii="Times New Roman" w:hAnsi="Times New Roman" w:cs="Times New Roman"/>
          <w:sz w:val="24"/>
          <w:szCs w:val="24"/>
        </w:rPr>
        <w:t xml:space="preserve">. Conceptually, the smart grid </w:t>
      </w:r>
      <w:r w:rsidR="0092012F" w:rsidRPr="003676D3">
        <w:rPr>
          <w:rFonts w:ascii="Times New Roman" w:hAnsi="Times New Roman" w:cs="Times New Roman"/>
          <w:sz w:val="24"/>
          <w:szCs w:val="24"/>
        </w:rPr>
        <w:t>are a</w:t>
      </w:r>
      <w:r w:rsidR="00754013" w:rsidRPr="003676D3">
        <w:rPr>
          <w:rFonts w:ascii="Times New Roman" w:hAnsi="Times New Roman" w:cs="Times New Roman"/>
          <w:sz w:val="24"/>
          <w:szCs w:val="24"/>
        </w:rPr>
        <w:t xml:space="preserve"> refined iteration of a power distribution system, augmented with renewable energy </w:t>
      </w:r>
      <w:r w:rsidR="00754013" w:rsidRPr="003676D3">
        <w:rPr>
          <w:rFonts w:ascii="Times New Roman" w:hAnsi="Times New Roman" w:cs="Times New Roman"/>
          <w:sz w:val="24"/>
          <w:szCs w:val="24"/>
        </w:rPr>
        <w:lastRenderedPageBreak/>
        <w:t xml:space="preserve">sources, </w:t>
      </w:r>
      <w:r w:rsidR="0092012F" w:rsidRPr="003676D3">
        <w:rPr>
          <w:rFonts w:ascii="Times New Roman" w:hAnsi="Times New Roman" w:cs="Times New Roman"/>
          <w:sz w:val="24"/>
          <w:szCs w:val="24"/>
        </w:rPr>
        <w:t>power electronic devices and advanced automation</w:t>
      </w:r>
      <w:r w:rsidR="00754013" w:rsidRPr="003676D3">
        <w:rPr>
          <w:rFonts w:ascii="Times New Roman" w:hAnsi="Times New Roman" w:cs="Times New Roman"/>
          <w:sz w:val="24"/>
          <w:szCs w:val="24"/>
        </w:rPr>
        <w:t>. More recently, there has been a conceptual evolution of smart grids as clusters of interconnected microgrids</w:t>
      </w:r>
      <w:r w:rsidR="0092012F" w:rsidRPr="003676D3">
        <w:rPr>
          <w:rFonts w:ascii="Times New Roman" w:hAnsi="Times New Roman" w:cs="Times New Roman"/>
          <w:sz w:val="24"/>
          <w:szCs w:val="24"/>
        </w:rPr>
        <w:t xml:space="preserve"> and being labelled as cyber-physical systems </w:t>
      </w:r>
      <w:r w:rsidR="00A705BC" w:rsidRPr="003676D3">
        <w:rPr>
          <w:rFonts w:ascii="Times New Roman" w:hAnsi="Times New Roman" w:cs="Times New Roman"/>
          <w:sz w:val="24"/>
          <w:szCs w:val="24"/>
        </w:rPr>
        <w:t xml:space="preserve"> </w:t>
      </w:r>
      <w:r w:rsidR="00A705BC" w:rsidRPr="003676D3">
        <w:rPr>
          <w:rFonts w:ascii="Times New Roman" w:hAnsi="Times New Roman" w:cs="Times New Roman"/>
          <w:sz w:val="24"/>
          <w:szCs w:val="24"/>
        </w:rPr>
        <w:fldChar w:fldCharType="begin" w:fldLock="1"/>
      </w:r>
      <w:r w:rsidR="006C31FB" w:rsidRPr="003676D3">
        <w:rPr>
          <w:rFonts w:ascii="Times New Roman" w:hAnsi="Times New Roman" w:cs="Times New Roman"/>
          <w:sz w:val="24"/>
          <w:szCs w:val="24"/>
        </w:rPr>
        <w:instrText>ADDIN CSL_CITATION {"citationItems":[{"id":"ITEM-1","itemData":{"DOI":"10.1016/J.RSER.2023.113185","ISSN":"1364-0321","abstract":"With its potentially disruptive nature, the smart grid can be viewed from both a transformational and an innovation systems perspective. Synthesising these, a research approach is adopted in which a Technological Innovation System (TIS) analysis is combined with a transformational perspective to identify a broader range of success and failure factors. This study analyses smart grid innovation system development. The main research question is: What systemic and transformational failures are identified in the development of smart grid innovation in the Netherlands from 2001 to 2021 by combining TIS and a transformational perspective? The question is answered by mapping the events to TIS functions and identifying both ‘systemic failures’ and ‘transformational failures’. Transformational failures are linked to events outside the smart grid TIS that work against the alignment and harmonising of activities within the TIS. Results show that the smart grid innovation system experienced three periods and that it suffers from various structural and transformational failures. TIS functions like knowledge diffusion, and the creation of legitimacy were only fulfilled to a limited extent. Consequently, smart grid innovation is currently still not considered a mainstream technology in the energy transition, and there is little attention to the role of end-users. The study ends with suggestions for future research, including the suitability of the research approach for other contexts and when applied to other energy system innovations.","author":[{"dropping-particle":"","family":"Norouzi","given":"F.","non-dropping-particle":"","parse-names":false,"suffix":""},{"dropping-particle":"","family":"Hoppe","given":"T.","non-dropping-particle":"","parse-names":false,"suffix":""},{"dropping-particle":"","family":"Kamp","given":"L. M.","non-dropping-particle":"","parse-names":false,"suffix":""},{"dropping-particle":"","family":"Manktelow","given":"C.","non-dropping-particle":"","parse-names":false,"suffix":""},{"dropping-particle":"","family":"Bauer","given":"P.","non-dropping-particle":"","parse-names":false,"suffix":""}],"container-title":"Renewable and Sustainable Energy Reviews","id":"ITEM-1","issued":{"date-parts":[["2023","4","1"]]},"page":"113185","publisher":"Pergamon","title":"Diagnosis of the implementation of smart grid innovation in The Netherlands and corrective actions","type":"article-journal","volume":"175"},"uris":["http://www.mendeley.com/documents/?uuid=351964e1-9231-342c-9c47-2274e33a90e6"]}],"mendeley":{"formattedCitation":"[18]","plainTextFormattedCitation":"[18]","previouslyFormattedCitation":"[18]"},"properties":{"noteIndex":0},"schema":"https://github.com/citation-style-language/schema/raw/master/csl-citation.json"}</w:instrText>
      </w:r>
      <w:r w:rsidR="00A705BC" w:rsidRPr="003676D3">
        <w:rPr>
          <w:rFonts w:ascii="Times New Roman" w:hAnsi="Times New Roman" w:cs="Times New Roman"/>
          <w:sz w:val="24"/>
          <w:szCs w:val="24"/>
        </w:rPr>
        <w:fldChar w:fldCharType="separate"/>
      </w:r>
      <w:r w:rsidR="00A705BC" w:rsidRPr="003676D3">
        <w:rPr>
          <w:rFonts w:ascii="Times New Roman" w:hAnsi="Times New Roman" w:cs="Times New Roman"/>
          <w:noProof/>
          <w:sz w:val="24"/>
          <w:szCs w:val="24"/>
        </w:rPr>
        <w:t>[18]</w:t>
      </w:r>
      <w:r w:rsidR="00A705BC" w:rsidRPr="003676D3">
        <w:rPr>
          <w:rFonts w:ascii="Times New Roman" w:hAnsi="Times New Roman" w:cs="Times New Roman"/>
          <w:sz w:val="24"/>
          <w:szCs w:val="24"/>
        </w:rPr>
        <w:fldChar w:fldCharType="end"/>
      </w:r>
      <w:r w:rsidR="00754013" w:rsidRPr="003676D3">
        <w:rPr>
          <w:rFonts w:ascii="Times New Roman" w:hAnsi="Times New Roman" w:cs="Times New Roman"/>
          <w:sz w:val="24"/>
          <w:szCs w:val="24"/>
        </w:rPr>
        <w:t>.</w:t>
      </w:r>
    </w:p>
    <w:p w14:paraId="6D77A826" w14:textId="2758DF62" w:rsidR="00D33CAB" w:rsidRPr="003676D3" w:rsidRDefault="00D33CA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Smart grids with bi-directional flow of energy and automacy exhibits both transformative and disruptive </w:t>
      </w:r>
      <w:r w:rsidR="006C31FB" w:rsidRPr="003676D3">
        <w:rPr>
          <w:rFonts w:ascii="Times New Roman" w:hAnsi="Times New Roman" w:cs="Times New Roman"/>
          <w:sz w:val="24"/>
          <w:szCs w:val="24"/>
        </w:rPr>
        <w:t>characteristics</w:t>
      </w:r>
      <w:r w:rsidRPr="003676D3">
        <w:rPr>
          <w:rFonts w:ascii="Times New Roman" w:hAnsi="Times New Roman" w:cs="Times New Roman"/>
          <w:sz w:val="24"/>
          <w:szCs w:val="24"/>
        </w:rPr>
        <w:t xml:space="preserve">. The now emerging ownership models with decentralised generation require </w:t>
      </w:r>
      <w:r w:rsidR="006C31FB" w:rsidRPr="003676D3">
        <w:rPr>
          <w:rFonts w:ascii="Times New Roman" w:hAnsi="Times New Roman" w:cs="Times New Roman"/>
          <w:sz w:val="24"/>
          <w:szCs w:val="24"/>
        </w:rPr>
        <w:t>novel</w:t>
      </w:r>
      <w:r w:rsidRPr="003676D3">
        <w:rPr>
          <w:rFonts w:ascii="Times New Roman" w:hAnsi="Times New Roman" w:cs="Times New Roman"/>
          <w:sz w:val="24"/>
          <w:szCs w:val="24"/>
        </w:rPr>
        <w:t xml:space="preserve"> ways to balance demand and supply. The ownership can reside to single person or energy communities, which can influence the incumbent institutions and firms of the traditional grid, thereby disrupting the energy markets and offering support to newly emerged prosumers. This sort of disruption requires transition to upgraded technologies, such as those support direct trading, system balancing and improved demand response</w:t>
      </w:r>
      <w:r w:rsidR="006C31FB" w:rsidRPr="003676D3">
        <w:rPr>
          <w:rFonts w:ascii="Times New Roman" w:hAnsi="Times New Roman" w:cs="Times New Roman"/>
          <w:sz w:val="24"/>
          <w:szCs w:val="24"/>
        </w:rPr>
        <w:t xml:space="preserve"> </w:t>
      </w:r>
      <w:r w:rsidR="006C31FB" w:rsidRPr="003676D3">
        <w:rPr>
          <w:rFonts w:ascii="Times New Roman" w:hAnsi="Times New Roman" w:cs="Times New Roman"/>
          <w:sz w:val="24"/>
          <w:szCs w:val="24"/>
        </w:rPr>
        <w:fldChar w:fldCharType="begin" w:fldLock="1"/>
      </w:r>
      <w:r w:rsidR="006C31FB" w:rsidRPr="003676D3">
        <w:rPr>
          <w:rFonts w:ascii="Times New Roman" w:hAnsi="Times New Roman" w:cs="Times New Roman"/>
          <w:sz w:val="24"/>
          <w:szCs w:val="24"/>
        </w:rPr>
        <w:instrText>ADDIN CSL_CITATION {"citationItems":[{"id":"ITEM-1","itemData":{"DOI":"10.1016/j.enpol.2018.06.018","ISSN":"03014215","abstract":"The transformation of the electricity sector towards a sustainable energy supply and use has a disruptive potential for infrastructure and utilities. The spread of digital technologies, renewable energy, and prosumers requires a swift and well-guided adaptation of the electricity distribution industry to smart grid technologies and related business models. This paper, based on the large technical systems (LTS) conceptual framework, investigates the complex evolution and company and market design adaptation needs. Challenges and opportunities are analyzed through nine multi-stakeholder workshops, held in two EU member states (Germany and Portugal) in 2016–2017, engaging distribution system operators, researchers, academics, and integrated utility companies. The results indicate considerable uncertainty for distribution system operators regarding the value of large-scale smart meter rollouts. Also, a corporate culture with resistance to change is observed, challenging the integration of novel technologies and processes. Traditional regulation is seen as a barrier to smart grid investments, and is associated with job losses and knowledge destruction. Policy-makers can benefit from these insights on the dynamics of DSOs, which can contribute to public policy design and market reform which traditionally has often been mainly concerned about operational efficiency in a steady-state, stable economy.","author":[{"dropping-particle":"","family":"Pereira","given":"Guillermo Ivan","non-dropping-particle":"","parse-names":false,"suffix":""},{"dropping-particle":"","family":"Specht","given":"Jan Martin","non-dropping-particle":"","parse-names":false,"suffix":""},{"dropping-particle":"","family":"Silva","given":"Patrícia Pereira","non-dropping-particle":"","parse-names":false,"suffix":""},{"dropping-particle":"","family":"Madlener","given":"Reinhard","non-dropping-particle":"","parse-names":false,"suffix":""}],"container-title":"Energy Policy","id":"ITEM-1","issued":{"date-parts":[["2018","10","1"]]},"page":"426-440","publisher":"Elsevier Ltd","title":"Technology, business model, and market design adaptation toward smart electricity distribution: Insights for policy making","type":"article-journal","volume":"121"},"uris":["http://www.mendeley.com/documents/?uuid=8c6ecb6b-ab52-3c6a-ad34-9eb958dd1d62"]},{"id":"ITEM-2","itemData":{"DOI":"10.1016/J.JCLEPRO.2015.07.078","ISSN":"0959-6526","abstract":"Smart grids could revolutionize the electricity sector when they stimulate customer empowerment and allow new players such as ICT firms to participate. A key question is whether electricity firms would either benefit or lose from smart grid deployment, because their established business model might be at risk. This paper seeks to explain under which conditions smart grid deployment will have an enabling or a constraining effect on electricity firms' engagement in business model innovation. Critically reviewing existing studies on smart grids, the paper investigates the consequences of smart grid deployment on each of the elements of the business model: value creation, value delivery, and value capture. The main argument posited is that while there are many reasons to believe that electricity firms will embrace smart grids and innovate their business model to accommodate sustainable energy, there are still many uncertainties related to consumer engagement, government support, and new entrants that might induce them to wait with business model innovation until such uncertainties have been resolved. The paper contributes to the emerging literature on business models for smart grids by not only identifying factors that enable, but also those that inhibit the transition of electricity firms towards sustainable energy. In highlighting electricity firms' reasons to resist smart grid technology, the paper provides a more nuanced picture of the potential of smart grids to disrupt the long-standing business models in the electricity sector.","author":[{"dropping-particle":"","family":"Shomali","given":"Azadeh","non-dropping-particle":"","parse-names":false,"suffix":""},{"dropping-particle":"","family":"Pinkse","given":"Jonatan","non-dropping-particle":"","parse-names":false,"suffix":""}],"container-title":"Journal of Cleaner Production","id":"ITEM-2","issued":{"date-parts":[["2016","1","20"]]},"page":"3830-3841","publisher":"Elsevier","title":"The consequences of smart grids for the business model of electricity firms","type":"article-journal","volume":"112"},"uris":["http://www.mendeley.com/documents/?uuid=dc4d9575-694a-3f34-998a-76f54bd14ec4"]},{"id":"ITEM-3","itemData":{"DOI":"10.1016/j.rser.2016.10.047","ISSN":"18790690","abstract":"This paper provides a theoretical framework, based on New Institutional Economics (NIE) concepts, to guide the development of community microgrids. Given limited application thus far of such energy systems, this paper also draws on empirical studies and experiences from the planning and development of other public/community infrastructure and utility services in the development of this framework. It links an efficient ownership and governance structure with transactional characteristics such as asset idiosyncrasy, frequency, and uncertainty (defined in Section 3.1). The key role of the customers and the microgrid service provider, and more specifically their ‘bilateral monopoly’ relationship and its effects on the choice of institutional structure, is highlighted. The paper examines the optimum conditions for public, private or hybrid financial ownership, and for unified or network governance through long-term contracting. This allows ex-ante investment uncertainty and ex-post appropriation risks to be efficiently managed. The analysis suggests that long-term contract completeness, future demand for electricity and level of uncertainty are the determining factors in the selection of institutional structure. This has significant real-world implications for the communities seeking to achieve electricity self-sufficiency and environmental benefits through community microgrids, service providers and other private or public actors.","author":[{"dropping-particle":"","family":"Gui","given":"Emi Minghui","non-dropping-particle":"","parse-names":false,"suffix":""},{"dropping-particle":"","family":"Diesendorf","given":"Mark","non-dropping-particle":"","parse-names":false,"suffix":""},{"dropping-particle":"","family":"MacGill","given":"Iain","non-dropping-particle":"","parse-names":false,"suffix":""}],"container-title":"Renewable and Sustainable Energy Reviews","id":"ITEM-3","issued":{"date-parts":[["2017"]]},"page":"1355-1365","publisher":"Elsevier Ltd","title":"Distributed energy infrastructure paradigm: Community microgrids in a new institutional economics context","type":"article-journal","volume":"72"},"uris":["http://www.mendeley.com/documents/?uuid=6c103503-7c28-3d6e-b035-6aa1fc7facf6"]},{"id":"ITEM-4","itemData":{"DOI":"10.1016/J.RESPOL.2018.09.003","ISSN":"0048-7333","abstract":"Policies and politics are crucial elements of sustainability transitions. Transition pathways unfold as a result of continuous struggles of actors over policy goals and instruments. Taking a policy mix perspective, we study policies and policy preferences of key industry actors in the ongoing energy transition at the level of the European Union. We introduce two central analytical dimensions for transition pathways: the degree of sustainability (here: renewable energy ambition) and the degree of disruption (here: whether to pursue centralized or decentralized energy system configurations). We find that the current EU energy policy mix is heterogeneous with respect to the issue of (de-)centralization, whereas most policies and actors express high or moderate ambitions for renewable energy. Our paper makes three contributions. It demonstrates how actors and policy preferences can be explicitly included in the study of policy mixes. To the literature on transition pathways, we introduce sustainability as another key dimension in addition to disruption. Lastly, we propose a novel methodology for analyzing the politics of transition pathways.","author":[{"dropping-particle":"","family":"Lindberg","given":"Marie Byskov","non-dropping-particle":"","parse-names":false,"suffix":""},{"dropping-particle":"","family":"Markard","given":"Jochen","non-dropping-particle":"","parse-names":false,"suffix":""},{"dropping-particle":"","family":"Andersen","given":"Allan Dahl","non-dropping-particle":"","parse-names":false,"suffix":""}],"container-title":"Research Policy","id":"ITEM-4","issue":"10","issued":{"date-parts":[["2019","12","1"]]},"page":"103668","publisher":"North-Holland","title":"Policies, actors and sustainability transition pathways: A study of the EU’s energy policy mix","type":"article-journal","volume":"48"},"uris":["http://www.mendeley.com/documents/?uuid=af669c9b-65db-31ae-a225-4740ff4d8421"]}],"mendeley":{"formattedCitation":"[19–22]","plainTextFormattedCitation":"[19–22]","previouslyFormattedCitation":"[19–22]"},"properties":{"noteIndex":0},"schema":"https://github.com/citation-style-language/schema/raw/master/csl-citation.json"}</w:instrText>
      </w:r>
      <w:r w:rsidR="006C31FB" w:rsidRPr="003676D3">
        <w:rPr>
          <w:rFonts w:ascii="Times New Roman" w:hAnsi="Times New Roman" w:cs="Times New Roman"/>
          <w:sz w:val="24"/>
          <w:szCs w:val="24"/>
        </w:rPr>
        <w:fldChar w:fldCharType="separate"/>
      </w:r>
      <w:r w:rsidR="006C31FB" w:rsidRPr="003676D3">
        <w:rPr>
          <w:rFonts w:ascii="Times New Roman" w:hAnsi="Times New Roman" w:cs="Times New Roman"/>
          <w:noProof/>
          <w:sz w:val="24"/>
          <w:szCs w:val="24"/>
        </w:rPr>
        <w:t>[19–22]</w:t>
      </w:r>
      <w:r w:rsidR="006C31FB" w:rsidRPr="003676D3">
        <w:rPr>
          <w:rFonts w:ascii="Times New Roman" w:hAnsi="Times New Roman" w:cs="Times New Roman"/>
          <w:sz w:val="24"/>
          <w:szCs w:val="24"/>
        </w:rPr>
        <w:fldChar w:fldCharType="end"/>
      </w:r>
      <w:r w:rsidR="006C31FB" w:rsidRPr="003676D3">
        <w:rPr>
          <w:rFonts w:ascii="Times New Roman" w:hAnsi="Times New Roman" w:cs="Times New Roman"/>
          <w:sz w:val="24"/>
          <w:szCs w:val="24"/>
        </w:rPr>
        <w:t xml:space="preserve"> </w:t>
      </w:r>
      <w:r w:rsidR="001A1FD1" w:rsidRPr="003676D3">
        <w:rPr>
          <w:rFonts w:ascii="Times New Roman" w:hAnsi="Times New Roman" w:cs="Times New Roman"/>
          <w:sz w:val="24"/>
          <w:szCs w:val="24"/>
        </w:rPr>
        <w:t>.</w:t>
      </w:r>
    </w:p>
    <w:p w14:paraId="0FEE526B" w14:textId="0C6ECBC4" w:rsidR="008E437B" w:rsidRPr="003676D3" w:rsidRDefault="008E437B" w:rsidP="003676D3">
      <w:pPr>
        <w:pStyle w:val="Heading1"/>
        <w:spacing w:line="276" w:lineRule="auto"/>
        <w:jc w:val="both"/>
        <w:rPr>
          <w:sz w:val="24"/>
          <w:szCs w:val="24"/>
        </w:rPr>
      </w:pPr>
      <w:r w:rsidRPr="003676D3">
        <w:rPr>
          <w:sz w:val="24"/>
          <w:szCs w:val="24"/>
        </w:rPr>
        <w:t xml:space="preserve">2. </w:t>
      </w:r>
      <w:r w:rsidR="0084199D" w:rsidRPr="003676D3">
        <w:rPr>
          <w:sz w:val="24"/>
          <w:szCs w:val="24"/>
        </w:rPr>
        <w:t xml:space="preserve">Motivation and </w:t>
      </w:r>
      <w:r w:rsidRPr="003676D3">
        <w:rPr>
          <w:sz w:val="24"/>
          <w:szCs w:val="24"/>
        </w:rPr>
        <w:t>Methodology</w:t>
      </w:r>
    </w:p>
    <w:p w14:paraId="7E92B3C4" w14:textId="1C966BFC" w:rsidR="006C31FB" w:rsidRPr="003676D3" w:rsidRDefault="008E437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This review paper presents transformation pathway from smart grid to super smart grid and how it would help interconnecting all the EU member countries and allow the energy exchange between them with ease. We have also explored in detail the opportunities and challenges encountered during this transition. Super smart grid </w:t>
      </w:r>
      <w:r w:rsidR="004B1918" w:rsidRPr="003676D3">
        <w:rPr>
          <w:rFonts w:ascii="Times New Roman" w:hAnsi="Times New Roman" w:cs="Times New Roman"/>
          <w:sz w:val="24"/>
          <w:szCs w:val="24"/>
        </w:rPr>
        <w:t>is</w:t>
      </w:r>
      <w:r w:rsidRPr="003676D3">
        <w:rPr>
          <w:rFonts w:ascii="Times New Roman" w:hAnsi="Times New Roman" w:cs="Times New Roman"/>
          <w:sz w:val="24"/>
          <w:szCs w:val="24"/>
        </w:rPr>
        <w:t xml:space="preserve"> fundamentally backed by high </w:t>
      </w:r>
      <w:r w:rsidR="004B1918" w:rsidRPr="003676D3">
        <w:rPr>
          <w:rFonts w:ascii="Times New Roman" w:hAnsi="Times New Roman" w:cs="Times New Roman"/>
          <w:sz w:val="24"/>
          <w:szCs w:val="24"/>
        </w:rPr>
        <w:t>computation-based</w:t>
      </w:r>
      <w:r w:rsidRPr="003676D3">
        <w:rPr>
          <w:rFonts w:ascii="Times New Roman" w:hAnsi="Times New Roman" w:cs="Times New Roman"/>
          <w:sz w:val="24"/>
          <w:szCs w:val="24"/>
        </w:rPr>
        <w:t xml:space="preserve"> automation and advanced enabling technologies such as metaverse and artificial intelligence, which are discussed in this review. </w:t>
      </w:r>
    </w:p>
    <w:p w14:paraId="73F85EF1" w14:textId="3B28DAC9" w:rsidR="008E437B" w:rsidRPr="003676D3" w:rsidRDefault="008E437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summary, this review paper answers the question, “What are the necessary steps for the transition from smart grids to super smart grids?”. Also, “Why smart gr</w:t>
      </w:r>
      <w:r w:rsidR="006C31FB" w:rsidRPr="003676D3">
        <w:rPr>
          <w:rFonts w:ascii="Times New Roman" w:hAnsi="Times New Roman" w:cs="Times New Roman"/>
          <w:sz w:val="24"/>
          <w:szCs w:val="24"/>
        </w:rPr>
        <w:t xml:space="preserve">ids </w:t>
      </w:r>
      <w:r w:rsidR="004B1918" w:rsidRPr="003676D3">
        <w:rPr>
          <w:rFonts w:ascii="Times New Roman" w:hAnsi="Times New Roman" w:cs="Times New Roman"/>
          <w:sz w:val="24"/>
          <w:szCs w:val="24"/>
        </w:rPr>
        <w:t>require</w:t>
      </w:r>
      <w:r w:rsidR="006C31FB" w:rsidRPr="003676D3">
        <w:rPr>
          <w:rFonts w:ascii="Times New Roman" w:hAnsi="Times New Roman" w:cs="Times New Roman"/>
          <w:sz w:val="24"/>
          <w:szCs w:val="24"/>
        </w:rPr>
        <w:t xml:space="preserve"> more upgradation?”. Another interesting question that this study address is “What is the role of enabling technologies amidst this transition?”. </w:t>
      </w:r>
      <w:r w:rsidRPr="003676D3">
        <w:rPr>
          <w:rFonts w:ascii="Times New Roman" w:hAnsi="Times New Roman" w:cs="Times New Roman"/>
          <w:sz w:val="24"/>
          <w:szCs w:val="24"/>
        </w:rPr>
        <w:t>This question is answered by extensively reviewing the available literature body for systematic, infrastructural and techno-</w:t>
      </w:r>
      <w:r w:rsidR="004B1918" w:rsidRPr="003676D3">
        <w:rPr>
          <w:rFonts w:ascii="Times New Roman" w:hAnsi="Times New Roman" w:cs="Times New Roman"/>
          <w:sz w:val="24"/>
          <w:szCs w:val="24"/>
        </w:rPr>
        <w:t>economic</w:t>
      </w:r>
      <w:r w:rsidRPr="003676D3">
        <w:rPr>
          <w:rFonts w:ascii="Times New Roman" w:hAnsi="Times New Roman" w:cs="Times New Roman"/>
          <w:sz w:val="24"/>
          <w:szCs w:val="24"/>
        </w:rPr>
        <w:t xml:space="preserve"> affairs. The critical point is the influence of external factors such as regulatory affairs</w:t>
      </w:r>
      <w:r w:rsidR="0092012F" w:rsidRPr="003676D3">
        <w:rPr>
          <w:rFonts w:ascii="Times New Roman" w:hAnsi="Times New Roman" w:cs="Times New Roman"/>
          <w:sz w:val="24"/>
          <w:szCs w:val="24"/>
        </w:rPr>
        <w:t xml:space="preserve"> and policy </w:t>
      </w:r>
      <w:r w:rsidR="00724DEC" w:rsidRPr="003676D3">
        <w:rPr>
          <w:rFonts w:ascii="Times New Roman" w:hAnsi="Times New Roman" w:cs="Times New Roman"/>
          <w:sz w:val="24"/>
          <w:szCs w:val="24"/>
        </w:rPr>
        <w:t>actions</w:t>
      </w:r>
      <w:r w:rsidRPr="003676D3">
        <w:rPr>
          <w:rFonts w:ascii="Times New Roman" w:hAnsi="Times New Roman" w:cs="Times New Roman"/>
          <w:sz w:val="24"/>
          <w:szCs w:val="24"/>
        </w:rPr>
        <w:t xml:space="preserve"> that has significant impact on this transition. The discussion on the role of enabling technologies in super smart g</w:t>
      </w:r>
      <w:r w:rsidR="0092012F" w:rsidRPr="003676D3">
        <w:rPr>
          <w:rFonts w:ascii="Times New Roman" w:hAnsi="Times New Roman" w:cs="Times New Roman"/>
          <w:sz w:val="24"/>
          <w:szCs w:val="24"/>
        </w:rPr>
        <w:t>rids provides a holistic view about</w:t>
      </w:r>
      <w:r w:rsidRPr="003676D3">
        <w:rPr>
          <w:rFonts w:ascii="Times New Roman" w:hAnsi="Times New Roman" w:cs="Times New Roman"/>
          <w:sz w:val="24"/>
          <w:szCs w:val="24"/>
        </w:rPr>
        <w:t xml:space="preserve"> the dynamics of </w:t>
      </w:r>
      <w:r w:rsidR="0092012F" w:rsidRPr="003676D3">
        <w:rPr>
          <w:rFonts w:ascii="Times New Roman" w:hAnsi="Times New Roman" w:cs="Times New Roman"/>
          <w:sz w:val="24"/>
          <w:szCs w:val="24"/>
        </w:rPr>
        <w:t>elements</w:t>
      </w:r>
      <w:r w:rsidRPr="003676D3">
        <w:rPr>
          <w:rFonts w:ascii="Times New Roman" w:hAnsi="Times New Roman" w:cs="Times New Roman"/>
          <w:sz w:val="24"/>
          <w:szCs w:val="24"/>
        </w:rPr>
        <w:t xml:space="preserve"> at the core of this transition. </w:t>
      </w:r>
      <w:r w:rsidR="006C31FB" w:rsidRPr="003676D3">
        <w:rPr>
          <w:rFonts w:ascii="Times New Roman" w:hAnsi="Times New Roman" w:cs="Times New Roman"/>
          <w:sz w:val="24"/>
          <w:szCs w:val="24"/>
        </w:rPr>
        <w:t xml:space="preserve">The flow of methodology is shown in </w:t>
      </w:r>
      <w:r w:rsidR="006C31FB" w:rsidRPr="003676D3">
        <w:rPr>
          <w:rFonts w:ascii="Times New Roman" w:hAnsi="Times New Roman" w:cs="Times New Roman"/>
          <w:sz w:val="24"/>
          <w:szCs w:val="24"/>
        </w:rPr>
        <w:fldChar w:fldCharType="begin"/>
      </w:r>
      <w:r w:rsidR="006C31FB" w:rsidRPr="003676D3">
        <w:rPr>
          <w:rFonts w:ascii="Times New Roman" w:hAnsi="Times New Roman" w:cs="Times New Roman"/>
          <w:sz w:val="24"/>
          <w:szCs w:val="24"/>
        </w:rPr>
        <w:instrText xml:space="preserve"> REF _Ref168034247 \h  \* MERGEFORMAT </w:instrText>
      </w:r>
      <w:r w:rsidR="006C31FB" w:rsidRPr="003676D3">
        <w:rPr>
          <w:rFonts w:ascii="Times New Roman" w:hAnsi="Times New Roman" w:cs="Times New Roman"/>
          <w:sz w:val="24"/>
          <w:szCs w:val="24"/>
        </w:rPr>
      </w:r>
      <w:r w:rsidR="006C31FB"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1</w:t>
      </w:r>
      <w:r w:rsidR="006C31FB" w:rsidRPr="003676D3">
        <w:rPr>
          <w:rFonts w:ascii="Times New Roman" w:hAnsi="Times New Roman" w:cs="Times New Roman"/>
          <w:sz w:val="24"/>
          <w:szCs w:val="24"/>
        </w:rPr>
        <w:fldChar w:fldCharType="end"/>
      </w:r>
      <w:r w:rsidR="006C31FB" w:rsidRPr="003676D3">
        <w:rPr>
          <w:rFonts w:ascii="Times New Roman" w:hAnsi="Times New Roman" w:cs="Times New Roman"/>
          <w:sz w:val="24"/>
          <w:szCs w:val="24"/>
        </w:rPr>
        <w:t>.</w:t>
      </w:r>
    </w:p>
    <w:p w14:paraId="1A5F349F" w14:textId="5F948C31" w:rsidR="008E437B" w:rsidRPr="003676D3" w:rsidRDefault="0092012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literature review indicates that most research has focused on smart grids, while the innovation of super smart grids has not yet been examined from a comprehensive socio-technical system perspective.</w:t>
      </w:r>
      <w:r w:rsidRPr="003676D3">
        <w:rPr>
          <w:rFonts w:ascii="Times New Roman" w:hAnsi="Times New Roman" w:cs="Times New Roman"/>
        </w:rPr>
        <w:t xml:space="preserve"> </w:t>
      </w:r>
      <w:r w:rsidR="008E437B" w:rsidRPr="003676D3">
        <w:rPr>
          <w:rFonts w:ascii="Times New Roman" w:hAnsi="Times New Roman" w:cs="Times New Roman"/>
          <w:sz w:val="24"/>
          <w:szCs w:val="24"/>
        </w:rPr>
        <w:t>This review is designed to identify key themes and technological advancements, as well as to understand the regulatory frameworks and economic implications associated with the transition to super smart grids. By synthesizing existing knowledge, the literature review lays a solid foundation for further analysis.</w:t>
      </w:r>
      <w:r w:rsidR="006C31FB" w:rsidRPr="003676D3">
        <w:rPr>
          <w:rFonts w:ascii="Times New Roman" w:hAnsi="Times New Roman" w:cs="Times New Roman"/>
          <w:sz w:val="24"/>
          <w:szCs w:val="24"/>
        </w:rPr>
        <w:t xml:space="preserve"> A comparison with other studies is presented in </w:t>
      </w:r>
      <w:r w:rsidR="006C31FB" w:rsidRPr="003676D3">
        <w:rPr>
          <w:rFonts w:ascii="Times New Roman" w:hAnsi="Times New Roman" w:cs="Times New Roman"/>
          <w:b/>
          <w:bCs/>
          <w:sz w:val="24"/>
          <w:szCs w:val="24"/>
        </w:rPr>
        <w:fldChar w:fldCharType="begin"/>
      </w:r>
      <w:r w:rsidR="006C31FB" w:rsidRPr="003676D3">
        <w:rPr>
          <w:rFonts w:ascii="Times New Roman" w:hAnsi="Times New Roman" w:cs="Times New Roman"/>
          <w:b/>
          <w:bCs/>
          <w:sz w:val="24"/>
          <w:szCs w:val="24"/>
        </w:rPr>
        <w:instrText xml:space="preserve"> REF _Ref168034397 \h  \* MERGEFORMAT </w:instrText>
      </w:r>
      <w:r w:rsidR="006C31FB" w:rsidRPr="003676D3">
        <w:rPr>
          <w:rFonts w:ascii="Times New Roman" w:hAnsi="Times New Roman" w:cs="Times New Roman"/>
          <w:b/>
          <w:bCs/>
          <w:sz w:val="24"/>
          <w:szCs w:val="24"/>
        </w:rPr>
      </w:r>
      <w:r w:rsidR="006C31FB" w:rsidRPr="003676D3">
        <w:rPr>
          <w:rFonts w:ascii="Times New Roman" w:hAnsi="Times New Roman" w:cs="Times New Roman"/>
          <w:b/>
          <w:bCs/>
          <w:sz w:val="24"/>
          <w:szCs w:val="24"/>
        </w:rPr>
        <w:fldChar w:fldCharType="end"/>
      </w:r>
      <w:r w:rsidR="006C31FB" w:rsidRPr="003676D3">
        <w:rPr>
          <w:rFonts w:ascii="Times New Roman" w:hAnsi="Times New Roman" w:cs="Times New Roman"/>
          <w:sz w:val="24"/>
          <w:szCs w:val="24"/>
        </w:rPr>
        <w:t>.</w:t>
      </w:r>
    </w:p>
    <w:p w14:paraId="51726EFC" w14:textId="0E26BB3A" w:rsidR="008E437B" w:rsidRPr="003676D3" w:rsidRDefault="0084199D" w:rsidP="003676D3">
      <w:pPr>
        <w:spacing w:line="276" w:lineRule="auto"/>
        <w:jc w:val="both"/>
        <w:rPr>
          <w:rFonts w:ascii="Times New Roman" w:hAnsi="Times New Roman" w:cs="Times New Roman"/>
          <w:sz w:val="24"/>
          <w:szCs w:val="24"/>
        </w:rPr>
      </w:pPr>
      <w:r w:rsidRPr="003676D3">
        <w:rPr>
          <w:rFonts w:ascii="Times New Roman" w:hAnsi="Times New Roman" w:cs="Times New Roman"/>
          <w:b/>
          <w:bCs/>
          <w:sz w:val="24"/>
          <w:szCs w:val="24"/>
        </w:rPr>
        <w:t>Explored Database</w:t>
      </w:r>
      <w:r w:rsidRPr="003676D3">
        <w:rPr>
          <w:rFonts w:ascii="Times New Roman" w:hAnsi="Times New Roman" w:cs="Times New Roman"/>
          <w:sz w:val="24"/>
          <w:szCs w:val="24"/>
        </w:rPr>
        <w:t xml:space="preserve">: </w:t>
      </w:r>
      <w:r w:rsidR="008E437B" w:rsidRPr="003676D3">
        <w:rPr>
          <w:rFonts w:ascii="Times New Roman" w:hAnsi="Times New Roman" w:cs="Times New Roman"/>
          <w:sz w:val="24"/>
          <w:szCs w:val="24"/>
        </w:rPr>
        <w:t xml:space="preserve">The </w:t>
      </w:r>
      <w:r w:rsidR="0092012F" w:rsidRPr="003676D3">
        <w:rPr>
          <w:rFonts w:ascii="Times New Roman" w:hAnsi="Times New Roman" w:cs="Times New Roman"/>
          <w:sz w:val="24"/>
          <w:szCs w:val="24"/>
        </w:rPr>
        <w:t>prime</w:t>
      </w:r>
      <w:r w:rsidR="008E437B" w:rsidRPr="003676D3">
        <w:rPr>
          <w:rFonts w:ascii="Times New Roman" w:hAnsi="Times New Roman" w:cs="Times New Roman"/>
          <w:sz w:val="24"/>
          <w:szCs w:val="24"/>
        </w:rPr>
        <w:t xml:space="preserve"> resource for the qualitative analysis </w:t>
      </w:r>
      <w:r w:rsidR="0092012F" w:rsidRPr="003676D3">
        <w:rPr>
          <w:rFonts w:ascii="Times New Roman" w:hAnsi="Times New Roman" w:cs="Times New Roman"/>
          <w:sz w:val="24"/>
          <w:szCs w:val="24"/>
        </w:rPr>
        <w:t>relates</w:t>
      </w:r>
      <w:r w:rsidR="008E437B" w:rsidRPr="003676D3">
        <w:rPr>
          <w:rFonts w:ascii="Times New Roman" w:hAnsi="Times New Roman" w:cs="Times New Roman"/>
          <w:sz w:val="24"/>
          <w:szCs w:val="24"/>
        </w:rPr>
        <w:t xml:space="preserve"> to academic journals and conferences as well as review papers. It also includes industrial reports, technical standards, official documents and </w:t>
      </w:r>
      <w:r w:rsidR="0092012F" w:rsidRPr="003676D3">
        <w:rPr>
          <w:rFonts w:ascii="Times New Roman" w:hAnsi="Times New Roman" w:cs="Times New Roman"/>
          <w:sz w:val="24"/>
          <w:szCs w:val="24"/>
        </w:rPr>
        <w:t xml:space="preserve">governmental </w:t>
      </w:r>
      <w:r w:rsidR="008E437B" w:rsidRPr="003676D3">
        <w:rPr>
          <w:rFonts w:ascii="Times New Roman" w:hAnsi="Times New Roman" w:cs="Times New Roman"/>
          <w:sz w:val="24"/>
          <w:szCs w:val="24"/>
        </w:rPr>
        <w:t>reports, think ta</w:t>
      </w:r>
      <w:r w:rsidR="0092012F" w:rsidRPr="003676D3">
        <w:rPr>
          <w:rFonts w:ascii="Times New Roman" w:hAnsi="Times New Roman" w:cs="Times New Roman"/>
          <w:sz w:val="24"/>
          <w:szCs w:val="24"/>
        </w:rPr>
        <w:t>nks and scientific research organiz</w:t>
      </w:r>
      <w:r w:rsidR="008E437B" w:rsidRPr="003676D3">
        <w:rPr>
          <w:rFonts w:ascii="Times New Roman" w:hAnsi="Times New Roman" w:cs="Times New Roman"/>
          <w:sz w:val="24"/>
          <w:szCs w:val="24"/>
        </w:rPr>
        <w:t>ations</w:t>
      </w:r>
      <w:r w:rsidR="0092012F" w:rsidRPr="003676D3">
        <w:rPr>
          <w:rFonts w:ascii="Times New Roman" w:hAnsi="Times New Roman" w:cs="Times New Roman"/>
          <w:sz w:val="24"/>
          <w:szCs w:val="24"/>
        </w:rPr>
        <w:t xml:space="preserve">. It also </w:t>
      </w:r>
      <w:r w:rsidR="004B1918" w:rsidRPr="003676D3">
        <w:rPr>
          <w:rFonts w:ascii="Times New Roman" w:hAnsi="Times New Roman" w:cs="Times New Roman"/>
          <w:sz w:val="24"/>
          <w:szCs w:val="24"/>
        </w:rPr>
        <w:t>includes</w:t>
      </w:r>
      <w:r w:rsidR="0092012F" w:rsidRPr="003676D3">
        <w:rPr>
          <w:rFonts w:ascii="Times New Roman" w:hAnsi="Times New Roman" w:cs="Times New Roman"/>
          <w:sz w:val="24"/>
          <w:szCs w:val="24"/>
        </w:rPr>
        <w:t xml:space="preserve"> some </w:t>
      </w:r>
      <w:r w:rsidR="008E437B" w:rsidRPr="003676D3">
        <w:rPr>
          <w:rFonts w:ascii="Times New Roman" w:hAnsi="Times New Roman" w:cs="Times New Roman"/>
          <w:sz w:val="24"/>
          <w:szCs w:val="24"/>
        </w:rPr>
        <w:t>archiv</w:t>
      </w:r>
      <w:r w:rsidR="0092012F" w:rsidRPr="003676D3">
        <w:rPr>
          <w:rFonts w:ascii="Times New Roman" w:hAnsi="Times New Roman" w:cs="Times New Roman"/>
          <w:sz w:val="24"/>
          <w:szCs w:val="24"/>
        </w:rPr>
        <w:t>es of news articles, technical blogs and website</w:t>
      </w:r>
      <w:r w:rsidR="008E437B" w:rsidRPr="003676D3">
        <w:rPr>
          <w:rFonts w:ascii="Times New Roman" w:hAnsi="Times New Roman" w:cs="Times New Roman"/>
          <w:sz w:val="24"/>
          <w:szCs w:val="24"/>
        </w:rPr>
        <w:t xml:space="preserve">. </w:t>
      </w:r>
      <w:r w:rsidR="0092012F" w:rsidRPr="003676D3">
        <w:rPr>
          <w:rFonts w:ascii="Times New Roman" w:hAnsi="Times New Roman" w:cs="Times New Roman"/>
          <w:sz w:val="24"/>
          <w:szCs w:val="24"/>
        </w:rPr>
        <w:t>Official documents are sourced from the European Commission's database,</w:t>
      </w:r>
      <w:r w:rsidR="00724DEC" w:rsidRPr="003676D3">
        <w:rPr>
          <w:rFonts w:ascii="Times New Roman" w:hAnsi="Times New Roman" w:cs="Times New Roman"/>
          <w:sz w:val="24"/>
          <w:szCs w:val="24"/>
        </w:rPr>
        <w:t xml:space="preserve"> along with publications of</w:t>
      </w:r>
      <w:r w:rsidR="0092012F" w:rsidRPr="003676D3">
        <w:rPr>
          <w:rFonts w:ascii="Times New Roman" w:hAnsi="Times New Roman" w:cs="Times New Roman"/>
          <w:sz w:val="24"/>
          <w:szCs w:val="24"/>
        </w:rPr>
        <w:t xml:space="preserve"> the International Energy Agency</w:t>
      </w:r>
      <w:r w:rsidR="008E437B" w:rsidRPr="003676D3">
        <w:rPr>
          <w:rFonts w:ascii="Times New Roman" w:hAnsi="Times New Roman" w:cs="Times New Roman"/>
          <w:sz w:val="24"/>
          <w:szCs w:val="24"/>
        </w:rPr>
        <w:t xml:space="preserve"> (IEA). Scopus, IEEE Explore, Springer, </w:t>
      </w:r>
      <w:r w:rsidR="0092012F" w:rsidRPr="003676D3">
        <w:rPr>
          <w:rFonts w:ascii="Times New Roman" w:hAnsi="Times New Roman" w:cs="Times New Roman"/>
          <w:sz w:val="24"/>
          <w:szCs w:val="24"/>
        </w:rPr>
        <w:t>Google Scholar, Web of Science and</w:t>
      </w:r>
      <w:r w:rsidR="008E437B" w:rsidRPr="003676D3">
        <w:rPr>
          <w:rFonts w:ascii="Times New Roman" w:hAnsi="Times New Roman" w:cs="Times New Roman"/>
          <w:sz w:val="24"/>
          <w:szCs w:val="24"/>
        </w:rPr>
        <w:t xml:space="preserve"> Wiley are used for </w:t>
      </w:r>
      <w:r w:rsidR="00724DEC" w:rsidRPr="003676D3">
        <w:rPr>
          <w:rFonts w:ascii="Times New Roman" w:hAnsi="Times New Roman" w:cs="Times New Roman"/>
          <w:sz w:val="24"/>
          <w:szCs w:val="24"/>
        </w:rPr>
        <w:t xml:space="preserve">searching </w:t>
      </w:r>
      <w:r w:rsidR="008E437B" w:rsidRPr="003676D3">
        <w:rPr>
          <w:rFonts w:ascii="Times New Roman" w:hAnsi="Times New Roman" w:cs="Times New Roman"/>
          <w:sz w:val="24"/>
          <w:szCs w:val="24"/>
        </w:rPr>
        <w:t>scientific papers</w:t>
      </w:r>
      <w:r w:rsidR="00724DEC" w:rsidRPr="003676D3">
        <w:rPr>
          <w:rFonts w:ascii="Times New Roman" w:hAnsi="Times New Roman" w:cs="Times New Roman"/>
          <w:sz w:val="24"/>
          <w:szCs w:val="24"/>
        </w:rPr>
        <w:t>.</w:t>
      </w:r>
      <w:r w:rsidR="008E437B" w:rsidRPr="003676D3">
        <w:rPr>
          <w:rFonts w:ascii="Times New Roman" w:hAnsi="Times New Roman" w:cs="Times New Roman"/>
          <w:sz w:val="24"/>
          <w:szCs w:val="24"/>
        </w:rPr>
        <w:t xml:space="preserve"> </w:t>
      </w:r>
      <w:r w:rsidR="00724DEC" w:rsidRPr="003676D3">
        <w:rPr>
          <w:rFonts w:ascii="Times New Roman" w:hAnsi="Times New Roman" w:cs="Times New Roman"/>
          <w:sz w:val="24"/>
          <w:szCs w:val="24"/>
        </w:rPr>
        <w:t xml:space="preserve">These </w:t>
      </w:r>
      <w:r w:rsidR="00724DEC" w:rsidRPr="003676D3">
        <w:rPr>
          <w:rFonts w:ascii="Times New Roman" w:hAnsi="Times New Roman" w:cs="Times New Roman"/>
          <w:sz w:val="24"/>
          <w:szCs w:val="24"/>
        </w:rPr>
        <w:lastRenderedPageBreak/>
        <w:t>databases were explored with</w:t>
      </w:r>
      <w:r w:rsidR="008E437B" w:rsidRPr="003676D3">
        <w:rPr>
          <w:rFonts w:ascii="Times New Roman" w:hAnsi="Times New Roman" w:cs="Times New Roman"/>
          <w:sz w:val="24"/>
          <w:szCs w:val="24"/>
        </w:rPr>
        <w:t xml:space="preserve"> Boolean search operators for </w:t>
      </w:r>
      <w:r w:rsidR="00724DEC" w:rsidRPr="003676D3">
        <w:rPr>
          <w:rFonts w:ascii="Times New Roman" w:hAnsi="Times New Roman" w:cs="Times New Roman"/>
          <w:sz w:val="24"/>
          <w:szCs w:val="24"/>
        </w:rPr>
        <w:t xml:space="preserve">key words </w:t>
      </w:r>
      <w:r w:rsidR="008E437B" w:rsidRPr="003676D3">
        <w:rPr>
          <w:rFonts w:ascii="Times New Roman" w:hAnsi="Times New Roman" w:cs="Times New Roman"/>
          <w:sz w:val="24"/>
          <w:szCs w:val="24"/>
        </w:rPr>
        <w:t xml:space="preserve">“Virtual Power Plants”, “innovation”, “Energy Transaction”, “regulatory affairs”, “policy”, “Technologies”, “AI”, “IoT”, “Metaverse”, and “Blockchain” </w:t>
      </w:r>
      <w:r w:rsidR="0092012F" w:rsidRPr="003676D3">
        <w:rPr>
          <w:rFonts w:ascii="Times New Roman" w:hAnsi="Times New Roman" w:cs="Times New Roman"/>
          <w:sz w:val="24"/>
          <w:szCs w:val="24"/>
        </w:rPr>
        <w:t>etc.</w:t>
      </w:r>
      <w:r w:rsidR="008E437B" w:rsidRPr="003676D3">
        <w:rPr>
          <w:rFonts w:ascii="Times New Roman" w:hAnsi="Times New Roman" w:cs="Times New Roman"/>
          <w:sz w:val="24"/>
          <w:szCs w:val="24"/>
        </w:rPr>
        <w:t xml:space="preserve"> in combination with “Super Smart Grid”, “Smart Grid”, and “European Countries”.</w:t>
      </w:r>
    </w:p>
    <w:p w14:paraId="0CF66851" w14:textId="3C39B616" w:rsidR="00970A38" w:rsidRDefault="004B1918" w:rsidP="00401836">
      <w:pPr>
        <w:pStyle w:val="Caption"/>
        <w:keepNext/>
        <w:spacing w:line="276" w:lineRule="auto"/>
        <w:jc w:val="center"/>
        <w:rPr>
          <w:rFonts w:ascii="Times New Roman" w:hAnsi="Times New Roman" w:cs="Times New Roman"/>
          <w:b/>
          <w:bCs/>
          <w:i w:val="0"/>
          <w:iCs w:val="0"/>
          <w:color w:val="auto"/>
          <w:sz w:val="20"/>
          <w:szCs w:val="20"/>
        </w:rPr>
      </w:pPr>
      <w:bookmarkStart w:id="1" w:name="_Ref168034397"/>
      <w:r w:rsidRPr="003676D3">
        <w:rPr>
          <w:rFonts w:ascii="Times New Roman" w:hAnsi="Times New Roman" w:cs="Times New Roman"/>
          <w:noProof/>
          <w:lang w:eastAsia="en-GB"/>
        </w:rPr>
        <w:drawing>
          <wp:inline distT="0" distB="0" distL="0" distR="0" wp14:anchorId="58A70E7D" wp14:editId="1BE3A39C">
            <wp:extent cx="5422900" cy="665416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w chart3.png"/>
                    <pic:cNvPicPr/>
                  </pic:nvPicPr>
                  <pic:blipFill>
                    <a:blip r:embed="rId12">
                      <a:extLst>
                        <a:ext uri="{28A0092B-C50C-407E-A947-70E740481C1C}">
                          <a14:useLocalDpi xmlns:a14="http://schemas.microsoft.com/office/drawing/2010/main" val="0"/>
                        </a:ext>
                      </a:extLst>
                    </a:blip>
                    <a:stretch>
                      <a:fillRect/>
                    </a:stretch>
                  </pic:blipFill>
                  <pic:spPr>
                    <a:xfrm>
                      <a:off x="0" y="0"/>
                      <a:ext cx="5422900" cy="6654165"/>
                    </a:xfrm>
                    <a:prstGeom prst="rect">
                      <a:avLst/>
                    </a:prstGeom>
                  </pic:spPr>
                </pic:pic>
              </a:graphicData>
            </a:graphic>
          </wp:inline>
        </w:drawing>
      </w:r>
      <w:bookmarkEnd w:id="1"/>
    </w:p>
    <w:p w14:paraId="5E9A983A" w14:textId="77777777" w:rsidR="004B1918" w:rsidRPr="006C31FB" w:rsidRDefault="004B1918" w:rsidP="004B1918">
      <w:pPr>
        <w:pStyle w:val="Caption"/>
        <w:jc w:val="center"/>
        <w:rPr>
          <w:rFonts w:asciiTheme="majorBidi" w:hAnsiTheme="majorBidi" w:cstheme="majorBidi"/>
          <w:b/>
          <w:bCs/>
          <w:i w:val="0"/>
          <w:iCs w:val="0"/>
          <w:noProof/>
          <w:color w:val="auto"/>
          <w:sz w:val="20"/>
          <w:szCs w:val="20"/>
        </w:rPr>
      </w:pPr>
      <w:bookmarkStart w:id="2" w:name="_Ref168034247"/>
      <w:r w:rsidRPr="006C31FB">
        <w:rPr>
          <w:rFonts w:asciiTheme="majorBidi" w:hAnsiTheme="majorBidi" w:cstheme="majorBidi"/>
          <w:b/>
          <w:bCs/>
          <w:i w:val="0"/>
          <w:iCs w:val="0"/>
          <w:color w:val="auto"/>
          <w:sz w:val="20"/>
          <w:szCs w:val="20"/>
        </w:rPr>
        <w:t xml:space="preserve">Figure </w:t>
      </w:r>
      <w:r w:rsidRPr="006C31FB">
        <w:rPr>
          <w:rFonts w:asciiTheme="majorBidi" w:hAnsiTheme="majorBidi" w:cstheme="majorBidi"/>
          <w:b/>
          <w:bCs/>
          <w:i w:val="0"/>
          <w:iCs w:val="0"/>
          <w:color w:val="auto"/>
          <w:sz w:val="20"/>
          <w:szCs w:val="20"/>
        </w:rPr>
        <w:fldChar w:fldCharType="begin"/>
      </w:r>
      <w:r w:rsidRPr="006C31FB">
        <w:rPr>
          <w:rFonts w:asciiTheme="majorBidi" w:hAnsiTheme="majorBidi" w:cstheme="majorBidi"/>
          <w:b/>
          <w:bCs/>
          <w:i w:val="0"/>
          <w:iCs w:val="0"/>
          <w:color w:val="auto"/>
          <w:sz w:val="20"/>
          <w:szCs w:val="20"/>
        </w:rPr>
        <w:instrText xml:space="preserve"> SEQ Figure \* ARABIC </w:instrText>
      </w:r>
      <w:r w:rsidRPr="006C31FB">
        <w:rPr>
          <w:rFonts w:asciiTheme="majorBidi" w:hAnsiTheme="majorBidi" w:cstheme="majorBidi"/>
          <w:b/>
          <w:bCs/>
          <w:i w:val="0"/>
          <w:iCs w:val="0"/>
          <w:color w:val="auto"/>
          <w:sz w:val="20"/>
          <w:szCs w:val="20"/>
        </w:rPr>
        <w:fldChar w:fldCharType="separate"/>
      </w:r>
      <w:r>
        <w:rPr>
          <w:rFonts w:asciiTheme="majorBidi" w:hAnsiTheme="majorBidi" w:cstheme="majorBidi"/>
          <w:b/>
          <w:bCs/>
          <w:i w:val="0"/>
          <w:iCs w:val="0"/>
          <w:noProof/>
          <w:color w:val="auto"/>
          <w:sz w:val="20"/>
          <w:szCs w:val="20"/>
        </w:rPr>
        <w:t>1</w:t>
      </w:r>
      <w:r w:rsidRPr="006C31FB">
        <w:rPr>
          <w:rFonts w:asciiTheme="majorBidi" w:hAnsiTheme="majorBidi" w:cstheme="majorBidi"/>
          <w:b/>
          <w:bCs/>
          <w:i w:val="0"/>
          <w:iCs w:val="0"/>
          <w:color w:val="auto"/>
          <w:sz w:val="20"/>
          <w:szCs w:val="20"/>
        </w:rPr>
        <w:fldChar w:fldCharType="end"/>
      </w:r>
      <w:bookmarkEnd w:id="2"/>
      <w:r w:rsidRPr="006C31FB">
        <w:rPr>
          <w:rFonts w:asciiTheme="majorBidi" w:hAnsiTheme="majorBidi" w:cstheme="majorBidi"/>
          <w:b/>
          <w:bCs/>
          <w:i w:val="0"/>
          <w:iCs w:val="0"/>
          <w:color w:val="auto"/>
          <w:sz w:val="20"/>
          <w:szCs w:val="20"/>
        </w:rPr>
        <w:t>. Flow Chart for this review paper.</w:t>
      </w:r>
    </w:p>
    <w:p w14:paraId="05A323A1" w14:textId="77777777" w:rsidR="004B1918" w:rsidRPr="004B1918" w:rsidRDefault="004B1918" w:rsidP="004B1918"/>
    <w:p w14:paraId="38CB7BB6" w14:textId="77777777" w:rsidR="00970A38" w:rsidRPr="003676D3" w:rsidRDefault="00970A38" w:rsidP="003676D3">
      <w:pPr>
        <w:spacing w:line="276" w:lineRule="auto"/>
        <w:jc w:val="both"/>
        <w:rPr>
          <w:rFonts w:ascii="Times New Roman" w:hAnsi="Times New Roman" w:cs="Times New Roman"/>
        </w:rPr>
      </w:pPr>
    </w:p>
    <w:p w14:paraId="7CC9A125" w14:textId="71943745" w:rsidR="00970A38" w:rsidRPr="003676D3" w:rsidRDefault="005F75B8" w:rsidP="003676D3">
      <w:pPr>
        <w:spacing w:line="276" w:lineRule="auto"/>
        <w:jc w:val="both"/>
        <w:rPr>
          <w:rFonts w:ascii="Times New Roman" w:hAnsi="Times New Roman" w:cs="Times New Roman"/>
          <w:sz w:val="24"/>
          <w:szCs w:val="24"/>
        </w:rPr>
      </w:pPr>
      <w:r w:rsidRPr="003676D3">
        <w:rPr>
          <w:rFonts w:ascii="Times New Roman" w:hAnsi="Times New Roman" w:cs="Times New Roman"/>
          <w:b/>
          <w:bCs/>
          <w:sz w:val="24"/>
          <w:szCs w:val="24"/>
        </w:rPr>
        <w:lastRenderedPageBreak/>
        <w:t>Inclusion-exclusion criteria</w:t>
      </w:r>
      <w:r w:rsidRPr="003676D3">
        <w:rPr>
          <w:rFonts w:ascii="Times New Roman" w:hAnsi="Times New Roman" w:cs="Times New Roman"/>
          <w:sz w:val="24"/>
          <w:szCs w:val="24"/>
        </w:rPr>
        <w:t xml:space="preserve">: </w:t>
      </w:r>
      <w:r w:rsidR="00970A38" w:rsidRPr="003676D3">
        <w:rPr>
          <w:rFonts w:ascii="Times New Roman" w:hAnsi="Times New Roman" w:cs="Times New Roman"/>
          <w:sz w:val="24"/>
          <w:szCs w:val="24"/>
        </w:rPr>
        <w:t xml:space="preserve">In the initial search, more than 500 journal publications, reports, website links and articles were found. The paper theme and parameters served as the key exclusion criteria. A few resources referring to power electronics and grid integration techniques related to renewable resources were excluded. Other excluded articles discussed microgrids and energy markets, which were not in the scope of this article. Moreover, some blog posts and website pages excluded because of the questionable validity of their origin. </w:t>
      </w:r>
    </w:p>
    <w:p w14:paraId="255D42F3" w14:textId="1F9FC8AA" w:rsidR="00970A38" w:rsidRPr="003676D3" w:rsidRDefault="00970A3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This review paper is structured as follows. Section 3 presents the European power grid transition from smart grid to super smart grid. It also includes the novel techniques for energy transaction among various stakeholders in a super smart grid. Section 4 explains the regulatory framework and policy interventions pertinent to super smart grid. In Section 5, State of the art enabling technologies are discussed in detail. This section also presents the challenges associated with the uptake of super smart grid. Finally, the study concludes with Section 6 with discussion on emerging challenges with super smart grid and potential solutions as well as proposing suggestions for future research.</w:t>
      </w:r>
    </w:p>
    <w:p w14:paraId="05DE3833" w14:textId="7F112F41" w:rsidR="00970A38" w:rsidRPr="003676D3" w:rsidRDefault="00970A38" w:rsidP="00401836">
      <w:pPr>
        <w:spacing w:line="276" w:lineRule="auto"/>
        <w:jc w:val="center"/>
        <w:rPr>
          <w:rFonts w:ascii="Times New Roman" w:hAnsi="Times New Roman" w:cs="Times New Roman"/>
          <w:sz w:val="24"/>
          <w:szCs w:val="24"/>
        </w:rPr>
      </w:pPr>
      <w:r w:rsidRPr="003676D3">
        <w:rPr>
          <w:rFonts w:ascii="Times New Roman" w:hAnsi="Times New Roman" w:cs="Times New Roman"/>
          <w:b/>
          <w:bCs/>
          <w:sz w:val="20"/>
          <w:szCs w:val="20"/>
        </w:rPr>
        <w:t xml:space="preserve">Table </w:t>
      </w:r>
      <w:r w:rsidRPr="003676D3">
        <w:rPr>
          <w:rFonts w:ascii="Times New Roman" w:hAnsi="Times New Roman" w:cs="Times New Roman"/>
          <w:b/>
          <w:bCs/>
          <w:sz w:val="20"/>
          <w:szCs w:val="20"/>
        </w:rPr>
        <w:fldChar w:fldCharType="begin"/>
      </w:r>
      <w:r w:rsidRPr="003676D3">
        <w:rPr>
          <w:rFonts w:ascii="Times New Roman" w:hAnsi="Times New Roman" w:cs="Times New Roman"/>
          <w:b/>
          <w:bCs/>
          <w:sz w:val="20"/>
          <w:szCs w:val="20"/>
        </w:rPr>
        <w:instrText xml:space="preserve"> SEQ Table \* ARABIC </w:instrText>
      </w:r>
      <w:r w:rsidRPr="003676D3">
        <w:rPr>
          <w:rFonts w:ascii="Times New Roman" w:hAnsi="Times New Roman" w:cs="Times New Roman"/>
          <w:b/>
          <w:bCs/>
          <w:sz w:val="20"/>
          <w:szCs w:val="20"/>
        </w:rPr>
        <w:fldChar w:fldCharType="separate"/>
      </w:r>
      <w:r w:rsidR="008D1E2C" w:rsidRPr="003676D3">
        <w:rPr>
          <w:rFonts w:ascii="Times New Roman" w:hAnsi="Times New Roman" w:cs="Times New Roman"/>
          <w:b/>
          <w:bCs/>
          <w:noProof/>
          <w:sz w:val="20"/>
          <w:szCs w:val="20"/>
        </w:rPr>
        <w:t>1</w:t>
      </w:r>
      <w:r w:rsidRPr="003676D3">
        <w:rPr>
          <w:rFonts w:ascii="Times New Roman" w:hAnsi="Times New Roman" w:cs="Times New Roman"/>
          <w:b/>
          <w:bCs/>
          <w:sz w:val="20"/>
          <w:szCs w:val="20"/>
        </w:rPr>
        <w:fldChar w:fldCharType="end"/>
      </w:r>
      <w:r w:rsidRPr="003676D3">
        <w:rPr>
          <w:rFonts w:ascii="Times New Roman" w:hAnsi="Times New Roman" w:cs="Times New Roman"/>
          <w:b/>
          <w:bCs/>
          <w:sz w:val="20"/>
          <w:szCs w:val="20"/>
        </w:rPr>
        <w:t>. Comparison of this study with available literature</w:t>
      </w:r>
    </w:p>
    <w:tbl>
      <w:tblPr>
        <w:tblStyle w:val="GridTable4-Accent1"/>
        <w:tblW w:w="5000" w:type="pct"/>
        <w:tblLook w:val="04A0" w:firstRow="1" w:lastRow="0" w:firstColumn="1" w:lastColumn="0" w:noHBand="0" w:noVBand="1"/>
      </w:tblPr>
      <w:tblGrid>
        <w:gridCol w:w="899"/>
        <w:gridCol w:w="643"/>
        <w:gridCol w:w="1042"/>
        <w:gridCol w:w="1024"/>
        <w:gridCol w:w="926"/>
        <w:gridCol w:w="1006"/>
        <w:gridCol w:w="545"/>
        <w:gridCol w:w="989"/>
        <w:gridCol w:w="980"/>
        <w:gridCol w:w="962"/>
      </w:tblGrid>
      <w:tr w:rsidR="00CC49AF" w:rsidRPr="003676D3" w14:paraId="717496DC" w14:textId="77777777" w:rsidTr="00ED5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391EC0CA" w14:textId="77777777" w:rsidR="00970A38" w:rsidRPr="003676D3" w:rsidRDefault="00970A38" w:rsidP="003676D3">
            <w:pPr>
              <w:spacing w:line="276" w:lineRule="auto"/>
              <w:jc w:val="both"/>
              <w:rPr>
                <w:rFonts w:ascii="Times New Roman" w:hAnsi="Times New Roman" w:cs="Times New Roman"/>
                <w:color w:val="auto"/>
                <w:sz w:val="20"/>
                <w:szCs w:val="20"/>
              </w:rPr>
            </w:pPr>
          </w:p>
        </w:tc>
        <w:tc>
          <w:tcPr>
            <w:tcW w:w="934" w:type="pct"/>
            <w:gridSpan w:val="2"/>
          </w:tcPr>
          <w:p w14:paraId="6BD6CB10" w14:textId="77777777" w:rsidR="00970A38" w:rsidRPr="003676D3" w:rsidRDefault="00970A3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Technical Aspects</w:t>
            </w:r>
          </w:p>
        </w:tc>
        <w:tc>
          <w:tcPr>
            <w:tcW w:w="568" w:type="pct"/>
          </w:tcPr>
          <w:p w14:paraId="2A39222B" w14:textId="77777777" w:rsidR="00970A38" w:rsidRPr="003676D3" w:rsidRDefault="00970A3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Social Aspects</w:t>
            </w:r>
          </w:p>
        </w:tc>
        <w:tc>
          <w:tcPr>
            <w:tcW w:w="2320" w:type="pct"/>
            <w:gridSpan w:val="5"/>
          </w:tcPr>
          <w:p w14:paraId="6CE0A11D" w14:textId="77777777" w:rsidR="00970A38" w:rsidRPr="003676D3" w:rsidRDefault="00970A3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Enabling Technologies</w:t>
            </w:r>
          </w:p>
        </w:tc>
        <w:tc>
          <w:tcPr>
            <w:tcW w:w="679" w:type="pct"/>
          </w:tcPr>
          <w:p w14:paraId="0091B90B" w14:textId="77777777" w:rsidR="00970A38" w:rsidRPr="003676D3" w:rsidRDefault="00970A3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 xml:space="preserve">Socio-technical </w:t>
            </w:r>
          </w:p>
        </w:tc>
      </w:tr>
      <w:tr w:rsidR="00ED5CE9" w:rsidRPr="003676D3" w14:paraId="3C498195" w14:textId="77777777" w:rsidTr="00ED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20CC7B26" w14:textId="77777777" w:rsidR="00970A38" w:rsidRPr="003676D3" w:rsidRDefault="00970A38"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Reference</w:t>
            </w:r>
          </w:p>
        </w:tc>
        <w:tc>
          <w:tcPr>
            <w:tcW w:w="357" w:type="pct"/>
          </w:tcPr>
          <w:p w14:paraId="5F9D1E2B"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Super Smart Grid</w:t>
            </w:r>
          </w:p>
        </w:tc>
        <w:tc>
          <w:tcPr>
            <w:tcW w:w="578" w:type="pct"/>
          </w:tcPr>
          <w:p w14:paraId="299B4EC2"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Energy Transaction</w:t>
            </w:r>
          </w:p>
        </w:tc>
        <w:tc>
          <w:tcPr>
            <w:tcW w:w="568" w:type="pct"/>
          </w:tcPr>
          <w:p w14:paraId="46293AF9"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Regulations and Policies</w:t>
            </w:r>
          </w:p>
        </w:tc>
        <w:tc>
          <w:tcPr>
            <w:tcW w:w="514" w:type="pct"/>
          </w:tcPr>
          <w:p w14:paraId="36C83BC6"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Metaverse and Digital Twin</w:t>
            </w:r>
          </w:p>
        </w:tc>
        <w:tc>
          <w:tcPr>
            <w:tcW w:w="558" w:type="pct"/>
          </w:tcPr>
          <w:p w14:paraId="3AA9E230"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Artificial Intelligence</w:t>
            </w:r>
          </w:p>
        </w:tc>
        <w:tc>
          <w:tcPr>
            <w:tcW w:w="302" w:type="pct"/>
          </w:tcPr>
          <w:p w14:paraId="22571B50"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Big Data</w:t>
            </w:r>
          </w:p>
        </w:tc>
        <w:tc>
          <w:tcPr>
            <w:tcW w:w="548" w:type="pct"/>
          </w:tcPr>
          <w:p w14:paraId="02BF97AB"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IoT, 5G and Edge Computing</w:t>
            </w:r>
          </w:p>
        </w:tc>
        <w:tc>
          <w:tcPr>
            <w:tcW w:w="398" w:type="pct"/>
          </w:tcPr>
          <w:p w14:paraId="0B2A392A"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Blockchain</w:t>
            </w:r>
          </w:p>
        </w:tc>
        <w:tc>
          <w:tcPr>
            <w:tcW w:w="679" w:type="pct"/>
          </w:tcPr>
          <w:p w14:paraId="6DDFC305"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676D3">
              <w:rPr>
                <w:rFonts w:ascii="Times New Roman" w:hAnsi="Times New Roman" w:cs="Times New Roman"/>
                <w:b/>
                <w:bCs/>
                <w:sz w:val="20"/>
                <w:szCs w:val="20"/>
              </w:rPr>
              <w:t>Challenges and Solutions</w:t>
            </w:r>
          </w:p>
        </w:tc>
      </w:tr>
      <w:tr w:rsidR="00CC49AF" w:rsidRPr="003676D3" w14:paraId="7323F1D8" w14:textId="77777777" w:rsidTr="00ED5CE9">
        <w:tc>
          <w:tcPr>
            <w:cnfStyle w:val="001000000000" w:firstRow="0" w:lastRow="0" w:firstColumn="1" w:lastColumn="0" w:oddVBand="0" w:evenVBand="0" w:oddHBand="0" w:evenHBand="0" w:firstRowFirstColumn="0" w:firstRowLastColumn="0" w:lastRowFirstColumn="0" w:lastRowLastColumn="0"/>
            <w:tcW w:w="499" w:type="pct"/>
          </w:tcPr>
          <w:p w14:paraId="6AFCF589"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{"citationItems":[{"id":"ITEM-1","itemData":{"DOI":"10.1016/J.JCLEPRO.2021.126877","ISSN":"0959-6526","abstract":"This paper describes a generic methodology to develop mathematical and computational models of different components of the smart grid architecture model (SGAM). The SGAM inspired integrated mathematical modelling will help develop interoperable complex system simulations for integrating different smart grid components, associated communication models for data exchange and software modules, control, estimation, and data analytics functionalities with the business perspectives. This paper is based on the existing component models inspired by SGAM, which provides a holistic view for integrating the models under operational and security constraints. Achievable results and open research problems for the SGAM mapping have also been discussed in these models supporting the interoperability challenges. The models described in this paper can serve as a guideline to design efficient and robust control strategies for smart grids against uncertain loading, generation, and communication constraints, thus optimizing and improving the whole system's performance. Mathematical and computational models of cyber-physical systems have also been discussed along with their potential challenges. Based on the above concepts, unsolved and open challenges in the smart grid control, optimization and data analytics are highlighted.","author":[{"dropping-particle":"","family":"Panda","given":"Deepak Kumar","non-dropping-particle":"","parse-names":false,"suffix":""},{"dropping-particle":"","family":"Das","given":"Saptarshi","non-dropping-particle":"","parse-names":false,"suffix":""}],"container-title":"Journal of Cleaner Production","id":"ITEM-1","issued":{"date-parts":[["2021","6","10"]]},"page":"126877","publisher":"Elsevier","title":"Smart grid architecture model for control, optimization and data analytics of future power networks with more renewable energy","type":"article-journal","volume":"301"},"uris":["http://www.mendeley.com/documents/?uuid=7eb5f307-a2f6-3fd1-b32c-228a64dc3cbf"]}],"mendeley":{"formattedCitation":"[23]","plainTextFormattedCitation":"[23]","previouslyFormattedCitation":"[23]"},"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[23]</w:t>
            </w:r>
            <w:r w:rsidRPr="003676D3">
              <w:rPr>
                <w:rFonts w:ascii="Times New Roman" w:hAnsi="Times New Roman" w:cs="Times New Roman"/>
                <w:sz w:val="20"/>
                <w:szCs w:val="20"/>
              </w:rPr>
              <w:fldChar w:fldCharType="end"/>
            </w:r>
          </w:p>
        </w:tc>
        <w:tc>
          <w:tcPr>
            <w:tcW w:w="357" w:type="pct"/>
          </w:tcPr>
          <w:p w14:paraId="056482C2"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7BF8F4DC"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18D69875"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14" w:type="pct"/>
          </w:tcPr>
          <w:p w14:paraId="7BA36FC8"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48043D19"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02" w:type="pct"/>
          </w:tcPr>
          <w:p w14:paraId="65A8C238"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48" w:type="pct"/>
          </w:tcPr>
          <w:p w14:paraId="162FCBE4"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98" w:type="pct"/>
          </w:tcPr>
          <w:p w14:paraId="42ADB2BC"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679" w:type="pct"/>
          </w:tcPr>
          <w:p w14:paraId="1CAEA606"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r>
      <w:tr w:rsidR="00ED5CE9" w:rsidRPr="003676D3" w14:paraId="5D2BC9C2" w14:textId="77777777" w:rsidTr="00ED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4501D81D"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{"citationItems":[{"id":"ITEM-1","itemData":{"DOI":"10.3390/BDCC6020047","ISSN":"2504-2289","abstract":"Smart grids (SG) are electricity grids that communicate with each other, provide reliable information, and enable administrators to operate energy supplies across the country, ensuring optimized reliability and efficiency. The smart grid contains sensors that measure and transmit data to adjust the flow of electricity automatically based on supply/demand, and thus, responding to problems becomes quicker and easier. This also plays a crucial role in controlling carbon emissions, by avoiding energy losses during peak load hours and ensuring optimal energy management. The scope of big data analytics in smart grids is huge, as they collect information from raw data and derive intelligent information from the same. However, these benefits of the smart grid are dependent on the active and voluntary participation of the consumers in real-time. Consumers need to be motivated and conscious to avail themselves of the achievable benefits. Incentivizing the appropriate actor is an absolute necessity to encourage prosumers to generate renewable energy sources (RES) and motivate industries to establish plants that support sustainable and green-energy-based processes or products. The current study emphasizes similar aspects and presents a comprehensive survey of the start-of-the-art contributions pertinent to incentive mechanisms in smart grids, which can be used in smart grids to optimize the power distribution during peak times and also reduce carbon emissions. The various technologies, such as game theory, blockchain, and artificial intelligence, used in implementing incentive mechanisms in smart grids are discussed, followed by different incentive projects being implemented across the globe. The lessons learnt, challenges faced in such implementations, and open issues such as data quality, privacy, security, and pricing related to incentive mechanisms in SG are identified to guide the future scope of research in this sector.","author":[{"dropping-particle":"","family":"Bhattacharya","given":"Sweta","non-dropping-particle":"","parse-names":false,"suffix":""},{"dropping-particle":"","family":"Chengoden","given":"Rajeswari","non-dropping-particle":"","parse-names":false,"suffix":""},{"dropping-particle":"","family":"Srivastava","given":"Gautam","non-dropping-particle":"","parse-names":false,"suffix":""},{"dropping-particle":"","family":"Alazab","given":"Mamoun","non-dropping-particle":"","parse-names":false,"suffix":""},{"dropping-particle":"","family":"Javed","given":"Abdul Rehman","non-dropping-particle":"","parse-names":false,"suffix":""},{"dropping-particle":"","family":"Victor","given":"Nancy","non-dropping-particle":"","parse-names":false,"suffix":""},{"dropping-particle":"","family":"Maddikunta","given":"Praveen Kumar Reddy","non-dropping-particle":"","parse-names":false,"suffix":""},{"dropping-particle":"","family":"Gadekallu","given":"Thippa Reddy","non-dropping-particle":"","parse-names":false,"suffix":""}],"container-title":"Big Data and Cognitive Computing 2022, Vol. 6, Page 47","id":"ITEM-1","issue":"2","issued":{"date-parts":[["2022","4","27"]]},"page":"47","publisher":"Multidisciplinary Digital Publishing Institute","title":"Incentive Mechanisms for Smart Grid: State of the Art, Challenges, Open Issues, Future Directions","type":"article-journal","volume":"6"},"uris":["http://www.mendeley.com/documents/?uuid=a46c14f4-f20b-3372-89e3-9a89c9278d14"]}],"mendeley":{"formattedCitation":"[24]","plainTextFormattedCitation":"[24]","previouslyFormattedCitation":"[24]"},"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[24]</w:t>
            </w:r>
            <w:r w:rsidRPr="003676D3">
              <w:rPr>
                <w:rFonts w:ascii="Times New Roman" w:hAnsi="Times New Roman" w:cs="Times New Roman"/>
                <w:sz w:val="20"/>
                <w:szCs w:val="20"/>
              </w:rPr>
              <w:fldChar w:fldCharType="end"/>
            </w:r>
          </w:p>
        </w:tc>
        <w:tc>
          <w:tcPr>
            <w:tcW w:w="357" w:type="pct"/>
          </w:tcPr>
          <w:p w14:paraId="72CCB90F"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32E45D33"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7DD844F7"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14" w:type="pct"/>
          </w:tcPr>
          <w:p w14:paraId="6CDAB6F5"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1DA9BF54"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02" w:type="pct"/>
          </w:tcPr>
          <w:p w14:paraId="141DC9C4"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48" w:type="pct"/>
          </w:tcPr>
          <w:p w14:paraId="55D22C48"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98" w:type="pct"/>
          </w:tcPr>
          <w:p w14:paraId="7AF9BC51"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679" w:type="pct"/>
          </w:tcPr>
          <w:p w14:paraId="59BA5A6C"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r w:rsidR="00CC49AF" w:rsidRPr="003676D3" w14:paraId="51343E14" w14:textId="77777777" w:rsidTr="00ED5CE9">
        <w:tc>
          <w:tcPr>
            <w:cnfStyle w:val="001000000000" w:firstRow="0" w:lastRow="0" w:firstColumn="1" w:lastColumn="0" w:oddVBand="0" w:evenVBand="0" w:oddHBand="0" w:evenHBand="0" w:firstRowFirstColumn="0" w:firstRowLastColumn="0" w:lastRowFirstColumn="0" w:lastRowLastColumn="0"/>
            <w:tcW w:w="499" w:type="pct"/>
          </w:tcPr>
          <w:p w14:paraId="73E80039"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{"citationItems":[{"id":"ITEM-1","itemData":{"DOI":"10.1016/J.IOT.2023.100884","ISSN":"2542-6605","abstract":"Recent years have witnessed a global trend toward the metaverse. The metaverse is a collection of immersive and interconnected digital spaces in which users can interact through computer-generated environments. As smart cities aim to enhance the experiences of their citizens by improving infrastructure, modernizing government services, increasing accessibility, accelerating economic growth, and promoting sustainability, the metaverse has the potential to significantly revolutionize, reshape, and transform smart cities. In this paper, we discuss how leveraging the metaverse for smart cities can stimulate innovations and bring about major improvements. We discuss the key enabling technologies for the metaverse, along with the premier benefits of adopting this technology and the opportunities it presents for smart city applications. We present ongoing projects and case studies to showcase the practicality of metaverse technology across various industries. Furthermore, we identify and discuss critical research challenges that currently impede the realization of the full potential of the metaverse. Finally, we outline future research directions that can be pursued to further the development of the metaverse and its integration with smart cities.","author":[{"dropping-particle":"","family":"Yaqoob","given":"Ibrar","non-dropping-particle":"","parse-names":false,"suffix":""},{"dropping-particle":"","family":"Salah","given":"Khaled","non-dropping-particle":"","parse-names":false,"suffix":""},{"dropping-particle":"","family":"Jayaraman","given":"Raja","non-dropping-particle":"","parse-names":false,"suffix":""},{"dropping-particle":"","family":"Omar","given":"Mohammed","non-dropping-particle":"","parse-names":false,"suffix":""}],"container-title":"Internet of Things","id":"ITEM-1","issued":{"date-parts":[["2023","10","1"]]},"page":"100884","publisher":"Elsevier","title":"Metaverse applications in smart cities: Enabling technologies, opportunities, challenges, and future directions","type":"article-journal","volume":"23"},"uris":["http://www.mendeley.com/documents/?uuid=804308e3-d7f0-3583-85fd-b8080d27e0fa"]}],"mendeley":{"formattedCitation":"[25]","plainTextFormattedCitation":"[25]","previouslyFormattedCitation":"[25]"},"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[25]</w:t>
            </w:r>
            <w:r w:rsidRPr="003676D3">
              <w:rPr>
                <w:rFonts w:ascii="Times New Roman" w:hAnsi="Times New Roman" w:cs="Times New Roman"/>
                <w:sz w:val="20"/>
                <w:szCs w:val="20"/>
              </w:rPr>
              <w:fldChar w:fldCharType="end"/>
            </w:r>
          </w:p>
        </w:tc>
        <w:tc>
          <w:tcPr>
            <w:tcW w:w="357" w:type="pct"/>
          </w:tcPr>
          <w:p w14:paraId="265D885D"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6D4522C9"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10547268"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14" w:type="pct"/>
          </w:tcPr>
          <w:p w14:paraId="12B5BD27"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58" w:type="pct"/>
          </w:tcPr>
          <w:p w14:paraId="61262B93"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02" w:type="pct"/>
          </w:tcPr>
          <w:p w14:paraId="10629F44"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48" w:type="pct"/>
          </w:tcPr>
          <w:p w14:paraId="3284A6A8"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98" w:type="pct"/>
          </w:tcPr>
          <w:p w14:paraId="25FA424A"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679" w:type="pct"/>
          </w:tcPr>
          <w:p w14:paraId="0CCDE0C3"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r w:rsidR="00ED5CE9" w:rsidRPr="003676D3" w14:paraId="4967942F" w14:textId="77777777" w:rsidTr="00ED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5C3E69AB"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{"citationItems":[{"id":"ITEM-1","itemData":{"DOI":"10.1016/J.ASEJ.2020.05.004","ISSN":"2090-4479","abstract":"With the advancement in technology, there is an immense increase in the demand of electrical energy that has not only become challenge for its production but also its distribution. So this rising demand is growing the complexities of power grids by increasing requirement for greater reliability, efficiency, security and environmental and energy sustainability concerns. These feature in a power grid towards smartness which eventually known as a today's concept of “Smart Grid”. This is a conceptual technique in which all smart features are implemented in order to increase the distribution system of electricity efficient, more reliable and sustainable. In this article an overview of “Smart Grids” with its features and its different aspects on power distribution industry has been presented. It is also explained that how these technologies change and have more potential to evolve and strength the distribution system.","author":[{"dropping-particle":"","family":"Majeed Butt","given":"Osama","non-dropping-particle":"","parse-names":false,"suffix":""},{"dropping-particle":"","family":"Zulqarnain","given":"Muhammad","non-dropping-particle":"","parse-names":false,"suffix":""},{"dropping-particle":"","family":"Majeed Butt","given":"Tallal","non-dropping-particle":"","parse-names":false,"suffix":""}],"container-title":"Ain Shams Engineering Journal","id":"ITEM-1","issue":"1","issued":{"date-parts":[["2021","3","1"]]},"page":"687-695","publisher":"Elsevier","title":"Recent advancement in smart grid technology: Future prospects in the electrical power network","type":"article-journal","volume":"12"},"uris":["http://www.mendeley.com/documents/?uuid=acbfdd79-3998-34b7-8240-6d64f11505f9"]}],"mendeley":{"formattedCitation":"[26]","plainTextFormattedCitation":"[26]","previouslyFormattedCitation":"[26]"},"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[26]</w:t>
            </w:r>
            <w:r w:rsidRPr="003676D3">
              <w:rPr>
                <w:rFonts w:ascii="Times New Roman" w:hAnsi="Times New Roman" w:cs="Times New Roman"/>
                <w:sz w:val="20"/>
                <w:szCs w:val="20"/>
              </w:rPr>
              <w:fldChar w:fldCharType="end"/>
            </w:r>
          </w:p>
        </w:tc>
        <w:tc>
          <w:tcPr>
            <w:tcW w:w="357" w:type="pct"/>
          </w:tcPr>
          <w:p w14:paraId="6168AE3E"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07F17AA9"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55FB5BB7"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14" w:type="pct"/>
          </w:tcPr>
          <w:p w14:paraId="26FA6FC5"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709EAECE"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02" w:type="pct"/>
          </w:tcPr>
          <w:p w14:paraId="12A517AA"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48" w:type="pct"/>
          </w:tcPr>
          <w:p w14:paraId="62898DED"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98" w:type="pct"/>
          </w:tcPr>
          <w:p w14:paraId="5216ADA4"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679" w:type="pct"/>
          </w:tcPr>
          <w:p w14:paraId="4B103FAC"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r w:rsidR="00CC49AF" w:rsidRPr="003676D3" w14:paraId="55B9CFEF" w14:textId="77777777" w:rsidTr="00ED5CE9">
        <w:tc>
          <w:tcPr>
            <w:cnfStyle w:val="001000000000" w:firstRow="0" w:lastRow="0" w:firstColumn="1" w:lastColumn="0" w:oddVBand="0" w:evenVBand="0" w:oddHBand="0" w:evenHBand="0" w:firstRowFirstColumn="0" w:firstRowLastColumn="0" w:lastRowFirstColumn="0" w:lastRowLastColumn="0"/>
            <w:tcW w:w="499" w:type="pct"/>
          </w:tcPr>
          <w:p w14:paraId="25AC9BBA"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{"citationItems":[{"id":"ITEM-1","itemData":{"DOI":"10.1016/J.RSER.2023.113185","ISSN":"1364-0321","abstract":"With its potentially disruptive nature, the smart grid can be viewed from both a transformational and an innovation systems perspective. Synthesising these, a research approach is adopted in which a Technological Innovation System (TIS) analysis is combined with a transformational perspective to identify a broader range of success and failure factors. This study analyses smart grid innovation system development. The main research question is: What systemic and transformational failures are identified in the development of smart grid innovation in the Netherlands from 2001 to 2021 by combining TIS and a transformational perspective? The question is answered by mapping the events to TIS functions and identifying both ‘systemic failures’ and ‘transformational failures’. Transformational failures are linked to events outside the smart grid TIS that work against the alignment and harmonising of activities within the TIS. Results show that the smart grid innovation system experienced three periods and that it suffers from various structural and transformational failures. TIS functions like knowledge diffusion, and the creation of legitimacy were only fulfilled to a limited extent. Consequently, smart grid innovation is currently still not considered a mainstream technology in the energy transition, and there is little attention to the role of end-users. The study ends with suggestions for future research, including the suitability of the research approach for other contexts and when applied to other energy system innovations.","author":[{"dropping-particle":"","family":"Norouzi","given":"F.","non-dropping-particle":"","parse-names":false,"suffix":""},{"dropping-particle":"","family":"Hoppe","given":"T.","non-dropping-particle":"","parse-names":false,"suffix":""},{"dropping-particle":"","family":"Kamp","given":"L. M.","non-dropping-particle":"","parse-names":false,"suffix":""},{"dropping-particle":"","family":"Manktelow","given":"C.","non-dropping-particle":"","parse-names":false,"suffix":""},{"dropping-particle":"","family":"Bauer","given":"P.","non-dropping-particle":"","parse-names":false,"suffix":""}],"container-title":"Renewable and Sustainable Energy Reviews","id":"ITEM-1","issued":{"date-parts":[["2023","4","1"]]},"page":"113185","publisher":"Pergamon","title":"Diagnosis of the implementation of smart grid innovation in The Netherlands and corrective actions","type":"article-journal","volume":"175"},"uris":["http://www.mendeley.com/documents/?uuid=351964e1-9231-342c-9c47-2274e33a90e6"]}],"mendeley":{"formattedCitation":"[18]","plainTextFormattedCitation":"[18]","previouslyFormattedCitation":"[18]"},"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[18]</w:t>
            </w:r>
            <w:r w:rsidRPr="003676D3">
              <w:rPr>
                <w:rFonts w:ascii="Times New Roman" w:hAnsi="Times New Roman" w:cs="Times New Roman"/>
                <w:sz w:val="20"/>
                <w:szCs w:val="20"/>
              </w:rPr>
              <w:fldChar w:fldCharType="end"/>
            </w:r>
          </w:p>
        </w:tc>
        <w:tc>
          <w:tcPr>
            <w:tcW w:w="357" w:type="pct"/>
          </w:tcPr>
          <w:p w14:paraId="69DF0170"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2B4721D8"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62EA347B"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14" w:type="pct"/>
          </w:tcPr>
          <w:p w14:paraId="4DEC4ACB"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7CFE2E1A"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02" w:type="pct"/>
          </w:tcPr>
          <w:p w14:paraId="3E3B8BEA"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48" w:type="pct"/>
          </w:tcPr>
          <w:p w14:paraId="0D735C37"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98" w:type="pct"/>
          </w:tcPr>
          <w:p w14:paraId="1DA5530B"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679" w:type="pct"/>
          </w:tcPr>
          <w:p w14:paraId="6A6F9526"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r>
      <w:tr w:rsidR="00ED5CE9" w:rsidRPr="003676D3" w14:paraId="34B712A2" w14:textId="77777777" w:rsidTr="00ED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546AEAB3"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{"citationItems":[{"id":"ITEM-1","itemData":{"DOI":"10.1109/ACCESS.2020.2968402","ISSN":"21693536","abstract":"Prosumer concept and digitilization offer the exciting potential of microgrid transactive energy systems at distribution level for reducing transmission losses, decreasing electric infrastructure expenditure, improving reliability, enhancing local energy use, and minimizing customers' electricity bills. Distributed energy resources, demand response, distributed ledger technologies, and local energy markets are integral parts of transaction energy system for emergence of decentralized smart grid system. Hence, this paper discusses transactive energy concept and proposes seven functional layers architecture for designing transactive energy system. The proposed architecture is compared with practical case study of Brooklyn microgrid. Moreover, this paper reviews the existing architectures and explains the widely known distributed ledger technologies (blockchain, directed acyclic graph, hashgraph, holochain, and tempo) alongwith their advantages and challenges. The local energy market concept is presented and critically analyzed for energy trade within a transactive energy system. This paper also reviews the potential and challenges of peer-to-peer and community-based energy markets. Proposed architecture and analytical review of distributed ledger technologies and local energy markets pave the way for advanced research and industrialization of transactive energy systems.","author":[{"dropping-particle":"","family":"Zia","given":"Muhammad F.","non-dropping-particle":"","parse-names":false,"suffix":""},{"dropping-particle":"","family":"Benbouzid","given":"Mohamed","non-dropping-particle":"","parse-names":false,"suffix":""},{"dropping-particle":"","family":"Elbouchikhi","given":"Elhoussin","non-dropping-particle":"","parse-names":false,"suffix":""},{"dropping-particle":"","family":"Muyeen","given":"S. M.","non-dropping-particle":"","parse-names":false,"suffix":""},{"dropping-particle":"","family":"Techato","given":"Kuaanan","non-dropping-particle":"","parse-names":false,"suffix":""},{"dropping-particle":"","family":"Guerrero","given":"Josep M.","non-dropping-particle":"","parse-names":false,"suffix":""}],"container-title":"IEEE Access","id":"ITEM-1","issued":{"date-parts":[["2020"]]},"page":"19410-19432","publisher":"Institute of Electrical and Electronics Engineers Inc.","title":"Microgrid transactive energy: Review, architectures, distributed ledger technologies, and market analysis","type":"article-journal","volume":"8"},"uris":["http://www.mendeley.com/documents/?uuid=6c65e3da-63ca-36fa-b642-a62d8c75c4b7"]}],"mendeley":{"formattedCitation":"[27]","plainTextFormattedCitation":"[27]","previouslyFormattedCitation":"[27]"},"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[27]</w:t>
            </w:r>
            <w:r w:rsidRPr="003676D3">
              <w:rPr>
                <w:rFonts w:ascii="Times New Roman" w:hAnsi="Times New Roman" w:cs="Times New Roman"/>
                <w:sz w:val="20"/>
                <w:szCs w:val="20"/>
              </w:rPr>
              <w:fldChar w:fldCharType="end"/>
            </w:r>
          </w:p>
        </w:tc>
        <w:tc>
          <w:tcPr>
            <w:tcW w:w="357" w:type="pct"/>
          </w:tcPr>
          <w:p w14:paraId="24BABDEE"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78" w:type="pct"/>
          </w:tcPr>
          <w:p w14:paraId="2B151254"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68" w:type="pct"/>
          </w:tcPr>
          <w:p w14:paraId="626CE333"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14" w:type="pct"/>
          </w:tcPr>
          <w:p w14:paraId="06550EB2"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08217D1D"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02" w:type="pct"/>
          </w:tcPr>
          <w:p w14:paraId="07C968BA"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48" w:type="pct"/>
          </w:tcPr>
          <w:p w14:paraId="54C35AF8"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98" w:type="pct"/>
          </w:tcPr>
          <w:p w14:paraId="6585CD29"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679" w:type="pct"/>
          </w:tcPr>
          <w:p w14:paraId="591C7B67"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r w:rsidR="00CC49AF" w:rsidRPr="003676D3" w14:paraId="35520B8A" w14:textId="77777777" w:rsidTr="00ED5CE9">
        <w:tc>
          <w:tcPr>
            <w:cnfStyle w:val="001000000000" w:firstRow="0" w:lastRow="0" w:firstColumn="1" w:lastColumn="0" w:oddVBand="0" w:evenVBand="0" w:oddHBand="0" w:evenHBand="0" w:firstRowFirstColumn="0" w:firstRowLastColumn="0" w:lastRowFirstColumn="0" w:lastRowLastColumn="0"/>
            <w:tcW w:w="499" w:type="pct"/>
          </w:tcPr>
          <w:p w14:paraId="6E52A020"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b w:val="0"/>
                <w:bCs w:val="0"/>
                <w:sz w:val="20"/>
                <w:szCs w:val="20"/>
              </w:rPr>
              <w:instrText>ADDIN CSL_CITATION {"citationItems":[{"id":"ITEM-1","itemData":{"DOI":"10.1109/ACCESS.2023.3296152","ISSN":"21693536","abstract":"For a utility company to reduce CO2} emissions along with managing load demands, it must strive for a 100 percent renewable electrical power generation. Europe takes initiatives to achieve this goal by developing a super smart grid (SSG) based on renewable energy resources (RERs) by 2050. The SSG is based on two exclusive alternatives: wide area and decentralized power generation using large number of RERs. Before developing such SSG, there is a need to address the critical issues associated with RERs, i.e., load flow balancing and transients stability. Considering a reliability issue involved with RERs and the random deviations between demand response and generation response patterns, load flow balancing and transient stability become challenging research issues in SSGs. These technical issues are also considered to be more challenging, if an unexpected outage in the form of an occurrence of three phase (L-L-L) faults (TPF) arises in SSGs, due to power quality disturbances. To address this problem, load flow balancing probabilistic modeling is performed in this research paper in order to formulate the complexity of randomness between generation and demand response patterns through transmission network planning (TNP) in the form of a super smart node (SSN) transmission network infrastructure. Moreover, a further optimization in SSN transmission network has been done with the addition of a cooperative control strategies in terms of an integrating vehicle to grid (V2G) technology in SSN transmission network in order to achieve further enhancement in load flow balancing and transient stability in SSGs. Furthermore, as SSGs power infrastructure is based on different clusters, therefore in order to accommodate various clusters for load flow balancing, a continuous spinning reserve (CSRs) probabilistic modeling has also been performed in this paper in terms of its integration in SSN transmission network. Considering above probabilistic analysis, future contingencies are easily predictable, before any kind of disruptive changes arises in a SSGs due an occurrence of a TPF. Moreover, from simulation results as performed in this paper, we can easily verified that our proposed probabilistic algorithm of load flow balancing and transients stability outperforms existing literature work and can also achieved near optimal performance, even for a broad range of variations in load and also in case of an arising of significant power quality disturbances in SSGs due to an…","author":[{"dropping-particle":"","family":"Adnan","given":"Muhammad","non-dropping-particle":"","parse-names":false,"suffix":""},{"dropping-particle":"","family":"Ghadi","given":"Yazeed","non-dropping-particle":"","parse-names":false,"suffix":""},{"dropping-particle":"","family":"Ahmed","given":"Ijaz","non-dropping-particle":"","parse-names":false,"suffix":""},{"dropping-particle":"","family":"Ali","given":"Mansoor","non-dropping-particle":"","parse-names":false,"suffix":""}],"container-title":"IEEE Access","id":"ITEM-1","issued":{"date-parts":[["2023"]]},"page":"77163-77227","publisher":"Institute of Electrical and Electronics Engineers Inc.","title":"Transmission Network Planning in Super Smart Grids: A Survey","type":"article-journal","volume":"11"},"uris":["http://www.mendeley.com/documents/?uuid=613b882a-da3b-37c4-9b98-343e80eed554"]}],"mendeley":{"formattedCitation":"[28]","plainTextFormattedCitation":"[28]","previouslyFormattedCitation":"[28]"},"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bCs w:val="0"/>
                <w:noProof/>
                <w:sz w:val="20"/>
                <w:szCs w:val="20"/>
              </w:rPr>
              <w:t>[28]</w:t>
            </w:r>
            <w:r w:rsidRPr="003676D3">
              <w:rPr>
                <w:rFonts w:ascii="Times New Roman" w:hAnsi="Times New Roman" w:cs="Times New Roman"/>
                <w:sz w:val="20"/>
                <w:szCs w:val="20"/>
              </w:rPr>
              <w:fldChar w:fldCharType="end"/>
            </w:r>
          </w:p>
        </w:tc>
        <w:tc>
          <w:tcPr>
            <w:tcW w:w="357" w:type="pct"/>
          </w:tcPr>
          <w:p w14:paraId="72D5CC34"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78" w:type="pct"/>
          </w:tcPr>
          <w:p w14:paraId="0F07EC57"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68" w:type="pct"/>
          </w:tcPr>
          <w:p w14:paraId="3E028C6A"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14" w:type="pct"/>
          </w:tcPr>
          <w:p w14:paraId="02D18AF0"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58" w:type="pct"/>
          </w:tcPr>
          <w:p w14:paraId="3BCBD727"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02" w:type="pct"/>
          </w:tcPr>
          <w:p w14:paraId="1609D554"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548" w:type="pct"/>
          </w:tcPr>
          <w:p w14:paraId="1249C00D"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398" w:type="pct"/>
          </w:tcPr>
          <w:p w14:paraId="32595F9B"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B"/>
            </w:r>
          </w:p>
        </w:tc>
        <w:tc>
          <w:tcPr>
            <w:tcW w:w="679" w:type="pct"/>
          </w:tcPr>
          <w:p w14:paraId="29B58F95" w14:textId="77777777" w:rsidR="00970A38" w:rsidRPr="003676D3" w:rsidRDefault="00970A3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r w:rsidR="00ED5CE9" w:rsidRPr="003676D3" w14:paraId="27A42675" w14:textId="77777777" w:rsidTr="00ED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Pr>
          <w:p w14:paraId="279180C1" w14:textId="77777777" w:rsidR="00970A38" w:rsidRPr="003676D3" w:rsidRDefault="00970A38"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This Study</w:t>
            </w:r>
          </w:p>
        </w:tc>
        <w:tc>
          <w:tcPr>
            <w:tcW w:w="357" w:type="pct"/>
          </w:tcPr>
          <w:p w14:paraId="14053ADE"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78" w:type="pct"/>
          </w:tcPr>
          <w:p w14:paraId="27B00674"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68" w:type="pct"/>
          </w:tcPr>
          <w:p w14:paraId="26F465A3"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14" w:type="pct"/>
          </w:tcPr>
          <w:p w14:paraId="08EBDB5C"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58" w:type="pct"/>
          </w:tcPr>
          <w:p w14:paraId="5B4B144A"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02" w:type="pct"/>
          </w:tcPr>
          <w:p w14:paraId="6A5639BD"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548" w:type="pct"/>
          </w:tcPr>
          <w:p w14:paraId="08F20638"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398" w:type="pct"/>
          </w:tcPr>
          <w:p w14:paraId="47E53DCD"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c>
          <w:tcPr>
            <w:tcW w:w="679" w:type="pct"/>
          </w:tcPr>
          <w:p w14:paraId="4080C8CD" w14:textId="77777777" w:rsidR="00970A38" w:rsidRPr="003676D3" w:rsidRDefault="00970A3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sym w:font="Wingdings" w:char="F0FC"/>
            </w:r>
          </w:p>
        </w:tc>
      </w:tr>
    </w:tbl>
    <w:p w14:paraId="6B858845" w14:textId="77777777" w:rsidR="00970A38" w:rsidRPr="003676D3" w:rsidRDefault="00970A38" w:rsidP="003676D3">
      <w:pPr>
        <w:spacing w:line="276" w:lineRule="auto"/>
        <w:jc w:val="both"/>
        <w:rPr>
          <w:rFonts w:ascii="Times New Roman" w:hAnsi="Times New Roman" w:cs="Times New Roman"/>
        </w:rPr>
      </w:pPr>
    </w:p>
    <w:p w14:paraId="02437E83" w14:textId="570C74DC" w:rsidR="008E437B" w:rsidRPr="003676D3" w:rsidRDefault="008E437B" w:rsidP="003676D3">
      <w:pPr>
        <w:pStyle w:val="Heading1"/>
        <w:spacing w:line="276" w:lineRule="auto"/>
        <w:jc w:val="both"/>
        <w:rPr>
          <w:sz w:val="24"/>
          <w:szCs w:val="24"/>
        </w:rPr>
      </w:pPr>
      <w:r w:rsidRPr="003676D3">
        <w:rPr>
          <w:sz w:val="24"/>
          <w:szCs w:val="24"/>
        </w:rPr>
        <w:t>3</w:t>
      </w:r>
      <w:r w:rsidR="00C3384E" w:rsidRPr="003676D3">
        <w:rPr>
          <w:sz w:val="24"/>
          <w:szCs w:val="24"/>
        </w:rPr>
        <w:t>. European Power Grid</w:t>
      </w:r>
    </w:p>
    <w:p w14:paraId="45D5AA27" w14:textId="43658943" w:rsidR="009122EE" w:rsidRPr="003676D3" w:rsidRDefault="009122E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Europe</w:t>
      </w:r>
      <w:r w:rsidR="001D6C16" w:rsidRPr="003676D3">
        <w:rPr>
          <w:rFonts w:ascii="Times New Roman" w:hAnsi="Times New Roman" w:cs="Times New Roman"/>
          <w:sz w:val="24"/>
          <w:szCs w:val="24"/>
        </w:rPr>
        <w:t>an power grid is the most</w:t>
      </w:r>
      <w:r w:rsidRPr="003676D3">
        <w:rPr>
          <w:rFonts w:ascii="Times New Roman" w:hAnsi="Times New Roman" w:cs="Times New Roman"/>
          <w:sz w:val="24"/>
          <w:szCs w:val="24"/>
        </w:rPr>
        <w:t xml:space="preserve"> intac</w:t>
      </w:r>
      <w:r w:rsidR="001D6C16" w:rsidRPr="003676D3">
        <w:rPr>
          <w:rFonts w:ascii="Times New Roman" w:hAnsi="Times New Roman" w:cs="Times New Roman"/>
          <w:sz w:val="24"/>
          <w:szCs w:val="24"/>
        </w:rPr>
        <w:t>t and resilient</w:t>
      </w:r>
      <w:r w:rsidRPr="003676D3">
        <w:rPr>
          <w:rFonts w:ascii="Times New Roman" w:hAnsi="Times New Roman" w:cs="Times New Roman"/>
          <w:sz w:val="24"/>
          <w:szCs w:val="24"/>
        </w:rPr>
        <w:t xml:space="preserve"> grids around the world, with fully integrated energy markets. This modernized infrastructure </w:t>
      </w:r>
      <w:r w:rsidR="005F75B8" w:rsidRPr="003676D3">
        <w:rPr>
          <w:rFonts w:ascii="Times New Roman" w:hAnsi="Times New Roman" w:cs="Times New Roman"/>
          <w:sz w:val="24"/>
          <w:szCs w:val="24"/>
        </w:rPr>
        <w:t>ensures</w:t>
      </w:r>
      <w:r w:rsidRPr="003676D3">
        <w:rPr>
          <w:rFonts w:ascii="Times New Roman" w:hAnsi="Times New Roman" w:cs="Times New Roman"/>
          <w:sz w:val="24"/>
          <w:szCs w:val="24"/>
        </w:rPr>
        <w:t xml:space="preserve"> the reliable and inexpensive clean energy for the consumers. However, European Union (EU) is expected to experience a rise in electricity demand by 60% till year 2030.  This high demand is attributed to increasing share of renewable energy (RE) generation, electric vehicles, heating systems, and growing demand for hydrogen production as well as storage. In realistic terms, the grid </w:t>
      </w:r>
      <w:r w:rsidR="005F75B8" w:rsidRPr="003676D3">
        <w:rPr>
          <w:rFonts w:ascii="Times New Roman" w:hAnsi="Times New Roman" w:cs="Times New Roman"/>
          <w:sz w:val="24"/>
          <w:szCs w:val="24"/>
        </w:rPr>
        <w:t>needs</w:t>
      </w:r>
      <w:r w:rsidRPr="003676D3">
        <w:rPr>
          <w:rFonts w:ascii="Times New Roman" w:hAnsi="Times New Roman" w:cs="Times New Roman"/>
          <w:sz w:val="24"/>
          <w:szCs w:val="24"/>
        </w:rPr>
        <w:t xml:space="preserve"> to be more decentralised, flexible and digitalised by the end of the decade. According to European Green Deal</w:t>
      </w:r>
      <w:r w:rsidR="006C31FB" w:rsidRPr="003676D3">
        <w:rPr>
          <w:rFonts w:ascii="Times New Roman" w:hAnsi="Times New Roman" w:cs="Times New Roman"/>
          <w:sz w:val="24"/>
          <w:szCs w:val="24"/>
        </w:rPr>
        <w:t xml:space="preserve"> </w:t>
      </w:r>
      <w:r w:rsidR="006C31FB" w:rsidRPr="003676D3">
        <w:rPr>
          <w:rFonts w:ascii="Times New Roman" w:hAnsi="Times New Roman" w:cs="Times New Roman"/>
          <w:sz w:val="24"/>
          <w:szCs w:val="24"/>
        </w:rPr>
        <w:fldChar w:fldCharType="begin" w:fldLock="1"/>
      </w:r>
      <w:r w:rsidR="006C31FB" w:rsidRPr="003676D3">
        <w:rPr>
          <w:rFonts w:ascii="Times New Roman" w:hAnsi="Times New Roman" w:cs="Times New Roman"/>
          <w:sz w:val="24"/>
          <w:szCs w:val="24"/>
        </w:rPr>
        <w:instrText>ADDIN CSL_CITATION {"citationItems":[{"id":"ITEM-1","itemData":{"URL":"https://commission.europa.eu/strategy-and-policy/priorities-2019-2024/european-green-deal_en","accessed":{"date-parts":[["2024","5","26"]]},"id":"ITEM-1","issued":{"date-parts":[["0"]]},"title":"The European Green Deal - European Commission","type":"webpage"},"uris":["http://www.mendeley.com/documents/?uuid=6769c1eb-e396-35a3-b48e-fde05232b683"]},{"id":"ITEM-2","itemData":{"URL":"https://commission.europa.eu/news/eu-wind-power-action-plan-keep-wind-power-european-success-story-2023-10-24_en","accessed":{"date-parts":[["2024","5","26"]]},"id":"ITEM-2","issued":{"date-parts":[["0"]]},"title":"An EU Wind Power Action Plan to keep wind power a European success story - European Commission","type":"webpage"},"uris":["http://www.mendeley.com/documents/?uuid=09b3f5da-a000-3344-96a0-db262dca9236"]}],"mendeley":{"formattedCitation":"[29,30]","plainTextFormattedCitation":"[29,30]","previouslyFormattedCitation":"[29,30]"},"properties":{"noteIndex":0},"schema":"https://github.com/citation-style-language/schema/raw/master/csl-citation.json"}</w:instrText>
      </w:r>
      <w:r w:rsidR="006C31FB" w:rsidRPr="003676D3">
        <w:rPr>
          <w:rFonts w:ascii="Times New Roman" w:hAnsi="Times New Roman" w:cs="Times New Roman"/>
          <w:sz w:val="24"/>
          <w:szCs w:val="24"/>
        </w:rPr>
        <w:fldChar w:fldCharType="separate"/>
      </w:r>
      <w:r w:rsidR="006C31FB" w:rsidRPr="003676D3">
        <w:rPr>
          <w:rFonts w:ascii="Times New Roman" w:hAnsi="Times New Roman" w:cs="Times New Roman"/>
          <w:noProof/>
          <w:sz w:val="24"/>
          <w:szCs w:val="24"/>
        </w:rPr>
        <w:t>[29,30]</w:t>
      </w:r>
      <w:r w:rsidR="006C31FB"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6C31FB" w:rsidRPr="003676D3">
        <w:rPr>
          <w:rFonts w:ascii="Times New Roman" w:hAnsi="Times New Roman" w:cs="Times New Roman"/>
          <w:sz w:val="24"/>
          <w:szCs w:val="24"/>
        </w:rPr>
        <w:fldChar w:fldCharType="begin" w:fldLock="1"/>
      </w:r>
      <w:r w:rsidR="006C31FB" w:rsidRPr="003676D3">
        <w:rPr>
          <w:rFonts w:ascii="Times New Roman" w:hAnsi="Times New Roman" w:cs="Times New Roman"/>
          <w:sz w:val="24"/>
          <w:szCs w:val="24"/>
        </w:rPr>
        <w:instrText>ADDIN CSL_CITATION {"citationItems":[{"id":"ITEM-1","itemData":{"DOI":"10.1016/J.POLGEO.2023.102925","ISSN":"0962-6298","abstract":"The recent past has seen the proposal of multiple ‘Green New Deals’ across geographies as a means to fight against the climate crisis and ecological breakdown. Of these, the European Green Deal- EGD represents the world's first public commitment to reduce greenhouse gas emissions of at least 55% by 2030 compared to 1990 levels. Because the EGD plans to “transform the EU,” in this paper we examine how it fits within a historical continuum of colonial and neo-colonial relations. We argue that the EGD is the latest discursive strategy for the ‘greening' of empire through four registers: (1) turning ecological crises into profitable opportunities; (2) portraying the EU as a ‘moral’ intervener; (3) building on a ‘green' “will to improve”; and (4) securitizing and consolidating the empire. We find how the EU acts in key policy arenas of diplomacy, trade and investment leading to the ‘greening' of the empire that ensures its continued economic and political leadership while fundamentally maintaining a status quo. We conclude with some reflections on the role of the EU to cede place to other possibilities of building anti-colonial ecologies.","author":[{"dropping-particle":"","family":"Vela Almeida","given":"Diana","non-dropping-particle":"","parse-names":false,"suffix":""},{"dropping-particle":"","family":"Kolinjivadi","given":"Vijay","non-dropping-particle":"","parse-names":false,"suffix":""},{"dropping-particle":"","family":"Ferrando","given":"Tomaso","non-dropping-particle":"","parse-names":false,"suffix":""},{"dropping-particle":"","family":"Roy","given":"Brototi","non-dropping-particle":"","parse-names":false,"suffix":""},{"dropping-particle":"","family":"Herrera","given":"Héctor","non-dropping-particle":"","parse-names":false,"suffix":""},{"dropping-particle":"","family":"Vecchione Gonçalves","given":"Marcela","non-dropping-particle":"","parse-names":false,"suffix":""},{"dropping-particle":"","family":"Hecken","given":"Gert","non-dropping-particle":"Van","parse-names":false,"suffix":""}],"container-title":"Political Geography","id":"ITEM-1","issued":{"date-parts":[["2023","8","1"]]},"page":"102925","publisher":"Pergamon","title":"The “Greening” of Empire: The European Green Deal as the EU first agenda","type":"article-journal","volume":"105"},"uris":["http://www.mendeley.com/documents/?uuid=9a0f1006-f3cd-3ad1-a0ff-8cc84c66493a"]}],"mendeley":{"formattedCitation":"[31]","plainTextFormattedCitation":"[31]","previouslyFormattedCitation":"[31]"},"properties":{"noteIndex":0},"schema":"https://github.com/citation-style-language/schema/raw/master/csl-citation.json"}</w:instrText>
      </w:r>
      <w:r w:rsidR="006C31FB" w:rsidRPr="003676D3">
        <w:rPr>
          <w:rFonts w:ascii="Times New Roman" w:hAnsi="Times New Roman" w:cs="Times New Roman"/>
          <w:sz w:val="24"/>
          <w:szCs w:val="24"/>
        </w:rPr>
        <w:fldChar w:fldCharType="separate"/>
      </w:r>
      <w:r w:rsidR="006C31FB" w:rsidRPr="003676D3">
        <w:rPr>
          <w:rFonts w:ascii="Times New Roman" w:hAnsi="Times New Roman" w:cs="Times New Roman"/>
          <w:noProof/>
          <w:sz w:val="24"/>
          <w:szCs w:val="24"/>
        </w:rPr>
        <w:t>[31]</w:t>
      </w:r>
      <w:r w:rsidR="006C31FB"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upgradation of the conventional grid and increasing the cross-border </w:t>
      </w:r>
      <w:r w:rsidRPr="003676D3">
        <w:rPr>
          <w:rFonts w:ascii="Times New Roman" w:hAnsi="Times New Roman" w:cs="Times New Roman"/>
          <w:sz w:val="24"/>
          <w:szCs w:val="24"/>
        </w:rPr>
        <w:lastRenderedPageBreak/>
        <w:t>transmission capacity requires</w:t>
      </w:r>
      <w:r w:rsidR="005E3DB3" w:rsidRPr="003676D3">
        <w:rPr>
          <w:rFonts w:ascii="Times New Roman" w:hAnsi="Times New Roman" w:cs="Times New Roman"/>
          <w:sz w:val="24"/>
          <w:szCs w:val="24"/>
        </w:rPr>
        <w:t xml:space="preserve"> an</w:t>
      </w:r>
      <w:r w:rsidRPr="003676D3">
        <w:rPr>
          <w:rFonts w:ascii="Times New Roman" w:hAnsi="Times New Roman" w:cs="Times New Roman"/>
          <w:sz w:val="24"/>
          <w:szCs w:val="24"/>
        </w:rPr>
        <w:t xml:space="preserve"> investment of 584 billion euros</w:t>
      </w:r>
      <w:r w:rsidR="006C31FB" w:rsidRPr="003676D3">
        <w:rPr>
          <w:rFonts w:ascii="Times New Roman" w:hAnsi="Times New Roman" w:cs="Times New Roman"/>
          <w:sz w:val="24"/>
          <w:szCs w:val="24"/>
        </w:rPr>
        <w:t xml:space="preserve"> </w:t>
      </w:r>
      <w:r w:rsidR="00F86D67" w:rsidRPr="003676D3">
        <w:rPr>
          <w:rFonts w:ascii="Times New Roman" w:hAnsi="Times New Roman" w:cs="Times New Roman"/>
          <w:sz w:val="24"/>
          <w:szCs w:val="24"/>
        </w:rPr>
        <w:t>, while ENTSO-E projects an investment of 700 billion euros till year 2050</w:t>
      </w:r>
      <w:r w:rsidR="006C31FB" w:rsidRPr="003676D3">
        <w:rPr>
          <w:rFonts w:ascii="Times New Roman" w:hAnsi="Times New Roman" w:cs="Times New Roman"/>
          <w:sz w:val="24"/>
          <w:szCs w:val="24"/>
        </w:rPr>
        <w:t xml:space="preserve"> </w:t>
      </w:r>
      <w:r w:rsidR="006C31FB" w:rsidRPr="003676D3">
        <w:rPr>
          <w:rFonts w:ascii="Times New Roman" w:hAnsi="Times New Roman" w:cs="Times New Roman"/>
          <w:sz w:val="24"/>
          <w:szCs w:val="24"/>
        </w:rPr>
        <w:fldChar w:fldCharType="begin" w:fldLock="1"/>
      </w:r>
      <w:r w:rsidR="006C31FB" w:rsidRPr="003676D3">
        <w:rPr>
          <w:rFonts w:ascii="Times New Roman" w:hAnsi="Times New Roman" w:cs="Times New Roman"/>
          <w:sz w:val="24"/>
          <w:szCs w:val="24"/>
        </w:rPr>
        <w:instrText>ADDIN CSL_CITATION {"citationItems":[{"id":"ITEM-1","itemData":{"URL":"https://www.entsoe.eu/news/2023/11/16/entso-es-recommendations-for-the-announced-eu-grid-action-plan/","accessed":{"date-parts":[["2024","5","26"]]},"id":"ITEM-1","issued":{"date-parts":[["0"]]},"title":"ENTSO-E's Recommendations for the Announced EU Grid Action Plan","type":"webpage"},"uris":["http://www.mendeley.com/documents/?uuid=8cca54e7-6fdb-3eed-ba1e-48d1130293fa"]}],"mendeley":{"formattedCitation":"[32]","plainTextFormattedCitation":"[32]","previouslyFormattedCitation":"[32]"},"properties":{"noteIndex":0},"schema":"https://github.com/citation-style-language/schema/raw/master/csl-citation.json"}</w:instrText>
      </w:r>
      <w:r w:rsidR="006C31FB" w:rsidRPr="003676D3">
        <w:rPr>
          <w:rFonts w:ascii="Times New Roman" w:hAnsi="Times New Roman" w:cs="Times New Roman"/>
          <w:sz w:val="24"/>
          <w:szCs w:val="24"/>
        </w:rPr>
        <w:fldChar w:fldCharType="separate"/>
      </w:r>
      <w:r w:rsidR="006C31FB" w:rsidRPr="003676D3">
        <w:rPr>
          <w:rFonts w:ascii="Times New Roman" w:hAnsi="Times New Roman" w:cs="Times New Roman"/>
          <w:noProof/>
          <w:sz w:val="24"/>
          <w:szCs w:val="24"/>
        </w:rPr>
        <w:t>[32]</w:t>
      </w:r>
      <w:r w:rsidR="006C31FB" w:rsidRPr="003676D3">
        <w:rPr>
          <w:rFonts w:ascii="Times New Roman" w:hAnsi="Times New Roman" w:cs="Times New Roman"/>
          <w:sz w:val="24"/>
          <w:szCs w:val="24"/>
        </w:rPr>
        <w:fldChar w:fldCharType="end"/>
      </w:r>
      <w:r w:rsidR="00F86D67" w:rsidRPr="003676D3">
        <w:rPr>
          <w:rFonts w:ascii="Times New Roman" w:hAnsi="Times New Roman" w:cs="Times New Roman"/>
          <w:sz w:val="24"/>
          <w:szCs w:val="24"/>
        </w:rPr>
        <w:t>.</w:t>
      </w:r>
    </w:p>
    <w:p w14:paraId="30ED78E1" w14:textId="5B03797A" w:rsidR="0079227B" w:rsidRPr="003676D3" w:rsidRDefault="0079227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To meet the target of achieving 50-55% energy from RE resources, European Commission (EC) needs to make significant extensions throughout the grid, both at national level as well as transnational level. In this context, the SUSPLAN project</w:t>
      </w:r>
      <w:r w:rsidR="006C31FB" w:rsidRPr="003676D3">
        <w:rPr>
          <w:rFonts w:ascii="Times New Roman" w:hAnsi="Times New Roman" w:cs="Times New Roman"/>
          <w:sz w:val="24"/>
          <w:szCs w:val="24"/>
        </w:rPr>
        <w:t xml:space="preserve"> </w:t>
      </w:r>
      <w:r w:rsidR="006C31FB"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{"citationItems":[{"id":"ITEM-1","itemData":{"DOI":"10.1016/J.ENPOL.2013.11.014","ISSN":"0301-4215","abstract":"As a result of the current international climate change strategy, the European Commission has agreed on ambitious targets to reduce CO2 emissions by more than 80% until 2050 as compared to 1990 levels and to increase the share of renewable energy and improve energy efficiency by 20% until 2020. Under this framework, renewable energy generation has increased considerably in the EU and it is expected to keep growing in the future years. This paper presents long-term strategies for transmission infrastructure development to integrate increasing amounts of renewable generation in the time horizon of 2030-2050. These are part of the outcomes of the SUSPLAN project,11SUSPLAN (PLANning for SUStainability) is a project initiated in 2008, and finished in 2011, under the European Union's 7th Framework Program and sponsored by the Directorate General Transport and Energy (DG-TREN). The sole responsibility for the content of this paper lies with the authors. It does not represent the opinion of the European Commission. The EC is not responsible for any use that may be made of the information contained therein. which focuses on four possible future renewable deployment scenarios in different European regions taking into account the corresponding infrastructure needs, especially electricity and gas grids, both on regional and transnational level. The main objective of the project is the development of guidelines for the integration of renewable energy into future energy infrastructures while taking account of national and regional characteristics. Therefore, the analysis is based on a two-track approach: A transnational modeling exercise (\"top-down\") and in-depth case studies for nine representative European regions (\"bottom-up\"). © 2013 Elsevier Ltd.","author":[{"dropping-particle":"","family":"Boie","given":"Inga","non-dropping-particle":"","parse-names":false,"suffix":""},{"dropping-particle":"","family":"Fernandes","given":"Camila","non-dropping-particle":"","parse-names":false,"suffix":""},{"dropping-particle":"","family":"Frías","given":"Pablo","non-dropping-particle":"","parse-names":false,"suffix":""},{"dropping-particle":"","family":"Klobasa","given":"Marian","non-dropping-particle":"","parse-names":false,"suffix":""}],"container-title":"Energy Policy","id":"ITEM-1","issued":{"date-parts":[["2014","4","1"]]},"page":"170-185","publisher":"Elsevier","title":"Efficient strategies for the integration of renewable energy into future energy infrastructures in Europe – An analysis based on transnational modeling and case studies for nine European regions","type":"article-journal","volume":"67"},"uris":["http://www.mendeley.com/documents/?uuid=edd6b275-1164-3869-b89a-7609571aa6b9"]}],"mendeley":{"formattedCitation":"[33]","plainTextFormattedCitation":"[33]","previouslyFormattedCitation":"[33]"},"properties":{"noteIndex":0},"schema":"https://github.com/citation-style-language/schema/raw/master/csl-citation.json"}</w:instrText>
      </w:r>
      <w:r w:rsidR="006C31FB" w:rsidRPr="003676D3">
        <w:rPr>
          <w:rFonts w:ascii="Times New Roman" w:hAnsi="Times New Roman" w:cs="Times New Roman"/>
          <w:sz w:val="24"/>
          <w:szCs w:val="24"/>
        </w:rPr>
        <w:fldChar w:fldCharType="separate"/>
      </w:r>
      <w:r w:rsidR="006C31FB" w:rsidRPr="003676D3">
        <w:rPr>
          <w:rFonts w:ascii="Times New Roman" w:hAnsi="Times New Roman" w:cs="Times New Roman"/>
          <w:noProof/>
          <w:sz w:val="24"/>
          <w:szCs w:val="24"/>
        </w:rPr>
        <w:t>[33]</w:t>
      </w:r>
      <w:r w:rsidR="006C31FB"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assess the barriers and strategies for RE penetration in nine different European regions. It also evaluates cost and benefit of the modernized infrastructure through economic optimization under various scenarios of RE penetration.</w:t>
      </w:r>
      <w:r w:rsidR="00F86D67" w:rsidRPr="003676D3">
        <w:rPr>
          <w:rFonts w:ascii="Times New Roman" w:hAnsi="Times New Roman" w:cs="Times New Roman"/>
          <w:sz w:val="24"/>
          <w:szCs w:val="24"/>
        </w:rPr>
        <w:t xml:space="preserve"> With reference to EU’s </w:t>
      </w:r>
      <w:r w:rsidR="001B2B30" w:rsidRPr="003676D3">
        <w:rPr>
          <w:rFonts w:ascii="Times New Roman" w:hAnsi="Times New Roman" w:cs="Times New Roman"/>
          <w:sz w:val="24"/>
          <w:szCs w:val="24"/>
        </w:rPr>
        <w:t>Grid Action Plan</w:t>
      </w:r>
      <w:r w:rsidR="006C31FB"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{"citationItems":[{"id":"ITEM-1","itemData":{"author":[{"dropping-particle":"","family":"European Comission","given":"","non-dropping-particle":"","parse-names":false,"suffix":""}],"id":"ITEM-1","issued":{"date-parts":[["2023"]]},"title":"Questions and Answers on the EU Action Plan for Grids","type":"report"},"uris":["http://www.mendeley.com/documents/?uuid=e3f590a3-aaff-36c6-9ab1-c7bc0b614845"]},{"id":"ITEM-2","itemData":{"author":[{"dropping-particle":"","family":"Commission","given":"European","non-dropping-particle":"","parse-names":false,"suffix":""}],"id":"ITEM-2","issued":{"date-parts":[["2023"]]},"title":"Actions to accelerate the roll-out of electricity grids","type":"report"},"uris":["http://www.mendeley.com/documents/?uuid=b4e89f16-7659-38f6-a467-d1c174c649d7"]}],"mendeley":{"formattedCitation":"[34,35]","plainTextFormattedCitation":"[34,35]","previouslyFormattedCitation":"[34,35]"},"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[34,35]</w:t>
      </w:r>
      <w:r w:rsidR="000E2E14" w:rsidRPr="003676D3">
        <w:rPr>
          <w:rFonts w:ascii="Times New Roman" w:hAnsi="Times New Roman" w:cs="Times New Roman"/>
          <w:sz w:val="24"/>
          <w:szCs w:val="24"/>
        </w:rPr>
        <w:fldChar w:fldCharType="end"/>
      </w:r>
      <w:r w:rsidR="001B2B30" w:rsidRPr="003676D3">
        <w:rPr>
          <w:rFonts w:ascii="Times New Roman" w:hAnsi="Times New Roman" w:cs="Times New Roman"/>
          <w:sz w:val="24"/>
          <w:szCs w:val="24"/>
        </w:rPr>
        <w:t xml:space="preserve">, establishing the cross-border linkages for energy transaction is a priority across </w:t>
      </w:r>
      <w:r w:rsidR="00F90B76" w:rsidRPr="003676D3">
        <w:rPr>
          <w:rFonts w:ascii="Times New Roman" w:hAnsi="Times New Roman" w:cs="Times New Roman"/>
          <w:sz w:val="24"/>
          <w:szCs w:val="24"/>
        </w:rPr>
        <w:t>Europe,</w:t>
      </w:r>
      <w:r w:rsidR="001B2B30" w:rsidRPr="003676D3">
        <w:rPr>
          <w:rFonts w:ascii="Times New Roman" w:hAnsi="Times New Roman" w:cs="Times New Roman"/>
          <w:sz w:val="24"/>
          <w:szCs w:val="24"/>
        </w:rPr>
        <w:t xml:space="preserve"> with an extensive transmission grid as its backbone. </w:t>
      </w:r>
    </w:p>
    <w:p w14:paraId="3F2529C2" w14:textId="14198B62" w:rsidR="00E7634E" w:rsidRPr="003676D3" w:rsidRDefault="00A75C9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According to the EU Wind Power Action Plan</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{"citationItems":[{"id":"ITEM-1","itemData":{"URL":"https://commission.europa.eu/news/eu-wind-power-action-plan-keep-wind-power-european-success-story-2023-10-24_en","accessed":{"date-parts":[["2024","5","26"]]},"id":"ITEM-1","issued":{"date-parts":[["0"]]},"title":"An EU Wind Power Action Plan to keep wind power a European success story - European Commission","type":"webpage"},"uris":["http://www.mendeley.com/documents/?uuid=09b3f5da-a000-3344-96a0-db262dca9236"]},{"id":"ITEM-2","itemData":{"URL":"https://ec.europa.eu/commission/presscorner/detail/e%2Bn/ip_23_5185","accessed":{"date-parts":[["2024","5","26"]]},"id":"ITEM-2","issued":{"date-parts":[["0"]]},"title":"Immediate actions for the European wind power industry","type":"webpage"},"uris":["http://www.mendeley.com/documents/?uuid=185b35ad-8031-307a-b789-f3611e748f4b"]}],"mendeley":{"formattedCitation":"[30,36]","plainTextFormattedCitation":"[30,36]","previouslyFormattedCitation":"[30,36]"},"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[30,36]</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offshore wind will </w:t>
      </w:r>
      <w:r w:rsidR="001D6C16" w:rsidRPr="003676D3">
        <w:rPr>
          <w:rFonts w:ascii="Times New Roman" w:hAnsi="Times New Roman" w:cs="Times New Roman"/>
          <w:sz w:val="24"/>
          <w:szCs w:val="24"/>
        </w:rPr>
        <w:t>have</w:t>
      </w:r>
      <w:r w:rsidR="00136F81" w:rsidRPr="003676D3">
        <w:rPr>
          <w:rFonts w:ascii="Times New Roman" w:hAnsi="Times New Roman" w:cs="Times New Roman"/>
          <w:sz w:val="24"/>
          <w:szCs w:val="24"/>
        </w:rPr>
        <w:t xml:space="preserve"> a substantial role</w:t>
      </w:r>
      <w:r w:rsidRPr="003676D3">
        <w:rPr>
          <w:rFonts w:ascii="Times New Roman" w:hAnsi="Times New Roman" w:cs="Times New Roman"/>
          <w:sz w:val="24"/>
          <w:szCs w:val="24"/>
        </w:rPr>
        <w:t xml:space="preserve"> in advancing the EU</w:t>
      </w:r>
      <w:r w:rsidR="00136F81" w:rsidRPr="003676D3">
        <w:rPr>
          <w:rFonts w:ascii="Times New Roman" w:hAnsi="Times New Roman" w:cs="Times New Roman"/>
          <w:sz w:val="24"/>
          <w:szCs w:val="24"/>
        </w:rPr>
        <w:t>'s climate and energy objectives</w:t>
      </w:r>
      <w:r w:rsidRPr="003676D3">
        <w:rPr>
          <w:rFonts w:ascii="Times New Roman" w:hAnsi="Times New Roman" w:cs="Times New Roman"/>
          <w:sz w:val="24"/>
          <w:szCs w:val="24"/>
        </w:rPr>
        <w:t xml:space="preserve"> in the coming years. </w:t>
      </w:r>
      <w:r w:rsidR="00136F81" w:rsidRPr="003676D3">
        <w:rPr>
          <w:rFonts w:ascii="Times New Roman" w:hAnsi="Times New Roman" w:cs="Times New Roman"/>
          <w:sz w:val="24"/>
          <w:szCs w:val="24"/>
        </w:rPr>
        <w:t xml:space="preserve">Member States have collaboratively established ambitious targets for offshore </w:t>
      </w:r>
      <w:r w:rsidR="001D6C16" w:rsidRPr="003676D3">
        <w:rPr>
          <w:rFonts w:ascii="Times New Roman" w:hAnsi="Times New Roman" w:cs="Times New Roman"/>
          <w:sz w:val="24"/>
          <w:szCs w:val="24"/>
        </w:rPr>
        <w:t>RE</w:t>
      </w:r>
      <w:r w:rsidR="00136F81" w:rsidRPr="003676D3">
        <w:rPr>
          <w:rFonts w:ascii="Times New Roman" w:hAnsi="Times New Roman" w:cs="Times New Roman"/>
          <w:sz w:val="24"/>
          <w:szCs w:val="24"/>
        </w:rPr>
        <w:t xml:space="preserve"> production by 2050, delineating intermediate milestones for 2030 and 2040 within each of the EU's five maritime basins.</w:t>
      </w:r>
      <w:r w:rsidRPr="003676D3">
        <w:rPr>
          <w:rFonts w:ascii="Times New Roman" w:hAnsi="Times New Roman" w:cs="Times New Roman"/>
          <w:sz w:val="24"/>
          <w:szCs w:val="24"/>
        </w:rPr>
        <w:t xml:space="preserve"> </w:t>
      </w:r>
      <w:r w:rsidR="00BA4352" w:rsidRPr="003676D3">
        <w:rPr>
          <w:rFonts w:ascii="Times New Roman" w:hAnsi="Times New Roman" w:cs="Times New Roman"/>
          <w:sz w:val="24"/>
          <w:szCs w:val="24"/>
        </w:rPr>
        <w:t xml:space="preserve">To achieve the newly established EU objective of having at least 42.5% renewable energy by 2030, with a goal to achieve 45%, necessitates a substantial augmentation in wind installed capacity. This entails a projected surge from 204 GW </w:t>
      </w:r>
      <w:r w:rsidR="001D6C16" w:rsidRPr="003676D3">
        <w:rPr>
          <w:rFonts w:ascii="Times New Roman" w:hAnsi="Times New Roman" w:cs="Times New Roman"/>
          <w:sz w:val="24"/>
          <w:szCs w:val="24"/>
        </w:rPr>
        <w:t>(</w:t>
      </w:r>
      <w:r w:rsidR="00BA4352" w:rsidRPr="003676D3">
        <w:rPr>
          <w:rFonts w:ascii="Times New Roman" w:hAnsi="Times New Roman" w:cs="Times New Roman"/>
          <w:sz w:val="24"/>
          <w:szCs w:val="24"/>
        </w:rPr>
        <w:t xml:space="preserve">in </w:t>
      </w:r>
      <w:r w:rsidR="001D6C16" w:rsidRPr="003676D3">
        <w:rPr>
          <w:rFonts w:ascii="Times New Roman" w:hAnsi="Times New Roman" w:cs="Times New Roman"/>
          <w:sz w:val="24"/>
          <w:szCs w:val="24"/>
        </w:rPr>
        <w:t xml:space="preserve">year </w:t>
      </w:r>
      <w:r w:rsidR="00BA4352" w:rsidRPr="003676D3">
        <w:rPr>
          <w:rFonts w:ascii="Times New Roman" w:hAnsi="Times New Roman" w:cs="Times New Roman"/>
          <w:sz w:val="24"/>
          <w:szCs w:val="24"/>
        </w:rPr>
        <w:t>2022</w:t>
      </w:r>
      <w:r w:rsidR="001D6C16" w:rsidRPr="003676D3">
        <w:rPr>
          <w:rFonts w:ascii="Times New Roman" w:hAnsi="Times New Roman" w:cs="Times New Roman"/>
          <w:sz w:val="24"/>
          <w:szCs w:val="24"/>
        </w:rPr>
        <w:t xml:space="preserve">) to surpass 500 GW (by year </w:t>
      </w:r>
      <w:r w:rsidR="00BA4352" w:rsidRPr="003676D3">
        <w:rPr>
          <w:rFonts w:ascii="Times New Roman" w:hAnsi="Times New Roman" w:cs="Times New Roman"/>
          <w:sz w:val="24"/>
          <w:szCs w:val="24"/>
        </w:rPr>
        <w:t>2030</w:t>
      </w:r>
      <w:r w:rsidR="001D6C16" w:rsidRPr="003676D3">
        <w:rPr>
          <w:rFonts w:ascii="Times New Roman" w:hAnsi="Times New Roman" w:cs="Times New Roman"/>
          <w:sz w:val="24"/>
          <w:szCs w:val="24"/>
        </w:rPr>
        <w:t>)</w:t>
      </w:r>
      <w:r w:rsidR="00BA4352" w:rsidRPr="003676D3">
        <w:rPr>
          <w:rFonts w:ascii="Times New Roman" w:hAnsi="Times New Roman" w:cs="Times New Roman"/>
          <w:sz w:val="24"/>
          <w:szCs w:val="24"/>
        </w:rPr>
        <w:t xml:space="preserve"> just for wind energy.</w:t>
      </w:r>
      <w:r w:rsidRPr="003676D3">
        <w:rPr>
          <w:rFonts w:ascii="Times New Roman" w:hAnsi="Times New Roman" w:cs="Times New Roman"/>
          <w:sz w:val="24"/>
          <w:szCs w:val="24"/>
        </w:rPr>
        <w:t xml:space="preserve"> </w:t>
      </w:r>
    </w:p>
    <w:p w14:paraId="3E0A2EA7" w14:textId="0ECAC0C0" w:rsidR="008E437B" w:rsidRPr="003676D3" w:rsidRDefault="00BA4352"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As of 2022, the cumulative offshore installed capacity in the EU-27 reached 16.3 GW. To address the disparity between the 111 GW pledged by Mem</w:t>
      </w:r>
      <w:r w:rsidR="00A75C9F" w:rsidRPr="003676D3">
        <w:rPr>
          <w:rFonts w:ascii="Times New Roman" w:hAnsi="Times New Roman" w:cs="Times New Roman"/>
          <w:sz w:val="24"/>
          <w:szCs w:val="24"/>
        </w:rPr>
        <w:t xml:space="preserve">ber States and the existing </w:t>
      </w:r>
      <w:r w:rsidRPr="003676D3">
        <w:rPr>
          <w:rFonts w:ascii="Times New Roman" w:hAnsi="Times New Roman" w:cs="Times New Roman"/>
          <w:sz w:val="24"/>
          <w:szCs w:val="24"/>
        </w:rPr>
        <w:t>capac</w:t>
      </w:r>
      <w:r w:rsidR="00A75C9F" w:rsidRPr="003676D3">
        <w:rPr>
          <w:rFonts w:ascii="Times New Roman" w:hAnsi="Times New Roman" w:cs="Times New Roman"/>
          <w:sz w:val="24"/>
          <w:szCs w:val="24"/>
        </w:rPr>
        <w:t xml:space="preserve">ity, the installation rate of about </w:t>
      </w:r>
      <w:r w:rsidRPr="003676D3">
        <w:rPr>
          <w:rFonts w:ascii="Times New Roman" w:hAnsi="Times New Roman" w:cs="Times New Roman"/>
          <w:sz w:val="24"/>
          <w:szCs w:val="24"/>
        </w:rPr>
        <w:t>12 GW</w:t>
      </w:r>
      <w:r w:rsidR="00A75C9F" w:rsidRPr="003676D3">
        <w:rPr>
          <w:rFonts w:ascii="Times New Roman" w:hAnsi="Times New Roman" w:cs="Times New Roman"/>
          <w:sz w:val="24"/>
          <w:szCs w:val="24"/>
        </w:rPr>
        <w:t xml:space="preserve"> annual is required</w:t>
      </w:r>
      <w:r w:rsidRPr="003676D3">
        <w:rPr>
          <w:rFonts w:ascii="Times New Roman" w:hAnsi="Times New Roman" w:cs="Times New Roman"/>
          <w:sz w:val="24"/>
          <w:szCs w:val="24"/>
        </w:rPr>
        <w:t xml:space="preserve"> – a magnitude that exceeds the recent 1.2 GW installed last year by a factor of ten</w:t>
      </w:r>
      <w:r w:rsidR="00A75C9F"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{"citationItems":[{"id":"ITEM-1","itemData":{"URL":"https://ec.europa.eu/commission/presscorner/detail/e%2Bn/ip_23_5185","accessed":{"date-parts":[["2024","5","26"]]},"id":"ITEM-1","issued":{"date-parts":[["0"]]},"title":"Immediate actions for the European wind power industry","type":"webpage"},"uris":["http://www.mendeley.com/documents/?uuid=185b35ad-8031-307a-b789-f3611e748f4b"]},{"id":"ITEM-2","itemData":{"URL":"https://www.reuters.com/business/energy/eu-commission-announces-electricity-grid-action-plan-2023-11-28/","accessed":{"date-parts":[["2024","5","31"]]},"id":"ITEM-2","issued":{"date-parts":[["0"]]},"title":"EU Commission announces electricity grid action plan | Reuters","type":"webpage"},"uris":["http://www.mendeley.com/documents/?uuid=9dc80d58-276f-37d7-b8ff-c9cede0ea7d1"]},{"id":"ITEM-3","itemData":{"URL":"https://windeurope.org/newsroom/press-releases/eu-grid-action-plan-will-help-renewables-but-urgent-action-needed-on-excessive-connection-queues/","accessed":{"date-parts":[["2024","5","31"]]},"id":"ITEM-3","issued":{"date-parts":[["0"]]},"title":"EU Grid Action Plan will help renewables, but urgent action needed on excessive connection queues | WindEurope","type":"webpage"},"uris":["http://www.mendeley.com/documents/?uuid=619af09b-e2cf-3acc-b022-1703128d9d2e"]}],"mendeley":{"formattedCitation":"[36–38]","plainTextFormattedCitation":"[36–38]","previouslyFormattedCitation":"[36–38]"},"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[36–38]</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A75C9F" w:rsidRPr="003676D3">
        <w:rPr>
          <w:rFonts w:ascii="Times New Roman" w:hAnsi="Times New Roman" w:cs="Times New Roman"/>
          <w:sz w:val="24"/>
          <w:szCs w:val="24"/>
        </w:rPr>
        <w:t xml:space="preserve"> However, this ambitious target comes with an array of challenges among which are highly constrained grid, unfair trade practices and irregular energy markets.</w:t>
      </w:r>
    </w:p>
    <w:p w14:paraId="498F2779" w14:textId="1FB6ACA6" w:rsidR="00E7634E" w:rsidRPr="003676D3" w:rsidRDefault="00A75C9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Currently, almost 40% of the EU power grid is more than 40 years old infrastructure and does not support such large penetration of RE. The</w:t>
      </w:r>
      <w:r w:rsidR="005A7176" w:rsidRPr="003676D3">
        <w:rPr>
          <w:rFonts w:ascii="Times New Roman" w:hAnsi="Times New Roman" w:cs="Times New Roman"/>
          <w:sz w:val="24"/>
          <w:szCs w:val="24"/>
        </w:rPr>
        <w:t xml:space="preserve"> conventional grid topology means</w:t>
      </w:r>
      <w:r w:rsidRPr="003676D3">
        <w:rPr>
          <w:rFonts w:ascii="Times New Roman" w:hAnsi="Times New Roman" w:cs="Times New Roman"/>
          <w:sz w:val="24"/>
          <w:szCs w:val="24"/>
        </w:rPr>
        <w:t xml:space="preserve"> concentrated power generation plants having fixed points on the grid, supplying the large load centres only, before stepping down energy at consumer level. </w:t>
      </w:r>
      <w:r w:rsidR="005A7176" w:rsidRPr="003676D3">
        <w:rPr>
          <w:rFonts w:ascii="Times New Roman" w:hAnsi="Times New Roman" w:cs="Times New Roman"/>
          <w:sz w:val="24"/>
          <w:szCs w:val="24"/>
        </w:rPr>
        <w:t xml:space="preserve">With the emergence of distributed RE, this topology has become </w:t>
      </w:r>
      <w:r w:rsidR="00555017" w:rsidRPr="003676D3">
        <w:rPr>
          <w:rFonts w:ascii="Times New Roman" w:hAnsi="Times New Roman" w:cs="Times New Roman"/>
          <w:sz w:val="24"/>
          <w:szCs w:val="24"/>
        </w:rPr>
        <w:t xml:space="preserve">irrelevant and unrealistic. </w:t>
      </w:r>
      <w:r w:rsidRPr="003676D3">
        <w:rPr>
          <w:rFonts w:ascii="Times New Roman" w:hAnsi="Times New Roman" w:cs="Times New Roman"/>
          <w:sz w:val="24"/>
          <w:szCs w:val="24"/>
        </w:rPr>
        <w:t xml:space="preserve">European countries have different energy generation and load patterns. </w:t>
      </w:r>
    </w:p>
    <w:p w14:paraId="29189375" w14:textId="511B5E77" w:rsidR="00A75C9F" w:rsidRPr="003676D3" w:rsidRDefault="00A75C9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future smart grid should be able to allow integration of all regional grids and maintain a balance between such a “system of systems”. An intelligent grid should be able to balance regional surplus and deficits at all </w:t>
      </w:r>
      <w:r w:rsidR="004B1918" w:rsidRPr="003676D3">
        <w:rPr>
          <w:rFonts w:ascii="Times New Roman" w:hAnsi="Times New Roman" w:cs="Times New Roman"/>
          <w:sz w:val="24"/>
          <w:szCs w:val="24"/>
        </w:rPr>
        <w:t>times</w:t>
      </w:r>
      <w:r w:rsidRPr="003676D3">
        <w:rPr>
          <w:rFonts w:ascii="Times New Roman" w:hAnsi="Times New Roman" w:cs="Times New Roman"/>
          <w:sz w:val="24"/>
          <w:szCs w:val="24"/>
        </w:rPr>
        <w:t xml:space="preserve">. </w:t>
      </w:r>
      <w:r w:rsidR="0092012F" w:rsidRPr="003676D3">
        <w:rPr>
          <w:rFonts w:ascii="Times New Roman" w:hAnsi="Times New Roman" w:cs="Times New Roman"/>
          <w:sz w:val="24"/>
          <w:szCs w:val="24"/>
        </w:rPr>
        <w:t>By 2050, a</w:t>
      </w:r>
      <w:r w:rsidR="00E6130F" w:rsidRPr="003676D3">
        <w:rPr>
          <w:rFonts w:ascii="Times New Roman" w:hAnsi="Times New Roman" w:cs="Times New Roman"/>
          <w:sz w:val="24"/>
          <w:szCs w:val="24"/>
        </w:rPr>
        <w:t xml:space="preserve">chieving a 100% </w:t>
      </w:r>
      <w:r w:rsidR="001D6C16" w:rsidRPr="003676D3">
        <w:rPr>
          <w:rFonts w:ascii="Times New Roman" w:hAnsi="Times New Roman" w:cs="Times New Roman"/>
          <w:sz w:val="24"/>
          <w:szCs w:val="24"/>
        </w:rPr>
        <w:t>RE</w:t>
      </w:r>
      <w:r w:rsidR="0092012F" w:rsidRPr="003676D3">
        <w:rPr>
          <w:rFonts w:ascii="Times New Roman" w:hAnsi="Times New Roman" w:cs="Times New Roman"/>
          <w:sz w:val="24"/>
          <w:szCs w:val="24"/>
        </w:rPr>
        <w:t xml:space="preserve"> in Europe</w:t>
      </w:r>
      <w:r w:rsidR="00E6130F" w:rsidRPr="003676D3">
        <w:rPr>
          <w:rFonts w:ascii="Times New Roman" w:hAnsi="Times New Roman" w:cs="Times New Roman"/>
          <w:sz w:val="24"/>
          <w:szCs w:val="24"/>
        </w:rPr>
        <w:t xml:space="preserve"> is economically viable and technically attainable through the implementation of cost-effective, flexible generation methods, enhanced energy storage solutions, and increased connectivity in transmission networks</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Energy","id":"ITEM-1","issued":{"date-parts":[["2019","8","1"]]},"page":"80-101","publisher":"Pergamon","title":"Flexible electricity generation, grid exchange and storage for the transition to a 100% renewable energy system in Europe","type":"article-journal","volume":"139"},"uris":["http://www.mendeley.com/documents/?uuid=f53bc38e-2407-306c-a568-78476f4a782f"]}],"mendeley":{"formattedCitation":"[39]","plainTextFormattedCitation":"[39]","previouslyFormattedCitation":"[39]"},"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[39]</w:t>
      </w:r>
      <w:r w:rsidR="000E2E14" w:rsidRPr="003676D3">
        <w:rPr>
          <w:rFonts w:ascii="Times New Roman" w:hAnsi="Times New Roman" w:cs="Times New Roman"/>
          <w:sz w:val="24"/>
          <w:szCs w:val="24"/>
        </w:rPr>
        <w:fldChar w:fldCharType="end"/>
      </w:r>
      <w:r w:rsidR="00E6130F" w:rsidRPr="003676D3">
        <w:rPr>
          <w:rFonts w:ascii="Times New Roman" w:hAnsi="Times New Roman" w:cs="Times New Roman"/>
          <w:sz w:val="24"/>
          <w:szCs w:val="24"/>
        </w:rPr>
        <w:t>.</w:t>
      </w:r>
    </w:p>
    <w:p w14:paraId="594E0891" w14:textId="1CF525C5" w:rsidR="00C3384E" w:rsidRPr="003676D3" w:rsidRDefault="008E437B"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3</w:t>
      </w:r>
      <w:r w:rsidR="00084F2D" w:rsidRPr="003676D3">
        <w:rPr>
          <w:rFonts w:ascii="Times New Roman" w:hAnsi="Times New Roman" w:cs="Times New Roman"/>
          <w:b/>
          <w:bCs/>
          <w:color w:val="auto"/>
          <w:sz w:val="24"/>
          <w:szCs w:val="24"/>
        </w:rPr>
        <w:t>.</w:t>
      </w:r>
      <w:r w:rsidRPr="003676D3">
        <w:rPr>
          <w:rFonts w:ascii="Times New Roman" w:hAnsi="Times New Roman" w:cs="Times New Roman"/>
          <w:b/>
          <w:bCs/>
          <w:color w:val="auto"/>
          <w:sz w:val="24"/>
          <w:szCs w:val="24"/>
        </w:rPr>
        <w:t>1.</w:t>
      </w:r>
      <w:r w:rsidR="00084F2D" w:rsidRPr="003676D3">
        <w:rPr>
          <w:rFonts w:ascii="Times New Roman" w:hAnsi="Times New Roman" w:cs="Times New Roman"/>
          <w:b/>
          <w:bCs/>
          <w:color w:val="auto"/>
          <w:sz w:val="24"/>
          <w:szCs w:val="24"/>
        </w:rPr>
        <w:t xml:space="preserve"> Smart to Super Smart Grid </w:t>
      </w:r>
      <w:r w:rsidR="00C3384E" w:rsidRPr="003676D3">
        <w:rPr>
          <w:rFonts w:ascii="Times New Roman" w:hAnsi="Times New Roman" w:cs="Times New Roman"/>
          <w:b/>
          <w:bCs/>
          <w:color w:val="auto"/>
          <w:sz w:val="24"/>
          <w:szCs w:val="24"/>
        </w:rPr>
        <w:t>Transformation</w:t>
      </w:r>
    </w:p>
    <w:p w14:paraId="56117A91" w14:textId="0E5E3001" w:rsidR="00CE3ABA" w:rsidRPr="003676D3" w:rsidRDefault="00555017"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transformation of conventional grids to smart grids </w:t>
      </w:r>
      <w:r w:rsidR="004B1918" w:rsidRPr="003676D3">
        <w:rPr>
          <w:rFonts w:ascii="Times New Roman" w:hAnsi="Times New Roman" w:cs="Times New Roman"/>
          <w:sz w:val="24"/>
          <w:szCs w:val="24"/>
        </w:rPr>
        <w:t>involves</w:t>
      </w:r>
      <w:r w:rsidRPr="003676D3">
        <w:rPr>
          <w:rFonts w:ascii="Times New Roman" w:hAnsi="Times New Roman" w:cs="Times New Roman"/>
          <w:sz w:val="24"/>
          <w:szCs w:val="24"/>
        </w:rPr>
        <w:t xml:space="preserve"> substantial challenges related to policy intervention, technological upgradation and social aspect. It is essentially a convergence of </w:t>
      </w:r>
      <w:r w:rsidR="001D6C16" w:rsidRPr="003676D3">
        <w:rPr>
          <w:rFonts w:ascii="Times New Roman" w:hAnsi="Times New Roman" w:cs="Times New Roman"/>
          <w:sz w:val="24"/>
          <w:szCs w:val="24"/>
        </w:rPr>
        <w:t>ICT</w:t>
      </w:r>
      <w:r w:rsidRPr="003676D3">
        <w:rPr>
          <w:rFonts w:ascii="Times New Roman" w:hAnsi="Times New Roman" w:cs="Times New Roman"/>
          <w:sz w:val="24"/>
          <w:szCs w:val="24"/>
        </w:rPr>
        <w:t xml:space="preserve"> and the evolving energy systems</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{"citationItems":[{"id":"ITEM-1","itemData":{"DOI":"10.1016/J.ENPOL.2012.10.026","ISSN":"03014215","abstract":"Worldwide, but in particular in North America and Europe, the grid infrastructure managers are facing demands for reinvestments in new assets with higher on-grid and off-grid functionality in order to promote energy efficiency and low-carbon conversion of the energy sector. To meet societal policy objectives in terms of carbon dioxide emissions, both the composition of the generators in favor of distributed energy resources (DER) and the load, promoting integration with downstream energy useage, will change. In this paper, we chararcterize some of the effects of new asset investments policy on the network tasks, assets and costs and contrast this with the assumptions implicit or explicit in current economic network regulation. The resulting challenge is identified as the change in the direction of higher asymmetry of information and higher capital intensity, combined with ambiguities in terms of task separation. To provide guidance, we present a model of investment provision under regulation between a distribution system operator (DSO) and a potential investor-generation. The results from the model confirm the hypothesis that network regulation should find a focal point, should integrate externalities in the performance assessment and should avoid wide delegation of contracting-billing for smart-grid investments.","author":[{"dropping-particle":"","family":"Agrell","given":"Per J.","non-dropping-particle":"","parse-names":false,"suffix":""},{"dropping-particle":"","family":"Bogetoft","given":"Peter","non-dropping-particle":"","parse-names":false,"suffix":""},{"dropping-particle":"","family":"Mikkers","given":"Misja","non-dropping-particle":"","parse-names":false,"suffix":""}],"container-title":"Energy Policy","id":"ITEM-1","issued":{"date-parts":[["2013","1"]]},"page":"656-666","title":"Smart-grid Investments, Regulation and Organization","type":"article-journal","volume":"52"},"uris":["http://www.mendeley.com/documents/?uuid=144a23ed-bddc-3b45-8275-0b000f3cbc59"]},{"id":"ITEM-2","itemData":{"DOI":"10.1016/J.RSER.2017.05.208","ISSN":"18790690","abstract":"The Smart Grid (SG) is a technological transformation from conventional electric grid, electro-mechanically controlled system, to smart, intelligent, and electronically controlled system called the “Smart Grid” (SG). There are about 20–30% losses present in the conventional electric grid due to substandard operations at generation, transmission and distribution side. The major players in the transformation are: (a) increased electricity cost, (b) aging infrastructure, (c) carbon footprint, (d) Green House Gas emissions, (e) climate change, and (f) less efficient electrical network. The promising features of the Smart Grid are: (a) intelligent de-centralized control, (b) resilience, (c) flexibility, (d) sustainability, (e) digitalization, (f) intelligence, (g) consumer empowerment, (h) green energy, and (i) smart infrastructure. The fundamental issues and open challenges in the SG are lack of awareness, consumer acceptance, cyber terrorism, data collection management, energy metering, dynamic optimization and energy control. Considering above, in this paper, a comprehensive review exploring information of development, technologies, and techniques in the SG. The main goal is to investigate and reveal the key enabling technologies, to obtain better picture about the current status of SG development. The focus areas of this review study are Architectural Model focusing Consumer Empowerment (CE), Demand Response Program (DRP), and Demand Side Management (DSM). Our survey discusses in detail the Communication Technologies, such as Wireless Advance Metering Infrastructure (AMI), Phasor Measurement Unit (PMU), Supervisory Control and Data Acquisition (SCADA), and Machine to Machine Communication (M2M). The power systems such as Micro Grid, Nano Grid, Pico Grid, Inter Grid, Virtual Power Plants, and Distributed Generation are also elaborated in this review study. Renewable Energy Resources (RERs) Integration with the SG and Integration issues related to Distributed generation (DG) are presented in this survey. This survey also analyzes Architectural Model of the Smart Grid focusing consumer empowerment and prosumers interaction. The aim of this study is to provide deep understanding of technologies and their applications in the SG.","author":[{"dropping-particle":"","family":"Shaukat","given":"N.","non-dropping-particle":"","parse-names":false,"suffix":""},{"dropping-particle":"","family":"Ali","given":"S. M.","non-dropping-particle":"","parse-names":false,"suffix":""},{"dropping-particle":"","family":"Mehmood","given":"C. A.","non-dropping-particle":"","parse-names":false,"suffix":""},{"dropping-particle":"","family":"Khan","given":"B.","non-dropping-particle":"","parse-names":false,"suffix":""},{"dropping-particle":"","family":"Jawad","given":"M.","non-dropping-particle":"","parse-names":false,"suffix":""},{"dropping-particle":"","family":"Farid","given":"U.","non-dropping-particle":"","parse-names":false,"suffix":""},{"dropping-particle":"","family":"Ullah","given":"Z.","non-dropping-particle":"","parse-names":false,"suffix":""},{"dropping-particle":"","family":"Anwar","given":"S. M.","non-dropping-particle":"","parse-names":false,"suffix":""},{"dropping-particle":"","family":"Majid","given":"M.","non-dropping-particle":"","parse-names":false,"suffix":""}],"container-title":"Renewable &amp; Sustainable Energy Reviews","id":"ITEM-2","issued":{"date-parts":[["2018","1","1"]]},"page":"1453-1475","publisher":"Elsevier Ltd","title":"A survey on consumers empowerment, communication technologies, and renewable generation penetration within Smart Grid","type":"article-journal","volume":"81"},"uris":["http://www.mendeley.com/documents/?uuid=2e48e7ad-cb5b-3872-bba5-bcaa1102a06b"]},{"id":"ITEM-3","itemData":{"DOI":"10.11591/IJECE.V10I2.PP1179-1186","ISSN":"20888708","abstract":"The development smart grids have made the power systems planning and operation more efficient by the application of renewable energy resources, electric vehicles, two-way communication, self-healing, consumer engagement, distribution intelligence, etc. The objective of this paper is to present a detailed comprehensive review of challenges, issues and opportunities for the development of smart grid. Smart grids are transforming the traditional way of meeting the electricity demand and providing the way towards an environmentally friendly, reliable and resilient power grid. This paper presents various challenges of smart grid development including interoperability, network communications, demand response, energy storage and distribution grid management. This paper also reviews various issues associated with the development of smart grid. Local, regional, national and global opportunities for the development of smart grid are also reported in this paper.","author":[{"dropping-particle":"","family":"Salkuti","given":"Surender Reddy","non-dropping-particle":"","parse-names":false,"suffix":""}],"container-title":"International Journal of Electrical and Computer Engineering","id":"ITEM-3","issue":"2","issued":{"date-parts":[["2020"]]},"page":"1179-1186","publisher":"Institute of Advanced Engineering and Science","title":"Challenges, issues and opportunities for the development of smart grid","type":"article-journal","volume":"10"},"uris":["http://www.mendeley.com/documents/?uuid=a4aefac4-8ce7-324b-95e5-6ed3c2e2cd90"]}],"mendeley":{"formattedCitation":"[40–42]","plainTextFormattedCitation":"[40–42]","previouslyFormattedCitation":"[40–42]"},"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[40–42]</w:t>
      </w:r>
      <w:r w:rsidR="000E2E14" w:rsidRPr="003676D3">
        <w:rPr>
          <w:rFonts w:ascii="Times New Roman" w:hAnsi="Times New Roman" w:cs="Times New Roman"/>
          <w:sz w:val="24"/>
          <w:szCs w:val="24"/>
        </w:rPr>
        <w:fldChar w:fldCharType="end"/>
      </w:r>
      <w:r w:rsidR="00F25854" w:rsidRPr="003676D3">
        <w:rPr>
          <w:rFonts w:ascii="Times New Roman" w:hAnsi="Times New Roman" w:cs="Times New Roman"/>
          <w:sz w:val="24"/>
          <w:szCs w:val="24"/>
        </w:rPr>
        <w:t>. The</w:t>
      </w:r>
      <w:r w:rsidRPr="003676D3">
        <w:rPr>
          <w:rFonts w:ascii="Times New Roman" w:hAnsi="Times New Roman" w:cs="Times New Roman"/>
          <w:sz w:val="24"/>
          <w:szCs w:val="24"/>
        </w:rPr>
        <w:t xml:space="preserve"> smart grid (SG) w</w:t>
      </w:r>
      <w:r w:rsidR="00F25854" w:rsidRPr="003676D3">
        <w:rPr>
          <w:rFonts w:ascii="Times New Roman" w:hAnsi="Times New Roman" w:cs="Times New Roman"/>
          <w:sz w:val="24"/>
          <w:szCs w:val="24"/>
        </w:rPr>
        <w:t xml:space="preserve">ith </w:t>
      </w:r>
      <w:r w:rsidR="00F25854" w:rsidRPr="003676D3">
        <w:rPr>
          <w:rFonts w:ascii="Times New Roman" w:hAnsi="Times New Roman" w:cs="Times New Roman"/>
          <w:sz w:val="24"/>
          <w:szCs w:val="24"/>
        </w:rPr>
        <w:lastRenderedPageBreak/>
        <w:t>European perspective i</w:t>
      </w:r>
      <w:r w:rsidRPr="003676D3">
        <w:rPr>
          <w:rFonts w:ascii="Times New Roman" w:hAnsi="Times New Roman" w:cs="Times New Roman"/>
          <w:sz w:val="24"/>
          <w:szCs w:val="24"/>
        </w:rPr>
        <w:t xml:space="preserve">s an electricity network with intelligent integration of all stakeholders – generators, consumers, </w:t>
      </w:r>
      <w:r w:rsidR="00F90B76" w:rsidRPr="003676D3">
        <w:rPr>
          <w:rFonts w:ascii="Times New Roman" w:hAnsi="Times New Roman" w:cs="Times New Roman"/>
          <w:sz w:val="24"/>
          <w:szCs w:val="24"/>
        </w:rPr>
        <w:t>and operators</w:t>
      </w:r>
      <w:r w:rsidRPr="003676D3">
        <w:rPr>
          <w:rFonts w:ascii="Times New Roman" w:hAnsi="Times New Roman" w:cs="Times New Roman"/>
          <w:sz w:val="24"/>
          <w:szCs w:val="24"/>
        </w:rPr>
        <w:t>. They all work together to achieve the common goal of an economic, secure and sustainable electricity system.</w:t>
      </w:r>
    </w:p>
    <w:p w14:paraId="68C7F1BE" w14:textId="2E72967F" w:rsidR="00555017" w:rsidRPr="003676D3" w:rsidRDefault="00555017"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 A SG conjoins innovative technology and services in a system with inherent intelligence of control, monitoring, communication and self-healing</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{"citationItems":[{"id":"ITEM-1","itemData":{"DOI":"10.3390/EN14217273","ISSN":"19961073","abstract":"Empowered by the emergence of novel information and communication technologies (ICTs) such as sensors and high-performance digital communication systems, Europe has adapted its electricity distribution network into a modern infrastructure known as a smart grid (SG). The benefits of this new infrastructure include precise and real-time capacity for measuring and monitoring the different energy-relevant parameters on the various points of the grid and for the remote operation and optimization of distribution. Furthermore, a new user profile is derived from this novel infrastructure, known as a prosumer (a user that can produce and consume energy to/from the grid), who can benefit from the features derived from applying advanced analytics and semantic technologies in the rich amount of big data generated by the different subsystems. However, this novel, highly interconnected infrastructure also presents some significant drawbacks, like those related to information security (IS). We provide a systematic literature survey of the ICT-empowered environments that comprise SGs and homes, and the application of modern artificial intelligence (AI) related technologies with sensor fusion systems and actuators, ensuring energy efficiency in such systems. Furthermore, we outline the current challenges and outlook for this field. These address new developments on microgrids, and data-driven energy efficiency that leads to better knowledge representation and decision-making for smart homes and SGs.","author":[{"dropping-particle":"","family":"González","given":"Lisardo Prieto","non-dropping-particle":"","parse-names":false,"suffix":""},{"dropping-particle":"","family":"Fensel","given":"Anna","non-dropping-particle":"","parse-names":false,"suffix":""},{"dropping-particle":"","family":"Berbís","given":"Juan Miguel Gómez","non-dropping-particle":"","parse-names":false,"suffix":""},{"dropping-particle":"","family":"Popa","given":"Angela","non-dropping-particle":"","parse-names":false,"suffix":""},{"dropping-particle":"","family":"Seco","given":"Antonio de Amescua","non-dropping-particle":"","parse-names":false,"suffix":""}],"container-title":"Energies","id":"ITEM-1","issue":"21","issued":{"date-parts":[["2021","11","1"]]},"publisher":"MDPI","title":"A Survey on Energy Efficiency in Smart Homes and Smart Grids","type":"article-journal","volume":"14"},"uris":["http://www.mendeley.com/documents/?uuid=7a808d63-7732-3646-bd08-8d4abcd6640a"]},{"id":"ITEM-2","itemData":{"DOI":"10.1016/J.ESR.2017.09.011","ISSN":"2211467X","abstract":"Abstract The modern struggle to generate electricity reducing our dependence on fossil fuels and decreasing greenhouse gas emissions has found an ally in Smart Grid technology. This new trend involves a renewed perspective on how to generate, transmit, distribute and manage electricity networks, which not only helps to reduce power demand and cost, but can also improve efficiency, reliability, quality and security. This paper aims to study comprehensively the Smart Grid power system by comparing experiences and success stories from around the world. Developed countries, like the United States and those in the European Union, and developing countries, like India and Brazil, have been taken as examples of the current development and state of the Smart Grid concept. Europe and the U.S. lead the development of Smart Grids systems, while Brazil and India strongly depend on foreign technology and investment for their development in their countries. Climate change represents an extra challenge for developing countries, in addition to other issues related to economic and social advancement. Nevertheless, Smart Grids offer an array of possibilities and opportunities that work towards climate change international goals. However, state motivations and national energy resources limit the advancement of Smart Grids on this matter.","author":[{"dropping-particle":"","family":"Ponce-Jara","given":"M. A.","non-dropping-particle":"","parse-names":false,"suffix":""},{"dropping-particle":"","family":"Ruiz","given":"E.","non-dropping-particle":"","parse-names":false,"suffix":""},{"dropping-particle":"","family":"Gil","given":"R.","non-dropping-particle":"","parse-names":false,"suffix":""},{"dropping-particle":"","family":"Sancristóbal","given":"E.","non-dropping-particle":"","parse-names":false,"suffix":""},{"dropping-particle":"","family":"Pérez-Molina","given":"C.","non-dropping-particle":"","parse-names":false,"suffix":""},{"dropping-particle":"","family":"Castro","given":"M.","non-dropping-particle":"","parse-names":false,"suffix":""}],"container-title":"Energy Strategy Reviews","id":"ITEM-2","issued":{"date-parts":[["2017","12","1"]]},"page":"38-52","publisher":"Elsevier Ltd","title":"Smart Grid: Assessment of the past and present in developed and developing countries","type":"article-journal","volume":"18"},"uris":["http://www.mendeley.com/documents/?uuid=78a4a67a-f66f-38de-a807-91ac3f0fc222"]},{"id":"ITEM-3","itemData":{"DOI":"10.1016/J.RSER.2016.09.014","ISSN":"18790690","abstract":"A smart grid (SG) is developed to overcome grid congestion and to meet the demand for and sustain the supply of electricity. The European SG is supported by European Union (EU) policies and the joint EU Energy and Climate Package. This study reviews the prospects, progress, policies, and challenges faced by EU countries, electricity networks, and their relevant stakeholders. European SG prospects were initiated through the EU's Strategic Energy Technologies plan and continue with the strategic research agenda that has been road-mapped for 2007–2035. The EU, with its Directorates-General, agencies, and commissions, has established directives and policies to promote SG among member states. The factors that stimulate the innovation and implementation of SG require the need to generate electricity optimally (i.e., low greenhouse gas emission and renewable or sustainable source) and to secure its supply while ensuring reliability and quality. Despite the challenges, the European SG continues to develop and progress, fulfilling renewable energy targets and customer satisfaction and addressing environmental concerns.","author":[{"dropping-particle":"","family":"IqtiyaniIlham","given":"Nur","non-dropping-particle":"","parse-names":false,"suffix":""},{"dropping-particle":"","family":"Hasanuzzaman","given":"M.","non-dropping-particle":"","parse-names":false,"suffix":""},{"dropping-particle":"","family":"Hosenuzzaman","given":"M.","non-dropping-particle":"","parse-names":false,"suffix":""}],"container-title":"Renewable &amp; Sustainable Energy Reviews","id":"ITEM-3","issued":{"date-parts":[["2017","1","1"]]},"page":"776-790","publisher":"Elsevier Ltd","title":"European smart grid prospects, policies, and challenges","type":"article-journal","volume":"67"},"uris":["http://www.mendeley.com/documents/?uuid=cafe646d-35c4-346d-9bc9-cd7aa5f0be03"]}],"mendeley":{"formattedCitation":"[43–45]","plainTextFormattedCitation":"[43–45]","previouslyFormattedCitation":"[43–45]"},"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[43–45]</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Markets and commercial aspect is also a crucial part of this new landscape, backed up with regulatory framework, environmental consideration, standardization usage</w:t>
      </w:r>
      <w:r w:rsidR="00E6130F" w:rsidRPr="003676D3">
        <w:rPr>
          <w:rFonts w:ascii="Times New Roman" w:hAnsi="Times New Roman" w:cs="Times New Roman"/>
          <w:sz w:val="24"/>
          <w:szCs w:val="24"/>
        </w:rPr>
        <w:t xml:space="preserve"> and societal requirement</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{"citationItems":[{"id":"ITEM-1","itemData":{"abstract":"Whilst current electricity networks presently have fulfilled their function effectively, more of the same will not be sufficient to meet current challenges and policy imperatives. In this context, the European Technology Platform (ETP) SmartGrids was set up in 2005 to create a joint vision of European networks for 2020 and onwards. The platform includes representatives from industry, transmission and distribution system operators, research bodies and regulators. It has identified clear objectives and proposes a strategy for the development of future electricity networks.","author":[{"dropping-particle":"","family":"Union","given":"Publications Office of the European","non-dropping-particle":"","parse-names":false,"suffix":""}],"id":"ITEM-1","issued":{"date-parts":[["2006","4","12"]]},"publisher":"Publications Office of the European Union","title":"European SmartGrids Technology Platform : vision and strategy for Europe’s electricity networks of the future.","type":"article-journal"},"uris":["http://www.mendeley.com/documents/?uuid=e8585a7f-249e-32d3-aac4-649b3b54aa0a"]}],"mendeley":{"formattedCitation":"[46]","plainTextFormattedCitation":"[46]","previouslyFormattedCitation":"[46]"},"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[46]</w:t>
      </w:r>
      <w:r w:rsidR="000E2E14" w:rsidRPr="003676D3">
        <w:rPr>
          <w:rFonts w:ascii="Times New Roman" w:hAnsi="Times New Roman" w:cs="Times New Roman"/>
          <w:sz w:val="24"/>
          <w:szCs w:val="24"/>
        </w:rPr>
        <w:fldChar w:fldCharType="end"/>
      </w:r>
      <w:r w:rsidR="00E6130F" w:rsidRPr="003676D3">
        <w:rPr>
          <w:rFonts w:ascii="Times New Roman" w:hAnsi="Times New Roman" w:cs="Times New Roman"/>
          <w:sz w:val="24"/>
          <w:szCs w:val="24"/>
        </w:rPr>
        <w:t xml:space="preserve">. </w:t>
      </w:r>
      <w:r w:rsidR="00645477" w:rsidRPr="003676D3">
        <w:rPr>
          <w:rFonts w:ascii="Times New Roman" w:hAnsi="Times New Roman" w:cs="Times New Roman"/>
          <w:sz w:val="24"/>
          <w:szCs w:val="24"/>
        </w:rPr>
        <w:t>A Super Smart Grid would have the capability to connect EU member countries through a single grid, without the limits of national boundaries and ensure ease in energy exchange between countries.</w:t>
      </w:r>
    </w:p>
    <w:p w14:paraId="709272ED" w14:textId="183433F7" w:rsidR="00E7634E" w:rsidRPr="003676D3" w:rsidRDefault="00E7634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present-day electricity grid confronts multifaceted challenges and issues such as privacy concerns between energy providers and consumers</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{"citationItems":[{"id":"ITEM-1","itemData":{"DOI":"10.3390/EN14051285","ISSN":"19961073","abstract":"The purpose of this review is to investigate the nature of privacy concerns in the context of smart local energy systems (SLES) to understand how SLES providers can minimize both user concerns, and cause for concern, around privacy. We conducted a rapid realist review and thematic framework analysis against Bronfenbrenner’s socio–ecological model to understand privacy concerns in different contexts. A common privacy concern was that sharing detailed energy use data had the potential to reveal information about home life, and to intrude upon people’s sense of autonomy, choice, and control. Evidence suggests that people are willing to accept new data sharing technologies if the benefits of doing so are clear, anticipated, and mutually beneficial. Building trust, through increasing knowledge and understanding, was a mechanism for overcoming privacy concerns, but this was mediated by the organization providing the information. Non-profit organizations were more trusted to ensure appropriate safeguards to privacy were in place. One key barrier to participation with good supporting evidence was that people could resist perceived intrusions on their privacy. This could be actively resisted by refusing to install data collection technologies or passively by non-participation in adapting energy use behaviours: both of which are necessary for SLES to achieve their goals of managing energy demand and building resilience in smart grids.","author":[{"dropping-particle":"","family":"Vigurs","given":"Carol","non-dropping-particle":"","parse-names":false,"suffix":""},{"dropping-particle":"","family":"Maidment","given":"Chris","non-dropping-particle":"","parse-names":false,"suffix":""},{"dropping-particle":"","family":"Fell","given":"Michael","non-dropping-particle":"","parse-names":false,"suffix":""},{"dropping-particle":"","family":"Shipworth","given":"David","non-dropping-particle":"","parse-names":false,"suffix":""}],"container-title":"Energies","id":"ITEM-1","issue":"5","issued":{"date-parts":[["2021","3","1"]]},"publisher":"MDPI AG","title":"Customer Privacy Concerns as a Barrier to Sharing Data about Energy Use in Smart Local Energy Systems: A Rapid Realist Review","type":"article-journal","volume":"14"},"uris":["http://www.mendeley.com/documents/?uuid=0d6ec87a-547e-3000-8cf2-2d2a43870b4e"]}],"mendeley":{"formattedCitation":"[47]","plainTextFormattedCitation":"[47]","previouslyFormattedCitation":"[47]"},"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[47]</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cybersecurity threats originating from potential cyber-attacks</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{"citationItems":[{"id":"ITEM-1","itemData":{"DOI":"10.1016/J.COMPELECENG.2018.01.015","ISSN":"00457906","abstract":"Abstract Smart grid uses the power of information technology to intelligently deliver energy by using a two-way communication and wisely meet the environmental requirements by facilitating the integration of green technologies. The inherent weakness of communication technology has exposed the system to numerous security threats. Several survey papers have discussed these problems and their countermeasures. However, most of these papers classified attacks based on confidentiality, integrity, and availability, but they excluded the accountability. In addition, the existing countermeasures focus on countering some specific attacks or protecting some specific components, but there is no global approach to secure the entire system. In this paper, we review the security requirements, provide descriptions of several severe cyber-attacks, and propose a cyber-security strategy to detect and counter these attacks. Lastly, we provide some future research directions.","author":[{"dropping-particle":"El","family":"Mrabet","given":"Zakaria","non-dropping-particle":"","parse-names":false,"suffix":""},{"dropping-particle":"","family":"Kaabouch","given":"Naima","non-dropping-particle":"","parse-names":false,"suffix":""},{"dropping-particle":"El","family":"Ghazi","given":"Hassan","non-dropping-particle":"","parse-names":false,"suffix":""},{"dropping-particle":"El","family":"Ghazi","given":"Hamid","non-dropping-particle":"","parse-names":false,"suffix":""}],"container-title":"ArXiv","id":"ITEM-1","issued":{"date-parts":[["2018","4","1"]]},"page":"469-482","publisher":"Elsevier Ltd","title":"Cyber-security in smart grid: Survey and challenges","type":"article-journal","volume":"abs/1809.02609"},"uris":["http://www.mendeley.com/documents/?uuid=093a36a8-d8f5-3a92-9cb9-edd30a43859b"]}],"mendeley":{"formattedCitation":"[48]","plainTextFormattedCitation":"[48]","previouslyFormattedCitation":"[48]"},"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[48]</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and the need to align with national objectives for integrating green energy sources. Moreover, the grid contends with heightened intricacy in maintaining grid stability in the event of intermittent power supply, as well as necessary action to mitigating peak demand surges to optimize energy utilization and reserve adequacy. </w:t>
      </w:r>
    </w:p>
    <w:p w14:paraId="55D611AA" w14:textId="23FFA4DB" w:rsidR="00E7634E" w:rsidRPr="003676D3" w:rsidRDefault="00E7634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incessant demand for uninterrupted power supply further amplifies the complexity. Additionally, the proliferation of digitally controlled devices introduces a transformative shift in electrical load dynamics. Addressing these challenges mandates t</w:t>
      </w:r>
      <w:r w:rsidR="001D6C16" w:rsidRPr="003676D3">
        <w:rPr>
          <w:rFonts w:ascii="Times New Roman" w:hAnsi="Times New Roman" w:cs="Times New Roman"/>
          <w:sz w:val="24"/>
          <w:szCs w:val="24"/>
        </w:rPr>
        <w:t xml:space="preserve">he evolution of a </w:t>
      </w:r>
      <w:r w:rsidRPr="003676D3">
        <w:rPr>
          <w:rFonts w:ascii="Times New Roman" w:hAnsi="Times New Roman" w:cs="Times New Roman"/>
          <w:sz w:val="24"/>
          <w:szCs w:val="24"/>
        </w:rPr>
        <w:t>self-regulating,</w:t>
      </w:r>
      <w:r w:rsidR="001D6C16" w:rsidRPr="003676D3">
        <w:rPr>
          <w:rFonts w:ascii="Times New Roman" w:hAnsi="Times New Roman" w:cs="Times New Roman"/>
          <w:sz w:val="24"/>
          <w:szCs w:val="24"/>
        </w:rPr>
        <w:t xml:space="preserve"> intelligent</w:t>
      </w:r>
      <w:r w:rsidRPr="003676D3">
        <w:rPr>
          <w:rFonts w:ascii="Times New Roman" w:hAnsi="Times New Roman" w:cs="Times New Roman"/>
          <w:sz w:val="24"/>
          <w:szCs w:val="24"/>
        </w:rPr>
        <w:t xml:space="preserve"> and seamlessly integrated electric grid, facilitated by modern information and communication technology (ICT) techniques for efficient data manipulation and sharing. In this evolving landscape, Smart grids offer a responsive solution to these pressing demands, thereby </w:t>
      </w:r>
      <w:r w:rsidR="001D6C16" w:rsidRPr="003676D3">
        <w:rPr>
          <w:rFonts w:ascii="Times New Roman" w:hAnsi="Times New Roman" w:cs="Times New Roman"/>
          <w:sz w:val="24"/>
          <w:szCs w:val="24"/>
        </w:rPr>
        <w:t>making foundation</w:t>
      </w:r>
      <w:r w:rsidRPr="003676D3">
        <w:rPr>
          <w:rFonts w:ascii="Times New Roman" w:hAnsi="Times New Roman" w:cs="Times New Roman"/>
          <w:sz w:val="24"/>
          <w:szCs w:val="24"/>
        </w:rPr>
        <w:t xml:space="preserve"> for a resilient and sustainable electricity network</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{"citationItems":[{"id":"ITEM-1","itemData":{"DOI":"10.3390/EN6010251","ISSN":"1996-1073","abstract":"The old electricity network infrastructure has proven to be inadequate, with respect to modern challenges such as alternative energy sources, electricity demand and energy saving policies. Moreover, Information and Communication Technologies (ICT) seem to have reached an adequate level of reliability and flexibility in order to support a new concept of electricity network — the smart grid. In this work, we will analyse the state-of-the-art of smart grids, in their technical, management, security, and optimization aspects. We will also provide a brief overview of the regulatory aspects involved in the development of a smart grid, mainly from the viewpoint of the European Union.","author":[{"dropping-particle":"","family":"Ardito","given":"Luca","non-dropping-particle":"","parse-names":false,"suffix":""},{"dropping-particle":"","family":"Procaccianti","given":"Giuseppe","non-dropping-particle":"","parse-names":false,"suffix":""},{"dropping-particle":"","family":"Menga","given":"Giuseppe","non-dropping-particle":"","parse-names":false,"suffix":""},{"dropping-particle":"","family":"Morisio","given":"Maurizio","non-dropping-particle":"","parse-names":false,"suffix":""}],"container-title":"Energies 2013, Vol. 6, Pages 251-281","id":"ITEM-1","issue":"1","issued":{"date-parts":[["2013","1","9"]]},"page":"251-281","publisher":"Multidisciplinary Digital Publishing Institute","title":"Smart Grid Technologies in Europe: An Overview","type":"article-journal","volume":"6"},"uris":["http://www.mendeley.com/documents/?uuid=e5c1c5b3-5c29-3ed3-b0c0-ee5f12709a45"]}],"mendeley":{"formattedCitation":"[49]","plainTextFormattedCitation":"[49]","previouslyFormattedCitation":"[49]"},"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[49]</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p>
    <w:p w14:paraId="0D8656E7" w14:textId="6B5ABA79" w:rsidR="00F24BFF" w:rsidRPr="003676D3" w:rsidRDefault="00F24BF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study examines surplus power generation</w:t>
      </w:r>
      <w:r w:rsidR="001D6C16" w:rsidRPr="003676D3">
        <w:rPr>
          <w:rFonts w:ascii="Times New Roman" w:hAnsi="Times New Roman" w:cs="Times New Roman"/>
          <w:sz w:val="24"/>
          <w:szCs w:val="24"/>
        </w:rPr>
        <w:t xml:space="preserve"> and the residual load</w:t>
      </w:r>
      <w:r w:rsidRPr="003676D3">
        <w:rPr>
          <w:rFonts w:ascii="Times New Roman" w:hAnsi="Times New Roman" w:cs="Times New Roman"/>
          <w:sz w:val="24"/>
          <w:szCs w:val="24"/>
        </w:rPr>
        <w:t xml:space="preserve"> scenario in 30 European countries in case of 100% RE penetration. For individual countries,</w:t>
      </w:r>
      <w:r w:rsidR="001D6C16" w:rsidRPr="003676D3">
        <w:rPr>
          <w:rFonts w:ascii="Times New Roman" w:hAnsi="Times New Roman" w:cs="Times New Roman"/>
          <w:sz w:val="24"/>
          <w:szCs w:val="24"/>
        </w:rPr>
        <w:t xml:space="preserve"> approximately 24% of the total </w:t>
      </w:r>
      <w:r w:rsidRPr="003676D3">
        <w:rPr>
          <w:rFonts w:ascii="Times New Roman" w:hAnsi="Times New Roman" w:cs="Times New Roman"/>
          <w:sz w:val="24"/>
          <w:szCs w:val="24"/>
        </w:rPr>
        <w:t>electricity consumption</w:t>
      </w:r>
      <w:r w:rsidR="001D6C16" w:rsidRPr="003676D3">
        <w:rPr>
          <w:rFonts w:ascii="Times New Roman" w:hAnsi="Times New Roman" w:cs="Times New Roman"/>
          <w:sz w:val="24"/>
          <w:szCs w:val="24"/>
        </w:rPr>
        <w:t xml:space="preserve"> in a year</w:t>
      </w:r>
      <w:r w:rsidRPr="003676D3">
        <w:rPr>
          <w:rFonts w:ascii="Times New Roman" w:hAnsi="Times New Roman" w:cs="Times New Roman"/>
          <w:sz w:val="24"/>
          <w:szCs w:val="24"/>
        </w:rPr>
        <w:t xml:space="preserve"> requires balancing. However, this lessens to 15% when all countries are interconnected with unrestricted interconnectors, thereby getting benefit of the maximum achievable transmission. The unconstrained interconnectors exhibit a Net Transfer Capacity about 11.5 times greater than current values. Nonetheless, constrained interconnector capacities, at 5.7 times the curren</w:t>
      </w:r>
      <w:r w:rsidR="00996978" w:rsidRPr="003676D3">
        <w:rPr>
          <w:rFonts w:ascii="Times New Roman" w:hAnsi="Times New Roman" w:cs="Times New Roman"/>
          <w:sz w:val="24"/>
          <w:szCs w:val="24"/>
        </w:rPr>
        <w:t>t value</w:t>
      </w:r>
      <w:r w:rsidRPr="003676D3">
        <w:rPr>
          <w:rFonts w:ascii="Times New Roman" w:hAnsi="Times New Roman" w:cs="Times New Roman"/>
          <w:sz w:val="24"/>
          <w:szCs w:val="24"/>
        </w:rPr>
        <w:t>, deliver 98% of the maximum feasible transmission benefit</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{"citationItems":[{"id":"ITEM-1","itemData":{"DOI":"10.1016/J.RENENE.2013.10.005","ISSN":"0960-1481","abstract":"The residual load and excess power generation of 30 European countries with a 100% penetration of variable renewable energy sources are explored in order to quantify the benefit of power transmission between countries. Estimates are based on extensive weather data, which allows for modelling of hourly mismatches between the demand and renewable generation from wind and solar photovoltaics. For separated countries, balancing is required to cover around 24% of the total annual electricity consumption. This number can be reduced down to 15% once all countries are networked together with unconstrained interconnectors. The reduction represents the maximum possible benefit of transmission for the countries. The total Net Transfer Capacity of the unconstrained interconnectors is roughly 11.5 times larger than current values. However, constrained interconnector capacities 5.7 times larger than the current values are found to provide 98% of the maximum possible benefit of transmission. This motivates a detailed investigation of several constrained transmission capacity layouts to determine the export and import capabilities of countries participating in a fully renewable European electricity system. © 2013 Elsevier Ltd.","author":[{"dropping-particle":"","family":"Rodríguez","given":"Rolando A.","non-dropping-particle":"","parse-names":false,"suffix":""},{"dropping-particle":"","family":"Becker","given":"Sarah","non-dropping-particle":"","parse-names":false,"suffix":""},{"dropping-particle":"","family":"Andresen","given":"Gorm B.","non-dropping-particle":"","parse-names":false,"suffix":""},{"dropping-particle":"","family":"Heide","given":"Dominik","non-dropping-particle":"","parse-names":false,"suffix":""},{"dropping-particle":"","family":"Greiner","given":"Martin","non-dropping-particle":"","parse-names":false,"suffix":""}],"container-title":"Renewable Energy","id":"ITEM-1","issued":{"date-parts":[["2014","3","1"]]},"page":"467-476","publisher":"Pergamon","title":"Transmission needs across a fully renewable European power system","type":"article-journal","volume":"63"},"uris":["http://www.mendeley.com/documents/?uuid=1ae66115-95fc-322e-9c3e-3bf90f00783c"]}],"mendeley":{"formattedCitation":"[50]","plainTextFormattedCitation":"[50]","previouslyFormattedCitation":"[50]"},"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[50]</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p>
    <w:p w14:paraId="7E93C68D" w14:textId="473DD4FA" w:rsidR="00540AED" w:rsidRPr="003676D3" w:rsidRDefault="00F90B76"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A research study employing "LUT Energy System Transition model" simulates two distinct pathways toward achieving a 100% </w:t>
      </w:r>
      <w:r w:rsidR="001D6C16" w:rsidRPr="003676D3">
        <w:rPr>
          <w:rFonts w:ascii="Times New Roman" w:hAnsi="Times New Roman" w:cs="Times New Roman"/>
          <w:sz w:val="24"/>
          <w:szCs w:val="24"/>
        </w:rPr>
        <w:t>RE</w:t>
      </w:r>
      <w:r w:rsidRPr="003676D3">
        <w:rPr>
          <w:rFonts w:ascii="Times New Roman" w:hAnsi="Times New Roman" w:cs="Times New Roman"/>
          <w:sz w:val="24"/>
          <w:szCs w:val="24"/>
        </w:rPr>
        <w:t xml:space="preserve"> power sector in Europe by 2050</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Energy","id":"ITEM-1","issued":{"date-parts":[["2019","8","1"]]},"page":"80-101","publisher":"Pergamon","title":"Flexible electricity generation, grid exchange and storage for the transition to a 100% renewable energy system in Europe","type":"article-journal","volume":"139"},"uris":["http://www.mendeley.com/documents/?uuid=f53bc38e-2407-306c-a568-78476f4a782f"]}],"mendeley":{"formattedCitation":"[39]","plainTextFormattedCitation":"[39]","previouslyFormattedCitation":"[39]"},"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[39]</w:t>
      </w:r>
      <w:r w:rsidR="000E2E14"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The first scenario models regions independently, while the Area scenario incorporates transmission interconnections between regions. The </w:t>
      </w:r>
      <w:r w:rsidR="009D0E7D" w:rsidRPr="003676D3">
        <w:rPr>
          <w:rFonts w:ascii="Times New Roman" w:hAnsi="Times New Roman" w:cs="Times New Roman"/>
          <w:sz w:val="24"/>
          <w:szCs w:val="24"/>
        </w:rPr>
        <w:t>modelling</w:t>
      </w:r>
      <w:r w:rsidRPr="003676D3">
        <w:rPr>
          <w:rFonts w:ascii="Times New Roman" w:hAnsi="Times New Roman" w:cs="Times New Roman"/>
          <w:sz w:val="24"/>
          <w:szCs w:val="24"/>
        </w:rPr>
        <w:t xml:space="preserve"> framework accounts for current power plant capacities and ages, along with anticipated increases in future electricity demands. </w:t>
      </w:r>
      <w:r w:rsidR="00996978" w:rsidRPr="003676D3">
        <w:rPr>
          <w:rFonts w:ascii="Times New Roman" w:hAnsi="Times New Roman" w:cs="Times New Roman"/>
          <w:sz w:val="24"/>
          <w:szCs w:val="24"/>
        </w:rPr>
        <w:t>The optimization results suggest that the levelized cost of electricity could poten</w:t>
      </w:r>
      <w:r w:rsidR="001D6C16" w:rsidRPr="003676D3">
        <w:rPr>
          <w:rFonts w:ascii="Times New Roman" w:hAnsi="Times New Roman" w:cs="Times New Roman"/>
          <w:sz w:val="24"/>
          <w:szCs w:val="24"/>
        </w:rPr>
        <w:t>tially decrease from the</w:t>
      </w:r>
      <w:r w:rsidR="00996978" w:rsidRPr="003676D3">
        <w:rPr>
          <w:rFonts w:ascii="Times New Roman" w:hAnsi="Times New Roman" w:cs="Times New Roman"/>
          <w:sz w:val="24"/>
          <w:szCs w:val="24"/>
        </w:rPr>
        <w:t xml:space="preserve"> 69 €/MWh to 56 €/MWh in the regional scenario and 51 €/MWh in the area scenario, enabled by the adoption of cost-effective, flexible renewable energy generation and energy storage solutions. </w:t>
      </w:r>
      <w:r w:rsidRPr="003676D3">
        <w:rPr>
          <w:rFonts w:ascii="Times New Roman" w:hAnsi="Times New Roman" w:cs="Times New Roman"/>
          <w:sz w:val="24"/>
          <w:szCs w:val="24"/>
        </w:rPr>
        <w:t xml:space="preserve">The second scenario supports the idea of the transition from smart to super smart grid. </w:t>
      </w:r>
    </w:p>
    <w:p w14:paraId="01B44D0A" w14:textId="1060E0E3" w:rsidR="000E2E14" w:rsidRPr="003676D3" w:rsidRDefault="00F24BF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lastRenderedPageBreak/>
        <w:t xml:space="preserve">SG’s are imperative to take maximum advantage of most </w:t>
      </w:r>
      <w:r w:rsidR="009D0E7D" w:rsidRPr="003676D3">
        <w:rPr>
          <w:rFonts w:ascii="Times New Roman" w:hAnsi="Times New Roman" w:cs="Times New Roman"/>
          <w:sz w:val="24"/>
          <w:szCs w:val="24"/>
        </w:rPr>
        <w:t>intermittent</w:t>
      </w:r>
      <w:r w:rsidRPr="003676D3">
        <w:rPr>
          <w:rFonts w:ascii="Times New Roman" w:hAnsi="Times New Roman" w:cs="Times New Roman"/>
          <w:sz w:val="24"/>
          <w:szCs w:val="24"/>
        </w:rPr>
        <w:t xml:space="preserve"> RE resources</w:t>
      </w:r>
      <w:r w:rsidR="009D0E7D" w:rsidRPr="003676D3">
        <w:rPr>
          <w:rFonts w:ascii="Times New Roman" w:hAnsi="Times New Roman" w:cs="Times New Roman"/>
          <w:sz w:val="24"/>
          <w:szCs w:val="24"/>
        </w:rPr>
        <w:t xml:space="preserve"> (RER)</w:t>
      </w:r>
      <w:r w:rsidRPr="003676D3">
        <w:rPr>
          <w:rFonts w:ascii="Times New Roman" w:hAnsi="Times New Roman" w:cs="Times New Roman"/>
          <w:sz w:val="24"/>
          <w:szCs w:val="24"/>
        </w:rPr>
        <w:t xml:space="preserve"> due to their capability to </w:t>
      </w:r>
      <w:r w:rsidR="00886C5A" w:rsidRPr="003676D3">
        <w:rPr>
          <w:rFonts w:ascii="Times New Roman" w:hAnsi="Times New Roman" w:cs="Times New Roman"/>
          <w:sz w:val="24"/>
          <w:szCs w:val="24"/>
        </w:rPr>
        <w:t>manage and monitor</w:t>
      </w:r>
      <w:r w:rsidRPr="003676D3">
        <w:rPr>
          <w:rFonts w:ascii="Times New Roman" w:hAnsi="Times New Roman" w:cs="Times New Roman"/>
          <w:sz w:val="24"/>
          <w:szCs w:val="24"/>
        </w:rPr>
        <w:t xml:space="preserve"> </w:t>
      </w:r>
      <w:r w:rsidR="00886C5A" w:rsidRPr="003676D3">
        <w:rPr>
          <w:rFonts w:ascii="Times New Roman" w:hAnsi="Times New Roman" w:cs="Times New Roman"/>
          <w:sz w:val="24"/>
          <w:szCs w:val="24"/>
        </w:rPr>
        <w:t>the delivery the energy in real-</w:t>
      </w:r>
      <w:r w:rsidRPr="003676D3">
        <w:rPr>
          <w:rFonts w:ascii="Times New Roman" w:hAnsi="Times New Roman" w:cs="Times New Roman"/>
          <w:sz w:val="24"/>
          <w:szCs w:val="24"/>
        </w:rPr>
        <w:t>time by means of a communication devices for automatic reconfiguration of RE</w:t>
      </w:r>
      <w:r w:rsidR="009D0E7D" w:rsidRPr="003676D3">
        <w:rPr>
          <w:rFonts w:ascii="Times New Roman" w:hAnsi="Times New Roman" w:cs="Times New Roman"/>
          <w:sz w:val="24"/>
          <w:szCs w:val="24"/>
        </w:rPr>
        <w:t>R</w:t>
      </w:r>
      <w:r w:rsidRPr="003676D3">
        <w:rPr>
          <w:rFonts w:ascii="Times New Roman" w:hAnsi="Times New Roman" w:cs="Times New Roman"/>
          <w:sz w:val="24"/>
          <w:szCs w:val="24"/>
        </w:rPr>
        <w:t>. One aspect of SG deployment is to reduce the peak demand, thus making way to incorporate new loads such as, electric vehicles. The bidirectional flow of data provides consumers with insights on electricity consumed and price. Now, in case of transition from smart grids to super-grids, serving as large</w:t>
      </w:r>
      <w:r w:rsidR="009D0E7D" w:rsidRPr="003676D3">
        <w:rPr>
          <w:rFonts w:ascii="Times New Roman" w:hAnsi="Times New Roman" w:cs="Times New Roman"/>
          <w:sz w:val="24"/>
          <w:szCs w:val="24"/>
        </w:rPr>
        <w:t>-</w:t>
      </w:r>
      <w:r w:rsidRPr="003676D3">
        <w:rPr>
          <w:rFonts w:ascii="Times New Roman" w:hAnsi="Times New Roman" w:cs="Times New Roman"/>
          <w:sz w:val="24"/>
          <w:szCs w:val="24"/>
        </w:rPr>
        <w:t>scale transmission networks between wide geographical areas, make use of high-voltage direct current (HVDC) technology. One example of</w:t>
      </w:r>
      <w:r w:rsidR="009D0E7D" w:rsidRPr="003676D3">
        <w:rPr>
          <w:rFonts w:ascii="Times New Roman" w:hAnsi="Times New Roman" w:cs="Times New Roman"/>
          <w:sz w:val="24"/>
          <w:szCs w:val="24"/>
        </w:rPr>
        <w:t xml:space="preserve"> the</w:t>
      </w:r>
      <w:r w:rsidRPr="003676D3">
        <w:rPr>
          <w:rFonts w:ascii="Times New Roman" w:hAnsi="Times New Roman" w:cs="Times New Roman"/>
          <w:sz w:val="24"/>
          <w:szCs w:val="24"/>
        </w:rPr>
        <w:t xml:space="preserve"> super</w:t>
      </w:r>
      <w:r w:rsidR="009D0E7D" w:rsidRPr="003676D3">
        <w:rPr>
          <w:rFonts w:ascii="Times New Roman" w:hAnsi="Times New Roman" w:cs="Times New Roman"/>
          <w:sz w:val="24"/>
          <w:szCs w:val="24"/>
        </w:rPr>
        <w:t>-grid is the project</w:t>
      </w:r>
      <w:r w:rsidRPr="003676D3">
        <w:rPr>
          <w:rFonts w:ascii="Times New Roman" w:hAnsi="Times New Roman" w:cs="Times New Roman"/>
          <w:sz w:val="24"/>
          <w:szCs w:val="24"/>
        </w:rPr>
        <w:t xml:space="preserve"> under the </w:t>
      </w:r>
      <w:proofErr w:type="spellStart"/>
      <w:r w:rsidRPr="003676D3">
        <w:rPr>
          <w:rFonts w:ascii="Times New Roman" w:hAnsi="Times New Roman" w:cs="Times New Roman"/>
          <w:sz w:val="24"/>
          <w:szCs w:val="24"/>
        </w:rPr>
        <w:t>Desertec</w:t>
      </w:r>
      <w:proofErr w:type="spellEnd"/>
      <w:r w:rsidRPr="003676D3">
        <w:rPr>
          <w:rFonts w:ascii="Times New Roman" w:hAnsi="Times New Roman" w:cs="Times New Roman"/>
          <w:sz w:val="24"/>
          <w:szCs w:val="24"/>
        </w:rPr>
        <w:t xml:space="preserve"> progr</w:t>
      </w:r>
      <w:r w:rsidR="009D0E7D" w:rsidRPr="003676D3">
        <w:rPr>
          <w:rFonts w:ascii="Times New Roman" w:hAnsi="Times New Roman" w:cs="Times New Roman"/>
          <w:sz w:val="24"/>
          <w:szCs w:val="24"/>
        </w:rPr>
        <w:t>am, which links RER from North Africa and Europe</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0E2E14" w:rsidRPr="003676D3">
        <w:rPr>
          <w:rFonts w:ascii="Times New Roman" w:hAnsi="Times New Roman" w:cs="Times New Roman"/>
          <w:sz w:val="24"/>
          <w:szCs w:val="24"/>
        </w:rPr>
        <w:instrText>ADDIN CSL_CITATION {"citationItems":[{"id":"ITEM-1","itemData":{"DOI":"10.1007/978-1-4471-4385-7_16","ISBN":"9781447143840","ISSN":"21951284","abstract":"Smart grids are necessary to take full advantage of most intermitent renewable resources such as wind and solar, since they are able to monitor and manage the delivery of power in real time. One important goal of smart grid deployment is also to reduce the peak demands, thus increasing the options for new loads such as, for example, electric vehicles. The deployment of the smart power grid will be accompanied by the development of other advanced technological areas, such as real-time monitoring of the whole power system by means of a communication meters for automatic reconfiguration of renewable resources. In addition, advanced metering enables bidirectional flow of information and, therefore, provides consumers with valuable data on electricity consumed and price. In this chapter, we also review the state of the art in supergrids, which will serve as large transmission networks between wide geographical areas. Many of the supergrids are starting to make use of high-voltage direct current (HVDC) technology, due to their very low losses specially across oceans. One interesting example of supergrid is the one projected under the Desertec program linking renewable resources from North Africa and Europe, but other supergrid projects are also in advance in other regions of the world. © Springer-Verlag London 2013.","container-title":"Lecture Notes in Energy","id":"ITEM-1","issued":{"date-parts":[["2013"]]},"page":"335-352","title":"Smart Grids and Supergrids","type":"article-journal","volume":"3"},"uris":["http://www.mendeley.com/documents/?uuid=39fc8c3c-70ad-3ede-9f75-da06f332ba55"]}],"mendeley":{"formattedCitation":"[51]","plainTextFormattedCitation":"[51]","previouslyFormattedCitation":"[51]"},"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[51]</w:t>
      </w:r>
      <w:r w:rsidR="000E2E14" w:rsidRPr="003676D3">
        <w:rPr>
          <w:rFonts w:ascii="Times New Roman" w:hAnsi="Times New Roman" w:cs="Times New Roman"/>
          <w:sz w:val="24"/>
          <w:szCs w:val="24"/>
        </w:rPr>
        <w:fldChar w:fldCharType="end"/>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r>
      <w:r w:rsidR="000E2E14" w:rsidRPr="003676D3">
        <w:rPr>
          <w:rFonts w:ascii="Times New Roman" w:hAnsi="Times New Roman" w:cs="Times New Roman"/>
          <w:sz w:val="24"/>
          <w:szCs w:val="24"/>
        </w:rPr>
        <w:instrText xml:space="preserve"> REF _Ref168036242 \h  \* MERGEFORMAT </w:instrText>
      </w:r>
      <w:r w:rsidR="000E2E14" w:rsidRPr="003676D3">
        <w:rPr>
          <w:rFonts w:ascii="Times New Roman" w:hAnsi="Times New Roman" w:cs="Times New Roman"/>
          <w:sz w:val="24"/>
          <w:szCs w:val="24"/>
        </w:rPr>
      </w:r>
      <w:r w:rsidR="000E2E14"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Table </w:t>
      </w:r>
      <w:r w:rsidR="008D1E2C" w:rsidRPr="003676D3">
        <w:rPr>
          <w:rFonts w:ascii="Times New Roman" w:hAnsi="Times New Roman" w:cs="Times New Roman"/>
          <w:b/>
          <w:bCs/>
          <w:noProof/>
          <w:sz w:val="24"/>
          <w:szCs w:val="24"/>
        </w:rPr>
        <w:t>2</w:t>
      </w:r>
      <w:r w:rsidR="000E2E14" w:rsidRPr="003676D3">
        <w:rPr>
          <w:rFonts w:ascii="Times New Roman" w:hAnsi="Times New Roman" w:cs="Times New Roman"/>
          <w:sz w:val="24"/>
          <w:szCs w:val="24"/>
        </w:rPr>
        <w:fldChar w:fldCharType="end"/>
      </w:r>
      <w:r w:rsidR="000E2E14" w:rsidRPr="003676D3">
        <w:rPr>
          <w:rFonts w:ascii="Times New Roman" w:hAnsi="Times New Roman" w:cs="Times New Roman"/>
          <w:sz w:val="24"/>
          <w:szCs w:val="24"/>
        </w:rPr>
        <w:t xml:space="preserve"> </w:t>
      </w:r>
      <w:r w:rsidR="009D0E7D" w:rsidRPr="003676D3">
        <w:rPr>
          <w:rFonts w:ascii="Times New Roman" w:hAnsi="Times New Roman" w:cs="Times New Roman"/>
          <w:sz w:val="24"/>
          <w:szCs w:val="24"/>
        </w:rPr>
        <w:t>provides a comparison of attributes in case of transition from conventional to super grid</w:t>
      </w:r>
      <w:r w:rsidR="000E2E14" w:rsidRPr="003676D3">
        <w:rPr>
          <w:rFonts w:ascii="Times New Roman" w:hAnsi="Times New Roman" w:cs="Times New Roman"/>
          <w:sz w:val="24"/>
          <w:szCs w:val="24"/>
        </w:rPr>
        <w:t xml:space="preserve"> </w:t>
      </w:r>
      <w:r w:rsidR="000E2E14"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{"citationItems":[{"id":"ITEM-1","itemData":{"DOI":"10.1016/j.heliyon.2024.e25705","ISSN":"24058440","abstract":"Energy generation and management are relevant for both utilities and electricity users, and they can be improved by incorporating sophisticated technology on smart grid. This opens up the possibility of transforming existing industries into a new era of enhanced networks that will give an intelligent, responsive, and bi-directional automatic management system for power generation, transmission, and distribution. The traditional grid is transitioning from a centralized generation structure to a more dispersed smart grid structure. In order to build this new decentralized structure, loads must be fully integrated into the grid and adequately separated from the main grid. The smart grid allows for the integration of loads that are clean, cost-effective, and efficient. The growing level of distributed generation (DG) integration puts the grid under strain, resulting in perturbations with dynamic responses. This paper discussed a detailed review of current developments in smart grid through the integration of renewable energy resources (RERs) into the grid. The purpose of this study is to present a comprehensive, up-to-date review of RERs integration on grid to evaluate research directions, progress, challenges, and potential solutions. It focuses on the concepts and structure of smart grids, followed by an in-depth examination of smart grid overview, energy sources, inertia issues, and applications. This evaluation will assist other researchers investigating smart grid energy resources in identifying research problems and gaps.","author":[{"dropping-particle":"","family":"Ohanu","given":"Chibuike Peter","non-dropping-particle":"","parse-names":false,"suffix":""},{"dropping-particle":"","family":"Rufai","given":"Salihu Ahmed","non-dropping-particle":"","parse-names":false,"suffix":""},{"dropping-particle":"","family":"Oluchi","given":"Ugbe Christiana","non-dropping-particle":"","parse-names":false,"suffix":""}],"container-title":"Heliyon","id":"ITEM-1","issue":"3","issued":{"date-parts":[["2024","2","15"]]},"publisher":"Elsevier Ltd","title":"A comprehensive review of recent developments in smart grid through renewable energy resources integration","type":"article-journal","volume":"10"},"uris":["http://www.mendeley.com/documents/?uuid=93892bc4-fb03-32f2-bd3b-45d56e84a092"]},{"id":"ITEM-2","itemData":{"DOI":"10.1016/j.seta.2023.103363","ISSN":"22131388","abstract":"Renewable energy is the most promising solution to the rising problem of greenhouse gas emissions, and it also contributes to environmental protection. A typical electrical grid is a unidirectional system that converts just one-third of the fuel energy into electricity and does not recover waste heat. Almost 8% of its output is lost via transmission lines and 20% of its capacity exists primarily to meet peak demand. Smart grids are controlled power networks that provide several benefits such as expansion and effective management of renewable energy sources. The present review provides an elaborative discussion on smart technologies in terms of characteristics, energy storage systems, demand side management, communication technologies, grid security, and privacy. The present review also highlights important issues for smart grid integration with renewable energy. It is revealed that the communication network and appropriate demand side management with suitable algorithms are highly important for futuristic smart grid integration. Finally, the evolution of Indian energy legislation and regulations, as well as the main barriers are reviewed. A few policy recommendations are also tallied at the conclusion based on the assessment.","author":[{"dropping-particle":"","family":"Kataray","given":"Tarun","non-dropping-particle":"","parse-names":false,"suffix":""},{"dropping-particle":"","family":"Nitesh","given":"B.","non-dropping-particle":"","parse-names":false,"suffix":""},{"dropping-particle":"","family":"Yarram","given":"Bharath","non-dropping-particle":"","parse-names":false,"suffix":""},{"dropping-particle":"","family":"Sinha","given":"Sanyukta","non-dropping-particle":"","parse-names":false,"suffix":""},{"dropping-particle":"","family":"Cuce","given":"Erdem","non-dropping-particle":"","parse-names":false,"suffix":""},{"dropping-particle":"","family":"Shaik","given":"Saboor","non-dropping-particle":"","parse-names":false,"suffix":""},{"dropping-particle":"","family":"Vigneshwaran","given":"Pethurajan","non-dropping-particle":"","parse-names":false,"suffix":""},{"dropping-particle":"","family":"Roy","given":"Abin","non-dropping-particle":"","parse-names":false,"suffix":""}],"container-title":"Sustainable Energy Technologies and Assessments","id":"ITEM-2","issued":{"date-parts":[["2023","8","1"]]},"publisher":"Elsevier Ltd","title":"Integration of smart grid with renewable energy sources: Opportunities and challenges – A comprehensive review","type":"article-journal","volume":"58"},"uris":["http://www.mendeley.com/documents/?uuid=ec80962e-cfac-3906-8ece-8a74bc57b583"]},{"id":"ITEM-3","itemData":{"DOI":"10.1007/978-1-4471-4385-7_16","ISBN":"9781447143840","ISSN":"21951284","abstract":"Smart grids are necessary to take full advantage of most intermitent renewable resources such as wind and solar, since they are able to monitor and manage the delivery of power in real time. One important goal of smart grid deployment is also to reduce the peak demands, thus increasing the options for new loads such as, for example, electric vehicles. The deployment of the smart power grid will be accompanied by the development of other advanced technological areas, such as real-time monitoring of the whole power system by means of a communication meters for automatic reconfiguration of renewable resources. In addition, advanced metering enables bidirectional flow of information and, therefore, provides consumers with valuable data on electricity consumed and price. In this chapter, we also review the state of the art in supergrids, which will serve as large transmission networks between wide geographical areas. Many of the supergrids are starting to make use of high-voltage direct current (HVDC) technology, due to their very low losses specially across oceans. One interesting example of supergrid is the one projected under the Desertec program linking renewable resources from North Africa and Europe, but other supergrid projects are also in advance in other regions of the world. © Springer-Verlag London 2013.","container-title":"Lecture Notes in Energy","id":"ITEM-3","issued":{"date-parts":[["2013"]]},"page":"335-352","title":"Smart Grids and Supergrids","type":"article-journal","volume":"3"},"uris":["http://www.mendeley.com/documents/?uuid=39fc8c3c-70ad-3ede-9f75-da06f332ba55"]}],"mendeley":{"formattedCitation":"[51–53]","plainTextFormattedCitation":"[51–53]","previouslyFormattedCitation":"[51–53]"},"properties":{"noteIndex":0},"schema":"https://github.com/citation-style-language/schema/raw/master/csl-citation.json"}</w:instrText>
      </w:r>
      <w:r w:rsidR="000E2E14" w:rsidRPr="003676D3">
        <w:rPr>
          <w:rFonts w:ascii="Times New Roman" w:hAnsi="Times New Roman" w:cs="Times New Roman"/>
          <w:sz w:val="24"/>
          <w:szCs w:val="24"/>
        </w:rPr>
        <w:fldChar w:fldCharType="separate"/>
      </w:r>
      <w:r w:rsidR="000E2E14" w:rsidRPr="003676D3">
        <w:rPr>
          <w:rFonts w:ascii="Times New Roman" w:hAnsi="Times New Roman" w:cs="Times New Roman"/>
          <w:noProof/>
          <w:sz w:val="24"/>
          <w:szCs w:val="24"/>
        </w:rPr>
        <w:t>[51–53]</w:t>
      </w:r>
      <w:r w:rsidR="000E2E14" w:rsidRPr="003676D3">
        <w:rPr>
          <w:rFonts w:ascii="Times New Roman" w:hAnsi="Times New Roman" w:cs="Times New Roman"/>
          <w:sz w:val="24"/>
          <w:szCs w:val="24"/>
        </w:rPr>
        <w:fldChar w:fldCharType="end"/>
      </w:r>
      <w:r w:rsidR="009D0E7D" w:rsidRPr="003676D3">
        <w:rPr>
          <w:rFonts w:ascii="Times New Roman" w:hAnsi="Times New Roman" w:cs="Times New Roman"/>
          <w:sz w:val="24"/>
          <w:szCs w:val="24"/>
        </w:rPr>
        <w:t xml:space="preserve">. </w:t>
      </w:r>
    </w:p>
    <w:p w14:paraId="003105B7" w14:textId="6B523FDE" w:rsidR="000E2E14" w:rsidRPr="003676D3" w:rsidRDefault="000E2E14" w:rsidP="003676D3">
      <w:pPr>
        <w:pStyle w:val="Caption"/>
        <w:keepNext/>
        <w:spacing w:line="276" w:lineRule="auto"/>
        <w:jc w:val="both"/>
        <w:rPr>
          <w:rFonts w:ascii="Times New Roman" w:hAnsi="Times New Roman" w:cs="Times New Roman"/>
          <w:b/>
          <w:bCs/>
          <w:i w:val="0"/>
          <w:iCs w:val="0"/>
          <w:color w:val="auto"/>
          <w:sz w:val="20"/>
          <w:szCs w:val="20"/>
        </w:rPr>
      </w:pPr>
      <w:bookmarkStart w:id="3" w:name="_Ref168036242"/>
      <w:r w:rsidRPr="003676D3">
        <w:rPr>
          <w:rFonts w:ascii="Times New Roman" w:hAnsi="Times New Roman" w:cs="Times New Roman"/>
          <w:b/>
          <w:bCs/>
          <w:i w:val="0"/>
          <w:iCs w:val="0"/>
          <w:color w:val="auto"/>
          <w:sz w:val="20"/>
          <w:szCs w:val="20"/>
        </w:rPr>
        <w:t xml:space="preserve">Table </w:t>
      </w:r>
      <w:r w:rsidRPr="003676D3">
        <w:rPr>
          <w:rFonts w:ascii="Times New Roman" w:hAnsi="Times New Roman" w:cs="Times New Roman"/>
          <w:b/>
          <w:bCs/>
          <w:i w:val="0"/>
          <w:iCs w:val="0"/>
          <w:color w:val="auto"/>
          <w:sz w:val="20"/>
          <w:szCs w:val="20"/>
        </w:rPr>
        <w:fldChar w:fldCharType="begin"/>
      </w:r>
      <w:r w:rsidRPr="003676D3">
        <w:rPr>
          <w:rFonts w:ascii="Times New Roman" w:hAnsi="Times New Roman" w:cs="Times New Roman"/>
          <w:b/>
          <w:bCs/>
          <w:i w:val="0"/>
          <w:iCs w:val="0"/>
          <w:color w:val="auto"/>
          <w:sz w:val="20"/>
          <w:szCs w:val="20"/>
        </w:rPr>
        <w:instrText xml:space="preserve"> SEQ Table \* ARABIC </w:instrText>
      </w:r>
      <w:r w:rsidRPr="003676D3">
        <w:rPr>
          <w:rFonts w:ascii="Times New Roman" w:hAnsi="Times New Roman" w:cs="Times New Roman"/>
          <w:b/>
          <w:bCs/>
          <w:i w:val="0"/>
          <w:iCs w:val="0"/>
          <w:color w:val="auto"/>
          <w:sz w:val="20"/>
          <w:szCs w:val="20"/>
        </w:rPr>
        <w:fldChar w:fldCharType="separate"/>
      </w:r>
      <w:r w:rsidR="008D1E2C" w:rsidRPr="003676D3">
        <w:rPr>
          <w:rFonts w:ascii="Times New Roman" w:hAnsi="Times New Roman" w:cs="Times New Roman"/>
          <w:b/>
          <w:bCs/>
          <w:i w:val="0"/>
          <w:iCs w:val="0"/>
          <w:noProof/>
          <w:color w:val="auto"/>
          <w:sz w:val="20"/>
          <w:szCs w:val="20"/>
        </w:rPr>
        <w:t>2</w:t>
      </w:r>
      <w:r w:rsidRPr="003676D3">
        <w:rPr>
          <w:rFonts w:ascii="Times New Roman" w:hAnsi="Times New Roman" w:cs="Times New Roman"/>
          <w:b/>
          <w:bCs/>
          <w:i w:val="0"/>
          <w:iCs w:val="0"/>
          <w:color w:val="auto"/>
          <w:sz w:val="20"/>
          <w:szCs w:val="20"/>
        </w:rPr>
        <w:fldChar w:fldCharType="end"/>
      </w:r>
      <w:bookmarkEnd w:id="3"/>
      <w:r w:rsidRPr="003676D3">
        <w:rPr>
          <w:rFonts w:ascii="Times New Roman" w:hAnsi="Times New Roman" w:cs="Times New Roman"/>
          <w:b/>
          <w:bCs/>
          <w:i w:val="0"/>
          <w:iCs w:val="0"/>
          <w:color w:val="auto"/>
          <w:sz w:val="20"/>
          <w:szCs w:val="20"/>
        </w:rPr>
        <w:t>. Difference in attributes of Conventional, smart and super smart grid.</w:t>
      </w:r>
    </w:p>
    <w:tbl>
      <w:tblPr>
        <w:tblStyle w:val="GridTable4-Accent5"/>
        <w:tblW w:w="5000" w:type="pct"/>
        <w:tblLook w:val="04A0" w:firstRow="1" w:lastRow="0" w:firstColumn="1" w:lastColumn="0" w:noHBand="0" w:noVBand="1"/>
      </w:tblPr>
      <w:tblGrid>
        <w:gridCol w:w="2675"/>
        <w:gridCol w:w="1885"/>
        <w:gridCol w:w="1987"/>
        <w:gridCol w:w="2469"/>
      </w:tblGrid>
      <w:tr w:rsidR="00CC49AF" w:rsidRPr="003676D3" w14:paraId="7F8D5410" w14:textId="77777777" w:rsidTr="00CC49A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14AB0FF" w14:textId="77777777" w:rsidR="008F63AC" w:rsidRPr="003676D3" w:rsidRDefault="008F63AC" w:rsidP="003676D3">
            <w:pPr>
              <w:spacing w:line="276" w:lineRule="auto"/>
              <w:jc w:val="both"/>
              <w:rPr>
                <w:rFonts w:ascii="Times New Roman" w:hAnsi="Times New Roman" w:cs="Times New Roman"/>
                <w:color w:val="auto"/>
                <w:sz w:val="20"/>
                <w:szCs w:val="20"/>
              </w:rPr>
            </w:pPr>
            <w:r w:rsidRPr="003676D3">
              <w:rPr>
                <w:rFonts w:ascii="Times New Roman" w:hAnsi="Times New Roman" w:cs="Times New Roman"/>
                <w:color w:val="auto"/>
                <w:sz w:val="20"/>
                <w:szCs w:val="20"/>
              </w:rPr>
              <w:t>Attributes</w:t>
            </w:r>
          </w:p>
        </w:tc>
        <w:tc>
          <w:tcPr>
            <w:tcW w:w="1045" w:type="pct"/>
            <w:vAlign w:val="center"/>
          </w:tcPr>
          <w:p w14:paraId="7974D384" w14:textId="77777777" w:rsidR="008F63AC" w:rsidRPr="003676D3" w:rsidRDefault="008F63AC"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Conventional Grid</w:t>
            </w:r>
          </w:p>
        </w:tc>
        <w:tc>
          <w:tcPr>
            <w:tcW w:w="1102" w:type="pct"/>
            <w:vAlign w:val="center"/>
          </w:tcPr>
          <w:p w14:paraId="11E36797" w14:textId="77777777" w:rsidR="008F63AC" w:rsidRPr="003676D3" w:rsidRDefault="008F63AC"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Smart Grid</w:t>
            </w:r>
          </w:p>
        </w:tc>
        <w:tc>
          <w:tcPr>
            <w:tcW w:w="1369" w:type="pct"/>
            <w:vAlign w:val="center"/>
          </w:tcPr>
          <w:p w14:paraId="5C09D06A" w14:textId="77777777" w:rsidR="008F63AC" w:rsidRPr="003676D3" w:rsidRDefault="008F63AC"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Smart Super Grid</w:t>
            </w:r>
          </w:p>
        </w:tc>
      </w:tr>
      <w:tr w:rsidR="00CC49AF" w:rsidRPr="003676D3" w14:paraId="4772A4DB"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6BDED6AE"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Energy Generation</w:t>
            </w:r>
          </w:p>
        </w:tc>
        <w:tc>
          <w:tcPr>
            <w:tcW w:w="1045" w:type="pct"/>
            <w:vAlign w:val="center"/>
          </w:tcPr>
          <w:p w14:paraId="5EDECE90"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Central</w:t>
            </w:r>
          </w:p>
        </w:tc>
        <w:tc>
          <w:tcPr>
            <w:tcW w:w="1102" w:type="pct"/>
            <w:vAlign w:val="center"/>
          </w:tcPr>
          <w:p w14:paraId="24A7662C"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Distributed</w:t>
            </w:r>
          </w:p>
        </w:tc>
        <w:tc>
          <w:tcPr>
            <w:tcW w:w="1369" w:type="pct"/>
            <w:vAlign w:val="center"/>
          </w:tcPr>
          <w:p w14:paraId="45076320"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Distributed</w:t>
            </w:r>
          </w:p>
        </w:tc>
      </w:tr>
      <w:tr w:rsidR="00CC49AF" w:rsidRPr="003676D3" w14:paraId="69FD78B1"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42B446C"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Grid Topology</w:t>
            </w:r>
          </w:p>
        </w:tc>
        <w:tc>
          <w:tcPr>
            <w:tcW w:w="1045" w:type="pct"/>
            <w:vAlign w:val="center"/>
          </w:tcPr>
          <w:p w14:paraId="5AEC950F"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Radial/Ring</w:t>
            </w:r>
          </w:p>
        </w:tc>
        <w:tc>
          <w:tcPr>
            <w:tcW w:w="1102" w:type="pct"/>
            <w:vAlign w:val="center"/>
          </w:tcPr>
          <w:p w14:paraId="411F58A2" w14:textId="6638A4D3" w:rsidR="008F63AC" w:rsidRPr="003676D3" w:rsidRDefault="00F442D5"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 xml:space="preserve">Dispersed </w:t>
            </w:r>
            <w:r w:rsidR="008F63AC" w:rsidRPr="003676D3">
              <w:rPr>
                <w:rFonts w:ascii="Times New Roman" w:hAnsi="Times New Roman" w:cs="Times New Roman"/>
                <w:sz w:val="20"/>
                <w:szCs w:val="20"/>
              </w:rPr>
              <w:t>Network</w:t>
            </w:r>
          </w:p>
        </w:tc>
        <w:tc>
          <w:tcPr>
            <w:tcW w:w="1369" w:type="pct"/>
            <w:vAlign w:val="center"/>
          </w:tcPr>
          <w:p w14:paraId="6A98262D" w14:textId="6F7EFA08" w:rsidR="008F63AC" w:rsidRPr="003676D3" w:rsidRDefault="00F442D5"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 xml:space="preserve">Dispersed </w:t>
            </w:r>
            <w:r w:rsidR="008F63AC" w:rsidRPr="003676D3">
              <w:rPr>
                <w:rFonts w:ascii="Times New Roman" w:hAnsi="Times New Roman" w:cs="Times New Roman"/>
                <w:sz w:val="20"/>
                <w:szCs w:val="20"/>
              </w:rPr>
              <w:t>Network</w:t>
            </w:r>
          </w:p>
        </w:tc>
      </w:tr>
      <w:tr w:rsidR="00CC49AF" w:rsidRPr="003676D3" w14:paraId="13495D56"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3C0C112B"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Provision of Distributed RE</w:t>
            </w:r>
          </w:p>
        </w:tc>
        <w:tc>
          <w:tcPr>
            <w:tcW w:w="1045" w:type="pct"/>
            <w:vAlign w:val="center"/>
          </w:tcPr>
          <w:p w14:paraId="35FB638E"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Constrained</w:t>
            </w:r>
          </w:p>
        </w:tc>
        <w:tc>
          <w:tcPr>
            <w:tcW w:w="1102" w:type="pct"/>
            <w:vAlign w:val="center"/>
          </w:tcPr>
          <w:p w14:paraId="08271CA0"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Flexible</w:t>
            </w:r>
          </w:p>
        </w:tc>
        <w:tc>
          <w:tcPr>
            <w:tcW w:w="1369" w:type="pct"/>
            <w:vAlign w:val="center"/>
          </w:tcPr>
          <w:p w14:paraId="5F81D807"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Unconstrained</w:t>
            </w:r>
          </w:p>
        </w:tc>
      </w:tr>
      <w:tr w:rsidR="00CC49AF" w:rsidRPr="003676D3" w14:paraId="2E575120"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08E6917"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Self-Monitoring and Self-Healing</w:t>
            </w:r>
          </w:p>
        </w:tc>
        <w:tc>
          <w:tcPr>
            <w:tcW w:w="1045" w:type="pct"/>
            <w:vAlign w:val="center"/>
          </w:tcPr>
          <w:p w14:paraId="72623759"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No</w:t>
            </w:r>
          </w:p>
        </w:tc>
        <w:tc>
          <w:tcPr>
            <w:tcW w:w="1102" w:type="pct"/>
            <w:vAlign w:val="center"/>
          </w:tcPr>
          <w:p w14:paraId="3CF240AD"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c>
          <w:tcPr>
            <w:tcW w:w="1369" w:type="pct"/>
            <w:vAlign w:val="center"/>
          </w:tcPr>
          <w:p w14:paraId="34A80F14"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r>
      <w:tr w:rsidR="00CC49AF" w:rsidRPr="003676D3" w14:paraId="682EC0BB"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66D010D0"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Flow of Energy and Information</w:t>
            </w:r>
          </w:p>
        </w:tc>
        <w:tc>
          <w:tcPr>
            <w:tcW w:w="1045" w:type="pct"/>
            <w:vAlign w:val="center"/>
          </w:tcPr>
          <w:p w14:paraId="5721F3BF"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One-way</w:t>
            </w:r>
          </w:p>
        </w:tc>
        <w:tc>
          <w:tcPr>
            <w:tcW w:w="1102" w:type="pct"/>
            <w:vAlign w:val="center"/>
          </w:tcPr>
          <w:p w14:paraId="4C90CDB6"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Two-way</w:t>
            </w:r>
          </w:p>
        </w:tc>
        <w:tc>
          <w:tcPr>
            <w:tcW w:w="1369" w:type="pct"/>
            <w:vAlign w:val="center"/>
          </w:tcPr>
          <w:p w14:paraId="6A30AB76"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Two-way</w:t>
            </w:r>
          </w:p>
        </w:tc>
      </w:tr>
      <w:tr w:rsidR="00CC49AF" w:rsidRPr="003676D3" w14:paraId="7B276E52"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64A4B13B"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System Testing</w:t>
            </w:r>
          </w:p>
        </w:tc>
        <w:tc>
          <w:tcPr>
            <w:tcW w:w="1045" w:type="pct"/>
            <w:vAlign w:val="center"/>
          </w:tcPr>
          <w:p w14:paraId="1D300279"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Manuel</w:t>
            </w:r>
          </w:p>
        </w:tc>
        <w:tc>
          <w:tcPr>
            <w:tcW w:w="1102" w:type="pct"/>
            <w:vAlign w:val="center"/>
          </w:tcPr>
          <w:p w14:paraId="55DB8DDC"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Remote</w:t>
            </w:r>
          </w:p>
        </w:tc>
        <w:tc>
          <w:tcPr>
            <w:tcW w:w="1369" w:type="pct"/>
            <w:vAlign w:val="center"/>
          </w:tcPr>
          <w:p w14:paraId="62DE09B6"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Autonomous Reconfiguration</w:t>
            </w:r>
          </w:p>
        </w:tc>
      </w:tr>
      <w:tr w:rsidR="00CC49AF" w:rsidRPr="003676D3" w14:paraId="7FB95353"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32C02C83"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Carbon Emissions</w:t>
            </w:r>
          </w:p>
        </w:tc>
        <w:tc>
          <w:tcPr>
            <w:tcW w:w="1045" w:type="pct"/>
            <w:vAlign w:val="center"/>
          </w:tcPr>
          <w:p w14:paraId="117866A6"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Abundant</w:t>
            </w:r>
          </w:p>
        </w:tc>
        <w:tc>
          <w:tcPr>
            <w:tcW w:w="1102" w:type="pct"/>
            <w:vAlign w:val="center"/>
          </w:tcPr>
          <w:p w14:paraId="5306A59A"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Environment Friendly</w:t>
            </w:r>
          </w:p>
        </w:tc>
        <w:tc>
          <w:tcPr>
            <w:tcW w:w="1369" w:type="pct"/>
            <w:vAlign w:val="center"/>
          </w:tcPr>
          <w:p w14:paraId="410BE0BC"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Environment Friendly</w:t>
            </w:r>
          </w:p>
        </w:tc>
      </w:tr>
      <w:tr w:rsidR="00CC49AF" w:rsidRPr="003676D3" w14:paraId="18D3EE19"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3BE9EDA"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Advanced Metering Infrastructure</w:t>
            </w:r>
          </w:p>
        </w:tc>
        <w:tc>
          <w:tcPr>
            <w:tcW w:w="1045" w:type="pct"/>
            <w:vAlign w:val="center"/>
          </w:tcPr>
          <w:p w14:paraId="42E0C2DF"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No</w:t>
            </w:r>
          </w:p>
        </w:tc>
        <w:tc>
          <w:tcPr>
            <w:tcW w:w="1102" w:type="pct"/>
            <w:vAlign w:val="center"/>
          </w:tcPr>
          <w:p w14:paraId="43A0CF43"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c>
          <w:tcPr>
            <w:tcW w:w="1369" w:type="pct"/>
            <w:vAlign w:val="center"/>
          </w:tcPr>
          <w:p w14:paraId="0B3C068C"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r>
      <w:tr w:rsidR="00CC49AF" w:rsidRPr="003676D3" w14:paraId="0E6E0974"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561E244"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Accounts Demand Response</w:t>
            </w:r>
          </w:p>
        </w:tc>
        <w:tc>
          <w:tcPr>
            <w:tcW w:w="1045" w:type="pct"/>
            <w:vAlign w:val="center"/>
          </w:tcPr>
          <w:p w14:paraId="6732127B"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No</w:t>
            </w:r>
          </w:p>
        </w:tc>
        <w:tc>
          <w:tcPr>
            <w:tcW w:w="1102" w:type="pct"/>
            <w:vAlign w:val="center"/>
          </w:tcPr>
          <w:p w14:paraId="06FBF957"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c>
          <w:tcPr>
            <w:tcW w:w="1369" w:type="pct"/>
            <w:vAlign w:val="center"/>
          </w:tcPr>
          <w:p w14:paraId="0B992D5D"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Yes</w:t>
            </w:r>
          </w:p>
        </w:tc>
      </w:tr>
      <w:tr w:rsidR="00CC49AF" w:rsidRPr="003676D3" w14:paraId="3D47B291"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2E6D5140"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Ease of Data Collection</w:t>
            </w:r>
          </w:p>
        </w:tc>
        <w:tc>
          <w:tcPr>
            <w:tcW w:w="1045" w:type="pct"/>
            <w:vAlign w:val="center"/>
          </w:tcPr>
          <w:p w14:paraId="32D2E13D"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No</w:t>
            </w:r>
          </w:p>
        </w:tc>
        <w:tc>
          <w:tcPr>
            <w:tcW w:w="1102" w:type="pct"/>
            <w:vAlign w:val="center"/>
          </w:tcPr>
          <w:p w14:paraId="5F17A498"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Real Time</w:t>
            </w:r>
          </w:p>
        </w:tc>
        <w:tc>
          <w:tcPr>
            <w:tcW w:w="1369" w:type="pct"/>
            <w:vAlign w:val="center"/>
          </w:tcPr>
          <w:p w14:paraId="29124758"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Real Time</w:t>
            </w:r>
          </w:p>
        </w:tc>
      </w:tr>
      <w:tr w:rsidR="00CC49AF" w:rsidRPr="003676D3" w14:paraId="51BB04B2"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29A35FA"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Energy Markets</w:t>
            </w:r>
          </w:p>
        </w:tc>
        <w:tc>
          <w:tcPr>
            <w:tcW w:w="1045" w:type="pct"/>
            <w:vAlign w:val="center"/>
          </w:tcPr>
          <w:p w14:paraId="71156E5E"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Limited Scope</w:t>
            </w:r>
          </w:p>
        </w:tc>
        <w:tc>
          <w:tcPr>
            <w:tcW w:w="1102" w:type="pct"/>
            <w:vAlign w:val="center"/>
          </w:tcPr>
          <w:p w14:paraId="5E37EEFB"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Multilateral</w:t>
            </w:r>
          </w:p>
        </w:tc>
        <w:tc>
          <w:tcPr>
            <w:tcW w:w="1369" w:type="pct"/>
            <w:vAlign w:val="center"/>
          </w:tcPr>
          <w:p w14:paraId="22D7F411"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Multilateral</w:t>
            </w:r>
          </w:p>
        </w:tc>
      </w:tr>
      <w:tr w:rsidR="00CC49AF" w:rsidRPr="003676D3" w14:paraId="213A9C5A"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EAFF64F"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Energy Trading</w:t>
            </w:r>
          </w:p>
        </w:tc>
        <w:tc>
          <w:tcPr>
            <w:tcW w:w="1045" w:type="pct"/>
            <w:vAlign w:val="center"/>
          </w:tcPr>
          <w:p w14:paraId="0F88FFC8"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Constrained</w:t>
            </w:r>
          </w:p>
        </w:tc>
        <w:tc>
          <w:tcPr>
            <w:tcW w:w="1102" w:type="pct"/>
            <w:vAlign w:val="center"/>
          </w:tcPr>
          <w:p w14:paraId="15C94F49"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Possible</w:t>
            </w:r>
          </w:p>
        </w:tc>
        <w:tc>
          <w:tcPr>
            <w:tcW w:w="1369" w:type="pct"/>
            <w:vAlign w:val="center"/>
          </w:tcPr>
          <w:p w14:paraId="66F35CC3" w14:textId="77777777" w:rsidR="008F63AC" w:rsidRPr="003676D3" w:rsidRDefault="008F63AC"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Possible with Ease</w:t>
            </w:r>
          </w:p>
        </w:tc>
      </w:tr>
      <w:tr w:rsidR="00CC49AF" w:rsidRPr="003676D3" w14:paraId="5BFE830A"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608CF7AB"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Energy trading Geographical spread</w:t>
            </w:r>
          </w:p>
        </w:tc>
        <w:tc>
          <w:tcPr>
            <w:tcW w:w="1045" w:type="pct"/>
            <w:vAlign w:val="center"/>
          </w:tcPr>
          <w:p w14:paraId="1B064632"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Constrained</w:t>
            </w:r>
          </w:p>
        </w:tc>
        <w:tc>
          <w:tcPr>
            <w:tcW w:w="1102" w:type="pct"/>
            <w:vAlign w:val="center"/>
          </w:tcPr>
          <w:p w14:paraId="5ABFB54B"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Within Restricted Area</w:t>
            </w:r>
          </w:p>
        </w:tc>
        <w:tc>
          <w:tcPr>
            <w:tcW w:w="1369" w:type="pct"/>
            <w:vAlign w:val="center"/>
          </w:tcPr>
          <w:p w14:paraId="079AE2E1"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Wide Area</w:t>
            </w:r>
          </w:p>
        </w:tc>
      </w:tr>
      <w:tr w:rsidR="00CC49AF" w:rsidRPr="003676D3" w14:paraId="21075770"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5C780F50" w14:textId="66FE5575" w:rsidR="001B2B30" w:rsidRPr="003676D3" w:rsidRDefault="001B2B30"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Cyber Security</w:t>
            </w:r>
          </w:p>
        </w:tc>
        <w:tc>
          <w:tcPr>
            <w:tcW w:w="1045" w:type="pct"/>
            <w:vAlign w:val="center"/>
          </w:tcPr>
          <w:p w14:paraId="04F06854" w14:textId="5A64F691" w:rsidR="001B2B30" w:rsidRPr="003676D3" w:rsidRDefault="001B2B30"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No provision</w:t>
            </w:r>
          </w:p>
        </w:tc>
        <w:tc>
          <w:tcPr>
            <w:tcW w:w="1102" w:type="pct"/>
            <w:vAlign w:val="center"/>
          </w:tcPr>
          <w:p w14:paraId="15DF0016" w14:textId="60B54941" w:rsidR="001B2B30" w:rsidRPr="003676D3" w:rsidRDefault="001B2B30"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Required</w:t>
            </w:r>
          </w:p>
        </w:tc>
        <w:tc>
          <w:tcPr>
            <w:tcW w:w="1369" w:type="pct"/>
            <w:vAlign w:val="center"/>
          </w:tcPr>
          <w:p w14:paraId="27130DDB" w14:textId="70E13FF9" w:rsidR="001B2B30" w:rsidRPr="003676D3" w:rsidRDefault="001B2B30"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Necessary</w:t>
            </w:r>
          </w:p>
        </w:tc>
      </w:tr>
      <w:tr w:rsidR="00CC49AF" w:rsidRPr="003676D3" w14:paraId="40A0F895"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DF60467" w14:textId="77777777" w:rsidR="008F63AC" w:rsidRPr="003676D3" w:rsidRDefault="008F63AC" w:rsidP="003676D3">
            <w:pPr>
              <w:spacing w:line="276" w:lineRule="auto"/>
              <w:jc w:val="both"/>
              <w:rPr>
                <w:rFonts w:ascii="Times New Roman" w:hAnsi="Times New Roman" w:cs="Times New Roman"/>
                <w:b w:val="0"/>
                <w:bCs w:val="0"/>
                <w:sz w:val="20"/>
                <w:szCs w:val="20"/>
              </w:rPr>
            </w:pPr>
            <w:r w:rsidRPr="003676D3">
              <w:rPr>
                <w:rFonts w:ascii="Times New Roman" w:hAnsi="Times New Roman" w:cs="Times New Roman"/>
                <w:b w:val="0"/>
                <w:bCs w:val="0"/>
                <w:sz w:val="20"/>
                <w:szCs w:val="20"/>
              </w:rPr>
              <w:t>Overall Efficiency</w:t>
            </w:r>
          </w:p>
        </w:tc>
        <w:tc>
          <w:tcPr>
            <w:tcW w:w="1045" w:type="pct"/>
            <w:vAlign w:val="center"/>
          </w:tcPr>
          <w:p w14:paraId="7213C13A"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Low</w:t>
            </w:r>
          </w:p>
        </w:tc>
        <w:tc>
          <w:tcPr>
            <w:tcW w:w="1102" w:type="pct"/>
            <w:vAlign w:val="center"/>
          </w:tcPr>
          <w:p w14:paraId="7AE8B7CA"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High</w:t>
            </w:r>
          </w:p>
        </w:tc>
        <w:tc>
          <w:tcPr>
            <w:tcW w:w="1369" w:type="pct"/>
            <w:vAlign w:val="center"/>
          </w:tcPr>
          <w:p w14:paraId="4CDFCBF9" w14:textId="77777777" w:rsidR="008F63AC" w:rsidRPr="003676D3" w:rsidRDefault="008F63AC"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Very High</w:t>
            </w:r>
          </w:p>
        </w:tc>
      </w:tr>
    </w:tbl>
    <w:p w14:paraId="7A6D3FE5" w14:textId="04E62C8E" w:rsidR="0065459A" w:rsidRPr="003676D3" w:rsidRDefault="0063796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 </w:t>
      </w:r>
    </w:p>
    <w:p w14:paraId="1FAED312" w14:textId="6FC6E635" w:rsidR="003E60B6" w:rsidRPr="003676D3" w:rsidRDefault="008065B6"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 re</w:t>
      </w:r>
      <w:r w:rsidR="000E2E14" w:rsidRPr="003676D3">
        <w:rPr>
          <w:rFonts w:ascii="Times New Roman" w:hAnsi="Times New Roman" w:cs="Times New Roman"/>
          <w:sz w:val="24"/>
          <w:szCs w:val="24"/>
        </w:rPr>
        <w:t xml:space="preserve">view on smart grid technology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{"citationItems":[{"id":"ITEM-1","itemData":{"DOI":"10.3390/EN6010251","ISSN":"1996-1073","abstract":"The old electricity network infrastructure has proven to be inadequate, with respect to modern challenges such as alternative energy sources, electricity demand and energy saving policies. Moreover, Information and Communication Technologies (ICT) seem to have reached an adequate level of reliability and flexibility in order to support a new concept of electricity network — the smart grid. In this work, we will analyse the state-of-the-art of smart grids, in their technical, management, security, and optimization aspects. We will also provide a brief overview of the regulatory aspects involved in the development of a smart grid, mainly from the viewpoint of the European Union.","author":[{"dropping-particle":"","family":"Ardito","given":"Luca","non-dropping-particle":"","parse-names":false,"suffix":""},{"dropping-particle":"","family":"Procaccianti","given":"Giuseppe","non-dropping-particle":"","parse-names":false,"suffix":""},{"dropping-particle":"","family":"Menga","given":"Giuseppe","non-dropping-particle":"","parse-names":false,"suffix":""},{"dropping-particle":"","family":"Morisio","given":"Maurizio","non-dropping-particle":"","parse-names":false,"suffix":""}],"container-title":"Energies 2013, Vol. 6, Pages 251-281","id":"ITEM-1","issue":"1","issued":{"date-parts":[["2013","1","9"]]},"page":"251-281","publisher":"Multidisciplinary Digital Publishing Institute","title":"Smart Grid Technologies in Europe: An Overview","type":"article-journal","volume":"6"},"uris":["http://www.mendeley.com/documents/?uuid=e5c1c5b3-5c29-3ed3-b0c0-ee5f12709a45"]},{"id":"ITEM-2","itemData":{"DOI":"10.1016/J.EGYR.2019.11.048","ISSN":"2352-4847","abstract":"Power systems networks are traditionally structured and engineered to effectively accommodate the effects of uncertainty and variability as regards energy demand and availability of resources. In order to transform the present carbon-intensive electricity generation system to one driven largely by clean energy sources, the inclusion of variable renewable energy sources (vRES) is becoming predominant. However, the inclusion of large vRES in the power plant mix increases the uncertainty, variability and consequently flexibility requirements on the power system network. The inclusion of cost effective and environment friendly flexible generators that can cancel the effects of uncertainty and variability is essential on power system networks with high levels of vRES. This study highlights flexibility as it relates to energy transition. It also provides direction for future research on the issues of flexibility in power systems planning.","author":[{"dropping-particle":"","family":"Babatunde","given":"O. M.","non-dropping-particle":"","parse-names":false,"suffix":""},{"dropping-particle":"","family":"Munda","given":"J. L.","non-dropping-particle":"","parse-names":false,"suffix":""},{"dropping-particle":"","family":"Hamam","given":"Y.","non-dropping-particle":"","parse-names":false,"suffix":""}],"container-title":"Energy Reports","id":"ITEM-2","issued":{"date-parts":[["2020","2","1"]]},"page":"101-106","publisher":"Elsevier","title":"Power system flexibility: A review","type":"article-journal","volume":"6"},"uris":["http://www.mendeley.com/documents/?uuid=25aa407a-9e64-3278-98fa-df4b766d6aab"]}],"mendeley":{"formattedCitation":"[49,54]","plainTextFormattedCitation":"[49,54]","previouslyFormattedCitation":"[49,54]"},"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[49,54]</w:t>
      </w:r>
      <w:r w:rsidR="003E60B6" w:rsidRPr="003676D3">
        <w:rPr>
          <w:rFonts w:ascii="Times New Roman" w:hAnsi="Times New Roman" w:cs="Times New Roman"/>
          <w:sz w:val="24"/>
          <w:szCs w:val="24"/>
        </w:rPr>
        <w:fldChar w:fldCharType="end"/>
      </w:r>
      <w:r w:rsidRPr="003676D3">
        <w:rPr>
          <w:rFonts w:ascii="Times New Roman" w:hAnsi="Times New Roman" w:cs="Times New Roman"/>
          <w:sz w:val="24"/>
          <w:szCs w:val="24"/>
        </w:rPr>
        <w:t>, put forwards possible way to manage the large data and optimization of resources through cloud computing.</w:t>
      </w:r>
      <w:r w:rsidR="005D1AA4" w:rsidRPr="003676D3">
        <w:rPr>
          <w:rFonts w:ascii="Times New Roman" w:hAnsi="Times New Roman" w:cs="Times New Roman"/>
          <w:sz w:val="24"/>
          <w:szCs w:val="24"/>
        </w:rPr>
        <w:t xml:space="preserve"> </w:t>
      </w:r>
      <w:r w:rsidR="00D42231" w:rsidRPr="003676D3">
        <w:rPr>
          <w:rFonts w:ascii="Times New Roman" w:hAnsi="Times New Roman" w:cs="Times New Roman"/>
          <w:sz w:val="24"/>
          <w:szCs w:val="24"/>
        </w:rPr>
        <w:t>The</w:t>
      </w:r>
      <w:r w:rsidR="005D1AA4" w:rsidRPr="003676D3">
        <w:rPr>
          <w:rFonts w:ascii="Times New Roman" w:hAnsi="Times New Roman" w:cs="Times New Roman"/>
          <w:sz w:val="24"/>
          <w:szCs w:val="24"/>
        </w:rPr>
        <w:t xml:space="preserve"> scalable and </w:t>
      </w:r>
      <w:r w:rsidR="00B76FB3" w:rsidRPr="003676D3">
        <w:rPr>
          <w:rFonts w:ascii="Times New Roman" w:hAnsi="Times New Roman" w:cs="Times New Roman"/>
          <w:sz w:val="24"/>
          <w:szCs w:val="24"/>
        </w:rPr>
        <w:t>adaptable</w:t>
      </w:r>
      <w:r w:rsidR="005D1AA4" w:rsidRPr="003676D3">
        <w:rPr>
          <w:rFonts w:ascii="Times New Roman" w:hAnsi="Times New Roman" w:cs="Times New Roman"/>
          <w:sz w:val="24"/>
          <w:szCs w:val="24"/>
        </w:rPr>
        <w:t xml:space="preserve"> features of a cloud infrastructure can address the </w:t>
      </w:r>
      <w:r w:rsidR="00B76FB3" w:rsidRPr="003676D3">
        <w:rPr>
          <w:rFonts w:ascii="Times New Roman" w:hAnsi="Times New Roman" w:cs="Times New Roman"/>
          <w:sz w:val="24"/>
          <w:szCs w:val="24"/>
        </w:rPr>
        <w:t>security and latency issues of a SG. It can also support with ease</w:t>
      </w:r>
      <w:r w:rsidR="005D1AA4" w:rsidRPr="003676D3">
        <w:rPr>
          <w:rFonts w:ascii="Times New Roman" w:hAnsi="Times New Roman" w:cs="Times New Roman"/>
          <w:sz w:val="24"/>
          <w:szCs w:val="24"/>
        </w:rPr>
        <w:t xml:space="preserve"> the dynamic applications such as </w:t>
      </w:r>
      <w:r w:rsidR="00B76FB3" w:rsidRPr="003676D3">
        <w:rPr>
          <w:rFonts w:ascii="Times New Roman" w:hAnsi="Times New Roman" w:cs="Times New Roman"/>
          <w:sz w:val="24"/>
          <w:szCs w:val="24"/>
        </w:rPr>
        <w:t>demand response, load balancing and</w:t>
      </w:r>
      <w:r w:rsidR="005D1AA4" w:rsidRPr="003676D3">
        <w:rPr>
          <w:rFonts w:ascii="Times New Roman" w:hAnsi="Times New Roman" w:cs="Times New Roman"/>
          <w:sz w:val="24"/>
          <w:szCs w:val="24"/>
        </w:rPr>
        <w:t xml:space="preserve"> energy demand</w:t>
      </w:r>
      <w:r w:rsidR="00B76FB3" w:rsidRPr="003676D3">
        <w:rPr>
          <w:rFonts w:ascii="Times New Roman" w:hAnsi="Times New Roman" w:cs="Times New Roman"/>
          <w:sz w:val="24"/>
          <w:szCs w:val="24"/>
        </w:rPr>
        <w:t xml:space="preserve"> forecasting</w:t>
      </w:r>
      <w:r w:rsidR="005D1AA4" w:rsidRPr="003676D3">
        <w:rPr>
          <w:rFonts w:ascii="Times New Roman" w:hAnsi="Times New Roman" w:cs="Times New Roman"/>
          <w:sz w:val="24"/>
          <w:szCs w:val="24"/>
        </w:rPr>
        <w:t xml:space="preserve">. However, such a platform needs to be highly responsive in case of scheduling latency-sensitive applications as well as must have privacy preservation. Another </w:t>
      </w:r>
      <w:r w:rsidR="005D1AA4" w:rsidRPr="003676D3">
        <w:rPr>
          <w:rFonts w:ascii="Times New Roman" w:hAnsi="Times New Roman" w:cs="Times New Roman"/>
          <w:sz w:val="24"/>
          <w:szCs w:val="24"/>
        </w:rPr>
        <w:lastRenderedPageBreak/>
        <w:t xml:space="preserve">way to manage this complex network is through multi-agent systems (MAS). </w:t>
      </w:r>
      <w:r w:rsidR="00D42231" w:rsidRPr="003676D3">
        <w:rPr>
          <w:rFonts w:ascii="Times New Roman" w:hAnsi="Times New Roman" w:cs="Times New Roman"/>
          <w:sz w:val="24"/>
          <w:szCs w:val="24"/>
        </w:rPr>
        <w:t>MAS</w:t>
      </w:r>
      <w:r w:rsidR="003E60B6"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{"citationItems":[{"id":"ITEM-1","itemData":{"ISSN":"1949-3053","author":[{"dropping-particle":"","family":"Ghorbani","given":"Mohammad Jawad","non-dropping-particle":"","parse-names":false,"suffix":""},{"dropping-particle":"","family":"Choudhry","given":"Muhammad Akram","non-dropping-particle":"","parse-names":false,"suffix":""},{"dropping-particle":"","family":"Feliachi","given":"Ali","non-dropping-particle":"","parse-names":false,"suffix":""}],"container-title":"IEEE Transactions on Smart Grid","id":"ITEM-1","issue":"1","issued":{"date-parts":[["2015"]]},"page":"329-339","publisher":"IEEE","title":"A multiagent design for power distribution systems automation","type":"article-journal","volume":"7"},"uris":["http://www.mendeley.com/documents/?uuid=e01bd97b-0ae9-4fdb-9e96-1e9334cacdc4"]},{"id":"ITEM-2","itemData":{"ISSN":"2168-2267","author":[{"dropping-particle":"","family":"Yu","given":"Chao","non-dropping-particle":"","parse-names":false,"suffix":""},{"dropping-particle":"","family":"Zhang","given":"Minjie","non-dropping-particle":"","parse-names":false,"suffix":""},{"dropping-particle":"","family":"Ren","given":"Fenghui","non-dropping-particle":"","parse-names":false,"suffix":""},{"dropping-particle":"","family":"Tan","given":"Guozhen","non-dropping-particle":"","parse-names":false,"suffix":""}],"container-title":"IEEE transactions on cybernetics","id":"ITEM-2","issue":"12","issued":{"date-parts":[["2015"]]},"page":"2853-2867","publisher":"IEEE","title":"Multiagent learning of coordination in loosely coupled multiagent systems","type":"article-journal","volume":"45"},"uris":["http://www.mendeley.com/documents/?uuid=cf88aa93-94a9-48b2-b417-b9892551aac7"]},{"id":"ITEM-3","itemData":{"ISBN":"153867386X","author":[{"dropping-particle":"","family":"Kalyaev","given":"Igor A","non-dropping-particle":"","parse-names":false,"suffix":""},{"dropping-particle":"","family":"Dyachenko","given":"Alexander A","non-dropping-particle":"","parse-names":false,"suffix":""},{"dropping-particle":"","family":"Usachev","given":"Leonid Zh","non-dropping-particle":"","parse-names":false,"suffix":""},{"dropping-particle":"","family":"Kapustyan","given":"Sergey G","non-dropping-particle":"","parse-names":false,"suffix":""}],"container-title":"2018 Global Smart Industry Conference (GloSIC)","id":"ITEM-3","issued":{"date-parts":[["2018"]]},"page":"1-8","publisher":"IEEE","title":"Multiagent Management of Smart Internet Production","type":"paper-conference"},"uris":["http://www.mendeley.com/documents/?uuid=927ddb38-beb2-46db-b71d-04aa003abee7"]},{"id":"ITEM-4","itemData":{"ISBN":"9075815220","author":[{"dropping-particle":"","family":"Li","given":"Chendan","non-dropping-particle":"","parse-names":false,"suffix":""},{"dropping-particle":"","family":"Savaghebi","given":"Mehdi","non-dropping-particle":"","parse-names":false,"suffix":""},{"dropping-particle":"","family":"Vasquez","given":"Juan C","non-dropping-particle":"","parse-names":false,"suffix":""},{"dropping-particle":"","family":"Guerrero","given":"Josep M","non-dropping-particle":"","parse-names":false,"suffix":""}],"container-title":"2015 17th European Conference on Power Electronics and Applications (EPE'15 ECCE-Europe)","id":"ITEM-4","issued":{"date-parts":[["2015"]]},"page":"1-9","publisher":"IEEE","title":"Multiagent based distributed control for operation cost minimization of droop controlled AC microgrid using incremental cost consensus","type":"paper-conference"},"uris":["http://www.mendeley.com/documents/?uuid=64f814f3-a2f6-4b06-b9b9-72e6917c5dcd"]}],"mendeley":{"formattedCitation":"[55–58]","plainTextFormattedCitation":"[55–58]","previouslyFormattedCitation":"[55–58]"},"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[55–58]</w:t>
      </w:r>
      <w:r w:rsidR="003E60B6" w:rsidRPr="003676D3">
        <w:rPr>
          <w:rFonts w:ascii="Times New Roman" w:hAnsi="Times New Roman" w:cs="Times New Roman"/>
          <w:sz w:val="24"/>
          <w:szCs w:val="24"/>
        </w:rPr>
        <w:fldChar w:fldCharType="end"/>
      </w:r>
      <w:r w:rsidR="00D42231" w:rsidRPr="003676D3">
        <w:rPr>
          <w:rFonts w:ascii="Times New Roman" w:hAnsi="Times New Roman" w:cs="Times New Roman"/>
          <w:sz w:val="24"/>
          <w:szCs w:val="24"/>
        </w:rPr>
        <w:t xml:space="preserve"> is one of the pioneering distributed arc</w:t>
      </w:r>
      <w:r w:rsidR="00014F88" w:rsidRPr="003676D3">
        <w:rPr>
          <w:rFonts w:ascii="Times New Roman" w:hAnsi="Times New Roman" w:cs="Times New Roman"/>
          <w:sz w:val="24"/>
          <w:szCs w:val="24"/>
        </w:rPr>
        <w:t>hitecture for a digital market, based on Game Theory</w:t>
      </w:r>
      <w:r w:rsidR="003E60B6"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ISSN":"1949-3053","author":[{"dropping-particle":"","family":"Wang","given":"Yao","non-dropping-particle":"","parse-names":false,"suffix":""},{"dropping-particle":"","family":"Ai","given":"Xin","non-dropping-particle":"","parse-names":false,"suffix":""},{"dropping-particle":"","family":"Tan","given":"Zhongfu","non-dropping-particle":"","parse-names":false,"suffix":""},{"dropping-particle":"","family":"Yan","given":"Lei","non-dropping-particle":"","parse-names":false,"suffix":""},{"dropping-particle":"","family":"Liu","given":"Shuting","non-dropping-particle":"","parse-names":false,"suffix":""}],"container-title":"IEEE Transactions on Smart Grid","id":"ITEM-1","issue":"1","issued":{"date-parts":[["2015"]]},"page":"510-519","publisher":"IEEE","title":"Interactive dispatch modes and bidding strategy of multiple virtual power plants based on demand response and game theory","type":"article-journal","volume":"7"},"uris":["http://www.mendeley.com/documents/?uuid=7d19eb56-8043-4f87-9087-63cef9a7e07d"]},{"id":"ITEM-2","itemData":{"ISBN":"1479952834","author":[{"dropping-particle":"","family":"Nagata","given":"Takeshi","non-dropping-particle":"","parse-names":false,"suffix":""},{"dropping-particle":"","family":"Okamoto","given":"Kazuya","non-dropping-particle":"","parse-names":false,"suffix":""}],"container-title":"2014 IEEE International Conference on Automation Science and Engineering (CASE)","id":"ITEM-2","issued":{"date-parts":[["2014"]]},"page":"50-55","publisher":"IEEE","title":"Electric power interchange between micro-grids by using multi-agent approach","type":"paper-conference"},"uris":["http://www.mendeley.com/documents/?uuid=77e302a5-f69b-42d9-9704-389ab9df1177"]},{"id":"ITEM-3","itemData":{"ISSN":"0163-6804","author":[{"dropping-particle":"","family":"Hernández","given":"Luis","non-dropping-particle":"","parse-names":false,"suffix":""},{"dropping-particle":"","family":"Baladron","given":"Carlos","non-dropping-particle":"","parse-names":false,"suffix":""},{"dropping-particle":"","family":"Aguiar","given":"Javier M","non-dropping-particle":"","parse-names":false,"suffix":""},{"dropping-particle":"","family":"Carro","given":"Belen","non-dropping-particle":"","parse-names":false,"suffix":""},{"dropping-particle":"","family":"Sanchez-Esguevillas","given":"Antonio","non-dropping-particle":"","parse-names":false,"suffix":""},{"dropping-particle":"","family":"Lloret","given":"Jaime","non-dropping-particle":"","parse-names":false,"suffix":""},{"dropping-particle":"","family":"Chinarro","given":"David","non-dropping-particle":"","parse-names":false,"suffix":""},{"dropping-particle":"","family":"Gomez-Sanz","given":"Jorge J","non-dropping-particle":"","parse-names":false,"suffix":""},{"dropping-particle":"","family":"Cook","given":"Diane","non-dropping-particle":"","parse-names":false,"suffix":""}],"container-title":"IEEE Communications Magazine","id":"ITEM-3","issue":"1","issued":{"date-parts":[["2013"]]},"page":"106-113","publisher":"IEEE","title":"A multi-agent system architecture for smart grid management and forecasting of energy demand in virtual power plants","type":"article-journal","volume":"51"},"uris":["http://www.mendeley.com/documents/?uuid=e41f4480-0ee2-4a7a-9695-9fa4068ea34c"]},{"id":"ITEM-4","itemData":{"ISSN":"1551-3203","author":[{"dropping-particle":"","family":"Esfahani","given":"Mohammad Mahmoudian","non-dropping-particle":"","parse-names":false,"suffix":""},{"dropping-particle":"","family":"Hariri","given":"Abla","non-dropping-particle":"","parse-names":false,"suffix":""},{"dropping-particle":"","family":"Mohammed","given":"Osama A","non-dropping-particle":"","parse-names":false,"suffix":""}],"container-title":"IEEE Transactions on Industrial Informatics","id":"ITEM-4","issue":"1","issued":{"date-parts":[["2018"]]},"page":"280-292","publisher":"IEEE","title":"A multiagent-based game-theoretic and optimization approach for market operation of multimicrogrid systems","type":"article-journal","volume":"15"},"uris":["http://www.mendeley.com/documents/?uuid=9c67dc1c-b553-40e1-9ea8-238630183a03"]}],"mendeley":{"formattedCitation":"[59–62]","plainTextFormattedCitation":"[59–62]","previouslyFormattedCitation":"[59–62]"},"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[59–62]</w:t>
      </w:r>
      <w:r w:rsidR="003E60B6" w:rsidRPr="003676D3">
        <w:rPr>
          <w:rFonts w:ascii="Times New Roman" w:hAnsi="Times New Roman" w:cs="Times New Roman"/>
          <w:sz w:val="24"/>
          <w:szCs w:val="24"/>
        </w:rPr>
        <w:fldChar w:fldCharType="end"/>
      </w:r>
      <w:r w:rsidR="00014F88" w:rsidRPr="003676D3">
        <w:rPr>
          <w:rFonts w:ascii="Times New Roman" w:hAnsi="Times New Roman" w:cs="Times New Roman"/>
          <w:sz w:val="24"/>
          <w:szCs w:val="24"/>
        </w:rPr>
        <w:t xml:space="preserve"> and microeconomics</w:t>
      </w:r>
      <w:r w:rsidR="003E60B6"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{"citationItems":[{"id":"ITEM-1","itemData":{"abstract":"In this paper, we consider a smart power infrastructure , where several subscribers share a common energy source. Each subscriber is equipped with an energy consumption controller (ECC) unit as part of its smart meter. Each smart meter is connected to not only the power grid but also a communication infrastructure such as a local area network. This allows two-way communication among smart meters. Considering the importance of energy pricing as an essential tool to develop efficient demand side management strategies, we propose a novel real-time pricing algorithm for the future smart grid. We focus on the interactions between the smart meters and the energy provider through the exchange of control messages which contain subscribers' energy consumption and the real-time price information. First, we analytically model the subscribers' preferences and their energy consumption patterns in form of carefully selected utility functions based on concepts from microeconomics. Second, we propose a distributed algorithm which automatically manages the interactions among the ECC units at the smart meters and the energy provider. The algorithm finds the optimal energy consumption levels for each subscriber to maximize the aggregate utility of all subscribers in the system in a fair and efficient fashion. Finally, we show that the energy provider can encourage some desirable consumption patterns among the subscribers by means of the proposed real-time pricing interactions. Simulation results confirm that the proposed distributed algorithm can potentially benefit both subscribers and the energy provider.","author":[{"dropping-particle":"","family":"Samadi","given":"Pedram","non-dropping-particle":"","parse-names":false,"suffix":""},{"dropping-particle":"","family":"Mohsenian-Rad","given":"Amir-Hamed","non-dropping-particle":"","parse-names":false,"suffix":""},{"dropping-particle":"","family":"Schober","given":"Robert","non-dropping-particle":"","parse-names":false,"suffix":""},{"dropping-particle":"","family":"Wong","given":"Vincent W S","non-dropping-particle":"","parse-names":false,"suffix":""},{"dropping-particle":"","family":"Jatskevich","given":"Juri","non-dropping-particle":"","parse-names":false,"suffix":""}],"container-title":"ieeexplore.ieee.orgP Samadi, AH Mohsenian-Rad, R Schober, VWS Wong, J Jatskevich2010 First IEEE international conference on smart grid communications, 2010•ieeexplore.ieee.org","id":"ITEM-1","issued":{"date-parts":[["0"]]},"title":"Optimal real-time pricing algorithm based on utility maximization for smart grid","type":"article-journal"},"uris":["http://www.mendeley.com/documents/?uuid=570ad672-16b5-38bc-a690-43d53a0b351c"]}],"mendeley":{"formattedCitation":"[63]","plainTextFormattedCitation":"[63]","previouslyFormattedCitation":"[63]"},"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[63]</w:t>
      </w:r>
      <w:r w:rsidR="003E60B6" w:rsidRPr="003676D3">
        <w:rPr>
          <w:rFonts w:ascii="Times New Roman" w:hAnsi="Times New Roman" w:cs="Times New Roman"/>
          <w:sz w:val="24"/>
          <w:szCs w:val="24"/>
        </w:rPr>
        <w:fldChar w:fldCharType="end"/>
      </w:r>
      <w:r w:rsidR="00014F88" w:rsidRPr="003676D3">
        <w:rPr>
          <w:rFonts w:ascii="Times New Roman" w:hAnsi="Times New Roman" w:cs="Times New Roman"/>
          <w:sz w:val="24"/>
          <w:szCs w:val="24"/>
        </w:rPr>
        <w:t>. Later on, it is further evolved into various models like Decision Making Assistant (DMA)</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ISSN":"0142-0615","author":[{"dropping-particle":"","family":"Peik-Herfeh","given":"Malahat","non-dropping-particle":"","parse-names":false,"suffix":""},{"dropping-particle":"","family":"Seifi","given":"H","non-dropping-particle":"","parse-names":false,"suffix":""},{"dropping-particle":"","family":"Sheikh-El-Eslami","given":"M K","non-dropping-particle":"","parse-names":false,"suffix":""}],"container-title":"International Journal of Electrical Power &amp; Energy Systems","id":"ITEM-1","issue":"1","issued":{"date-parts":[["2013"]]},"page":"88-98","publisher":"Elsevier","title":"Decision making of a virtual power plant under uncertainties for bidding in a day-ahead market using point estimate method","type":"article-journal","volume":"44"},"uris":["http://www.mendeley.com/documents/?uuid=8b446bb1-ce7e-4601-95d5-0fa163a6cf54"]}],"mendeley":{"formattedCitation":"[64]","plainTextFormattedCitation":"[64]","previouslyFormattedCitation":"[64]"},"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[64]</w:t>
      </w:r>
      <w:r w:rsidR="003E60B6" w:rsidRPr="003676D3">
        <w:rPr>
          <w:rFonts w:ascii="Times New Roman" w:hAnsi="Times New Roman" w:cs="Times New Roman"/>
          <w:sz w:val="24"/>
          <w:szCs w:val="24"/>
        </w:rPr>
        <w:fldChar w:fldCharType="end"/>
      </w:r>
      <w:r w:rsidR="00014F88" w:rsidRPr="003676D3">
        <w:rPr>
          <w:rFonts w:ascii="Times New Roman" w:hAnsi="Times New Roman" w:cs="Times New Roman"/>
          <w:sz w:val="24"/>
          <w:szCs w:val="24"/>
        </w:rPr>
        <w:t>, Problem Formulator and Attributes Evaluator (PROFATE), the Electricity Market Multi-Agent System (EMMAS)</w:t>
      </w:r>
      <w:r w:rsidR="003E60B6"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ISSN":"2168-2267","author":[{"dropping-particle":"","family":"Yu","given":"Chao","non-dropping-particle":"","parse-names":false,"suffix":""},{"dropping-particle":"","family":"Zhang","given":"Minjie","non-dropping-particle":"","parse-names":false,"suffix":""},{"dropping-particle":"","family":"Ren","given":"Fenghui","non-dropping-particle":"","parse-names":false,"suffix":""},{"dropping-particle":"","family":"Tan","given":"Guozhen","non-dropping-particle":"","parse-names":false,"suffix":""}],"container-title":"IEEE transactions on cybernetics","id":"ITEM-1","issue":"12","issued":{"date-parts":[["2015"]]},"page":"2853-2867","publisher":"IEEE","title":"Multiagent learning of coordination in loosely coupled multiagent systems","type":"article-journal","volume":"45"},"uris":["http://www.mendeley.com/documents/?uuid=cf88aa93-94a9-48b2-b417-b9892551aac7"]},{"id":"ITEM-2","itemData":{"ISBN":"1509047670","author":[{"dropping-particle":"","family":"Adhikaree","given":"Amit","non-dropping-particle":"","parse-names":false,"suffix":""},{"dropping-particle":"","family":"Makani","given":"Harshvardhan","non-dropping-particle":"","parse-names":false,"suffix":""},{"dropping-particle":"","family":"Yun","given":"Jihoon","non-dropping-particle":"","parse-names":false,"suffix":""},{"dropping-particle":"","family":"Qiao","given":"Wei","non-dropping-particle":"","parse-names":false,"suffix":""},{"dropping-particle":"","family":"Kim","given":"Taesic","non-dropping-particle":"","parse-names":false,"suffix":""}],"container-title":"2017 IEEE International Conference on Electro Information Technology (EIT)","id":"ITEM-2","issued":{"date-parts":[["2017"]]},"page":"100-104","publisher":"IEEE","title":"Internet of Things-enabled multiagent system for residential DC microgrids","type":"paper-conference"},"uris":["http://www.mendeley.com/documents/?uuid=a0a2e6b9-b8fe-42e8-bc43-06798bf17a8d"]},{"id":"ITEM-3","itemData":{"ISSN":"1949-3029","author":[{"dropping-particle":"","family":"Elmitwally","given":"Akram","non-dropping-particle":"","parse-names":false,"suffix":""},{"dropping-particle":"","family":"Elsaid","given":"Mohammed","non-dropping-particle":"","parse-names":false,"suffix":""},{"dropping-particle":"","family":"Elgamal","given":"Mohammed","non-dropping-particle":"","parse-names":false,"suffix":""},{"dropping-particle":"","family":"Chen","given":"Zhe","non-dropping-particle":"","parse-names":false,"suffix":""}],"container-title":"IEEE Transactions on Sustainable Energy","id":"ITEM-3","issue":"3","issued":{"date-parts":[["2015"]]},"page":"810-821","publisher":"IEEE","title":"A fuzzy-multiagent service restoration scheme for distribution system with distributed generation","type":"article-journal","volume":"6"},"uris":["http://www.mendeley.com/documents/?uuid=86dedbc6-be8b-4e9b-ba71-80b9dec04189"]}],"mendeley":{"formattedCitation":"[56,65,66]","plainTextFormattedCitation":"[56,65,66]","previouslyFormattedCitation":"[56,65,66]"},"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[56,65,66]</w:t>
      </w:r>
      <w:r w:rsidR="003E60B6" w:rsidRPr="003676D3">
        <w:rPr>
          <w:rFonts w:ascii="Times New Roman" w:hAnsi="Times New Roman" w:cs="Times New Roman"/>
          <w:sz w:val="24"/>
          <w:szCs w:val="24"/>
        </w:rPr>
        <w:fldChar w:fldCharType="end"/>
      </w:r>
      <w:r w:rsidR="00014F88" w:rsidRPr="003676D3">
        <w:rPr>
          <w:rFonts w:ascii="Times New Roman" w:hAnsi="Times New Roman" w:cs="Times New Roman"/>
          <w:sz w:val="24"/>
          <w:szCs w:val="24"/>
        </w:rPr>
        <w:t xml:space="preserve"> and Power-Matcher (cluster based)</w:t>
      </w:r>
      <w:r w:rsidR="003E60B6"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fldLock="1"/>
      </w:r>
      <w:r w:rsidR="003E60B6" w:rsidRPr="003676D3">
        <w:rPr>
          <w:rFonts w:ascii="Times New Roman" w:hAnsi="Times New Roman" w:cs="Times New Roman"/>
          <w:sz w:val="24"/>
          <w:szCs w:val="24"/>
        </w:rPr>
        <w:instrText>ADDIN CSL_CITATION {"citationItems":[{"id":"ITEM-1","itemData":{"DOI":"10.1109/FUZZY.2011.6007492","ISBN":"9781424473175","ISSN":"10987584","abstract":"Load forecasting is an important component for power system energy management system. Precise load forecasting helps the electric utility to make unit commitment decisions, reduce spinning reserve capacity and schedule device maintenance plan properly. This paper presents the development of a novel fuzzy wavelet neural network model and validates its prediction on the short-term electric load forecasting of the Power System of the Greek Island of Crete. In the proposed scheme, a wavelet neural network has replaced the classic TSK model in the consequent part, while subtractive clustering has been applied to the definition of fuzzy rules. The forecasting error statistical results, corresponding to the minimum and maximum load time-series, indicate that the proposed load forecasting model provides more accurate forecasts, compared to conventional neural networks models. © 2011 IEEE.","author":[{"dropping-particle":"","family":"Amina","given":"Mahdi","non-dropping-particle":"","parse-names":false,"suffix":""},{"dropping-particle":"","family":"Kodogiannis","given":"Vassilis S.","non-dropping-particle":"","parse-names":false,"suffix":""}],"container-title":"IEEE International Conference on Fuzzy Systems","id":"ITEM-1","issued":{"date-parts":[["2011"]]},"page":"1033-1040","title":"Load forecasting using fuzzy wavelet neural networks","type":"article-journal"},"uris":["http://www.mendeley.com/documents/?uuid=9f89211d-6546-3403-b4d1-b3914d1f18fa"]}],"mendeley":{"formattedCitation":"[67]","plainTextFormattedCitation":"[67]","previouslyFormattedCitation":"[67]"},"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[67]</w:t>
      </w:r>
      <w:r w:rsidR="003E60B6" w:rsidRPr="003676D3">
        <w:rPr>
          <w:rFonts w:ascii="Times New Roman" w:hAnsi="Times New Roman" w:cs="Times New Roman"/>
          <w:sz w:val="24"/>
          <w:szCs w:val="24"/>
        </w:rPr>
        <w:fldChar w:fldCharType="end"/>
      </w:r>
      <w:r w:rsidR="00014F88" w:rsidRPr="003676D3">
        <w:rPr>
          <w:rFonts w:ascii="Times New Roman" w:hAnsi="Times New Roman" w:cs="Times New Roman"/>
          <w:sz w:val="24"/>
          <w:szCs w:val="24"/>
        </w:rPr>
        <w:t>.</w:t>
      </w:r>
      <w:r w:rsidR="00534673" w:rsidRPr="003676D3">
        <w:rPr>
          <w:rFonts w:ascii="Times New Roman" w:hAnsi="Times New Roman" w:cs="Times New Roman"/>
          <w:sz w:val="24"/>
          <w:szCs w:val="24"/>
        </w:rPr>
        <w:t xml:space="preserve"> </w:t>
      </w:r>
      <w:r w:rsidR="003E60B6" w:rsidRPr="003676D3">
        <w:rPr>
          <w:rFonts w:ascii="Times New Roman" w:hAnsi="Times New Roman" w:cs="Times New Roman"/>
          <w:sz w:val="24"/>
          <w:szCs w:val="24"/>
        </w:rPr>
        <w:fldChar w:fldCharType="begin"/>
      </w:r>
      <w:r w:rsidR="003E60B6" w:rsidRPr="003676D3">
        <w:rPr>
          <w:rFonts w:ascii="Times New Roman" w:hAnsi="Times New Roman" w:cs="Times New Roman"/>
          <w:sz w:val="24"/>
          <w:szCs w:val="24"/>
        </w:rPr>
        <w:instrText xml:space="preserve"> REF _Ref168037025 \h  \* MERGEFORMAT </w:instrText>
      </w:r>
      <w:r w:rsidR="003E60B6" w:rsidRPr="003676D3">
        <w:rPr>
          <w:rFonts w:ascii="Times New Roman" w:hAnsi="Times New Roman" w:cs="Times New Roman"/>
          <w:sz w:val="24"/>
          <w:szCs w:val="24"/>
        </w:rPr>
      </w:r>
      <w:r w:rsidR="003E60B6"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2.</w:t>
      </w:r>
      <w:r w:rsidR="008D1E2C" w:rsidRPr="003676D3">
        <w:rPr>
          <w:rFonts w:ascii="Times New Roman" w:hAnsi="Times New Roman" w:cs="Times New Roman"/>
          <w:sz w:val="24"/>
          <w:szCs w:val="24"/>
        </w:rPr>
        <w:t xml:space="preserve"> 7-Layer architecture of a Smart Grid</w:t>
      </w:r>
      <w:r w:rsidR="003E60B6" w:rsidRPr="003676D3">
        <w:rPr>
          <w:rFonts w:ascii="Times New Roman" w:hAnsi="Times New Roman" w:cs="Times New Roman"/>
          <w:sz w:val="24"/>
          <w:szCs w:val="24"/>
        </w:rPr>
        <w:fldChar w:fldCharType="end"/>
      </w:r>
      <w:r w:rsidR="003E60B6" w:rsidRPr="003676D3">
        <w:rPr>
          <w:rFonts w:ascii="Times New Roman" w:hAnsi="Times New Roman" w:cs="Times New Roman"/>
          <w:sz w:val="24"/>
          <w:szCs w:val="24"/>
        </w:rPr>
        <w:t xml:space="preserve"> given in </w:t>
      </w:r>
      <w:r w:rsidR="003E60B6"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{"citationItems":[{"id":"ITEM-1","itemData":{"DOI":"10.1109/ACCESS.2020.2968402","ISSN":"21693536","abstract":"Prosumer concept and digitilization offer the exciting potential of microgrid transactive energy systems at distribution level for reducing transmission losses, decreasing electric infrastructure expenditure, improving reliability, enhancing local energy use, and minimizing customers' electricity bills. Distributed energy resources, demand response, distributed ledger technologies, and local energy markets are integral parts of transaction energy system for emergence of decentralized smart grid system. Hence, this paper discusses transactive energy concept and proposes seven functional layers architecture for designing transactive energy system. The proposed architecture is compared with practical case study of Brooklyn microgrid. Moreover, this paper reviews the existing architectures and explains the widely known distributed ledger technologies (blockchain, directed acyclic graph, hashgraph, holochain, and tempo) alongwith their advantages and challenges. The local energy market concept is presented and critically analyzed for energy trade within a transactive energy system. This paper also reviews the potential and challenges of peer-to-peer and community-based energy markets. Proposed architecture and analytical review of distributed ledger technologies and local energy markets pave the way for advanced research and industrialization of transactive energy systems.","author":[{"dropping-particle":"","family":"Zia","given":"Muhammad F.","non-dropping-particle":"","parse-names":false,"suffix":""},{"dropping-particle":"","family":"Benbouzid","given":"Mohamed","non-dropping-particle":"","parse-names":false,"suffix":""},{"dropping-particle":"","family":"Elbouchikhi","given":"Elhoussin","non-dropping-particle":"","parse-names":false,"suffix":""},{"dropping-particle":"","family":"Muyeen","given":"S. M.","non-dropping-particle":"","parse-names":false,"suffix":""},{"dropping-particle":"","family":"Techato","given":"Kuaanan","non-dropping-particle":"","parse-names":false,"suffix":""},{"dropping-particle":"","family":"Guerrero","given":"Josep M.","non-dropping-particle":"","parse-names":false,"suffix":""}],"container-title":"IEEE Access","id":"ITEM-1","issued":{"date-parts":[["2020"]]},"page":"19410-19432","publisher":"Institute of Electrical and Electronics Engineers Inc.","title":"Microgrid transactive energy: Review, architectures, distributed ledger technologies, and market analysis","type":"article-journal","volume":"8"},"uris":["http://www.mendeley.com/documents/?uuid=6c65e3da-63ca-36fa-b642-a62d8c75c4b7"]}],"mendeley":{"formattedCitation":"[27]","plainTextFormattedCitation":"[27]","previouslyFormattedCitation":"[27]"},"properties":{"noteIndex":0},"schema":"https://github.com/citation-style-language/schema/raw/master/csl-citation.json"}</w:instrText>
      </w:r>
      <w:r w:rsidR="003E60B6" w:rsidRPr="003676D3">
        <w:rPr>
          <w:rFonts w:ascii="Times New Roman" w:hAnsi="Times New Roman" w:cs="Times New Roman"/>
          <w:sz w:val="24"/>
          <w:szCs w:val="24"/>
        </w:rPr>
        <w:fldChar w:fldCharType="separate"/>
      </w:r>
      <w:r w:rsidR="003E60B6" w:rsidRPr="003676D3">
        <w:rPr>
          <w:rFonts w:ascii="Times New Roman" w:hAnsi="Times New Roman" w:cs="Times New Roman"/>
          <w:noProof/>
          <w:sz w:val="24"/>
          <w:szCs w:val="24"/>
        </w:rPr>
        <w:t>[27]</w:t>
      </w:r>
      <w:r w:rsidR="003E60B6" w:rsidRPr="003676D3">
        <w:rPr>
          <w:rFonts w:ascii="Times New Roman" w:hAnsi="Times New Roman" w:cs="Times New Roman"/>
          <w:sz w:val="24"/>
          <w:szCs w:val="24"/>
        </w:rPr>
        <w:fldChar w:fldCharType="end"/>
      </w:r>
      <w:r w:rsidR="003E60B6" w:rsidRPr="003676D3">
        <w:rPr>
          <w:rFonts w:ascii="Times New Roman" w:hAnsi="Times New Roman" w:cs="Times New Roman"/>
          <w:sz w:val="24"/>
          <w:szCs w:val="24"/>
        </w:rPr>
        <w:t>.</w:t>
      </w:r>
    </w:p>
    <w:p w14:paraId="13F876F7" w14:textId="2D0C2AA8" w:rsidR="003E60B6" w:rsidRPr="003676D3" w:rsidRDefault="003E60B6"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lang w:eastAsia="en-GB"/>
        </w:rPr>
        <mc:AlternateContent>
          <mc:Choice Requires="wps">
            <w:drawing>
              <wp:anchor distT="0" distB="0" distL="114300" distR="114300" simplePos="0" relativeHeight="251638784" behindDoc="0" locked="0" layoutInCell="1" allowOverlap="1" wp14:anchorId="13BAED15" wp14:editId="52B7453B">
                <wp:simplePos x="0" y="0"/>
                <wp:positionH relativeFrom="column">
                  <wp:posOffset>122555</wp:posOffset>
                </wp:positionH>
                <wp:positionV relativeFrom="paragraph">
                  <wp:posOffset>5267325</wp:posOffset>
                </wp:positionV>
                <wp:extent cx="56007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045EAE27" w14:textId="08F1304C" w:rsidR="001F368F" w:rsidRPr="003E60B6" w:rsidRDefault="001F368F" w:rsidP="004B1918">
                            <w:pPr>
                              <w:pStyle w:val="Caption"/>
                              <w:jc w:val="center"/>
                              <w:rPr>
                                <w:rFonts w:asciiTheme="majorBidi" w:hAnsiTheme="majorBidi" w:cstheme="majorBidi"/>
                                <w:b/>
                                <w:bCs/>
                                <w:i w:val="0"/>
                                <w:iCs w:val="0"/>
                                <w:noProof/>
                                <w:color w:val="auto"/>
                                <w:sz w:val="20"/>
                                <w:szCs w:val="20"/>
                              </w:rPr>
                            </w:pPr>
                            <w:bookmarkStart w:id="4" w:name="_Ref168037025"/>
                            <w:r w:rsidRPr="003E60B6">
                              <w:rPr>
                                <w:rFonts w:asciiTheme="majorBidi" w:hAnsiTheme="majorBidi" w:cstheme="majorBidi"/>
                                <w:b/>
                                <w:bCs/>
                                <w:i w:val="0"/>
                                <w:iCs w:val="0"/>
                                <w:color w:val="auto"/>
                                <w:sz w:val="20"/>
                                <w:szCs w:val="20"/>
                              </w:rPr>
                              <w:t xml:space="preserve">Figure </w:t>
                            </w:r>
                            <w:r w:rsidRPr="003E60B6">
                              <w:rPr>
                                <w:rFonts w:asciiTheme="majorBidi" w:hAnsiTheme="majorBidi" w:cstheme="majorBidi"/>
                                <w:b/>
                                <w:bCs/>
                                <w:i w:val="0"/>
                                <w:iCs w:val="0"/>
                                <w:color w:val="auto"/>
                                <w:sz w:val="20"/>
                                <w:szCs w:val="20"/>
                              </w:rPr>
                              <w:fldChar w:fldCharType="begin"/>
                            </w:r>
                            <w:r w:rsidRPr="003E60B6">
                              <w:rPr>
                                <w:rFonts w:asciiTheme="majorBidi" w:hAnsiTheme="majorBidi" w:cstheme="majorBidi"/>
                                <w:b/>
                                <w:bCs/>
                                <w:i w:val="0"/>
                                <w:iCs w:val="0"/>
                                <w:color w:val="auto"/>
                                <w:sz w:val="20"/>
                                <w:szCs w:val="20"/>
                              </w:rPr>
                              <w:instrText xml:space="preserve"> SEQ Figure \* ARABIC </w:instrText>
                            </w:r>
                            <w:r w:rsidRPr="003E60B6">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2</w:t>
                            </w:r>
                            <w:r w:rsidRPr="003E60B6">
                              <w:rPr>
                                <w:rFonts w:asciiTheme="majorBidi" w:hAnsiTheme="majorBidi" w:cstheme="majorBidi"/>
                                <w:b/>
                                <w:bCs/>
                                <w:i w:val="0"/>
                                <w:iCs w:val="0"/>
                                <w:color w:val="auto"/>
                                <w:sz w:val="20"/>
                                <w:szCs w:val="20"/>
                              </w:rPr>
                              <w:fldChar w:fldCharType="end"/>
                            </w:r>
                            <w:r w:rsidRPr="003E60B6">
                              <w:rPr>
                                <w:rFonts w:asciiTheme="majorBidi" w:hAnsiTheme="majorBidi" w:cstheme="majorBidi"/>
                                <w:b/>
                                <w:bCs/>
                                <w:i w:val="0"/>
                                <w:iCs w:val="0"/>
                                <w:color w:val="auto"/>
                                <w:sz w:val="20"/>
                                <w:szCs w:val="20"/>
                              </w:rPr>
                              <w:t>. 7-Layer architecture of a Smart Grid</w:t>
                            </w:r>
                            <w:bookmarkEnd w:id="4"/>
                            <w:r w:rsidRPr="003E60B6">
                              <w:rPr>
                                <w:rFonts w:asciiTheme="majorBidi" w:hAnsiTheme="majorBidi" w:cstheme="majorBidi"/>
                                <w:b/>
                                <w:bCs/>
                                <w:i w:val="0"/>
                                <w:iCs w:val="0"/>
                                <w:color w:val="auto"/>
                                <w:sz w:val="20"/>
                                <w:szCs w:val="20"/>
                              </w:rPr>
                              <w:t xml:space="preserve">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BAED15" id="_x0000_t202" coordsize="21600,21600" o:spt="202" path="m,l,21600r21600,l21600,xe">
                <v:stroke joinstyle="miter"/>
                <v:path gradientshapeok="t" o:connecttype="rect"/>
              </v:shapetype>
              <v:shape id="Text Box 9" o:spid="_x0000_s1026" type="#_x0000_t202" style="position:absolute;left:0;text-align:left;margin-left:9.65pt;margin-top:414.75pt;width:441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" stroked="f">
                <v:textbox style="mso-fit-shape-to-text:t" inset="0,0,0,0">
                  <w:txbxContent>
                    <w:p w14:paraId="045EAE27" w14:textId="08F1304C" w:rsidR="001F368F" w:rsidRPr="003E60B6" w:rsidRDefault="001F368F" w:rsidP="004B1918">
                      <w:pPr>
                        <w:pStyle w:val="Caption"/>
                        <w:jc w:val="center"/>
                        <w:rPr>
                          <w:rFonts w:asciiTheme="majorBidi" w:hAnsiTheme="majorBidi" w:cstheme="majorBidi"/>
                          <w:b/>
                          <w:bCs/>
                          <w:i w:val="0"/>
                          <w:iCs w:val="0"/>
                          <w:noProof/>
                          <w:color w:val="auto"/>
                          <w:sz w:val="20"/>
                          <w:szCs w:val="20"/>
                        </w:rPr>
                      </w:pPr>
                      <w:bookmarkStart w:id="5" w:name="_Ref168037025"/>
                      <w:r w:rsidRPr="003E60B6">
                        <w:rPr>
                          <w:rFonts w:asciiTheme="majorBidi" w:hAnsiTheme="majorBidi" w:cstheme="majorBidi"/>
                          <w:b/>
                          <w:bCs/>
                          <w:i w:val="0"/>
                          <w:iCs w:val="0"/>
                          <w:color w:val="auto"/>
                          <w:sz w:val="20"/>
                          <w:szCs w:val="20"/>
                        </w:rPr>
                        <w:t xml:space="preserve">Figure </w:t>
                      </w:r>
                      <w:r w:rsidRPr="003E60B6">
                        <w:rPr>
                          <w:rFonts w:asciiTheme="majorBidi" w:hAnsiTheme="majorBidi" w:cstheme="majorBidi"/>
                          <w:b/>
                          <w:bCs/>
                          <w:i w:val="0"/>
                          <w:iCs w:val="0"/>
                          <w:color w:val="auto"/>
                          <w:sz w:val="20"/>
                          <w:szCs w:val="20"/>
                        </w:rPr>
                        <w:fldChar w:fldCharType="begin"/>
                      </w:r>
                      <w:r w:rsidRPr="003E60B6">
                        <w:rPr>
                          <w:rFonts w:asciiTheme="majorBidi" w:hAnsiTheme="majorBidi" w:cstheme="majorBidi"/>
                          <w:b/>
                          <w:bCs/>
                          <w:i w:val="0"/>
                          <w:iCs w:val="0"/>
                          <w:color w:val="auto"/>
                          <w:sz w:val="20"/>
                          <w:szCs w:val="20"/>
                        </w:rPr>
                        <w:instrText xml:space="preserve"> SEQ Figure \* ARABIC </w:instrText>
                      </w:r>
                      <w:r w:rsidRPr="003E60B6">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2</w:t>
                      </w:r>
                      <w:r w:rsidRPr="003E60B6">
                        <w:rPr>
                          <w:rFonts w:asciiTheme="majorBidi" w:hAnsiTheme="majorBidi" w:cstheme="majorBidi"/>
                          <w:b/>
                          <w:bCs/>
                          <w:i w:val="0"/>
                          <w:iCs w:val="0"/>
                          <w:color w:val="auto"/>
                          <w:sz w:val="20"/>
                          <w:szCs w:val="20"/>
                        </w:rPr>
                        <w:fldChar w:fldCharType="end"/>
                      </w:r>
                      <w:r w:rsidRPr="003E60B6">
                        <w:rPr>
                          <w:rFonts w:asciiTheme="majorBidi" w:hAnsiTheme="majorBidi" w:cstheme="majorBidi"/>
                          <w:b/>
                          <w:bCs/>
                          <w:i w:val="0"/>
                          <w:iCs w:val="0"/>
                          <w:color w:val="auto"/>
                          <w:sz w:val="20"/>
                          <w:szCs w:val="20"/>
                        </w:rPr>
                        <w:t>. 7-Layer architecture of a Smart Grid</w:t>
                      </w:r>
                      <w:bookmarkEnd w:id="5"/>
                      <w:r w:rsidRPr="003E60B6">
                        <w:rPr>
                          <w:rFonts w:asciiTheme="majorBidi" w:hAnsiTheme="majorBidi" w:cstheme="majorBidi"/>
                          <w:b/>
                          <w:bCs/>
                          <w:i w:val="0"/>
                          <w:iCs w:val="0"/>
                          <w:color w:val="auto"/>
                          <w:sz w:val="20"/>
                          <w:szCs w:val="20"/>
                        </w:rPr>
                        <w:t xml:space="preserve"> [27]</w:t>
                      </w:r>
                    </w:p>
                  </w:txbxContent>
                </v:textbox>
                <w10:wrap type="square"/>
              </v:shape>
            </w:pict>
          </mc:Fallback>
        </mc:AlternateContent>
      </w:r>
      <w:r w:rsidRPr="003676D3">
        <w:rPr>
          <w:rFonts w:ascii="Times New Roman" w:hAnsi="Times New Roman" w:cs="Times New Roman"/>
          <w:noProof/>
          <w:sz w:val="24"/>
          <w:szCs w:val="24"/>
          <w:lang w:eastAsia="en-GB"/>
        </w:rPr>
        <w:drawing>
          <wp:anchor distT="0" distB="0" distL="114300" distR="114300" simplePos="0" relativeHeight="251626496" behindDoc="0" locked="0" layoutInCell="1" allowOverlap="1" wp14:anchorId="05880FE8" wp14:editId="119CEB25">
            <wp:simplePos x="0" y="0"/>
            <wp:positionH relativeFrom="margin">
              <wp:posOffset>122555</wp:posOffset>
            </wp:positionH>
            <wp:positionV relativeFrom="paragraph">
              <wp:posOffset>57150</wp:posOffset>
            </wp:positionV>
            <wp:extent cx="5600700" cy="5048250"/>
            <wp:effectExtent l="0" t="0" r="0" b="0"/>
            <wp:wrapSquare wrapText="bothSides"/>
            <wp:docPr id="5" name="Picture 5" descr="C:\Users\AnamZahid\Desktop\techa7-2968402-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Zahid\Desktop\techa7-2968402-larg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673" w:rsidRPr="003676D3">
        <w:rPr>
          <w:rFonts w:ascii="Times New Roman" w:hAnsi="Times New Roman" w:cs="Times New Roman"/>
          <w:sz w:val="24"/>
          <w:szCs w:val="24"/>
        </w:rPr>
        <w:t xml:space="preserve">Smart grids are now evolving by employing </w:t>
      </w:r>
      <w:r w:rsidR="0062682E" w:rsidRPr="003676D3">
        <w:rPr>
          <w:rFonts w:ascii="Times New Roman" w:hAnsi="Times New Roman" w:cs="Times New Roman"/>
          <w:sz w:val="24"/>
          <w:szCs w:val="24"/>
        </w:rPr>
        <w:t>efficient</w:t>
      </w:r>
      <w:r w:rsidR="00534673" w:rsidRPr="003676D3">
        <w:rPr>
          <w:rFonts w:ascii="Times New Roman" w:hAnsi="Times New Roman" w:cs="Times New Roman"/>
          <w:sz w:val="24"/>
          <w:szCs w:val="24"/>
        </w:rPr>
        <w:t xml:space="preserve"> energy management systems, better automation with internet of things, capability to balance grid with electric vehicles and providing support for big data</w:t>
      </w:r>
      <w:r w:rsidRPr="003676D3">
        <w:rPr>
          <w:rFonts w:ascii="Times New Roman" w:hAnsi="Times New Roman" w:cs="Times New Roman"/>
          <w:sz w:val="24"/>
          <w:szCs w:val="24"/>
        </w:rPr>
        <w:t xml:space="preserve"> </w:t>
      </w:r>
      <w:r w:rsidRPr="003676D3">
        <w:rPr>
          <w:rFonts w:ascii="Times New Roman" w:hAnsi="Times New Roman" w:cs="Times New Roman"/>
          <w:sz w:val="24"/>
          <w:szCs w:val="24"/>
        </w:rPr>
        <w:fldChar w:fldCharType="begin" w:fldLock="1"/>
      </w:r>
      <w:r w:rsidRPr="003676D3">
        <w:rPr>
          <w:rFonts w:ascii="Times New Roman" w:hAnsi="Times New Roman" w:cs="Times New Roman"/>
          <w:sz w:val="24"/>
          <w:szCs w:val="24"/>
        </w:rPr>
        <w:instrText>ADDIN CSL_CITATION {"citationItems":[{"id":"ITEM-1","itemData":{"DOI":"10.1016/J.ASEJ.2020.05.004","ISSN":"2090-4479","abstract":"With the advancement in technology, there is an immense increase in the demand of electrical energy that has not only become challenge for its production but also its distribution. So this rising demand is growing the complexities of power grids by increasing requirement for greater reliability, efficiency, security and environmental and energy sustainability concerns. These feature in a power grid towards smartness which eventually known as a today's concept of “Smart Grid”. This is a conceptual technique in which all smart features are implemented in order to increase the distribution system of electricity efficient, more reliable and sustainable. In this article an overview of “Smart Grids” with its features and its different aspects on power distribution industry has been presented. It is also explained that how these technologies change and have more potential to evolve and strength the distribution system.","author":[{"dropping-particle":"","family":"Majeed Butt","given":"Osama","non-dropping-particle":"","parse-names":false,"suffix":""},{"dropping-particle":"","family":"Zulqarnain","given":"Muhammad","non-dropping-particle":"","parse-names":false,"suffix":""},{"dropping-particle":"","family":"Majeed Butt","given":"Tallal","non-dropping-particle":"","parse-names":false,"suffix":""}],"container-title":"Ain Shams Engineering Journal","id":"ITEM-1","issue":"1","issued":{"date-parts":[["2021","3","1"]]},"page":"687-695","publisher":"Elsevier","title":"Recent advancement in smart grid technology: Future prospects in the electrical power network","type":"article-journal","volume":"12"},"uris":["http://www.mendeley.com/documents/?uuid=b2536c95-b724-3462-b9bb-1ce750f94d8c"]}],"mendeley":{"formattedCitation":"[26]","plainTextFormattedCitation":"[26]","previouslyFormattedCitation":"[26]"},"properties":{"noteIndex":0},"schema":"https://github.com/citation-style-language/schema/raw/master/csl-citation.json"}</w:instrText>
      </w:r>
      <w:r w:rsidRPr="003676D3">
        <w:rPr>
          <w:rFonts w:ascii="Times New Roman" w:hAnsi="Times New Roman" w:cs="Times New Roman"/>
          <w:sz w:val="24"/>
          <w:szCs w:val="24"/>
        </w:rPr>
        <w:fldChar w:fldCharType="separate"/>
      </w:r>
      <w:r w:rsidRPr="003676D3">
        <w:rPr>
          <w:rFonts w:ascii="Times New Roman" w:hAnsi="Times New Roman" w:cs="Times New Roman"/>
          <w:noProof/>
          <w:sz w:val="24"/>
          <w:szCs w:val="24"/>
        </w:rPr>
        <w:t>[26]</w:t>
      </w:r>
      <w:r w:rsidRPr="003676D3">
        <w:rPr>
          <w:rFonts w:ascii="Times New Roman" w:hAnsi="Times New Roman" w:cs="Times New Roman"/>
          <w:sz w:val="24"/>
          <w:szCs w:val="24"/>
        </w:rPr>
        <w:fldChar w:fldCharType="end"/>
      </w:r>
      <w:r w:rsidR="00534673" w:rsidRPr="003676D3">
        <w:rPr>
          <w:rFonts w:ascii="Times New Roman" w:hAnsi="Times New Roman" w:cs="Times New Roman"/>
          <w:sz w:val="24"/>
          <w:szCs w:val="24"/>
        </w:rPr>
        <w:t>.</w:t>
      </w:r>
      <w:r w:rsidR="00E7634E" w:rsidRPr="003676D3">
        <w:rPr>
          <w:rFonts w:ascii="Times New Roman" w:hAnsi="Times New Roman" w:cs="Times New Roman"/>
          <w:sz w:val="24"/>
          <w:szCs w:val="24"/>
        </w:rPr>
        <w:t xml:space="preserve"> </w:t>
      </w:r>
      <w:r w:rsidR="00705F21" w:rsidRPr="003676D3">
        <w:rPr>
          <w:rFonts w:ascii="Times New Roman" w:hAnsi="Times New Roman" w:cs="Times New Roman"/>
          <w:sz w:val="24"/>
          <w:szCs w:val="24"/>
        </w:rPr>
        <w:t>In the futuristic super smart grid environment, strategic energy demand management can be done through fuzzy logic based controller</w:t>
      </w:r>
      <w:r w:rsidRPr="003676D3">
        <w:rPr>
          <w:rFonts w:ascii="Times New Roman" w:hAnsi="Times New Roman" w:cs="Times New Roman"/>
          <w:sz w:val="24"/>
          <w:szCs w:val="24"/>
        </w:rPr>
        <w:t xml:space="preserve"> </w:t>
      </w:r>
      <w:r w:rsidRPr="003676D3">
        <w:rPr>
          <w:rFonts w:ascii="Times New Roman" w:hAnsi="Times New Roman" w:cs="Times New Roman"/>
          <w:sz w:val="24"/>
          <w:szCs w:val="24"/>
        </w:rPr>
        <w:fldChar w:fldCharType="begin" w:fldLock="1"/>
      </w:r>
      <w:r w:rsidRPr="003676D3">
        <w:rPr>
          <w:rFonts w:ascii="Times New Roman" w:hAnsi="Times New Roman" w:cs="Times New Roman"/>
          <w:sz w:val="24"/>
          <w:szCs w:val="24"/>
        </w:rPr>
        <w:instrText>ADDIN CSL_CITATION {"citationItems":[{"id":"ITEM-1","itemData":{"DOI":"10.1109/TSG.2011.2171046","ISSN":"19493053","abstract":"In future smart grids, consumers of electricity will be enabled to react to electricity prices. The aggregate reaction of consumers can potentially shift the demand curve in the market, resulting in prices that may differ from the initial forecasts. In this paper, a hybrid forecasting framework is proposed that takes such dynamics into account when forecasting electricity price and demand. The proposed framework combines a multi-input multi-output (MIMO) forecasting engine for joint price and demand prediction with data association mining (DAM) algorithms. In this framework, a DAM-based rule extraction mechanism is used to determine and extract the patterns in consumers' reaction to price forecasts. The extracted rules are then employed to fine-tune the initially generated demand and price forecasts of a MIMO engine. Simulation results are presented using Australia's and New England's electricity market data. © 2012 IEEE.","author":[{"dropping-particle":"","family":"Motamedi","given":"Amir","non-dropping-particle":"","parse-names":false,"suffix":""},{"dropping-particle":"","family":"Zareipour","given":"Hamidreza","non-dropping-particle":"","parse-names":false,"suffix":""},{"dropping-particle":"","family":"Rosehart","given":"William D.","non-dropping-particle":"","parse-names":false,"suffix":""}],"container-title":"IEEE Transactions on Smart Grid","id":"ITEM-1","issue":"2","issued":{"date-parts":[["2012"]]},"page":"664-674","title":"Electricity price and demand forecasting in smart grids","type":"article-journal","volume":"3"},"uris":["http://www.mendeley.com/documents/?uuid=34998961-2dea-3a6c-92bb-24cbde7e9488"]}],"mendeley":{"formattedCitation":"[68]","plainTextFormattedCitation":"[68]","previouslyFormattedCitation":"[68]"},"properties":{"noteIndex":0},"schema":"https://github.com/citation-style-language/schema/raw/master/csl-citation.json"}</w:instrText>
      </w:r>
      <w:r w:rsidRPr="003676D3">
        <w:rPr>
          <w:rFonts w:ascii="Times New Roman" w:hAnsi="Times New Roman" w:cs="Times New Roman"/>
          <w:sz w:val="24"/>
          <w:szCs w:val="24"/>
        </w:rPr>
        <w:fldChar w:fldCharType="separate"/>
      </w:r>
      <w:r w:rsidRPr="003676D3">
        <w:rPr>
          <w:rFonts w:ascii="Times New Roman" w:hAnsi="Times New Roman" w:cs="Times New Roman"/>
          <w:noProof/>
          <w:sz w:val="24"/>
          <w:szCs w:val="24"/>
        </w:rPr>
        <w:t>[68]</w:t>
      </w:r>
      <w:r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E7634E" w:rsidRPr="003676D3">
        <w:rPr>
          <w:rFonts w:ascii="Times New Roman" w:hAnsi="Times New Roman" w:cs="Times New Roman"/>
          <w:sz w:val="24"/>
          <w:szCs w:val="24"/>
        </w:rPr>
        <w:t xml:space="preserve"> </w:t>
      </w:r>
      <w:r w:rsidR="00212972" w:rsidRPr="003676D3">
        <w:rPr>
          <w:rFonts w:ascii="Times New Roman" w:hAnsi="Times New Roman" w:cs="Times New Roman"/>
          <w:sz w:val="24"/>
          <w:szCs w:val="24"/>
        </w:rPr>
        <w:t xml:space="preserve">Ease of energy storage is one of the </w:t>
      </w:r>
      <w:r w:rsidR="00B76FB3" w:rsidRPr="003676D3">
        <w:rPr>
          <w:rFonts w:ascii="Times New Roman" w:hAnsi="Times New Roman" w:cs="Times New Roman"/>
          <w:sz w:val="24"/>
          <w:szCs w:val="24"/>
        </w:rPr>
        <w:t>unique features of a SG</w:t>
      </w:r>
      <w:r w:rsidR="005E4980" w:rsidRPr="003676D3">
        <w:rPr>
          <w:rFonts w:ascii="Times New Roman" w:hAnsi="Times New Roman" w:cs="Times New Roman"/>
          <w:sz w:val="24"/>
          <w:szCs w:val="24"/>
        </w:rPr>
        <w:t>, that makes energy readily available on the grid, thereby minimizing losses. It adds to the system efficiency but also compensates the intermittency and variabilit</w:t>
      </w:r>
      <w:r w:rsidRPr="003676D3">
        <w:rPr>
          <w:rFonts w:ascii="Times New Roman" w:hAnsi="Times New Roman" w:cs="Times New Roman"/>
          <w:sz w:val="24"/>
          <w:szCs w:val="24"/>
        </w:rPr>
        <w:t>y of the distributed resources.</w:t>
      </w:r>
    </w:p>
    <w:p w14:paraId="4139C536" w14:textId="2337E960" w:rsidR="00394175" w:rsidRPr="003676D3" w:rsidRDefault="00705F21"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event of supply-demand imbalance, the energy storage can balance the difference by either charging or discharging itself</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{"citationItems":[{"id":"ITEM-1","itemData":{"abstract":"Radical changes in the energy system, at the lower network level, will require integration of smart houses in the smart grid in order to realize the full potential. Introduction of renewables, an increase of distributed generation, and the trend towards an all-electric infrastructure lead to an increase in complexity, system management effort and cost that the smart grid should provide an answer for. This calls for houses that are pro-active and flexible participants in the smart grid. The home will no longer be an extension of a utility or energy service provider, but serve as an autonomous building block in a smart grid and determine autonomously how and to whom it will accept from and deliver energy services on the smart grid.","author":[{"dropping-particle":"","family":"Warmer","given":"Cor","non-dropping-particle":"","parse-names":false,"suffix":""},{"dropping-particle":"","family":"Kok","given":"Koen","non-dropping-particle":"","parse-names":false,"suffix":""},{"dropping-particle":"","family":"Karnouskos","given":"Stamatis","non-dropping-particle":"","parse-names":false,"suffix":""},{"dropping-particle":"","family":"Weidlich","given":"Anke","non-dropping-particle":"","parse-names":false,"suffix":""},{"dropping-particle":"","family":"Nestle","given":"David","non-dropping-particle":"","parse-names":false,"suffix":""},{"dropping-particle":"","family":"Selzam","given":"Patrick","non-dropping-particle":"","parse-names":false,"suffix":""},{"dropping-particle":"","family":"Ringelstein","given":"Jan","non-dropping-particle":"","parse-names":false,"suffix":""},{"dropping-particle":"","family":"Dimeas","given":"Aris","non-dropping-particle":"","parse-names":false,"suffix":""},{"dropping-particle":"","family":"Drenkard","given":"Stefan","non-dropping-particle":"","parse-names":false,"suffix":""}],"id":"ITEM-1","issued":{"date-parts":[["2009"]]},"title":"Web services for integration of smart houses in the smart grid","type":"article-journal"},"uris":["http://www.mendeley.com/documents/?uuid=73db5d18-c9e5-31e1-9140-5d57c96183d3"]},{"id":"ITEM-2","itemData":{"DOI":"10.1109/HICSS.2010.148","ISBN":"9780769538693","ISSN":"15301605","abstract":"This paper seeks to frame one aspect of the Smart Grid discussion which has been under-recognized in regulatory and policy debates. Significant discussion has focused Smart Grid attention on the technologies and on technical interoperability, there has been, we argue, too little attention to questions of the structure or the operation of the market(s) in which the technologies will function. The authors contend that the market structure required for a successful Smart Grid is best understood considering a \"platform\" framework. We present our view of the interrelationship between that market platform, ultimate customers and power suppliers. It is our conclusion that without a thorough vetting of the market structure within which Smart Grid technologies will function, the full value of the innovations can not be realized. © 2010 IEEE.","author":[{"dropping-particle":"","family":"Tabors","given":"Richard D.","non-dropping-particle":"","parse-names":false,"suffix":""},{"dropping-particle":"","family":"Parker","given":"Geoffrey","non-dropping-particle":"","parse-names":false,"suffix":""},{"dropping-particle":"","family":"Caramanis","given":"Michael C.","non-dropping-particle":"","parse-names":false,"suffix":""}],"container-title":"Proceedings of the Annual Hawaii International Conference on System Sciences","id":"ITEM-2","issued":{"date-parts":[["2010"]]},"title":"Development of the smart grid: Missing elements in the policy process","type":"article-journal"},"uris":["http://www.mendeley.com/documents/?uuid=c09acea5-7b37-3dde-85cb-2fcb372f177b"]},{"id":"ITEM-3","itemData":{"DOI":"10.1109/ISGT.2011.5759167","ISBN":"9781612842189","abstract":"Managing distributed energy sources, energy storage, and consumer's active behavior coupled with sustainability objectives, requires significant changes in the architecture and technologies used to control the electricity infrastructure. Electricity consumers are evolving into economically motivated \"prosumers\" that not only consume, but can also produce and store electricity. Prosumers can become smart energy ecosystems if they are equipped with technology and intelligence that allow them to achieving their own objectives. This paper demonstrates that any electric power system, from large interconnections to homes and appliances can be modeled as a prosumer. It shows that the emerging interactions and transactions related to electrical energy can be implemented using a prosumer-based architecture, which would replace the traditional, one-way, generation-transmission-distribution-consumer model. We propose a prosumer-based, service-oriented architecture, that is remarkably flexible and scalable, and which would ultimately enable a \"flat\" business paradigm across the industry. We describe the major components and services of this architecture, present an application to the problem of demand response, and discus several innovative features enabled by the proposed paradigm. © 2011 IEEE.","author":[{"dropping-particle":"","family":"Grijalva","given":"Santiago","non-dropping-particle":"","parse-names":false,"suffix":""},{"dropping-particle":"","family":"Tariq","given":"Muhammad Umer","non-dropping-particle":"","parse-names":false,"suffix":""}],"container-title":"IEEE PES Innovative Smart Grid Technologies Conference","id":"ITEM-3","issued":{"date-parts":[["2011"]]},"title":"Prosumer-based smart grid architecture enables a flat, sustainable electricity industry","type":"article-journal"},"uris":["http://www.mendeley.com/documents/?uuid=2372b48b-0aea-3236-95bb-1c66319d8d0e"]},{"id":"ITEM-4","itemData":{"DOI":"10.1049/CP.2009.0990","ISBN":"9781849191265","abstract":"In this paper we present a strategic approach for energy management of distributed electric resources in low-voltage networks with special consideration of services for the distribution system operator (DSO). A system comprising Bidirectional Energy Management Interfaces (BEMIs) developed and tested at ISET, carrying out decentralized decisions and grid supervision is introduced. The paper presents operational states and possible applications of the proposed system in the distribution grid as well as a simulation designed for researching the system's behaviour. Finally first results are given on the simulation-based development of an algorithm implementing a new approach for incentive-based voltage control, which is one of the system's advanced applications.","author":[{"dropping-particle":"","family":"Ringelstein","given":"Jan","non-dropping-particle":"","parse-names":false,"suffix":""},{"dropping-particle":"","family":"Nestle","given":"David","non-dropping-particle":"","parse-names":false,"suffix":""}],"container-title":"IET Conference Publications","id":"ITEM-4","issue":"550 CP","issued":{"date-parts":[["2009"]]},"title":"APPLICATION OF BIDIRECTIONAL ENERGY MANAGEMENT INTERFACES FOR DISTRIBUTION GRID SERVICES","type":"article-journal"},"uris":["http://www.mendeley.com/documents/?uuid=2836d292-cd01-32c6-9632-581d91fbdddf"]}],"mendeley":{"formattedCitation":"[69–72]","plainTextFormattedCitation":"[69–72]","previouslyFormattedCitation":"[69–72]"},"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[69–72]</w:t>
      </w:r>
      <w:r w:rsidR="00E13228" w:rsidRPr="003676D3">
        <w:rPr>
          <w:rFonts w:ascii="Times New Roman" w:hAnsi="Times New Roman" w:cs="Times New Roman"/>
          <w:sz w:val="24"/>
          <w:szCs w:val="24"/>
        </w:rPr>
        <w:fldChar w:fldCharType="end"/>
      </w:r>
      <w:r w:rsidR="00E13228" w:rsidRPr="003676D3">
        <w:rPr>
          <w:rFonts w:ascii="Times New Roman" w:hAnsi="Times New Roman" w:cs="Times New Roman"/>
          <w:color w:val="FF0000"/>
          <w:sz w:val="24"/>
          <w:szCs w:val="24"/>
        </w:rPr>
        <w:t>.</w:t>
      </w:r>
      <w:r w:rsidR="00E13228" w:rsidRPr="003676D3">
        <w:rPr>
          <w:rFonts w:ascii="Times New Roman" w:hAnsi="Times New Roman" w:cs="Times New Roman"/>
          <w:sz w:val="24"/>
          <w:szCs w:val="24"/>
        </w:rPr>
        <w:t xml:space="preserve"> E</w:t>
      </w:r>
      <w:r w:rsidR="005E4980" w:rsidRPr="003676D3">
        <w:rPr>
          <w:rFonts w:ascii="Times New Roman" w:hAnsi="Times New Roman" w:cs="Times New Roman"/>
          <w:sz w:val="24"/>
          <w:szCs w:val="24"/>
        </w:rPr>
        <w:t xml:space="preserve">lectric vehicles, pumped hydro, hydrogen storage are </w:t>
      </w:r>
      <w:r w:rsidR="005E4980" w:rsidRPr="003676D3">
        <w:rPr>
          <w:rFonts w:ascii="Times New Roman" w:hAnsi="Times New Roman" w:cs="Times New Roman"/>
          <w:sz w:val="24"/>
          <w:szCs w:val="24"/>
        </w:rPr>
        <w:lastRenderedPageBreak/>
        <w:t xml:space="preserve">the modern means of energy storage. </w:t>
      </w:r>
      <w:r w:rsidR="00EE7B24" w:rsidRPr="003676D3">
        <w:rPr>
          <w:rFonts w:ascii="Times New Roman" w:hAnsi="Times New Roman" w:cs="Times New Roman"/>
          <w:sz w:val="24"/>
          <w:szCs w:val="24"/>
        </w:rPr>
        <w:t>Till year 2021, EU has made huge funding contribution in this transformational process and invested 135 million EUR in France, 155 million EUR in Germany, 157.2 million EUR in Spain. This large investment covers the projects related to DG and storage integration, smart network and DSM</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{"citationItems":[{"id":"ITEM-1","itemData":{"DOI":"10.2760/705655","ISBN":"978-92-76-36194-7","ISSN":"1831-9424","abstract":"1st edition. Manuscript completed in July 2021. This edition of the EU Rural Review builds on the outcomes of the ENRD work on the long-term Vision. The publication looks at the future of rural areas in digital, environmental and social terms, as well as in terms of resilience. This edition of the EU Rural Review includes articles by experts from different fields and countries who offer distinctive visions for the future of Europe's rural areas, based on the outcomes of the ENRD TG on the Long Term Rural Vision and Rural Vision Week. The articles in this publication look at the five main aspects of a future rural Vision which were the focus of interactive workshops organised during Rural Vision Week. Just like the workshops, the articles include a 'vision' for rural areas by 2040 and the concrete steps needed to get there.","author":[{"dropping-particle":"","family":"VASILJEVSKA","given":"Julija","non-dropping-particle":"","parse-names":false,"suffix":""},{"dropping-particle":"","family":"GANGALE","given":"Flavia","non-dropping-particle":"","parse-names":false,"suffix":""},{"dropping-particle":"","family":"COVRIG","given":"Laura","non-dropping-particle":"","parse-names":false,"suffix":""},{"dropping-particle":"","family":"MENGOLINI","given":"Anna Maria","non-dropping-particle":"","parse-names":false,"suffix":""}],"id":"ITEM-1","issued":{"date-parts":[["0"]]},"title":"Smart Grids and Beyond – An EU research and innovation perspective","type":"article-journal"},"uris":["http://www.mendeley.com/documents/?uuid=631a0467-a153-323a-8613-ba105c6737fa"]}],"mendeley":{"formattedCitation":"[73]","plainTextFormattedCitation":"[73]","previouslyFormattedCitation":"[73]"},"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[73]</w:t>
      </w:r>
      <w:r w:rsidR="00E13228" w:rsidRPr="003676D3">
        <w:rPr>
          <w:rFonts w:ascii="Times New Roman" w:hAnsi="Times New Roman" w:cs="Times New Roman"/>
          <w:sz w:val="24"/>
          <w:szCs w:val="24"/>
        </w:rPr>
        <w:fldChar w:fldCharType="end"/>
      </w:r>
      <w:r w:rsidR="00EE7B24" w:rsidRPr="003676D3">
        <w:rPr>
          <w:rFonts w:ascii="Times New Roman" w:hAnsi="Times New Roman" w:cs="Times New Roman"/>
          <w:sz w:val="24"/>
          <w:szCs w:val="24"/>
        </w:rPr>
        <w:t>.</w:t>
      </w:r>
      <w:r w:rsidR="00E13228" w:rsidRPr="003676D3">
        <w:rPr>
          <w:rFonts w:ascii="Times New Roman" w:hAnsi="Times New Roman" w:cs="Times New Roman"/>
          <w:sz w:val="24"/>
          <w:szCs w:val="24"/>
        </w:rPr>
        <w:t xml:space="preserve"> </w:t>
      </w:r>
      <w:r w:rsidR="00E13228" w:rsidRPr="003676D3">
        <w:rPr>
          <w:rFonts w:ascii="Times New Roman" w:eastAsia="Times New Roman" w:hAnsi="Times New Roman" w:cs="Times New Roman"/>
          <w:sz w:val="24"/>
          <w:szCs w:val="24"/>
          <w:lang w:eastAsia="en-GB"/>
        </w:rPr>
        <w:fldChar w:fldCharType="begin"/>
      </w:r>
      <w:r w:rsidR="00E13228" w:rsidRPr="003676D3">
        <w:rPr>
          <w:rFonts w:ascii="Times New Roman" w:hAnsi="Times New Roman" w:cs="Times New Roman"/>
          <w:sz w:val="24"/>
          <w:szCs w:val="24"/>
        </w:rPr>
        <w:instrText xml:space="preserve"> REF _Ref168038339 \h </w:instrText>
      </w:r>
      <w:r w:rsidR="00E13228" w:rsidRPr="003676D3">
        <w:rPr>
          <w:rFonts w:ascii="Times New Roman" w:eastAsia="Times New Roman" w:hAnsi="Times New Roman" w:cs="Times New Roman"/>
          <w:sz w:val="24"/>
          <w:szCs w:val="24"/>
          <w:lang w:eastAsia="en-GB"/>
        </w:rPr>
        <w:instrText xml:space="preserve"> \* MERGEFORMAT </w:instrText>
      </w:r>
      <w:r w:rsidR="00E13228" w:rsidRPr="003676D3">
        <w:rPr>
          <w:rFonts w:ascii="Times New Roman" w:eastAsia="Times New Roman" w:hAnsi="Times New Roman" w:cs="Times New Roman"/>
          <w:sz w:val="24"/>
          <w:szCs w:val="24"/>
          <w:lang w:eastAsia="en-GB"/>
        </w:rPr>
      </w:r>
      <w:r w:rsidR="00E13228" w:rsidRPr="003676D3">
        <w:rPr>
          <w:rFonts w:ascii="Times New Roman" w:eastAsia="Times New Roman" w:hAnsi="Times New Roman" w:cs="Times New Roman"/>
          <w:sz w:val="24"/>
          <w:szCs w:val="24"/>
          <w:lang w:eastAsia="en-GB"/>
        </w:rPr>
        <w:fldChar w:fldCharType="separate"/>
      </w:r>
      <w:r w:rsidR="008D1E2C" w:rsidRPr="003676D3">
        <w:rPr>
          <w:rFonts w:ascii="Times New Roman" w:hAnsi="Times New Roman" w:cs="Times New Roman"/>
          <w:b/>
          <w:bCs/>
          <w:sz w:val="24"/>
          <w:szCs w:val="24"/>
        </w:rPr>
        <w:t xml:space="preserve">Table </w:t>
      </w:r>
      <w:r w:rsidR="008D1E2C" w:rsidRPr="003676D3">
        <w:rPr>
          <w:rFonts w:ascii="Times New Roman" w:hAnsi="Times New Roman" w:cs="Times New Roman"/>
          <w:b/>
          <w:bCs/>
          <w:noProof/>
          <w:sz w:val="24"/>
          <w:szCs w:val="24"/>
        </w:rPr>
        <w:t>3</w:t>
      </w:r>
      <w:r w:rsidR="00E13228" w:rsidRPr="003676D3">
        <w:rPr>
          <w:rFonts w:ascii="Times New Roman" w:eastAsia="Times New Roman" w:hAnsi="Times New Roman" w:cs="Times New Roman"/>
          <w:sz w:val="24"/>
          <w:szCs w:val="24"/>
          <w:lang w:eastAsia="en-GB"/>
        </w:rPr>
        <w:fldChar w:fldCharType="end"/>
      </w:r>
      <w:r w:rsidR="00E13228" w:rsidRPr="003676D3">
        <w:rPr>
          <w:rFonts w:ascii="Times New Roman" w:eastAsia="Times New Roman" w:hAnsi="Times New Roman" w:cs="Times New Roman"/>
          <w:sz w:val="24"/>
          <w:szCs w:val="24"/>
          <w:lang w:eastAsia="en-GB"/>
        </w:rPr>
        <w:t xml:space="preserve"> Compares the</w:t>
      </w:r>
      <w:r w:rsidR="00996978" w:rsidRPr="003676D3">
        <w:rPr>
          <w:rFonts w:ascii="Times New Roman" w:eastAsia="Times New Roman" w:hAnsi="Times New Roman" w:cs="Times New Roman"/>
          <w:sz w:val="24"/>
          <w:szCs w:val="24"/>
          <w:lang w:eastAsia="en-GB"/>
        </w:rPr>
        <w:t xml:space="preserve"> indicators of SG</w:t>
      </w:r>
      <w:r w:rsidR="00394175" w:rsidRPr="003676D3">
        <w:rPr>
          <w:rFonts w:ascii="Times New Roman" w:eastAsia="Times New Roman" w:hAnsi="Times New Roman" w:cs="Times New Roman"/>
          <w:sz w:val="24"/>
          <w:szCs w:val="24"/>
          <w:lang w:eastAsia="en-GB"/>
        </w:rPr>
        <w:t xml:space="preserve"> development in the EU countries</w:t>
      </w:r>
      <w:r w:rsidR="00E13228" w:rsidRPr="003676D3">
        <w:rPr>
          <w:rFonts w:ascii="Times New Roman" w:eastAsia="Times New Roman" w:hAnsi="Times New Roman" w:cs="Times New Roman"/>
          <w:sz w:val="24"/>
          <w:szCs w:val="24"/>
          <w:lang w:eastAsia="en-GB"/>
        </w:rPr>
        <w:t xml:space="preserve"> </w:t>
      </w:r>
      <w:r w:rsidR="00E13228" w:rsidRPr="003676D3">
        <w:rPr>
          <w:rFonts w:ascii="Times New Roman" w:eastAsia="Times New Roman" w:hAnsi="Times New Roman" w:cs="Times New Roman"/>
          <w:sz w:val="24"/>
          <w:szCs w:val="24"/>
          <w:lang w:eastAsia="en-GB"/>
        </w:rPr>
        <w:fldChar w:fldCharType="begin" w:fldLock="1"/>
      </w:r>
      <w:r w:rsidR="00E13228" w:rsidRPr="003676D3">
        <w:rPr>
          <w:rFonts w:ascii="Times New Roman" w:eastAsia="Times New Roman" w:hAnsi="Times New Roman" w:cs="Times New Roman"/>
          <w:sz w:val="24"/>
          <w:szCs w:val="24"/>
          <w:lang w:eastAsia="en-GB"/>
        </w:rPr>
        <w:instrText>ADDIN CSL_CITATION {"citationItems":[{"id":"ITEM-1","itemData":{"DOI":"10.1016/J.RSER.2023.113185","ISSN":"1364-0321","abstract":"With its potentially disruptive nature, the smart grid can be viewed from both a transformational and an innovation systems perspective. Synthesising these, a research approach is adopted in which a Technological Innovation System (TIS) analysis is combined with a transformational perspective to identify a broader range of success and failure factors. This study analyses smart grid innovation system development. The main research question is: What systemic and transformational failures are identified in the development of smart grid innovation in the Netherlands from 2001 to 2021 by combining TIS and a transformational perspective? The question is answered by mapping the events to TIS functions and identifying both ‘systemic failures’ and ‘transformational failures’. Transformational failures are linked to events outside the smart grid TIS that work against the alignment and harmonising of activities within the TIS. Results show that the smart grid innovation system experienced three periods and that it suffers from various structural and transformational failures. TIS functions like knowledge diffusion, and the creation of legitimacy were only fulfilled to a limited extent. Consequently, smart grid innovation is currently still not considered a mainstream technology in the energy transition, and there is little attention to the role of end-users. The study ends with suggestions for future research, including the suitability of the research approach for other contexts and when applied to other energy system innovations.","author":[{"dropping-particle":"","family":"Norouzi","given":"F.","non-dropping-particle":"","parse-names":false,"suffix":""},{"dropping-particle":"","family":"Hoppe","given":"T.","non-dropping-particle":"","parse-names":false,"suffix":""},{"dropping-particle":"","family":"Kamp","given":"L. M.","non-dropping-particle":"","parse-names":false,"suffix":""},{"dropping-particle":"","family":"Manktelow","given":"C.","non-dropping-particle":"","parse-names":false,"suffix":""},{"dropping-particle":"","family":"Bauer","given":"P.","non-dropping-particle":"","parse-names":false,"suffix":""}],"container-title":"Renewable and Sustainable Energy Reviews","id":"ITEM-1","issued":{"date-parts":[["2023","4","1"]]},"page":"113185","publisher":"Pergamon","title":"Diagnosis of the implementation of smart grid innovation in The Netherlands and corrective actions","type":"article-journal","volume":"175"},"uris":["http://www.mendeley.com/documents/?uuid=0d98a35e-d61a-3a9f-8d59-5d4bdd138fd0"]},{"id":"ITEM-2","itemData":{"ISBN":"978-92-9260-342-7","abstract":"This data set, updated yearly, tracks renewable power generation capacity over the preceding decade (2011-2020) in comprehensive trilingual tables.","author":[{"dropping-particle":"","family":"International Renewable Energy Agency IRENA","given":"","non-dropping-particle":"","parse-names":false,"suffix":""}],"container-title":"/publications/2021/March/Renewable-Capacity-Statistics-2021","id":"ITEM-2","issued":{"date-parts":[["2021"]]},"title":"Renewable Capacity Statistics 2021","type":"report"},"uris":["http://www.mendeley.com/documents/?uuid=0485e65b-8e62-3c15-8978-cddb8beba939"]}],"mendeley":{"formattedCitation":"[18,74]","plainTextFormattedCitation":"[18,74]","previouslyFormattedCitation":"[18,74]"},"properties":{"noteIndex":0},"schema":"https://github.com/citation-style-language/schema/raw/master/csl-citation.json"}</w:instrText>
      </w:r>
      <w:r w:rsidR="00E13228" w:rsidRPr="003676D3">
        <w:rPr>
          <w:rFonts w:ascii="Times New Roman" w:eastAsia="Times New Roman" w:hAnsi="Times New Roman" w:cs="Times New Roman"/>
          <w:sz w:val="24"/>
          <w:szCs w:val="24"/>
          <w:lang w:eastAsia="en-GB"/>
        </w:rPr>
        <w:fldChar w:fldCharType="separate"/>
      </w:r>
      <w:r w:rsidR="00E13228" w:rsidRPr="003676D3">
        <w:rPr>
          <w:rFonts w:ascii="Times New Roman" w:eastAsia="Times New Roman" w:hAnsi="Times New Roman" w:cs="Times New Roman"/>
          <w:noProof/>
          <w:sz w:val="24"/>
          <w:szCs w:val="24"/>
          <w:lang w:eastAsia="en-GB"/>
        </w:rPr>
        <w:t>[18,74]</w:t>
      </w:r>
      <w:r w:rsidR="00E13228" w:rsidRPr="003676D3">
        <w:rPr>
          <w:rFonts w:ascii="Times New Roman" w:eastAsia="Times New Roman" w:hAnsi="Times New Roman" w:cs="Times New Roman"/>
          <w:sz w:val="24"/>
          <w:szCs w:val="24"/>
          <w:lang w:eastAsia="en-GB"/>
        </w:rPr>
        <w:fldChar w:fldCharType="end"/>
      </w:r>
      <w:r w:rsidR="00E13228" w:rsidRPr="003676D3">
        <w:rPr>
          <w:rFonts w:ascii="Times New Roman" w:eastAsia="Times New Roman" w:hAnsi="Times New Roman" w:cs="Times New Roman"/>
          <w:sz w:val="24"/>
          <w:szCs w:val="24"/>
          <w:lang w:eastAsia="en-GB"/>
        </w:rPr>
        <w:t xml:space="preserve"> </w:t>
      </w:r>
      <w:r w:rsidR="00E13228" w:rsidRPr="003676D3">
        <w:rPr>
          <w:rFonts w:ascii="Times New Roman" w:eastAsia="Times New Roman" w:hAnsi="Times New Roman" w:cs="Times New Roman"/>
          <w:sz w:val="24"/>
          <w:szCs w:val="24"/>
          <w:lang w:eastAsia="en-GB"/>
        </w:rPr>
        <w:fldChar w:fldCharType="begin" w:fldLock="1"/>
      </w:r>
      <w:r w:rsidR="00E13228" w:rsidRPr="003676D3">
        <w:rPr>
          <w:rFonts w:ascii="Times New Roman" w:eastAsia="Times New Roman" w:hAnsi="Times New Roman" w:cs="Times New Roman"/>
          <w:sz w:val="24"/>
          <w:szCs w:val="24"/>
          <w:lang w:eastAsia="en-GB"/>
        </w:rPr>
        <w:instrText>ADDIN CSL_CITATION {"citationItems":[{"id":"ITEM-1","itemData":{"URL":"https://www.iea.org/reports/global-ev-outlook-2021","accessed":{"date-parts":[["2024","5","27"]]},"id":"ITEM-1","issued":{"date-parts":[["0"]]},"title":"Global EV Outlook 2021 – Analysis - IEA","type":"webpage"},"uris":["http://www.mendeley.com/documents/?uuid=c22458d9-b0dd-3a44-b985-b50788321ce8"]},{"id":"ITEM-2","itemData":{"ISBN":"978-92-9260-111-9","author":[{"dropping-particle":"","family":"Renewable Energy Agency","given":"International","non-dropping-particle":"","parse-names":false,"suffix":""}],"id":"ITEM-2","issued":{"date-parts":[["2019"]]},"title":"INNOVATION LANDSCAPE FOR A RENEWABLE-POWERED FUTURE: SOLUTIONS TO INTEGRATE VARIABLE RENEWABLES","type":"article-journal"},"uris":["http://www.mendeley.com/documents/?uuid=d46f86e9-3bbe-3c43-a354-faf09d108975"]},{"id":"ITEM-3","itemData":{"URL":"https://ourworldindata.org/grapher/patents-for-renewables-by-country","accessed":{"date-parts":[["2024","5","27"]]},"id":"ITEM-3","issued":{"date-parts":[["0"]]},"title":"Annual patents filed in sustainable energy, 2021","type":"webpage"},"uris":["http://www.mendeley.com/documents/?uuid=3b4889e5-7d17-3629-9ceb-551a74fa2403"]},{"id":"ITEM-4","itemData":{"DOI":"10.2760/15583","ISBN":"978-92-79-68899-7","ISSN":"1018-5593","author":[{"dropping-particle":"","family":"GANGALE","given":"Flavia","non-dropping-particle":"","parse-names":false,"suffix":""},{"dropping-particle":"","family":"VASILJEVSKA","given":"Julija","non-dropping-particle":"","parse-names":false,"suffix":""},{"dropping-particle":"","family":"COVRIG","given":"Catalin-Felix","non-dropping-particle":"","parse-names":false,"suffix":""},{"dropping-particle":"","family":"MENGOLINI","given":"Anna Maria","non-dropping-particle":"","parse-names":false,"suffix":""},{"dropping-particle":"","family":"FULLI","given":"Gianluca","non-dropping-particle":"","parse-names":false,"suffix":""}],"id":"ITEM-4","issued":{"date-parts":[["0"]]},"title":"Smart grid projects outlook 2017: facts, figures and trends in Europe","type":"article-journal"},"uris":["http://www.mendeley.com/documents/?uuid=80052136-8827-3f68-ab54-d5174523d764"]}],"mendeley":{"formattedCitation":"[75–78]","plainTextFormattedCitation":"[75–78]","previouslyFormattedCitation":"[75–78]"},"properties":{"noteIndex":0},"schema":"https://github.com/citation-style-language/schema/raw/master/csl-citation.json"}</w:instrText>
      </w:r>
      <w:r w:rsidR="00E13228" w:rsidRPr="003676D3">
        <w:rPr>
          <w:rFonts w:ascii="Times New Roman" w:eastAsia="Times New Roman" w:hAnsi="Times New Roman" w:cs="Times New Roman"/>
          <w:sz w:val="24"/>
          <w:szCs w:val="24"/>
          <w:lang w:eastAsia="en-GB"/>
        </w:rPr>
        <w:fldChar w:fldCharType="separate"/>
      </w:r>
      <w:r w:rsidR="00E13228" w:rsidRPr="003676D3">
        <w:rPr>
          <w:rFonts w:ascii="Times New Roman" w:eastAsia="Times New Roman" w:hAnsi="Times New Roman" w:cs="Times New Roman"/>
          <w:noProof/>
          <w:sz w:val="24"/>
          <w:szCs w:val="24"/>
          <w:lang w:eastAsia="en-GB"/>
        </w:rPr>
        <w:t>[75–78]</w:t>
      </w:r>
      <w:r w:rsidR="00E13228" w:rsidRPr="003676D3">
        <w:rPr>
          <w:rFonts w:ascii="Times New Roman" w:eastAsia="Times New Roman" w:hAnsi="Times New Roman" w:cs="Times New Roman"/>
          <w:sz w:val="24"/>
          <w:szCs w:val="24"/>
          <w:lang w:eastAsia="en-GB"/>
        </w:rPr>
        <w:fldChar w:fldCharType="end"/>
      </w:r>
      <w:r w:rsidR="00394175" w:rsidRPr="003676D3">
        <w:rPr>
          <w:rFonts w:ascii="Times New Roman" w:eastAsia="Times New Roman" w:hAnsi="Times New Roman" w:cs="Times New Roman"/>
          <w:sz w:val="24"/>
          <w:szCs w:val="24"/>
          <w:lang w:eastAsia="en-GB"/>
        </w:rPr>
        <w:t>.</w:t>
      </w:r>
    </w:p>
    <w:p w14:paraId="70B0C3C8" w14:textId="677B49B2" w:rsidR="00E13228" w:rsidRPr="003676D3" w:rsidRDefault="00E13228" w:rsidP="004B1918">
      <w:pPr>
        <w:pStyle w:val="Caption"/>
        <w:keepNext/>
        <w:spacing w:line="276" w:lineRule="auto"/>
        <w:jc w:val="center"/>
        <w:rPr>
          <w:rFonts w:ascii="Times New Roman" w:hAnsi="Times New Roman" w:cs="Times New Roman"/>
          <w:b/>
          <w:bCs/>
          <w:i w:val="0"/>
          <w:iCs w:val="0"/>
          <w:color w:val="auto"/>
          <w:sz w:val="20"/>
          <w:szCs w:val="20"/>
        </w:rPr>
      </w:pPr>
      <w:bookmarkStart w:id="6" w:name="_Ref168038339"/>
      <w:r w:rsidRPr="003676D3">
        <w:rPr>
          <w:rFonts w:ascii="Times New Roman" w:hAnsi="Times New Roman" w:cs="Times New Roman"/>
          <w:b/>
          <w:bCs/>
          <w:i w:val="0"/>
          <w:iCs w:val="0"/>
          <w:color w:val="auto"/>
          <w:sz w:val="20"/>
          <w:szCs w:val="20"/>
        </w:rPr>
        <w:t xml:space="preserve">Table </w:t>
      </w:r>
      <w:r w:rsidRPr="003676D3">
        <w:rPr>
          <w:rFonts w:ascii="Times New Roman" w:hAnsi="Times New Roman" w:cs="Times New Roman"/>
          <w:b/>
          <w:bCs/>
          <w:i w:val="0"/>
          <w:iCs w:val="0"/>
          <w:color w:val="auto"/>
          <w:sz w:val="20"/>
          <w:szCs w:val="20"/>
        </w:rPr>
        <w:fldChar w:fldCharType="begin"/>
      </w:r>
      <w:r w:rsidRPr="003676D3">
        <w:rPr>
          <w:rFonts w:ascii="Times New Roman" w:hAnsi="Times New Roman" w:cs="Times New Roman"/>
          <w:b/>
          <w:bCs/>
          <w:i w:val="0"/>
          <w:iCs w:val="0"/>
          <w:color w:val="auto"/>
          <w:sz w:val="20"/>
          <w:szCs w:val="20"/>
        </w:rPr>
        <w:instrText xml:space="preserve"> SEQ Table \* ARABIC </w:instrText>
      </w:r>
      <w:r w:rsidRPr="003676D3">
        <w:rPr>
          <w:rFonts w:ascii="Times New Roman" w:hAnsi="Times New Roman" w:cs="Times New Roman"/>
          <w:b/>
          <w:bCs/>
          <w:i w:val="0"/>
          <w:iCs w:val="0"/>
          <w:color w:val="auto"/>
          <w:sz w:val="20"/>
          <w:szCs w:val="20"/>
        </w:rPr>
        <w:fldChar w:fldCharType="separate"/>
      </w:r>
      <w:r w:rsidR="008D1E2C" w:rsidRPr="003676D3">
        <w:rPr>
          <w:rFonts w:ascii="Times New Roman" w:hAnsi="Times New Roman" w:cs="Times New Roman"/>
          <w:b/>
          <w:bCs/>
          <w:i w:val="0"/>
          <w:iCs w:val="0"/>
          <w:noProof/>
          <w:color w:val="auto"/>
          <w:sz w:val="20"/>
          <w:szCs w:val="20"/>
        </w:rPr>
        <w:t>3</w:t>
      </w:r>
      <w:r w:rsidRPr="003676D3">
        <w:rPr>
          <w:rFonts w:ascii="Times New Roman" w:hAnsi="Times New Roman" w:cs="Times New Roman"/>
          <w:b/>
          <w:bCs/>
          <w:i w:val="0"/>
          <w:iCs w:val="0"/>
          <w:color w:val="auto"/>
          <w:sz w:val="20"/>
          <w:szCs w:val="20"/>
        </w:rPr>
        <w:fldChar w:fldCharType="end"/>
      </w:r>
      <w:bookmarkEnd w:id="6"/>
      <w:r w:rsidRPr="003676D3">
        <w:rPr>
          <w:rFonts w:ascii="Times New Roman" w:hAnsi="Times New Roman" w:cs="Times New Roman"/>
          <w:b/>
          <w:bCs/>
          <w:i w:val="0"/>
          <w:iCs w:val="0"/>
          <w:color w:val="auto"/>
          <w:sz w:val="20"/>
          <w:szCs w:val="20"/>
        </w:rPr>
        <w:t>. Comparing indicators of SG development in EU countries.</w:t>
      </w:r>
    </w:p>
    <w:tbl>
      <w:tblPr>
        <w:tblStyle w:val="GridTable4-Accent1"/>
        <w:tblW w:w="5000" w:type="pct"/>
        <w:tblLook w:val="04A0" w:firstRow="1" w:lastRow="0" w:firstColumn="1" w:lastColumn="0" w:noHBand="0" w:noVBand="1"/>
      </w:tblPr>
      <w:tblGrid>
        <w:gridCol w:w="3134"/>
        <w:gridCol w:w="1497"/>
        <w:gridCol w:w="1212"/>
        <w:gridCol w:w="1049"/>
        <w:gridCol w:w="1049"/>
        <w:gridCol w:w="1075"/>
      </w:tblGrid>
      <w:tr w:rsidR="00CC49AF" w:rsidRPr="003676D3" w14:paraId="3D70C5A1" w14:textId="77777777" w:rsidTr="00CC49A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604F7E69" w14:textId="0BA24062" w:rsidR="00996978" w:rsidRPr="003676D3" w:rsidRDefault="00996978" w:rsidP="003676D3">
            <w:pPr>
              <w:spacing w:line="276" w:lineRule="auto"/>
              <w:jc w:val="both"/>
              <w:rPr>
                <w:rFonts w:ascii="Times New Roman" w:eastAsia="Times New Roman" w:hAnsi="Times New Roman" w:cs="Times New Roman"/>
                <w:color w:val="auto"/>
                <w:sz w:val="20"/>
                <w:szCs w:val="20"/>
                <w:lang w:eastAsia="en-GB"/>
              </w:rPr>
            </w:pPr>
            <w:r w:rsidRPr="003676D3">
              <w:rPr>
                <w:rFonts w:ascii="Times New Roman" w:eastAsia="Times New Roman" w:hAnsi="Times New Roman" w:cs="Times New Roman"/>
                <w:color w:val="auto"/>
                <w:sz w:val="20"/>
                <w:szCs w:val="20"/>
                <w:lang w:eastAsia="en-GB"/>
              </w:rPr>
              <w:t>Parameter</w:t>
            </w:r>
          </w:p>
        </w:tc>
        <w:tc>
          <w:tcPr>
            <w:tcW w:w="830" w:type="pct"/>
            <w:vAlign w:val="center"/>
            <w:hideMark/>
          </w:tcPr>
          <w:p w14:paraId="64B15B28" w14:textId="1EE2B532" w:rsidR="00996978" w:rsidRPr="003676D3" w:rsidRDefault="0099697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GB"/>
              </w:rPr>
            </w:pPr>
            <w:r w:rsidRPr="003676D3">
              <w:rPr>
                <w:rFonts w:ascii="Times New Roman" w:eastAsia="Times New Roman" w:hAnsi="Times New Roman" w:cs="Times New Roman"/>
                <w:color w:val="auto"/>
                <w:sz w:val="20"/>
                <w:szCs w:val="20"/>
                <w:lang w:eastAsia="en-GB"/>
              </w:rPr>
              <w:t>Netherlands</w:t>
            </w:r>
          </w:p>
        </w:tc>
        <w:tc>
          <w:tcPr>
            <w:tcW w:w="672" w:type="pct"/>
            <w:vAlign w:val="center"/>
            <w:hideMark/>
          </w:tcPr>
          <w:p w14:paraId="030305A5" w14:textId="77777777" w:rsidR="00996978" w:rsidRPr="003676D3" w:rsidRDefault="0099697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GB"/>
              </w:rPr>
            </w:pPr>
            <w:r w:rsidRPr="003676D3">
              <w:rPr>
                <w:rFonts w:ascii="Times New Roman" w:eastAsia="Times New Roman" w:hAnsi="Times New Roman" w:cs="Times New Roman"/>
                <w:color w:val="auto"/>
                <w:sz w:val="20"/>
                <w:szCs w:val="20"/>
                <w:lang w:eastAsia="en-GB"/>
              </w:rPr>
              <w:t>Germany</w:t>
            </w:r>
          </w:p>
        </w:tc>
        <w:tc>
          <w:tcPr>
            <w:tcW w:w="582" w:type="pct"/>
            <w:vAlign w:val="center"/>
          </w:tcPr>
          <w:p w14:paraId="02373345" w14:textId="2A6EA9EA" w:rsidR="00996978" w:rsidRPr="003676D3" w:rsidRDefault="0099697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GB"/>
              </w:rPr>
            </w:pPr>
            <w:r w:rsidRPr="003676D3">
              <w:rPr>
                <w:rFonts w:ascii="Times New Roman" w:hAnsi="Times New Roman" w:cs="Times New Roman"/>
                <w:color w:val="auto"/>
                <w:sz w:val="20"/>
                <w:szCs w:val="20"/>
              </w:rPr>
              <w:t>Denmark</w:t>
            </w:r>
          </w:p>
        </w:tc>
        <w:tc>
          <w:tcPr>
            <w:tcW w:w="582" w:type="pct"/>
            <w:vAlign w:val="center"/>
            <w:hideMark/>
          </w:tcPr>
          <w:p w14:paraId="25FC44F0" w14:textId="03D7A08F" w:rsidR="00996978" w:rsidRPr="003676D3" w:rsidRDefault="0099697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GB"/>
              </w:rPr>
            </w:pPr>
            <w:r w:rsidRPr="003676D3">
              <w:rPr>
                <w:rFonts w:ascii="Times New Roman" w:eastAsia="Times New Roman" w:hAnsi="Times New Roman" w:cs="Times New Roman"/>
                <w:color w:val="auto"/>
                <w:sz w:val="20"/>
                <w:szCs w:val="20"/>
                <w:lang w:eastAsia="en-GB"/>
              </w:rPr>
              <w:t>Norway</w:t>
            </w:r>
          </w:p>
        </w:tc>
        <w:tc>
          <w:tcPr>
            <w:tcW w:w="596" w:type="pct"/>
            <w:vAlign w:val="center"/>
            <w:hideMark/>
          </w:tcPr>
          <w:p w14:paraId="59ED754B" w14:textId="77777777" w:rsidR="00996978" w:rsidRPr="003676D3" w:rsidRDefault="00996978"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n-GB"/>
              </w:rPr>
            </w:pPr>
            <w:r w:rsidRPr="003676D3">
              <w:rPr>
                <w:rFonts w:ascii="Times New Roman" w:eastAsia="Times New Roman" w:hAnsi="Times New Roman" w:cs="Times New Roman"/>
                <w:color w:val="auto"/>
                <w:sz w:val="20"/>
                <w:szCs w:val="20"/>
                <w:lang w:eastAsia="en-GB"/>
              </w:rPr>
              <w:t>France</w:t>
            </w:r>
          </w:p>
        </w:tc>
      </w:tr>
      <w:tr w:rsidR="00CC49AF" w:rsidRPr="003676D3" w14:paraId="7A0D5922"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2A5A7E97" w14:textId="04BA8BFC"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Population (millions)</w:t>
            </w:r>
          </w:p>
        </w:tc>
        <w:tc>
          <w:tcPr>
            <w:tcW w:w="830" w:type="pct"/>
            <w:vAlign w:val="center"/>
            <w:hideMark/>
          </w:tcPr>
          <w:p w14:paraId="6CB73D2C"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17.53</w:t>
            </w:r>
          </w:p>
        </w:tc>
        <w:tc>
          <w:tcPr>
            <w:tcW w:w="672" w:type="pct"/>
            <w:vAlign w:val="center"/>
            <w:hideMark/>
          </w:tcPr>
          <w:p w14:paraId="4CB2A46A"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83.13</w:t>
            </w:r>
          </w:p>
        </w:tc>
        <w:tc>
          <w:tcPr>
            <w:tcW w:w="582" w:type="pct"/>
            <w:vAlign w:val="center"/>
          </w:tcPr>
          <w:p w14:paraId="65DB371F" w14:textId="72794474"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5.85</w:t>
            </w:r>
            <w:r w:rsidRPr="003676D3">
              <w:rPr>
                <w:rFonts w:ascii="Times New Roman" w:hAnsi="Times New Roman" w:cs="Times New Roman"/>
                <w:sz w:val="20"/>
                <w:szCs w:val="20"/>
                <w:cs/>
              </w:rPr>
              <w:t>‎</w:t>
            </w:r>
          </w:p>
        </w:tc>
        <w:tc>
          <w:tcPr>
            <w:tcW w:w="582" w:type="pct"/>
            <w:vAlign w:val="center"/>
            <w:hideMark/>
          </w:tcPr>
          <w:p w14:paraId="7C5A51D8" w14:textId="1AB67CB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5.40</w:t>
            </w:r>
          </w:p>
        </w:tc>
        <w:tc>
          <w:tcPr>
            <w:tcW w:w="596" w:type="pct"/>
            <w:vAlign w:val="center"/>
            <w:hideMark/>
          </w:tcPr>
          <w:p w14:paraId="3002B56B"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67.5</w:t>
            </w:r>
          </w:p>
        </w:tc>
      </w:tr>
      <w:tr w:rsidR="00CC49AF" w:rsidRPr="003676D3" w14:paraId="71B814A4"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6D215DAB" w14:textId="77B28584"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Total investment in SG projects (EUR/capita)</w:t>
            </w:r>
          </w:p>
        </w:tc>
        <w:tc>
          <w:tcPr>
            <w:tcW w:w="830" w:type="pct"/>
            <w:vAlign w:val="center"/>
            <w:hideMark/>
          </w:tcPr>
          <w:p w14:paraId="34134DC0"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10</w:t>
            </w:r>
          </w:p>
        </w:tc>
        <w:tc>
          <w:tcPr>
            <w:tcW w:w="672" w:type="pct"/>
            <w:vAlign w:val="center"/>
            <w:hideMark/>
          </w:tcPr>
          <w:p w14:paraId="639A967D"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4.5</w:t>
            </w:r>
          </w:p>
        </w:tc>
        <w:tc>
          <w:tcPr>
            <w:tcW w:w="582" w:type="pct"/>
            <w:vAlign w:val="center"/>
          </w:tcPr>
          <w:p w14:paraId="65970B3E" w14:textId="31441D2A"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16</w:t>
            </w:r>
            <w:r w:rsidRPr="003676D3">
              <w:rPr>
                <w:rFonts w:ascii="Times New Roman" w:hAnsi="Times New Roman" w:cs="Times New Roman"/>
                <w:sz w:val="20"/>
                <w:szCs w:val="20"/>
                <w:cs/>
              </w:rPr>
              <w:t>‎</w:t>
            </w:r>
          </w:p>
        </w:tc>
        <w:tc>
          <w:tcPr>
            <w:tcW w:w="582" w:type="pct"/>
            <w:vAlign w:val="center"/>
            <w:hideMark/>
          </w:tcPr>
          <w:p w14:paraId="3C8C2E26" w14:textId="25DE8B69"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w:t>
            </w:r>
          </w:p>
        </w:tc>
        <w:tc>
          <w:tcPr>
            <w:tcW w:w="596" w:type="pct"/>
            <w:vAlign w:val="center"/>
            <w:hideMark/>
          </w:tcPr>
          <w:p w14:paraId="68D3417E"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4</w:t>
            </w:r>
          </w:p>
        </w:tc>
      </w:tr>
      <w:tr w:rsidR="00CC49AF" w:rsidRPr="003676D3" w14:paraId="4E71B0FF"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tcPr>
          <w:p w14:paraId="3DFCCB6B" w14:textId="77777777"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Primary energy consumption (exajoules)</w:t>
            </w:r>
          </w:p>
        </w:tc>
        <w:tc>
          <w:tcPr>
            <w:tcW w:w="830" w:type="pct"/>
            <w:vAlign w:val="center"/>
          </w:tcPr>
          <w:p w14:paraId="26149AD2"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3.54</w:t>
            </w:r>
          </w:p>
        </w:tc>
        <w:tc>
          <w:tcPr>
            <w:tcW w:w="672" w:type="pct"/>
            <w:vAlign w:val="center"/>
          </w:tcPr>
          <w:p w14:paraId="7F8420AF"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12.3</w:t>
            </w:r>
          </w:p>
        </w:tc>
        <w:tc>
          <w:tcPr>
            <w:tcW w:w="582" w:type="pct"/>
            <w:vAlign w:val="center"/>
          </w:tcPr>
          <w:p w14:paraId="38344CF3" w14:textId="1D1F9406"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0.68</w:t>
            </w:r>
            <w:r w:rsidRPr="003676D3">
              <w:rPr>
                <w:rFonts w:ascii="Times New Roman" w:hAnsi="Times New Roman" w:cs="Times New Roman"/>
                <w:sz w:val="20"/>
                <w:szCs w:val="20"/>
                <w:cs/>
              </w:rPr>
              <w:t>‎</w:t>
            </w:r>
          </w:p>
        </w:tc>
        <w:tc>
          <w:tcPr>
            <w:tcW w:w="582" w:type="pct"/>
            <w:vAlign w:val="center"/>
          </w:tcPr>
          <w:p w14:paraId="0AE6D4D6" w14:textId="6E972A0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1.9</w:t>
            </w:r>
          </w:p>
        </w:tc>
        <w:tc>
          <w:tcPr>
            <w:tcW w:w="596" w:type="pct"/>
            <w:vAlign w:val="center"/>
          </w:tcPr>
          <w:p w14:paraId="547FC193"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8.39</w:t>
            </w:r>
          </w:p>
        </w:tc>
      </w:tr>
      <w:tr w:rsidR="00CC49AF" w:rsidRPr="003676D3" w14:paraId="147233E6"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7A9FF502" w14:textId="0398F32E"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Total electricity generation (GWh)</w:t>
            </w:r>
          </w:p>
        </w:tc>
        <w:tc>
          <w:tcPr>
            <w:tcW w:w="830" w:type="pct"/>
            <w:vAlign w:val="center"/>
            <w:hideMark/>
          </w:tcPr>
          <w:p w14:paraId="65874DC7"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117,440</w:t>
            </w:r>
          </w:p>
        </w:tc>
        <w:tc>
          <w:tcPr>
            <w:tcW w:w="672" w:type="pct"/>
            <w:vAlign w:val="center"/>
            <w:hideMark/>
          </w:tcPr>
          <w:p w14:paraId="12BFB578"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250,385</w:t>
            </w:r>
          </w:p>
        </w:tc>
        <w:tc>
          <w:tcPr>
            <w:tcW w:w="582" w:type="pct"/>
            <w:vAlign w:val="center"/>
          </w:tcPr>
          <w:p w14:paraId="39F35656" w14:textId="5F7E73C2"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32,793</w:t>
            </w:r>
            <w:r w:rsidRPr="003676D3">
              <w:rPr>
                <w:rFonts w:ascii="Times New Roman" w:hAnsi="Times New Roman" w:cs="Times New Roman"/>
                <w:sz w:val="20"/>
                <w:szCs w:val="20"/>
                <w:cs/>
              </w:rPr>
              <w:t>‎</w:t>
            </w:r>
          </w:p>
        </w:tc>
        <w:tc>
          <w:tcPr>
            <w:tcW w:w="582" w:type="pct"/>
            <w:vAlign w:val="center"/>
            <w:hideMark/>
          </w:tcPr>
          <w:p w14:paraId="5FA17ED4" w14:textId="4978CA3D"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39,412</w:t>
            </w:r>
          </w:p>
        </w:tc>
        <w:tc>
          <w:tcPr>
            <w:tcW w:w="596" w:type="pct"/>
            <w:vAlign w:val="center"/>
            <w:hideMark/>
          </w:tcPr>
          <w:p w14:paraId="518B7ABC"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530,418</w:t>
            </w:r>
          </w:p>
        </w:tc>
      </w:tr>
      <w:tr w:rsidR="00CC49AF" w:rsidRPr="003676D3" w14:paraId="61839695"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7C3DC728" w14:textId="094FF268"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bookmarkStart w:id="7" w:name="bb51" w:colFirst="0" w:colLast="0"/>
            <w:r w:rsidRPr="003676D3">
              <w:rPr>
                <w:rFonts w:ascii="Times New Roman" w:eastAsia="Times New Roman" w:hAnsi="Times New Roman" w:cs="Times New Roman"/>
                <w:b w:val="0"/>
                <w:bCs w:val="0"/>
                <w:sz w:val="20"/>
                <w:szCs w:val="20"/>
                <w:lang w:eastAsia="en-GB"/>
              </w:rPr>
              <w:t>RE generation (%)</w:t>
            </w:r>
          </w:p>
        </w:tc>
        <w:tc>
          <w:tcPr>
            <w:tcW w:w="830" w:type="pct"/>
            <w:vAlign w:val="center"/>
            <w:hideMark/>
          </w:tcPr>
          <w:p w14:paraId="690E4A1B"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34.8</w:t>
            </w:r>
          </w:p>
        </w:tc>
        <w:tc>
          <w:tcPr>
            <w:tcW w:w="672" w:type="pct"/>
            <w:vAlign w:val="center"/>
            <w:hideMark/>
          </w:tcPr>
          <w:p w14:paraId="643DE252"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41.80</w:t>
            </w:r>
          </w:p>
        </w:tc>
        <w:tc>
          <w:tcPr>
            <w:tcW w:w="582" w:type="pct"/>
            <w:vAlign w:val="center"/>
          </w:tcPr>
          <w:p w14:paraId="124F90FB" w14:textId="112BC18E"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78.14</w:t>
            </w:r>
            <w:r w:rsidRPr="003676D3">
              <w:rPr>
                <w:rFonts w:ascii="Times New Roman" w:hAnsi="Times New Roman" w:cs="Times New Roman"/>
                <w:sz w:val="20"/>
                <w:szCs w:val="20"/>
                <w:cs/>
              </w:rPr>
              <w:t>‎</w:t>
            </w:r>
          </w:p>
        </w:tc>
        <w:tc>
          <w:tcPr>
            <w:tcW w:w="582" w:type="pct"/>
            <w:vAlign w:val="center"/>
            <w:hideMark/>
          </w:tcPr>
          <w:p w14:paraId="35204EF0" w14:textId="4743E25B"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98.80</w:t>
            </w:r>
          </w:p>
        </w:tc>
        <w:tc>
          <w:tcPr>
            <w:tcW w:w="596" w:type="pct"/>
            <w:vAlign w:val="center"/>
            <w:hideMark/>
          </w:tcPr>
          <w:p w14:paraId="33811D49"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23.25</w:t>
            </w:r>
          </w:p>
        </w:tc>
      </w:tr>
      <w:tr w:rsidR="00CC49AF" w:rsidRPr="003676D3" w14:paraId="4A5E80FC"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tcPr>
          <w:p w14:paraId="1034BC75" w14:textId="29816BE0"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Electricity demand (MWh per capita)</w:t>
            </w:r>
          </w:p>
        </w:tc>
        <w:tc>
          <w:tcPr>
            <w:tcW w:w="830" w:type="pct"/>
            <w:vAlign w:val="center"/>
          </w:tcPr>
          <w:p w14:paraId="522E7E50"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6.62</w:t>
            </w:r>
          </w:p>
        </w:tc>
        <w:tc>
          <w:tcPr>
            <w:tcW w:w="672" w:type="pct"/>
            <w:vAlign w:val="center"/>
          </w:tcPr>
          <w:p w14:paraId="5CB0AA89"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6.16</w:t>
            </w:r>
          </w:p>
        </w:tc>
        <w:tc>
          <w:tcPr>
            <w:tcW w:w="582" w:type="pct"/>
            <w:vAlign w:val="center"/>
          </w:tcPr>
          <w:p w14:paraId="0499281A" w14:textId="56AD2386"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6.23</w:t>
            </w:r>
            <w:r w:rsidRPr="003676D3">
              <w:rPr>
                <w:rFonts w:ascii="Times New Roman" w:hAnsi="Times New Roman" w:cs="Times New Roman"/>
                <w:sz w:val="20"/>
                <w:szCs w:val="20"/>
                <w:cs/>
              </w:rPr>
              <w:t>‎</w:t>
            </w:r>
          </w:p>
        </w:tc>
        <w:tc>
          <w:tcPr>
            <w:tcW w:w="582" w:type="pct"/>
            <w:vAlign w:val="center"/>
          </w:tcPr>
          <w:p w14:paraId="008B440F" w14:textId="1179B172"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25.17</w:t>
            </w:r>
          </w:p>
        </w:tc>
        <w:tc>
          <w:tcPr>
            <w:tcW w:w="596" w:type="pct"/>
            <w:vAlign w:val="center"/>
          </w:tcPr>
          <w:p w14:paraId="79BE9158"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7.19</w:t>
            </w:r>
          </w:p>
        </w:tc>
      </w:tr>
      <w:tr w:rsidR="00CC49AF" w:rsidRPr="003676D3" w14:paraId="46698BA3"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268717EB" w14:textId="75CD218E"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PV penetration rate (%)</w:t>
            </w:r>
          </w:p>
        </w:tc>
        <w:tc>
          <w:tcPr>
            <w:tcW w:w="830" w:type="pct"/>
            <w:vAlign w:val="center"/>
            <w:hideMark/>
          </w:tcPr>
          <w:p w14:paraId="27AD5A14"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11.8</w:t>
            </w:r>
          </w:p>
        </w:tc>
        <w:tc>
          <w:tcPr>
            <w:tcW w:w="672" w:type="pct"/>
            <w:vAlign w:val="center"/>
            <w:hideMark/>
          </w:tcPr>
          <w:p w14:paraId="40658496"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10.9</w:t>
            </w:r>
          </w:p>
        </w:tc>
        <w:tc>
          <w:tcPr>
            <w:tcW w:w="582" w:type="pct"/>
            <w:vAlign w:val="center"/>
          </w:tcPr>
          <w:p w14:paraId="6D229451" w14:textId="4B38BBB2"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5.0</w:t>
            </w:r>
            <w:r w:rsidRPr="003676D3">
              <w:rPr>
                <w:rFonts w:ascii="Times New Roman" w:hAnsi="Times New Roman" w:cs="Times New Roman"/>
                <w:sz w:val="20"/>
                <w:szCs w:val="20"/>
                <w:cs/>
              </w:rPr>
              <w:t>‎</w:t>
            </w:r>
          </w:p>
        </w:tc>
        <w:tc>
          <w:tcPr>
            <w:tcW w:w="582" w:type="pct"/>
            <w:vAlign w:val="center"/>
            <w:hideMark/>
          </w:tcPr>
          <w:p w14:paraId="119C47BC" w14:textId="02A41E14"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0.1</w:t>
            </w:r>
          </w:p>
        </w:tc>
        <w:tc>
          <w:tcPr>
            <w:tcW w:w="596" w:type="pct"/>
            <w:vAlign w:val="center"/>
            <w:hideMark/>
          </w:tcPr>
          <w:p w14:paraId="3378B796"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3.6</w:t>
            </w:r>
          </w:p>
        </w:tc>
      </w:tr>
      <w:tr w:rsidR="00CC49AF" w:rsidRPr="003676D3" w14:paraId="6D8F2CDA"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5A1ED424" w14:textId="64B44C74"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Wind power capacity (%)</w:t>
            </w:r>
          </w:p>
        </w:tc>
        <w:tc>
          <w:tcPr>
            <w:tcW w:w="830" w:type="pct"/>
            <w:vAlign w:val="center"/>
            <w:hideMark/>
          </w:tcPr>
          <w:p w14:paraId="6BBD4071"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14.7</w:t>
            </w:r>
          </w:p>
        </w:tc>
        <w:tc>
          <w:tcPr>
            <w:tcW w:w="672" w:type="pct"/>
            <w:vAlign w:val="center"/>
            <w:hideMark/>
          </w:tcPr>
          <w:p w14:paraId="565E274F"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25</w:t>
            </w:r>
          </w:p>
        </w:tc>
        <w:tc>
          <w:tcPr>
            <w:tcW w:w="582" w:type="pct"/>
            <w:vAlign w:val="center"/>
          </w:tcPr>
          <w:p w14:paraId="524A6F82" w14:textId="5A858AB5"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39.1</w:t>
            </w:r>
            <w:r w:rsidRPr="003676D3">
              <w:rPr>
                <w:rFonts w:ascii="Times New Roman" w:hAnsi="Times New Roman" w:cs="Times New Roman"/>
                <w:sz w:val="20"/>
                <w:szCs w:val="20"/>
                <w:cs/>
              </w:rPr>
              <w:t>‎</w:t>
            </w:r>
          </w:p>
        </w:tc>
        <w:tc>
          <w:tcPr>
            <w:tcW w:w="582" w:type="pct"/>
            <w:vAlign w:val="center"/>
            <w:hideMark/>
          </w:tcPr>
          <w:p w14:paraId="7516F011" w14:textId="62A0EA53"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7.49</w:t>
            </w:r>
          </w:p>
        </w:tc>
        <w:tc>
          <w:tcPr>
            <w:tcW w:w="596" w:type="pct"/>
            <w:vAlign w:val="center"/>
            <w:hideMark/>
          </w:tcPr>
          <w:p w14:paraId="0C04AB5F"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6.76</w:t>
            </w:r>
          </w:p>
        </w:tc>
      </w:tr>
      <w:tr w:rsidR="00CC49AF" w:rsidRPr="003676D3" w14:paraId="40F94511"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28B89378" w14:textId="5E03B3CE"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Offshore power capacity (%)</w:t>
            </w:r>
          </w:p>
        </w:tc>
        <w:tc>
          <w:tcPr>
            <w:tcW w:w="830" w:type="pct"/>
            <w:vAlign w:val="center"/>
            <w:hideMark/>
          </w:tcPr>
          <w:p w14:paraId="4BFE2834"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5</w:t>
            </w:r>
          </w:p>
        </w:tc>
        <w:tc>
          <w:tcPr>
            <w:tcW w:w="672" w:type="pct"/>
            <w:vAlign w:val="center"/>
            <w:hideMark/>
          </w:tcPr>
          <w:p w14:paraId="705922E9"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w:t>
            </w:r>
          </w:p>
        </w:tc>
        <w:tc>
          <w:tcPr>
            <w:tcW w:w="582" w:type="pct"/>
            <w:vAlign w:val="center"/>
          </w:tcPr>
          <w:p w14:paraId="2326CD7B" w14:textId="502722EF"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12</w:t>
            </w:r>
            <w:r w:rsidRPr="003676D3">
              <w:rPr>
                <w:rFonts w:ascii="Times New Roman" w:hAnsi="Times New Roman" w:cs="Times New Roman"/>
                <w:sz w:val="20"/>
                <w:szCs w:val="20"/>
                <w:cs/>
              </w:rPr>
              <w:t>‎</w:t>
            </w:r>
          </w:p>
        </w:tc>
        <w:tc>
          <w:tcPr>
            <w:tcW w:w="582" w:type="pct"/>
            <w:vAlign w:val="center"/>
            <w:hideMark/>
          </w:tcPr>
          <w:p w14:paraId="269D448D" w14:textId="0CA4A3A6"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0.01</w:t>
            </w:r>
          </w:p>
        </w:tc>
        <w:tc>
          <w:tcPr>
            <w:tcW w:w="596" w:type="pct"/>
            <w:vAlign w:val="center"/>
            <w:hideMark/>
          </w:tcPr>
          <w:p w14:paraId="7A5B8B18" w14:textId="2310A46F"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0.01</w:t>
            </w:r>
          </w:p>
        </w:tc>
      </w:tr>
      <w:bookmarkEnd w:id="7"/>
      <w:tr w:rsidR="00CC49AF" w:rsidRPr="003676D3" w14:paraId="18844524"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35DB8554" w14:textId="1DB5DAC5"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Number of EVs per 1,000 population</w:t>
            </w:r>
            <w:bookmarkStart w:id="8" w:name="bb49" w:colFirst="0" w:colLast="0"/>
          </w:p>
        </w:tc>
        <w:tc>
          <w:tcPr>
            <w:tcW w:w="830" w:type="pct"/>
            <w:vAlign w:val="center"/>
            <w:hideMark/>
          </w:tcPr>
          <w:p w14:paraId="4196AD6D"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21.7</w:t>
            </w:r>
          </w:p>
        </w:tc>
        <w:tc>
          <w:tcPr>
            <w:tcW w:w="672" w:type="pct"/>
            <w:vAlign w:val="center"/>
            <w:hideMark/>
          </w:tcPr>
          <w:p w14:paraId="4C87F421"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15.7</w:t>
            </w:r>
          </w:p>
        </w:tc>
        <w:tc>
          <w:tcPr>
            <w:tcW w:w="582" w:type="pct"/>
            <w:vAlign w:val="center"/>
          </w:tcPr>
          <w:p w14:paraId="481E4FF8" w14:textId="08741B38"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24.7</w:t>
            </w:r>
            <w:r w:rsidRPr="003676D3">
              <w:rPr>
                <w:rFonts w:ascii="Times New Roman" w:hAnsi="Times New Roman" w:cs="Times New Roman"/>
                <w:sz w:val="20"/>
                <w:szCs w:val="20"/>
                <w:cs/>
              </w:rPr>
              <w:t>‎</w:t>
            </w:r>
          </w:p>
        </w:tc>
        <w:tc>
          <w:tcPr>
            <w:tcW w:w="582" w:type="pct"/>
            <w:vAlign w:val="center"/>
            <w:hideMark/>
          </w:tcPr>
          <w:p w14:paraId="16AD8569" w14:textId="22A5A7AD"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117.3</w:t>
            </w:r>
          </w:p>
        </w:tc>
        <w:tc>
          <w:tcPr>
            <w:tcW w:w="596" w:type="pct"/>
            <w:vAlign w:val="center"/>
            <w:hideMark/>
          </w:tcPr>
          <w:p w14:paraId="19E3C472"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11.6</w:t>
            </w:r>
          </w:p>
        </w:tc>
      </w:tr>
      <w:tr w:rsidR="00CC49AF" w:rsidRPr="003676D3" w14:paraId="15018312"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255D310C" w14:textId="4CA8193B"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 xml:space="preserve">Total charging station </w:t>
            </w:r>
            <w:r w:rsidR="00B76FB3" w:rsidRPr="003676D3">
              <w:rPr>
                <w:rFonts w:ascii="Times New Roman" w:eastAsia="Times New Roman" w:hAnsi="Times New Roman" w:cs="Times New Roman"/>
                <w:b w:val="0"/>
                <w:bCs w:val="0"/>
                <w:sz w:val="20"/>
                <w:szCs w:val="20"/>
                <w:lang w:eastAsia="en-GB"/>
              </w:rPr>
              <w:t>(</w:t>
            </w:r>
            <w:r w:rsidRPr="003676D3">
              <w:rPr>
                <w:rFonts w:ascii="Times New Roman" w:eastAsia="Times New Roman" w:hAnsi="Times New Roman" w:cs="Times New Roman"/>
                <w:b w:val="0"/>
                <w:bCs w:val="0"/>
                <w:sz w:val="20"/>
                <w:szCs w:val="20"/>
                <w:lang w:eastAsia="en-GB"/>
              </w:rPr>
              <w:t>per 1000 EV</w:t>
            </w:r>
            <w:r w:rsidR="00B76FB3" w:rsidRPr="003676D3">
              <w:rPr>
                <w:rFonts w:ascii="Times New Roman" w:eastAsia="Times New Roman" w:hAnsi="Times New Roman" w:cs="Times New Roman"/>
                <w:b w:val="0"/>
                <w:bCs w:val="0"/>
                <w:sz w:val="20"/>
                <w:szCs w:val="20"/>
                <w:lang w:eastAsia="en-GB"/>
              </w:rPr>
              <w:t>)</w:t>
            </w:r>
          </w:p>
        </w:tc>
        <w:tc>
          <w:tcPr>
            <w:tcW w:w="830" w:type="pct"/>
            <w:vAlign w:val="center"/>
            <w:hideMark/>
          </w:tcPr>
          <w:p w14:paraId="032F7154"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200</w:t>
            </w:r>
          </w:p>
        </w:tc>
        <w:tc>
          <w:tcPr>
            <w:tcW w:w="672" w:type="pct"/>
            <w:vAlign w:val="center"/>
            <w:hideMark/>
          </w:tcPr>
          <w:p w14:paraId="4E1B606F"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38</w:t>
            </w:r>
          </w:p>
        </w:tc>
        <w:tc>
          <w:tcPr>
            <w:tcW w:w="582" w:type="pct"/>
            <w:vAlign w:val="center"/>
          </w:tcPr>
          <w:p w14:paraId="5A349D43" w14:textId="6944F880"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20</w:t>
            </w:r>
            <w:r w:rsidRPr="003676D3">
              <w:rPr>
                <w:rFonts w:ascii="Times New Roman" w:hAnsi="Times New Roman" w:cs="Times New Roman"/>
                <w:sz w:val="20"/>
                <w:szCs w:val="20"/>
                <w:cs/>
              </w:rPr>
              <w:t>‎</w:t>
            </w:r>
          </w:p>
        </w:tc>
        <w:tc>
          <w:tcPr>
            <w:tcW w:w="582" w:type="pct"/>
            <w:vAlign w:val="center"/>
            <w:hideMark/>
          </w:tcPr>
          <w:p w14:paraId="0B4F4FA8" w14:textId="4DEEB8CE"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30</w:t>
            </w:r>
          </w:p>
        </w:tc>
        <w:tc>
          <w:tcPr>
            <w:tcW w:w="596" w:type="pct"/>
            <w:vAlign w:val="center"/>
            <w:hideMark/>
          </w:tcPr>
          <w:p w14:paraId="7CAF9587"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68</w:t>
            </w:r>
          </w:p>
        </w:tc>
      </w:tr>
      <w:bookmarkEnd w:id="8"/>
      <w:tr w:rsidR="00CC49AF" w:rsidRPr="003676D3" w14:paraId="47D78911"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760E028E" w14:textId="2565B1D4" w:rsidR="00996978" w:rsidRPr="003676D3" w:rsidRDefault="00B76FB3"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Operational battery</w:t>
            </w:r>
            <w:r w:rsidR="00996978" w:rsidRPr="003676D3">
              <w:rPr>
                <w:rFonts w:ascii="Times New Roman" w:eastAsia="Times New Roman" w:hAnsi="Times New Roman" w:cs="Times New Roman"/>
                <w:b w:val="0"/>
                <w:bCs w:val="0"/>
                <w:sz w:val="20"/>
                <w:szCs w:val="20"/>
                <w:lang w:eastAsia="en-GB"/>
              </w:rPr>
              <w:t xml:space="preserve"> storage (MW)</w:t>
            </w:r>
            <w:bookmarkStart w:id="9" w:name="bb153" w:colFirst="0" w:colLast="0"/>
          </w:p>
        </w:tc>
        <w:tc>
          <w:tcPr>
            <w:tcW w:w="830" w:type="pct"/>
            <w:vAlign w:val="center"/>
            <w:hideMark/>
          </w:tcPr>
          <w:p w14:paraId="12850A8F"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37</w:t>
            </w:r>
          </w:p>
        </w:tc>
        <w:tc>
          <w:tcPr>
            <w:tcW w:w="672" w:type="pct"/>
            <w:vAlign w:val="center"/>
            <w:hideMark/>
          </w:tcPr>
          <w:p w14:paraId="14F2C4ED"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570</w:t>
            </w:r>
          </w:p>
        </w:tc>
        <w:tc>
          <w:tcPr>
            <w:tcW w:w="582" w:type="pct"/>
            <w:vAlign w:val="center"/>
          </w:tcPr>
          <w:p w14:paraId="28325B57" w14:textId="15FE3971"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2</w:t>
            </w:r>
            <w:r w:rsidRPr="003676D3">
              <w:rPr>
                <w:rFonts w:ascii="Times New Roman" w:hAnsi="Times New Roman" w:cs="Times New Roman"/>
                <w:sz w:val="20"/>
                <w:szCs w:val="20"/>
                <w:cs/>
              </w:rPr>
              <w:t>‎</w:t>
            </w:r>
          </w:p>
        </w:tc>
        <w:tc>
          <w:tcPr>
            <w:tcW w:w="582" w:type="pct"/>
            <w:vAlign w:val="center"/>
            <w:hideMark/>
          </w:tcPr>
          <w:p w14:paraId="40797BAF" w14:textId="2F81F8CB"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w:t>
            </w:r>
          </w:p>
        </w:tc>
        <w:tc>
          <w:tcPr>
            <w:tcW w:w="596" w:type="pct"/>
            <w:vAlign w:val="center"/>
            <w:hideMark/>
          </w:tcPr>
          <w:p w14:paraId="0F8ABC46"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19</w:t>
            </w:r>
          </w:p>
        </w:tc>
      </w:tr>
      <w:tr w:rsidR="00CC49AF" w:rsidRPr="003676D3" w14:paraId="6FFA7330"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32B2270B" w14:textId="21B448E9"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Effective electrochemical storage by population (W/capita)</w:t>
            </w:r>
          </w:p>
        </w:tc>
        <w:tc>
          <w:tcPr>
            <w:tcW w:w="830" w:type="pct"/>
            <w:vAlign w:val="center"/>
            <w:hideMark/>
          </w:tcPr>
          <w:p w14:paraId="7790B0FA"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2.11</w:t>
            </w:r>
          </w:p>
        </w:tc>
        <w:tc>
          <w:tcPr>
            <w:tcW w:w="672" w:type="pct"/>
            <w:vAlign w:val="center"/>
            <w:hideMark/>
          </w:tcPr>
          <w:p w14:paraId="04E25AD0"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9.02</w:t>
            </w:r>
          </w:p>
        </w:tc>
        <w:tc>
          <w:tcPr>
            <w:tcW w:w="582" w:type="pct"/>
            <w:vAlign w:val="center"/>
          </w:tcPr>
          <w:p w14:paraId="69215CED" w14:textId="54EE6FF4"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0.341</w:t>
            </w:r>
            <w:r w:rsidRPr="003676D3">
              <w:rPr>
                <w:rFonts w:ascii="Times New Roman" w:hAnsi="Times New Roman" w:cs="Times New Roman"/>
                <w:sz w:val="20"/>
                <w:szCs w:val="20"/>
                <w:cs/>
              </w:rPr>
              <w:t>‎</w:t>
            </w:r>
          </w:p>
        </w:tc>
        <w:tc>
          <w:tcPr>
            <w:tcW w:w="582" w:type="pct"/>
            <w:vAlign w:val="center"/>
            <w:hideMark/>
          </w:tcPr>
          <w:p w14:paraId="7AC297EE" w14:textId="2EE6D90C"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1.19</w:t>
            </w:r>
          </w:p>
        </w:tc>
        <w:tc>
          <w:tcPr>
            <w:tcW w:w="596" w:type="pct"/>
            <w:vAlign w:val="center"/>
            <w:hideMark/>
          </w:tcPr>
          <w:p w14:paraId="164B7269"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0.28</w:t>
            </w:r>
          </w:p>
        </w:tc>
      </w:tr>
      <w:bookmarkEnd w:id="9"/>
      <w:tr w:rsidR="00CC49AF" w:rsidRPr="003676D3" w14:paraId="40422860"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7621F796" w14:textId="46D60C6B"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Smart metering rolling out (%)</w:t>
            </w:r>
          </w:p>
        </w:tc>
        <w:tc>
          <w:tcPr>
            <w:tcW w:w="830" w:type="pct"/>
            <w:vAlign w:val="center"/>
            <w:hideMark/>
          </w:tcPr>
          <w:p w14:paraId="10243F24"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85.2</w:t>
            </w:r>
          </w:p>
        </w:tc>
        <w:tc>
          <w:tcPr>
            <w:tcW w:w="672" w:type="pct"/>
            <w:vAlign w:val="center"/>
            <w:hideMark/>
          </w:tcPr>
          <w:p w14:paraId="5996EF1D" w14:textId="16A8F4BE"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15</w:t>
            </w:r>
          </w:p>
        </w:tc>
        <w:tc>
          <w:tcPr>
            <w:tcW w:w="582" w:type="pct"/>
            <w:vAlign w:val="center"/>
          </w:tcPr>
          <w:p w14:paraId="7C00D316" w14:textId="5A49BD8E"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80</w:t>
            </w:r>
            <w:r w:rsidRPr="003676D3">
              <w:rPr>
                <w:rFonts w:ascii="Times New Roman" w:hAnsi="Times New Roman" w:cs="Times New Roman"/>
                <w:sz w:val="20"/>
                <w:szCs w:val="20"/>
                <w:cs/>
              </w:rPr>
              <w:t>‎</w:t>
            </w:r>
          </w:p>
        </w:tc>
        <w:tc>
          <w:tcPr>
            <w:tcW w:w="582" w:type="pct"/>
            <w:vAlign w:val="center"/>
            <w:hideMark/>
          </w:tcPr>
          <w:p w14:paraId="0E601DBB" w14:textId="3FF6D972"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98</w:t>
            </w:r>
          </w:p>
        </w:tc>
        <w:tc>
          <w:tcPr>
            <w:tcW w:w="596" w:type="pct"/>
            <w:vAlign w:val="center"/>
            <w:hideMark/>
          </w:tcPr>
          <w:p w14:paraId="18613B85"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80–90</w:t>
            </w:r>
          </w:p>
        </w:tc>
      </w:tr>
      <w:tr w:rsidR="00CC49AF" w:rsidRPr="003676D3" w14:paraId="7C4F9E34"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4513BCFF" w14:textId="65F0D31C"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CO</w:t>
            </w:r>
            <w:r w:rsidRPr="003676D3">
              <w:rPr>
                <w:rFonts w:ascii="Times New Roman" w:eastAsia="Times New Roman" w:hAnsi="Times New Roman" w:cs="Times New Roman"/>
                <w:b w:val="0"/>
                <w:bCs w:val="0"/>
                <w:sz w:val="20"/>
                <w:szCs w:val="20"/>
                <w:vertAlign w:val="subscript"/>
                <w:lang w:eastAsia="en-GB"/>
              </w:rPr>
              <w:t>2</w:t>
            </w:r>
            <w:r w:rsidRPr="003676D3">
              <w:rPr>
                <w:rFonts w:ascii="Times New Roman" w:eastAsia="Times New Roman" w:hAnsi="Times New Roman" w:cs="Times New Roman"/>
                <w:b w:val="0"/>
                <w:bCs w:val="0"/>
                <w:sz w:val="20"/>
                <w:szCs w:val="20"/>
                <w:lang w:eastAsia="en-GB"/>
              </w:rPr>
              <w:t xml:space="preserve"> emissions per capita (tonnes)</w:t>
            </w:r>
          </w:p>
        </w:tc>
        <w:tc>
          <w:tcPr>
            <w:tcW w:w="830" w:type="pct"/>
            <w:vAlign w:val="center"/>
            <w:hideMark/>
          </w:tcPr>
          <w:p w14:paraId="21465F7A"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8.06</w:t>
            </w:r>
          </w:p>
        </w:tc>
        <w:tc>
          <w:tcPr>
            <w:tcW w:w="672" w:type="pct"/>
            <w:vAlign w:val="center"/>
            <w:hideMark/>
          </w:tcPr>
          <w:p w14:paraId="23C980D2"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8.09</w:t>
            </w:r>
          </w:p>
        </w:tc>
        <w:tc>
          <w:tcPr>
            <w:tcW w:w="582" w:type="pct"/>
            <w:vAlign w:val="center"/>
          </w:tcPr>
          <w:p w14:paraId="3F478743" w14:textId="59F9C93A"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5.05</w:t>
            </w:r>
            <w:r w:rsidRPr="003676D3">
              <w:rPr>
                <w:rFonts w:ascii="Times New Roman" w:hAnsi="Times New Roman" w:cs="Times New Roman"/>
                <w:sz w:val="20"/>
                <w:szCs w:val="20"/>
                <w:cs/>
              </w:rPr>
              <w:t>‎</w:t>
            </w:r>
          </w:p>
        </w:tc>
        <w:tc>
          <w:tcPr>
            <w:tcW w:w="582" w:type="pct"/>
            <w:vAlign w:val="center"/>
            <w:hideMark/>
          </w:tcPr>
          <w:p w14:paraId="045FC64B" w14:textId="46AEE9AE"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7.57</w:t>
            </w:r>
          </w:p>
        </w:tc>
        <w:tc>
          <w:tcPr>
            <w:tcW w:w="596" w:type="pct"/>
            <w:vAlign w:val="center"/>
            <w:hideMark/>
          </w:tcPr>
          <w:p w14:paraId="6946E217"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4.74</w:t>
            </w:r>
          </w:p>
        </w:tc>
      </w:tr>
      <w:tr w:rsidR="00CC49AF" w:rsidRPr="003676D3" w14:paraId="4206D5E7"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2F5DF55A" w14:textId="1E9FA117"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 xml:space="preserve">Electricity market flexibility for </w:t>
            </w:r>
            <w:r w:rsidR="00B76FB3" w:rsidRPr="003676D3">
              <w:rPr>
                <w:rFonts w:ascii="Times New Roman" w:eastAsia="Times New Roman" w:hAnsi="Times New Roman" w:cs="Times New Roman"/>
                <w:b w:val="0"/>
                <w:bCs w:val="0"/>
                <w:sz w:val="20"/>
                <w:szCs w:val="20"/>
                <w:lang w:eastAsia="en-GB"/>
              </w:rPr>
              <w:t>DMS</w:t>
            </w:r>
          </w:p>
        </w:tc>
        <w:tc>
          <w:tcPr>
            <w:tcW w:w="830" w:type="pct"/>
            <w:vAlign w:val="center"/>
            <w:hideMark/>
          </w:tcPr>
          <w:p w14:paraId="429A3EA9" w14:textId="6D574318" w:rsidR="00996978" w:rsidRPr="003676D3" w:rsidRDefault="003676D3"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L</w:t>
            </w:r>
            <w:r w:rsidR="00996978" w:rsidRPr="003676D3">
              <w:rPr>
                <w:rFonts w:ascii="Times New Roman" w:eastAsia="Times New Roman" w:hAnsi="Times New Roman" w:cs="Times New Roman"/>
                <w:sz w:val="20"/>
                <w:szCs w:val="20"/>
                <w:lang w:eastAsia="en-GB"/>
              </w:rPr>
              <w:t>ow</w:t>
            </w:r>
          </w:p>
        </w:tc>
        <w:tc>
          <w:tcPr>
            <w:tcW w:w="672" w:type="pct"/>
            <w:vAlign w:val="center"/>
            <w:hideMark/>
          </w:tcPr>
          <w:p w14:paraId="32629F61"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medium</w:t>
            </w:r>
          </w:p>
        </w:tc>
        <w:tc>
          <w:tcPr>
            <w:tcW w:w="582" w:type="pct"/>
            <w:vAlign w:val="center"/>
          </w:tcPr>
          <w:p w14:paraId="0CF141D4" w14:textId="5EA98B56"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rPr>
              <w:t>low</w:t>
            </w:r>
          </w:p>
        </w:tc>
        <w:tc>
          <w:tcPr>
            <w:tcW w:w="582" w:type="pct"/>
            <w:vAlign w:val="center"/>
            <w:hideMark/>
          </w:tcPr>
          <w:p w14:paraId="0C8918BE" w14:textId="361CE105"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low</w:t>
            </w:r>
          </w:p>
        </w:tc>
        <w:tc>
          <w:tcPr>
            <w:tcW w:w="596" w:type="pct"/>
            <w:vAlign w:val="center"/>
            <w:hideMark/>
          </w:tcPr>
          <w:p w14:paraId="0286F5F6"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medium</w:t>
            </w:r>
          </w:p>
        </w:tc>
      </w:tr>
      <w:tr w:rsidR="00CC49AF" w:rsidRPr="003676D3" w14:paraId="7017715D"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1B48C85A" w14:textId="1362AE97"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Level of concentration System operator</w:t>
            </w:r>
          </w:p>
        </w:tc>
        <w:tc>
          <w:tcPr>
            <w:tcW w:w="830" w:type="pct"/>
            <w:vAlign w:val="center"/>
            <w:hideMark/>
          </w:tcPr>
          <w:p w14:paraId="523AD878" w14:textId="29BC42BE" w:rsidR="00996978" w:rsidRPr="003676D3" w:rsidRDefault="003676D3"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M</w:t>
            </w:r>
            <w:r w:rsidR="00996978" w:rsidRPr="003676D3">
              <w:rPr>
                <w:rFonts w:ascii="Times New Roman" w:eastAsia="Times New Roman" w:hAnsi="Times New Roman" w:cs="Times New Roman"/>
                <w:sz w:val="20"/>
                <w:szCs w:val="20"/>
                <w:lang w:eastAsia="en-GB"/>
              </w:rPr>
              <w:t>edium</w:t>
            </w:r>
          </w:p>
        </w:tc>
        <w:tc>
          <w:tcPr>
            <w:tcW w:w="672" w:type="pct"/>
            <w:vAlign w:val="center"/>
            <w:hideMark/>
          </w:tcPr>
          <w:p w14:paraId="368F6124"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low</w:t>
            </w:r>
          </w:p>
        </w:tc>
        <w:tc>
          <w:tcPr>
            <w:tcW w:w="582" w:type="pct"/>
            <w:vAlign w:val="center"/>
          </w:tcPr>
          <w:p w14:paraId="5B2CA12D" w14:textId="29535735"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rPr>
              <w:t>low</w:t>
            </w:r>
          </w:p>
        </w:tc>
        <w:tc>
          <w:tcPr>
            <w:tcW w:w="582" w:type="pct"/>
            <w:vAlign w:val="center"/>
            <w:hideMark/>
          </w:tcPr>
          <w:p w14:paraId="358E6AFC" w14:textId="1E7720A8"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low</w:t>
            </w:r>
          </w:p>
        </w:tc>
        <w:tc>
          <w:tcPr>
            <w:tcW w:w="596" w:type="pct"/>
            <w:vAlign w:val="center"/>
            <w:hideMark/>
          </w:tcPr>
          <w:p w14:paraId="33AB1546"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very high</w:t>
            </w:r>
          </w:p>
        </w:tc>
      </w:tr>
      <w:tr w:rsidR="00CC49AF" w:rsidRPr="003676D3" w14:paraId="1DAC5AA6" w14:textId="77777777" w:rsidTr="00CC49AF">
        <w:trPr>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0FF3C78D" w14:textId="5D2AE9F6"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bookmarkStart w:id="10" w:name="bb156" w:colFirst="0" w:colLast="0"/>
            <w:r w:rsidRPr="003676D3">
              <w:rPr>
                <w:rFonts w:ascii="Times New Roman" w:eastAsia="Times New Roman" w:hAnsi="Times New Roman" w:cs="Times New Roman"/>
                <w:b w:val="0"/>
                <w:bCs w:val="0"/>
                <w:sz w:val="20"/>
                <w:szCs w:val="20"/>
                <w:lang w:eastAsia="en-GB"/>
              </w:rPr>
              <w:t>Companies/organisations involved in the SG projects (count)</w:t>
            </w:r>
          </w:p>
        </w:tc>
        <w:tc>
          <w:tcPr>
            <w:tcW w:w="830" w:type="pct"/>
            <w:vAlign w:val="center"/>
            <w:hideMark/>
          </w:tcPr>
          <w:p w14:paraId="163B3129"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476</w:t>
            </w:r>
          </w:p>
        </w:tc>
        <w:tc>
          <w:tcPr>
            <w:tcW w:w="672" w:type="pct"/>
            <w:vAlign w:val="center"/>
            <w:hideMark/>
          </w:tcPr>
          <w:p w14:paraId="77D9A990"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835</w:t>
            </w:r>
          </w:p>
        </w:tc>
        <w:tc>
          <w:tcPr>
            <w:tcW w:w="582" w:type="pct"/>
            <w:vAlign w:val="center"/>
          </w:tcPr>
          <w:p w14:paraId="018FC547" w14:textId="7D45547B"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430</w:t>
            </w:r>
            <w:r w:rsidRPr="003676D3">
              <w:rPr>
                <w:rFonts w:ascii="Times New Roman" w:hAnsi="Times New Roman" w:cs="Times New Roman"/>
                <w:sz w:val="20"/>
                <w:szCs w:val="20"/>
                <w:cs/>
              </w:rPr>
              <w:t>‎</w:t>
            </w:r>
          </w:p>
        </w:tc>
        <w:tc>
          <w:tcPr>
            <w:tcW w:w="582" w:type="pct"/>
            <w:vAlign w:val="center"/>
            <w:hideMark/>
          </w:tcPr>
          <w:p w14:paraId="744AF7F0" w14:textId="5A301483"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245</w:t>
            </w:r>
          </w:p>
        </w:tc>
        <w:tc>
          <w:tcPr>
            <w:tcW w:w="596" w:type="pct"/>
            <w:vAlign w:val="center"/>
            <w:hideMark/>
          </w:tcPr>
          <w:p w14:paraId="7B16B17D" w14:textId="77777777" w:rsidR="00996978" w:rsidRPr="003676D3" w:rsidRDefault="00996978"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680</w:t>
            </w:r>
          </w:p>
        </w:tc>
      </w:tr>
      <w:tr w:rsidR="00CC49AF" w:rsidRPr="003676D3" w14:paraId="372AA3E4" w14:textId="77777777" w:rsidTr="00CC49A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8" w:type="pct"/>
            <w:vAlign w:val="center"/>
            <w:hideMark/>
          </w:tcPr>
          <w:p w14:paraId="781E5EE1" w14:textId="7607647A" w:rsidR="00996978" w:rsidRPr="003676D3" w:rsidRDefault="00996978" w:rsidP="003676D3">
            <w:pPr>
              <w:spacing w:line="276" w:lineRule="auto"/>
              <w:jc w:val="both"/>
              <w:rPr>
                <w:rFonts w:ascii="Times New Roman" w:eastAsia="Times New Roman" w:hAnsi="Times New Roman" w:cs="Times New Roman"/>
                <w:b w:val="0"/>
                <w:bCs w:val="0"/>
                <w:sz w:val="20"/>
                <w:szCs w:val="20"/>
                <w:lang w:eastAsia="en-GB"/>
              </w:rPr>
            </w:pPr>
            <w:r w:rsidRPr="003676D3">
              <w:rPr>
                <w:rFonts w:ascii="Times New Roman" w:eastAsia="Times New Roman" w:hAnsi="Times New Roman" w:cs="Times New Roman"/>
                <w:b w:val="0"/>
                <w:bCs w:val="0"/>
                <w:sz w:val="20"/>
                <w:szCs w:val="20"/>
                <w:lang w:eastAsia="en-GB"/>
              </w:rPr>
              <w:t>Collaborations with other EU countries for SG projects (per 1000 population) (count)</w:t>
            </w:r>
          </w:p>
        </w:tc>
        <w:tc>
          <w:tcPr>
            <w:tcW w:w="830" w:type="pct"/>
            <w:vAlign w:val="center"/>
            <w:hideMark/>
          </w:tcPr>
          <w:p w14:paraId="402AD001"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0.31</w:t>
            </w:r>
          </w:p>
        </w:tc>
        <w:tc>
          <w:tcPr>
            <w:tcW w:w="672" w:type="pct"/>
            <w:vAlign w:val="center"/>
            <w:hideMark/>
          </w:tcPr>
          <w:p w14:paraId="457A905A"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0.42</w:t>
            </w:r>
          </w:p>
        </w:tc>
        <w:tc>
          <w:tcPr>
            <w:tcW w:w="582" w:type="pct"/>
            <w:vAlign w:val="center"/>
          </w:tcPr>
          <w:p w14:paraId="428C53B7" w14:textId="67C6F6C8"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hAnsi="Times New Roman" w:cs="Times New Roman"/>
                <w:sz w:val="20"/>
                <w:szCs w:val="20"/>
                <w:cs/>
              </w:rPr>
              <w:t>‎</w:t>
            </w:r>
            <w:r w:rsidRPr="003676D3">
              <w:rPr>
                <w:rFonts w:ascii="Times New Roman" w:hAnsi="Times New Roman" w:cs="Times New Roman"/>
                <w:sz w:val="20"/>
                <w:szCs w:val="20"/>
              </w:rPr>
              <w:t>3.02</w:t>
            </w:r>
            <w:r w:rsidRPr="003676D3">
              <w:rPr>
                <w:rFonts w:ascii="Times New Roman" w:hAnsi="Times New Roman" w:cs="Times New Roman"/>
                <w:sz w:val="20"/>
                <w:szCs w:val="20"/>
                <w:cs/>
              </w:rPr>
              <w:t>‎</w:t>
            </w:r>
          </w:p>
        </w:tc>
        <w:tc>
          <w:tcPr>
            <w:tcW w:w="582" w:type="pct"/>
            <w:vAlign w:val="center"/>
            <w:hideMark/>
          </w:tcPr>
          <w:p w14:paraId="0A00AC4F" w14:textId="038FE68D"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0.87</w:t>
            </w:r>
          </w:p>
        </w:tc>
        <w:tc>
          <w:tcPr>
            <w:tcW w:w="596" w:type="pct"/>
            <w:vAlign w:val="center"/>
            <w:hideMark/>
          </w:tcPr>
          <w:p w14:paraId="56DEFD7B" w14:textId="77777777" w:rsidR="00996978" w:rsidRPr="003676D3" w:rsidRDefault="00996978"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3676D3">
              <w:rPr>
                <w:rFonts w:ascii="Times New Roman" w:eastAsia="Times New Roman" w:hAnsi="Times New Roman" w:cs="Times New Roman"/>
                <w:sz w:val="20"/>
                <w:szCs w:val="20"/>
                <w:lang w:eastAsia="en-GB"/>
              </w:rPr>
              <w:t>0.41</w:t>
            </w:r>
          </w:p>
        </w:tc>
      </w:tr>
      <w:bookmarkEnd w:id="10"/>
    </w:tbl>
    <w:p w14:paraId="09B00844" w14:textId="7D86A618" w:rsidR="00394175" w:rsidRPr="003676D3" w:rsidRDefault="00394175" w:rsidP="003676D3">
      <w:pPr>
        <w:spacing w:line="276" w:lineRule="auto"/>
        <w:jc w:val="both"/>
        <w:rPr>
          <w:rFonts w:ascii="Times New Roman" w:hAnsi="Times New Roman" w:cs="Times New Roman"/>
          <w:sz w:val="24"/>
          <w:szCs w:val="24"/>
        </w:rPr>
      </w:pPr>
    </w:p>
    <w:p w14:paraId="7A43F610" w14:textId="6A6E9A26" w:rsidR="00E7634E" w:rsidRPr="003676D3" w:rsidRDefault="008E437B"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lastRenderedPageBreak/>
        <w:t>3.2.</w:t>
      </w:r>
      <w:r w:rsidR="00E7634E" w:rsidRPr="003676D3">
        <w:rPr>
          <w:rFonts w:ascii="Times New Roman" w:hAnsi="Times New Roman" w:cs="Times New Roman"/>
          <w:b/>
          <w:bCs/>
          <w:color w:val="auto"/>
          <w:sz w:val="24"/>
          <w:szCs w:val="24"/>
        </w:rPr>
        <w:t xml:space="preserve"> </w:t>
      </w:r>
      <w:r w:rsidR="00E13228" w:rsidRPr="003676D3">
        <w:rPr>
          <w:rFonts w:ascii="Times New Roman" w:hAnsi="Times New Roman" w:cs="Times New Roman"/>
          <w:b/>
          <w:bCs/>
          <w:color w:val="auto"/>
          <w:sz w:val="24"/>
          <w:szCs w:val="24"/>
        </w:rPr>
        <w:t xml:space="preserve">Way Forward to </w:t>
      </w:r>
      <w:r w:rsidR="00CE3ABA" w:rsidRPr="003676D3">
        <w:rPr>
          <w:rFonts w:ascii="Times New Roman" w:hAnsi="Times New Roman" w:cs="Times New Roman"/>
          <w:b/>
          <w:bCs/>
          <w:color w:val="auto"/>
          <w:sz w:val="24"/>
          <w:szCs w:val="24"/>
        </w:rPr>
        <w:t xml:space="preserve">Futuristic </w:t>
      </w:r>
      <w:r w:rsidR="00E7634E" w:rsidRPr="003676D3">
        <w:rPr>
          <w:rFonts w:ascii="Times New Roman" w:hAnsi="Times New Roman" w:cs="Times New Roman"/>
          <w:b/>
          <w:bCs/>
          <w:color w:val="auto"/>
          <w:sz w:val="24"/>
          <w:szCs w:val="24"/>
        </w:rPr>
        <w:t>Super Smart Grids</w:t>
      </w:r>
    </w:p>
    <w:p w14:paraId="0255CE79" w14:textId="011DDA50" w:rsidR="00515563" w:rsidRPr="003676D3" w:rsidRDefault="00DA6D8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emergence of a </w:t>
      </w:r>
      <w:r w:rsidR="00E13228" w:rsidRPr="003676D3">
        <w:rPr>
          <w:rFonts w:ascii="Times New Roman" w:hAnsi="Times New Roman" w:cs="Times New Roman"/>
          <w:sz w:val="24"/>
          <w:szCs w:val="24"/>
        </w:rPr>
        <w:t>Super Smart Grid (SSG)</w:t>
      </w:r>
      <w:r w:rsidRPr="003676D3">
        <w:rPr>
          <w:rFonts w:ascii="Times New Roman" w:hAnsi="Times New Roman" w:cs="Times New Roman"/>
          <w:sz w:val="24"/>
          <w:szCs w:val="24"/>
        </w:rPr>
        <w:t xml:space="preserve"> which interconnects European</w:t>
      </w:r>
      <w:r w:rsidR="00B76FB3" w:rsidRPr="003676D3">
        <w:rPr>
          <w:rFonts w:ascii="Times New Roman" w:hAnsi="Times New Roman" w:cs="Times New Roman"/>
          <w:sz w:val="24"/>
          <w:szCs w:val="24"/>
        </w:rPr>
        <w:t xml:space="preserve"> electricity</w:t>
      </w:r>
      <w:r w:rsidRPr="003676D3">
        <w:rPr>
          <w:rFonts w:ascii="Times New Roman" w:hAnsi="Times New Roman" w:cs="Times New Roman"/>
          <w:sz w:val="24"/>
          <w:szCs w:val="24"/>
        </w:rPr>
        <w:t xml:space="preserve"> grids at the continental scale and </w:t>
      </w:r>
      <w:r w:rsidR="00DB4A86" w:rsidRPr="003676D3">
        <w:rPr>
          <w:rFonts w:ascii="Times New Roman" w:hAnsi="Times New Roman" w:cs="Times New Roman"/>
          <w:sz w:val="24"/>
          <w:szCs w:val="24"/>
        </w:rPr>
        <w:t>connects</w:t>
      </w:r>
      <w:r w:rsidRPr="003676D3">
        <w:rPr>
          <w:rFonts w:ascii="Times New Roman" w:hAnsi="Times New Roman" w:cs="Times New Roman"/>
          <w:sz w:val="24"/>
          <w:szCs w:val="24"/>
        </w:rPr>
        <w:t xml:space="preserve"> them with intelligence through </w:t>
      </w:r>
      <w:r w:rsidR="00B76FB3" w:rsidRPr="003676D3">
        <w:rPr>
          <w:rFonts w:ascii="Times New Roman" w:hAnsi="Times New Roman" w:cs="Times New Roman"/>
          <w:sz w:val="24"/>
          <w:szCs w:val="24"/>
        </w:rPr>
        <w:t xml:space="preserve">ICT and advanced computation, </w:t>
      </w:r>
      <w:r w:rsidRPr="003676D3">
        <w:rPr>
          <w:rFonts w:ascii="Times New Roman" w:hAnsi="Times New Roman" w:cs="Times New Roman"/>
          <w:sz w:val="24"/>
          <w:szCs w:val="24"/>
        </w:rPr>
        <w:t>constitutes a pivotal strategy in the European Union for th</w:t>
      </w:r>
      <w:r w:rsidR="00B76FB3" w:rsidRPr="003676D3">
        <w:rPr>
          <w:rFonts w:ascii="Times New Roman" w:hAnsi="Times New Roman" w:cs="Times New Roman"/>
          <w:sz w:val="24"/>
          <w:szCs w:val="24"/>
        </w:rPr>
        <w:t>e seamless integration of RES</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{"citationItems":[{"id":"ITEM-1","itemData":{"DOI":"10.7892/BORIS.49795","abstract":"The power sector is to play a central role in a low carbon economy. In all the decarbonisation scenarios of the European Union renewable energy sources (RES) will be a crucial part of the solution. Current grids constitute however major bottlenecks for the future expansion of RES. Recognising the need for a modernisation of its grids, the European Union has called for the creation of a \"smart supergrid\" interconnecting European grids at the continental level and making them \"intelligent\" through the addition of information and communication technology (ICT). To implement its agenda the EU has taken a leading role in coordinating research efforts and creating a common legislative framework for the necessary modernisation of Europe’s grids. This paper intends to give both an overview and a critical appraisal of the measures taken so far by the European Union to \"transform\" the grids into the backbone of a decarbonised electricity system. It suggests that if competition is to play a significant role in the deployment of smart grids, the current regulatory paradigm will have to be fundamentally reassessed","author":[{"dropping-particle":"","family":"Sépibus","given":"Joëlle","non-dropping-particle":"de","parse-names":false,"suffix":""}],"container-title":"de Sépibus, Joëlle (July 2013). The Integration of Electricity from Renewable Energy Sources in the European Union Electricity Market – The case for “Smart Grids” (NCCR Trade Working Paper 38).","id":"ITEM-1","issued":{"date-parts":[["2013"]]},"title":"The Integration of Electricity from Renewable Energy Sources in the European Union Electricity Market – The case for “Smart Grids”","type":"article-journal"},"uris":["http://www.mendeley.com/documents/?uuid=fed342cb-8e0f-35bc-a4a2-db79eba640f4"]},{"id":"ITEM-2","itemData":{"DOI":"10.7892/BORIS.49795","author":[{"dropping-particle":"da","family":"Encarnação","given":"Beatrice Covassi","non-dropping-particle":"","parse-names":false,"suffix":""}],"id":"ITEM-2","issued":{"date-parts":[["2013"]]},"title":"A Smart Future? The EU Digital Agenda Between Broadband, the Grid and Energy Efficiency","type":"article-journal"},"uris":["http://www.mendeley.com/documents/?uuid=a311e74c-e592-3ddd-96bb-5e44f15f1569"]}],"mendeley":{"formattedCitation":"[79,80]","plainTextFormattedCitation":"[79,80]","previouslyFormattedCitation":"[79,80]"},"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[79,80]</w:t>
      </w:r>
      <w:r w:rsidR="00E13228" w:rsidRPr="003676D3">
        <w:rPr>
          <w:rFonts w:ascii="Times New Roman" w:hAnsi="Times New Roman" w:cs="Times New Roman"/>
          <w:sz w:val="24"/>
          <w:szCs w:val="24"/>
        </w:rPr>
        <w:fldChar w:fldCharType="end"/>
      </w:r>
      <w:r w:rsidR="008E437B" w:rsidRPr="003676D3">
        <w:rPr>
          <w:rFonts w:ascii="Times New Roman" w:hAnsi="Times New Roman" w:cs="Times New Roman"/>
          <w:sz w:val="24"/>
          <w:szCs w:val="24"/>
        </w:rPr>
        <w:t>.</w:t>
      </w:r>
      <w:r w:rsidR="0094025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t>The SSG</w:t>
      </w:r>
      <w:r w:rsidR="00E7634E" w:rsidRPr="003676D3">
        <w:rPr>
          <w:rFonts w:ascii="Times New Roman" w:hAnsi="Times New Roman" w:cs="Times New Roman"/>
          <w:sz w:val="24"/>
          <w:szCs w:val="24"/>
        </w:rPr>
        <w:t xml:space="preserve"> is a self-reliance and intelligent system with advanced control methods, most modern sensors and latest communication devices coupled with advanced technologies. It can balance supply-demand over a more wide area than a smart grid</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r>
      <w:r w:rsidR="00E13228" w:rsidRPr="003676D3">
        <w:rPr>
          <w:rFonts w:ascii="Times New Roman" w:hAnsi="Times New Roman" w:cs="Times New Roman"/>
          <w:sz w:val="24"/>
          <w:szCs w:val="24"/>
        </w:rPr>
        <w:instrText xml:space="preserve"> REF _Ref168038971 \h  \* MERGEFORMAT </w:instrText>
      </w:r>
      <w:r w:rsidR="00E13228" w:rsidRPr="003676D3">
        <w:rPr>
          <w:rFonts w:ascii="Times New Roman" w:hAnsi="Times New Roman" w:cs="Times New Roman"/>
          <w:sz w:val="24"/>
          <w:szCs w:val="24"/>
        </w:rPr>
      </w:r>
      <w:r w:rsidR="00E13228"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3</w:t>
      </w:r>
      <w:r w:rsidR="00E13228" w:rsidRPr="003676D3">
        <w:rPr>
          <w:rFonts w:ascii="Times New Roman" w:hAnsi="Times New Roman" w:cs="Times New Roman"/>
          <w:sz w:val="24"/>
          <w:szCs w:val="24"/>
        </w:rPr>
        <w:fldChar w:fldCharType="end"/>
      </w:r>
      <w:r w:rsidR="00E13228" w:rsidRPr="003676D3">
        <w:rPr>
          <w:rFonts w:ascii="Times New Roman" w:hAnsi="Times New Roman" w:cs="Times New Roman"/>
          <w:sz w:val="24"/>
          <w:szCs w:val="24"/>
        </w:rPr>
        <w:t xml:space="preserve"> is a visual representation of SSG</w:t>
      </w:r>
      <w:r w:rsidR="00E7634E" w:rsidRPr="003676D3">
        <w:rPr>
          <w:rFonts w:ascii="Times New Roman" w:hAnsi="Times New Roman" w:cs="Times New Roman"/>
          <w:sz w:val="24"/>
          <w:szCs w:val="24"/>
        </w:rPr>
        <w:t xml:space="preserve">. </w:t>
      </w:r>
    </w:p>
    <w:p w14:paraId="1500E34C" w14:textId="6E0AC00C" w:rsidR="00FB1CA5" w:rsidRPr="003676D3" w:rsidRDefault="00FB1CA5"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w:t>
      </w:r>
      <w:r w:rsidR="00645477" w:rsidRPr="003676D3">
        <w:rPr>
          <w:rFonts w:ascii="Times New Roman" w:hAnsi="Times New Roman" w:cs="Times New Roman"/>
          <w:sz w:val="24"/>
          <w:szCs w:val="24"/>
        </w:rPr>
        <w:t>distinct attribute of super smart grids</w:t>
      </w:r>
      <w:r w:rsidRPr="003676D3">
        <w:rPr>
          <w:rFonts w:ascii="Times New Roman" w:hAnsi="Times New Roman" w:cs="Times New Roman"/>
          <w:sz w:val="24"/>
          <w:szCs w:val="24"/>
        </w:rPr>
        <w:t xml:space="preserve"> is wide area</w:t>
      </w:r>
      <w:r w:rsidR="00645477" w:rsidRPr="003676D3">
        <w:rPr>
          <w:rFonts w:ascii="Times New Roman" w:hAnsi="Times New Roman" w:cs="Times New Roman"/>
          <w:sz w:val="24"/>
          <w:szCs w:val="24"/>
        </w:rPr>
        <w:t xml:space="preserve"> coverage</w:t>
      </w:r>
      <w:r w:rsidRPr="003676D3">
        <w:rPr>
          <w:rFonts w:ascii="Times New Roman" w:hAnsi="Times New Roman" w:cs="Times New Roman"/>
          <w:sz w:val="24"/>
          <w:szCs w:val="24"/>
        </w:rPr>
        <w:t xml:space="preserve"> and</w:t>
      </w:r>
      <w:r w:rsidR="00645477" w:rsidRPr="003676D3">
        <w:rPr>
          <w:rFonts w:ascii="Times New Roman" w:hAnsi="Times New Roman" w:cs="Times New Roman"/>
          <w:sz w:val="24"/>
          <w:szCs w:val="24"/>
        </w:rPr>
        <w:t xml:space="preserve"> distributed generation (DG). The abundant use of renewable resource based DGs comes with critical issues</w:t>
      </w:r>
      <w:r w:rsidRPr="003676D3">
        <w:rPr>
          <w:rFonts w:ascii="Times New Roman" w:hAnsi="Times New Roman" w:cs="Times New Roman"/>
          <w:sz w:val="24"/>
          <w:szCs w:val="24"/>
        </w:rPr>
        <w:t xml:space="preserve"> i.e., </w:t>
      </w:r>
      <w:r w:rsidR="00645477" w:rsidRPr="003676D3">
        <w:rPr>
          <w:rFonts w:ascii="Times New Roman" w:hAnsi="Times New Roman" w:cs="Times New Roman"/>
          <w:sz w:val="24"/>
          <w:szCs w:val="24"/>
        </w:rPr>
        <w:t xml:space="preserve">transient stability and </w:t>
      </w:r>
      <w:r w:rsidRPr="003676D3">
        <w:rPr>
          <w:rFonts w:ascii="Times New Roman" w:hAnsi="Times New Roman" w:cs="Times New Roman"/>
          <w:sz w:val="24"/>
          <w:szCs w:val="24"/>
        </w:rPr>
        <w:t>load</w:t>
      </w:r>
      <w:r w:rsidR="00645477" w:rsidRPr="003676D3">
        <w:rPr>
          <w:rFonts w:ascii="Times New Roman" w:hAnsi="Times New Roman" w:cs="Times New Roman"/>
          <w:sz w:val="24"/>
          <w:szCs w:val="24"/>
        </w:rPr>
        <w:t>-</w:t>
      </w:r>
      <w:r w:rsidRPr="003676D3">
        <w:rPr>
          <w:rFonts w:ascii="Times New Roman" w:hAnsi="Times New Roman" w:cs="Times New Roman"/>
          <w:sz w:val="24"/>
          <w:szCs w:val="24"/>
        </w:rPr>
        <w:t>flow balancing</w:t>
      </w:r>
      <w:r w:rsidR="00645477" w:rsidRPr="003676D3">
        <w:rPr>
          <w:rFonts w:ascii="Times New Roman" w:hAnsi="Times New Roman" w:cs="Times New Roman"/>
          <w:sz w:val="24"/>
          <w:szCs w:val="24"/>
        </w:rPr>
        <w:t xml:space="preserve"> of the grid</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{"citationItems":[{"id":"ITEM-1","itemData":{"DOI":"10.1109/ACCESS.2023.3296152","ISSN":"21693536","abstract":"For a utility company to reduce CO2} emissions along with managing load demands, it must strive for a 100 percent renewable electrical power generation. Europe takes initiatives to achieve this goal by developing a super smart grid (SSG) based on renewable energy resources (RERs) by 2050. The SSG is based on two exclusive alternatives: wide area and decentralized power generation using large number of RERs. Before developing such SSG, there is a need to address the critical issues associated with RERs, i.e., load flow balancing and transients stability. Considering a reliability issue involved with RERs and the random deviations between demand response and generation response patterns, load flow balancing and transient stability become challenging research issues in SSGs. These technical issues are also considered to be more challenging, if an unexpected outage in the form of an occurrence of three phase (L-L-L) faults (TPF) arises in SSGs, due to power quality disturbances. To address this problem, load flow balancing probabilistic modeling is performed in this research paper in order to formulate the complexity of randomness between generation and demand response patterns through transmission network planning (TNP) in the form of a super smart node (SSN) transmission network infrastructure. Moreover, a further optimization in SSN transmission network has been done with the addition of a cooperative control strategies in terms of an integrating vehicle to grid (V2G) technology in SSN transmission network in order to achieve further enhancement in load flow balancing and transient stability in SSGs. Furthermore, as SSGs power infrastructure is based on different clusters, therefore in order to accommodate various clusters for load flow balancing, a continuous spinning reserve (CSRs) probabilistic modeling has also been performed in this paper in terms of its integration in SSN transmission network. Considering above probabilistic analysis, future contingencies are easily predictable, before any kind of disruptive changes arises in a SSGs due an occurrence of a TPF. Moreover, from simulation results as performed in this paper, we can easily verified that our proposed probabilistic algorithm of load flow balancing and transients stability outperforms existing literature work and can also achieved near optimal performance, even for a broad range of variations in load and also in case of an arising of significant power quality disturbances in SSGs due to an…","author":[{"dropping-particle":"","family":"Adnan","given":"Muhammad","non-dropping-particle":"","parse-names":false,"suffix":""},{"dropping-particle":"","family":"Ghadi","given":"Yazeed","non-dropping-particle":"","parse-names":false,"suffix":""},{"dropping-particle":"","family":"Ahmed","given":"Ijaz","non-dropping-particle":"","parse-names":false,"suffix":""},{"dropping-particle":"","family":"Ali","given":"Mansoor","non-dropping-particle":"","parse-names":false,"suffix":""}],"container-title":"IEEE Access","id":"ITEM-1","issued":{"date-parts":[["2023"]]},"page":"77163-77227","publisher":"Institute of Electrical and Electronics Engineers Inc.","title":"Transmission Network Planning in Super Smart Grids: A Survey","type":"article-journal","volume":"11"},"uris":["http://www.mendeley.com/documents/?uuid=6b737631-ef04-3da7-b746-afcb11316fa1"]}],"mendeley":{"formattedCitation":"[28]","plainTextFormattedCitation":"[28]","previouslyFormattedCitation":"[28]"},"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[28]</w:t>
      </w:r>
      <w:r w:rsidR="00E13228"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515563" w:rsidRPr="003676D3">
        <w:rPr>
          <w:rFonts w:ascii="Times New Roman" w:hAnsi="Times New Roman" w:cs="Times New Roman"/>
          <w:sz w:val="24"/>
          <w:szCs w:val="24"/>
        </w:rPr>
        <w:t xml:space="preserve"> A </w:t>
      </w:r>
      <w:r w:rsidR="00CE3ABA" w:rsidRPr="003676D3">
        <w:rPr>
          <w:rFonts w:ascii="Times New Roman" w:hAnsi="Times New Roman" w:cs="Times New Roman"/>
          <w:sz w:val="24"/>
          <w:szCs w:val="24"/>
        </w:rPr>
        <w:t xml:space="preserve">conceptual sustainable </w:t>
      </w:r>
      <w:r w:rsidR="001F368F" w:rsidRPr="003676D3">
        <w:rPr>
          <w:rFonts w:ascii="Times New Roman" w:hAnsi="Times New Roman" w:cs="Times New Roman"/>
          <w:sz w:val="24"/>
          <w:szCs w:val="24"/>
        </w:rPr>
        <w:t>grids network</w:t>
      </w:r>
      <w:r w:rsidR="00515563" w:rsidRPr="003676D3">
        <w:rPr>
          <w:rFonts w:ascii="Times New Roman" w:hAnsi="Times New Roman" w:cs="Times New Roman"/>
          <w:sz w:val="24"/>
          <w:szCs w:val="24"/>
        </w:rPr>
        <w:t xml:space="preserve"> is devised, linking Denmark and Norway, aimed at resolving transient stability concerns within SSGs. A comprehensive probabilistic model is crafted to bolster system stability. Findings </w:t>
      </w:r>
      <w:r w:rsidR="00DB4A86" w:rsidRPr="003676D3">
        <w:rPr>
          <w:rFonts w:ascii="Times New Roman" w:hAnsi="Times New Roman" w:cs="Times New Roman"/>
          <w:sz w:val="24"/>
          <w:szCs w:val="24"/>
        </w:rPr>
        <w:t>clearly</w:t>
      </w:r>
      <w:r w:rsidR="00515563" w:rsidRPr="003676D3">
        <w:rPr>
          <w:rFonts w:ascii="Times New Roman" w:hAnsi="Times New Roman" w:cs="Times New Roman"/>
          <w:sz w:val="24"/>
          <w:szCs w:val="24"/>
        </w:rPr>
        <w:t xml:space="preserve"> demonstrate that integrating Unified Power Flow Controller</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{"citationItems":[{"id":"ITEM-1","itemData":{"DOI":"10.3390/ELECTRONICS11193236","ISSN":"2079-9292","abstract":"Super smart grids (SSGs) are a wide area transmission network that mainly uses renewable energy resources (RERs), contributing to the reduction of greenhouse gas (GHGs) emissions and supporting the power infrastructure of multiple countries. The SSGs comprise two-way communication between the loads and sources of different countries, and these loads can be mostly served with numerous types of RERs tied with the grids. The RERs will play a pivotal role in the development of future grids and the generation of electricity. However, the main challenge to tackle in these RERs is that they are intermittent in nature. Due to intermittency in these RERs, transient stability issues have become one of the critical research challenges in SSGs. These stability issues are escalated and become more difficult to handle if a network is vulnerable to an arising of different kinds of faults. To address these problems, multiple approaches to enhance transient stability already exist in the current literature. After reviewing the literature, flexible alternating current transmission systems (FACTS) devices proved more promising in improving transient stability. Among FACTSdevices, UPFC is a versatile FACTS device, which provides complete stability to power system networks in the form of series and shunt compensations. Considering this scenario, a hypothetical network for SSGs is designed in this research work based on the interconnection between two countries, i.e., Denmark and Norway, to address the transient stability issues in SSGs. The complete probabilistic model of the system is also designed to enhance the stability of the system. The results clearly showed that the insertion of UPFC is an effective technique to enhance the transient stability and resilience of the power system networks as compared to other purposed techniques in the literature. The main contribution of this paper is that extensive simulation studies employing accurate RERs models are used to analyze and investigate various problems arising due to the integration of many clusters of RERs in SSGs.","author":[{"dropping-particle":"","family":"Alsuwian","given":"Turki","non-dropping-particle":"","parse-names":false,"suffix":""},{"dropping-particle":"","family":"Basit","given":"Abdul","non-dropping-particle":"","parse-names":false,"suffix":""},{"dropping-particle":"","family":"Amin","given":"Arslan Ahmed","non-dropping-particle":"","parse-names":false,"suffix":""},{"dropping-particle":"","family":"Adnan","given":"Muhammad","non-dropping-particle":"","parse-names":false,"suffix":""},{"dropping-particle":"","family":"Ali","given":"Mansoor","non-dropping-particle":"","parse-names":false,"suffix":""}],"container-title":"Electronics 2022, Vol. 11, Page 3236","id":"ITEM-1","issue":"19","issued":{"date-parts":[["2022","10","8"]]},"page":"3236","publisher":"Multidisciplinary Digital Publishing Institute","title":"An Optimal Control Approach for Enhancing Transients Stability and Resilience in Super Smart Grids","type":"article-journal","volume":"11"},"uris":["http://www.mendeley.com/documents/?uuid=8c00e9e2-e15c-3fb5-84e2-a3d0238dc5b1"]}],"mendeley":{"formattedCitation":"[81]","plainTextFormattedCitation":"[81]","previouslyFormattedCitation":"[81]"},"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[81]</w:t>
      </w:r>
      <w:r w:rsidR="00E13228" w:rsidRPr="003676D3">
        <w:rPr>
          <w:rFonts w:ascii="Times New Roman" w:hAnsi="Times New Roman" w:cs="Times New Roman"/>
          <w:sz w:val="24"/>
          <w:szCs w:val="24"/>
        </w:rPr>
        <w:fldChar w:fldCharType="end"/>
      </w:r>
      <w:r w:rsidR="00515563" w:rsidRPr="003676D3">
        <w:rPr>
          <w:rFonts w:ascii="Times New Roman" w:hAnsi="Times New Roman" w:cs="Times New Roman"/>
          <w:sz w:val="24"/>
          <w:szCs w:val="24"/>
        </w:rPr>
        <w:t xml:space="preserve"> proves highly effective in </w:t>
      </w:r>
      <w:r w:rsidR="00DB4A86" w:rsidRPr="003676D3">
        <w:rPr>
          <w:rFonts w:ascii="Times New Roman" w:hAnsi="Times New Roman" w:cs="Times New Roman"/>
          <w:sz w:val="24"/>
          <w:szCs w:val="24"/>
        </w:rPr>
        <w:t>strengthening</w:t>
      </w:r>
      <w:r w:rsidR="00515563" w:rsidRPr="003676D3">
        <w:rPr>
          <w:rFonts w:ascii="Times New Roman" w:hAnsi="Times New Roman" w:cs="Times New Roman"/>
          <w:sz w:val="24"/>
          <w:szCs w:val="24"/>
        </w:rPr>
        <w:t xml:space="preserve"> resilience of power system networks</w:t>
      </w:r>
      <w:r w:rsidR="00B76FB3" w:rsidRPr="003676D3">
        <w:rPr>
          <w:rFonts w:ascii="Times New Roman" w:hAnsi="Times New Roman" w:cs="Times New Roman"/>
          <w:sz w:val="24"/>
          <w:szCs w:val="24"/>
        </w:rPr>
        <w:t xml:space="preserve"> as well as transient stability</w:t>
      </w:r>
      <w:r w:rsidR="00515563" w:rsidRPr="003676D3">
        <w:rPr>
          <w:rFonts w:ascii="Times New Roman" w:hAnsi="Times New Roman" w:cs="Times New Roman"/>
          <w:sz w:val="24"/>
          <w:szCs w:val="24"/>
        </w:rPr>
        <w:t>.</w:t>
      </w:r>
    </w:p>
    <w:p w14:paraId="2D89E03F" w14:textId="25CBCBE6" w:rsidR="00F44C32" w:rsidRPr="003676D3" w:rsidRDefault="00E13228"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lang w:eastAsia="en-GB"/>
        </w:rPr>
        <mc:AlternateContent>
          <mc:Choice Requires="wps">
            <w:drawing>
              <wp:anchor distT="0" distB="0" distL="114300" distR="114300" simplePos="0" relativeHeight="251642880" behindDoc="0" locked="0" layoutInCell="1" allowOverlap="1" wp14:anchorId="165A0575" wp14:editId="0BD98049">
                <wp:simplePos x="0" y="0"/>
                <wp:positionH relativeFrom="column">
                  <wp:posOffset>838200</wp:posOffset>
                </wp:positionH>
                <wp:positionV relativeFrom="paragraph">
                  <wp:posOffset>2296795</wp:posOffset>
                </wp:positionV>
                <wp:extent cx="44291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26124AFE" w14:textId="55280233" w:rsidR="001F368F" w:rsidRPr="00E13228" w:rsidRDefault="001F368F" w:rsidP="004B1918">
                            <w:pPr>
                              <w:pStyle w:val="Caption"/>
                              <w:jc w:val="center"/>
                              <w:rPr>
                                <w:rFonts w:asciiTheme="majorBidi" w:hAnsiTheme="majorBidi" w:cstheme="majorBidi"/>
                                <w:b/>
                                <w:bCs/>
                                <w:i w:val="0"/>
                                <w:iCs w:val="0"/>
                                <w:noProof/>
                                <w:color w:val="auto"/>
                                <w:sz w:val="20"/>
                                <w:szCs w:val="20"/>
                              </w:rPr>
                            </w:pPr>
                            <w:bookmarkStart w:id="11" w:name="_Ref168038971"/>
                            <w:r w:rsidRPr="00E13228">
                              <w:rPr>
                                <w:rFonts w:asciiTheme="majorBidi" w:hAnsiTheme="majorBidi" w:cstheme="majorBidi"/>
                                <w:b/>
                                <w:bCs/>
                                <w:i w:val="0"/>
                                <w:iCs w:val="0"/>
                                <w:color w:val="auto"/>
                                <w:sz w:val="20"/>
                                <w:szCs w:val="20"/>
                              </w:rPr>
                              <w:t xml:space="preserve">Figure </w:t>
                            </w:r>
                            <w:r w:rsidRPr="00E13228">
                              <w:rPr>
                                <w:rFonts w:asciiTheme="majorBidi" w:hAnsiTheme="majorBidi" w:cstheme="majorBidi"/>
                                <w:b/>
                                <w:bCs/>
                                <w:i w:val="0"/>
                                <w:iCs w:val="0"/>
                                <w:color w:val="auto"/>
                                <w:sz w:val="20"/>
                                <w:szCs w:val="20"/>
                              </w:rPr>
                              <w:fldChar w:fldCharType="begin"/>
                            </w:r>
                            <w:r w:rsidRPr="00E13228">
                              <w:rPr>
                                <w:rFonts w:asciiTheme="majorBidi" w:hAnsiTheme="majorBidi" w:cstheme="majorBidi"/>
                                <w:b/>
                                <w:bCs/>
                                <w:i w:val="0"/>
                                <w:iCs w:val="0"/>
                                <w:color w:val="auto"/>
                                <w:sz w:val="20"/>
                                <w:szCs w:val="20"/>
                              </w:rPr>
                              <w:instrText xml:space="preserve"> SEQ Figure \* ARABIC </w:instrText>
                            </w:r>
                            <w:r w:rsidRPr="00E13228">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3</w:t>
                            </w:r>
                            <w:r w:rsidRPr="00E13228">
                              <w:rPr>
                                <w:rFonts w:asciiTheme="majorBidi" w:hAnsiTheme="majorBidi" w:cstheme="majorBidi"/>
                                <w:b/>
                                <w:bCs/>
                                <w:i w:val="0"/>
                                <w:iCs w:val="0"/>
                                <w:color w:val="auto"/>
                                <w:sz w:val="20"/>
                                <w:szCs w:val="20"/>
                              </w:rPr>
                              <w:fldChar w:fldCharType="end"/>
                            </w:r>
                            <w:bookmarkEnd w:id="11"/>
                            <w:r w:rsidRPr="00E13228">
                              <w:rPr>
                                <w:rFonts w:asciiTheme="majorBidi" w:hAnsiTheme="majorBidi" w:cstheme="majorBidi"/>
                                <w:b/>
                                <w:bCs/>
                                <w:i w:val="0"/>
                                <w:iCs w:val="0"/>
                                <w:color w:val="auto"/>
                                <w:sz w:val="20"/>
                                <w:szCs w:val="20"/>
                              </w:rPr>
                              <w:t>. Scalability of Super Smart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A0575" id="Text Box 10" o:spid="_x0000_s1027" type="#_x0000_t202" style="position:absolute;left:0;text-align:left;margin-left:66pt;margin-top:180.85pt;width:348.7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" stroked="f">
                <v:textbox style="mso-fit-shape-to-text:t" inset="0,0,0,0">
                  <w:txbxContent>
                    <w:p w14:paraId="26124AFE" w14:textId="55280233" w:rsidR="001F368F" w:rsidRPr="00E13228" w:rsidRDefault="001F368F" w:rsidP="004B1918">
                      <w:pPr>
                        <w:pStyle w:val="Caption"/>
                        <w:jc w:val="center"/>
                        <w:rPr>
                          <w:rFonts w:asciiTheme="majorBidi" w:hAnsiTheme="majorBidi" w:cstheme="majorBidi"/>
                          <w:b/>
                          <w:bCs/>
                          <w:i w:val="0"/>
                          <w:iCs w:val="0"/>
                          <w:noProof/>
                          <w:color w:val="auto"/>
                          <w:sz w:val="20"/>
                          <w:szCs w:val="20"/>
                        </w:rPr>
                      </w:pPr>
                      <w:bookmarkStart w:id="12" w:name="_Ref168038971"/>
                      <w:r w:rsidRPr="00E13228">
                        <w:rPr>
                          <w:rFonts w:asciiTheme="majorBidi" w:hAnsiTheme="majorBidi" w:cstheme="majorBidi"/>
                          <w:b/>
                          <w:bCs/>
                          <w:i w:val="0"/>
                          <w:iCs w:val="0"/>
                          <w:color w:val="auto"/>
                          <w:sz w:val="20"/>
                          <w:szCs w:val="20"/>
                        </w:rPr>
                        <w:t xml:space="preserve">Figure </w:t>
                      </w:r>
                      <w:r w:rsidRPr="00E13228">
                        <w:rPr>
                          <w:rFonts w:asciiTheme="majorBidi" w:hAnsiTheme="majorBidi" w:cstheme="majorBidi"/>
                          <w:b/>
                          <w:bCs/>
                          <w:i w:val="0"/>
                          <w:iCs w:val="0"/>
                          <w:color w:val="auto"/>
                          <w:sz w:val="20"/>
                          <w:szCs w:val="20"/>
                        </w:rPr>
                        <w:fldChar w:fldCharType="begin"/>
                      </w:r>
                      <w:r w:rsidRPr="00E13228">
                        <w:rPr>
                          <w:rFonts w:asciiTheme="majorBidi" w:hAnsiTheme="majorBidi" w:cstheme="majorBidi"/>
                          <w:b/>
                          <w:bCs/>
                          <w:i w:val="0"/>
                          <w:iCs w:val="0"/>
                          <w:color w:val="auto"/>
                          <w:sz w:val="20"/>
                          <w:szCs w:val="20"/>
                        </w:rPr>
                        <w:instrText xml:space="preserve"> SEQ Figure \* ARABIC </w:instrText>
                      </w:r>
                      <w:r w:rsidRPr="00E13228">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3</w:t>
                      </w:r>
                      <w:r w:rsidRPr="00E13228">
                        <w:rPr>
                          <w:rFonts w:asciiTheme="majorBidi" w:hAnsiTheme="majorBidi" w:cstheme="majorBidi"/>
                          <w:b/>
                          <w:bCs/>
                          <w:i w:val="0"/>
                          <w:iCs w:val="0"/>
                          <w:color w:val="auto"/>
                          <w:sz w:val="20"/>
                          <w:szCs w:val="20"/>
                        </w:rPr>
                        <w:fldChar w:fldCharType="end"/>
                      </w:r>
                      <w:bookmarkEnd w:id="12"/>
                      <w:r w:rsidRPr="00E13228">
                        <w:rPr>
                          <w:rFonts w:asciiTheme="majorBidi" w:hAnsiTheme="majorBidi" w:cstheme="majorBidi"/>
                          <w:b/>
                          <w:bCs/>
                          <w:i w:val="0"/>
                          <w:iCs w:val="0"/>
                          <w:color w:val="auto"/>
                          <w:sz w:val="20"/>
                          <w:szCs w:val="20"/>
                        </w:rPr>
                        <w:t>. Scalability of Super Smart Grid</w:t>
                      </w:r>
                    </w:p>
                  </w:txbxContent>
                </v:textbox>
                <w10:wrap type="square"/>
              </v:shape>
            </w:pict>
          </mc:Fallback>
        </mc:AlternateContent>
      </w:r>
      <w:r w:rsidR="00F44C32" w:rsidRPr="003676D3">
        <w:rPr>
          <w:rFonts w:ascii="Times New Roman" w:hAnsi="Times New Roman" w:cs="Times New Roman"/>
          <w:noProof/>
          <w:sz w:val="24"/>
          <w:szCs w:val="24"/>
          <w:lang w:eastAsia="en-GB"/>
        </w:rPr>
        <w:drawing>
          <wp:anchor distT="0" distB="0" distL="114300" distR="114300" simplePos="0" relativeHeight="251630592" behindDoc="0" locked="0" layoutInCell="1" allowOverlap="1" wp14:anchorId="500B8F54" wp14:editId="1807E63A">
            <wp:simplePos x="0" y="0"/>
            <wp:positionH relativeFrom="margin">
              <wp:posOffset>838200</wp:posOffset>
            </wp:positionH>
            <wp:positionV relativeFrom="paragraph">
              <wp:posOffset>20320</wp:posOffset>
            </wp:positionV>
            <wp:extent cx="4429125" cy="221932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60E6396" w14:textId="77777777" w:rsidR="00F44C32" w:rsidRPr="003676D3" w:rsidRDefault="00F44C32" w:rsidP="003676D3">
      <w:pPr>
        <w:spacing w:line="276" w:lineRule="auto"/>
        <w:jc w:val="both"/>
        <w:rPr>
          <w:rFonts w:ascii="Times New Roman" w:hAnsi="Times New Roman" w:cs="Times New Roman"/>
          <w:sz w:val="24"/>
          <w:szCs w:val="24"/>
        </w:rPr>
      </w:pPr>
    </w:p>
    <w:p w14:paraId="7DD066D7" w14:textId="77777777" w:rsidR="00F44C32" w:rsidRPr="003676D3" w:rsidRDefault="00F44C32" w:rsidP="003676D3">
      <w:pPr>
        <w:spacing w:line="276" w:lineRule="auto"/>
        <w:jc w:val="both"/>
        <w:rPr>
          <w:rFonts w:ascii="Times New Roman" w:hAnsi="Times New Roman" w:cs="Times New Roman"/>
          <w:sz w:val="24"/>
          <w:szCs w:val="24"/>
        </w:rPr>
      </w:pPr>
    </w:p>
    <w:p w14:paraId="6C545295" w14:textId="77777777" w:rsidR="00F44C32" w:rsidRPr="003676D3" w:rsidRDefault="00F44C32" w:rsidP="003676D3">
      <w:pPr>
        <w:spacing w:line="276" w:lineRule="auto"/>
        <w:jc w:val="both"/>
        <w:rPr>
          <w:rFonts w:ascii="Times New Roman" w:hAnsi="Times New Roman" w:cs="Times New Roman"/>
          <w:sz w:val="24"/>
          <w:szCs w:val="24"/>
        </w:rPr>
      </w:pPr>
    </w:p>
    <w:p w14:paraId="30342B13" w14:textId="77777777" w:rsidR="00F44C32" w:rsidRPr="003676D3" w:rsidRDefault="00F44C32" w:rsidP="003676D3">
      <w:pPr>
        <w:spacing w:line="276" w:lineRule="auto"/>
        <w:jc w:val="both"/>
        <w:rPr>
          <w:rFonts w:ascii="Times New Roman" w:hAnsi="Times New Roman" w:cs="Times New Roman"/>
          <w:sz w:val="24"/>
          <w:szCs w:val="24"/>
        </w:rPr>
      </w:pPr>
    </w:p>
    <w:p w14:paraId="35A1BBD6" w14:textId="77777777" w:rsidR="00F44C32" w:rsidRPr="003676D3" w:rsidRDefault="00F44C32" w:rsidP="003676D3">
      <w:pPr>
        <w:spacing w:line="276" w:lineRule="auto"/>
        <w:jc w:val="both"/>
        <w:rPr>
          <w:rFonts w:ascii="Times New Roman" w:hAnsi="Times New Roman" w:cs="Times New Roman"/>
          <w:sz w:val="24"/>
          <w:szCs w:val="24"/>
        </w:rPr>
      </w:pPr>
    </w:p>
    <w:p w14:paraId="2A143DD3" w14:textId="77777777" w:rsidR="00F44C32" w:rsidRPr="003676D3" w:rsidRDefault="00F44C32" w:rsidP="003676D3">
      <w:pPr>
        <w:spacing w:line="276" w:lineRule="auto"/>
        <w:jc w:val="both"/>
        <w:rPr>
          <w:rFonts w:ascii="Times New Roman" w:hAnsi="Times New Roman" w:cs="Times New Roman"/>
          <w:sz w:val="24"/>
          <w:szCs w:val="24"/>
        </w:rPr>
      </w:pPr>
    </w:p>
    <w:p w14:paraId="75C59BFB" w14:textId="77777777" w:rsidR="00F44C32" w:rsidRPr="003676D3" w:rsidRDefault="00F44C32" w:rsidP="003676D3">
      <w:pPr>
        <w:spacing w:line="276" w:lineRule="auto"/>
        <w:jc w:val="both"/>
        <w:rPr>
          <w:rFonts w:ascii="Times New Roman" w:hAnsi="Times New Roman" w:cs="Times New Roman"/>
          <w:sz w:val="24"/>
          <w:szCs w:val="24"/>
        </w:rPr>
      </w:pPr>
    </w:p>
    <w:p w14:paraId="4090F3B7" w14:textId="77777777" w:rsidR="00E13228" w:rsidRPr="003676D3" w:rsidRDefault="00E13228" w:rsidP="003676D3">
      <w:pPr>
        <w:spacing w:line="276" w:lineRule="auto"/>
        <w:jc w:val="both"/>
        <w:rPr>
          <w:rFonts w:ascii="Times New Roman" w:hAnsi="Times New Roman" w:cs="Times New Roman"/>
          <w:sz w:val="24"/>
          <w:szCs w:val="24"/>
        </w:rPr>
      </w:pPr>
    </w:p>
    <w:p w14:paraId="1C43B34F" w14:textId="79DC56A1" w:rsidR="00E7634E" w:rsidRPr="003676D3" w:rsidRDefault="00E7634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Energy management</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{"citationItems":[{"id":"ITEM-1","itemData":{"DOI":"10.1109/TSTE.2011.2161624","ISSN":"19493029","abstract":"The integration of renewable energy systems (RESs) in smart grids (SGs) is a challenging task, mainly due to the intermittent and unpredictable nature of the sources, typically wind or sun. Another issue concerns the way to support the consumers' participation in the electricity market aiming at minimizing the costs of the global energy consumption. This paper proposes an energy management system (EMS) aiming at optimizing the SG's operation. The EMS behaves as a sort of aggregator of distributed energy resources allowing the SG to participate in the open market. By integrating demand side management (DSM) and active management schemes (AMS), it allows a better exploitation of renewable energy sources and a reduction of the customers' energy consumption costs with both economic and environmental benefits. It can also improve the grid resilience and flexibility through the active participation of distribution system operators (DSOs) and electricity supply/demand that, according to their preferences and costs, respond to real-time price signals using market processes. The efficiency of the proposed EMS is verified on a 23-bus 11-kV distribution network.","author":[{"dropping-particle":"","family":"Cecati","given":"Carlo","non-dropping-particle":"","parse-names":false,"suffix":""},{"dropping-particle":"","family":"Citro","given":"Costantino","non-dropping-particle":"","parse-names":false,"suffix":""},{"dropping-particle":"","family":"Siano","given":"Pierluigi","non-dropping-particle":"","parse-names":false,"suffix":""}],"container-title":"IEEE Transactions on Sustainable Energy","id":"ITEM-1","issue":"4","issued":{"date-parts":[["2011","10"]]},"page":"468-476","title":"Combined Operations of Renewable Energy Systems and Responsive Demand in a Smart Grid","type":"article-journal","volume":"2"},"uris":["http://www.mendeley.com/documents/?uuid=a5a8e3cc-4691-3c53-bda2-02027802678e"]}],"mendeley":{"formattedCitation":"[82]","plainTextFormattedCitation":"[82]","previouslyFormattedCitation":"[82]"},"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[82]</w:t>
      </w:r>
      <w:r w:rsidR="00E13228"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with c</w:t>
      </w:r>
      <w:r w:rsidR="00B76FB3" w:rsidRPr="003676D3">
        <w:rPr>
          <w:rFonts w:ascii="Times New Roman" w:hAnsi="Times New Roman" w:cs="Times New Roman"/>
          <w:sz w:val="24"/>
          <w:szCs w:val="24"/>
        </w:rPr>
        <w:t>omputational capabilities is a pivotal</w:t>
      </w:r>
      <w:r w:rsidRPr="003676D3">
        <w:rPr>
          <w:rFonts w:ascii="Times New Roman" w:hAnsi="Times New Roman" w:cs="Times New Roman"/>
          <w:sz w:val="24"/>
          <w:szCs w:val="24"/>
        </w:rPr>
        <w:t xml:space="preserve"> part of the super smart grid environment. </w:t>
      </w:r>
      <w:r w:rsidR="00CE3ABA" w:rsidRPr="003676D3">
        <w:rPr>
          <w:rFonts w:ascii="Times New Roman" w:hAnsi="Times New Roman" w:cs="Times New Roman"/>
          <w:sz w:val="24"/>
          <w:szCs w:val="24"/>
        </w:rPr>
        <w:t>It</w:t>
      </w:r>
      <w:r w:rsidRPr="003676D3">
        <w:rPr>
          <w:rFonts w:ascii="Times New Roman" w:hAnsi="Times New Roman" w:cs="Times New Roman"/>
          <w:sz w:val="24"/>
          <w:szCs w:val="24"/>
        </w:rPr>
        <w:t xml:space="preserve"> enhances the grid </w:t>
      </w:r>
      <w:r w:rsidR="00E13228" w:rsidRPr="003676D3">
        <w:rPr>
          <w:rFonts w:ascii="Times New Roman" w:hAnsi="Times New Roman" w:cs="Times New Roman"/>
          <w:sz w:val="24"/>
          <w:szCs w:val="24"/>
        </w:rPr>
        <w:t>observability;</w:t>
      </w:r>
      <w:r w:rsidRPr="003676D3">
        <w:rPr>
          <w:rFonts w:ascii="Times New Roman" w:hAnsi="Times New Roman" w:cs="Times New Roman"/>
          <w:sz w:val="24"/>
          <w:szCs w:val="24"/>
        </w:rPr>
        <w:t xml:space="preserve"> improve performance, reliability, security as well as better control over assets. It also </w:t>
      </w:r>
      <w:r w:rsidR="00F70BE1" w:rsidRPr="003676D3">
        <w:rPr>
          <w:rFonts w:ascii="Times New Roman" w:hAnsi="Times New Roman" w:cs="Times New Roman"/>
          <w:sz w:val="24"/>
          <w:szCs w:val="24"/>
        </w:rPr>
        <w:t>surpasses</w:t>
      </w:r>
      <w:r w:rsidRPr="003676D3">
        <w:rPr>
          <w:rFonts w:ascii="Times New Roman" w:hAnsi="Times New Roman" w:cs="Times New Roman"/>
          <w:sz w:val="24"/>
          <w:szCs w:val="24"/>
        </w:rPr>
        <w:t xml:space="preserve"> the smart grid in terms of benefits for the improved environmental factors. While smart grids integrates renewable resources, micro-grid and demand response</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{"citationItems":[{"id":"ITEM-1","itemData":{"ISSN":"1949-3053","author":[{"dropping-particle":"","family":"Mnatsakanyan","given":"Ashot","non-dropping-particle":"","parse-names":false,"suffix":""},{"dropping-particle":"","family":"Kennedy","given":"Scott W","non-dropping-particle":"","parse-names":false,"suffix":""}],"container-title":"IEEE Transactions on Smart Grid","id":"ITEM-1","issue":"1","issued":{"date-parts":[["2014"]]},"page":"230-237","publisher":"IEEE","title":"A novel demand response model with an application for a virtual power plant","type":"article-journal","volume":"6"},"uris":["http://www.mendeley.com/documents/?uuid=f58243a1-9cd7-4131-be53-788adf7919b2"]},{"id":"ITEM-2","itemData":{"DOI":"10.1016/j.scs.2013.11.001","ISSN":"22106707","abstract":"This paper mainly focuses on demand side management and demand response, including drivers and benefits, shiftable load scheduling methods and peak shaving techniques. Demand side management techniques found in literature are overviewed and a novel electricity demand control technique using real-time pricing is proposed. Currently users have no means to change their power consumption to benefit the whole system. The proposed method consists of modern system identification and control that would enable user side load control. This would potentially balance demand side with supply side more effectively and would also reduce peak demand and make the whole system more efficient. © 2013 Elsevier B.V. All rights reserved.","author":[{"dropping-particle":"","family":"Gelazanskas","given":"Linas","non-dropping-particle":"","parse-names":false,"suffix":""},{"dropping-particle":"","family":"Gamage","given":"Kelum A.A.","non-dropping-particle":"","parse-names":false,"suffix":""}],"container-title":"Sustainable Cities and Society","id":"ITEM-2","issued":{"date-parts":[["2014"]]},"page":"22-30","publisher":"Elsevier B.V.","title":"Demand side management in smart grid: A review and proposals for future direction","type":"article-journal","volume":"11"},"uris":["http://www.mendeley.com/documents/?uuid=8fe27c4c-ea66-463c-a930-a033cca4ab0a"]},{"id":"ITEM-3","itemData":{"DOI":"10.1016/j.procs.2017.09.053","ISSN":"18770509","abstract":"Complex computer systems and electric power grids share many properties of how they behave and how they are structured. A microgrid is a smaller electric grid that contains several homes, energy storage units, and distributed generators. The main idea behind microgrids is the ability to work even if the main grid is not supplying power. That is, the energy storage unit and distributed generation will supply power in that case, and if there is excess in power production from renewable energy sources, it will go to the energy storage unit. Therefore, the electric grid becomes decentralized in terms of control and production. To deal with this change, one needs to interpret the electrical grid as a system of systems (SoS) and build new models that capture the dynamic behavior of the microgrid. In this paper, different models of electric components in a microgrid are presented. These models use complex system modeling techniques such as agent-based methods and system dynamics, or a combination of different methods to represent various electric elements. Examples show the simulation of the solar microgrid is presented to show the emergent properties of the interconnected system. Results and waveforms are discussed.","author":[{"dropping-particle":"","family":"Alzahrani","given":"Ahmad","non-dropping-particle":"","parse-names":false,"suffix":""},{"dropping-particle":"","family":"Ferdowsi","given":"Mehdi","non-dropping-particle":"","parse-names":false,"suffix":""},{"dropping-particle":"","family":"Shamsi","given":"Pourya","non-dropping-particle":"","parse-names":false,"suffix":""},{"dropping-particle":"","family":"Dagli","given":"Cihan H.","non-dropping-particle":"","parse-names":false,"suffix":""}],"container-title":"Procedia Computer Science","id":"ITEM-3","issued":{"date-parts":[["2017"]]},"note":"In this paper, Authors described the microgrid as systems of system with complex models that exhibits dynamic behaviour.The goal is to develop a diverse and autonomous system consisting of decentralized subsytems that can communicate and transits energy to meet load demand during power outages. Modelling of various elements including battery system, load, photovoltaic system and wind energy system is done. Battery system modelling include calculation of battery capacity(size) in Amp-hour, which is dependent on load, no. of days for which storage required, max depth of discharge and temp correction factor. Dynamics/ uncertainities arised in case of renewable energy integrating and for this reason, charge quantity of storage system is calculates and taken as control input; which is dependent upon self discharge factor, inverter efficiency, battery efficiency and charge quantity at a previous time(t-1). Load Modelling is done stochastically by artificial neural networks. Photovoltaic are modelled using irrdidiance and tilt factors. Solar irridiance is also forecasted using neural networks. For a wind turbine model, height and wind speed are main contributing factors in power output.For wind speeds less than cut in and greater than cut out, power output is zero. For wind speed greater than rated speed and less than cut out, yields rated power and less than rated speed yields a fraction of rated power. Wind speed can be odelled using ARMA(autoregressive moving average), HMM(hidden Markov models) and SVM(Support vector Machine) However, this paper used feedforward neural networks for wind speed.\n70% data is used for training and 30% for testing. Al networks are feedforward trained using back propagation algorithm.For Solar power as 1 output, 12 input neurons and 21 hidden neurons are used. input variables are irridiance, time and temperature.Model was trained using Levenberg-Marquardt backpropagtion algorithm. Load demand network has 15 input neuron, 25 hidden neurons. inputs are power demand, weather and corresponding time. Storage elements were modelled using 6 inputs.12 hidden and 1 output neuron; state of charge of storage element. For variable with two directions such as battery current, activation function is used. Modelling of microgrid with neural networks make it System of Systems with independent sources and can have ability to add extra sources. As a Case Study, Missouri S&amp;amp;T solar village is taken which consists of four solar homes tied to grid. An ideal source with 13.8kV in considered and system is taken as constant load with active and reactive power equal to 1MW and 1kVAR.Distribution transformer is of 50kVA. Battery storage rating is 60kWh, fuel cell 5kW, inverter 50kW and PV panels 2.4kW. Simulation results did not include storage elements and shows system is balanced and voltages are contant and steady and currents are within transformer limits.","page":"392-400","publisher":"Elsevier B.V.","title":"Modeling and Simulation of Microgrid","type":"article-journal","volume":"114"},"uris":["http://www.mendeley.com/documents/?uuid=79100111-8ff8-4246-8228-a046709a5fc0"]},{"id":"ITEM-4","itemData":{"DOI":"10.3390/en10040523","ISSN":"19961073","abstract":"© 2017 by the authors. Licensee MDPI, Basel, Switzerland. The expansion of renewable energies is progressing strongly. The influence on the power supply networks by the variability of the infeed must be met with new concepts. In this paper, we investigate the possibilities of integrating microgrids as a cooperating unit in the power supply network to support further expansion of renewable energy sources (RES) power plants. In this paper, a differentiation of microgrids from similar network structures is established, and a classification of proposed groups is made. Then, after the description of the simulation of the components in a microgrid, with practical advice, an example model is shown, which AIDS the dimensioning of the components within a microgrid to achieve a specified goal.","author":[{"dropping-particle":"","family":"Porsinger","given":"Tobias","non-dropping-particle":"","parse-names":false,"suffix":""},{"dropping-particle":"","family":"Janik","given":"Przemyslaw","non-dropping-particle":"","parse-names":false,"suffix":""},{"dropping-particle":"","family":"Leonowicz","given":"Zbigniew","non-dropping-particle":"","parse-names":false,"suffix":""},{"dropping-particle":"","family":"Gono","given":"Radomir","non-dropping-particle":"","parse-names":false,"suffix":""}],"container-title":"Energies","id":"ITEM-4","issue":"4","issued":{"date-parts":[["2017"]]},"page":"1-22","title":"Modelling and optimization in microgrids","type":"article-journal","volume":"10"},"uris":["http://www.mendeley.com/documents/?uuid=86f4ddc9-b998-4ee6-83aa-4a57fabe6780"]}],"mendeley":{"formattedCitation":"[83–86]","plainTextFormattedCitation":"[83–86]","previouslyFormattedCitation":"[83–86]"},"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[83–86]</w:t>
      </w:r>
      <w:r w:rsidR="00E13228" w:rsidRPr="003676D3">
        <w:rPr>
          <w:rFonts w:ascii="Times New Roman" w:hAnsi="Times New Roman" w:cs="Times New Roman"/>
          <w:sz w:val="24"/>
          <w:szCs w:val="24"/>
        </w:rPr>
        <w:fldChar w:fldCharType="end"/>
      </w:r>
      <w:r w:rsidRPr="003676D3">
        <w:rPr>
          <w:rFonts w:ascii="Times New Roman" w:hAnsi="Times New Roman" w:cs="Times New Roman"/>
          <w:sz w:val="24"/>
          <w:szCs w:val="24"/>
        </w:rPr>
        <w:t>, the super smart grids manages the ever-increasing size and complexity of smart grids paired with advanced communication system thereby increasing the reliability</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E13228" w:rsidRPr="003676D3">
        <w:rPr>
          <w:rFonts w:ascii="Times New Roman" w:hAnsi="Times New Roman" w:cs="Times New Roman"/>
          <w:sz w:val="24"/>
          <w:szCs w:val="24"/>
        </w:rPr>
        <w:instrText>ADDIN CSL_CITATION {"citationItems":[{"id":"ITEM-1","itemData":{"author":[{"dropping-particle":"","family":"Cortes","given":"Camilo A","non-dropping-particle":"","parse-names":false,"suffix":""},{"dropping-particle":"","family":"Contreras","given":"Sergio F","non-dropping-particle":"","parse-names":false,"suffix":""},{"dropping-particle":"","family":"Shahidehpour","given":"Mohammad","non-dropping-particle":"","parse-names":false,"suffix":""}],"container-title":"IEEE Transactions on Smart Grid","id":"ITEM-1","issue":"6","issued":{"date-parts":[["2018"]]},"page":"6369-6377","publisher":"IEEE","title":"Microgrid topology planning for enhancing the reliability of active distribution networks","type":"article-journal","volume":"9"},"uris":["http://www.mendeley.com/documents/?uuid=34bfc9af-ce82-4381-9951-16b776bf0d52"]},{"id":"ITEM-2","itemData":{"ISSN":"0885-8950","author":[{"dropping-particle":"","family":"Bie","given":"Zhaohong","non-dropping-particle":"","parse-names":false,"suffix":""},{"dropping-particle":"","family":"Zhang","given":"Peng","non-dropping-particle":"","parse-names":false,"suffix":""},{"dropping-particle":"","family":"Li","given":"Gengfeng","non-dropping-particle":"","parse-names":false,"suffix":""},{"dropping-particle":"","family":"Hua","given":"Bowen","non-dropping-particle":"","parse-names":false,"suffix":""},{"dropping-particle":"","family":"Meehan","given":"Matthew","non-dropping-particle":"","parse-names":false,"suffix":""},{"dropping-particle":"","family":"Wang","given":"Xifan","non-dropping-particle":"","parse-names":false,"suffix":""}],"container-title":"IEEE Transactions on power systems","id":"ITEM-2","issue":"4","issued":{"date-parts":[["2012"]]},"page":"2342-2350","publisher":"IEEE","title":"Reliability evaluation of active distribution systems including microgrids","type":"article-journal","volume":"27"},"uris":["http://www.mendeley.com/documents/?uuid=feb31658-1bba-4139-9db3-e81a5b5a9d4d"]}],"mendeley":{"formattedCitation":"[87,88]","plainTextFormattedCitation":"[87,88]","previouslyFormattedCitation":"[87,88]"},"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[87,88]</w:t>
      </w:r>
      <w:r w:rsidR="00E13228"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for the prosumers. </w:t>
      </w:r>
    </w:p>
    <w:p w14:paraId="7DE6B7B6" w14:textId="35A53F36" w:rsidR="002431D5" w:rsidRPr="003676D3" w:rsidRDefault="00CE3AB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true nature, SSG are large-scale smart grids with enhanced automation, even higher computation and complex control strategies.</w:t>
      </w:r>
      <w:r w:rsidR="0036426F" w:rsidRPr="003676D3">
        <w:rPr>
          <w:rFonts w:ascii="Times New Roman" w:hAnsi="Times New Roman" w:cs="Times New Roman"/>
          <w:sz w:val="24"/>
          <w:szCs w:val="24"/>
        </w:rPr>
        <w:t xml:space="preserve"> Connecting</w:t>
      </w:r>
      <w:r w:rsidR="002431D5" w:rsidRPr="003676D3">
        <w:rPr>
          <w:rFonts w:ascii="Times New Roman" w:hAnsi="Times New Roman" w:cs="Times New Roman"/>
          <w:sz w:val="24"/>
          <w:szCs w:val="24"/>
        </w:rPr>
        <w:t xml:space="preserve"> national and regional </w:t>
      </w:r>
      <w:r w:rsidR="0036426F" w:rsidRPr="003676D3">
        <w:rPr>
          <w:rFonts w:ascii="Times New Roman" w:hAnsi="Times New Roman" w:cs="Times New Roman"/>
          <w:sz w:val="24"/>
          <w:szCs w:val="24"/>
        </w:rPr>
        <w:t xml:space="preserve">level </w:t>
      </w:r>
      <w:r w:rsidR="002431D5" w:rsidRPr="003676D3">
        <w:rPr>
          <w:rFonts w:ascii="Times New Roman" w:hAnsi="Times New Roman" w:cs="Times New Roman"/>
          <w:sz w:val="24"/>
          <w:szCs w:val="24"/>
        </w:rPr>
        <w:t>smart grid</w:t>
      </w:r>
      <w:r w:rsidR="0036426F" w:rsidRPr="003676D3">
        <w:rPr>
          <w:rFonts w:ascii="Times New Roman" w:hAnsi="Times New Roman" w:cs="Times New Roman"/>
          <w:sz w:val="24"/>
          <w:szCs w:val="24"/>
        </w:rPr>
        <w:t>s, thereby making SSG could</w:t>
      </w:r>
      <w:r w:rsidR="002431D5" w:rsidRPr="003676D3">
        <w:rPr>
          <w:rFonts w:ascii="Times New Roman" w:hAnsi="Times New Roman" w:cs="Times New Roman"/>
          <w:sz w:val="24"/>
          <w:szCs w:val="24"/>
        </w:rPr>
        <w:t xml:space="preserve"> bring together various stakeholders to facilitate th</w:t>
      </w:r>
      <w:r w:rsidR="0036426F" w:rsidRPr="003676D3">
        <w:rPr>
          <w:rFonts w:ascii="Times New Roman" w:hAnsi="Times New Roman" w:cs="Times New Roman"/>
          <w:sz w:val="24"/>
          <w:szCs w:val="24"/>
        </w:rPr>
        <w:t>is</w:t>
      </w:r>
      <w:r w:rsidR="002431D5" w:rsidRPr="003676D3">
        <w:rPr>
          <w:rFonts w:ascii="Times New Roman" w:hAnsi="Times New Roman" w:cs="Times New Roman"/>
          <w:sz w:val="24"/>
          <w:szCs w:val="24"/>
        </w:rPr>
        <w:t xml:space="preserve"> transition</w:t>
      </w:r>
      <w:r w:rsidR="0036426F" w:rsidRPr="003676D3">
        <w:rPr>
          <w:rFonts w:ascii="Times New Roman" w:hAnsi="Times New Roman" w:cs="Times New Roman"/>
          <w:sz w:val="24"/>
          <w:szCs w:val="24"/>
        </w:rPr>
        <w:t xml:space="preserve"> by making collaborating platforms</w:t>
      </w:r>
      <w:r w:rsidR="002431D5" w:rsidRPr="003676D3">
        <w:rPr>
          <w:rFonts w:ascii="Times New Roman" w:hAnsi="Times New Roman" w:cs="Times New Roman"/>
          <w:sz w:val="24"/>
          <w:szCs w:val="24"/>
        </w:rPr>
        <w:t xml:space="preserve">. </w:t>
      </w:r>
      <w:r w:rsidR="0036426F" w:rsidRPr="003676D3">
        <w:rPr>
          <w:rFonts w:ascii="Times New Roman" w:hAnsi="Times New Roman" w:cs="Times New Roman"/>
          <w:sz w:val="24"/>
          <w:szCs w:val="24"/>
        </w:rPr>
        <w:t>Through which they can</w:t>
      </w:r>
      <w:r w:rsidR="002431D5" w:rsidRPr="003676D3">
        <w:rPr>
          <w:rFonts w:ascii="Times New Roman" w:hAnsi="Times New Roman" w:cs="Times New Roman"/>
          <w:sz w:val="24"/>
          <w:szCs w:val="24"/>
        </w:rPr>
        <w:t xml:space="preserve"> promote collaborative initiatives, </w:t>
      </w:r>
      <w:r w:rsidR="002431D5" w:rsidRPr="003676D3">
        <w:rPr>
          <w:rFonts w:ascii="Times New Roman" w:hAnsi="Times New Roman" w:cs="Times New Roman"/>
          <w:sz w:val="24"/>
          <w:szCs w:val="24"/>
        </w:rPr>
        <w:lastRenderedPageBreak/>
        <w:t xml:space="preserve">share best practices, and exchange </w:t>
      </w:r>
      <w:r w:rsidR="0036426F" w:rsidRPr="003676D3">
        <w:rPr>
          <w:rFonts w:ascii="Times New Roman" w:hAnsi="Times New Roman" w:cs="Times New Roman"/>
          <w:sz w:val="24"/>
          <w:szCs w:val="24"/>
        </w:rPr>
        <w:t xml:space="preserve">the </w:t>
      </w:r>
      <w:r w:rsidR="002431D5" w:rsidRPr="003676D3">
        <w:rPr>
          <w:rFonts w:ascii="Times New Roman" w:hAnsi="Times New Roman" w:cs="Times New Roman"/>
          <w:sz w:val="24"/>
          <w:szCs w:val="24"/>
        </w:rPr>
        <w:t>lessons learned</w:t>
      </w:r>
      <w:r w:rsidR="00A10F90" w:rsidRPr="003676D3">
        <w:rPr>
          <w:rFonts w:ascii="Times New Roman" w:hAnsi="Times New Roman" w:cs="Times New Roman"/>
          <w:sz w:val="24"/>
          <w:szCs w:val="24"/>
        </w:rPr>
        <w:t>. This</w:t>
      </w:r>
      <w:r w:rsidR="0036426F" w:rsidRPr="003676D3">
        <w:rPr>
          <w:rFonts w:ascii="Times New Roman" w:hAnsi="Times New Roman" w:cs="Times New Roman"/>
          <w:sz w:val="24"/>
          <w:szCs w:val="24"/>
        </w:rPr>
        <w:t xml:space="preserve"> </w:t>
      </w:r>
      <w:r w:rsidR="002431D5" w:rsidRPr="003676D3">
        <w:rPr>
          <w:rFonts w:ascii="Times New Roman" w:hAnsi="Times New Roman" w:cs="Times New Roman"/>
          <w:sz w:val="24"/>
          <w:szCs w:val="24"/>
        </w:rPr>
        <w:t>foster</w:t>
      </w:r>
      <w:r w:rsidR="00A10F90" w:rsidRPr="003676D3">
        <w:rPr>
          <w:rFonts w:ascii="Times New Roman" w:hAnsi="Times New Roman" w:cs="Times New Roman"/>
          <w:sz w:val="24"/>
          <w:szCs w:val="24"/>
        </w:rPr>
        <w:t>s</w:t>
      </w:r>
      <w:r w:rsidR="002431D5" w:rsidRPr="003676D3">
        <w:rPr>
          <w:rFonts w:ascii="Times New Roman" w:hAnsi="Times New Roman" w:cs="Times New Roman"/>
          <w:sz w:val="24"/>
          <w:szCs w:val="24"/>
        </w:rPr>
        <w:t xml:space="preserve"> innovation and progress in smart grid technology on both local and national levels</w:t>
      </w:r>
      <w:r w:rsidR="00E13228" w:rsidRPr="003676D3">
        <w:rPr>
          <w:rFonts w:ascii="Times New Roman" w:hAnsi="Times New Roman" w:cs="Times New Roman"/>
          <w:sz w:val="24"/>
          <w:szCs w:val="24"/>
        </w:rPr>
        <w:t xml:space="preserve"> </w:t>
      </w:r>
      <w:r w:rsidR="00E13228"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10.2760/15583","ISBN":"978-92-79-68899-7","ISSN":"1018-5593","author":[{"dropping-particle":"","family":"GANGALE","given":"Flavia","non-dropping-particle":"","parse-names":false,"suffix":""},{"dropping-particle":"","family":"VASILJEVSKA","given":"Julija","non-dropping-particle":"","parse-names":false,"suffix":""},{"dropping-particle":"","family":"COVRIG","given":"Catalin-Felix","non-dropping-particle":"","parse-names":false,"suffix":""},{"dropping-particle":"","family":"MENGOLINI","given":"Anna Maria","non-dropping-particle":"","parse-names":false,"suffix":""},{"dropping-particle":"","family":"FULLI","given":"Gianluca","non-dropping-particle":"","parse-names":false,"suffix":""}],"id":"ITEM-1","issued":{"date-parts":[["0"]]},"title":"Smart grid projects outlook 2017: facts, figures and trends in Europe","type":"article-journal"},"uris":["http://www.mendeley.com/documents/?uuid=80052136-8827-3f68-ab54-d5174523d764"]},{"id":"ITEM-2","itemData":{"author":[{"dropping-particle":"","family":"Arefifar","given":"Seyed Ali","non-dropping-particle":"","parse-names":false,"suffix":""},{"dropping-particle":"","family":"Yasser","given":"A-RI Mohamed","non-dropping-particle":"","parse-names":false,"suffix":""},{"dropping-particle":"","family":"El-Fouly","given":"Tarek H M","non-dropping-particle":"","parse-names":false,"suffix":""}],"container-title":"IEEE Transactions on Smart Grid","id":"ITEM-2","issue":"3","issued":{"date-parts":[["2013"]]},"page":"1567-1575","publisher":"IEEE","title":"Optimum microgrid design for enhancing reliability and supply-security","type":"article-journal","volume":"4"},"uris":["http://www.mendeley.com/documents/?uuid=87ba286a-cc6e-4e93-9a33-576f8b744847"]}],"mendeley":{"formattedCitation":"[78,89]","plainTextFormattedCitation":"[78,89]","previouslyFormattedCitation":"[78,89]"},"properties":{"noteIndex":0},"schema":"https://github.com/citation-style-language/schema/raw/master/csl-citation.json"}</w:instrText>
      </w:r>
      <w:r w:rsidR="00E13228" w:rsidRPr="003676D3">
        <w:rPr>
          <w:rFonts w:ascii="Times New Roman" w:hAnsi="Times New Roman" w:cs="Times New Roman"/>
          <w:sz w:val="24"/>
          <w:szCs w:val="24"/>
        </w:rPr>
        <w:fldChar w:fldCharType="separate"/>
      </w:r>
      <w:r w:rsidR="00E13228" w:rsidRPr="003676D3">
        <w:rPr>
          <w:rFonts w:ascii="Times New Roman" w:hAnsi="Times New Roman" w:cs="Times New Roman"/>
          <w:noProof/>
          <w:sz w:val="24"/>
          <w:szCs w:val="24"/>
        </w:rPr>
        <w:t>[78,89]</w:t>
      </w:r>
      <w:r w:rsidR="00E13228" w:rsidRPr="003676D3">
        <w:rPr>
          <w:rFonts w:ascii="Times New Roman" w:hAnsi="Times New Roman" w:cs="Times New Roman"/>
          <w:sz w:val="24"/>
          <w:szCs w:val="24"/>
        </w:rPr>
        <w:fldChar w:fldCharType="end"/>
      </w:r>
      <w:r w:rsidR="002431D5" w:rsidRPr="003676D3">
        <w:rPr>
          <w:rFonts w:ascii="Times New Roman" w:hAnsi="Times New Roman" w:cs="Times New Roman"/>
          <w:sz w:val="24"/>
          <w:szCs w:val="24"/>
        </w:rPr>
        <w:t xml:space="preserve">. </w:t>
      </w:r>
    </w:p>
    <w:p w14:paraId="7077F4B6" w14:textId="69399771" w:rsidR="00CE6578" w:rsidRPr="003676D3" w:rsidRDefault="00CE657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Three principal systems of </w:t>
      </w:r>
      <w:r w:rsidR="00CE3ABA" w:rsidRPr="003676D3">
        <w:rPr>
          <w:rFonts w:ascii="Times New Roman" w:hAnsi="Times New Roman" w:cs="Times New Roman"/>
          <w:sz w:val="24"/>
          <w:szCs w:val="24"/>
        </w:rPr>
        <w:t xml:space="preserve">any </w:t>
      </w:r>
      <w:r w:rsidR="00B76FB3" w:rsidRPr="003676D3">
        <w:rPr>
          <w:rFonts w:ascii="Times New Roman" w:hAnsi="Times New Roman" w:cs="Times New Roman"/>
          <w:sz w:val="24"/>
          <w:szCs w:val="24"/>
        </w:rPr>
        <w:t>SG</w:t>
      </w:r>
      <w:r w:rsidRPr="003676D3">
        <w:rPr>
          <w:rFonts w:ascii="Times New Roman" w:hAnsi="Times New Roman" w:cs="Times New Roman"/>
          <w:sz w:val="24"/>
          <w:szCs w:val="24"/>
        </w:rPr>
        <w:t xml:space="preserve"> are investigated in</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{"citationItems":[{"id":"ITEM-1","itemData":{"DOI":"10.1109/SURV.2011.101911.00087","ISSN":"1553-877X","abstract":"The Smart Grid, regarded as the next generation power grid, uses two-way flows of electricity and information to create a widely distributed automated energy delivery network. In this article, we survey the literature till 2011 on the enabling technologies for the Smart Grid. We explore three major systems, namely the smart infrastructure system, the smart management system, and the smart protection system. We also propose possible future directions in each system. Specifically, for the smart infrastructure system, we explore the smart energy subsystem, the smart information subsystem, and the smart communication subsystem. For the smart management system, we explore various management objectives, such as improving energy efficiency, profiling demand, maximizing utility, reducing cost, and controlling emission. We also explore various management methods to achieve these objectives. For the smart protection system, we explore various failure protection mechanisms which improve the reliability of the Smart Grid, and explore the security and privacy issues in the Smart Grid. © 2012 IEEE.","author":[{"dropping-particle":"","family":"Fang","given":"Xi","non-dropping-particle":"","parse-names":false,"suffix":""},{"dropping-particle":"","family":"Misra","given":"Satyajayant","non-dropping-particle":"","parse-names":false,"suffix":""},{"dropping-particle":"","family":"Xue","given":"Guoliang","non-dropping-particle":"","parse-names":false,"suffix":""},{"dropping-particle":"","family":"Yang","given":"Dejun","non-dropping-particle":"","parse-names":false,"suffix":""}],"container-title":"IEEE Communications Surveys and Tutorials","id":"ITEM-1","issue":"4","issued":{"date-parts":[["2012"]]},"page":"944-980","publisher":"Institute of Electrical and Electronics Engineers Inc.","title":"Smart grid - The new and improved power grid: A survey","type":"article-journal","volume":"14"},"uris":["http://www.mendeley.com/documents/?uuid=a43feeae-5983-3a0f-b12f-41fdc3d4bd34"]},{"id":"ITEM-2","itemData":{"DOI":"10.1109/JIOT.2016.2640563","ISSN":"23274662","abstract":"The smart grid, as one of typical applications supported by Internet of Things, denoted as a re-engineering and a modernization of the traditional power grid, aims to provide reliable, secure, and efficient energy transmission and distribution to consumers. How to effectively integrate distributed (renewable) energy resources and storage devices to satisfy the energy service requirements of users, while minimizing the power generation and transmission cost, remains a highly pressing challenge in the smart grid. To address this challenge and assess the effectiveness of integrating distributed energy resources and storage devices, in this paper, we develop a theoretical framework to model and analyze three types of power grid systems: 1) the power grid with only bulk energy generators; 2) the power grid with distributed energy resources; and 3) the power grid with both distributed energy resources and storage devices. Based on the metrics of the power cumulative cost and the service reliability to users, we formally model and analyze the impact of integrating distributed energy resources and storage devices in the power grid. We also use the concept of network calculus, which has been traditionally used for carrying out traffic engineering in computer networks, to derive the bounds of both power supply and user demand to achieve a high service reliability to users. Through an extensive performance evaluation, our evaluation results show that integrating distributed energy resources conjointly with energy storage devices can reduce generation costs, smooth the curve of bulk power generation over time, reduce bulk power generation and power distribution losses, and provide a sustainable service reliability to users in the power grid.","author":[{"dropping-particle":"","family":"Xu","given":"Guobin","non-dropping-particle":"","parse-names":false,"suffix":""},{"dropping-particle":"","family":"Yu","given":"Wei","non-dropping-particle":"","parse-names":false,"suffix":""},{"dropping-particle":"","family":"Griffith","given":"David","non-dropping-particle":"","parse-names":false,"suffix":""},{"dropping-particle":"","family":"Golmie","given":"Nada","non-dropping-particle":"","parse-names":false,"suffix":""},{"dropping-particle":"","family":"Moulema","given":"Paul","non-dropping-particle":"","parse-names":false,"suffix":""}],"container-title":"IEEE Internet of Things Journal","id":"ITEM-2","issue":"1","issued":{"date-parts":[["2017"]]},"page":"192-204","title":"Toward Integrating Distributed Energy Resources and Storage Devices in Smart Grid","type":"article-journal","volume":"4"},"uris":["http://www.mendeley.com/documents/?uuid=58032328-68be-4b1f-9089-f28d89101f40"]},{"id":"ITEM-3","itemData":{"ISBN":"1118978773","author":[{"dropping-particle":"","family":"Keyhani","given":"Ali","non-dropping-particle":"","parse-names":false,"suffix":""}],"id":"ITEM-3","issued":{"date-parts":[["2016"]]},"publisher":"John Wiley &amp; Sons","title":"Design of smart power grid renewable energy systems","type":"book"},"uris":["http://www.mendeley.com/documents/?uuid=0ac0f7e5-e6e8-47ca-bb8e-9a3c7641dbf5"]},{"id":"ITEM-4","itemData":{"ISBN":"1479913030","author":[{"dropping-particle":"","family":"Morais","given":"Hugo","non-dropping-particle":"","parse-names":false,"suffix":""},{"dropping-particle":"","family":"Sousa","given":"Tiago","non-dropping-particle":"","parse-names":false,"suffix":""},{"dropping-particle":"","family":"Faria","given":"Pedro","non-dropping-particle":"","parse-names":false,"suffix":""},{"dropping-particle":"","family":"Vale","given":"Zita","non-dropping-particle":"","parse-names":false,"suffix":""}],"container-title":"2013 IEEE Power &amp; Energy Society General Meeting","id":"ITEM-4","issued":{"date-parts":[["2013"]]},"page":"1-5","publisher":"IEEE","title":"Reactive power management strategies in future smart grids","type":"paper-conference"},"uris":["http://www.mendeley.com/documents/?uuid=915bb2e2-8910-43ae-8354-588e65809bfd"]}],"mendeley":{"formattedCitation":"[90–93]","plainTextFormattedCitation":"[90–93]","previouslyFormattedCitation":"[90–93]"},"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[90–93]</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the smart infrastructure system, the smart management system, and the smart protection system. Within the smart infrastructure system, the study delve into the constituent subsystems including smart energy, smart information, and smart communication. Within the smart management system, diverse management objectives such as enhancing energy efficiency, demand profiling,</w:t>
      </w:r>
      <w:r w:rsidR="006628AC" w:rsidRPr="003676D3">
        <w:rPr>
          <w:rFonts w:ascii="Times New Roman" w:hAnsi="Times New Roman" w:cs="Times New Roman"/>
          <w:sz w:val="24"/>
          <w:szCs w:val="24"/>
        </w:rPr>
        <w:t xml:space="preserve"> load forecasting,</w:t>
      </w:r>
      <w:r w:rsidRPr="003676D3">
        <w:rPr>
          <w:rFonts w:ascii="Times New Roman" w:hAnsi="Times New Roman" w:cs="Times New Roman"/>
          <w:sz w:val="24"/>
          <w:szCs w:val="24"/>
        </w:rPr>
        <w:t xml:space="preserve"> maximizing utility, cost reduction, and emission control, along with corresponding management strategies were analyzed</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{"citationItems":[{"id":"ITEM-1","itemData":{"DOI":"10.1109/MIE.2011.942176","ISSN":"19324529","abstract":"The power grid is a massive interconnected network used to deliver electricity from suppliers to consumers and has been a vital energy supply. To minimize the impact of climate change while at the same time maintaining social prosperity, smart energy must be embraced to ensure a balanced economical growth and environmental sustainability. Therefore, in the last few years, the new concept of a smart grid (SG) became a critical enabler in the contemporary world and has attracted increasing attention of policy makers and engineers. This article introduces the main concepts and technological challenges of SGs and presents the authors views on some required challenges and opportunities presented to the IEEE Industrial Electronics Society (IES) in this new and exciting frontier. © 2011 IEEE.","author":[{"dropping-particle":"","family":"Yu","given":"Xinghuo","non-dropping-particle":"","parse-names":false,"suffix":""},{"dropping-particle":"","family":"Cecati","given":"Carlo","non-dropping-particle":"","parse-names":false,"suffix":""},{"dropping-particle":"","family":"Dillon","given":"Tharam","non-dropping-particle":"","parse-names":false,"suffix":""},{"dropping-particle":"","family":"Simes","given":"M. Godoy","non-dropping-particle":"","parse-names":false,"suffix":""}],"container-title":"IEEE Industrial Electronics Magazine","id":"ITEM-1","issue":"3","issued":{"date-parts":[["2011","9"]]},"page":"49-63","title":"The new frontier of smart grids","type":"article-journal","volume":"5"},"uris":["http://www.mendeley.com/documents/?uuid=701bdda0-c453-35a9-8343-67678d7a5dcd"]}],"mendeley":{"formattedCitation":"[94]","plainTextFormattedCitation":"[94]","previouslyFormattedCitation":"[94]"},"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[94]</w:t>
      </w:r>
      <w:r w:rsidR="006628AC" w:rsidRPr="003676D3">
        <w:rPr>
          <w:rFonts w:ascii="Times New Roman" w:hAnsi="Times New Roman" w:cs="Times New Roman"/>
          <w:sz w:val="24"/>
          <w:szCs w:val="24"/>
        </w:rPr>
        <w:fldChar w:fldCharType="end"/>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{"citationItems":[{"id":"ITEM-1","itemData":{"DOI":"10.1016/J.ENERGY.2015.04.039","ISSN":"0360-5442","abstract":"Scientific community is currently doing a great effort of research in the area of Smart Grids because energy production, distribution, and consumption play a critical role in the sustainability of the planet. The main challenge lies in intelligently integrating the actions of all users connected to the grid. In this context, electricity load forecasting methodologies is a key component for demand-side management. This research compares the accuracy of different Machine Learning methodologies for the hourly energy forecasting in buildings. The main goal of this work is to demonstrate the performance of these models and their scalability for different consumption profiles. We propose a hybrid methodology that combines feature selection based on entropies with soft computing and machine learning approaches, i.e. Fuzzy Inductive Reasoning, Random Forest and Neural Networks. They are also compared with a traditional statistical technique ARIMA (AutoRegressive Integrated Moving Average). In addition, in contrast to the general approaches where offline modelling takes considerable time, the approaches discussed in this work generate fast and reliable models, with low computational costs. These approaches could be embedded, for instance, in a second generation of smart meters, where they could generate on-site electricity forecasting of the next hours, or even trade the excess of energy.","author":[{"dropping-particle":"","family":"Jurado","given":"Sergio","non-dropping-particle":"","parse-names":false,"suffix":""},{"dropping-particle":"","family":"Nebot","given":"Àngela","non-dropping-particle":"","parse-names":false,"suffix":""},{"dropping-particle":"","family":"Mugica","given":"Fransisco","non-dropping-particle":"","parse-names":false,"suffix":""},{"dropping-particle":"","family":"Avellana","given":"Narcís","non-dropping-particle":"","parse-names":false,"suffix":""}],"container-title":"Energy","id":"ITEM-1","issued":{"date-parts":[["2015","6","15"]]},"page":"276-291","publisher":"Pergamon","title":"Hybrid methodologies for electricity load forecasting: Entropy-based feature selection with machine learning and soft computing techniques","type":"article-journal","volume":"86"},"uris":["http://www.mendeley.com/documents/?uuid=efd045d6-d660-3b47-8653-b5eef82a30fd"]},{"id":"ITEM-2","itemData":{"DOI":"10.1109/TSTE.2011.2161624","ISSN":"19493029","abstract":"The integration of renewable energy systems (RESs) in smart grids (SGs) is a challenging task, mainly due to the intermittent and unpredictable nature of the sources, typically wind or sun. Another issue concerns the way to support the consumers' participation in the electricity market aiming at minimizing the costs of the global energy consumption. This paper proposes an energy management system (EMS) aiming at optimizing the SG's operation. The EMS behaves as a sort of aggregator of distributed energy resources allowing the SG to participate in the open market. By integrating demand side management (DSM) and active management schemes (AMS), it allows a better exploitation of renewable energy sources and a reduction of the customers' energy consumption costs with both economic and environmental benefits. It can also improve the grid resilience and flexibility through the active participation of distribution system operators (DSOs) and electricity supply/demand that, according to their preferences and costs, respond to real-time price signals using market processes. The efficiency of the proposed EMS is verified on a 23-bus 11-kV distribution network.","author":[{"dropping-particle":"","family":"Cecati","given":"Carlo","non-dropping-particle":"","parse-names":false,"suffix":""},{"dropping-particle":"","family":"Citro","given":"Costantino","non-dropping-particle":"","parse-names":false,"suffix":""},{"dropping-particle":"","family":"Siano","given":"Pierluigi","non-dropping-particle":"","parse-names":false,"suffix":""}],"container-title":"IEEE Transactions on Sustainable Energy","id":"ITEM-2","issue":"4","issued":{"date-parts":[["2011","10"]]},"page":"468-476","title":"Combined Operations of Renewable Energy Systems and Responsive Demand in a Smart Grid","type":"article-journal","volume":"2"},"uris":["http://www.mendeley.com/documents/?uuid=a5a8e3cc-4691-3c53-bda2-02027802678e"]},{"id":"ITEM-3","itemData":{"DOI":"10.1049/CP.2009.0990","ISBN":"9781849191265","abstract":"In this paper we present a strategic approach for energy management of distributed electric resources in low-voltage networks with special consideration of services for the distribution system operator (DSO). A system comprising Bidirectional Energy Management Interfaces (BEMIs) developed and tested at ISET, carrying out decentralized decisions and grid supervision is introduced. The paper presents operational states and possible applications of the proposed system in the distribution grid as well as a simulation designed for researching the system's behaviour. Finally first results are given on the simulation-based development of an algorithm implementing a new approach for incentive-based voltage control, which is one of the system's advanced applications.","author":[{"dropping-particle":"","family":"Ringelstein","given":"Jan","non-dropping-particle":"","parse-names":false,"suffix":""},{"dropping-particle":"","family":"Nestle","given":"David","non-dropping-particle":"","parse-names":false,"suffix":""}],"container-title":"IET Conference Publications","id":"ITEM-3","issue":"550 CP","issued":{"date-parts":[["2009"]]},"title":"APPLICATION OF BIDIRECTIONAL ENERGY MANAGEMENT INTERFACES FOR DISTRIBUTION GRID SERVICES","type":"article-journal"},"uris":["http://www.mendeley.com/documents/?uuid=2836d292-cd01-32c6-9632-581d91fbdddf"]},{"id":"ITEM-4","itemData":{"DOI":"10.1016/j.scs.2013.11.001","ISSN":"22106707","abstract":"This paper mainly focuses on demand side management and demand response, including drivers and benefits, shiftable load scheduling methods and peak shaving techniques. Demand side management techniques found in literature are overviewed and a novel electricity demand control technique using real-time pricing is proposed. Currently users have no means to change their power consumption to benefit the whole system. The proposed method consists of modern system identification and control that would enable user side load control. This would potentially balance demand side with supply side more effectively and would also reduce peak demand and make the whole system more efficient. © 2013 Elsevier B.V. All rights reserved.","author":[{"dropping-particle":"","family":"Gelazanskas","given":"Linas","non-dropping-particle":"","parse-names":false,"suffix":""},{"dropping-particle":"","family":"Gamage","given":"Kelum A.A.","non-dropping-particle":"","parse-names":false,"suffix":""}],"container-title":"Sustainable Cities and Society","id":"ITEM-4","issued":{"date-parts":[["2014"]]},"page":"22-30","publisher":"Elsevier B.V.","title":"Demand side management in smart grid: A review and proposals for future direction","type":"article-journal","volume":"11"},"uris":["http://www.mendeley.com/documents/?uuid=8fe27c4c-ea66-463c-a930-a033cca4ab0a"]}],"mendeley":{"formattedCitation":"[72,82,84,95]","plainTextFormattedCitation":"[72,82,84,95]","previouslyFormattedCitation":"[72,82,84,95]"},"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[72,82,84,95]</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Within the smart protection system, various mechanisms </w:t>
      </w:r>
      <w:r w:rsidR="00CD7701" w:rsidRPr="003676D3">
        <w:rPr>
          <w:rFonts w:ascii="Times New Roman" w:hAnsi="Times New Roman" w:cs="Times New Roman"/>
          <w:sz w:val="24"/>
          <w:szCs w:val="24"/>
        </w:rPr>
        <w:t>aimed at enhancing SG</w:t>
      </w:r>
      <w:r w:rsidRPr="003676D3">
        <w:rPr>
          <w:rFonts w:ascii="Times New Roman" w:hAnsi="Times New Roman" w:cs="Times New Roman"/>
          <w:sz w:val="24"/>
          <w:szCs w:val="24"/>
        </w:rPr>
        <w:t xml:space="preserve"> reliability, as well as the privacy</w:t>
      </w:r>
      <w:r w:rsidR="00CD7701" w:rsidRPr="003676D3">
        <w:rPr>
          <w:rFonts w:ascii="Times New Roman" w:hAnsi="Times New Roman" w:cs="Times New Roman"/>
          <w:sz w:val="24"/>
          <w:szCs w:val="24"/>
        </w:rPr>
        <w:t xml:space="preserve"> and security</w:t>
      </w:r>
      <w:r w:rsidRPr="003676D3">
        <w:rPr>
          <w:rFonts w:ascii="Times New Roman" w:hAnsi="Times New Roman" w:cs="Times New Roman"/>
          <w:sz w:val="24"/>
          <w:szCs w:val="24"/>
        </w:rPr>
        <w:t xml:space="preserve"> concerns </w:t>
      </w:r>
      <w:r w:rsidR="00EC0D66" w:rsidRPr="003676D3">
        <w:rPr>
          <w:rFonts w:ascii="Times New Roman" w:hAnsi="Times New Roman" w:cs="Times New Roman"/>
          <w:sz w:val="24"/>
          <w:szCs w:val="24"/>
        </w:rPr>
        <w:t>associated in</w:t>
      </w:r>
      <w:r w:rsidRPr="003676D3">
        <w:rPr>
          <w:rFonts w:ascii="Times New Roman" w:hAnsi="Times New Roman" w:cs="Times New Roman"/>
          <w:sz w:val="24"/>
          <w:szCs w:val="24"/>
        </w:rPr>
        <w:t xml:space="preserve"> </w:t>
      </w:r>
      <w:r w:rsidR="00CD7701" w:rsidRPr="003676D3">
        <w:rPr>
          <w:rFonts w:ascii="Times New Roman" w:hAnsi="Times New Roman" w:cs="Times New Roman"/>
          <w:sz w:val="24"/>
          <w:szCs w:val="24"/>
        </w:rPr>
        <w:t>SG</w:t>
      </w:r>
      <w:r w:rsidRPr="003676D3">
        <w:rPr>
          <w:rFonts w:ascii="Times New Roman" w:hAnsi="Times New Roman" w:cs="Times New Roman"/>
          <w:sz w:val="24"/>
          <w:szCs w:val="24"/>
        </w:rPr>
        <w:t xml:space="preserve"> operations were </w:t>
      </w:r>
      <w:r w:rsidR="00940258" w:rsidRPr="003676D3">
        <w:rPr>
          <w:rFonts w:ascii="Times New Roman" w:hAnsi="Times New Roman" w:cs="Times New Roman"/>
          <w:sz w:val="24"/>
          <w:szCs w:val="24"/>
        </w:rPr>
        <w:t>reviewed</w:t>
      </w:r>
      <w:r w:rsidRPr="003676D3">
        <w:rPr>
          <w:rFonts w:ascii="Times New Roman" w:hAnsi="Times New Roman" w:cs="Times New Roman"/>
          <w:sz w:val="24"/>
          <w:szCs w:val="24"/>
        </w:rPr>
        <w:t>.</w:t>
      </w:r>
    </w:p>
    <w:p w14:paraId="6E36FB54" w14:textId="349B5ABC" w:rsidR="00CE6578" w:rsidRPr="003676D3" w:rsidRDefault="00CE3AB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SSGs</w:t>
      </w:r>
      <w:r w:rsidR="00CE6578" w:rsidRPr="003676D3">
        <w:rPr>
          <w:rFonts w:ascii="Times New Roman" w:hAnsi="Times New Roman" w:cs="Times New Roman"/>
          <w:sz w:val="24"/>
          <w:szCs w:val="24"/>
        </w:rPr>
        <w:t xml:space="preserve"> accelerate the </w:t>
      </w:r>
      <w:r w:rsidR="00EC0D66" w:rsidRPr="003676D3">
        <w:rPr>
          <w:rFonts w:ascii="Times New Roman" w:hAnsi="Times New Roman" w:cs="Times New Roman"/>
          <w:sz w:val="24"/>
          <w:szCs w:val="24"/>
        </w:rPr>
        <w:t>unbundling</w:t>
      </w:r>
      <w:r w:rsidR="00CD7701" w:rsidRPr="003676D3">
        <w:rPr>
          <w:rFonts w:ascii="Times New Roman" w:hAnsi="Times New Roman" w:cs="Times New Roman"/>
          <w:sz w:val="24"/>
          <w:szCs w:val="24"/>
        </w:rPr>
        <w:t xml:space="preserve"> process in the power</w:t>
      </w:r>
      <w:r w:rsidR="00CE6578" w:rsidRPr="003676D3">
        <w:rPr>
          <w:rFonts w:ascii="Times New Roman" w:hAnsi="Times New Roman" w:cs="Times New Roman"/>
          <w:sz w:val="24"/>
          <w:szCs w:val="24"/>
        </w:rPr>
        <w:t xml:space="preserve"> sector, grow energy efficiency, and save money in electricity consumption, benefiting economic development and energy security in Europe</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{"citationItems":[{"id":"ITEM-1","itemData":{"DOI":"10.2478/FMAN-2013-0009","ISSN":"2300-5661","abstract":"Article aims to present the technological innovation - Smart Grids in the process of maintaining Europ's energy security, competitiveness of economy and environmental protection. Innovative intelligent networks are the solution to accelerate the liberalization process of the energy sector, and also to grow energy efficiency and savings in the consumption of electricity. Management of energy production and efficient planning of consumption will bring benefits for the economic development. Technology of smart grids will change in the future the structure of the supply of energy towards a decentralization system. This article consist of three main parts, the first concerns the analysis of energy policy in Europe with the most significant factors that shape this policy, the seconde part concerns the presentation of the smart grids solutions essence for electricity and the benefits generated by the process of implementing in the energy system. The third part is devoted to European and Polish projects in the subject of smart meters. © 2012, Versita. All rights reserved.","author":[{"dropping-particle":"","family":"Ludynia","given":"Anna","non-dropping-particle":"","parse-names":false,"suffix":""}],"container-title":"Foundations of Management","id":"ITEM-1","issue":"2","issued":{"date-parts":[["2012"]]},"page":"37-50","publisher":"Sciendo","title":"Smart Grids in the Process of Building a Competitive Economy and Energy Security in Europe","type":"article-journal","volume":"4"},"uris":["http://www.mendeley.com/documents/?uuid=d92bd437-3d54-3adc-925c-2e853c23827e"]}],"mendeley":{"formattedCitation":"[96]","plainTextFormattedCitation":"[96]","previouslyFormattedCitation":"[96]"},"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[96]</w:t>
      </w:r>
      <w:r w:rsidR="006628AC" w:rsidRPr="003676D3">
        <w:rPr>
          <w:rFonts w:ascii="Times New Roman" w:hAnsi="Times New Roman" w:cs="Times New Roman"/>
          <w:sz w:val="24"/>
          <w:szCs w:val="24"/>
        </w:rPr>
        <w:fldChar w:fldCharType="end"/>
      </w:r>
      <w:r w:rsidR="00CE6578" w:rsidRPr="003676D3">
        <w:rPr>
          <w:rFonts w:ascii="Times New Roman" w:hAnsi="Times New Roman" w:cs="Times New Roman"/>
          <w:sz w:val="24"/>
          <w:szCs w:val="24"/>
        </w:rPr>
        <w:t>.</w:t>
      </w:r>
      <w:r w:rsidR="00CD7701" w:rsidRPr="003676D3">
        <w:rPr>
          <w:rFonts w:ascii="Times New Roman" w:hAnsi="Times New Roman" w:cs="Times New Roman"/>
          <w:sz w:val="24"/>
          <w:szCs w:val="24"/>
        </w:rPr>
        <w:t xml:space="preserve"> SSG</w:t>
      </w:r>
      <w:r w:rsidR="00EB2F53" w:rsidRPr="003676D3">
        <w:rPr>
          <w:rFonts w:ascii="Times New Roman" w:hAnsi="Times New Roman" w:cs="Times New Roman"/>
          <w:sz w:val="24"/>
          <w:szCs w:val="24"/>
        </w:rPr>
        <w:t xml:space="preserve"> and </w:t>
      </w:r>
      <w:r w:rsidR="00CD7701" w:rsidRPr="003676D3">
        <w:rPr>
          <w:rFonts w:ascii="Times New Roman" w:hAnsi="Times New Roman" w:cs="Times New Roman"/>
          <w:sz w:val="24"/>
          <w:szCs w:val="24"/>
        </w:rPr>
        <w:t>SG</w:t>
      </w:r>
      <w:r w:rsidR="00EB2F53" w:rsidRPr="003676D3">
        <w:rPr>
          <w:rFonts w:ascii="Times New Roman" w:hAnsi="Times New Roman" w:cs="Times New Roman"/>
          <w:sz w:val="24"/>
          <w:szCs w:val="24"/>
        </w:rPr>
        <w:t xml:space="preserve"> allow electricity</w:t>
      </w:r>
      <w:r w:rsidR="00CD7701" w:rsidRPr="003676D3">
        <w:rPr>
          <w:rFonts w:ascii="Times New Roman" w:hAnsi="Times New Roman" w:cs="Times New Roman"/>
          <w:sz w:val="24"/>
          <w:szCs w:val="24"/>
        </w:rPr>
        <w:t xml:space="preserve"> buying and selling (exchange)</w:t>
      </w:r>
      <w:r w:rsidR="00EB2F53" w:rsidRPr="003676D3">
        <w:rPr>
          <w:rFonts w:ascii="Times New Roman" w:hAnsi="Times New Roman" w:cs="Times New Roman"/>
          <w:sz w:val="24"/>
          <w:szCs w:val="24"/>
        </w:rPr>
        <w:t xml:space="preserve"> generated by large scale concentrated solar power plants, and can reduce cl</w:t>
      </w:r>
      <w:r w:rsidR="00397923" w:rsidRPr="003676D3">
        <w:rPr>
          <w:rFonts w:ascii="Times New Roman" w:hAnsi="Times New Roman" w:cs="Times New Roman"/>
          <w:sz w:val="24"/>
          <w:szCs w:val="24"/>
        </w:rPr>
        <w:t>imate policy costs by up to</w:t>
      </w:r>
      <w:r w:rsidR="00EB2F53" w:rsidRPr="003676D3">
        <w:rPr>
          <w:rFonts w:ascii="Times New Roman" w:hAnsi="Times New Roman" w:cs="Times New Roman"/>
          <w:sz w:val="24"/>
          <w:szCs w:val="24"/>
        </w:rPr>
        <w:t xml:space="preserve"> 34%, and 24%, </w:t>
      </w:r>
      <w:r w:rsidR="00397923" w:rsidRPr="003676D3">
        <w:rPr>
          <w:rFonts w:ascii="Times New Roman" w:hAnsi="Times New Roman" w:cs="Times New Roman"/>
          <w:sz w:val="24"/>
          <w:szCs w:val="24"/>
        </w:rPr>
        <w:t xml:space="preserve">for Western Europe and Eastern Europe </w:t>
      </w:r>
      <w:r w:rsidR="00EB2F53" w:rsidRPr="003676D3">
        <w:rPr>
          <w:rFonts w:ascii="Times New Roman" w:hAnsi="Times New Roman" w:cs="Times New Roman"/>
          <w:sz w:val="24"/>
          <w:szCs w:val="24"/>
        </w:rPr>
        <w:t>respectively</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{"citationItems":[{"id":"ITEM-1","itemData":{"DOI":"10.2139/SSRN.2340415","abstract":"We assess the optimality of investments in power grid innovation, under both technological options of Super and Smart Grids, using the WITCH model in the version that includes Super-Grids. Super Grids allow producing and trading of electricity generated by large scale concentrated solar power (CSP) plants in highly productive areas that are connected to the demand centres through High Voltage Direct Current (HVDC) cables. We extend the model to include also Smart-Grids that allow: i) to increase the share of renewable power manageable by the power network, ii) to reduce the costs of customer relationships via Smart Meters; iii) residential consumer to generate electricity via micro-photovoltaic plants, and iv) residential consumer to generate virtual electricity via consumption management. We find that it becomes optimal to invest in grid innovation, in order to start gaining the management benefits and taking advantage of consumer generating opportunities (of electricity and “nega-watts”), starting in 2010 and to exploit the increased possible penetration of renewable energy sources from 2035. Long-distance CSP generation becomes optimal only from 2040, and trade from 2050; but it reaches very high shares in the second half of the century, especially when penetration limits are imposed on nuclear power and on carbon capture and storage operations (CCS). On the whole, climate policy costs can be reduced by large percentages, up to 48%, 34%, 24% for the USA, Western Europe, Eastern Europe, respectively, with respect to corresponding scenarios without the grid innovation via Super and Smart Grid option and with limits on nuclear power, CCS, and CSP import. The analysis is then extended to compare these options considering, at least qualitatively, the differentiated impacts on the environment, technology, organization, society, local and national economies and geopolitics.","author":[{"dropping-particle":"","family":"Ricci","given":"Elena Claire","non-dropping-particle":"","parse-names":false,"suffix":""}],"container-title":"SSRN Electronic Journal","id":"ITEM-1","issued":{"date-parts":[["2013","10","23"]]},"publisher":"Elsevier BV","title":"An Integrated Assessment of Super &amp; Smart Grids","type":"article-journal"},"uris":["http://www.mendeley.com/documents/?uuid=ebe5e5fc-bd41-34fc-b0d6-7e8aec626924"]}],"mendeley":{"formattedCitation":"[97]","plainTextFormattedCitation":"[97]","previouslyFormattedCitation":"[97]"},"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[97]</w:t>
      </w:r>
      <w:r w:rsidR="006628AC" w:rsidRPr="003676D3">
        <w:rPr>
          <w:rFonts w:ascii="Times New Roman" w:hAnsi="Times New Roman" w:cs="Times New Roman"/>
          <w:sz w:val="24"/>
          <w:szCs w:val="24"/>
        </w:rPr>
        <w:fldChar w:fldCharType="end"/>
      </w:r>
      <w:r w:rsidR="00397923" w:rsidRPr="003676D3">
        <w:rPr>
          <w:rFonts w:ascii="Times New Roman" w:hAnsi="Times New Roman" w:cs="Times New Roman"/>
          <w:sz w:val="24"/>
          <w:szCs w:val="24"/>
        </w:rPr>
        <w:t>, calculated through WITCH model</w:t>
      </w:r>
      <w:r w:rsidR="00EB2F53" w:rsidRPr="003676D3">
        <w:rPr>
          <w:rFonts w:ascii="Times New Roman" w:hAnsi="Times New Roman" w:cs="Times New Roman"/>
          <w:sz w:val="24"/>
          <w:szCs w:val="24"/>
        </w:rPr>
        <w:t>.</w:t>
      </w:r>
    </w:p>
    <w:p w14:paraId="7BD8F814" w14:textId="5C7BFAA5" w:rsidR="00CE6578" w:rsidRPr="003676D3" w:rsidRDefault="00CE657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Dual-Primal Distributed (DPDA) </w:t>
      </w:r>
      <w:r w:rsidR="00A10F90" w:rsidRPr="003676D3">
        <w:rPr>
          <w:rFonts w:ascii="Times New Roman" w:hAnsi="Times New Roman" w:cs="Times New Roman"/>
          <w:sz w:val="24"/>
          <w:szCs w:val="24"/>
        </w:rPr>
        <w:t xml:space="preserve">is an efficient algorithm </w:t>
      </w:r>
      <w:r w:rsidRPr="003676D3">
        <w:rPr>
          <w:rFonts w:ascii="Times New Roman" w:hAnsi="Times New Roman" w:cs="Times New Roman"/>
          <w:sz w:val="24"/>
          <w:szCs w:val="24"/>
        </w:rPr>
        <w:t>with a network-independent step</w:t>
      </w:r>
      <w:r w:rsidR="00940258" w:rsidRPr="003676D3">
        <w:rPr>
          <w:rFonts w:ascii="Times New Roman" w:hAnsi="Times New Roman" w:cs="Times New Roman"/>
          <w:sz w:val="24"/>
          <w:szCs w:val="24"/>
        </w:rPr>
        <w:t>-</w:t>
      </w:r>
      <w:r w:rsidRPr="003676D3">
        <w:rPr>
          <w:rFonts w:ascii="Times New Roman" w:hAnsi="Times New Roman" w:cs="Times New Roman"/>
          <w:sz w:val="24"/>
          <w:szCs w:val="24"/>
        </w:rPr>
        <w:t>size</w:t>
      </w:r>
      <w:r w:rsidR="00A10F90" w:rsidRPr="003676D3">
        <w:rPr>
          <w:rFonts w:ascii="Times New Roman" w:hAnsi="Times New Roman" w:cs="Times New Roman"/>
          <w:sz w:val="24"/>
          <w:szCs w:val="24"/>
        </w:rPr>
        <w:t xml:space="preserve"> that can manage energy in smart grids. This results in</w:t>
      </w:r>
      <w:r w:rsidRPr="003676D3">
        <w:rPr>
          <w:rFonts w:ascii="Times New Roman" w:hAnsi="Times New Roman" w:cs="Times New Roman"/>
          <w:sz w:val="24"/>
          <w:szCs w:val="24"/>
        </w:rPr>
        <w:t xml:space="preserve"> faster convergence and </w:t>
      </w:r>
      <w:r w:rsidR="00DB4A86" w:rsidRPr="003676D3">
        <w:rPr>
          <w:rFonts w:ascii="Times New Roman" w:hAnsi="Times New Roman" w:cs="Times New Roman"/>
          <w:sz w:val="24"/>
          <w:szCs w:val="24"/>
        </w:rPr>
        <w:t xml:space="preserve">a </w:t>
      </w:r>
      <w:r w:rsidR="00A10F90" w:rsidRPr="003676D3">
        <w:rPr>
          <w:rFonts w:ascii="Times New Roman" w:hAnsi="Times New Roman" w:cs="Times New Roman"/>
          <w:sz w:val="24"/>
          <w:szCs w:val="24"/>
        </w:rPr>
        <w:t>low</w:t>
      </w:r>
      <w:r w:rsidRPr="003676D3">
        <w:rPr>
          <w:rFonts w:ascii="Times New Roman" w:hAnsi="Times New Roman" w:cs="Times New Roman"/>
          <w:sz w:val="24"/>
          <w:szCs w:val="24"/>
        </w:rPr>
        <w:t xml:space="preserve"> gradient information exchange</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{"citationItems":[{"id":"ITEM-1","itemData":{"DOI":"10.1109/ICIST59754.2023.10367147","ISBN":"9798350313925","abstract":"We propose a novel distributed algorithm, Dual-Primal Distributed Algorithm (DPDA), designed to achieve optimal energy management for supply-demand balance in a smart grid. For DPDA, a fixed and network-independent stepsize β &gt; 0 is used, which is sufficient to guarantee its convergence. Distinct from existing algorithms, each smart device does not need to access and exchange gradient information at each round of iteration. Furthermore, with general convexity, an o(1/k) convergence rate of DPDA is established, which is faster than O(1/k) rate.","author":[{"dropping-particle":"","family":"Guo","given":"Luyao","non-dropping-particle":"","parse-names":false,"suffix":""},{"dropping-particle":"","family":"Shi","given":"Xinli","non-dropping-particle":"","parse-names":false,"suffix":""},{"dropping-particle":"","family":"Zhou","given":"Yuan","non-dropping-particle":"","parse-names":false,"suffix":""},{"dropping-particle":"","family":"Cao","given":"Jinde","non-dropping-particle":"","parse-names":false,"suffix":""}],"container-title":"International Conference on Information and Software Technologies","id":"ITEM-1","issued":{"date-parts":[["2023"]]},"page":"424-431","publisher":"Institute of Electrical and Electronics Engineers Inc.","title":"A Distributed Algorithm for Optimal Energy Management With Network-Independent Stepsize","type":"article-journal"},"uris":["http://www.mendeley.com/documents/?uuid=41d935fe-d0fd-3d2a-b422-9338deac79d3"]}],"mendeley":{"formattedCitation":"[98]","plainTextFormattedCitation":"[98]","previouslyFormattedCitation":"[98]"},"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[98]</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r w:rsidR="00DB4A86" w:rsidRPr="003676D3">
        <w:rPr>
          <w:rFonts w:ascii="Times New Roman" w:hAnsi="Times New Roman" w:cs="Times New Roman"/>
          <w:sz w:val="24"/>
          <w:szCs w:val="24"/>
        </w:rPr>
        <w:t>To ensure the security of energy transaction while energy trading</w:t>
      </w:r>
      <w:r w:rsidR="00CD7701" w:rsidRPr="003676D3">
        <w:rPr>
          <w:rFonts w:ascii="Times New Roman" w:hAnsi="Times New Roman" w:cs="Times New Roman"/>
          <w:sz w:val="24"/>
          <w:szCs w:val="24"/>
        </w:rPr>
        <w:t xml:space="preserve"> in decentralized SG</w:t>
      </w:r>
      <w:r w:rsidRPr="003676D3">
        <w:rPr>
          <w:rFonts w:ascii="Times New Roman" w:hAnsi="Times New Roman" w:cs="Times New Roman"/>
          <w:sz w:val="24"/>
          <w:szCs w:val="24"/>
        </w:rPr>
        <w:t xml:space="preserve"> was explored in</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{"citationItems":[{"id":"ITEM-1","itemData":{"DOI":"10.1109/TDSC.2016.2616861","ISSN":"19410018","abstract":"Smart grids equipped with bi-directional communication flow are expected to provide more sophisticated consumption monitoring and energy trading. However, the issues related to the security and privacy of consumption and trading data present serious challenges. In this paper we address the problem of providing transaction security in decentralized smart grid energy trading without reliance on trusted third parties. We have implemented a proof-of-concept for decentralized energy trading system using blockchain technology, multi-signatures, and anonymous encrypted messaging streams, enabling peers to anonymously negotiate energy prices and securely perform trading transactions. We conducted case studies to perform security analysis and performance evaluation within the context of the elicited security and privacy requirements.","author":[{"dropping-particle":"","family":"Aitzhan","given":"Nurzhan Zhumabekuly","non-dropping-particle":"","parse-names":false,"suffix":""},{"dropping-particle":"","family":"Svetinovic","given":"Davor","non-dropping-particle":"","parse-names":false,"suffix":""}],"container-title":"IEEE Transactions on Dependable and Secure Computing","id":"ITEM-1","issue":"5","issued":{"date-parts":[["2018","9","1"]]},"page":"840-852","publisher":"Institute of Electrical and Electronics Engineers Inc.","title":"Security and Privacy in Decentralized Energy Trading Through Multi-Signatures, Blockchain and Anonymous Messaging Streams","type":"article-journal","volume":"15"},"uris":["http://www.mendeley.com/documents/?uuid=83f78094-f292-3c23-9d66-7718ac48d066"]}],"mendeley":{"formattedCitation":"[99]","plainTextFormattedCitation":"[99]","previouslyFormattedCitation":"[99]"},"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[99]</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without relying on third parties. By leveraging blockchain technology, </w:t>
      </w:r>
      <w:r w:rsidR="00B76FB3" w:rsidRPr="003676D3">
        <w:rPr>
          <w:rFonts w:ascii="Times New Roman" w:hAnsi="Times New Roman" w:cs="Times New Roman"/>
          <w:sz w:val="24"/>
          <w:szCs w:val="24"/>
        </w:rPr>
        <w:t xml:space="preserve">multi-signatures and </w:t>
      </w:r>
      <w:r w:rsidRPr="003676D3">
        <w:rPr>
          <w:rFonts w:ascii="Times New Roman" w:hAnsi="Times New Roman" w:cs="Times New Roman"/>
          <w:sz w:val="24"/>
          <w:szCs w:val="24"/>
        </w:rPr>
        <w:t xml:space="preserve">anonymous encrypted messaging streams, it </w:t>
      </w:r>
      <w:r w:rsidR="004B1918" w:rsidRPr="003676D3">
        <w:rPr>
          <w:rFonts w:ascii="Times New Roman" w:hAnsi="Times New Roman" w:cs="Times New Roman"/>
          <w:sz w:val="24"/>
          <w:szCs w:val="24"/>
        </w:rPr>
        <w:t>presents</w:t>
      </w:r>
      <w:r w:rsidRPr="003676D3">
        <w:rPr>
          <w:rFonts w:ascii="Times New Roman" w:hAnsi="Times New Roman" w:cs="Times New Roman"/>
          <w:sz w:val="24"/>
          <w:szCs w:val="24"/>
        </w:rPr>
        <w:t xml:space="preserve"> a proof-of-co</w:t>
      </w:r>
      <w:r w:rsidR="00CD7701" w:rsidRPr="003676D3">
        <w:rPr>
          <w:rFonts w:ascii="Times New Roman" w:hAnsi="Times New Roman" w:cs="Times New Roman"/>
          <w:sz w:val="24"/>
          <w:szCs w:val="24"/>
        </w:rPr>
        <w:t>ncept for a decentralized power</w:t>
      </w:r>
      <w:r w:rsidRPr="003676D3">
        <w:rPr>
          <w:rFonts w:ascii="Times New Roman" w:hAnsi="Times New Roman" w:cs="Times New Roman"/>
          <w:sz w:val="24"/>
          <w:szCs w:val="24"/>
        </w:rPr>
        <w:t xml:space="preserve"> </w:t>
      </w:r>
      <w:r w:rsidR="00CD7701" w:rsidRPr="003676D3">
        <w:rPr>
          <w:rFonts w:ascii="Times New Roman" w:hAnsi="Times New Roman" w:cs="Times New Roman"/>
          <w:sz w:val="24"/>
          <w:szCs w:val="24"/>
        </w:rPr>
        <w:t>transaction</w:t>
      </w:r>
      <w:r w:rsidRPr="003676D3">
        <w:rPr>
          <w:rFonts w:ascii="Times New Roman" w:hAnsi="Times New Roman" w:cs="Times New Roman"/>
          <w:sz w:val="24"/>
          <w:szCs w:val="24"/>
        </w:rPr>
        <w:t xml:space="preserve"> sys</w:t>
      </w:r>
      <w:r w:rsidR="00CD7701" w:rsidRPr="003676D3">
        <w:rPr>
          <w:rFonts w:ascii="Times New Roman" w:hAnsi="Times New Roman" w:cs="Times New Roman"/>
          <w:sz w:val="24"/>
          <w:szCs w:val="24"/>
        </w:rPr>
        <w:t>tem. This approach enables stakeholders to anonymously negotiate power</w:t>
      </w:r>
      <w:r w:rsidRPr="003676D3">
        <w:rPr>
          <w:rFonts w:ascii="Times New Roman" w:hAnsi="Times New Roman" w:cs="Times New Roman"/>
          <w:sz w:val="24"/>
          <w:szCs w:val="24"/>
        </w:rPr>
        <w:t xml:space="preserve"> prices and securely exec</w:t>
      </w:r>
      <w:r w:rsidR="00B76FB3" w:rsidRPr="003676D3">
        <w:rPr>
          <w:rFonts w:ascii="Times New Roman" w:hAnsi="Times New Roman" w:cs="Times New Roman"/>
          <w:sz w:val="24"/>
          <w:szCs w:val="24"/>
        </w:rPr>
        <w:t>ute energy exchange</w:t>
      </w:r>
      <w:r w:rsidRPr="003676D3">
        <w:rPr>
          <w:rFonts w:ascii="Times New Roman" w:hAnsi="Times New Roman" w:cs="Times New Roman"/>
          <w:sz w:val="24"/>
          <w:szCs w:val="24"/>
        </w:rPr>
        <w:t>, addressing concerns related to the security and pr</w:t>
      </w:r>
      <w:r w:rsidR="00B76FB3" w:rsidRPr="003676D3">
        <w:rPr>
          <w:rFonts w:ascii="Times New Roman" w:hAnsi="Times New Roman" w:cs="Times New Roman"/>
          <w:sz w:val="24"/>
          <w:szCs w:val="24"/>
        </w:rPr>
        <w:t>ivacy of load consumption and energy trading</w:t>
      </w:r>
      <w:r w:rsidRPr="003676D3">
        <w:rPr>
          <w:rFonts w:ascii="Times New Roman" w:hAnsi="Times New Roman" w:cs="Times New Roman"/>
          <w:sz w:val="24"/>
          <w:szCs w:val="24"/>
        </w:rPr>
        <w:t xml:space="preserve"> data. </w:t>
      </w:r>
    </w:p>
    <w:p w14:paraId="3936B7D5" w14:textId="74FE96F4" w:rsidR="00CE6578" w:rsidRPr="003676D3" w:rsidRDefault="00CE657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Utilizing mean-var</w:t>
      </w:r>
      <w:r w:rsidR="00B17738" w:rsidRPr="003676D3">
        <w:rPr>
          <w:rFonts w:ascii="Times New Roman" w:hAnsi="Times New Roman" w:cs="Times New Roman"/>
          <w:sz w:val="24"/>
          <w:szCs w:val="24"/>
        </w:rPr>
        <w:t>iance portfolio optimization</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 xml:space="preserve">ADDIN CSL_CITATION {"citationItems":[{"id":"ITEM-1","itemData":{"DOI":"10.1088/1748-9326/AA8F18","ISSN":"1748-9326","abstract":"The concept of a European super-grid for electricity presents clear advantages for a reliable and affordable renewable power production (photovoltaics and wind). Based on the mean-variance portfolio optimization analysis, we explore optimal scenarios for the allocation of new renewable capacity at national level in order to provide to energy decision-makers guidance about which regions should be mostly targeted to either maximize total production or reduce its day-to-day variability. The results show that the existing distribution of renewable generation capacity across Europe is far from optimal: i.e. a 'better' spatial distribution of resources could have been achieved with either a </w:instrText>
      </w:r>
      <w:r w:rsidR="006628AC" w:rsidRPr="003676D3">
        <w:rPr>
          <w:rFonts w:ascii="Cambria Math" w:hAnsi="Cambria Math" w:cs="Cambria Math"/>
          <w:sz w:val="24"/>
          <w:szCs w:val="24"/>
        </w:rPr>
        <w:instrText>∼</w:instrText>
      </w:r>
      <w:r w:rsidR="006628AC" w:rsidRPr="003676D3">
        <w:rPr>
          <w:rFonts w:ascii="Times New Roman" w:hAnsi="Times New Roman" w:cs="Times New Roman"/>
          <w:sz w:val="24"/>
          <w:szCs w:val="24"/>
        </w:rPr>
        <w:instrText xml:space="preserve">31% increase in mean power supply (for the same level of day-to-day variability) or a </w:instrText>
      </w:r>
      <w:r w:rsidR="006628AC" w:rsidRPr="003676D3">
        <w:rPr>
          <w:rFonts w:ascii="Cambria Math" w:hAnsi="Cambria Math" w:cs="Cambria Math"/>
          <w:sz w:val="24"/>
          <w:szCs w:val="24"/>
        </w:rPr>
        <w:instrText>∼</w:instrText>
      </w:r>
      <w:r w:rsidR="006628AC" w:rsidRPr="003676D3">
        <w:rPr>
          <w:rFonts w:ascii="Times New Roman" w:hAnsi="Times New Roman" w:cs="Times New Roman"/>
          <w:sz w:val="24"/>
          <w:szCs w:val="24"/>
        </w:rPr>
        <w:instrText>37.5% reduction in day-to-day variability (for the same level of mean productivity). Careful planning of additional increments in renewable capacity at the European level could, however, act to significantly ameliorate this deficiency. The choice of where to deploy resources depends, however, on the objective being pursued - if the goal is to maximize average output, then new capacity is best allocated in the countries with highest resources, whereas investment in additional capacity in a north/south dipole pattern across Europe would act to most reduce daily variations and thus decrease the day-to-day volatility of renewable power supply.","author":[{"dropping-particle":"","family":"Santos-Alamillos","given":"Francisco J.","non-dropping-particle":"","parse-names":false,"suffix":""},{"dropping-particle":"","family":"Brayshaw","given":"David J.","non-dropping-particle":"","parse-names":false,"suffix":""},{"dropping-particle":"","family":"Methven","given":"John","non-dropping-particle":"","parse-names":false,"suffix":""},{"dropping-particle":"","family":"Thomaidis","given":"Nikolaos S.","non-dropping-particle":"","parse-names":false,"suffix":""},{"dropping-particle":"","family":"Ruiz-Arias","given":"José A.","non-dropping-particle":"","parse-names":false,"suffix":""},{"dropping-particle":"","family":"Pozo-Vázquez","given":"David","non-dropping-particle":"","parse-names":false,"suffix":""}],"container-title":"Environmental Research Letters","id":"ITEM-1","issue":"11","issued":{"date-parts":[["2017","11","13"]]},"page":"114030","publisher":"IOP Publishing","title":"Exploring the meteorological potential for planning a high performance European electricity super-grid: optimal power capacity distribution among countries","type":"article-journal","volume":"12"},"uris":["http://www.mendeley.com/documents/?uuid=e1e14e44-51e7-3d50-a4b2-f7975fa45a15"]}],"mendeley":{"formattedCitation":"[100]","plainTextFormattedCitation":"[100]","previouslyFormattedCitation":"[100]"},"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[100]</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investigate optimal scenarios for allocating new renewable capacity nationally to guide e</w:t>
      </w:r>
      <w:r w:rsidR="00B17738" w:rsidRPr="003676D3">
        <w:rPr>
          <w:rFonts w:ascii="Times New Roman" w:hAnsi="Times New Roman" w:cs="Times New Roman"/>
          <w:sz w:val="24"/>
          <w:szCs w:val="24"/>
        </w:rPr>
        <w:t>nergy decision-makers. The</w:t>
      </w:r>
      <w:r w:rsidRPr="003676D3">
        <w:rPr>
          <w:rFonts w:ascii="Times New Roman" w:hAnsi="Times New Roman" w:cs="Times New Roman"/>
          <w:sz w:val="24"/>
          <w:szCs w:val="24"/>
        </w:rPr>
        <w:t xml:space="preserve"> findings </w:t>
      </w:r>
      <w:r w:rsidR="00B75CD2" w:rsidRPr="003676D3">
        <w:rPr>
          <w:rFonts w:ascii="Times New Roman" w:hAnsi="Times New Roman" w:cs="Times New Roman"/>
          <w:sz w:val="24"/>
          <w:szCs w:val="24"/>
        </w:rPr>
        <w:t>tells</w:t>
      </w:r>
      <w:r w:rsidRPr="003676D3">
        <w:rPr>
          <w:rFonts w:ascii="Times New Roman" w:hAnsi="Times New Roman" w:cs="Times New Roman"/>
          <w:sz w:val="24"/>
          <w:szCs w:val="24"/>
        </w:rPr>
        <w:t xml:space="preserve"> that the current</w:t>
      </w:r>
      <w:r w:rsidR="003A3F44" w:rsidRPr="003676D3">
        <w:rPr>
          <w:rFonts w:ascii="Times New Roman" w:hAnsi="Times New Roman" w:cs="Times New Roman"/>
          <w:sz w:val="24"/>
          <w:szCs w:val="24"/>
        </w:rPr>
        <w:t xml:space="preserve"> capacity of distributed generation</w:t>
      </w:r>
      <w:r w:rsidRPr="003676D3">
        <w:rPr>
          <w:rFonts w:ascii="Times New Roman" w:hAnsi="Times New Roman" w:cs="Times New Roman"/>
          <w:sz w:val="24"/>
          <w:szCs w:val="24"/>
        </w:rPr>
        <w:t xml:space="preserve"> in Europe is sub</w:t>
      </w:r>
      <w:r w:rsidR="00B75CD2" w:rsidRPr="003676D3">
        <w:rPr>
          <w:rFonts w:ascii="Times New Roman" w:hAnsi="Times New Roman" w:cs="Times New Roman"/>
          <w:sz w:val="24"/>
          <w:szCs w:val="24"/>
        </w:rPr>
        <w:t>-</w:t>
      </w:r>
      <w:r w:rsidRPr="003676D3">
        <w:rPr>
          <w:rFonts w:ascii="Times New Roman" w:hAnsi="Times New Roman" w:cs="Times New Roman"/>
          <w:sz w:val="24"/>
          <w:szCs w:val="24"/>
        </w:rPr>
        <w:t>optimal</w:t>
      </w:r>
      <w:r w:rsidR="00B75CD2" w:rsidRPr="003676D3">
        <w:rPr>
          <w:rFonts w:ascii="Times New Roman" w:hAnsi="Times New Roman" w:cs="Times New Roman"/>
          <w:sz w:val="24"/>
          <w:szCs w:val="24"/>
        </w:rPr>
        <w:t>. This</w:t>
      </w:r>
      <w:r w:rsidRPr="003676D3">
        <w:rPr>
          <w:rFonts w:ascii="Times New Roman" w:hAnsi="Times New Roman" w:cs="Times New Roman"/>
          <w:sz w:val="24"/>
          <w:szCs w:val="24"/>
        </w:rPr>
        <w:t xml:space="preserve"> sugges</w:t>
      </w:r>
      <w:r w:rsidR="00B75CD2" w:rsidRPr="003676D3">
        <w:rPr>
          <w:rFonts w:ascii="Times New Roman" w:hAnsi="Times New Roman" w:cs="Times New Roman"/>
          <w:sz w:val="24"/>
          <w:szCs w:val="24"/>
        </w:rPr>
        <w:t>ts that</w:t>
      </w:r>
      <w:r w:rsidRPr="003676D3">
        <w:rPr>
          <w:rFonts w:ascii="Times New Roman" w:hAnsi="Times New Roman" w:cs="Times New Roman"/>
          <w:sz w:val="24"/>
          <w:szCs w:val="24"/>
        </w:rPr>
        <w:t xml:space="preserve"> a potential increase of approximately 31% in mean power supply or a reduct</w:t>
      </w:r>
      <w:r w:rsidR="003A3F44" w:rsidRPr="003676D3">
        <w:rPr>
          <w:rFonts w:ascii="Times New Roman" w:hAnsi="Times New Roman" w:cs="Times New Roman"/>
          <w:sz w:val="24"/>
          <w:szCs w:val="24"/>
        </w:rPr>
        <w:t>ion of about 37.5% in daily</w:t>
      </w:r>
      <w:r w:rsidRPr="003676D3">
        <w:rPr>
          <w:rFonts w:ascii="Times New Roman" w:hAnsi="Times New Roman" w:cs="Times New Roman"/>
          <w:sz w:val="24"/>
          <w:szCs w:val="24"/>
        </w:rPr>
        <w:t xml:space="preserve"> variability with a more efficient spatial distribution. Strategic planning at the European level could significantly improve this distribution imbalance. However, the optimal deployment of resources depends on the </w:t>
      </w:r>
      <w:r w:rsidR="00EC0D66" w:rsidRPr="003676D3">
        <w:rPr>
          <w:rFonts w:ascii="Times New Roman" w:hAnsi="Times New Roman" w:cs="Times New Roman"/>
          <w:sz w:val="24"/>
          <w:szCs w:val="24"/>
        </w:rPr>
        <w:t>objective</w:t>
      </w:r>
      <w:r w:rsidR="00B75CD2" w:rsidRPr="003676D3">
        <w:rPr>
          <w:rFonts w:ascii="Times New Roman" w:hAnsi="Times New Roman" w:cs="Times New Roman"/>
          <w:sz w:val="24"/>
          <w:szCs w:val="24"/>
        </w:rPr>
        <w:t xml:space="preserve">. This means that </w:t>
      </w:r>
      <w:r w:rsidRPr="003676D3">
        <w:rPr>
          <w:rFonts w:ascii="Times New Roman" w:hAnsi="Times New Roman" w:cs="Times New Roman"/>
          <w:sz w:val="24"/>
          <w:szCs w:val="24"/>
        </w:rPr>
        <w:t xml:space="preserve">maximizing average output </w:t>
      </w:r>
      <w:r w:rsidR="00EB2F53" w:rsidRPr="003676D3">
        <w:rPr>
          <w:rFonts w:ascii="Times New Roman" w:hAnsi="Times New Roman" w:cs="Times New Roman"/>
          <w:sz w:val="24"/>
          <w:szCs w:val="24"/>
        </w:rPr>
        <w:t>favours</w:t>
      </w:r>
      <w:r w:rsidRPr="003676D3">
        <w:rPr>
          <w:rFonts w:ascii="Times New Roman" w:hAnsi="Times New Roman" w:cs="Times New Roman"/>
          <w:sz w:val="24"/>
          <w:szCs w:val="24"/>
        </w:rPr>
        <w:t xml:space="preserve"> count</w:t>
      </w:r>
      <w:r w:rsidR="00B17738" w:rsidRPr="003676D3">
        <w:rPr>
          <w:rFonts w:ascii="Times New Roman" w:hAnsi="Times New Roman" w:cs="Times New Roman"/>
          <w:sz w:val="24"/>
          <w:szCs w:val="24"/>
        </w:rPr>
        <w:t xml:space="preserve">ries </w:t>
      </w:r>
      <w:r w:rsidR="00B75CD2" w:rsidRPr="003676D3">
        <w:rPr>
          <w:rFonts w:ascii="Times New Roman" w:hAnsi="Times New Roman" w:cs="Times New Roman"/>
          <w:sz w:val="24"/>
          <w:szCs w:val="24"/>
        </w:rPr>
        <w:t>those have</w:t>
      </w:r>
      <w:r w:rsidR="00B17738" w:rsidRPr="003676D3">
        <w:rPr>
          <w:rFonts w:ascii="Times New Roman" w:hAnsi="Times New Roman" w:cs="Times New Roman"/>
          <w:sz w:val="24"/>
          <w:szCs w:val="24"/>
        </w:rPr>
        <w:t xml:space="preserve"> abundant resources.</w:t>
      </w:r>
    </w:p>
    <w:p w14:paraId="12E755BF" w14:textId="4FA64527" w:rsidR="0062682E" w:rsidRPr="003676D3" w:rsidRDefault="0062682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primary barriers to grid expansion in the European Union are</w:t>
      </w:r>
      <w:r w:rsidR="00392332" w:rsidRPr="003676D3">
        <w:rPr>
          <w:rFonts w:ascii="Times New Roman" w:hAnsi="Times New Roman" w:cs="Times New Roman"/>
          <w:sz w:val="24"/>
          <w:szCs w:val="24"/>
        </w:rPr>
        <w:t xml:space="preserve"> </w:t>
      </w:r>
      <w:r w:rsidR="000B4329" w:rsidRPr="003676D3">
        <w:rPr>
          <w:rFonts w:ascii="Times New Roman" w:hAnsi="Times New Roman" w:cs="Times New Roman"/>
          <w:sz w:val="24"/>
          <w:szCs w:val="24"/>
        </w:rPr>
        <w:t>neither</w:t>
      </w:r>
      <w:r w:rsidR="00392332" w:rsidRPr="003676D3">
        <w:rPr>
          <w:rFonts w:ascii="Times New Roman" w:hAnsi="Times New Roman" w:cs="Times New Roman"/>
          <w:sz w:val="24"/>
          <w:szCs w:val="24"/>
        </w:rPr>
        <w:t xml:space="preserve"> financial nor technical</w:t>
      </w:r>
      <w:r w:rsidR="003A3F44" w:rsidRPr="003676D3">
        <w:rPr>
          <w:rFonts w:ascii="Times New Roman" w:hAnsi="Times New Roman" w:cs="Times New Roman"/>
          <w:sz w:val="24"/>
          <w:szCs w:val="24"/>
        </w:rPr>
        <w:t>, rather</w:t>
      </w:r>
      <w:r w:rsidRPr="003676D3">
        <w:rPr>
          <w:rFonts w:ascii="Times New Roman" w:hAnsi="Times New Roman" w:cs="Times New Roman"/>
          <w:sz w:val="24"/>
          <w:szCs w:val="24"/>
        </w:rPr>
        <w:t xml:space="preserve"> lack of appropriate regulatory frameworks and public acceptance, requiring major changes in the overall regulatory process</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{"citationItems":[{"id":"ITEM-1","itemData":{"DOI":"10.1016/J.ENPOL.2012.04.065","ISSN":"0301-4215","abstract":"Many of the scenarios for decarbonising the European energy system involve the integration of large-scale and decentralised renewable energy sources, such as wind and solar power. However, such integration requires substantial and rapid improvements to the existing transmission grids. Using a mix of qualitative and quantitative methods, we analysed the opinions and views of stakeholders concerning the main barriers and solutions to this problem. The results suggest two conclusions. The first is that primary barriers to the currently needed level of grid expansion are not technical or financial, but the lack of appropriate regulatory frameworks and public acceptance. The second is that major changes are needed in the overall regulatory process, rather than simply minor modifications or improved implementation of existing regulations. © 2012 Elsevier Ltd.","author":[{"dropping-particle":"","family":"Battaglini","given":"Antonella","non-dropping-particle":"","parse-names":false,"suffix":""},{"dropping-particle":"","family":"Komendantova","given":"Nadejda","non-dropping-particle":"","parse-names":false,"suffix":""},{"dropping-particle":"","family":"Brtnik","given":"Patricia","non-dropping-particle":"","parse-names":false,"suffix":""},{"dropping-particle":"","family":"Patt","given":"Anthony","non-dropping-particle":"","parse-names":false,"suffix":""}],"container-title":"Energy Policy","id":"ITEM-1","issued":{"date-parts":[["2012","8","1"]]},"page":"254-259","publisher":"Elsevier","title":"Perception of barriers for expansion of electricity grids in the European Union","type":"article-journal","volume":"47"},"uris":["http://www.mendeley.com/documents/?uuid=34f43e59-53e1-3583-807e-e74e5cb076e7"]}],"mendeley":{"formattedCitation":"[13]","plainTextFormattedCitation":"[13]","previouslyFormattedCitation":"[13]"},"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[13]</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This study examines </w:t>
      </w:r>
      <w:r w:rsidR="00392332" w:rsidRPr="003676D3">
        <w:rPr>
          <w:rFonts w:ascii="Times New Roman" w:hAnsi="Times New Roman" w:cs="Times New Roman"/>
          <w:sz w:val="24"/>
          <w:szCs w:val="24"/>
        </w:rPr>
        <w:t>e</w:t>
      </w:r>
      <w:r w:rsidRPr="003676D3">
        <w:rPr>
          <w:rFonts w:ascii="Times New Roman" w:hAnsi="Times New Roman" w:cs="Times New Roman"/>
          <w:sz w:val="24"/>
          <w:szCs w:val="24"/>
        </w:rPr>
        <w:t>xcess power generation</w:t>
      </w:r>
      <w:r w:rsidR="00392332" w:rsidRPr="003676D3">
        <w:rPr>
          <w:rFonts w:ascii="Times New Roman" w:hAnsi="Times New Roman" w:cs="Times New Roman"/>
          <w:sz w:val="24"/>
          <w:szCs w:val="24"/>
        </w:rPr>
        <w:t xml:space="preserve"> and the residual load</w:t>
      </w:r>
      <w:r w:rsidRPr="003676D3">
        <w:rPr>
          <w:rFonts w:ascii="Times New Roman" w:hAnsi="Times New Roman" w:cs="Times New Roman"/>
          <w:sz w:val="24"/>
          <w:szCs w:val="24"/>
        </w:rPr>
        <w:t xml:space="preserve"> across 30 European countries with 100% variable renewable energy penetration, assessing the benefit of power trans</w:t>
      </w:r>
      <w:r w:rsidR="00CD7701" w:rsidRPr="003676D3">
        <w:rPr>
          <w:rFonts w:ascii="Times New Roman" w:hAnsi="Times New Roman" w:cs="Times New Roman"/>
          <w:sz w:val="24"/>
          <w:szCs w:val="24"/>
        </w:rPr>
        <w:t>action</w:t>
      </w:r>
      <w:r w:rsidRPr="003676D3">
        <w:rPr>
          <w:rFonts w:ascii="Times New Roman" w:hAnsi="Times New Roman" w:cs="Times New Roman"/>
          <w:sz w:val="24"/>
          <w:szCs w:val="24"/>
        </w:rPr>
        <w:t xml:space="preserve"> between them. Using extensive weather data, hourly mismatc</w:t>
      </w:r>
      <w:r w:rsidR="00CD7701" w:rsidRPr="003676D3">
        <w:rPr>
          <w:rFonts w:ascii="Times New Roman" w:hAnsi="Times New Roman" w:cs="Times New Roman"/>
          <w:sz w:val="24"/>
          <w:szCs w:val="24"/>
        </w:rPr>
        <w:t>hes between demand and distributed</w:t>
      </w:r>
      <w:r w:rsidRPr="003676D3">
        <w:rPr>
          <w:rFonts w:ascii="Times New Roman" w:hAnsi="Times New Roman" w:cs="Times New Roman"/>
          <w:sz w:val="24"/>
          <w:szCs w:val="24"/>
        </w:rPr>
        <w:t xml:space="preserve"> generation are </w:t>
      </w:r>
      <w:r w:rsidR="00940258" w:rsidRPr="003676D3">
        <w:rPr>
          <w:rFonts w:ascii="Times New Roman" w:hAnsi="Times New Roman" w:cs="Times New Roman"/>
          <w:sz w:val="24"/>
          <w:szCs w:val="24"/>
        </w:rPr>
        <w:t>modelled</w:t>
      </w:r>
      <w:r w:rsidRPr="003676D3">
        <w:rPr>
          <w:rFonts w:ascii="Times New Roman" w:hAnsi="Times New Roman" w:cs="Times New Roman"/>
          <w:sz w:val="24"/>
          <w:szCs w:val="24"/>
        </w:rPr>
        <w:t xml:space="preserve">. </w:t>
      </w:r>
      <w:r w:rsidR="001C72F0" w:rsidRPr="003676D3">
        <w:rPr>
          <w:rFonts w:ascii="Times New Roman" w:hAnsi="Times New Roman" w:cs="Times New Roman"/>
          <w:sz w:val="24"/>
          <w:szCs w:val="24"/>
        </w:rPr>
        <w:t>The various</w:t>
      </w:r>
      <w:r w:rsidRPr="003676D3">
        <w:rPr>
          <w:rFonts w:ascii="Times New Roman" w:hAnsi="Times New Roman" w:cs="Times New Roman"/>
          <w:sz w:val="24"/>
          <w:szCs w:val="24"/>
        </w:rPr>
        <w:t xml:space="preserve"> countries require balancing for approximately 24% of their total </w:t>
      </w:r>
      <w:r w:rsidR="000B4329" w:rsidRPr="003676D3">
        <w:rPr>
          <w:rFonts w:ascii="Times New Roman" w:hAnsi="Times New Roman" w:cs="Times New Roman"/>
          <w:sz w:val="24"/>
          <w:szCs w:val="24"/>
        </w:rPr>
        <w:t xml:space="preserve">yearly </w:t>
      </w:r>
      <w:r w:rsidRPr="003676D3">
        <w:rPr>
          <w:rFonts w:ascii="Times New Roman" w:hAnsi="Times New Roman" w:cs="Times New Roman"/>
          <w:sz w:val="24"/>
          <w:szCs w:val="24"/>
        </w:rPr>
        <w:t xml:space="preserve">electricity </w:t>
      </w:r>
      <w:r w:rsidRPr="003676D3">
        <w:rPr>
          <w:rFonts w:ascii="Times New Roman" w:hAnsi="Times New Roman" w:cs="Times New Roman"/>
          <w:sz w:val="24"/>
          <w:szCs w:val="24"/>
        </w:rPr>
        <w:lastRenderedPageBreak/>
        <w:t>consumption</w:t>
      </w:r>
      <w:r w:rsidR="001C72F0" w:rsidRPr="003676D3">
        <w:rPr>
          <w:rFonts w:ascii="Times New Roman" w:hAnsi="Times New Roman" w:cs="Times New Roman"/>
          <w:sz w:val="24"/>
          <w:szCs w:val="24"/>
        </w:rPr>
        <w:t xml:space="preserve">. Upon </w:t>
      </w:r>
      <w:r w:rsidRPr="003676D3">
        <w:rPr>
          <w:rFonts w:ascii="Times New Roman" w:hAnsi="Times New Roman" w:cs="Times New Roman"/>
          <w:sz w:val="24"/>
          <w:szCs w:val="24"/>
        </w:rPr>
        <w:t>networking all countries with unconstrained interconnectors</w:t>
      </w:r>
      <w:r w:rsidR="001C72F0" w:rsidRPr="003676D3">
        <w:rPr>
          <w:rFonts w:ascii="Times New Roman" w:hAnsi="Times New Roman" w:cs="Times New Roman"/>
          <w:sz w:val="24"/>
          <w:szCs w:val="24"/>
        </w:rPr>
        <w:t>,</w:t>
      </w:r>
      <w:r w:rsidRPr="003676D3">
        <w:rPr>
          <w:rFonts w:ascii="Times New Roman" w:hAnsi="Times New Roman" w:cs="Times New Roman"/>
          <w:sz w:val="24"/>
          <w:szCs w:val="24"/>
        </w:rPr>
        <w:t xml:space="preserve"> this</w:t>
      </w:r>
      <w:r w:rsidR="001C72F0" w:rsidRPr="003676D3">
        <w:rPr>
          <w:rFonts w:ascii="Times New Roman" w:hAnsi="Times New Roman" w:cs="Times New Roman"/>
          <w:sz w:val="24"/>
          <w:szCs w:val="24"/>
        </w:rPr>
        <w:t xml:space="preserve"> reduces</w:t>
      </w:r>
      <w:r w:rsidRPr="003676D3">
        <w:rPr>
          <w:rFonts w:ascii="Times New Roman" w:hAnsi="Times New Roman" w:cs="Times New Roman"/>
          <w:sz w:val="24"/>
          <w:szCs w:val="24"/>
        </w:rPr>
        <w:t xml:space="preserve"> to 15%, representing the maximum achievable transmission benefit. Constrained interconnector c</w:t>
      </w:r>
      <w:r w:rsidR="000B4329" w:rsidRPr="003676D3">
        <w:rPr>
          <w:rFonts w:ascii="Times New Roman" w:hAnsi="Times New Roman" w:cs="Times New Roman"/>
          <w:sz w:val="24"/>
          <w:szCs w:val="24"/>
        </w:rPr>
        <w:t>apacities, just 5.7 times more</w:t>
      </w:r>
      <w:r w:rsidRPr="003676D3">
        <w:rPr>
          <w:rFonts w:ascii="Times New Roman" w:hAnsi="Times New Roman" w:cs="Times New Roman"/>
          <w:sz w:val="24"/>
          <w:szCs w:val="24"/>
        </w:rPr>
        <w:t xml:space="preserve"> than current values, provide 98% of this maximum benefit</w:t>
      </w:r>
      <w:r w:rsidR="001C72F0" w:rsidRPr="003676D3">
        <w:rPr>
          <w:rFonts w:ascii="Times New Roman" w:hAnsi="Times New Roman" w:cs="Times New Roman"/>
          <w:sz w:val="24"/>
          <w:szCs w:val="24"/>
        </w:rPr>
        <w:t>. This generates the need of</w:t>
      </w:r>
      <w:r w:rsidRPr="003676D3">
        <w:rPr>
          <w:rFonts w:ascii="Times New Roman" w:hAnsi="Times New Roman" w:cs="Times New Roman"/>
          <w:sz w:val="24"/>
          <w:szCs w:val="24"/>
        </w:rPr>
        <w:t xml:space="preserve"> further investigation into various constrained transmission capacity layouts for a fully renewable </w:t>
      </w:r>
      <w:r w:rsidR="000B4329" w:rsidRPr="003676D3">
        <w:rPr>
          <w:rFonts w:ascii="Times New Roman" w:hAnsi="Times New Roman" w:cs="Times New Roman"/>
          <w:sz w:val="24"/>
          <w:szCs w:val="24"/>
        </w:rPr>
        <w:t xml:space="preserve">energy based </w:t>
      </w:r>
      <w:r w:rsidRPr="003676D3">
        <w:rPr>
          <w:rFonts w:ascii="Times New Roman" w:hAnsi="Times New Roman" w:cs="Times New Roman"/>
          <w:sz w:val="24"/>
          <w:szCs w:val="24"/>
        </w:rPr>
        <w:t>European electricity system</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{"citationItems":[{"id":"ITEM-1","itemData":{"DOI":"10.1016/J.RENENE.2013.10.005","ISSN":"0960-1481","abstract":"The residual load and excess power generation of 30 European countries with a 100% penetration of variable renewable energy sources are explored in order to quantify the benefit of power transmission between countries. Estimates are based on extensive weather data, which allows for modelling of hourly mismatches between the demand and renewable generation from wind and solar photovoltaics. For separated countries, balancing is required to cover around 24% of the total annual electricity consumption. This number can be reduced down to 15% once all countries are networked together with unconstrained interconnectors. The reduction represents the maximum possible benefit of transmission for the countries. The total Net Transfer Capacity of the unconstrained interconnectors is roughly 11.5 times larger than current values. However, constrained interconnector capacities 5.7 times larger than the current values are found to provide 98% of the maximum possible benefit of transmission. This motivates a detailed investigation of several constrained transmission capacity layouts to determine the export and import capabilities of countries participating in a fully renewable European electricity system. © 2013 Elsevier Ltd.","author":[{"dropping-particle":"","family":"Rodríguez","given":"Rolando A.","non-dropping-particle":"","parse-names":false,"suffix":""},{"dropping-particle":"","family":"Becker","given":"Sarah","non-dropping-particle":"","parse-names":false,"suffix":""},{"dropping-particle":"","family":"Andresen","given":"Gorm B.","non-dropping-particle":"","parse-names":false,"suffix":""},{"dropping-particle":"","family":"Heide","given":"Dominik","non-dropping-particle":"","parse-names":false,"suffix":""},{"dropping-particle":"","family":"Greiner","given":"Martin","non-dropping-particle":"","parse-names":false,"suffix":""}],"container-title":"Renewable Energy","id":"ITEM-1","issued":{"date-parts":[["2014","3","1"]]},"page":"467-476","publisher":"Pergamon","title":"Transmission needs across a fully renewable European power system","type":"article-journal","volume":"63"},"uris":["http://www.mendeley.com/documents/?uuid=1ae66115-95fc-322e-9c3e-3bf90f00783c"]}],"mendeley":{"formattedCitation":"[50]","plainTextFormattedCitation":"[50]","previouslyFormattedCitation":"[50]"},"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[50]</w:t>
      </w:r>
      <w:r w:rsidR="006628AC" w:rsidRPr="003676D3">
        <w:rPr>
          <w:rFonts w:ascii="Times New Roman" w:hAnsi="Times New Roman" w:cs="Times New Roman"/>
          <w:sz w:val="24"/>
          <w:szCs w:val="24"/>
        </w:rPr>
        <w:fldChar w:fldCharType="end"/>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{"citationItems":[{"id":"ITEM-1","itemData":{"DOI":"10.1016/J.JCLEPRO.2021.126877","ISSN":"0959-6526","abstract":"This paper describes a generic methodology to develop mathematical and computational models of different components of the smart grid architecture model (SGAM). The SGAM inspired integrated mathematical modelling will help develop interoperable complex system simulations for integrating different smart grid components, associated communication models for data exchange and software modules, control, estimation, and data analytics functionalities with the business perspectives. This paper is based on the existing component models inspired by SGAM, which provides a holistic view for integrating the models under operational and security constraints. Achievable results and open research problems for the SGAM mapping have also been discussed in these models supporting the interoperability challenges. The models described in this paper can serve as a guideline to design efficient and robust control strategies for smart grids against uncertain loading, generation, and communication constraints, thus optimizing and improving the whole system's performance. Mathematical and computational models of cyber-physical systems have also been discussed along with their potential challenges. Based on the above concepts, unsolved and open challenges in the smart grid control, optimization and data analytics are highlighted.","author":[{"dropping-particle":"","family":"Panda","given":"Deepak Kumar","non-dropping-particle":"","parse-names":false,"suffix":""},{"dropping-particle":"","family":"Das","given":"Saptarshi","non-dropping-particle":"","parse-names":false,"suffix":""}],"container-title":"Journal of Cleaner Production","id":"ITEM-1","issued":{"date-parts":[["2021","6","10"]]},"page":"126877","publisher":"Elsevier","title":"Smart grid architecture model for control, optimization and data analytics of future power networks with more renewable energy","type":"article-journal","volume":"301"},"uris":["http://www.mendeley.com/documents/?uuid=f91adc9d-0091-3d22-ae10-84bcaed7fab6"]},{"id":"ITEM-2","itemData":{"URL":"https://syc-se.iec.ch/deliveries/sgam-basics/","accessed":{"date-parts":[["2024","5","27"]]},"id":"ITEM-2","issued":{"date-parts":[["0"]]},"title":"IEC SRD 63200 - SGAM basics - SyC Smart Energy","type":"webpage"},"uris":["http://www.mendeley.com/documents/?uuid=58974884-fa6e-3bfb-b2e6-a9ccd21c87d4"]}],"mendeley":{"formattedCitation":"[23,101]","plainTextFormattedCitation":"[23,101]","previouslyFormattedCitation":"[23,101]"},"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[23,101]</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p>
    <w:p w14:paraId="2D13C1E3" w14:textId="7F4FE5A1" w:rsidR="00094C6B" w:rsidRPr="003676D3" w:rsidRDefault="00CE3AB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SSGs relied on s</w:t>
      </w:r>
      <w:r w:rsidR="0062682E" w:rsidRPr="003676D3">
        <w:rPr>
          <w:rFonts w:ascii="Times New Roman" w:hAnsi="Times New Roman" w:cs="Times New Roman"/>
          <w:sz w:val="24"/>
          <w:szCs w:val="24"/>
        </w:rPr>
        <w:t>mart grid technologies</w:t>
      </w:r>
      <w:r w:rsidRPr="003676D3">
        <w:rPr>
          <w:rFonts w:ascii="Times New Roman" w:hAnsi="Times New Roman" w:cs="Times New Roman"/>
          <w:sz w:val="24"/>
          <w:szCs w:val="24"/>
        </w:rPr>
        <w:t>, which</w:t>
      </w:r>
      <w:r w:rsidR="0062682E" w:rsidRPr="003676D3">
        <w:rPr>
          <w:rFonts w:ascii="Times New Roman" w:hAnsi="Times New Roman" w:cs="Times New Roman"/>
          <w:sz w:val="24"/>
          <w:szCs w:val="24"/>
        </w:rPr>
        <w:t xml:space="preserve"> are rapidly progressing in both the U.S. and Europe, with the U.S. smart grid initiative focusing on timely consumer information and control, while Europe is unified in research and development.</w:t>
      </w:r>
      <w:r w:rsidR="00094C6B" w:rsidRPr="003676D3">
        <w:rPr>
          <w:rFonts w:ascii="Times New Roman" w:hAnsi="Times New Roman" w:cs="Times New Roman"/>
          <w:sz w:val="24"/>
          <w:szCs w:val="24"/>
        </w:rPr>
        <w:t xml:space="preserve"> The Smart Grid Architecture Model (SGAM</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{"citationItems":[{"id":"ITEM-1","itemData":{"DOI":"10.3390/EN12020258","ISSN":"1996-1073","abstract":"The continuously increasing complexity of modern and sustainable power and energy systems leads to a wide range of solutions developed by industry and academia. To manage such complex system-of-systems, proper engineering and validation approaches, methods, concepts, and corresponding tools are necessary. The Smart Grid Architecture Model (SGAM), an approach that has been developed during the last couple of years, provides a very good and structured basis for the design, development, and validation of new solutions and technologies. This review therefore provides a comprehensive overview of the state-of-the-art and related work for the theory, distribution, and use of the aforementioned architectural concept. The article itself provides an overview of the overall method and introduces the theoretical fundamentals behind this approach. Its usage is demonstrated in several European and national research and development projects. Finally, an outlook about future trends, potential adaptations, and extensions is provided as well.","author":[{"dropping-particle":"","family":"Uslar","given":"Mathias","non-dropping-particle":"","parse-names":false,"suffix":""},{"dropping-particle":"","family":"Rohjans","given":"Sebastian","non-dropping-particle":"","parse-names":false,"suffix":""},{"dropping-particle":"","family":"Neureiter","given":"Christian","non-dropping-particle":"","parse-names":false,"suffix":""},{"dropping-particle":"","family":"Andrén","given":"Filip Pröstl","non-dropping-particle":"","parse-names":false,"suffix":""},{"dropping-particle":"","family":"Velasquez","given":"Jorge","non-dropping-particle":"","parse-names":false,"suffix":""},{"dropping-particle":"","family":"Steinbrink","given":"Cornelius","non-dropping-particle":"","parse-names":false,"suffix":""},{"dropping-particle":"","family":"Efthymiou","given":"Venizelos","non-dropping-particle":"","parse-names":false,"suffix":""},{"dropping-particle":"","family":"Migliavacca","given":"Gianluigi","non-dropping-particle":"","parse-names":false,"suffix":""},{"dropping-particle":"","family":"Horsmanheimo","given":"Seppo","non-dropping-particle":"","parse-names":false,"suffix":""},{"dropping-particle":"","family":"Brunner","given":"Helfried","non-dropping-particle":"","parse-names":false,"suffix":""},{"dropping-particle":"","family":"Strasser","given":"Thomas I.","non-dropping-particle":"","parse-names":false,"suffix":""}],"container-title":"Energies 2019, Vol. 12, Page 258","id":"ITEM-1","issue":"2","issued":{"date-parts":[["2019","1","15"]]},"page":"258","publisher":"Multidisciplinary Digital Publishing Institute","title":"Applying the Smart Grid Architecture Model for Designing and Validating System-of-Systems in the Power and Energy Domain: A European Perspective","type":"article-journal","volume":"12"},"uris":["http://www.mendeley.com/documents/?uuid=8782fc70-b838-34e1-87f7-66f065ce097a"]},{"id":"ITEM-2","itemData":{"DOI":"10.1109/TIA.2012.2199730","ISSN":"00939994","abstract":"This paper discusses historical and technical events in the U.S. and Europe over the last few years that are aimed at modernizing the electric power grid. The U.S. federal government has ratified the smart grid initiative as the official policy for modernizing the electricity grid including unprecedented provisions for timely information and control options to consumers and deployment of smart technologies. European countries are unified in researching and developing related technologies through various structures supported by the European Union. This paper presents the development of smart grids and an analysis of the methodologies, milestones, and expected evolutions of grid technologies that will transform society in the near future. © 1972-2012 IEEE.","author":[{"dropping-particle":"","family":"Simoes","given":"Marcelo Godoy","non-dropping-particle":"","parse-names":false,"suffix":""},{"dropping-particle":"","family":"Roche","given":"Robin","non-dropping-particle":"","parse-names":false,"suffix":""},{"dropping-particle":"","family":"Kyriakides","given":"Elias","non-dropping-particle":"","parse-names":false,"suffix":""},{"dropping-particle":"","family":"Suryanarayanan","given":"Sid","non-dropping-particle":"","parse-names":false,"suffix":""},{"dropping-particle":"","family":"Blunier","given":"Benjamin","non-dropping-particle":"","parse-names":false,"suffix":""},{"dropping-particle":"","family":"McBee","given":"Kerry D.","non-dropping-particle":"","parse-names":false,"suffix":""},{"dropping-particle":"","family":"Nguyen","given":"Phuong H.","non-dropping-particle":"","parse-names":false,"suffix":""},{"dropping-particle":"","family":"Ribeiro","given":"Paulo F.","non-dropping-particle":"","parse-names":false,"suffix":""},{"dropping-particle":"","family":"Miraoui","given":"Abdellatif","non-dropping-particle":"","parse-names":false,"suffix":""}],"container-title":"IEEE Transactions on Industry Applications","id":"ITEM-2","issue":"4","issued":{"date-parts":[["2012"]]},"page":"1154-1162","title":"A comparison of smart grid technologies and progresses in Europe and the U.S.","type":"article-journal","volume":"48"},"uris":["http://www.mendeley.com/documents/?uuid=c552a5c3-7604-3ffd-a03f-02345538e283"]}],"mendeley":{"formattedCitation":"[102,103]","plainTextFormattedCitation":"[102,103]","previouslyFormattedCitation":"[102,103]"},"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[102,103]</w:t>
      </w:r>
      <w:r w:rsidR="006628AC" w:rsidRPr="003676D3">
        <w:rPr>
          <w:rFonts w:ascii="Times New Roman" w:hAnsi="Times New Roman" w:cs="Times New Roman"/>
          <w:sz w:val="24"/>
          <w:szCs w:val="24"/>
        </w:rPr>
        <w:fldChar w:fldCharType="end"/>
      </w:r>
      <w:r w:rsidR="006628AC" w:rsidRPr="003676D3">
        <w:rPr>
          <w:rFonts w:ascii="Times New Roman" w:hAnsi="Times New Roman" w:cs="Times New Roman"/>
          <w:sz w:val="24"/>
          <w:szCs w:val="24"/>
        </w:rPr>
        <w:t xml:space="preserve"> </w:t>
      </w:r>
      <w:r w:rsidR="00094C6B" w:rsidRPr="003676D3">
        <w:rPr>
          <w:rFonts w:ascii="Times New Roman" w:hAnsi="Times New Roman" w:cs="Times New Roman"/>
          <w:sz w:val="24"/>
          <w:szCs w:val="24"/>
        </w:rPr>
        <w:t>effectively aids in designing, developing, and validating complex power and energy systems, with potential for future adaptations and extensions.</w:t>
      </w:r>
      <w:r w:rsidR="006628AC" w:rsidRPr="003676D3">
        <w:rPr>
          <w:rFonts w:ascii="Times New Roman" w:hAnsi="Times New Roman" w:cs="Times New Roman"/>
          <w:sz w:val="24"/>
          <w:szCs w:val="24"/>
        </w:rPr>
        <w:t xml:space="preserve"> A multi-layered SSG architecture is devised in this paper after reviewing all the attributes of SSG mentioned in available literature body in </w:t>
      </w:r>
      <w:r w:rsidR="006628AC" w:rsidRPr="003676D3">
        <w:rPr>
          <w:rFonts w:ascii="Times New Roman" w:hAnsi="Times New Roman" w:cs="Times New Roman"/>
          <w:sz w:val="24"/>
          <w:szCs w:val="24"/>
        </w:rPr>
        <w:fldChar w:fldCharType="begin"/>
      </w:r>
      <w:r w:rsidR="006628AC" w:rsidRPr="003676D3">
        <w:rPr>
          <w:rFonts w:ascii="Times New Roman" w:hAnsi="Times New Roman" w:cs="Times New Roman"/>
          <w:sz w:val="24"/>
          <w:szCs w:val="24"/>
        </w:rPr>
        <w:instrText xml:space="preserve"> REF _Ref168040123 \h  \* MERGEFORMAT </w:instrText>
      </w:r>
      <w:r w:rsidR="006628AC" w:rsidRPr="003676D3">
        <w:rPr>
          <w:rFonts w:ascii="Times New Roman" w:hAnsi="Times New Roman" w:cs="Times New Roman"/>
          <w:sz w:val="24"/>
          <w:szCs w:val="24"/>
        </w:rPr>
      </w:r>
      <w:r w:rsidR="006628AC"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4</w:t>
      </w:r>
      <w:r w:rsidR="006628AC" w:rsidRPr="003676D3">
        <w:rPr>
          <w:rFonts w:ascii="Times New Roman" w:hAnsi="Times New Roman" w:cs="Times New Roman"/>
          <w:sz w:val="24"/>
          <w:szCs w:val="24"/>
        </w:rPr>
        <w:fldChar w:fldCharType="end"/>
      </w:r>
      <w:r w:rsidR="006628AC" w:rsidRPr="003676D3">
        <w:rPr>
          <w:rFonts w:ascii="Times New Roman" w:hAnsi="Times New Roman" w:cs="Times New Roman"/>
          <w:sz w:val="24"/>
          <w:szCs w:val="24"/>
        </w:rPr>
        <w:t>.</w:t>
      </w:r>
    </w:p>
    <w:p w14:paraId="6D30A5FA" w14:textId="10526F77" w:rsidR="006750D2" w:rsidRPr="003676D3" w:rsidRDefault="006628AC"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lang w:eastAsia="en-GB"/>
        </w:rPr>
        <mc:AlternateContent>
          <mc:Choice Requires="wps">
            <w:drawing>
              <wp:anchor distT="0" distB="0" distL="114300" distR="114300" simplePos="0" relativeHeight="251646976" behindDoc="0" locked="0" layoutInCell="1" allowOverlap="1" wp14:anchorId="458AE8D2" wp14:editId="162ABA0B">
                <wp:simplePos x="0" y="0"/>
                <wp:positionH relativeFrom="column">
                  <wp:posOffset>57150</wp:posOffset>
                </wp:positionH>
                <wp:positionV relativeFrom="paragraph">
                  <wp:posOffset>4481195</wp:posOffset>
                </wp:positionV>
                <wp:extent cx="55435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wps:spPr>
                      <wps:txbx>
                        <w:txbxContent>
                          <w:p w14:paraId="3FF2BB50" w14:textId="4D4AFC12" w:rsidR="001F368F" w:rsidRPr="006628AC" w:rsidRDefault="001F368F" w:rsidP="004B1918">
                            <w:pPr>
                              <w:pStyle w:val="Caption"/>
                              <w:jc w:val="center"/>
                              <w:rPr>
                                <w:rFonts w:asciiTheme="majorBidi" w:hAnsiTheme="majorBidi" w:cstheme="majorBidi"/>
                                <w:b/>
                                <w:bCs/>
                                <w:i w:val="0"/>
                                <w:iCs w:val="0"/>
                                <w:noProof/>
                                <w:color w:val="auto"/>
                                <w:sz w:val="20"/>
                                <w:szCs w:val="20"/>
                              </w:rPr>
                            </w:pPr>
                            <w:bookmarkStart w:id="13" w:name="_Ref168040123"/>
                            <w:r w:rsidRPr="006628AC">
                              <w:rPr>
                                <w:rFonts w:asciiTheme="majorBidi" w:hAnsiTheme="majorBidi" w:cstheme="majorBidi"/>
                                <w:b/>
                                <w:bCs/>
                                <w:i w:val="0"/>
                                <w:iCs w:val="0"/>
                                <w:color w:val="auto"/>
                                <w:sz w:val="20"/>
                                <w:szCs w:val="20"/>
                              </w:rPr>
                              <w:t xml:space="preserve">Figure </w:t>
                            </w:r>
                            <w:r w:rsidRPr="006628AC">
                              <w:rPr>
                                <w:rFonts w:asciiTheme="majorBidi" w:hAnsiTheme="majorBidi" w:cstheme="majorBidi"/>
                                <w:b/>
                                <w:bCs/>
                                <w:i w:val="0"/>
                                <w:iCs w:val="0"/>
                                <w:color w:val="auto"/>
                                <w:sz w:val="20"/>
                                <w:szCs w:val="20"/>
                              </w:rPr>
                              <w:fldChar w:fldCharType="begin"/>
                            </w:r>
                            <w:r w:rsidRPr="006628AC">
                              <w:rPr>
                                <w:rFonts w:asciiTheme="majorBidi" w:hAnsiTheme="majorBidi" w:cstheme="majorBidi"/>
                                <w:b/>
                                <w:bCs/>
                                <w:i w:val="0"/>
                                <w:iCs w:val="0"/>
                                <w:color w:val="auto"/>
                                <w:sz w:val="20"/>
                                <w:szCs w:val="20"/>
                              </w:rPr>
                              <w:instrText xml:space="preserve"> SEQ Figure \* ARABIC </w:instrText>
                            </w:r>
                            <w:r w:rsidRPr="006628AC">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4</w:t>
                            </w:r>
                            <w:r w:rsidRPr="006628AC">
                              <w:rPr>
                                <w:rFonts w:asciiTheme="majorBidi" w:hAnsiTheme="majorBidi" w:cstheme="majorBidi"/>
                                <w:b/>
                                <w:bCs/>
                                <w:i w:val="0"/>
                                <w:iCs w:val="0"/>
                                <w:color w:val="auto"/>
                                <w:sz w:val="20"/>
                                <w:szCs w:val="20"/>
                              </w:rPr>
                              <w:fldChar w:fldCharType="end"/>
                            </w:r>
                            <w:bookmarkEnd w:id="13"/>
                            <w:r w:rsidRPr="006628AC">
                              <w:rPr>
                                <w:rFonts w:asciiTheme="majorBidi" w:hAnsiTheme="majorBidi" w:cstheme="majorBidi"/>
                                <w:b/>
                                <w:bCs/>
                                <w:i w:val="0"/>
                                <w:iCs w:val="0"/>
                                <w:color w:val="auto"/>
                                <w:sz w:val="20"/>
                                <w:szCs w:val="20"/>
                              </w:rPr>
                              <w:t>. Multi-layered Super Smart Grid Architecture</w:t>
                            </w:r>
                            <w:r w:rsidRPr="006628AC">
                              <w:rPr>
                                <w:rFonts w:asciiTheme="majorBidi" w:hAnsiTheme="majorBidi" w:cstheme="majorBidi"/>
                                <w:b/>
                                <w:bCs/>
                                <w:i w:val="0"/>
                                <w:iCs w:val="0"/>
                                <w:noProof/>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8AE8D2" id="Text Box 11" o:spid="_x0000_s1028" type="#_x0000_t202" style="position:absolute;left:0;text-align:left;margin-left:4.5pt;margin-top:352.85pt;width:436.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8O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i483iwW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" stroked="f">
                <v:textbox style="mso-fit-shape-to-text:t" inset="0,0,0,0">
                  <w:txbxContent>
                    <w:p w14:paraId="3FF2BB50" w14:textId="4D4AFC12" w:rsidR="001F368F" w:rsidRPr="006628AC" w:rsidRDefault="001F368F" w:rsidP="004B1918">
                      <w:pPr>
                        <w:pStyle w:val="Caption"/>
                        <w:jc w:val="center"/>
                        <w:rPr>
                          <w:rFonts w:asciiTheme="majorBidi" w:hAnsiTheme="majorBidi" w:cstheme="majorBidi"/>
                          <w:b/>
                          <w:bCs/>
                          <w:i w:val="0"/>
                          <w:iCs w:val="0"/>
                          <w:noProof/>
                          <w:color w:val="auto"/>
                          <w:sz w:val="20"/>
                          <w:szCs w:val="20"/>
                        </w:rPr>
                      </w:pPr>
                      <w:bookmarkStart w:id="14" w:name="_Ref168040123"/>
                      <w:r w:rsidRPr="006628AC">
                        <w:rPr>
                          <w:rFonts w:asciiTheme="majorBidi" w:hAnsiTheme="majorBidi" w:cstheme="majorBidi"/>
                          <w:b/>
                          <w:bCs/>
                          <w:i w:val="0"/>
                          <w:iCs w:val="0"/>
                          <w:color w:val="auto"/>
                          <w:sz w:val="20"/>
                          <w:szCs w:val="20"/>
                        </w:rPr>
                        <w:t xml:space="preserve">Figure </w:t>
                      </w:r>
                      <w:r w:rsidRPr="006628AC">
                        <w:rPr>
                          <w:rFonts w:asciiTheme="majorBidi" w:hAnsiTheme="majorBidi" w:cstheme="majorBidi"/>
                          <w:b/>
                          <w:bCs/>
                          <w:i w:val="0"/>
                          <w:iCs w:val="0"/>
                          <w:color w:val="auto"/>
                          <w:sz w:val="20"/>
                          <w:szCs w:val="20"/>
                        </w:rPr>
                        <w:fldChar w:fldCharType="begin"/>
                      </w:r>
                      <w:r w:rsidRPr="006628AC">
                        <w:rPr>
                          <w:rFonts w:asciiTheme="majorBidi" w:hAnsiTheme="majorBidi" w:cstheme="majorBidi"/>
                          <w:b/>
                          <w:bCs/>
                          <w:i w:val="0"/>
                          <w:iCs w:val="0"/>
                          <w:color w:val="auto"/>
                          <w:sz w:val="20"/>
                          <w:szCs w:val="20"/>
                        </w:rPr>
                        <w:instrText xml:space="preserve"> SEQ Figure \* ARABIC </w:instrText>
                      </w:r>
                      <w:r w:rsidRPr="006628AC">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4</w:t>
                      </w:r>
                      <w:r w:rsidRPr="006628AC">
                        <w:rPr>
                          <w:rFonts w:asciiTheme="majorBidi" w:hAnsiTheme="majorBidi" w:cstheme="majorBidi"/>
                          <w:b/>
                          <w:bCs/>
                          <w:i w:val="0"/>
                          <w:iCs w:val="0"/>
                          <w:color w:val="auto"/>
                          <w:sz w:val="20"/>
                          <w:szCs w:val="20"/>
                        </w:rPr>
                        <w:fldChar w:fldCharType="end"/>
                      </w:r>
                      <w:bookmarkEnd w:id="14"/>
                      <w:r w:rsidRPr="006628AC">
                        <w:rPr>
                          <w:rFonts w:asciiTheme="majorBidi" w:hAnsiTheme="majorBidi" w:cstheme="majorBidi"/>
                          <w:b/>
                          <w:bCs/>
                          <w:i w:val="0"/>
                          <w:iCs w:val="0"/>
                          <w:color w:val="auto"/>
                          <w:sz w:val="20"/>
                          <w:szCs w:val="20"/>
                        </w:rPr>
                        <w:t>. Multi-layered Super Smart Grid Architecture</w:t>
                      </w:r>
                      <w:r w:rsidRPr="006628AC">
                        <w:rPr>
                          <w:rFonts w:asciiTheme="majorBidi" w:hAnsiTheme="majorBidi" w:cstheme="majorBidi"/>
                          <w:b/>
                          <w:bCs/>
                          <w:i w:val="0"/>
                          <w:iCs w:val="0"/>
                          <w:noProof/>
                          <w:color w:val="auto"/>
                          <w:sz w:val="20"/>
                          <w:szCs w:val="20"/>
                        </w:rPr>
                        <w:t>.</w:t>
                      </w:r>
                    </w:p>
                  </w:txbxContent>
                </v:textbox>
                <w10:wrap type="square"/>
              </v:shape>
            </w:pict>
          </mc:Fallback>
        </mc:AlternateContent>
      </w:r>
      <w:r w:rsidR="006750D2" w:rsidRPr="003676D3">
        <w:rPr>
          <w:rFonts w:ascii="Times New Roman" w:hAnsi="Times New Roman" w:cs="Times New Roman"/>
          <w:noProof/>
          <w:sz w:val="24"/>
          <w:szCs w:val="24"/>
          <w:lang w:eastAsia="en-GB"/>
        </w:rPr>
        <w:drawing>
          <wp:anchor distT="0" distB="0" distL="114300" distR="114300" simplePos="0" relativeHeight="251622400" behindDoc="0" locked="0" layoutInCell="1" allowOverlap="1" wp14:anchorId="1610470F" wp14:editId="1C751787">
            <wp:simplePos x="0" y="0"/>
            <wp:positionH relativeFrom="margin">
              <wp:posOffset>57150</wp:posOffset>
            </wp:positionH>
            <wp:positionV relativeFrom="paragraph">
              <wp:posOffset>247650</wp:posOffset>
            </wp:positionV>
            <wp:extent cx="5543550" cy="4176395"/>
            <wp:effectExtent l="0" t="0" r="0" b="0"/>
            <wp:wrapSquare wrapText="bothSides"/>
            <wp:docPr id="4" name="Picture 4" descr="C:\Users\AnamZahid\Desktop\Project European grid\infographics for paper\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mZahid\Desktop\Project European grid\infographics for paper\SS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417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57FD3" w14:textId="39B17391" w:rsidR="00747DDB" w:rsidRPr="003676D3" w:rsidRDefault="00747DDB" w:rsidP="003676D3">
      <w:pPr>
        <w:spacing w:line="276" w:lineRule="auto"/>
        <w:jc w:val="both"/>
        <w:rPr>
          <w:rFonts w:ascii="Times New Roman" w:hAnsi="Times New Roman" w:cs="Times New Roman"/>
          <w:sz w:val="24"/>
          <w:szCs w:val="24"/>
        </w:rPr>
      </w:pPr>
    </w:p>
    <w:p w14:paraId="65536DB1" w14:textId="0F621F3E" w:rsidR="00084F2D"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3.3</w:t>
      </w:r>
      <w:r w:rsidR="00084F2D" w:rsidRPr="003676D3">
        <w:rPr>
          <w:rFonts w:ascii="Times New Roman" w:hAnsi="Times New Roman" w:cs="Times New Roman"/>
          <w:b/>
          <w:bCs/>
          <w:color w:val="auto"/>
          <w:sz w:val="24"/>
          <w:szCs w:val="24"/>
        </w:rPr>
        <w:t>. Innovative Ways for Energy Transactions</w:t>
      </w:r>
    </w:p>
    <w:p w14:paraId="297F900C" w14:textId="185B4E2E" w:rsidR="009248F7" w:rsidRPr="003676D3" w:rsidRDefault="00084F2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Energy Transaction</w:t>
      </w:r>
      <w:r w:rsidR="00940258" w:rsidRPr="003676D3">
        <w:rPr>
          <w:rFonts w:ascii="Times New Roman" w:hAnsi="Times New Roman" w:cs="Times New Roman"/>
          <w:sz w:val="24"/>
          <w:szCs w:val="24"/>
        </w:rPr>
        <w:t xml:space="preserve"> or Energy Exchange are terms used interchangeably in the literature.</w:t>
      </w:r>
      <w:r w:rsidR="004C7490" w:rsidRPr="003676D3">
        <w:rPr>
          <w:rFonts w:ascii="Times New Roman" w:hAnsi="Times New Roman" w:cs="Times New Roman"/>
          <w:sz w:val="24"/>
          <w:szCs w:val="24"/>
        </w:rPr>
        <w:t xml:space="preserve"> Transactive Energy (TE) is a system where coordinated accomplices utilize automation tools to communicate and exchange energy, adhering to grid reliability indexes and constraints.</w:t>
      </w:r>
      <w:r w:rsidR="00940258" w:rsidRPr="003676D3">
        <w:rPr>
          <w:rFonts w:ascii="Times New Roman" w:hAnsi="Times New Roman" w:cs="Times New Roman"/>
          <w:sz w:val="24"/>
          <w:szCs w:val="24"/>
        </w:rPr>
        <w:t xml:space="preserve"> </w:t>
      </w:r>
      <w:r w:rsidR="009248F7" w:rsidRPr="003676D3">
        <w:rPr>
          <w:rFonts w:ascii="Times New Roman" w:hAnsi="Times New Roman" w:cs="Times New Roman"/>
          <w:sz w:val="24"/>
          <w:szCs w:val="24"/>
        </w:rPr>
        <w:t xml:space="preserve">The </w:t>
      </w:r>
      <w:r w:rsidR="009248F7" w:rsidRPr="003676D3">
        <w:rPr>
          <w:rFonts w:ascii="Times New Roman" w:hAnsi="Times New Roman" w:cs="Times New Roman"/>
          <w:sz w:val="24"/>
          <w:szCs w:val="24"/>
        </w:rPr>
        <w:lastRenderedPageBreak/>
        <w:t xml:space="preserve">growing number of prosumers highlights the necessity of establishing an electricity trading mechanism to facilitate peer-to-peer energy exchange. </w:t>
      </w:r>
      <w:r w:rsidR="004C7490" w:rsidRPr="003676D3">
        <w:rPr>
          <w:rFonts w:ascii="Times New Roman" w:hAnsi="Times New Roman" w:cs="Times New Roman"/>
          <w:sz w:val="24"/>
          <w:szCs w:val="24"/>
        </w:rPr>
        <w:t>Within an electric power system, i</w:t>
      </w:r>
      <w:r w:rsidR="00CD7701" w:rsidRPr="003676D3">
        <w:rPr>
          <w:rFonts w:ascii="Times New Roman" w:hAnsi="Times New Roman" w:cs="Times New Roman"/>
          <w:sz w:val="24"/>
          <w:szCs w:val="24"/>
        </w:rPr>
        <w:t xml:space="preserve">t employs market </w:t>
      </w:r>
      <w:r w:rsidR="009248F7" w:rsidRPr="003676D3">
        <w:rPr>
          <w:rFonts w:ascii="Times New Roman" w:hAnsi="Times New Roman" w:cs="Times New Roman"/>
          <w:sz w:val="24"/>
          <w:szCs w:val="24"/>
        </w:rPr>
        <w:t xml:space="preserve">based </w:t>
      </w:r>
      <w:r w:rsidR="004C7490" w:rsidRPr="003676D3">
        <w:rPr>
          <w:rFonts w:ascii="Times New Roman" w:hAnsi="Times New Roman" w:cs="Times New Roman"/>
          <w:sz w:val="24"/>
          <w:szCs w:val="24"/>
        </w:rPr>
        <w:t>financial</w:t>
      </w:r>
      <w:r w:rsidR="009248F7" w:rsidRPr="003676D3">
        <w:rPr>
          <w:rFonts w:ascii="Times New Roman" w:hAnsi="Times New Roman" w:cs="Times New Roman"/>
          <w:sz w:val="24"/>
          <w:szCs w:val="24"/>
        </w:rPr>
        <w:t xml:space="preserve"> transactions and control functionalities to facilitate energy </w:t>
      </w:r>
      <w:r w:rsidR="00CD7701" w:rsidRPr="003676D3">
        <w:rPr>
          <w:rFonts w:ascii="Times New Roman" w:hAnsi="Times New Roman" w:cs="Times New Roman"/>
          <w:sz w:val="24"/>
          <w:szCs w:val="24"/>
        </w:rPr>
        <w:t>exchange (</w:t>
      </w:r>
      <w:r w:rsidR="009248F7" w:rsidRPr="003676D3">
        <w:rPr>
          <w:rFonts w:ascii="Times New Roman" w:hAnsi="Times New Roman" w:cs="Times New Roman"/>
          <w:sz w:val="24"/>
          <w:szCs w:val="24"/>
        </w:rPr>
        <w:t>trading and sharing</w:t>
      </w:r>
      <w:r w:rsidR="00CD7701" w:rsidRPr="003676D3">
        <w:rPr>
          <w:rFonts w:ascii="Times New Roman" w:hAnsi="Times New Roman" w:cs="Times New Roman"/>
          <w:sz w:val="24"/>
          <w:szCs w:val="24"/>
        </w:rPr>
        <w:t xml:space="preserve">) among prosumers, </w:t>
      </w:r>
      <w:r w:rsidR="009248F7" w:rsidRPr="003676D3">
        <w:rPr>
          <w:rFonts w:ascii="Times New Roman" w:hAnsi="Times New Roman" w:cs="Times New Roman"/>
          <w:sz w:val="24"/>
          <w:szCs w:val="24"/>
        </w:rPr>
        <w:t>conventional</w:t>
      </w:r>
      <w:r w:rsidR="00CD7701" w:rsidRPr="003676D3">
        <w:rPr>
          <w:rFonts w:ascii="Times New Roman" w:hAnsi="Times New Roman" w:cs="Times New Roman"/>
          <w:sz w:val="24"/>
          <w:szCs w:val="24"/>
        </w:rPr>
        <w:t xml:space="preserve"> and renewable</w:t>
      </w:r>
      <w:r w:rsidR="009248F7" w:rsidRPr="003676D3">
        <w:rPr>
          <w:rFonts w:ascii="Times New Roman" w:hAnsi="Times New Roman" w:cs="Times New Roman"/>
          <w:sz w:val="24"/>
          <w:szCs w:val="24"/>
        </w:rPr>
        <w:t xml:space="preserve"> power producers, storage systems, and active consumers. Transactive Energy Systems (TES) transform energy into a tradable commodity, allowing customers to trade surplus energy either in real-time or on a deferred basis</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{"citationItems":[{"id":"ITEM-1","itemData":{"ISSN":"10.1109/MELE.2016.2614198","author":[{"dropping-particle":"","family":"Ron Melton and Jason Fuller","given":"","non-dropping-particle":"","parse-names":false,"suffix":""}],"id":"ITEM-1","issued":{"date-parts":[["2016"]]},"title":"Transactive energy: Envisioning the future","type":"report"},"uris":["http://www.mendeley.com/documents/?uuid=ee27c968-aea8-3226-896c-01de40771591"]},{"id":"ITEM-2","itemData":{"abstract":"As the distributed energy generation and storage technologies are becoming economically viable, energy trading is gradually becoming a profit making option for end-users. This trend is further supported by the regulators and the policy makers as it aids the efficiency of power grid operations, reduces power generation cost and the Green House Gas (GHG) emissions. To that end, in this paper we provide an overview of distributed energy trading concepts in smart grid. First, we identify the motivation and the desired outcomes of energy trading framework. Then we present the enabling technologies that are required to generate, store, and communicate with the trading agencies. Finally, we survey on the existing literature and present an array of mathematical frameworks employed.","author":[{"dropping-particle":"","family":"Safak Bayram","given":"I","non-dropping-particle":"","parse-names":false,"suffix":""},{"dropping-particle":"","family":"Shakir","given":"Muhammad Z","non-dropping-particle":"","parse-names":false,"suffix":""},{"dropping-particle":"","family":"Abdallah","given":"Mohamed","non-dropping-particle":"","parse-names":false,"suffix":""},{"dropping-particle":"","family":"Member","given":"Senior","non-dropping-particle":"","parse-names":false,"suffix":""},{"dropping-particle":"","family":"Qaraqe","given":"Khalid","non-dropping-particle":"","parse-names":false,"suffix":""}],"id":"ITEM-2","issued":{"date-parts":[["2014"]]},"title":"A Survey on Energy Trading in Smart Grid","type":"article-journal"},"uris":["http://www.mendeley.com/documents/?uuid=f2b95fa7-7d0f-3700-9b1a-d4e708c6cbc4"]},{"id":"ITEM-3","itemData":{"DOI":"10.1049/iet-gtd.2016.1072","ISSN":"17518687","abstract":"Distribution systems of the future will definitely encompass numerous distributed energy resources, and thereby, the physical connection and commercial contribution among virtual power plants (VPPs) will be inevitable. Accordingly, this study proposes a methodology to address the trading strategies of a VPP in cooperation with its neighbouring VPPs. This cooperation is modelled based on some available cross-regional contracts and the problem faced by the VPP is how to determine its bilateral contracting portfolio. To this end, a decision-making framework for medium-term self-scheduling of a VPP with the aim of exercising arbitrage between two different trading floors, i.e. bilateral contracts and the electricity market, is presented. Moreover, an efficient risk management approach based on the concept of first-order stochastic dominance constraints is used to enable informed decision making under different levels of uncertainty. The resulting model is formulated as a mixed-integer linear programming problem that can be solved using off-the-shelf software packages. The efficiency of the proposed model is analysed through a detailed case study, and finally relevant conclusions are duly drawn.","author":[{"dropping-particle":"","family":"Shabanzadeh","given":"Morteza","non-dropping-particle":"","parse-names":false,"suffix":""},{"dropping-particle":"","family":"Sheikh-El-Eslami","given":"Mohammad Kazem","non-dropping-particle":"","parse-names":false,"suffix":""},{"dropping-particle":"","family":"Haghifam","given":"Mahmoud Reza","non-dropping-particle":"","parse-names":false,"suffix":""}],"container-title":"IET Generation, Transmission and Distribution","id":"ITEM-3","issued":{"date-parts":[["2017"]]},"title":"Risk-based medium-term trading strategy for a virtual power plant with first-order stochastic dominance constraints","type":"article-journal"},"uris":["http://www.mendeley.com/documents/?uuid=0347b715-2805-46ab-a173-4cca3784c57e"]}],"mendeley":{"formattedCitation":"[104–106]","plainTextFormattedCitation":"[104–106]","previouslyFormattedCitation":"[104–106]"},"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[104–106]</w:t>
      </w:r>
      <w:r w:rsidR="006628AC" w:rsidRPr="003676D3">
        <w:rPr>
          <w:rFonts w:ascii="Times New Roman" w:hAnsi="Times New Roman" w:cs="Times New Roman"/>
          <w:sz w:val="24"/>
          <w:szCs w:val="24"/>
        </w:rPr>
        <w:fldChar w:fldCharType="end"/>
      </w:r>
      <w:r w:rsidR="009248F7" w:rsidRPr="003676D3">
        <w:rPr>
          <w:rFonts w:ascii="Times New Roman" w:hAnsi="Times New Roman" w:cs="Times New Roman"/>
          <w:sz w:val="24"/>
          <w:szCs w:val="24"/>
        </w:rPr>
        <w:t>.</w:t>
      </w:r>
      <w:r w:rsidR="00F44C32" w:rsidRPr="003676D3">
        <w:rPr>
          <w:rFonts w:ascii="Times New Roman" w:hAnsi="Times New Roman" w:cs="Times New Roman"/>
          <w:sz w:val="24"/>
          <w:szCs w:val="24"/>
        </w:rPr>
        <w:t xml:space="preserve"> </w:t>
      </w:r>
    </w:p>
    <w:p w14:paraId="6091BED8" w14:textId="258ACE77" w:rsidR="00940258" w:rsidRPr="003676D3" w:rsidRDefault="0094025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It</w:t>
      </w:r>
      <w:r w:rsidR="00084F2D" w:rsidRPr="003676D3">
        <w:rPr>
          <w:rFonts w:ascii="Times New Roman" w:hAnsi="Times New Roman" w:cs="Times New Roman"/>
          <w:sz w:val="24"/>
          <w:szCs w:val="24"/>
        </w:rPr>
        <w:t xml:space="preserve"> is ideally bas</w:t>
      </w:r>
      <w:r w:rsidR="004C7490" w:rsidRPr="003676D3">
        <w:rPr>
          <w:rFonts w:ascii="Times New Roman" w:hAnsi="Times New Roman" w:cs="Times New Roman"/>
          <w:sz w:val="24"/>
          <w:szCs w:val="24"/>
        </w:rPr>
        <w:t>ed on a system of c</w:t>
      </w:r>
      <w:r w:rsidR="00084F2D" w:rsidRPr="003676D3">
        <w:rPr>
          <w:rFonts w:ascii="Times New Roman" w:hAnsi="Times New Roman" w:cs="Times New Roman"/>
          <w:sz w:val="24"/>
          <w:szCs w:val="24"/>
        </w:rPr>
        <w:t>ontrol mechanisms</w:t>
      </w:r>
      <w:r w:rsidR="004C7490" w:rsidRPr="003676D3">
        <w:rPr>
          <w:rFonts w:ascii="Times New Roman" w:hAnsi="Times New Roman" w:cs="Times New Roman"/>
          <w:sz w:val="24"/>
          <w:szCs w:val="24"/>
        </w:rPr>
        <w:t xml:space="preserve"> and economics</w:t>
      </w:r>
      <w:r w:rsidR="00084F2D" w:rsidRPr="003676D3">
        <w:rPr>
          <w:rFonts w:ascii="Times New Roman" w:hAnsi="Times New Roman" w:cs="Times New Roman"/>
          <w:sz w:val="24"/>
          <w:szCs w:val="24"/>
        </w:rPr>
        <w:t xml:space="preserve"> that allows the dynamic balance of </w:t>
      </w:r>
      <w:r w:rsidR="004C7490" w:rsidRPr="003676D3">
        <w:rPr>
          <w:rFonts w:ascii="Times New Roman" w:hAnsi="Times New Roman" w:cs="Times New Roman"/>
          <w:sz w:val="24"/>
          <w:szCs w:val="24"/>
        </w:rPr>
        <w:t>demand and supply</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{"citationItems":[{"id":"ITEM-1","itemData":{"DOI":"10.1007/S40565-016-0256-X/TABLES/2","ISSN":"21965420","abstract":"This paper reviews the state of the art of research and industry practice on demand response and the new methodology of transactive energy. Demand response programs incentivize consumers to align their demand with power supply conditions, enhancing power system reliability and economic operation. The design of demand response programs, performance of pilot projects and programs, consumer behaviors, and barriers are discussed. Transactive energy is a variant and a generalized form of demand response in that it manages both the supply and demand sides. It is intended for a changing environment with an increasing number of distributed resources and intelligent devices. It utilizes the flexibility of various generation/load resources to maintain a dynamic balance of supply and demand. These distributed resources are controlled by their owners. However, the design of transaction mechanisms should align the individual behaviors with the interests of the entire system. Transactive energy features real-time, autonomous, and decentralized decision making. The transition from demand response to transactive energy is also discussed.","author":[{"dropping-particle":"","family":"Chen","given":"Sijie","non-dropping-particle":"","parse-names":false,"suffix":""},{"dropping-particle":"","family":"Liu","given":"Chen Ching","non-dropping-particle":"","parse-names":false,"suffix":""}],"container-title":"Journal of Modern Power Systems and Clean Energy","id":"ITEM-1","issue":"1","issued":{"date-parts":[["2017","1","1"]]},"page":"10-19","publisher":"Springer Heidelberg","title":"From demand response to transactive energy: state of the art","type":"article-journal","volume":"5"},"uris":["http://www.mendeley.com/documents/?uuid=f55f0a13-1638-32ef-b978-cc9837b115af"]}],"mendeley":{"formattedCitation":"[107]","plainTextFormattedCitation":"[107]","previouslyFormattedCitation":"[107]"},"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[107]</w:t>
      </w:r>
      <w:r w:rsidR="006628AC" w:rsidRPr="003676D3">
        <w:rPr>
          <w:rFonts w:ascii="Times New Roman" w:hAnsi="Times New Roman" w:cs="Times New Roman"/>
          <w:sz w:val="24"/>
          <w:szCs w:val="24"/>
        </w:rPr>
        <w:fldChar w:fldCharType="end"/>
      </w:r>
      <w:r w:rsidR="00CD7701" w:rsidRPr="003676D3">
        <w:rPr>
          <w:rFonts w:ascii="Times New Roman" w:hAnsi="Times New Roman" w:cs="Times New Roman"/>
          <w:sz w:val="24"/>
          <w:szCs w:val="24"/>
        </w:rPr>
        <w:t xml:space="preserve"> </w:t>
      </w:r>
      <w:r w:rsidR="004C7490" w:rsidRPr="003676D3">
        <w:rPr>
          <w:rFonts w:ascii="Times New Roman" w:hAnsi="Times New Roman" w:cs="Times New Roman"/>
          <w:sz w:val="24"/>
          <w:szCs w:val="24"/>
        </w:rPr>
        <w:t>through</w:t>
      </w:r>
      <w:r w:rsidR="00CD7701" w:rsidRPr="003676D3">
        <w:rPr>
          <w:rFonts w:ascii="Times New Roman" w:hAnsi="Times New Roman" w:cs="Times New Roman"/>
          <w:sz w:val="24"/>
          <w:szCs w:val="24"/>
        </w:rPr>
        <w:t xml:space="preserve"> the entire grid</w:t>
      </w:r>
      <w:r w:rsidR="00084F2D" w:rsidRPr="003676D3">
        <w:rPr>
          <w:rFonts w:ascii="Times New Roman" w:hAnsi="Times New Roman" w:cs="Times New Roman"/>
          <w:sz w:val="24"/>
          <w:szCs w:val="24"/>
        </w:rPr>
        <w:t xml:space="preserve"> infrastructure and allow energy give and take at multiple points across the network. </w:t>
      </w:r>
      <w:r w:rsidR="00CD7701" w:rsidRPr="003676D3">
        <w:rPr>
          <w:rFonts w:ascii="Times New Roman" w:hAnsi="Times New Roman" w:cs="Times New Roman"/>
          <w:sz w:val="24"/>
          <w:szCs w:val="24"/>
        </w:rPr>
        <w:t xml:space="preserve">This model requires equitable grid access for both </w:t>
      </w:r>
      <w:r w:rsidR="004C7490" w:rsidRPr="003676D3">
        <w:rPr>
          <w:rFonts w:ascii="Times New Roman" w:hAnsi="Times New Roman" w:cs="Times New Roman"/>
          <w:sz w:val="24"/>
          <w:szCs w:val="24"/>
        </w:rPr>
        <w:t>demand and supply</w:t>
      </w:r>
      <w:r w:rsidR="00CD7701" w:rsidRPr="003676D3">
        <w:rPr>
          <w:rFonts w:ascii="Times New Roman" w:hAnsi="Times New Roman" w:cs="Times New Roman"/>
          <w:sz w:val="24"/>
          <w:szCs w:val="24"/>
        </w:rPr>
        <w:t xml:space="preserve"> side energy resources in both bulk and retail power networks.</w:t>
      </w:r>
      <w:r w:rsidR="00084F2D" w:rsidRPr="003676D3">
        <w:rPr>
          <w:rFonts w:ascii="Times New Roman" w:hAnsi="Times New Roman" w:cs="Times New Roman"/>
          <w:sz w:val="24"/>
          <w:szCs w:val="24"/>
        </w:rPr>
        <w:t>, as well as open and transparent pricing of energy services</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{"citationItems":[{"id":"ITEM-1","itemData":{"DOI":"10.1016/J.EGYR.2021.05.037","ISSN":"2352-4847","abstract":"Transactive energy is an effective way to share and trade energy among peers. A transactive energy framework is composed of several integrated blocks such as an energy market, service providers, generation companies, transmission and distribution networks, prosumers, etc. The success of such a framework can be measured by analyzing the effectiveness of its major building blocks. This paper provides a basic definition of transactive energy which helps in identifying its primary building blocks. Based on the identified building blocks, each block of the transactive energy system is discussed briefly to highlight its significant role and effectiveness. Some enabling technologies for such systems are then reviewed along with pilot projects. In the end, some policy guidelines are presented to speed up their implementation.","author":[{"dropping-particle":"","family":"Huang","given":"Qi","non-dropping-particle":"","parse-names":false,"suffix":""},{"dropping-particle":"","family":"Amin","given":"Waqas","non-dropping-particle":"","parse-names":false,"suffix":""},{"dropping-particle":"","family":"Umer","given":"Khalid","non-dropping-particle":"","parse-names":false,"suffix":""},{"dropping-particle":"","family":"Gooi","given":"Hoay Beng","non-dropping-particle":"","parse-names":false,"suffix":""},{"dropping-particle":"","family":"Eddy","given":"Foo Yi Shyh","non-dropping-particle":"","parse-names":false,"suffix":""},{"dropping-particle":"","family":"Afzal","given":"Muhammad","non-dropping-particle":"","parse-names":false,"suffix":""},{"dropping-particle":"","family":"Shahzadi","given":"Mahnoor","non-dropping-particle":"","parse-names":false,"suffix":""},{"dropping-particle":"","family":"Khan","given":"Abdullah Aman","non-dropping-particle":"","parse-names":false,"suffix":""},{"dropping-particle":"","family":"Ahmad","given":"Syed Adrees","non-dropping-particle":"","parse-names":false,"suffix":""}],"container-title":"Energy Reports","id":"ITEM-1","issued":{"date-parts":[["2021","11","1"]]},"page":"7804-7824","publisher":"Elsevier","title":"A review of transactive energy systems: Concept and implementation","type":"article-journal","volume":"7"},"uris":["http://www.mendeley.com/documents/?uuid=e9b36103-7a03-3bbf-ac9c-f99325d78859"]}],"mendeley":{"formattedCitation":"[108]","plainTextFormattedCitation":"[108]","previouslyFormattedCitation":"[108]"},"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[108]</w:t>
      </w:r>
      <w:r w:rsidR="006628AC" w:rsidRPr="003676D3">
        <w:rPr>
          <w:rFonts w:ascii="Times New Roman" w:hAnsi="Times New Roman" w:cs="Times New Roman"/>
          <w:sz w:val="24"/>
          <w:szCs w:val="24"/>
        </w:rPr>
        <w:fldChar w:fldCharType="end"/>
      </w:r>
      <w:r w:rsidR="00084F2D" w:rsidRPr="003676D3">
        <w:rPr>
          <w:rFonts w:ascii="Times New Roman" w:hAnsi="Times New Roman" w:cs="Times New Roman"/>
          <w:sz w:val="24"/>
          <w:szCs w:val="24"/>
        </w:rPr>
        <w:t>. The purpose of such a system would be to combine all available resources within a specific geographic footprint in order to fulfil lo</w:t>
      </w:r>
      <w:r w:rsidR="00B308EE" w:rsidRPr="003676D3">
        <w:rPr>
          <w:rFonts w:ascii="Times New Roman" w:hAnsi="Times New Roman" w:cs="Times New Roman"/>
          <w:sz w:val="24"/>
          <w:szCs w:val="24"/>
        </w:rPr>
        <w:t xml:space="preserve">ad at the lowest possible cost. Virtual Power Plants (VPPs) stands as a significant stride towards advancing future Sustainable Smart Grids (SSGs). </w:t>
      </w:r>
    </w:p>
    <w:p w14:paraId="6D0E2DC0" w14:textId="47BAF32C" w:rsidR="00940258" w:rsidRPr="003676D3" w:rsidRDefault="00370893"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In </w:t>
      </w:r>
      <w:r w:rsidR="00940258" w:rsidRPr="003676D3">
        <w:rPr>
          <w:rFonts w:ascii="Times New Roman" w:hAnsi="Times New Roman" w:cs="Times New Roman"/>
          <w:sz w:val="24"/>
          <w:szCs w:val="24"/>
        </w:rPr>
        <w:t>centralized energy exchange</w:t>
      </w:r>
      <w:r w:rsidRPr="003676D3">
        <w:rPr>
          <w:rFonts w:ascii="Times New Roman" w:hAnsi="Times New Roman" w:cs="Times New Roman"/>
          <w:sz w:val="24"/>
          <w:szCs w:val="24"/>
        </w:rPr>
        <w:t>, a central authority manages and controls transactions between prosumers</w:t>
      </w:r>
      <w:r w:rsidR="00BE2F97" w:rsidRPr="003676D3">
        <w:rPr>
          <w:rFonts w:ascii="Times New Roman" w:hAnsi="Times New Roman" w:cs="Times New Roman"/>
          <w:sz w:val="24"/>
          <w:szCs w:val="24"/>
        </w:rPr>
        <w:t xml:space="preserve">. This </w:t>
      </w:r>
      <w:r w:rsidRPr="003676D3">
        <w:rPr>
          <w:rFonts w:ascii="Times New Roman" w:hAnsi="Times New Roman" w:cs="Times New Roman"/>
          <w:sz w:val="24"/>
          <w:szCs w:val="24"/>
        </w:rPr>
        <w:t>ensur</w:t>
      </w:r>
      <w:r w:rsidR="00BE2F97" w:rsidRPr="003676D3">
        <w:rPr>
          <w:rFonts w:ascii="Times New Roman" w:hAnsi="Times New Roman" w:cs="Times New Roman"/>
          <w:sz w:val="24"/>
          <w:szCs w:val="24"/>
        </w:rPr>
        <w:t>es</w:t>
      </w:r>
      <w:r w:rsidRPr="003676D3">
        <w:rPr>
          <w:rFonts w:ascii="Times New Roman" w:hAnsi="Times New Roman" w:cs="Times New Roman"/>
          <w:sz w:val="24"/>
          <w:szCs w:val="24"/>
        </w:rPr>
        <w:t xml:space="preserve"> transparency and imposing penalties for contract violations. However, this central control poses significant risks to the security and privacy of participants</w:t>
      </w:r>
      <w:r w:rsidR="00BE2F97" w:rsidRPr="003676D3">
        <w:rPr>
          <w:rFonts w:ascii="Times New Roman" w:hAnsi="Times New Roman" w:cs="Times New Roman"/>
          <w:sz w:val="24"/>
          <w:szCs w:val="24"/>
        </w:rPr>
        <w:t xml:space="preserve">. It </w:t>
      </w:r>
      <w:r w:rsidRPr="003676D3">
        <w:rPr>
          <w:rFonts w:ascii="Times New Roman" w:hAnsi="Times New Roman" w:cs="Times New Roman"/>
          <w:sz w:val="24"/>
          <w:szCs w:val="24"/>
        </w:rPr>
        <w:t>adds</w:t>
      </w:r>
      <w:r w:rsidR="00BE2F97" w:rsidRPr="003676D3">
        <w:rPr>
          <w:rFonts w:ascii="Times New Roman" w:hAnsi="Times New Roman" w:cs="Times New Roman"/>
          <w:sz w:val="24"/>
          <w:szCs w:val="24"/>
        </w:rPr>
        <w:t xml:space="preserve"> to the</w:t>
      </w:r>
      <w:r w:rsidRPr="003676D3">
        <w:rPr>
          <w:rFonts w:ascii="Times New Roman" w:hAnsi="Times New Roman" w:cs="Times New Roman"/>
          <w:sz w:val="24"/>
          <w:szCs w:val="24"/>
        </w:rPr>
        <w:t xml:space="preserve"> time, cost, and computational burdens</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{"citationItems":[{"id":"ITEM-1","itemData":{"DOI":"10.1109/PADSW.2018.8645001","ISBN":"9781538673089","ISSN":"15219097","abstract":"Power grids are undergoing major changes due to rapid growth in renewable energy and improvements in battery technology. Prompted by the increasing complexity of power systems, decentralized IoT solutions are emerging, which arrange local communities into transactive microgrids. The core functionality of these solutions is to provide mechanisms for matching producers with consumers while ensuring system safety. However, there are multiple challenges that these solutions still face: privacy, trust, and resilience. The privacy challenge arises because the time series of production and consumption data for each participant is sensitive and may be used to infer personal information. Trust is an issue because a producer or consumer can renege on the promised energy transfer. Providing resilience is challenging due to the possibility of failures in the infrastructure that is required to support these market based solutions. In this paper, we develop a rigorous solution for transactive microgrids that addresses all three challenges by providing an innovative combination of MILP solvers, smart contracts, and publish-subscribe middleware within a framework of a novel distributed application platform, called Resilient Information Architecture Platform for Smart Grid. Towards this purpose, we describe the key architectural concepts, including fault tolerance, and show the trade-off between market efficiency and resource requirements,","author":[{"dropping-particle":"","family":"Laszka","given":"Aron","non-dropping-particle":"","parse-names":false,"suffix":""},{"dropping-particle":"","family":"Eisele","given":"Scott","non-dropping-particle":"","parse-names":false,"suffix":""},{"dropping-particle":"","family":"Dubey","given":"Abhishek","non-dropping-particle":"","parse-names":false,"suffix":""},{"dropping-particle":"","family":"Karsai","given":"Gabor","non-dropping-particle":"","parse-names":false,"suffix":""},{"dropping-particle":"","family":"Kvaternik","given":"Karla","non-dropping-particle":"","parse-names":false,"suffix":""}],"container-title":"Proceedings of the International Conference on Parallel and Distributed Systems - ICPADS","id":"ITEM-1","issued":{"date-parts":[["2018","7","2"]]},"page":"918-927","publisher":"IEEE Computer Society","title":"TRANSAX: A Blockchain-Based Decentralized Forward-Trading Energy Exchanged for Transactive Microgrids","type":"article-journal","volume":"2018-December"},"uris":["http://www.mendeley.com/documents/?uuid=f1d2ec20-0601-35c9-936d-01f72038ddbe"]},{"id":"ITEM-2","itemData":{"DOI":"10.1109/TII.2020.3018123","ISSN":"19410050","abstract":"Emerging smart grid technologies and increased penetration of renewable energy sources (RESs) direct the power sector to focus on RESs as an alternative to meet both baseload and peak load demands in a cost-efficient way. A key issue in such schemes is the design and analysis of energy trading techniques involving complex interactions between an aggregator and multiple electricity suppliers (ESs) with RESs fulfilling a certain demand. This is challenging because ESs can be of various categories, such as small/medium/large scale, and they are self-interested and generally have different preferences toward trading based on their types and constraints. This article introduces a new contract theoretic framework to tackle this challenge by designing optimal contracts for ESs. To this end, a dynamic pricing scheme is developed such that the aggregator can utilize to incentivize the ESs to contribute to both baseload and peak load demands according to their categories. An algorithm is proposed that can be implemented in a distributed manner by trading partners to enable energy trading. It is shown that the trading strategy under a baseload scenario is feasible, and the aggregator only needs to consider the per unit generation cost of ESs to decide on its strategy. The trading strategy for a peak load scenario, however, is complex and requires consideration of different factors, such as variations in the wholesale price and its effect on the selling price of ESs, and the uncertainty of energy generation from RESs. Simulation results demonstrate the effectiveness of the proposed scheme for energy trading in the local electricity market.","author":[{"dropping-particle":"","family":"Amin","given":"Uzma","non-dropping-particle":"","parse-names":false,"suffix":""},{"dropping-particle":"","family":"Hossain","given":"M. Jahangir","non-dropping-particle":"","parse-names":false,"suffix":""},{"dropping-particle":"","family":"Tushar","given":"Wayes","non-dropping-particle":"","parse-names":false,"suffix":""},{"dropping-particle":"","family":"Mahmud","given":"Khizir","non-dropping-particle":"","parse-names":false,"suffix":""}],"container-title":"IEEE Transactions on Industrial Informatics","id":"ITEM-2","issue":"6","issued":{"date-parts":[["2021","6","1"]]},"page":"3717-3730","publisher":"IEEE Computer Society","title":"Energy Trading in Local Electricity Market with Renewables - A Contract Theoretic Approach","type":"article-journal","volume":"17"},"uris":["http://www.mendeley.com/documents/?uuid=61c4af2d-2eb6-3e78-b616-3a39a23efee6"]},{"id":"ITEM-3","itemData":{"DOI":"10.1109/ACCESS.2020.3041931","ISSN":"21693536","abstract":"The rapid deployment of Electric Vehicles (EVs) and the integration of renewable energy sources have ameliorated the existing power systems and contributed to the development of greener smart communities. However, load balancing problems, security threats, privacy leakage issues, etc., remain unresolved. Many blockchain-based approaches have been used in literature to solve the aforementioned challenges. However, they are not sufficient to obtain satisfactory results because of the inefficient energy management methods and time-intensiveness of the primitive cryptographic executions on the network devices. In this paper, an efficient and secure blockchain-based Energy Trading (ET) model is proposed. It leverages the contract theory, incentive mechanism, and a reputation system for information asymmetry scenario. In order to motivate the ET entities to trade energy locally and EVs to participate in smart energy management, the proposed incentive provisioning mechanism plays a vital role. Besides, a reputation system improves the reliability and efficiency of the system and discourages the blockchain nodes from acting maliciously. A novel consensus algorithm, i.e., Proof of Work based on Reputation (PoWR), is proposed to reduce transaction confirmation latency and block creation time. Moreover, a shortest route algorithm, i.e., the Dijkstra algorithm, is implemented in order to reduce the traveling distance and energy consumption of the EVs during ET. The performance of the proposed model is evaluated using peak to average ratio, social welfare, utility of local aggregator, etc., as performance metrics. Moreover, privacy and security analyses of the system are also presented.","author":[{"dropping-particle":"","family":"Yahaya","given":"Adamu Sani","non-dropping-particle":"","parse-names":false,"suffix":""},{"dropping-particle":"","family":"Javaid","given":"Nadeem","non-dropping-particle":"","parse-names":false,"suffix":""},{"dropping-particle":"","family":"Javed","given":"Muhammad Umar","non-dropping-particle":"","parse-names":false,"suffix":""},{"dropping-particle":"","family":"Shafiq","given":"Muhammad","non-dropping-particle":"","parse-names":false,"suffix":""},{"dropping-particle":"","family":"Khan","given":"Wazir Zada","non-dropping-particle":"","parse-names":false,"suffix":""},{"dropping-particle":"","family":"Aalsalem","given":"Mohammed Y.","non-dropping-particle":"","parse-names":false,"suffix":""}],"container-title":"IEEE Access","id":"ITEM-3","issued":{"date-parts":[["2020"]]},"page":"222168-222186","publisher":"Institute of Electrical and Electronics Engineers Inc.","title":"Blockchain-Based Energy Trading and Load Balancing Using Contract Theory and Reputation in a Smart Community","type":"article-journal","volume":"8"},"uris":["http://www.mendeley.com/documents/?uuid=8661265a-fad3-329e-bd5b-a823f65754a3"]},{"id":"ITEM-4","itemData":{"DOI":"10.1109/ACCESS.2020.3038824","ISSN":"21693536","abstract":"Interconnected microgrids are becoming a building block in smart systems. Initiating secure and efficient energy trading mechanisms among networked microgrids for reliability and economic mutual benefits have become a crucial task. Recently, integrating blockchain technologies into the energy sector have gained significant amount of interest, e.g. transactive grid. This paper proposes a two-layer secured smart contract-based energy trading mechanism to allow microgrids to establish coalitions, adjust the electricity-trading price, and achieve transparent and decentralized secure transactions without intervention of a third trusted party. Since reliability benefits are main drivers of microgrids operation in islanded mode, a new decentralized smart contract based-energy trading model for islanded networked microgrids is proposed in the first layer with an objective to achieve demand generation balance. In the second layer, and to achieve a higher security, all executed contracts are verified and saved in a blockchain based on a new developed two-phase consensus method that utilizes practical Byzantine Fault Tolerance (pBFT), and a modified Proof of Stake (PoS). Simulations are conducted in Python environment to validate the proposed energy trading model.","author":[{"dropping-particle":"","family":"Masaud","given":"Tarek Medalel","non-dropping-particle":"","parse-names":false,"suffix":""},{"dropping-particle":"","family":"Warner","given":"Jonathan","non-dropping-particle":"","parse-names":false,"suffix":""},{"dropping-particle":"","family":"El-Saadany","given":"Ehab Fahmy","non-dropping-particle":"","parse-names":false,"suffix":""}],"container-title":"IEEE Access","id":"ITEM-4","issued":{"date-parts":[["2020"]]},"page":"211291-211302","publisher":"Institute of Electrical and Electronics Engineers Inc.","title":"A Blockchain-Enabled Decentralized Energy Trading Mechanism for Islanded Networked Microgrids","type":"article-journal","volume":"8"},"uris":["http://www.mendeley.com/documents/?uuid=9b3edba0-78b5-3d86-89f6-8f001db69dab"]}],"mendeley":{"formattedCitation":"[1,109–111]","plainTextFormattedCitation":"[1,109–111]","previouslyFormattedCitation":"[1,109–111]"},"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[1,109–111]</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To address these issues, </w:t>
      </w:r>
      <w:r w:rsidR="009E094F" w:rsidRPr="003676D3">
        <w:rPr>
          <w:rFonts w:ascii="Times New Roman" w:hAnsi="Times New Roman" w:cs="Times New Roman"/>
          <w:sz w:val="24"/>
          <w:szCs w:val="24"/>
        </w:rPr>
        <w:t>authors</w:t>
      </w:r>
      <w:r w:rsidRPr="003676D3">
        <w:rPr>
          <w:rFonts w:ascii="Times New Roman" w:hAnsi="Times New Roman" w:cs="Times New Roman"/>
          <w:sz w:val="24"/>
          <w:szCs w:val="24"/>
        </w:rPr>
        <w:t xml:space="preserve"> propose Blockchain-based decentralized energy transactions in Smart Grids (SG)</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6628AC" w:rsidRPr="003676D3">
        <w:rPr>
          <w:rFonts w:ascii="Times New Roman" w:hAnsi="Times New Roman" w:cs="Times New Roman"/>
          <w:sz w:val="24"/>
          <w:szCs w:val="24"/>
        </w:rPr>
        <w:instrText>ADDIN CSL_CITATION {"citationItems":[{"id":"ITEM-1","itemData":{"DOI":"10.1016/J.RSER.2019.03.002","ISSN":"18790690","abstract":"The future of energy is complex, with fluctuating renewable resources in increasingly distributed systems. It is suggested that blockchain technology is a timely innovation with potential to facilitate this future. Peer-to-peer (P2P) microgrids can support renewable energy as well as economically empower consumers and prosumers. However, the rapid development of blockchain and prospects for P2P energy networks is coupled with several grey areas in the institutional landscape. The purpose of this paper is to holistically explore potential challenges of blockchain-based P2P microgrids, and propose practical implications for institutional development as well as academia. An analytical framework for P2P microgrids is developed based on literature review as well as expert interviews. The framework incorporates 1) Technological, 2) Economic, 3) Social, 4) Environmental and 5) Institutional dimensions. Directions for future work in practical and academic contexts are identified. It is suggested that bridging the gap from technological to institutional readiness would require the incorporation of all dimensions as well as their inter-relatedness. Gradual institutional change leveraging community-building and regulatory sandbox approaches are proposed as potential pathways in incorporating this multi-dimensionality, reducing cross-sectoral silos, and facilitating interoperability between current and future systems. By offering insight through holistic conceptualization, this paper aims to contribute to expanding research in building the pillars of a more substantiated institutional arch for blockchain in the energy sector.","author":[{"dropping-particle":"","family":"Ahl","given":"Amanda","non-dropping-particle":"","parse-names":false,"suffix":""},{"dropping-particle":"","family":"Yarime","given":"Masaru","non-dropping-particle":"","parse-names":false,"suffix":""},{"dropping-particle":"","family":"Tanaka","given":"Kenji","non-dropping-particle":"","parse-names":false,"suffix":""},{"dropping-particle":"","family":"Sagawa","given":"Daishi","non-dropping-particle":"","parse-names":false,"suffix":""}],"container-title":"Renewable and Sustainable Energy Reviews","id":"ITEM-1","issued":{"date-parts":[["2019","6","1"]]},"page":"200-211","publisher":"Elsevier Ltd","title":"Review of blockchain-based distributed energy: Implications for institutional development","type":"article-journal","volume":"107"},"uris":["http://www.mendeley.com/documents/?uuid=d1a4d1f4-944a-35e6-b79d-c9b36876d537"]}],"mendeley":{"formattedCitation":"[112]","plainTextFormattedCitation":"[112]","previouslyFormattedCitation":"[112]"},"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6628AC" w:rsidRPr="003676D3">
        <w:rPr>
          <w:rFonts w:ascii="Times New Roman" w:hAnsi="Times New Roman" w:cs="Times New Roman"/>
          <w:noProof/>
          <w:sz w:val="24"/>
          <w:szCs w:val="24"/>
        </w:rPr>
        <w:t>[112]</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r w:rsidR="00BE2F97" w:rsidRPr="003676D3">
        <w:rPr>
          <w:rFonts w:ascii="Times New Roman" w:hAnsi="Times New Roman" w:cs="Times New Roman"/>
          <w:sz w:val="24"/>
          <w:szCs w:val="24"/>
        </w:rPr>
        <w:t>and</w:t>
      </w:r>
      <w:r w:rsidRPr="003676D3">
        <w:rPr>
          <w:rFonts w:ascii="Times New Roman" w:hAnsi="Times New Roman" w:cs="Times New Roman"/>
          <w:sz w:val="24"/>
          <w:szCs w:val="24"/>
        </w:rPr>
        <w:t xml:space="preserve"> Peer-to-Peer (P2P) trading</w:t>
      </w:r>
      <w:r w:rsidR="006628AC" w:rsidRPr="003676D3">
        <w:rPr>
          <w:rFonts w:ascii="Times New Roman" w:hAnsi="Times New Roman" w:cs="Times New Roman"/>
          <w:sz w:val="24"/>
          <w:szCs w:val="24"/>
        </w:rPr>
        <w:t xml:space="preserve"> </w:t>
      </w:r>
      <w:r w:rsidR="006628AC"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{"citationItems":[{"id":"ITEM-1","itemData":{"DOI":"10.1109/ISEEIE55684.2022.00049","ISBN":"9781665468749","abstract":"Smart energy and grid systems are leading to more affordable solutions for the transformation of the existing main grid into a system that can easily incorporate renewable and sustainable channels. Developing smaller microgrids is an effective approach to integrating smart energy into the main grid. Smart energy transactions for the units in the microgrid are done through peer-to-peer (P2P) technology. Coupled with distributed generation, it is enabling increased self-consumption of sustainably sourced energy, and the rise of prosumers' monetary benefits. Now with the advent of efficient solar arrays and microturbines, as well as smart battery management systems, a microgrid can be as small as a single house. Alternatively, houses can form smaller cells of a larger microgrid. Irrespective of the microgrid structure and scale, the current P2P transaction system makes it necessary to have an optimization strategy. This paper proposes the creation of a model that manages the highest energy-consuming loads in a residential scenario while maximizing revenue earned.","author":[{"dropping-particle":"","family":"Phadke","given":"Abhishek","non-dropping-particle":"","parse-names":false,"suffix":""},{"dropping-particle":"","family":"Antonio Medrano","given":"F.","non-dropping-particle":"","parse-names":false,"suffix":""},{"dropping-particle":"","family":"Brahmbhatt","given":"Jaimin","non-dropping-particle":"","parse-names":false,"suffix":""},{"dropping-particle":"","family":"Ustymenko","given":"Stanislav","non-dropping-particle":"","parse-names":false,"suffix":""}],"container-title":"2022 International Symposium on Electrical, Electronics and Information Engineering (ISEEIE)","id":"ITEM-1","issued":{"date-parts":[["2022"]]},"page":"240-246","publisher":"Institute of Electrical and Electronics Engineers Inc.","title":"A Framework for an Optimized Smart Energy System","type":"article-journal"},"uris":["http://www.mendeley.com/documents/?uuid=04e63f2e-d794-3537-a72c-669d1f2e9991"]},{"id":"ITEM-2","itemData":{"abstract":"UNFCCC (2020), “ME SOLshare: Peer-to-peer \nLastNameLastNameLastNamesmart village grids | Bangladesh”, United Nations Framework Convention on Climate Change, \nhttps://unfccc.int/climate-action/momentum-for\u0002change/ict-solutions/solshare.","author":[{"dropping-particle":"","family":"UNFCCC","given":"","non-dropping-particle":"","parse-names":false,"suffix":""}],"container-title":"United Nations Framework Convention on Climate Change","id":"ITEM-2","issued":{"date-parts":[["2020"]]},"title":"ME SOLshare: Peer-to-Peer Smart Village Grids | Bangladesh","type":"article-journal"},"uris":["http://www.mendeley.com/documents/?uuid=45af2f84-e5cd-46c6-afb1-ce9b54dc4a83"]}],"mendeley":{"formattedCitation":"[113,114]","plainTextFormattedCitation":"[113,114]","previouslyFormattedCitation":"[113,114]"},"properties":{"noteIndex":0},"schema":"https://github.com/citation-style-language/schema/raw/master/csl-citation.json"}</w:instrText>
      </w:r>
      <w:r w:rsidR="006628AC"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[113,114]</w:t>
      </w:r>
      <w:r w:rsidR="006628AC"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without a central authority. This approach includes models like the </w:t>
      </w:r>
      <w:proofErr w:type="spellStart"/>
      <w:r w:rsidRPr="003676D3">
        <w:rPr>
          <w:rFonts w:ascii="Times New Roman" w:hAnsi="Times New Roman" w:cs="Times New Roman"/>
          <w:sz w:val="24"/>
          <w:szCs w:val="24"/>
        </w:rPr>
        <w:t>SolarCoin</w:t>
      </w:r>
      <w:proofErr w:type="spellEnd"/>
      <w:r w:rsidR="00BE2F97" w:rsidRPr="003676D3">
        <w:rPr>
          <w:rFonts w:ascii="Times New Roman" w:hAnsi="Times New Roman" w:cs="Times New Roman"/>
          <w:sz w:val="24"/>
          <w:szCs w:val="24"/>
        </w:rPr>
        <w:t xml:space="preserve">, which is a </w:t>
      </w:r>
      <w:r w:rsidRPr="003676D3">
        <w:rPr>
          <w:rFonts w:ascii="Times New Roman" w:hAnsi="Times New Roman" w:cs="Times New Roman"/>
          <w:sz w:val="24"/>
          <w:szCs w:val="24"/>
        </w:rPr>
        <w:t xml:space="preserve">digital currency for transactions among </w:t>
      </w:r>
      <w:r w:rsidR="00BE2F97" w:rsidRPr="003676D3">
        <w:rPr>
          <w:rFonts w:ascii="Times New Roman" w:hAnsi="Times New Roman" w:cs="Times New Roman"/>
          <w:sz w:val="24"/>
          <w:szCs w:val="24"/>
        </w:rPr>
        <w:t>p</w:t>
      </w:r>
      <w:r w:rsidRPr="003676D3">
        <w:rPr>
          <w:rFonts w:ascii="Times New Roman" w:hAnsi="Times New Roman" w:cs="Times New Roman"/>
          <w:sz w:val="24"/>
          <w:szCs w:val="24"/>
        </w:rPr>
        <w:t xml:space="preserve">rosumers </w:t>
      </w:r>
      <w:r w:rsidR="004B1918" w:rsidRPr="003676D3">
        <w:rPr>
          <w:rFonts w:ascii="Times New Roman" w:hAnsi="Times New Roman" w:cs="Times New Roman"/>
          <w:sz w:val="24"/>
          <w:szCs w:val="24"/>
        </w:rPr>
        <w:t>or energy</w:t>
      </w:r>
      <w:r w:rsidRPr="003676D3">
        <w:rPr>
          <w:rFonts w:ascii="Times New Roman" w:hAnsi="Times New Roman" w:cs="Times New Roman"/>
          <w:sz w:val="24"/>
          <w:szCs w:val="24"/>
        </w:rPr>
        <w:t xml:space="preserve"> </w:t>
      </w:r>
      <w:r w:rsidR="00BE2F97" w:rsidRPr="003676D3">
        <w:rPr>
          <w:rFonts w:ascii="Times New Roman" w:hAnsi="Times New Roman" w:cs="Times New Roman"/>
          <w:sz w:val="24"/>
          <w:szCs w:val="24"/>
        </w:rPr>
        <w:t xml:space="preserve">communities. This might </w:t>
      </w:r>
      <w:r w:rsidRPr="003676D3">
        <w:rPr>
          <w:rFonts w:ascii="Times New Roman" w:hAnsi="Times New Roman" w:cs="Times New Roman"/>
          <w:sz w:val="24"/>
          <w:szCs w:val="24"/>
        </w:rPr>
        <w:t>enhanc</w:t>
      </w:r>
      <w:r w:rsidR="00BE2F97" w:rsidRPr="003676D3">
        <w:rPr>
          <w:rFonts w:ascii="Times New Roman" w:hAnsi="Times New Roman" w:cs="Times New Roman"/>
          <w:sz w:val="24"/>
          <w:szCs w:val="24"/>
        </w:rPr>
        <w:t>e</w:t>
      </w:r>
      <w:r w:rsidRPr="003676D3">
        <w:rPr>
          <w:rFonts w:ascii="Times New Roman" w:hAnsi="Times New Roman" w:cs="Times New Roman"/>
          <w:sz w:val="24"/>
          <w:szCs w:val="24"/>
        </w:rPr>
        <w:t xml:space="preserve"> security, efficiency, and autonomy in energy trading</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{"citationItems":[{"id":"ITEM-1","itemData":{"DOI":"10.3390/S21093088","ISSN":"14248220","PMID":"33946631","abstract":"A central authority, in a conventional centralized energy trading market, superintends energy and financial transactions. The central authority manages and controls transparent energy trading between producer and consumer, imposes a penalty in case of contract violation, and disburses numerous rewards. However, the management and control through the third party pose a significant threat to the security and privacy of consumers’/producers’ (participants) profiles. The energy transactions between participants involving central authority utilize users’ time, money, and impose a computational burden over the central controlling authority. The Blockchain-based decentralized energy transaction concept, bypassing the central authority, is proposed in Smart Grid (SG) by researchers. Blockchain technology braces the concept of Peer-to-Peer (P2P) energy transactions. This work encompasses the SolarCoin-based digital currency blockchain model for SG incorporating RE. Energy transactions from Prosumer (P) to Prosumer, Energy District to Energy District, and Energy District to SG are thoroughly investigated and analyzed in this work. A robust demand-side optimized model is proposed using Genetic Algorithm (GA) and Particle Swarm Optimization (PSO) to maximize Prosumer Energy Surplus (PES), Grid revenue (GR), percentage energy transactions accomplished, and decreased Prosumer Energy Cost (PEC). Real-time averaged energy data of Australia are employed, and a piece-wise energy price mechanism is implemented in this work. The graphical analysis and tabular statistics manifest the efficacy of the proposed model.","author":[{"dropping-particle":"","family":"Rehman","given":"Sana","non-dropping-particle":"","parse-names":false,"suffix":""},{"dropping-particle":"","family":"Khan","given":"Bilal","non-dropping-particle":"","parse-names":false,"suffix":""},{"dropping-particle":"","family":"Arif","given":"Jawad","non-dropping-particle":"","parse-names":false,"suffix":""},{"dropping-particle":"","family":"Ullah","given":"Zahid","non-dropping-particle":"","parse-names":false,"suffix":""},{"dropping-particle":"","family":"Aljuhani","given":"Abdullah J.","non-dropping-particle":"","parse-names":false,"suffix":""},{"dropping-particle":"","family":"Alhindi","given":"Ahmad","non-dropping-particle":"","parse-names":false,"suffix":""},{"dropping-particle":"","family":"Ali","given":"Sahibzada M.","non-dropping-particle":"","parse-names":false,"suffix":""}],"container-title":"Sensors (Basel, Switzerland)","id":"ITEM-1","issue":"9","issued":{"date-parts":[["2021","5","1"]]},"publisher":"MDPI AG","title":"Bi-Directional Mutual Energy Trade between Smart Grid and Energy Districts Using Renewable Energy Credits","type":"article-journal","volume":"21"},"uris":["http://www.mendeley.com/documents/?uuid=7e6643ae-6d00-333c-995e-337ee583ddf0"]},{"id":"ITEM-2","itemData":{"DOI":"10.1016/j.apenergy.2017.05.066","ISSN":"03062619","abstract":"Future distribution systems will accommodate an increasing share of distributed energy resources (DERs). Facing with this new reality, virtual power plants (VPPs) play a key role to aggregate DERs with the aim of facilitating their involvement in wholesale electricity markets. In this paper, the trading strategies of a VPP in cooperation with its neighboring VPPs are addressed. Toward this aim, a portfolio of inter-regional contracts is considered to model this cooperation and maximize the energy trade opportunities of the VPP within a medium-term horizon. To hedge against profit variability caused by market price uncertainties, two efficient risk management approaches are also implemented in the VPP decision-making problem based on the concepts of conditional value at risk (CVaR) and second-order stochastic dominance constraints (SSD). The resulting models are formulated as mixed-integer linear programming (MILP) problems that can be solved using off-the-shelf software packages. The efficiency of the proposed risk-hedging models is analyzed through a detailed case study, and thereby relevant conclusions are drawn.","author":[{"dropping-particle":"","family":"Shabanzadeh","given":"Morteza","non-dropping-particle":"","parse-names":false,"suffix":""},{"dropping-particle":"","family":"Sheikh-El-Eslami","given":"Mohammad Kazem","non-dropping-particle":"","parse-names":false,"suffix":""},{"dropping-particle":"","family":"Haghifam","given":"Mahmoud Reza","non-dropping-particle":"","parse-names":false,"suffix":""}],"container-title":"Applied Energy","id":"ITEM-2","issued":{"date-parts":[["2017"]]},"title":"An interactive cooperation model for neighboring virtual power plants","type":"article-journal"},"uris":["http://www.mendeley.com/documents/?uuid=93406976-9afa-4273-8c3d-0c690cb2eab6"]},{"id":"ITEM-3","itemData":{"abstract":"As the distributed energy generation and storage technologies are becoming economically viable, energy trading is gradually becoming a profit making option for end-users. This trend is further supported by the regulators and the policy makers as it aids the efficiency of power grid operations, reduces power generation cost and the Green House Gas (GHG) emissions. To that end, in this paper we provide an overview of distributed energy trading concepts in smart grid. First, we identify the motivation and the desired outcomes of energy trading framework. Then we present the enabling technologies that are required to generate, store, and communicate with the trading agencies. Finally, we survey on the existing literature and present an array of mathematical frameworks employed.","author":[{"dropping-particle":"","family":"Safak Bayram","given":"I","non-dropping-particle":"","parse-names":false,"suffix":""},{"dropping-particle":"","family":"Shakir","given":"Muhammad Z","non-dropping-particle":"","parse-names":false,"suffix":""},{"dropping-particle":"","family":"Abdallah","given":"Mohamed","non-dropping-particle":"","parse-names":false,"suffix":""},{"dropping-particle":"","family":"Member","given":"Senior","non-dropping-particle":"","parse-names":false,"suffix":""},{"dropping-particle":"","family":"Qaraqe","given":"Khalid","non-dropping-particle":"","parse-names":false,"suffix":""}],"id":"ITEM-3","issued":{"date-parts":[["2014"]]},"title":"A Survey on Energy Trading in Smart Grid","type":"article-journal"},"uris":["http://www.mendeley.com/documents/?uuid=f2b95fa7-7d0f-3700-9b1a-d4e708c6cbc4"]},{"id":"ITEM-4","itemData":{"author":[{"dropping-particle":"","family":"Xiaohu","given":"Zhang","non-dropping-particle":"","parse-names":false,"suffix":""}],"container-title":"Power system technology","id":"ITEM-4","issued":{"date-parts":[["2013"]]},"title":"Carbon Trading Based Low-Carbon Economic Dispatching for Power Grid Integrated With Wind Power System","type":"article-journal"},"uris":["http://www.mendeley.com/documents/?uuid=7125062b-7e2c-342b-9359-fca73186528e"]}],"mendeley":{"formattedCitation":"[5,105,115,116]","plainTextFormattedCitation":"[5,105,115,116]","previouslyFormattedCitation":"[5,105,115,116]"},"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[5,105,115,116]</w:t>
      </w:r>
      <w:r w:rsidR="0075169D"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p>
    <w:p w14:paraId="52B7B946" w14:textId="773273D5" w:rsidR="00940258" w:rsidRPr="003676D3" w:rsidRDefault="00370893"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Decentralized energy markets typically prioritize resilience and safety but</w:t>
      </w:r>
      <w:r w:rsidR="00BE2F97" w:rsidRPr="003676D3">
        <w:rPr>
          <w:rFonts w:ascii="Times New Roman" w:hAnsi="Times New Roman" w:cs="Times New Roman"/>
          <w:sz w:val="24"/>
          <w:szCs w:val="24"/>
        </w:rPr>
        <w:t xml:space="preserve"> also</w:t>
      </w:r>
      <w:r w:rsidRPr="003676D3">
        <w:rPr>
          <w:rFonts w:ascii="Times New Roman" w:hAnsi="Times New Roman" w:cs="Times New Roman"/>
          <w:sz w:val="24"/>
          <w:szCs w:val="24"/>
        </w:rPr>
        <w:t xml:space="preserve"> often </w:t>
      </w:r>
      <w:r w:rsidR="00BE2F97" w:rsidRPr="003676D3">
        <w:rPr>
          <w:rFonts w:ascii="Times New Roman" w:hAnsi="Times New Roman" w:cs="Times New Roman"/>
          <w:sz w:val="24"/>
          <w:szCs w:val="24"/>
        </w:rPr>
        <w:t>at the expense of</w:t>
      </w:r>
      <w:r w:rsidRPr="003676D3">
        <w:rPr>
          <w:rFonts w:ascii="Times New Roman" w:hAnsi="Times New Roman" w:cs="Times New Roman"/>
          <w:sz w:val="24"/>
          <w:szCs w:val="24"/>
        </w:rPr>
        <w:t xml:space="preserve"> privacy. TRANSAX model enables efficient energy trading by matching </w:t>
      </w:r>
      <w:r w:rsidR="002E7150" w:rsidRPr="003676D3">
        <w:rPr>
          <w:rFonts w:ascii="Times New Roman" w:hAnsi="Times New Roman" w:cs="Times New Roman"/>
          <w:sz w:val="24"/>
          <w:szCs w:val="24"/>
        </w:rPr>
        <w:t>possible</w:t>
      </w:r>
      <w:r w:rsidRPr="003676D3">
        <w:rPr>
          <w:rFonts w:ascii="Times New Roman" w:hAnsi="Times New Roman" w:cs="Times New Roman"/>
          <w:sz w:val="24"/>
          <w:szCs w:val="24"/>
        </w:rPr>
        <w:t xml:space="preserve"> </w:t>
      </w:r>
      <w:r w:rsidR="002E7150" w:rsidRPr="003676D3">
        <w:rPr>
          <w:rFonts w:ascii="Times New Roman" w:hAnsi="Times New Roman" w:cs="Times New Roman"/>
          <w:sz w:val="24"/>
          <w:szCs w:val="24"/>
        </w:rPr>
        <w:t>exchange</w:t>
      </w:r>
      <w:r w:rsidRPr="003676D3">
        <w:rPr>
          <w:rFonts w:ascii="Times New Roman" w:hAnsi="Times New Roman" w:cs="Times New Roman"/>
          <w:sz w:val="24"/>
          <w:szCs w:val="24"/>
        </w:rPr>
        <w:t>, aiding system operators in planning their energy needs. TRANSAX</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560079" w:rsidRPr="003676D3">
        <w:rPr>
          <w:rFonts w:ascii="Times New Roman" w:hAnsi="Times New Roman" w:cs="Times New Roman"/>
          <w:sz w:val="24"/>
          <w:szCs w:val="24"/>
        </w:rPr>
        <w:instrText>ADDIN CSL_CITATION {"citationItems":[{"id":"ITEM-1","itemData":{"DOI":"10.1109/PADSW.2018.8645001","ISBN":"9781538673089","ISSN":"15219097","abstract":"Power grids are undergoing major changes due to rapid growth in renewable energy and improvements in battery technology. Prompted by the increasing complexity of power systems, decentralized IoT solutions are emerging, which arrange local communities into transactive microgrids. The core functionality of these solutions is to provide mechanisms for matching producers with consumers while ensuring system safety. However, there are multiple challenges that these solutions still face: privacy, trust, and resilience. The privacy challenge arises because the time series of production and consumption data for each participant is sensitive and may be used to infer personal information. Trust is an issue because a producer or consumer can renege on the promised energy transfer. Providing resilience is challenging due to the possibility of failures in the infrastructure that is required to support these market based solutions. In this paper, we develop a rigorous solution for transactive microgrids that addresses all three challenges by providing an innovative combination of MILP solvers, smart contracts, and publish-subscribe middleware within a framework of a novel distributed application platform, called Resilient Information Architecture Platform for Smart Grid. Towards this purpose, we describe the key architectural concepts, including fault tolerance, and show the trade-off between market efficiency and resource requirements,","author":[{"dropping-particle":"","family":"Laszka","given":"Aron","non-dropping-particle":"","parse-names":false,"suffix":""},{"dropping-particle":"","family":"Eisele","given":"Scott","non-dropping-particle":"","parse-names":false,"suffix":""},{"dropping-particle":"","family":"Dubey","given":"Abhishek","non-dropping-particle":"","parse-names":false,"suffix":""},{"dropping-particle":"","family":"Karsai","given":"Gabor","non-dropping-particle":"","parse-names":false,"suffix":""},{"dropping-particle":"","family":"Kvaternik","given":"Karla","non-dropping-particle":"","parse-names":false,"suffix":""}],"container-title":"Proceedings of the International Conference on Parallel and Distributed Systems - ICPADS","id":"ITEM-1","issued":{"date-parts":[["2018","7","2"]]},"page":"918-927","publisher":"IEEE Computer Society","title":"TRANSAX: A Blockchain-Based Decentralized Forward-Trading Energy Exchanged for Transactive Microgrids","type":"article-journal","volume":"2018-December"},"uris":["http://www.mendeley.com/documents/?uuid=f1d2ec20-0601-35c9-936d-01f72038ddbe"]}],"mendeley":{"formattedCitation":"[109]","plainTextFormattedCitation":"[109]","previouslyFormattedCitation":"[109]"},"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[109]</w:t>
      </w:r>
      <w:r w:rsidR="0075169D"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ensures participant privacy through anonym</w:t>
      </w:r>
      <w:r w:rsidR="002E7150" w:rsidRPr="003676D3">
        <w:rPr>
          <w:rFonts w:ascii="Times New Roman" w:hAnsi="Times New Roman" w:cs="Times New Roman"/>
          <w:sz w:val="24"/>
          <w:szCs w:val="24"/>
        </w:rPr>
        <w:t>ous</w:t>
      </w:r>
      <w:r w:rsidRPr="003676D3">
        <w:rPr>
          <w:rFonts w:ascii="Times New Roman" w:hAnsi="Times New Roman" w:cs="Times New Roman"/>
          <w:sz w:val="24"/>
          <w:szCs w:val="24"/>
        </w:rPr>
        <w:t xml:space="preserve"> trading activities</w:t>
      </w:r>
      <w:r w:rsidR="002E7150" w:rsidRPr="003676D3">
        <w:rPr>
          <w:rFonts w:ascii="Times New Roman" w:hAnsi="Times New Roman" w:cs="Times New Roman"/>
          <w:sz w:val="24"/>
          <w:szCs w:val="24"/>
        </w:rPr>
        <w:t>. It</w:t>
      </w:r>
      <w:r w:rsidRPr="003676D3">
        <w:rPr>
          <w:rFonts w:ascii="Times New Roman" w:hAnsi="Times New Roman" w:cs="Times New Roman"/>
          <w:sz w:val="24"/>
          <w:szCs w:val="24"/>
        </w:rPr>
        <w:t xml:space="preserve"> enforc</w:t>
      </w:r>
      <w:r w:rsidR="002E7150" w:rsidRPr="003676D3">
        <w:rPr>
          <w:rFonts w:ascii="Times New Roman" w:hAnsi="Times New Roman" w:cs="Times New Roman"/>
          <w:sz w:val="24"/>
          <w:szCs w:val="24"/>
        </w:rPr>
        <w:t>e</w:t>
      </w:r>
      <w:r w:rsidRPr="003676D3">
        <w:rPr>
          <w:rFonts w:ascii="Times New Roman" w:hAnsi="Times New Roman" w:cs="Times New Roman"/>
          <w:sz w:val="24"/>
          <w:szCs w:val="24"/>
        </w:rPr>
        <w:t xml:space="preserve"> safety constraints like maintaining energy flow within line capacities</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{"citationItems":[{"id":"ITEM-1","itemData":{"DOI":"10.1145/3403711","ISSN":"23789638","abstract":"Power grids are evolving at an unprecedented pace due to the rapid growth of distributed energy resources (DER) in communities. These resources are very different from traditional power sources, as they are located closer to loads and thus can significantly reduce transmission losses and carbon emissions. However, their intermittent and variable nature often results in spikes in the overall demand on distribution system operators (DSO). To manage these challenges, there has been a surge of interest in building decentralized control schemes, where a pool of DERs combined with energy storage devices can exchange energy locally to smooth fluctuations in net demand. Building a decentralized market for transactive microgrids is challenging, because even though a decentralized system provides resilience, it also must satisfy requirements such as privacy, efficiency, safety, and security, which are often in conflict with each other. As such, existing implementations of decentralized markets often focus on resilience and safety but compromise on privacy. In this article, we describe our platform, called TRANSAX, which enables participants to trade in an energy futures market, which improves efficiency by finding feasible matches for energy trades, enabling DSOs to plan their energy needs better. TRANSAX provides privacy to participants by anonymizing their trading activity using a distributed mixing service, while also enforcing constraints that limit trading activity based on safety requirements, such as keeping planned energy flow below line capacity. We show that TRANSAX can satisfy the seemingly conflicting requirements of efficiency, safety, and privacy. We also provide an analysis of how much trading efficiency is lost. Trading efficiency is improved through the problem formulation, which accounts for temporal flexibility, and system efficiency is improved using a hybrid-solver architecture. Finally, we describe a testbed to run experiments and demonstrate its performance using simulation results.","author":[{"dropping-particle":"","family":"Eisele","given":"Scott","non-dropping-particle":"","parse-names":false,"suffix":""},{"dropping-particle":"","family":"Eghtesad","given":"Taha","non-dropping-particle":"","parse-names":false,"suffix":""},{"dropping-particle":"","family":"Campanelli","given":"Keegan","non-dropping-particle":"","parse-names":false,"suffix":""},{"dropping-particle":"","family":"Agrawal","given":"Prakhar","non-dropping-particle":"","parse-names":false,"suffix":""},{"dropping-particle":"","family":"Laszka","given":"Aron","non-dropping-particle":"","parse-names":false,"suffix":""},{"dropping-particle":"","family":"Dubey","given":"Abhishek","non-dropping-particle":"","parse-names":false,"suffix":""}],"container-title":"ACM Transactions on Cyber-Physical Systems","id":"ITEM-1","issue":"1","issued":{"date-parts":[["2021","1","1"]]},"publisher":"Association for Computing Machinery","title":"Safe and private forward-trading platform for transactive microgrids","type":"article-journal","volume":"5"},"uris":["http://www.mendeley.com/documents/?uuid=9dae1e41-2677-3473-b0d7-ae26d2d05edb"]}],"mendeley":{"formattedCitation":"[117]","plainTextFormattedCitation":"[117]","previouslyFormattedCitation":"[117]"},"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[117]</w:t>
      </w:r>
      <w:r w:rsidR="0075169D" w:rsidRPr="003676D3">
        <w:rPr>
          <w:rFonts w:ascii="Times New Roman" w:hAnsi="Times New Roman" w:cs="Times New Roman"/>
          <w:sz w:val="24"/>
          <w:szCs w:val="24"/>
        </w:rPr>
        <w:fldChar w:fldCharType="end"/>
      </w:r>
      <w:r w:rsidR="00940258" w:rsidRPr="003676D3">
        <w:rPr>
          <w:rFonts w:ascii="Times New Roman" w:hAnsi="Times New Roman" w:cs="Times New Roman"/>
          <w:sz w:val="24"/>
          <w:szCs w:val="24"/>
        </w:rPr>
        <w:t xml:space="preserve">. </w:t>
      </w:r>
      <w:r w:rsidR="00AA5672" w:rsidRPr="003676D3">
        <w:rPr>
          <w:rFonts w:ascii="Times New Roman" w:hAnsi="Times New Roman" w:cs="Times New Roman"/>
          <w:sz w:val="24"/>
          <w:szCs w:val="24"/>
        </w:rPr>
        <w:t>Prosumers and active users can be managed through Distributed Ledger Technology (DLT), particularly blockchain</w:t>
      </w:r>
      <w:r w:rsidR="00A715A2" w:rsidRPr="003676D3">
        <w:rPr>
          <w:rFonts w:ascii="Times New Roman" w:hAnsi="Times New Roman" w:cs="Times New Roman"/>
          <w:sz w:val="24"/>
          <w:szCs w:val="24"/>
        </w:rPr>
        <w:t xml:space="preserve"> for energy exchange. It </w:t>
      </w:r>
      <w:r w:rsidR="00AA5672" w:rsidRPr="003676D3">
        <w:rPr>
          <w:rFonts w:ascii="Times New Roman" w:hAnsi="Times New Roman" w:cs="Times New Roman"/>
          <w:sz w:val="24"/>
          <w:szCs w:val="24"/>
        </w:rPr>
        <w:t xml:space="preserve">enables secure smart contracts between </w:t>
      </w:r>
      <w:r w:rsidR="00A715A2" w:rsidRPr="003676D3">
        <w:rPr>
          <w:rFonts w:ascii="Times New Roman" w:hAnsi="Times New Roman" w:cs="Times New Roman"/>
          <w:sz w:val="24"/>
          <w:szCs w:val="24"/>
        </w:rPr>
        <w:t>them</w:t>
      </w:r>
      <w:r w:rsidR="00AA5672" w:rsidRPr="003676D3">
        <w:rPr>
          <w:rFonts w:ascii="Times New Roman" w:hAnsi="Times New Roman" w:cs="Times New Roman"/>
          <w:sz w:val="24"/>
          <w:szCs w:val="24"/>
        </w:rPr>
        <w:t>, safeguarded by cryptographic hashes</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{"citationItems":[{"id":"ITEM-1","itemData":{"DOI":"10.1109/JSYST.2019.2903172","ISSN":"19379234","abstract":"The unpredictability and intermittency introduced by Renewable Energy Sources (RESs) in power systems may lead to unforeseen peaks of energy production, which might differ from energy demand. To manage these mismatches, a proper communication between prosumers (i.e., users with RESs that can either inject or absorb energy) and active users (i.e., users that agree to have their loads changed according to the system needs) is required. To achieve this goal, the centralized approach used in traditional power systems is no longer possible because both prosumers and active users would like to take part in energy transactions, and a decentralized approach based on transactive energy systems (TESs) and Peer-to-Peer (P2P) energy transactions should be adopted. In this context, the Distributed Ledger Technology (DLT), based on the blockchain concept arises as the most promising solution to enable smart contracts between prosumers and active users, which are safely guarded in blocks with cryptographic hashes. The aim of this paper is to provide a review about the deployment of decentralized TESs and to propose and discuss a transactive management infrastructure. In this context, the concept of Proof of Energy is proposed as a novel consensus protocol for P2P energy exchanges managed by DLT. An application of the proposed infrastructure considering a Virtual Power Plant (VPP) aggregator and residential prosumers endowed with a new transactive controller to manage the electrical storage system is discussed.","author":[{"dropping-particle":"","family":"Siano","given":"Pierluigi","non-dropping-particle":"","parse-names":false,"suffix":""},{"dropping-particle":"","family":"Marco","given":"Giuseppe","non-dropping-particle":"De","parse-names":false,"suffix":""},{"dropping-particle":"","family":"Rolan","given":"Alejandro","non-dropping-particle":"","parse-names":false,"suffix":""},{"dropping-particle":"","family":"Loia","given":"Vincenzo","non-dropping-particle":"","parse-names":false,"suffix":""}],"container-title":"IEEE Systems Journal","id":"ITEM-1","issue":"3","issued":{"date-parts":[["2019","9","1"]]},"page":"3454-3466","publisher":"Institute of Electrical and Electronics Engineers Inc.","title":"A Survey and Evaluation of the Potentials of Distributed Ledger Technology for Peer-to-Peer Transactive Energy Exchanges in Local Energy Markets","type":"article-journal","volume":"13"},"uris":["http://www.mendeley.com/documents/?uuid=4371349b-a2eb-38c5-a3f7-cea3d3dcfa82"]}],"mendeley":{"formattedCitation":"[118]","plainTextFormattedCitation":"[118]","previouslyFormattedCitation":"[118]"},"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[118]</w:t>
      </w:r>
      <w:r w:rsidR="0075169D" w:rsidRPr="003676D3">
        <w:rPr>
          <w:rFonts w:ascii="Times New Roman" w:hAnsi="Times New Roman" w:cs="Times New Roman"/>
          <w:sz w:val="24"/>
          <w:szCs w:val="24"/>
        </w:rPr>
        <w:fldChar w:fldCharType="end"/>
      </w:r>
      <w:r w:rsidR="00AA5672" w:rsidRPr="003676D3">
        <w:rPr>
          <w:rFonts w:ascii="Times New Roman" w:hAnsi="Times New Roman" w:cs="Times New Roman"/>
          <w:sz w:val="24"/>
          <w:szCs w:val="24"/>
        </w:rPr>
        <w:t>.</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{"citationItems":[{"id":"ITEM-1","itemData":{"DOI":"10.3390/EN15218047","ISSN":"1996-1073","abstract":"Transactive energy is a highly effective technique for peers to exchange and trade energy resources. Several interconnected blocks, such as generation businesses, prosumers, the energy market, energy service providers, transmission and distribution networks, and so on, make up a transactive energy framework. By incorporating the prosumers concept and digitalization into energy systems at the transmission and distribution levels, transactive energy systems have the exciting potential to reduce transmission losses, lower electric infrastructure costs, increase reliability, increase local energy use, and lower customers’ electricity bills at the transmission and distribution levels. This article provides a state-of-the-art review of transactive energy concepts, primary drivers, architecture, the energy market, control and management, network management, new technologies, and the flexibility of the power system, which will help researchers comprehend the various concepts involved.","author":[{"dropping-particle":"","family":"Gupta","given":"Neeraj","non-dropping-particle":"","parse-names":false,"suffix":""},{"dropping-particle":"","family":"Prusty","given":"B. Rajanarayan","non-dropping-particle":"","parse-names":false,"suffix":""},{"dropping-particle":"","family":"Alrumayh","given":"Omar","non-dropping-particle":"","parse-names":false,"suffix":""},{"dropping-particle":"","family":"Almutairi","given":"Abdulaziz","non-dropping-particle":"","parse-names":false,"suffix":""},{"dropping-particle":"","family":"Alharbi","given":"Talal","non-dropping-particle":"","parse-names":false,"suffix":""}],"container-title":"Energies 2022, Vol. 15, Page 8047","id":"ITEM-1","issue":"21","issued":{"date-parts":[["2022","10","29"]]},"page":"8047","publisher":"Multidisciplinary Digital Publishing Institute","title":"The Role of Transactive Energy in the Future Energy Industry: A Critical Review","type":"article-journal","volume":"15"},"uris":["http://www.mendeley.com/documents/?uuid=d67b64b5-b3dc-3635-aad5-9e163a854bdb"]}],"mendeley":{"formattedCitation":"[119]","plainTextFormattedCitation":"[119]","previouslyFormattedCitation":"[119]"},"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[119]</w:t>
      </w:r>
      <w:r w:rsidR="0075169D" w:rsidRPr="003676D3">
        <w:rPr>
          <w:rFonts w:ascii="Times New Roman" w:hAnsi="Times New Roman" w:cs="Times New Roman"/>
          <w:sz w:val="24"/>
          <w:szCs w:val="24"/>
        </w:rPr>
        <w:fldChar w:fldCharType="end"/>
      </w:r>
      <w:r w:rsidR="00374E65" w:rsidRPr="003676D3">
        <w:rPr>
          <w:rFonts w:ascii="Times New Roman" w:hAnsi="Times New Roman" w:cs="Times New Roman"/>
          <w:sz w:val="24"/>
          <w:szCs w:val="24"/>
        </w:rPr>
        <w:t xml:space="preserve"> highlights the </w:t>
      </w:r>
      <w:r w:rsidR="004B1918" w:rsidRPr="003676D3">
        <w:rPr>
          <w:rFonts w:ascii="Times New Roman" w:hAnsi="Times New Roman" w:cs="Times New Roman"/>
          <w:sz w:val="24"/>
          <w:szCs w:val="24"/>
        </w:rPr>
        <w:t>3-layer</w:t>
      </w:r>
      <w:r w:rsidR="00374E65" w:rsidRPr="003676D3">
        <w:rPr>
          <w:rFonts w:ascii="Times New Roman" w:hAnsi="Times New Roman" w:cs="Times New Roman"/>
          <w:sz w:val="24"/>
          <w:szCs w:val="24"/>
        </w:rPr>
        <w:t>, 5 layer and 7 layer architecture as well as energy market, control and network management for a flexible power system.</w:t>
      </w:r>
      <w:r w:rsidR="00EB5C74" w:rsidRPr="003676D3">
        <w:rPr>
          <w:rFonts w:ascii="Times New Roman" w:hAnsi="Times New Roman" w:cs="Times New Roman"/>
          <w:sz w:val="24"/>
          <w:szCs w:val="24"/>
        </w:rPr>
        <w:t xml:space="preserve"> </w:t>
      </w:r>
    </w:p>
    <w:p w14:paraId="016AD7D1" w14:textId="64BAA8EB" w:rsidR="00F44C32" w:rsidRPr="003676D3" w:rsidRDefault="00EB5C74"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a super smart grid environment, the energy transactions would be immense and would require high computation. A possible solution is the study</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fldLock="1"/>
      </w:r>
      <w:r w:rsidR="0075169D" w:rsidRPr="003676D3">
        <w:rPr>
          <w:rFonts w:ascii="Times New Roman" w:hAnsi="Times New Roman" w:cs="Times New Roman"/>
          <w:sz w:val="24"/>
          <w:szCs w:val="24"/>
        </w:rPr>
        <w:instrText>ADDIN CSL_CITATION {"citationItems":[{"id":"ITEM-1","itemData":{"DOI":"10.1016/J.EPSR.2022.108202","ISSN":"0378-7796","abstract":"Electric distribution systems are becoming bidirectional and active due to rise of distributed energy resources, electric vehicles and prosumers. In this environment, a transactive energy system is required to not only coordinate the network with respect to the technical constraints, but also model P2P transactions between end-users, taking into account their data privacy and scalability issues. Therefore, a new two-stage transactive energy system is developed to balance the distribution network considering the behavior of different participants. At stage one, the role of orchestrator is modeled to manage the distribution network and its constraints by purchasing energy from up-stream grid, defining dynamic distribution locational marginal prices (DLMPs) or tapping on its storages. At stage two, prosumers make distributed decisions to use grid-sourced/self-generated energy or participate in P2P transactions based on the received DLMPs from stage one and their preferences. This two stage mechanism is solved through an iterative process until stopping criteria are met. The results indicate reduction in total import cost and energy from grid, compared to when no P2P transaction is considered. It is also shown that the proposed model converges to the optimal solution in proper time when the number of participants is increased.","author":[{"dropping-particle":"","family":"Zomorodi Moghadam","given":"Atefeh","non-dropping-particle":"","parse-names":false,"suffix":""},{"dropping-particle":"","family":"Javidi","given":"Mohammad Hossein","non-dropping-particle":"","parse-names":false,"suffix":""}],"container-title":"Electric Power Systems Research","id":"ITEM-1","issued":{"date-parts":[["2022","10","1"]]},"page":"108202","publisher":"Elsevier","title":"Designing a two-stage transactive energy system for future distribution networks in the presence of prosumers’ P2P transactions","type":"article-journal","volume":"211"},"uris":["http://www.mendeley.com/documents/?uuid=f8cfe824-cc94-3515-9e75-718286966e16"]}],"mendeley":{"formattedCitation":"[120]","plainTextFormattedCitation":"[120]","previouslyFormattedCitation":"[120]"},"properties":{"noteIndex":0},"schema":"https://github.com/citation-style-language/schema/raw/master/csl-citation.json"}</w:instrText>
      </w:r>
      <w:r w:rsidR="0075169D" w:rsidRPr="003676D3">
        <w:rPr>
          <w:rFonts w:ascii="Times New Roman" w:hAnsi="Times New Roman" w:cs="Times New Roman"/>
          <w:sz w:val="24"/>
          <w:szCs w:val="24"/>
        </w:rPr>
        <w:fldChar w:fldCharType="separate"/>
      </w:r>
      <w:r w:rsidR="0075169D" w:rsidRPr="003676D3">
        <w:rPr>
          <w:rFonts w:ascii="Times New Roman" w:hAnsi="Times New Roman" w:cs="Times New Roman"/>
          <w:noProof/>
          <w:sz w:val="24"/>
          <w:szCs w:val="24"/>
        </w:rPr>
        <w:t>[120]</w:t>
      </w:r>
      <w:r w:rsidR="0075169D" w:rsidRPr="003676D3">
        <w:rPr>
          <w:rFonts w:ascii="Times New Roman" w:hAnsi="Times New Roman" w:cs="Times New Roman"/>
          <w:sz w:val="24"/>
          <w:szCs w:val="24"/>
        </w:rPr>
        <w:fldChar w:fldCharType="end"/>
      </w:r>
      <w:r w:rsidR="004C7490" w:rsidRPr="003676D3">
        <w:rPr>
          <w:rFonts w:ascii="Times New Roman" w:hAnsi="Times New Roman" w:cs="Times New Roman"/>
          <w:sz w:val="24"/>
          <w:szCs w:val="24"/>
        </w:rPr>
        <w:t>, which proposes a</w:t>
      </w:r>
      <w:r w:rsidRPr="003676D3">
        <w:rPr>
          <w:rFonts w:ascii="Times New Roman" w:hAnsi="Times New Roman" w:cs="Times New Roman"/>
          <w:sz w:val="24"/>
          <w:szCs w:val="24"/>
        </w:rPr>
        <w:t xml:space="preserve"> transactive energy system</w:t>
      </w:r>
      <w:r w:rsidR="004C7490" w:rsidRPr="003676D3">
        <w:rPr>
          <w:rFonts w:ascii="Times New Roman" w:hAnsi="Times New Roman" w:cs="Times New Roman"/>
          <w:sz w:val="24"/>
          <w:szCs w:val="24"/>
        </w:rPr>
        <w:t xml:space="preserve"> of two stages</w:t>
      </w:r>
      <w:r w:rsidRPr="003676D3">
        <w:rPr>
          <w:rFonts w:ascii="Times New Roman" w:hAnsi="Times New Roman" w:cs="Times New Roman"/>
          <w:sz w:val="24"/>
          <w:szCs w:val="24"/>
        </w:rPr>
        <w:t xml:space="preserve"> to balance distribution networks, accommodating various participant </w:t>
      </w:r>
      <w:r w:rsidR="00940258" w:rsidRPr="003676D3">
        <w:rPr>
          <w:rFonts w:ascii="Times New Roman" w:hAnsi="Times New Roman" w:cs="Times New Roman"/>
          <w:sz w:val="24"/>
          <w:szCs w:val="24"/>
        </w:rPr>
        <w:t>behaviours</w:t>
      </w:r>
      <w:r w:rsidRPr="003676D3">
        <w:rPr>
          <w:rFonts w:ascii="Times New Roman" w:hAnsi="Times New Roman" w:cs="Times New Roman"/>
          <w:sz w:val="24"/>
          <w:szCs w:val="24"/>
        </w:rPr>
        <w:t xml:space="preserve">. In the first stage, </w:t>
      </w:r>
      <w:r w:rsidR="00AF7C09" w:rsidRPr="003676D3">
        <w:rPr>
          <w:rFonts w:ascii="Times New Roman" w:hAnsi="Times New Roman" w:cs="Times New Roman"/>
          <w:sz w:val="24"/>
          <w:szCs w:val="24"/>
        </w:rPr>
        <w:t xml:space="preserve">an </w:t>
      </w:r>
      <w:r w:rsidR="00A715A2" w:rsidRPr="003676D3">
        <w:rPr>
          <w:rFonts w:ascii="Times New Roman" w:hAnsi="Times New Roman" w:cs="Times New Roman"/>
          <w:sz w:val="24"/>
          <w:szCs w:val="24"/>
        </w:rPr>
        <w:t>operator</w:t>
      </w:r>
      <w:r w:rsidR="00AF7C09" w:rsidRPr="003676D3">
        <w:rPr>
          <w:rFonts w:ascii="Times New Roman" w:hAnsi="Times New Roman" w:cs="Times New Roman"/>
          <w:sz w:val="24"/>
          <w:szCs w:val="24"/>
        </w:rPr>
        <w:t xml:space="preserve"> </w:t>
      </w:r>
      <w:r w:rsidRPr="003676D3">
        <w:rPr>
          <w:rFonts w:ascii="Times New Roman" w:hAnsi="Times New Roman" w:cs="Times New Roman"/>
          <w:sz w:val="24"/>
          <w:szCs w:val="24"/>
        </w:rPr>
        <w:t>manages the network by purchasing energy</w:t>
      </w:r>
      <w:r w:rsidR="00AF7C09" w:rsidRPr="003676D3">
        <w:rPr>
          <w:rFonts w:ascii="Times New Roman" w:hAnsi="Times New Roman" w:cs="Times New Roman"/>
          <w:sz w:val="24"/>
          <w:szCs w:val="24"/>
        </w:rPr>
        <w:t xml:space="preserve"> and </w:t>
      </w:r>
      <w:r w:rsidRPr="003676D3">
        <w:rPr>
          <w:rFonts w:ascii="Times New Roman" w:hAnsi="Times New Roman" w:cs="Times New Roman"/>
          <w:sz w:val="24"/>
          <w:szCs w:val="24"/>
        </w:rPr>
        <w:t>setting dynamic locational marginal prices (DLMPs) or utilizing storage. In the second stage, prosumers make decisions based on DLMPs and preferences</w:t>
      </w:r>
      <w:r w:rsidR="00AF7C09" w:rsidRPr="003676D3">
        <w:rPr>
          <w:rFonts w:ascii="Times New Roman" w:hAnsi="Times New Roman" w:cs="Times New Roman"/>
          <w:sz w:val="24"/>
          <w:szCs w:val="24"/>
        </w:rPr>
        <w:t>. They</w:t>
      </w:r>
      <w:r w:rsidRPr="003676D3">
        <w:rPr>
          <w:rFonts w:ascii="Times New Roman" w:hAnsi="Times New Roman" w:cs="Times New Roman"/>
          <w:sz w:val="24"/>
          <w:szCs w:val="24"/>
        </w:rPr>
        <w:t xml:space="preserve"> either using grid energy or engaging in peer-to-peer</w:t>
      </w:r>
      <w:r w:rsidR="00AF7C09" w:rsidRPr="003676D3">
        <w:rPr>
          <w:rFonts w:ascii="Times New Roman" w:hAnsi="Times New Roman" w:cs="Times New Roman"/>
          <w:sz w:val="24"/>
          <w:szCs w:val="24"/>
        </w:rPr>
        <w:t xml:space="preserve"> (P2P)</w:t>
      </w:r>
      <w:r w:rsidRPr="003676D3">
        <w:rPr>
          <w:rFonts w:ascii="Times New Roman" w:hAnsi="Times New Roman" w:cs="Times New Roman"/>
          <w:sz w:val="24"/>
          <w:szCs w:val="24"/>
        </w:rPr>
        <w:t xml:space="preserve"> transactions. </w:t>
      </w:r>
      <w:r w:rsidR="00AF7C09" w:rsidRPr="003676D3">
        <w:rPr>
          <w:rFonts w:ascii="Times New Roman" w:hAnsi="Times New Roman" w:cs="Times New Roman"/>
          <w:sz w:val="24"/>
          <w:szCs w:val="24"/>
        </w:rPr>
        <w:t>This results in</w:t>
      </w:r>
      <w:r w:rsidRPr="003676D3">
        <w:rPr>
          <w:rFonts w:ascii="Times New Roman" w:hAnsi="Times New Roman" w:cs="Times New Roman"/>
          <w:sz w:val="24"/>
          <w:szCs w:val="24"/>
        </w:rPr>
        <w:t xml:space="preserve"> reduced import costs and grid energy usage. The model converges to optimal solutions efficiently </w:t>
      </w:r>
      <w:r w:rsidR="009E094F" w:rsidRPr="003676D3">
        <w:rPr>
          <w:rFonts w:ascii="Times New Roman" w:hAnsi="Times New Roman" w:cs="Times New Roman"/>
          <w:sz w:val="24"/>
          <w:szCs w:val="24"/>
        </w:rPr>
        <w:t>with the increase in</w:t>
      </w:r>
      <w:r w:rsidR="00CD7701" w:rsidRPr="003676D3">
        <w:rPr>
          <w:rFonts w:ascii="Times New Roman" w:hAnsi="Times New Roman" w:cs="Times New Roman"/>
          <w:sz w:val="24"/>
          <w:szCs w:val="24"/>
        </w:rPr>
        <w:t xml:space="preserve"> </w:t>
      </w:r>
      <w:r w:rsidRPr="003676D3">
        <w:rPr>
          <w:rFonts w:ascii="Times New Roman" w:hAnsi="Times New Roman" w:cs="Times New Roman"/>
          <w:sz w:val="24"/>
          <w:szCs w:val="24"/>
        </w:rPr>
        <w:t>participant numbers.</w:t>
      </w:r>
      <w:r w:rsidR="0075169D" w:rsidRPr="003676D3">
        <w:rPr>
          <w:rFonts w:ascii="Times New Roman" w:hAnsi="Times New Roman" w:cs="Times New Roman"/>
          <w:sz w:val="24"/>
          <w:szCs w:val="24"/>
        </w:rPr>
        <w:t xml:space="preserve"> </w:t>
      </w:r>
      <w:r w:rsidR="0075169D" w:rsidRPr="003676D3">
        <w:rPr>
          <w:rFonts w:ascii="Times New Roman" w:hAnsi="Times New Roman" w:cs="Times New Roman"/>
          <w:sz w:val="24"/>
          <w:szCs w:val="24"/>
        </w:rPr>
        <w:fldChar w:fldCharType="begin"/>
      </w:r>
      <w:r w:rsidR="0075169D" w:rsidRPr="003676D3">
        <w:rPr>
          <w:rFonts w:ascii="Times New Roman" w:hAnsi="Times New Roman" w:cs="Times New Roman"/>
          <w:sz w:val="24"/>
          <w:szCs w:val="24"/>
        </w:rPr>
        <w:instrText xml:space="preserve"> REF _Ref168040990 \h  \* MERGEFORMAT </w:instrText>
      </w:r>
      <w:r w:rsidR="0075169D" w:rsidRPr="003676D3">
        <w:rPr>
          <w:rFonts w:ascii="Times New Roman" w:hAnsi="Times New Roman" w:cs="Times New Roman"/>
          <w:sz w:val="24"/>
          <w:szCs w:val="24"/>
        </w:rPr>
      </w:r>
      <w:r w:rsidR="0075169D"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5</w:t>
      </w:r>
      <w:r w:rsidR="0075169D" w:rsidRPr="003676D3">
        <w:rPr>
          <w:rFonts w:ascii="Times New Roman" w:hAnsi="Times New Roman" w:cs="Times New Roman"/>
          <w:sz w:val="24"/>
          <w:szCs w:val="24"/>
        </w:rPr>
        <w:fldChar w:fldCharType="end"/>
      </w:r>
      <w:r w:rsidR="0075169D" w:rsidRPr="003676D3">
        <w:rPr>
          <w:rFonts w:ascii="Times New Roman" w:hAnsi="Times New Roman" w:cs="Times New Roman"/>
          <w:sz w:val="24"/>
          <w:szCs w:val="24"/>
        </w:rPr>
        <w:t xml:space="preserve"> presents the distinct features of transactive energy network.</w:t>
      </w:r>
    </w:p>
    <w:p w14:paraId="049EEA2D" w14:textId="05598D25" w:rsidR="00F423F9" w:rsidRPr="003676D3" w:rsidRDefault="00CD7701" w:rsidP="003676D3">
      <w:pPr>
        <w:pStyle w:val="Heading1"/>
        <w:spacing w:line="276" w:lineRule="auto"/>
        <w:jc w:val="both"/>
        <w:rPr>
          <w:sz w:val="24"/>
          <w:szCs w:val="24"/>
        </w:rPr>
      </w:pPr>
      <w:r w:rsidRPr="003676D3">
        <w:rPr>
          <w:noProof/>
        </w:rPr>
        <w:lastRenderedPageBreak/>
        <mc:AlternateContent>
          <mc:Choice Requires="wps">
            <w:drawing>
              <wp:anchor distT="0" distB="0" distL="114300" distR="114300" simplePos="0" relativeHeight="251651072" behindDoc="0" locked="0" layoutInCell="1" allowOverlap="1" wp14:anchorId="1C872D16" wp14:editId="70427346">
                <wp:simplePos x="0" y="0"/>
                <wp:positionH relativeFrom="column">
                  <wp:posOffset>228600</wp:posOffset>
                </wp:positionH>
                <wp:positionV relativeFrom="paragraph">
                  <wp:posOffset>3408680</wp:posOffset>
                </wp:positionV>
                <wp:extent cx="54102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0A5C1965" w14:textId="413BD030" w:rsidR="001F368F" w:rsidRPr="0075169D" w:rsidRDefault="001F368F" w:rsidP="004B1918">
                            <w:pPr>
                              <w:pStyle w:val="Caption"/>
                              <w:jc w:val="center"/>
                              <w:rPr>
                                <w:rFonts w:asciiTheme="majorBidi" w:hAnsiTheme="majorBidi" w:cstheme="majorBidi"/>
                                <w:b/>
                                <w:bCs/>
                                <w:i w:val="0"/>
                                <w:iCs w:val="0"/>
                                <w:noProof/>
                                <w:color w:val="auto"/>
                                <w:sz w:val="28"/>
                                <w:szCs w:val="28"/>
                              </w:rPr>
                            </w:pPr>
                            <w:bookmarkStart w:id="15" w:name="_Ref168040990"/>
                            <w:r w:rsidRPr="0075169D">
                              <w:rPr>
                                <w:rFonts w:asciiTheme="majorBidi" w:hAnsiTheme="majorBidi" w:cstheme="majorBidi"/>
                                <w:b/>
                                <w:bCs/>
                                <w:i w:val="0"/>
                                <w:iCs w:val="0"/>
                                <w:color w:val="auto"/>
                                <w:sz w:val="20"/>
                                <w:szCs w:val="20"/>
                              </w:rPr>
                              <w:t xml:space="preserve">Figure </w:t>
                            </w:r>
                            <w:r w:rsidRPr="0075169D">
                              <w:rPr>
                                <w:rFonts w:asciiTheme="majorBidi" w:hAnsiTheme="majorBidi" w:cstheme="majorBidi"/>
                                <w:b/>
                                <w:bCs/>
                                <w:i w:val="0"/>
                                <w:iCs w:val="0"/>
                                <w:color w:val="auto"/>
                                <w:sz w:val="20"/>
                                <w:szCs w:val="20"/>
                              </w:rPr>
                              <w:fldChar w:fldCharType="begin"/>
                            </w:r>
                            <w:r w:rsidRPr="0075169D">
                              <w:rPr>
                                <w:rFonts w:asciiTheme="majorBidi" w:hAnsiTheme="majorBidi" w:cstheme="majorBidi"/>
                                <w:b/>
                                <w:bCs/>
                                <w:i w:val="0"/>
                                <w:iCs w:val="0"/>
                                <w:color w:val="auto"/>
                                <w:sz w:val="20"/>
                                <w:szCs w:val="20"/>
                              </w:rPr>
                              <w:instrText xml:space="preserve"> SEQ Figure \* ARABIC </w:instrText>
                            </w:r>
                            <w:r w:rsidRPr="0075169D">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5</w:t>
                            </w:r>
                            <w:r w:rsidRPr="0075169D">
                              <w:rPr>
                                <w:rFonts w:asciiTheme="majorBidi" w:hAnsiTheme="majorBidi" w:cstheme="majorBidi"/>
                                <w:b/>
                                <w:bCs/>
                                <w:i w:val="0"/>
                                <w:iCs w:val="0"/>
                                <w:color w:val="auto"/>
                                <w:sz w:val="20"/>
                                <w:szCs w:val="20"/>
                              </w:rPr>
                              <w:fldChar w:fldCharType="end"/>
                            </w:r>
                            <w:bookmarkEnd w:id="15"/>
                            <w:r w:rsidRPr="0075169D">
                              <w:rPr>
                                <w:rFonts w:asciiTheme="majorBidi" w:hAnsiTheme="majorBidi" w:cstheme="majorBidi"/>
                                <w:b/>
                                <w:bCs/>
                                <w:i w:val="0"/>
                                <w:iCs w:val="0"/>
                                <w:color w:val="auto"/>
                                <w:sz w:val="20"/>
                                <w:szCs w:val="20"/>
                              </w:rPr>
                              <w:t>. Distinct features of Transactive Energy.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872D16" id="Text Box 12" o:spid="_x0000_s1029" type="#_x0000_t202" style="position:absolute;left:0;text-align:left;margin-left:18pt;margin-top:268.4pt;width:426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" stroked="f">
                <v:textbox style="mso-fit-shape-to-text:t" inset="0,0,0,0">
                  <w:txbxContent>
                    <w:p w14:paraId="0A5C1965" w14:textId="413BD030" w:rsidR="001F368F" w:rsidRPr="0075169D" w:rsidRDefault="001F368F" w:rsidP="004B1918">
                      <w:pPr>
                        <w:pStyle w:val="Caption"/>
                        <w:jc w:val="center"/>
                        <w:rPr>
                          <w:rFonts w:asciiTheme="majorBidi" w:hAnsiTheme="majorBidi" w:cstheme="majorBidi"/>
                          <w:b/>
                          <w:bCs/>
                          <w:i w:val="0"/>
                          <w:iCs w:val="0"/>
                          <w:noProof/>
                          <w:color w:val="auto"/>
                          <w:sz w:val="28"/>
                          <w:szCs w:val="28"/>
                        </w:rPr>
                      </w:pPr>
                      <w:bookmarkStart w:id="16" w:name="_Ref168040990"/>
                      <w:r w:rsidRPr="0075169D">
                        <w:rPr>
                          <w:rFonts w:asciiTheme="majorBidi" w:hAnsiTheme="majorBidi" w:cstheme="majorBidi"/>
                          <w:b/>
                          <w:bCs/>
                          <w:i w:val="0"/>
                          <w:iCs w:val="0"/>
                          <w:color w:val="auto"/>
                          <w:sz w:val="20"/>
                          <w:szCs w:val="20"/>
                        </w:rPr>
                        <w:t xml:space="preserve">Figure </w:t>
                      </w:r>
                      <w:r w:rsidRPr="0075169D">
                        <w:rPr>
                          <w:rFonts w:asciiTheme="majorBidi" w:hAnsiTheme="majorBidi" w:cstheme="majorBidi"/>
                          <w:b/>
                          <w:bCs/>
                          <w:i w:val="0"/>
                          <w:iCs w:val="0"/>
                          <w:color w:val="auto"/>
                          <w:sz w:val="20"/>
                          <w:szCs w:val="20"/>
                        </w:rPr>
                        <w:fldChar w:fldCharType="begin"/>
                      </w:r>
                      <w:r w:rsidRPr="0075169D">
                        <w:rPr>
                          <w:rFonts w:asciiTheme="majorBidi" w:hAnsiTheme="majorBidi" w:cstheme="majorBidi"/>
                          <w:b/>
                          <w:bCs/>
                          <w:i w:val="0"/>
                          <w:iCs w:val="0"/>
                          <w:color w:val="auto"/>
                          <w:sz w:val="20"/>
                          <w:szCs w:val="20"/>
                        </w:rPr>
                        <w:instrText xml:space="preserve"> SEQ Figure \* ARABIC </w:instrText>
                      </w:r>
                      <w:r w:rsidRPr="0075169D">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5</w:t>
                      </w:r>
                      <w:r w:rsidRPr="0075169D">
                        <w:rPr>
                          <w:rFonts w:asciiTheme="majorBidi" w:hAnsiTheme="majorBidi" w:cstheme="majorBidi"/>
                          <w:b/>
                          <w:bCs/>
                          <w:i w:val="0"/>
                          <w:iCs w:val="0"/>
                          <w:color w:val="auto"/>
                          <w:sz w:val="20"/>
                          <w:szCs w:val="20"/>
                        </w:rPr>
                        <w:fldChar w:fldCharType="end"/>
                      </w:r>
                      <w:bookmarkEnd w:id="16"/>
                      <w:r w:rsidRPr="0075169D">
                        <w:rPr>
                          <w:rFonts w:asciiTheme="majorBidi" w:hAnsiTheme="majorBidi" w:cstheme="majorBidi"/>
                          <w:b/>
                          <w:bCs/>
                          <w:i w:val="0"/>
                          <w:iCs w:val="0"/>
                          <w:color w:val="auto"/>
                          <w:sz w:val="20"/>
                          <w:szCs w:val="20"/>
                        </w:rPr>
                        <w:t>. Distinct features of Transactive Energy.</w:t>
                      </w:r>
                    </w:p>
                  </w:txbxContent>
                </v:textbox>
                <w10:wrap type="square"/>
              </v:shape>
            </w:pict>
          </mc:Fallback>
        </mc:AlternateContent>
      </w:r>
      <w:r w:rsidRPr="003676D3">
        <w:rPr>
          <w:noProof/>
          <w:sz w:val="24"/>
          <w:szCs w:val="24"/>
        </w:rPr>
        <w:drawing>
          <wp:anchor distT="0" distB="0" distL="114300" distR="114300" simplePos="0" relativeHeight="251634688" behindDoc="0" locked="0" layoutInCell="1" allowOverlap="1" wp14:anchorId="43C1AF26" wp14:editId="18E56DCC">
            <wp:simplePos x="0" y="0"/>
            <wp:positionH relativeFrom="column">
              <wp:posOffset>0</wp:posOffset>
            </wp:positionH>
            <wp:positionV relativeFrom="paragraph">
              <wp:posOffset>76200</wp:posOffset>
            </wp:positionV>
            <wp:extent cx="5486400" cy="3200400"/>
            <wp:effectExtent l="0" t="57150" r="0" b="3810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132774" w:rsidRPr="003676D3">
        <w:rPr>
          <w:sz w:val="24"/>
          <w:szCs w:val="24"/>
        </w:rPr>
        <w:t>4</w:t>
      </w:r>
      <w:r w:rsidR="00E7634E" w:rsidRPr="003676D3">
        <w:rPr>
          <w:sz w:val="24"/>
          <w:szCs w:val="24"/>
        </w:rPr>
        <w:t>. Regulatory Framework and Policy Interventions</w:t>
      </w:r>
    </w:p>
    <w:p w14:paraId="6DC020AD" w14:textId="3FD906F2" w:rsidR="002431D5" w:rsidRPr="003676D3" w:rsidRDefault="002431D5"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Studies on rene</w:t>
      </w:r>
      <w:r w:rsidR="00CD7701" w:rsidRPr="003676D3">
        <w:rPr>
          <w:rFonts w:ascii="Times New Roman" w:hAnsi="Times New Roman" w:cs="Times New Roman"/>
          <w:sz w:val="24"/>
          <w:szCs w:val="24"/>
        </w:rPr>
        <w:t>wable technologies analyse both</w:t>
      </w:r>
      <w:r w:rsidRPr="003676D3">
        <w:rPr>
          <w:rFonts w:ascii="Times New Roman" w:hAnsi="Times New Roman" w:cs="Times New Roman"/>
          <w:sz w:val="24"/>
          <w:szCs w:val="24"/>
        </w:rPr>
        <w:t xml:space="preserve"> transfo</w:t>
      </w:r>
      <w:r w:rsidR="00560079" w:rsidRPr="003676D3">
        <w:rPr>
          <w:rFonts w:ascii="Times New Roman" w:hAnsi="Times New Roman" w:cs="Times New Roman"/>
          <w:sz w:val="24"/>
          <w:szCs w:val="24"/>
        </w:rPr>
        <w:t>rmational</w:t>
      </w:r>
      <w:r w:rsidR="00CD7701" w:rsidRPr="003676D3">
        <w:rPr>
          <w:rFonts w:ascii="Times New Roman" w:hAnsi="Times New Roman" w:cs="Times New Roman"/>
          <w:sz w:val="24"/>
          <w:szCs w:val="24"/>
        </w:rPr>
        <w:t xml:space="preserve"> and systemic</w:t>
      </w:r>
      <w:r w:rsidR="00560079" w:rsidRPr="003676D3">
        <w:rPr>
          <w:rFonts w:ascii="Times New Roman" w:hAnsi="Times New Roman" w:cs="Times New Roman"/>
          <w:sz w:val="24"/>
          <w:szCs w:val="24"/>
        </w:rPr>
        <w:t xml:space="preserve"> approaches such as </w:t>
      </w:r>
      <w:r w:rsidR="00560079" w:rsidRPr="003676D3">
        <w:rPr>
          <w:rFonts w:ascii="Times New Roman" w:hAnsi="Times New Roman" w:cs="Times New Roman"/>
          <w:sz w:val="24"/>
          <w:szCs w:val="24"/>
        </w:rPr>
        <w:fldChar w:fldCharType="begin" w:fldLock="1"/>
      </w:r>
      <w:r w:rsidR="00560079" w:rsidRPr="003676D3">
        <w:rPr>
          <w:rFonts w:ascii="Times New Roman" w:hAnsi="Times New Roman" w:cs="Times New Roman"/>
          <w:sz w:val="24"/>
          <w:szCs w:val="24"/>
        </w:rPr>
        <w:instrText>ADDIN CSL_CITATION {"citationItems":[{"id":"ITEM-1","itemData":{"DOI":"10.1016/J.RSER.2012.03.043","ISSN":"1364-0321","abstract":"In this paper we present a literature review of studies that have analysed the troublesome trajectory of different renewable energy technologies (RETs) development and diffusion in different, mainly European countries. We present an overview of typical systemic problems in the development of innovation systems around RETs. We make use of the literature on innovation system failures to develop a categorisation of typical systemic problems that hamper the development and diffusion of RETs. Based on this categorisation the paper suggests several policy recommendations to overcome the systemic problems and accelerate the diffusion and implementation of RETs. © 2012 Elsevier Ltd. All right reserved.","author":[{"dropping-particle":"","family":"Negro","given":"Simona O.","non-dropping-particle":"","parse-names":false,"suffix":""},{"dropping-particle":"","family":"Alkemade","given":"Floortje","non-dropping-particle":"","parse-names":false,"suffix":""},{"dropping-particle":"","family":"Hekkert","given":"Marko P.","non-dropping-particle":"","parse-names":false,"suffix":""}],"container-title":"Renewable and Sustainable Energy Reviews","id":"ITEM-1","issue":"6","issued":{"date-parts":[["2012","8","1"]]},"page":"3836-3846","publisher":"Pergamon","title":"Why does renewable energy diffuse so slowly? A review of innovation system problems","type":"article-journal","volume":"16"},"uris":["http://www.mendeley.com/documents/?uuid=359c67af-0e72-356e-baa3-07cf8f41e87e"]}],"mendeley":{"formattedCitation":"[121]","plainTextFormattedCitation":"[121]","previouslyFormattedCitation":"[121]"},"properties":{"noteIndex":0},"schema":"https://github.com/citation-style-language/schema/raw/master/csl-citation.json"}</w:instrText>
      </w:r>
      <w:r w:rsidR="00560079" w:rsidRPr="003676D3">
        <w:rPr>
          <w:rFonts w:ascii="Times New Roman" w:hAnsi="Times New Roman" w:cs="Times New Roman"/>
          <w:sz w:val="24"/>
          <w:szCs w:val="24"/>
        </w:rPr>
        <w:fldChar w:fldCharType="separate"/>
      </w:r>
      <w:r w:rsidR="00560079" w:rsidRPr="003676D3">
        <w:rPr>
          <w:rFonts w:ascii="Times New Roman" w:hAnsi="Times New Roman" w:cs="Times New Roman"/>
          <w:noProof/>
          <w:sz w:val="24"/>
          <w:szCs w:val="24"/>
        </w:rPr>
        <w:t>[121]</w:t>
      </w:r>
      <w:r w:rsidR="00560079" w:rsidRPr="003676D3">
        <w:rPr>
          <w:rFonts w:ascii="Times New Roman" w:hAnsi="Times New Roman" w:cs="Times New Roman"/>
          <w:sz w:val="24"/>
          <w:szCs w:val="24"/>
        </w:rPr>
        <w:fldChar w:fldCharType="end"/>
      </w:r>
      <w:r w:rsidR="00560079" w:rsidRPr="003676D3">
        <w:rPr>
          <w:rFonts w:ascii="Times New Roman" w:hAnsi="Times New Roman" w:cs="Times New Roman"/>
          <w:sz w:val="24"/>
          <w:szCs w:val="24"/>
        </w:rPr>
        <w:t xml:space="preserve"> </w:t>
      </w:r>
      <w:r w:rsidRPr="003676D3">
        <w:rPr>
          <w:rFonts w:ascii="Times New Roman" w:hAnsi="Times New Roman" w:cs="Times New Roman"/>
          <w:sz w:val="24"/>
          <w:szCs w:val="24"/>
        </w:rPr>
        <w:t xml:space="preserve">studies systematic problems faced by European countries in developing renewable technologies and diffusing these technologies at a slow rate. Systematic failure is attributed to market structure, where dominant </w:t>
      </w:r>
      <w:r w:rsidR="007345F4" w:rsidRPr="003676D3">
        <w:rPr>
          <w:rFonts w:ascii="Times New Roman" w:hAnsi="Times New Roman" w:cs="Times New Roman"/>
          <w:sz w:val="24"/>
          <w:szCs w:val="24"/>
        </w:rPr>
        <w:t>characters</w:t>
      </w:r>
      <w:r w:rsidRPr="003676D3">
        <w:rPr>
          <w:rFonts w:ascii="Times New Roman" w:hAnsi="Times New Roman" w:cs="Times New Roman"/>
          <w:sz w:val="24"/>
          <w:szCs w:val="24"/>
        </w:rPr>
        <w:t xml:space="preserve"> control the market. Systematic failures as well as markets are reviewed in</w:t>
      </w:r>
      <w:r w:rsidR="00560079" w:rsidRPr="003676D3">
        <w:rPr>
          <w:rFonts w:ascii="Times New Roman" w:hAnsi="Times New Roman" w:cs="Times New Roman"/>
          <w:sz w:val="24"/>
          <w:szCs w:val="24"/>
        </w:rPr>
        <w:t xml:space="preserve"> </w:t>
      </w:r>
      <w:r w:rsidR="00560079" w:rsidRPr="003676D3">
        <w:rPr>
          <w:rFonts w:ascii="Times New Roman" w:hAnsi="Times New Roman" w:cs="Times New Roman"/>
          <w:sz w:val="24"/>
          <w:szCs w:val="24"/>
        </w:rPr>
        <w:fldChar w:fldCharType="begin" w:fldLock="1"/>
      </w:r>
      <w:r w:rsidR="00560079" w:rsidRPr="003676D3">
        <w:rPr>
          <w:rFonts w:ascii="Times New Roman" w:hAnsi="Times New Roman" w:cs="Times New Roman"/>
          <w:sz w:val="24"/>
          <w:szCs w:val="24"/>
        </w:rPr>
        <w:instrText>ADDIN CSL_CITATION {"citationItems":[{"id":"ITEM-1","itemData":{"DOI":"10.1093/SCIPOL/SCR008","ISSN":"0302-3427","abstract":"Systemic policy instruments are receiving increased attention among innovation scholars as a means to stimulate sustainability oriented technological innovation. The instruments are called systemic in the expectation that they will improve the functioning of entire (innovation) systems. A first step in designing systemic instruments is an analysis of the systemic problems that hinder the development of a specific technological trajectory. This paper argues that two approaches to studying innovation systems-structural and functional analyses-can be combined in a systemic policy framework that helps to first, identify the systemic problems; and second, to suggest the systemic instruments that would address these problems. © The Author 2012. Published by Oxford University Press. All rights reserved.","author":[{"dropping-particle":"","family":"Wieczorek","given":"Anna J.","non-dropping-particle":"","parse-names":false,"suffix":""},{"dropping-particle":"","family":"Hekkert","given":"Marko P.","non-dropping-particle":"","parse-names":false,"suffix":""}],"container-title":"Science and Public Policy","id":"ITEM-1","issue":"1","issued":{"date-parts":[["2012","2","1"]]},"page":"74-87","publisher":"Beech Tree Publishing","title":"Systemic instruments for systemic innovation problems: a framework for policy makers and innovation scholars","type":"article-journal","volume":"39"},"uris":["http://www.mendeley.com/documents/?uuid=216b5139-fa3f-335c-9ce9-32404c6c8ec2"]}],"mendeley":{"formattedCitation":"[122]","plainTextFormattedCitation":"[122]","previouslyFormattedCitation":"[122]"},"properties":{"noteIndex":0},"schema":"https://github.com/citation-style-language/schema/raw/master/csl-citation.json"}</w:instrText>
      </w:r>
      <w:r w:rsidR="00560079" w:rsidRPr="003676D3">
        <w:rPr>
          <w:rFonts w:ascii="Times New Roman" w:hAnsi="Times New Roman" w:cs="Times New Roman"/>
          <w:sz w:val="24"/>
          <w:szCs w:val="24"/>
        </w:rPr>
        <w:fldChar w:fldCharType="separate"/>
      </w:r>
      <w:r w:rsidR="00560079" w:rsidRPr="003676D3">
        <w:rPr>
          <w:rFonts w:ascii="Times New Roman" w:hAnsi="Times New Roman" w:cs="Times New Roman"/>
          <w:noProof/>
          <w:sz w:val="24"/>
          <w:szCs w:val="24"/>
        </w:rPr>
        <w:t>[122]</w:t>
      </w:r>
      <w:r w:rsidR="00560079" w:rsidRPr="003676D3">
        <w:rPr>
          <w:rFonts w:ascii="Times New Roman" w:hAnsi="Times New Roman" w:cs="Times New Roman"/>
          <w:sz w:val="24"/>
          <w:szCs w:val="24"/>
        </w:rPr>
        <w:fldChar w:fldCharType="end"/>
      </w:r>
      <w:r w:rsidR="00560079" w:rsidRPr="003676D3">
        <w:rPr>
          <w:rFonts w:ascii="Times New Roman" w:hAnsi="Times New Roman" w:cs="Times New Roman"/>
          <w:sz w:val="24"/>
          <w:szCs w:val="24"/>
        </w:rPr>
        <w:t xml:space="preserve"> </w:t>
      </w:r>
      <w:r w:rsidR="00560079" w:rsidRPr="003676D3">
        <w:rPr>
          <w:rFonts w:ascii="Times New Roman" w:hAnsi="Times New Roman" w:cs="Times New Roman"/>
          <w:sz w:val="24"/>
          <w:szCs w:val="24"/>
        </w:rPr>
        <w:fldChar w:fldCharType="begin" w:fldLock="1"/>
      </w:r>
      <w:r w:rsidR="00560079" w:rsidRPr="003676D3">
        <w:rPr>
          <w:rFonts w:ascii="Times New Roman" w:hAnsi="Times New Roman" w:cs="Times New Roman"/>
          <w:sz w:val="24"/>
          <w:szCs w:val="24"/>
        </w:rPr>
        <w:instrText>ADDIN CSL_CITATION {"citationItems":[{"id":"ITEM-1","itemData":{"DOI":"10.1016/J.ENPOL.2012.04.065","ISSN":"0301-4215","abstract":"Many of the scenarios for decarbonising the European energy system involve the integration of large-scale and decentralised renewable energy sources, such as wind and solar power. However, such integration requires substantial and rapid improvements to the existing transmission grids. Using a mix of qualitative and quantitative methods, we analysed the opinions and views of stakeholders concerning the main barriers and solutions to this problem. The results suggest two conclusions. The first is that primary barriers to the currently needed level of grid expansion are not technical or financial, but the lack of appropriate regulatory frameworks and public acceptance. The second is that major changes are needed in the overall regulatory process, rather than simply minor modifications or improved implementation of existing regulations. © 2012 Elsevier Ltd.","author":[{"dropping-particle":"","family":"Battaglini","given":"Antonella","non-dropping-particle":"","parse-names":false,"suffix":""},{"dropping-particle":"","family":"Komendantova","given":"Nadejda","non-dropping-particle":"","parse-names":false,"suffix":""},{"dropping-particle":"","family":"Brtnik","given":"Patricia","non-dropping-particle":"","parse-names":false,"suffix":""},{"dropping-particle":"","family":"Patt","given":"Anthony","non-dropping-particle":"","parse-names":false,"suffix":""}],"container-title":"Energy Policy","id":"ITEM-1","issued":{"date-parts":[["2012","8","1"]]},"page":"254-259","publisher":"Elsevier","title":"Perception of barriers for expansion of electricity grids in the European Union","type":"article-journal","volume":"47"},"uris":["http://www.mendeley.com/documents/?uuid=2ae5e609-033f-3a3a-bdaf-29107d421723"]},{"id":"ITEM-2","itemData":{"ISSN":"0360-5442","author":[{"dropping-particle":"","family":"Shafie-khah","given":"Miadreza","non-dropping-particle":"","parse-names":false,"suffix":""},{"dropping-particle":"","family":"Moghaddam","given":"Mohsen Parsa","non-dropping-particle":"","parse-names":false,"suffix":""},{"dropping-particle":"","family":"Sheikh-El-Eslami","given":"Mohamad Kazem","non-dropping-particle":"","parse-names":false,"suffix":""},{"dropping-particle":"","family":"Rahmani-Andebili","given":"Mehdi","non-dropping-particle":"","parse-names":false,"suffix":""}],"container-title":"Energy","id":"ITEM-2","issue":"1","issued":{"date-parts":[["2012"]]},"page":"139-150","publisher":"Elsevier","title":"Modeling of interactions between market regulations and behavior of plug-in electric vehicle aggregators in a virtual power market environment","type":"article-journal","volume":"40"},"uris":["http://www.mendeley.com/documents/?uuid=8c1203c6-8abc-4d66-ac30-d95af7c926d0"]}],"mendeley":{"formattedCitation":"[13,123]","plainTextFormattedCitation":"[13,123]","previouslyFormattedCitation":"[13,123]"},"properties":{"noteIndex":0},"schema":"https://github.com/citation-style-language/schema/raw/master/csl-citation.json"}</w:instrText>
      </w:r>
      <w:r w:rsidR="00560079" w:rsidRPr="003676D3">
        <w:rPr>
          <w:rFonts w:ascii="Times New Roman" w:hAnsi="Times New Roman" w:cs="Times New Roman"/>
          <w:sz w:val="24"/>
          <w:szCs w:val="24"/>
        </w:rPr>
        <w:fldChar w:fldCharType="separate"/>
      </w:r>
      <w:r w:rsidR="00560079" w:rsidRPr="003676D3">
        <w:rPr>
          <w:rFonts w:ascii="Times New Roman" w:hAnsi="Times New Roman" w:cs="Times New Roman"/>
          <w:noProof/>
          <w:sz w:val="24"/>
          <w:szCs w:val="24"/>
        </w:rPr>
        <w:t>[13,123]</w:t>
      </w:r>
      <w:r w:rsidR="00560079" w:rsidRPr="003676D3">
        <w:rPr>
          <w:rFonts w:ascii="Times New Roman" w:hAnsi="Times New Roman" w:cs="Times New Roman"/>
          <w:sz w:val="24"/>
          <w:szCs w:val="24"/>
        </w:rPr>
        <w:fldChar w:fldCharType="end"/>
      </w:r>
      <w:r w:rsidR="009E094F" w:rsidRPr="003676D3">
        <w:rPr>
          <w:rFonts w:ascii="Times New Roman" w:hAnsi="Times New Roman" w:cs="Times New Roman"/>
          <w:sz w:val="24"/>
          <w:szCs w:val="24"/>
        </w:rPr>
        <w:t xml:space="preserve"> </w:t>
      </w:r>
      <w:r w:rsidRPr="003676D3">
        <w:rPr>
          <w:rFonts w:ascii="Times New Roman" w:hAnsi="Times New Roman" w:cs="Times New Roman"/>
          <w:sz w:val="24"/>
          <w:szCs w:val="24"/>
        </w:rPr>
        <w:t>although it lacks to discuss transformational failures.</w:t>
      </w:r>
    </w:p>
    <w:p w14:paraId="73BEA11E" w14:textId="24504B6C" w:rsidR="00E7634E" w:rsidRPr="003676D3" w:rsidRDefault="004C7490"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development of a SG</w:t>
      </w:r>
      <w:r w:rsidR="00E7634E" w:rsidRPr="003676D3">
        <w:rPr>
          <w:rFonts w:ascii="Times New Roman" w:hAnsi="Times New Roman" w:cs="Times New Roman"/>
          <w:sz w:val="24"/>
          <w:szCs w:val="24"/>
        </w:rPr>
        <w:t xml:space="preserve"> </w:t>
      </w:r>
      <w:r w:rsidRPr="003676D3">
        <w:rPr>
          <w:rFonts w:ascii="Times New Roman" w:hAnsi="Times New Roman" w:cs="Times New Roman"/>
          <w:sz w:val="24"/>
          <w:szCs w:val="24"/>
        </w:rPr>
        <w:t>necessitates</w:t>
      </w:r>
      <w:r w:rsidR="00E7634E" w:rsidRPr="003676D3">
        <w:rPr>
          <w:rFonts w:ascii="Times New Roman" w:hAnsi="Times New Roman" w:cs="Times New Roman"/>
          <w:sz w:val="24"/>
          <w:szCs w:val="24"/>
        </w:rPr>
        <w:t xml:space="preserve"> a precise regulatory framework having an important aspect of market liberalization. it is an imperative step to keep the energy prices affordable for all stakeholder as well as increase system flexibility by ensuring interoperability between various prosumers. This gives prosumers a choice to opt for suitable energy provider based on their need and financial situation</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{"citationItems":[{"id":"ITEM-1","itemData":{"DOI":"10.1145/3599733.3600247","ISBN":"9798400702273","abstract":"A stable supply of electrical energy is essential for the functioning of our society. Therefore, energy and balancing markets of power grids are strictly regulated. With changes in technology, the economy and society, these regulations are also constantly adapted. However, whether these regulatory changes lead to the intended results is not easy to assess. Could eXplainable Artificial Intelligence (XAI) models distinguish regulatory settings and support the understanding of the effects of these changes? In this article, we explore two examples of regulatory changes: The splitting of the German-Austrian bidding zone and changes in the pricing schemes of the German balancing energy market. We find that boosted tree models and feedforward neural networks before and after a regulatory change differ in their respective parametrizations. Using Shapley additive explanations, we reveal model differences, e.g., in terms of feature importance, and identify key features of these distinct models. With this study, we demonstrate how XAI can be applied to investigate system changes in power systems.","author":[{"dropping-particle":"","family":"Pütz","given":"Sebastian","non-dropping-particle":"","parse-names":false,"suffix":""},{"dropping-particle":"","family":"Kruse","given":"Johannes","non-dropping-particle":"","parse-names":false,"suffix":""},{"dropping-particle":"","family":"Witthaut","given":"Dirk","non-dropping-particle":"","parse-names":false,"suffix":""},{"dropping-particle":"","family":"Hagenmeyer","given":"Veit","non-dropping-particle":"","parse-names":false,"suffix":""},{"dropping-particle":"","family":"Schäfer","given":"Benjamin","non-dropping-particle":"","parse-names":false,"suffix":""}],"container-title":"e-Energy 2023 Companion - Proceedings of the 14th ACM International Conference on Future Energy Systems","id":"ITEM-1","issued":{"date-parts":[["2023","6","20"]]},"page":"26-31","publisher":"Association for Computing Machinery, Inc","title":"Regulatory Changes in German and Austrian Power Systems Explored with Explainable Artificial Intelligence","type":"article-journal"},"uris":["http://www.mendeley.com/documents/?uuid=43ed3284-08d1-3f14-b039-0886c0002e35"]}],"mendeley":{"formattedCitation":"[124]","plainTextFormattedCitation":"[124]","previouslyFormattedCitation":"[124]"},"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[124]</w:t>
      </w:r>
      <w:r w:rsidR="006326DB" w:rsidRPr="003676D3">
        <w:rPr>
          <w:rFonts w:ascii="Times New Roman" w:hAnsi="Times New Roman" w:cs="Times New Roman"/>
          <w:sz w:val="24"/>
          <w:szCs w:val="24"/>
        </w:rPr>
        <w:fldChar w:fldCharType="end"/>
      </w:r>
      <w:r w:rsidR="00E7634E" w:rsidRPr="003676D3">
        <w:rPr>
          <w:rFonts w:ascii="Times New Roman" w:hAnsi="Times New Roman" w:cs="Times New Roman"/>
          <w:sz w:val="24"/>
          <w:szCs w:val="24"/>
        </w:rPr>
        <w:t xml:space="preserve">. </w:t>
      </w:r>
    </w:p>
    <w:p w14:paraId="3950FE51" w14:textId="0D6BCE98" w:rsidR="00E7634E" w:rsidRPr="003676D3" w:rsidRDefault="00D77A74"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For smart grid transition, the case study of Netherlands can be taken as reference, which sustains many socio-technological setbacks but continued to evolve. </w:t>
      </w:r>
      <w:r w:rsidR="00402291" w:rsidRPr="003676D3">
        <w:rPr>
          <w:rFonts w:ascii="Times New Roman" w:hAnsi="Times New Roman" w:cs="Times New Roman"/>
          <w:sz w:val="24"/>
          <w:szCs w:val="24"/>
        </w:rPr>
        <w:t xml:space="preserve">In Netherland, </w:t>
      </w:r>
      <w:r w:rsidR="00896CD2" w:rsidRPr="003676D3">
        <w:rPr>
          <w:rFonts w:ascii="Times New Roman" w:hAnsi="Times New Roman" w:cs="Times New Roman"/>
          <w:sz w:val="24"/>
          <w:szCs w:val="24"/>
        </w:rPr>
        <w:t>t</w:t>
      </w:r>
      <w:r w:rsidRPr="003676D3">
        <w:rPr>
          <w:rFonts w:ascii="Times New Roman" w:hAnsi="Times New Roman" w:cs="Times New Roman"/>
          <w:sz w:val="24"/>
          <w:szCs w:val="24"/>
        </w:rPr>
        <w:t>he Dutch national government’s motivation resulted in rapid</w:t>
      </w:r>
      <w:r w:rsidR="00896CD2" w:rsidRPr="003676D3">
        <w:rPr>
          <w:rFonts w:ascii="Times New Roman" w:hAnsi="Times New Roman" w:cs="Times New Roman"/>
          <w:sz w:val="24"/>
          <w:szCs w:val="24"/>
        </w:rPr>
        <w:t xml:space="preserve"> </w:t>
      </w:r>
      <w:r w:rsidRPr="003676D3">
        <w:rPr>
          <w:rFonts w:ascii="Times New Roman" w:hAnsi="Times New Roman" w:cs="Times New Roman"/>
          <w:sz w:val="24"/>
          <w:szCs w:val="24"/>
        </w:rPr>
        <w:t>adaptation of smart grid technology. Consequently, it caught the attention of policymakers and attracted the investment from firms and scientists for R&amp;D. However, the lack of leadership, learning opportunities, regulatory frameworks</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{"citationItems":[{"id":"ITEM-1","itemData":{"ISSN":"0360-5442","author":[{"dropping-particle":"","family":"Shafie-khah","given":"Miadreza","non-dropping-particle":"","parse-names":false,"suffix":""},{"dropping-particle":"","family":"Moghaddam","given":"Mohsen Parsa","non-dropping-particle":"","parse-names":false,"suffix":""},{"dropping-particle":"","family":"Sheikh-El-Eslami","given":"Mohamad Kazem","non-dropping-particle":"","parse-names":false,"suffix":""},{"dropping-particle":"","family":"Rahmani-Andebili","given":"Mehdi","non-dropping-particle":"","parse-names":false,"suffix":""}],"container-title":"Energy","id":"ITEM-1","issue":"1","issued":{"date-parts":[["2012"]]},"page":"139-150","publisher":"Elsevier","title":"Modeling of interactions between market regulations and behavior of plug-in electric vehicle aggregators in a virtual power market environment","type":"article-journal","volume":"40"},"uris":["http://www.mendeley.com/documents/?uuid=8c1203c6-8abc-4d66-ac30-d95af7c926d0"]}],"mendeley":{"formattedCitation":"[123]","plainTextFormattedCitation":"[123]","previouslyFormattedCitation":"[123]"},"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[123]</w:t>
      </w:r>
      <w:r w:rsidR="006326DB"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slowed the smart grid diffusion by stakeholders. </w:t>
      </w:r>
    </w:p>
    <w:p w14:paraId="6E0F4185" w14:textId="2F78D81F" w:rsidR="00AE5731" w:rsidRPr="003676D3" w:rsidRDefault="00AE5731"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energy system is subject to extensive regulation to ensure a secure electricity supply. These regulations are continually reviewed and adjusted</w:t>
      </w:r>
      <w:r w:rsidR="007345F4" w:rsidRPr="003676D3">
        <w:rPr>
          <w:rFonts w:ascii="Times New Roman" w:hAnsi="Times New Roman" w:cs="Times New Roman"/>
          <w:sz w:val="24"/>
          <w:szCs w:val="24"/>
        </w:rPr>
        <w:t xml:space="preserve">. This is because </w:t>
      </w:r>
      <w:r w:rsidR="00E00505" w:rsidRPr="003676D3">
        <w:rPr>
          <w:rFonts w:ascii="Times New Roman" w:hAnsi="Times New Roman" w:cs="Times New Roman"/>
          <w:sz w:val="24"/>
          <w:szCs w:val="24"/>
        </w:rPr>
        <w:t>of the need</w:t>
      </w:r>
      <w:r w:rsidRPr="003676D3">
        <w:rPr>
          <w:rFonts w:ascii="Times New Roman" w:hAnsi="Times New Roman" w:cs="Times New Roman"/>
          <w:sz w:val="24"/>
          <w:szCs w:val="24"/>
        </w:rPr>
        <w:t xml:space="preserve"> to address evolving external </w:t>
      </w:r>
      <w:r w:rsidR="00C81155" w:rsidRPr="003676D3">
        <w:rPr>
          <w:rFonts w:ascii="Times New Roman" w:hAnsi="Times New Roman" w:cs="Times New Roman"/>
          <w:sz w:val="24"/>
          <w:szCs w:val="24"/>
        </w:rPr>
        <w:t xml:space="preserve">economic, technical, </w:t>
      </w:r>
      <w:r w:rsidRPr="003676D3">
        <w:rPr>
          <w:rFonts w:ascii="Times New Roman" w:hAnsi="Times New Roman" w:cs="Times New Roman"/>
          <w:sz w:val="24"/>
          <w:szCs w:val="24"/>
        </w:rPr>
        <w:t xml:space="preserve">or social factors. For </w:t>
      </w:r>
      <w:r w:rsidR="00E00505" w:rsidRPr="003676D3">
        <w:rPr>
          <w:rFonts w:ascii="Times New Roman" w:hAnsi="Times New Roman" w:cs="Times New Roman"/>
          <w:sz w:val="24"/>
          <w:szCs w:val="24"/>
        </w:rPr>
        <w:t>example</w:t>
      </w:r>
      <w:r w:rsidRPr="003676D3">
        <w:rPr>
          <w:rFonts w:ascii="Times New Roman" w:hAnsi="Times New Roman" w:cs="Times New Roman"/>
          <w:sz w:val="24"/>
          <w:szCs w:val="24"/>
        </w:rPr>
        <w:t xml:space="preserve">, </w:t>
      </w:r>
      <w:r w:rsidR="00C81155" w:rsidRPr="003676D3">
        <w:rPr>
          <w:rFonts w:ascii="Times New Roman" w:hAnsi="Times New Roman" w:cs="Times New Roman"/>
          <w:sz w:val="24"/>
          <w:szCs w:val="24"/>
        </w:rPr>
        <w:t>the Germany's electricity system regulation</w:t>
      </w:r>
      <w:r w:rsidRPr="003676D3">
        <w:rPr>
          <w:rFonts w:ascii="Times New Roman" w:hAnsi="Times New Roman" w:cs="Times New Roman"/>
          <w:sz w:val="24"/>
          <w:szCs w:val="24"/>
        </w:rPr>
        <w:t>, particularly the EEG (German Renewable Energy Sources Act), has undergone multiple revisions in th</w:t>
      </w:r>
      <w:r w:rsidR="00836A62" w:rsidRPr="003676D3">
        <w:rPr>
          <w:rFonts w:ascii="Times New Roman" w:hAnsi="Times New Roman" w:cs="Times New Roman"/>
          <w:sz w:val="24"/>
          <w:szCs w:val="24"/>
        </w:rPr>
        <w:t xml:space="preserve">e past decade. These </w:t>
      </w:r>
      <w:r w:rsidRPr="003676D3">
        <w:rPr>
          <w:rFonts w:ascii="Times New Roman" w:hAnsi="Times New Roman" w:cs="Times New Roman"/>
          <w:sz w:val="24"/>
          <w:szCs w:val="24"/>
        </w:rPr>
        <w:t>changes</w:t>
      </w:r>
      <w:r w:rsidR="00836A62" w:rsidRPr="003676D3">
        <w:rPr>
          <w:rFonts w:ascii="Times New Roman" w:hAnsi="Times New Roman" w:cs="Times New Roman"/>
          <w:sz w:val="24"/>
          <w:szCs w:val="24"/>
        </w:rPr>
        <w:t xml:space="preserve"> in regulations</w:t>
      </w:r>
      <w:r w:rsidRPr="003676D3">
        <w:rPr>
          <w:rFonts w:ascii="Times New Roman" w:hAnsi="Times New Roman" w:cs="Times New Roman"/>
          <w:sz w:val="24"/>
          <w:szCs w:val="24"/>
        </w:rPr>
        <w:t xml:space="preserve"> necessitate </w:t>
      </w:r>
      <w:r w:rsidRPr="003676D3">
        <w:rPr>
          <w:rFonts w:ascii="Times New Roman" w:hAnsi="Times New Roman" w:cs="Times New Roman"/>
          <w:sz w:val="24"/>
          <w:szCs w:val="24"/>
        </w:rPr>
        <w:lastRenderedPageBreak/>
        <w:t>careful evaluations</w:t>
      </w:r>
      <w:r w:rsidR="0075375C" w:rsidRPr="003676D3">
        <w:rPr>
          <w:rFonts w:ascii="Times New Roman" w:hAnsi="Times New Roman" w:cs="Times New Roman"/>
          <w:sz w:val="24"/>
          <w:szCs w:val="24"/>
        </w:rPr>
        <w:t xml:space="preserve">. This is done </w:t>
      </w:r>
      <w:r w:rsidR="00E00505" w:rsidRPr="003676D3">
        <w:rPr>
          <w:rFonts w:ascii="Times New Roman" w:hAnsi="Times New Roman" w:cs="Times New Roman"/>
          <w:sz w:val="24"/>
          <w:szCs w:val="24"/>
        </w:rPr>
        <w:t>to</w:t>
      </w:r>
      <w:r w:rsidRPr="003676D3">
        <w:rPr>
          <w:rFonts w:ascii="Times New Roman" w:hAnsi="Times New Roman" w:cs="Times New Roman"/>
          <w:sz w:val="24"/>
          <w:szCs w:val="24"/>
        </w:rPr>
        <w:t xml:space="preserve"> </w:t>
      </w:r>
      <w:r w:rsidR="00836A62" w:rsidRPr="003676D3">
        <w:rPr>
          <w:rFonts w:ascii="Times New Roman" w:hAnsi="Times New Roman" w:cs="Times New Roman"/>
          <w:sz w:val="24"/>
          <w:szCs w:val="24"/>
        </w:rPr>
        <w:t>define</w:t>
      </w:r>
      <w:r w:rsidRPr="003676D3">
        <w:rPr>
          <w:rFonts w:ascii="Times New Roman" w:hAnsi="Times New Roman" w:cs="Times New Roman"/>
          <w:sz w:val="24"/>
          <w:szCs w:val="24"/>
        </w:rPr>
        <w:t xml:space="preserve"> their effectiveness and identify any potential </w:t>
      </w:r>
      <w:r w:rsidR="00E00505" w:rsidRPr="003676D3">
        <w:rPr>
          <w:rFonts w:ascii="Times New Roman" w:hAnsi="Times New Roman" w:cs="Times New Roman"/>
          <w:sz w:val="24"/>
          <w:szCs w:val="24"/>
        </w:rPr>
        <w:t>harmful</w:t>
      </w:r>
      <w:r w:rsidRPr="003676D3">
        <w:rPr>
          <w:rFonts w:ascii="Times New Roman" w:hAnsi="Times New Roman" w:cs="Times New Roman"/>
          <w:sz w:val="24"/>
          <w:szCs w:val="24"/>
        </w:rPr>
        <w:t xml:space="preserve"> consequences. For example, research </w:t>
      </w:r>
      <w:r w:rsidR="00836A62" w:rsidRPr="003676D3">
        <w:rPr>
          <w:rFonts w:ascii="Times New Roman" w:hAnsi="Times New Roman" w:cs="Times New Roman"/>
          <w:sz w:val="24"/>
          <w:szCs w:val="24"/>
        </w:rPr>
        <w:t xml:space="preserve">on electricity market design in Germany </w:t>
      </w:r>
      <w:r w:rsidRPr="003676D3">
        <w:rPr>
          <w:rFonts w:ascii="Times New Roman" w:hAnsi="Times New Roman" w:cs="Times New Roman"/>
          <w:sz w:val="24"/>
          <w:szCs w:val="24"/>
        </w:rPr>
        <w:t>indicates that t</w:t>
      </w:r>
      <w:r w:rsidR="00836A62" w:rsidRPr="003676D3">
        <w:rPr>
          <w:rFonts w:ascii="Times New Roman" w:hAnsi="Times New Roman" w:cs="Times New Roman"/>
          <w:sz w:val="24"/>
          <w:szCs w:val="24"/>
        </w:rPr>
        <w:t xml:space="preserve">he previous design of market encouraged </w:t>
      </w:r>
      <w:r w:rsidRPr="003676D3">
        <w:rPr>
          <w:rFonts w:ascii="Times New Roman" w:hAnsi="Times New Roman" w:cs="Times New Roman"/>
          <w:sz w:val="24"/>
          <w:szCs w:val="24"/>
        </w:rPr>
        <w:t>participants to systematically under-provide energy</w:t>
      </w:r>
      <w:r w:rsidR="0075375C" w:rsidRPr="003676D3">
        <w:rPr>
          <w:rFonts w:ascii="Times New Roman" w:hAnsi="Times New Roman" w:cs="Times New Roman"/>
          <w:sz w:val="24"/>
          <w:szCs w:val="24"/>
        </w:rPr>
        <w:t xml:space="preserve"> which</w:t>
      </w:r>
      <w:r w:rsidRPr="003676D3">
        <w:rPr>
          <w:rFonts w:ascii="Times New Roman" w:hAnsi="Times New Roman" w:cs="Times New Roman"/>
          <w:sz w:val="24"/>
          <w:szCs w:val="24"/>
        </w:rPr>
        <w:t xml:space="preserve"> negatively impact system stability</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{"citationItems":[{"id":"ITEM-1","itemData":{"DOI":"10.1016/J.PATTER.2021.100365","ISSN":"26663899","abstract":"Stable operation of an electric power system requires strict operational limits for the grid frequency. Fluctuations and external impacts can cause large frequency deviations and increased control efforts. Although these complex interdependencies can be modeled using machine learning algorithms, the black box character of many models limits insights and applicability. In this article, we introduce an explainable machine learning model that accurately predicts frequency stability indicators for three European synchronous areas. Using Shapley additive explanations, we identify key features and risk factors for frequency stability. We show how load and generation ramps determine frequency gradients, and we identify three classes of generation technologies with converse impacts. Control efforts vary strongly depending on the grid and time of day and are driven by ramps as well as electricity prices. Notably, renewable power generation is central only in the British grid, while forecasting errors play a major role in the Nordic grid.","author":[{"dropping-particle":"","family":"Kruse","given":"Johannes","non-dropping-particle":"","parse-names":false,"suffix":""},{"dropping-particle":"","family":"Schäfer","given":"Benjamin","non-dropping-particle":"","parse-names":false,"suffix":""},{"dropping-particle":"","family":"Witthaut","given":"Dirk","non-dropping-particle":"","parse-names":false,"suffix":""}],"container-title":"Patterns","id":"ITEM-1","issue":"11","issued":{"date-parts":[["2021","11","12"]]},"publisher":"Cell Press","title":"Revealing drivers and risks for power grid frequency stability with explainable AI","type":"article-journal","volume":"2"},"uris":["http://www.mendeley.com/documents/?uuid=9dbe740f-025f-3304-8ec9-cebd183fe1ee"]},{"id":"ITEM-2","itemData":{"DOI":"10.1007/S11149-021-09430-7","ISSN":"15730468","abstract":"We present an integrated market model which considers the dependencies between the wholesale market and the highly regulated balancing power markets. This fosters the understanding of the mechanisms of these markets and, thus, allows the evaluation of the designs of these markets and their interplay. In contrast to existing literature, in our model the prices on the different markets are interdependent and endogenously determined, which also applies to the switch from inframarginal suppliers to extramarginal suppliers. Linked to this, the implementation of a specific assignment of the suppliers to the different markets is according to their production costs and their ability to provide balancing power. We prove the existence of a market equilibrium, analyze its outcome and contrast this with German market data. Based on this model, we assess design changes, partly stipulated by recent European regulation. This includes uniform pricing as a common settlement rule (effect: no truthful bidding in general), standardized prequalification criteria (promising measure for cost reduction), market flexibilization via “free energy bids” (no increased competition) and the alternative score “mixed-price rule” (no effect on the equilibrium).","author":[{"dropping-particle":"","family":"Ehrhart","given":"Karl Martin","non-dropping-particle":"","parse-names":false,"suffix":""},{"dropping-particle":"","family":"Ocker","given":"Fabian","non-dropping-particle":"","parse-names":false,"suffix":""}],"container-title":"Journal of Regulatory Economics","id":"ITEM-2","issue":"1","issued":{"date-parts":[["2021","8","1"]]},"page":"55-73","publisher":"Springer","title":"Design and regulation of balancing power auctions: an integrated market model approach","type":"article-journal","volume":"60"},"uris":["http://www.mendeley.com/documents/?uuid=36848faf-bc22-37f0-9e15-714ee52d2553"]},{"id":"ITEM-3","itemData":{"DOI":"10.1016/J.ENECO.2021.105455","ISSN":"01409883","abstract":"Frequency stability requires equalizing supply and demand for electricity at short time scales. Such electricity balancing is often understood as a sequential process in which random shocks, such as weather events, cause imbalances that system operators close by activating balancing reserves. By contrast, we study electricity balancing as a market where the equilibrium price (imbalance price) and quantity (system imbalance) are determined by supply and demand. System operators supply imbalance energy by activating reserves; market parties that, deliberately or not, deviate from schedules create a demand for imbalance energy. The incentives for deliberate strategic deviations emerge from wholesale market prices and the imbalance price. We empirically estimate the demand curve of imbalance energy, which describes how sensitive market parties are to imbalance prices. To overcome the classical endogeneity problem of price and quantity, we deploy instruments derived from a novel theoretical framework. Using data from Germany, we find a decline in the demand for imbalance energy by 2.2 MW for each increase in the imbalance price by EUR 1 per MWh. This significant price response is remarkable because the German regulator prohibits strategic deviations. We also estimate cross-market equilibriums between intraday and imbalance markets, finding that a shock to the imbalance price triggers a subsequent adjustment of the intraday price.","author":[{"dropping-particle":"","family":"Eicke","given":"Anselm","non-dropping-particle":"","parse-names":false,"suffix":""},{"dropping-particle":"","family":"Ruhnau","given":"Oliver","non-dropping-particle":"","parse-names":false,"suffix":""},{"dropping-particle":"","family":"Hirth","given":"Lion","non-dropping-particle":"","parse-names":false,"suffix":""}],"container-title":"Energy Economics","id":"ITEM-3","issued":{"date-parts":[["2021","10","1"]]},"publisher":"Elsevier B.V.","title":"Electricity balancing as a market equilibrium: An instrument-based estimation of supply and demand for imbalance energy","type":"article-journal","volume":"102"},"uris":["http://www.mendeley.com/documents/?uuid=de37540b-6c07-3813-a1e1-21bdbf2d431b"]}],"mendeley":{"formattedCitation":"[125–127]","plainTextFormattedCitation":"[125–127]","previouslyFormattedCitation":"[125–127]"},"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[125–127]</w:t>
      </w:r>
      <w:r w:rsidR="006326DB"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p>
    <w:p w14:paraId="3B54E9AD" w14:textId="54804791" w:rsidR="0062682E" w:rsidRPr="003676D3" w:rsidRDefault="00D77A74"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action plan should have been to involve corporate sector and relevant stakeholders like energy communities into the policymaking. Also, upgradation of the grid to incorporate smart technologies, should be emphasized in the legislation. Turning smart grids into super smart grids can only be possible with the involvement of innovative entrepreneurs</w:t>
      </w:r>
      <w:r w:rsidR="007D65CB" w:rsidRPr="003676D3">
        <w:rPr>
          <w:rFonts w:ascii="Times New Roman" w:hAnsi="Times New Roman" w:cs="Times New Roman"/>
          <w:sz w:val="24"/>
          <w:szCs w:val="24"/>
        </w:rPr>
        <w:t xml:space="preserve"> and technological start-ups</w:t>
      </w:r>
      <w:r w:rsidRPr="003676D3">
        <w:rPr>
          <w:rFonts w:ascii="Times New Roman" w:hAnsi="Times New Roman" w:cs="Times New Roman"/>
          <w:sz w:val="24"/>
          <w:szCs w:val="24"/>
        </w:rPr>
        <w:t xml:space="preserve"> in the process. They can be supported through legislation, transparent regulations and robust economic policy instruments</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{"citationItems":[{"id":"ITEM-1","itemData":{"DOI":"10.1016/J.ENPOL.2021.112382","ISSN":"0301-4215","abstract":"Regulatory experimentation is a novel approach to enable innovation in the energy sector, while maintaining the protection of consumers. We define regulatory experimentation as a temporary removal of regulatory barriers. This can be in the form of a derogation from a rule, but it can also mean assigning responsibility to players to conduct activities that they are normally not allowed to engage in. The outcomes of regulatory experiments inform future regulation. In this paper, we discuss experiences with regulatory experimentation in the energy sector of three pioneering countries: the Netherlands, Great Britain, and Italy. We compare the implementations along six design dimensions: eligible project promoters, scope of the derogations, length of the derogations, administration of the experiments, the access to public funding, and transparency. We also discuss how the early approaches have evolved in these countries. Finally, we look ahead and discuss how regulatory experimentation can evolve in the future European context to contribute to the green transition.","author":[{"dropping-particle":"","family":"Schittekatte","given":"Tim","non-dropping-particle":"","parse-names":false,"suffix":""},{"dropping-particle":"","family":"Meeus","given":"Leonardo","non-dropping-particle":"","parse-names":false,"suffix":""},{"dropping-particle":"","family":"Jamasb","given":"Tooraj","non-dropping-particle":"","parse-names":false,"suffix":""},{"dropping-particle":"","family":"Llorca","given":"Manuel","non-dropping-particle":"","parse-names":false,"suffix":""}],"container-title":"Energy Policy","id":"ITEM-1","issued":{"date-parts":[["2021","9","1"]]},"page":"112382","publisher":"Elsevier","title":"Regulatory experimentation in energy: Three pioneer countries and lessons for the green transition","type":"article-journal","volume":"156"},"uris":["http://www.mendeley.com/documents/?uuid=342cf991-e5f2-3db6-a101-2adc7e01bae5"]}],"mendeley":{"formattedCitation":"[128]","plainTextFormattedCitation":"[128]","previouslyFormattedCitation":"[128]"},"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[128]</w:t>
      </w:r>
      <w:r w:rsidR="006326DB" w:rsidRPr="003676D3">
        <w:rPr>
          <w:rFonts w:ascii="Times New Roman" w:hAnsi="Times New Roman" w:cs="Times New Roman"/>
          <w:sz w:val="24"/>
          <w:szCs w:val="24"/>
        </w:rPr>
        <w:fldChar w:fldCharType="end"/>
      </w:r>
      <w:r w:rsidR="00AE5338" w:rsidRPr="003676D3">
        <w:rPr>
          <w:rFonts w:ascii="Times New Roman" w:hAnsi="Times New Roman" w:cs="Times New Roman"/>
          <w:sz w:val="24"/>
          <w:szCs w:val="24"/>
        </w:rPr>
        <w:t>.</w:t>
      </w:r>
      <w:r w:rsidR="0062682E" w:rsidRPr="003676D3">
        <w:rPr>
          <w:rFonts w:ascii="Times New Roman" w:hAnsi="Times New Roman" w:cs="Times New Roman"/>
          <w:sz w:val="24"/>
          <w:szCs w:val="24"/>
        </w:rPr>
        <w:t xml:space="preserve"> </w:t>
      </w:r>
    </w:p>
    <w:p w14:paraId="6873D658" w14:textId="726754C7" w:rsidR="008C530B" w:rsidRPr="003676D3" w:rsidRDefault="008C530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In order to </w:t>
      </w:r>
      <w:r w:rsidR="00836A62" w:rsidRPr="003676D3">
        <w:rPr>
          <w:rFonts w:ascii="Times New Roman" w:hAnsi="Times New Roman" w:cs="Times New Roman"/>
          <w:sz w:val="24"/>
          <w:szCs w:val="24"/>
        </w:rPr>
        <w:t>facilitate the</w:t>
      </w:r>
      <w:r w:rsidRPr="003676D3">
        <w:rPr>
          <w:rFonts w:ascii="Times New Roman" w:hAnsi="Times New Roman" w:cs="Times New Roman"/>
          <w:sz w:val="24"/>
          <w:szCs w:val="24"/>
        </w:rPr>
        <w:t xml:space="preserve"> innovation</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{"citationItems":[{"id":"ITEM-1","itemData":{"DOI":"10.1093/SCIPOL/SCR008","ISSN":"0302-3427","abstract":"Systemic policy instruments are receiving increased attention among innovation scholars as a means to stimulate sustainability oriented technological innovation. The instruments are called systemic in the expectation that they will improve the functioning of entire (innovation) systems. A first step in designing systemic instruments is an analysis of the systemic problems that hinder the development of a specific technological trajectory. This paper argues that two approaches to studying innovation systems-structural and functional analyses-can be combined in a systemic policy framework that helps to first, identify the systemic problems; and second, to suggest the systemic instruments that would address these problems. © The Author 2012. Published by Oxford University Press. All rights reserved.","author":[{"dropping-particle":"","family":"Wieczorek","given":"Anna J.","non-dropping-particle":"","parse-names":false,"suffix":""},{"dropping-particle":"","family":"Hekkert","given":"Marko P.","non-dropping-particle":"","parse-names":false,"suffix":""}],"container-title":"Science and Public Policy","id":"ITEM-1","issue":"1","issued":{"date-parts":[["2012","2","1"]]},"page":"74-87","publisher":"Beech Tree Publishing","title":"Systemic instruments for systemic innovation problems: a framework for policy makers and innovation scholars","type":"article-journal","volume":"39"},"uris":["http://www.mendeley.com/documents/?uuid=216b5139-fa3f-335c-9ce9-32404c6c8ec2"]}],"mendeley":{"formattedCitation":"[122]","plainTextFormattedCitation":"[122]","previouslyFormattedCitation":"[122]"},"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[122]</w:t>
      </w:r>
      <w:r w:rsidR="006326DB" w:rsidRPr="003676D3">
        <w:rPr>
          <w:rFonts w:ascii="Times New Roman" w:hAnsi="Times New Roman" w:cs="Times New Roman"/>
          <w:sz w:val="24"/>
          <w:szCs w:val="24"/>
        </w:rPr>
        <w:fldChar w:fldCharType="end"/>
      </w:r>
      <w:r w:rsidR="00836A62" w:rsidRPr="003676D3">
        <w:rPr>
          <w:rFonts w:ascii="Times New Roman" w:hAnsi="Times New Roman" w:cs="Times New Roman"/>
          <w:sz w:val="24"/>
          <w:szCs w:val="24"/>
        </w:rPr>
        <w:t xml:space="preserve"> by</w:t>
      </w:r>
      <w:r w:rsidRPr="003676D3">
        <w:rPr>
          <w:rFonts w:ascii="Times New Roman" w:hAnsi="Times New Roman" w:cs="Times New Roman"/>
          <w:sz w:val="24"/>
          <w:szCs w:val="24"/>
        </w:rPr>
        <w:t xml:space="preserve"> network companies, regulators found it necessary to </w:t>
      </w:r>
      <w:r w:rsidR="00836A62" w:rsidRPr="003676D3">
        <w:rPr>
          <w:rFonts w:ascii="Times New Roman" w:hAnsi="Times New Roman" w:cs="Times New Roman"/>
          <w:sz w:val="24"/>
          <w:szCs w:val="24"/>
        </w:rPr>
        <w:t>review</w:t>
      </w:r>
      <w:r w:rsidRPr="003676D3">
        <w:rPr>
          <w:rFonts w:ascii="Times New Roman" w:hAnsi="Times New Roman" w:cs="Times New Roman"/>
          <w:sz w:val="24"/>
          <w:szCs w:val="24"/>
        </w:rPr>
        <w:t xml:space="preserve"> their regulatory frameworks. </w:t>
      </w:r>
      <w:r w:rsidR="00836A62" w:rsidRPr="003676D3">
        <w:rPr>
          <w:rFonts w:ascii="Times New Roman" w:hAnsi="Times New Roman" w:cs="Times New Roman"/>
          <w:sz w:val="24"/>
          <w:szCs w:val="24"/>
        </w:rPr>
        <w:t>Conventionally</w:t>
      </w:r>
      <w:r w:rsidRPr="003676D3">
        <w:rPr>
          <w:rFonts w:ascii="Times New Roman" w:hAnsi="Times New Roman" w:cs="Times New Roman"/>
          <w:sz w:val="24"/>
          <w:szCs w:val="24"/>
        </w:rPr>
        <w:t xml:space="preserve">, the </w:t>
      </w:r>
      <w:r w:rsidR="00836A62" w:rsidRPr="003676D3">
        <w:rPr>
          <w:rFonts w:ascii="Times New Roman" w:hAnsi="Times New Roman" w:cs="Times New Roman"/>
          <w:sz w:val="24"/>
          <w:szCs w:val="24"/>
        </w:rPr>
        <w:t>principal</w:t>
      </w:r>
      <w:r w:rsidRPr="003676D3">
        <w:rPr>
          <w:rFonts w:ascii="Times New Roman" w:hAnsi="Times New Roman" w:cs="Times New Roman"/>
          <w:sz w:val="24"/>
          <w:szCs w:val="24"/>
        </w:rPr>
        <w:t xml:space="preserve"> focus of monopoly regulation was cost reduction, achieved in various count</w:t>
      </w:r>
      <w:r w:rsidR="00836A62" w:rsidRPr="003676D3">
        <w:rPr>
          <w:rFonts w:ascii="Times New Roman" w:hAnsi="Times New Roman" w:cs="Times New Roman"/>
          <w:sz w:val="24"/>
          <w:szCs w:val="24"/>
        </w:rPr>
        <w:t xml:space="preserve">ries by transitioning from cost </w:t>
      </w:r>
      <w:r w:rsidR="002D2AB0" w:rsidRPr="003676D3">
        <w:rPr>
          <w:rFonts w:ascii="Times New Roman" w:hAnsi="Times New Roman" w:cs="Times New Roman"/>
          <w:sz w:val="24"/>
          <w:szCs w:val="24"/>
        </w:rPr>
        <w:t>plus to regulations based on incentives</w:t>
      </w:r>
      <w:r w:rsidRPr="003676D3">
        <w:rPr>
          <w:rFonts w:ascii="Times New Roman" w:hAnsi="Times New Roman" w:cs="Times New Roman"/>
          <w:sz w:val="24"/>
          <w:szCs w:val="24"/>
        </w:rPr>
        <w:t xml:space="preserve">. However, to efficiently integrate increasing renewables and maximize opportunities presented by digitalization, additional incentives for innovation uptake became essential. </w:t>
      </w:r>
      <w:r w:rsidR="002D2AB0" w:rsidRPr="003676D3">
        <w:rPr>
          <w:rFonts w:ascii="Times New Roman" w:hAnsi="Times New Roman" w:cs="Times New Roman"/>
          <w:sz w:val="24"/>
          <w:szCs w:val="24"/>
        </w:rPr>
        <w:t>Instances</w:t>
      </w:r>
      <w:r w:rsidRPr="003676D3">
        <w:rPr>
          <w:rFonts w:ascii="Times New Roman" w:hAnsi="Times New Roman" w:cs="Times New Roman"/>
          <w:sz w:val="24"/>
          <w:szCs w:val="24"/>
        </w:rPr>
        <w:t xml:space="preserve"> of such regulatory mechanisms include output regulation, incentivizing </w:t>
      </w:r>
      <w:r w:rsidR="002D2AB0" w:rsidRPr="003676D3">
        <w:rPr>
          <w:rFonts w:ascii="Times New Roman" w:hAnsi="Times New Roman" w:cs="Times New Roman"/>
          <w:sz w:val="24"/>
          <w:szCs w:val="24"/>
        </w:rPr>
        <w:t xml:space="preserve">the </w:t>
      </w:r>
      <w:r w:rsidRPr="003676D3">
        <w:rPr>
          <w:rFonts w:ascii="Times New Roman" w:hAnsi="Times New Roman" w:cs="Times New Roman"/>
          <w:sz w:val="24"/>
          <w:szCs w:val="24"/>
        </w:rPr>
        <w:t>investments with higher returns</w:t>
      </w:r>
      <w:r w:rsidR="002D2AB0" w:rsidRPr="003676D3">
        <w:rPr>
          <w:rFonts w:ascii="Times New Roman" w:hAnsi="Times New Roman" w:cs="Times New Roman"/>
          <w:sz w:val="24"/>
          <w:szCs w:val="24"/>
        </w:rPr>
        <w:t xml:space="preserve"> in innovative network</w:t>
      </w:r>
      <w:r w:rsidRPr="003676D3">
        <w:rPr>
          <w:rFonts w:ascii="Times New Roman" w:hAnsi="Times New Roman" w:cs="Times New Roman"/>
          <w:sz w:val="24"/>
          <w:szCs w:val="24"/>
        </w:rPr>
        <w:t>, and fostering competition for innovation grants</w:t>
      </w:r>
      <w:r w:rsidR="006326DB" w:rsidRPr="003676D3">
        <w:rPr>
          <w:rFonts w:ascii="Times New Roman" w:hAnsi="Times New Roman" w:cs="Times New Roman"/>
          <w:sz w:val="24"/>
          <w:szCs w:val="24"/>
        </w:rPr>
        <w:t xml:space="preserve"> </w:t>
      </w:r>
      <w:r w:rsidR="006326DB" w:rsidRPr="003676D3">
        <w:rPr>
          <w:rFonts w:ascii="Times New Roman" w:hAnsi="Times New Roman" w:cs="Times New Roman"/>
          <w:sz w:val="24"/>
          <w:szCs w:val="24"/>
        </w:rPr>
        <w:fldChar w:fldCharType="begin" w:fldLock="1"/>
      </w:r>
      <w:r w:rsidR="006326DB" w:rsidRPr="003676D3">
        <w:rPr>
          <w:rFonts w:ascii="Times New Roman" w:hAnsi="Times New Roman" w:cs="Times New Roman"/>
          <w:sz w:val="24"/>
          <w:szCs w:val="24"/>
        </w:rPr>
        <w:instrText>ADDIN CSL_CITATION {"citationItems":[{"id":"ITEM-1","itemData":{"DOI":"10.22439/csei.pb.008","author":[{"dropping-particle":"","family":"Jamasb","given":"Tooraj ;","non-dropping-particle":"","parse-names":false,"suffix":""},{"dropping-particle":"","family":"Llorca","given":"Manuel ;","non-dropping-particle":"","parse-names":false,"suffix":""},{"dropping-particle":"","family":"Meeus","given":"Leonardo ;","non-dropping-particle":"","parse-names":false,"suffix":""},{"dropping-particle":"","family":"Schittekatte","given":"Tim","non-dropping-particle":"","parse-names":false,"suffix":""}],"id":"ITEM-1","issued":{"date-parts":[["0"]]},"title":"Energy Network Innovation for Green Transition Economic Issues and Regulatory Options","type":"article-journal"},"uris":["http://www.mendeley.com/documents/?uuid=4ea280fa-a246-34b3-9186-0a41009a5260"]}],"mendeley":{"formattedCitation":"[129]","plainTextFormattedCitation":"[129]","previouslyFormattedCitation":"[129]"},"properties":{"noteIndex":0},"schema":"https://github.com/citation-style-language/schema/raw/master/csl-citation.json"}</w:instrText>
      </w:r>
      <w:r w:rsidR="006326DB" w:rsidRPr="003676D3">
        <w:rPr>
          <w:rFonts w:ascii="Times New Roman" w:hAnsi="Times New Roman" w:cs="Times New Roman"/>
          <w:sz w:val="24"/>
          <w:szCs w:val="24"/>
        </w:rPr>
        <w:fldChar w:fldCharType="separate"/>
      </w:r>
      <w:r w:rsidR="006326DB" w:rsidRPr="003676D3">
        <w:rPr>
          <w:rFonts w:ascii="Times New Roman" w:hAnsi="Times New Roman" w:cs="Times New Roman"/>
          <w:noProof/>
          <w:sz w:val="24"/>
          <w:szCs w:val="24"/>
        </w:rPr>
        <w:t>[129]</w:t>
      </w:r>
      <w:r w:rsidR="006326DB" w:rsidRPr="003676D3">
        <w:rPr>
          <w:rFonts w:ascii="Times New Roman" w:hAnsi="Times New Roman" w:cs="Times New Roman"/>
          <w:sz w:val="24"/>
          <w:szCs w:val="24"/>
        </w:rPr>
        <w:fldChar w:fldCharType="end"/>
      </w:r>
      <w:r w:rsidR="006326DB" w:rsidRPr="003676D3">
        <w:rPr>
          <w:rFonts w:ascii="Times New Roman" w:hAnsi="Times New Roman" w:cs="Times New Roman"/>
          <w:sz w:val="24"/>
          <w:szCs w:val="24"/>
        </w:rPr>
        <w:t>.</w:t>
      </w:r>
    </w:p>
    <w:p w14:paraId="4E3973A6" w14:textId="2C2A81E1" w:rsidR="006326DB" w:rsidRPr="003676D3" w:rsidRDefault="00263862" w:rsidP="003676D3">
      <w:pPr>
        <w:pStyle w:val="NormalWeb"/>
        <w:spacing w:line="276" w:lineRule="auto"/>
        <w:jc w:val="both"/>
      </w:pPr>
      <w:r w:rsidRPr="003676D3">
        <w:t xml:space="preserve">Among energy regulators, the </w:t>
      </w:r>
      <w:r w:rsidR="006326DB" w:rsidRPr="003676D3">
        <w:t>regulatory experimentation remains relatively underutilized</w:t>
      </w:r>
      <w:r w:rsidRPr="003676D3">
        <w:t xml:space="preserve">. Still, </w:t>
      </w:r>
      <w:r w:rsidR="00DD0FB4" w:rsidRPr="003676D3">
        <w:t>instead of</w:t>
      </w:r>
      <w:r w:rsidR="006326DB" w:rsidRPr="003676D3">
        <w:t xml:space="preserve"> repla</w:t>
      </w:r>
      <w:r w:rsidR="00DD0FB4" w:rsidRPr="003676D3">
        <w:t>cing</w:t>
      </w:r>
      <w:r w:rsidR="006326DB" w:rsidRPr="003676D3">
        <w:t xml:space="preserve"> </w:t>
      </w:r>
      <w:r w:rsidR="00DD0FB4" w:rsidRPr="003676D3">
        <w:t>the</w:t>
      </w:r>
      <w:r w:rsidR="006326DB" w:rsidRPr="003676D3">
        <w:t xml:space="preserve"> traditional regulatory methods in fostering </w:t>
      </w:r>
      <w:r w:rsidR="002D2AB0" w:rsidRPr="003676D3">
        <w:t>innovation</w:t>
      </w:r>
      <w:r w:rsidR="00DD0FB4" w:rsidRPr="003676D3">
        <w:t>, they enhance it</w:t>
      </w:r>
      <w:r w:rsidR="002D2AB0" w:rsidRPr="003676D3">
        <w:t xml:space="preserve">. </w:t>
      </w:r>
      <w:r w:rsidR="006326DB" w:rsidRPr="003676D3">
        <w:t>The insights gained from such experiments help bridge the information gap between regulators and innovators</w:t>
      </w:r>
      <w:r w:rsidR="00DD0FB4" w:rsidRPr="003676D3">
        <w:t xml:space="preserve"> which help in</w:t>
      </w:r>
      <w:r w:rsidR="006326DB" w:rsidRPr="003676D3">
        <w:t xml:space="preserve"> the revision of exis</w:t>
      </w:r>
      <w:r w:rsidR="002D2AB0" w:rsidRPr="003676D3">
        <w:t xml:space="preserve">ting regulations </w:t>
      </w:r>
      <w:r w:rsidR="00DD0FB4" w:rsidRPr="003676D3">
        <w:t>and also helps in</w:t>
      </w:r>
      <w:r w:rsidR="002D2AB0" w:rsidRPr="003676D3">
        <w:t xml:space="preserve"> the formulation</w:t>
      </w:r>
      <w:r w:rsidR="006326DB" w:rsidRPr="003676D3">
        <w:t xml:space="preserve"> of </w:t>
      </w:r>
      <w:r w:rsidR="002D2AB0" w:rsidRPr="003676D3">
        <w:t>innovative</w:t>
      </w:r>
      <w:r w:rsidR="006326DB" w:rsidRPr="003676D3">
        <w:t xml:space="preserve"> ones.</w:t>
      </w:r>
    </w:p>
    <w:p w14:paraId="0D167E99" w14:textId="1B4D5E7B" w:rsidR="006326DB" w:rsidRPr="003676D3" w:rsidRDefault="006326DB" w:rsidP="003676D3">
      <w:pPr>
        <w:pStyle w:val="NormalWeb"/>
        <w:spacing w:line="276" w:lineRule="auto"/>
        <w:jc w:val="both"/>
      </w:pPr>
      <w:r w:rsidRPr="003676D3">
        <w:t>In only a few Member States, regulatory frameworks for network companies include specific compensation for innovation</w:t>
      </w:r>
      <w:r w:rsidR="00DD0FB4" w:rsidRPr="003676D3">
        <w:t>.</w:t>
      </w:r>
      <w:r w:rsidRPr="003676D3">
        <w:t xml:space="preserve"> </w:t>
      </w:r>
      <w:r w:rsidR="00DD0FB4" w:rsidRPr="003676D3">
        <w:t>This</w:t>
      </w:r>
      <w:r w:rsidRPr="003676D3">
        <w:t xml:space="preserve"> can incentivize innovation by reducing financial risk for Distribution System Operators (DSOs). DSOs, subject to economic regulation, face the risk of not recovering costs if </w:t>
      </w:r>
      <w:r w:rsidR="00DD0FB4" w:rsidRPr="003676D3">
        <w:t>the</w:t>
      </w:r>
      <w:r w:rsidRPr="003676D3">
        <w:t xml:space="preserve"> projects fail</w:t>
      </w:r>
      <w:r w:rsidR="00DD0FB4" w:rsidRPr="003676D3">
        <w:t>. This is especially true for</w:t>
      </w:r>
      <w:r w:rsidRPr="003676D3">
        <w:t xml:space="preserve"> large-scale demonstrations that </w:t>
      </w:r>
      <w:r w:rsidR="00DD0FB4" w:rsidRPr="003676D3">
        <w:t>are subject to</w:t>
      </w:r>
      <w:r w:rsidRPr="003676D3">
        <w:t xml:space="preserve"> high risks and costs </w:t>
      </w:r>
      <w:r w:rsidRPr="003676D3">
        <w:fldChar w:fldCharType="begin" w:fldLock="1"/>
      </w:r>
      <w:r w:rsidRPr="003676D3">
        <w:instrText>ADDIN CSL_CITATION {"citationItems":[{"id":"ITEM-1","itemData":{"DOI":"10.2760/15583","ISBN":"978-92-79-68899-7","ISSN":"1018-5593","author":[{"dropping-particle":"","family":"GANGALE","given":"Flavia","non-dropping-particle":"","parse-names":false,"suffix":""},{"dropping-particle":"","family":"VASILJEVSKA","given":"Julija","non-dropping-particle":"","parse-names":false,"suffix":""},{"dropping-particle":"","family":"COVRIG","given":"Catalin-Felix","non-dropping-particle":"","parse-names":false,"suffix":""},{"dropping-particle":"","family":"MENGOLINI","given":"Anna Maria","non-dropping-particle":"","parse-names":false,"suffix":""},{"dropping-particle":"","family":"FULLI","given":"Gianluca","non-dropping-particle":"","parse-names":false,"suffix":""}],"id":"ITEM-1","issued":{"date-parts":[["0"]]},"title":"Smart grid projects outlook 2017: facts, figures and trends in Europe","type":"article-journal"},"uris":["http://www.mendeley.com/documents/?uuid=80052136-8827-3f68-ab54-d5174523d764"]}],"mendeley":{"formattedCitation":"[78]","plainTextFormattedCitation":"[78]","previouslyFormattedCitation":"[78]"},"properties":{"noteIndex":0},"schema":"https://github.com/citation-style-language/schema/raw/master/csl-citation.json"}</w:instrText>
      </w:r>
      <w:r w:rsidRPr="003676D3">
        <w:fldChar w:fldCharType="separate"/>
      </w:r>
      <w:r w:rsidRPr="003676D3">
        <w:rPr>
          <w:noProof/>
        </w:rPr>
        <w:t>[78]</w:t>
      </w:r>
      <w:r w:rsidRPr="003676D3">
        <w:fldChar w:fldCharType="end"/>
      </w:r>
      <w:r w:rsidRPr="003676D3">
        <w:t>. To accelerate smart grid development, it</w:t>
      </w:r>
      <w:r w:rsidR="00DD0FB4" w:rsidRPr="003676D3">
        <w:t xml:space="preserve"> is</w:t>
      </w:r>
      <w:r w:rsidRPr="003676D3">
        <w:t xml:space="preserve"> essential to fund </w:t>
      </w:r>
      <w:r w:rsidR="00DD0FB4" w:rsidRPr="003676D3">
        <w:t>these</w:t>
      </w:r>
      <w:r w:rsidRPr="003676D3">
        <w:t xml:space="preserve"> projects through special mechanisms rather than relying solely on the regular regulatory framework.</w:t>
      </w:r>
    </w:p>
    <w:p w14:paraId="07EAE989" w14:textId="4541CDAD" w:rsidR="00EF6E48" w:rsidRPr="003676D3" w:rsidRDefault="006326DB" w:rsidP="003676D3">
      <w:pPr>
        <w:pStyle w:val="NormalWeb"/>
        <w:spacing w:line="276" w:lineRule="auto"/>
        <w:jc w:val="both"/>
      </w:pPr>
      <w:r w:rsidRPr="003676D3">
        <w:t xml:space="preserve">To </w:t>
      </w:r>
      <w:r w:rsidR="00EF6E48" w:rsidRPr="003676D3">
        <w:t>attract</w:t>
      </w:r>
      <w:r w:rsidRPr="003676D3">
        <w:t xml:space="preserve"> new market players and activities, regulators often utilize waivers as a key instrument. These waivers </w:t>
      </w:r>
      <w:r w:rsidR="004B1918" w:rsidRPr="003676D3">
        <w:t>specify</w:t>
      </w:r>
      <w:r w:rsidR="00EF6E48" w:rsidRPr="003676D3">
        <w:t xml:space="preserve"> the</w:t>
      </w:r>
      <w:r w:rsidRPr="003676D3">
        <w:t xml:space="preserve"> exemptions for specific </w:t>
      </w:r>
      <w:r w:rsidR="002D2AB0" w:rsidRPr="003676D3">
        <w:t xml:space="preserve">actions or types of </w:t>
      </w:r>
      <w:r w:rsidR="009E094F" w:rsidRPr="003676D3">
        <w:t>stakeholders</w:t>
      </w:r>
      <w:r w:rsidRPr="003676D3">
        <w:t xml:space="preserve">. They are explicitly granted by regulatory decisions and may be revisited once the innovation has matured sufficiently. Additionally, waivers can also be granted when regulators choose to overlook new activities or actors. For instance, in the case of wind and solar generators, </w:t>
      </w:r>
      <w:r w:rsidR="00EF6E48" w:rsidRPr="003676D3">
        <w:t xml:space="preserve">in 2013, </w:t>
      </w:r>
      <w:r w:rsidRPr="003676D3">
        <w:t xml:space="preserve">some European Union Member States waived financial obligations for balancing, as reported by the European Commission </w:t>
      </w:r>
      <w:r w:rsidRPr="003676D3">
        <w:fldChar w:fldCharType="begin" w:fldLock="1"/>
      </w:r>
      <w:r w:rsidR="004C03B2" w:rsidRPr="003676D3">
        <w:instrText>ADDIN CSL_CITATION {"citationItems":[{"id":"ITEM-1","itemData":{"URL":"https://energy.ec.europa.eu/topics/renewable-energy/financing/support-schemes-renewable-energy_en","accessed":{"date-parts":[["2024","5","31"]]},"author":[{"dropping-particle":"","family":"Union","given":"Publications Office of the European","non-dropping-particle":"","parse-names":false,"suffix":""}],"id":"ITEM-1","issued":{"date-parts":[["0"]]},"title":"Support schemes for renewable energy","type":"webpage"},"uris":["http://www.mendeley.com/documents/?uuid=7b56a45c-c50a-32fc-aeb4-d5939986e11c"]},{"id":"ITEM-2","itemData":{"URL":"https://energy.ec.europa.eu/publications/european-commission-guidance-design-renewables-support-schemes-swd2013-439_en","accessed":{"date-parts":[["2024","5","31"]]},"author":[{"dropping-particle":"","family":"Union","given":"Publications Office of the European","non-dropping-particle":"","parse-names":false,"suffix":""}],"id":"ITEM-2","issued":{"date-parts":[["2024"]]},"title":"European Commission guidance for the design of renewables support schemes [SWD(2013) 439] - European Commission","type":"webpage"},"uris":["http://www.mendeley.com/documents/?uuid=bb92360b-139b-3218-a9d6-82e53ff33c1d"]}],"mendeley":{"formattedCitation":"[130,131]","plainTextFormattedCitation":"[130,131]","previouslyFormattedCitation":"[130,131]"},"properties":{"noteIndex":0},"schema":"https://github.com/citation-style-language/schema/raw/master/csl-citation.json"}</w:instrText>
      </w:r>
      <w:r w:rsidRPr="003676D3">
        <w:fldChar w:fldCharType="separate"/>
      </w:r>
      <w:r w:rsidRPr="003676D3">
        <w:rPr>
          <w:noProof/>
        </w:rPr>
        <w:t>[130,131]</w:t>
      </w:r>
      <w:r w:rsidRPr="003676D3">
        <w:fldChar w:fldCharType="end"/>
      </w:r>
      <w:r w:rsidRPr="003676D3">
        <w:t xml:space="preserve">. </w:t>
      </w:r>
      <w:r w:rsidRPr="003676D3">
        <w:fldChar w:fldCharType="begin"/>
      </w:r>
      <w:r w:rsidRPr="003676D3">
        <w:instrText xml:space="preserve"> REF _Ref168042823 \h  \* MERGEFORMAT </w:instrText>
      </w:r>
      <w:r w:rsidRPr="003676D3">
        <w:fldChar w:fldCharType="separate"/>
      </w:r>
      <w:r w:rsidR="008D1E2C" w:rsidRPr="003676D3">
        <w:rPr>
          <w:b/>
          <w:bCs/>
        </w:rPr>
        <w:t xml:space="preserve">Figure </w:t>
      </w:r>
      <w:r w:rsidR="008D1E2C" w:rsidRPr="003676D3">
        <w:rPr>
          <w:b/>
          <w:bCs/>
          <w:noProof/>
        </w:rPr>
        <w:t>6</w:t>
      </w:r>
      <w:r w:rsidRPr="003676D3">
        <w:fldChar w:fldCharType="end"/>
      </w:r>
      <w:r w:rsidRPr="003676D3">
        <w:t xml:space="preserve"> demonstrates the key action points for the uptake of SSG from the regulatory perspective.</w:t>
      </w:r>
    </w:p>
    <w:p w14:paraId="13AF3754" w14:textId="6B9C72FD" w:rsidR="008C530B" w:rsidRPr="003676D3" w:rsidRDefault="00AA2AD6" w:rsidP="003676D3">
      <w:pPr>
        <w:pStyle w:val="NoSpacing"/>
        <w:spacing w:line="276" w:lineRule="auto"/>
        <w:jc w:val="both"/>
        <w:rPr>
          <w:rFonts w:ascii="Times New Roman" w:hAnsi="Times New Roman" w:cs="Times New Roman"/>
        </w:rPr>
      </w:pPr>
      <w:r w:rsidRPr="003676D3">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22F515A" wp14:editId="079E3AD9">
                <wp:simplePos x="0" y="0"/>
                <wp:positionH relativeFrom="column">
                  <wp:posOffset>255270</wp:posOffset>
                </wp:positionH>
                <wp:positionV relativeFrom="paragraph">
                  <wp:posOffset>5285740</wp:posOffset>
                </wp:positionV>
                <wp:extent cx="5391150" cy="2857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391150" cy="285750"/>
                        </a:xfrm>
                        <a:prstGeom prst="rect">
                          <a:avLst/>
                        </a:prstGeom>
                        <a:solidFill>
                          <a:prstClr val="white"/>
                        </a:solidFill>
                        <a:ln>
                          <a:noFill/>
                        </a:ln>
                      </wps:spPr>
                      <wps:txbx>
                        <w:txbxContent>
                          <w:p w14:paraId="3A6E3CE8" w14:textId="621FFB36" w:rsidR="001F368F" w:rsidRPr="006326DB" w:rsidRDefault="001F368F" w:rsidP="004B1918">
                            <w:pPr>
                              <w:pStyle w:val="Caption"/>
                              <w:jc w:val="center"/>
                              <w:rPr>
                                <w:rFonts w:asciiTheme="majorBidi" w:eastAsia="Times New Roman" w:hAnsiTheme="majorBidi" w:cstheme="majorBidi"/>
                                <w:b/>
                                <w:bCs/>
                                <w:i w:val="0"/>
                                <w:iCs w:val="0"/>
                                <w:noProof/>
                                <w:color w:val="auto"/>
                                <w:sz w:val="28"/>
                                <w:szCs w:val="28"/>
                              </w:rPr>
                            </w:pPr>
                            <w:bookmarkStart w:id="17" w:name="_Ref168042823"/>
                            <w:r w:rsidRPr="006326DB">
                              <w:rPr>
                                <w:rFonts w:asciiTheme="majorBidi" w:hAnsiTheme="majorBidi" w:cstheme="majorBidi"/>
                                <w:b/>
                                <w:bCs/>
                                <w:i w:val="0"/>
                                <w:iCs w:val="0"/>
                                <w:color w:val="auto"/>
                                <w:sz w:val="20"/>
                                <w:szCs w:val="20"/>
                              </w:rPr>
                              <w:t xml:space="preserve">Figure </w:t>
                            </w:r>
                            <w:r w:rsidRPr="006326DB">
                              <w:rPr>
                                <w:rFonts w:asciiTheme="majorBidi" w:hAnsiTheme="majorBidi" w:cstheme="majorBidi"/>
                                <w:b/>
                                <w:bCs/>
                                <w:i w:val="0"/>
                                <w:iCs w:val="0"/>
                                <w:color w:val="auto"/>
                                <w:sz w:val="20"/>
                                <w:szCs w:val="20"/>
                              </w:rPr>
                              <w:fldChar w:fldCharType="begin"/>
                            </w:r>
                            <w:r w:rsidRPr="006326DB">
                              <w:rPr>
                                <w:rFonts w:asciiTheme="majorBidi" w:hAnsiTheme="majorBidi" w:cstheme="majorBidi"/>
                                <w:b/>
                                <w:bCs/>
                                <w:i w:val="0"/>
                                <w:iCs w:val="0"/>
                                <w:color w:val="auto"/>
                                <w:sz w:val="20"/>
                                <w:szCs w:val="20"/>
                              </w:rPr>
                              <w:instrText xml:space="preserve"> SEQ Figure \* ARABIC </w:instrText>
                            </w:r>
                            <w:r w:rsidRPr="006326DB">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6</w:t>
                            </w:r>
                            <w:r w:rsidRPr="006326DB">
                              <w:rPr>
                                <w:rFonts w:asciiTheme="majorBidi" w:hAnsiTheme="majorBidi" w:cstheme="majorBidi"/>
                                <w:b/>
                                <w:bCs/>
                                <w:i w:val="0"/>
                                <w:iCs w:val="0"/>
                                <w:color w:val="auto"/>
                                <w:sz w:val="20"/>
                                <w:szCs w:val="20"/>
                              </w:rPr>
                              <w:fldChar w:fldCharType="end"/>
                            </w:r>
                            <w:bookmarkEnd w:id="17"/>
                            <w:r w:rsidRPr="006326DB">
                              <w:rPr>
                                <w:rFonts w:asciiTheme="majorBidi" w:hAnsiTheme="majorBidi" w:cstheme="majorBidi"/>
                                <w:b/>
                                <w:bCs/>
                                <w:i w:val="0"/>
                                <w:iCs w:val="0"/>
                                <w:color w:val="auto"/>
                                <w:sz w:val="20"/>
                                <w:szCs w:val="20"/>
                              </w:rPr>
                              <w:t xml:space="preserve">. key </w:t>
                            </w:r>
                            <w:r>
                              <w:rPr>
                                <w:rFonts w:asciiTheme="majorBidi" w:hAnsiTheme="majorBidi" w:cstheme="majorBidi"/>
                                <w:b/>
                                <w:bCs/>
                                <w:i w:val="0"/>
                                <w:iCs w:val="0"/>
                                <w:color w:val="auto"/>
                                <w:sz w:val="20"/>
                                <w:szCs w:val="20"/>
                              </w:rPr>
                              <w:t xml:space="preserve">regulatory </w:t>
                            </w:r>
                            <w:r w:rsidRPr="006326DB">
                              <w:rPr>
                                <w:rFonts w:asciiTheme="majorBidi" w:hAnsiTheme="majorBidi" w:cstheme="majorBidi"/>
                                <w:b/>
                                <w:bCs/>
                                <w:i w:val="0"/>
                                <w:iCs w:val="0"/>
                                <w:color w:val="auto"/>
                                <w:sz w:val="20"/>
                                <w:szCs w:val="20"/>
                              </w:rPr>
                              <w:t>action</w:t>
                            </w:r>
                            <w:r>
                              <w:rPr>
                                <w:rFonts w:asciiTheme="majorBidi" w:hAnsiTheme="majorBidi" w:cstheme="majorBidi"/>
                                <w:b/>
                                <w:bCs/>
                                <w:i w:val="0"/>
                                <w:iCs w:val="0"/>
                                <w:color w:val="auto"/>
                                <w:sz w:val="20"/>
                                <w:szCs w:val="20"/>
                              </w:rPr>
                              <w:t>s</w:t>
                            </w:r>
                            <w:r w:rsidRPr="006326DB">
                              <w:rPr>
                                <w:rFonts w:asciiTheme="majorBidi" w:hAnsiTheme="majorBidi" w:cstheme="majorBidi"/>
                                <w:b/>
                                <w:bCs/>
                                <w:i w:val="0"/>
                                <w:iCs w:val="0"/>
                                <w:color w:val="auto"/>
                                <w:sz w:val="20"/>
                                <w:szCs w:val="20"/>
                              </w:rPr>
                              <w:t xml:space="preserve"> for</w:t>
                            </w:r>
                            <w:r>
                              <w:rPr>
                                <w:rFonts w:asciiTheme="majorBidi" w:hAnsiTheme="majorBidi" w:cstheme="majorBidi"/>
                                <w:b/>
                                <w:bCs/>
                                <w:i w:val="0"/>
                                <w:iCs w:val="0"/>
                                <w:color w:val="auto"/>
                                <w:sz w:val="20"/>
                                <w:szCs w:val="20"/>
                              </w:rPr>
                              <w:t xml:space="preserve"> the</w:t>
                            </w:r>
                            <w:r w:rsidRPr="006326DB">
                              <w:rPr>
                                <w:rFonts w:asciiTheme="majorBidi" w:hAnsiTheme="majorBidi" w:cstheme="majorBidi"/>
                                <w:b/>
                                <w:bCs/>
                                <w:i w:val="0"/>
                                <w:iCs w:val="0"/>
                                <w:color w:val="auto"/>
                                <w:sz w:val="20"/>
                                <w:szCs w:val="20"/>
                              </w:rPr>
                              <w:t xml:space="preserve"> fast-track uplifting of super smart grids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515A" id="Text Box 13" o:spid="_x0000_s1030" type="#_x0000_t202" style="position:absolute;left:0;text-align:left;margin-left:20.1pt;margin-top:416.2pt;width:424.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" stroked="f">
                <v:textbox inset="0,0,0,0">
                  <w:txbxContent>
                    <w:p w14:paraId="3A6E3CE8" w14:textId="621FFB36" w:rsidR="001F368F" w:rsidRPr="006326DB" w:rsidRDefault="001F368F" w:rsidP="004B1918">
                      <w:pPr>
                        <w:pStyle w:val="Caption"/>
                        <w:jc w:val="center"/>
                        <w:rPr>
                          <w:rFonts w:asciiTheme="majorBidi" w:eastAsia="Times New Roman" w:hAnsiTheme="majorBidi" w:cstheme="majorBidi"/>
                          <w:b/>
                          <w:bCs/>
                          <w:i w:val="0"/>
                          <w:iCs w:val="0"/>
                          <w:noProof/>
                          <w:color w:val="auto"/>
                          <w:sz w:val="28"/>
                          <w:szCs w:val="28"/>
                        </w:rPr>
                      </w:pPr>
                      <w:bookmarkStart w:id="18" w:name="_Ref168042823"/>
                      <w:r w:rsidRPr="006326DB">
                        <w:rPr>
                          <w:rFonts w:asciiTheme="majorBidi" w:hAnsiTheme="majorBidi" w:cstheme="majorBidi"/>
                          <w:b/>
                          <w:bCs/>
                          <w:i w:val="0"/>
                          <w:iCs w:val="0"/>
                          <w:color w:val="auto"/>
                          <w:sz w:val="20"/>
                          <w:szCs w:val="20"/>
                        </w:rPr>
                        <w:t xml:space="preserve">Figure </w:t>
                      </w:r>
                      <w:r w:rsidRPr="006326DB">
                        <w:rPr>
                          <w:rFonts w:asciiTheme="majorBidi" w:hAnsiTheme="majorBidi" w:cstheme="majorBidi"/>
                          <w:b/>
                          <w:bCs/>
                          <w:i w:val="0"/>
                          <w:iCs w:val="0"/>
                          <w:color w:val="auto"/>
                          <w:sz w:val="20"/>
                          <w:szCs w:val="20"/>
                        </w:rPr>
                        <w:fldChar w:fldCharType="begin"/>
                      </w:r>
                      <w:r w:rsidRPr="006326DB">
                        <w:rPr>
                          <w:rFonts w:asciiTheme="majorBidi" w:hAnsiTheme="majorBidi" w:cstheme="majorBidi"/>
                          <w:b/>
                          <w:bCs/>
                          <w:i w:val="0"/>
                          <w:iCs w:val="0"/>
                          <w:color w:val="auto"/>
                          <w:sz w:val="20"/>
                          <w:szCs w:val="20"/>
                        </w:rPr>
                        <w:instrText xml:space="preserve"> SEQ Figure \* ARABIC </w:instrText>
                      </w:r>
                      <w:r w:rsidRPr="006326DB">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6</w:t>
                      </w:r>
                      <w:r w:rsidRPr="006326DB">
                        <w:rPr>
                          <w:rFonts w:asciiTheme="majorBidi" w:hAnsiTheme="majorBidi" w:cstheme="majorBidi"/>
                          <w:b/>
                          <w:bCs/>
                          <w:i w:val="0"/>
                          <w:iCs w:val="0"/>
                          <w:color w:val="auto"/>
                          <w:sz w:val="20"/>
                          <w:szCs w:val="20"/>
                        </w:rPr>
                        <w:fldChar w:fldCharType="end"/>
                      </w:r>
                      <w:bookmarkEnd w:id="18"/>
                      <w:r w:rsidRPr="006326DB">
                        <w:rPr>
                          <w:rFonts w:asciiTheme="majorBidi" w:hAnsiTheme="majorBidi" w:cstheme="majorBidi"/>
                          <w:b/>
                          <w:bCs/>
                          <w:i w:val="0"/>
                          <w:iCs w:val="0"/>
                          <w:color w:val="auto"/>
                          <w:sz w:val="20"/>
                          <w:szCs w:val="20"/>
                        </w:rPr>
                        <w:t xml:space="preserve">. key </w:t>
                      </w:r>
                      <w:r>
                        <w:rPr>
                          <w:rFonts w:asciiTheme="majorBidi" w:hAnsiTheme="majorBidi" w:cstheme="majorBidi"/>
                          <w:b/>
                          <w:bCs/>
                          <w:i w:val="0"/>
                          <w:iCs w:val="0"/>
                          <w:color w:val="auto"/>
                          <w:sz w:val="20"/>
                          <w:szCs w:val="20"/>
                        </w:rPr>
                        <w:t xml:space="preserve">regulatory </w:t>
                      </w:r>
                      <w:r w:rsidRPr="006326DB">
                        <w:rPr>
                          <w:rFonts w:asciiTheme="majorBidi" w:hAnsiTheme="majorBidi" w:cstheme="majorBidi"/>
                          <w:b/>
                          <w:bCs/>
                          <w:i w:val="0"/>
                          <w:iCs w:val="0"/>
                          <w:color w:val="auto"/>
                          <w:sz w:val="20"/>
                          <w:szCs w:val="20"/>
                        </w:rPr>
                        <w:t>action</w:t>
                      </w:r>
                      <w:r>
                        <w:rPr>
                          <w:rFonts w:asciiTheme="majorBidi" w:hAnsiTheme="majorBidi" w:cstheme="majorBidi"/>
                          <w:b/>
                          <w:bCs/>
                          <w:i w:val="0"/>
                          <w:iCs w:val="0"/>
                          <w:color w:val="auto"/>
                          <w:sz w:val="20"/>
                          <w:szCs w:val="20"/>
                        </w:rPr>
                        <w:t>s</w:t>
                      </w:r>
                      <w:r w:rsidRPr="006326DB">
                        <w:rPr>
                          <w:rFonts w:asciiTheme="majorBidi" w:hAnsiTheme="majorBidi" w:cstheme="majorBidi"/>
                          <w:b/>
                          <w:bCs/>
                          <w:i w:val="0"/>
                          <w:iCs w:val="0"/>
                          <w:color w:val="auto"/>
                          <w:sz w:val="20"/>
                          <w:szCs w:val="20"/>
                        </w:rPr>
                        <w:t xml:space="preserve"> for</w:t>
                      </w:r>
                      <w:r>
                        <w:rPr>
                          <w:rFonts w:asciiTheme="majorBidi" w:hAnsiTheme="majorBidi" w:cstheme="majorBidi"/>
                          <w:b/>
                          <w:bCs/>
                          <w:i w:val="0"/>
                          <w:iCs w:val="0"/>
                          <w:color w:val="auto"/>
                          <w:sz w:val="20"/>
                          <w:szCs w:val="20"/>
                        </w:rPr>
                        <w:t xml:space="preserve"> the</w:t>
                      </w:r>
                      <w:r w:rsidRPr="006326DB">
                        <w:rPr>
                          <w:rFonts w:asciiTheme="majorBidi" w:hAnsiTheme="majorBidi" w:cstheme="majorBidi"/>
                          <w:b/>
                          <w:bCs/>
                          <w:i w:val="0"/>
                          <w:iCs w:val="0"/>
                          <w:color w:val="auto"/>
                          <w:sz w:val="20"/>
                          <w:szCs w:val="20"/>
                        </w:rPr>
                        <w:t xml:space="preserve"> fast-track uplifting of super smart grids</w:t>
                      </w:r>
                    </w:p>
                  </w:txbxContent>
                </v:textbox>
                <w10:wrap type="square"/>
              </v:shape>
            </w:pict>
          </mc:Fallback>
        </mc:AlternateContent>
      </w:r>
      <w:r w:rsidR="006326DB" w:rsidRPr="003676D3">
        <w:rPr>
          <w:rFonts w:ascii="Times New Roman" w:hAnsi="Times New Roman" w:cs="Times New Roman"/>
          <w:noProof/>
          <w:lang w:eastAsia="en-GB"/>
        </w:rPr>
        <w:drawing>
          <wp:anchor distT="0" distB="0" distL="114300" distR="114300" simplePos="0" relativeHeight="251618304" behindDoc="0" locked="0" layoutInCell="1" allowOverlap="1" wp14:anchorId="7A321C7A" wp14:editId="09514B03">
            <wp:simplePos x="0" y="0"/>
            <wp:positionH relativeFrom="column">
              <wp:posOffset>0</wp:posOffset>
            </wp:positionH>
            <wp:positionV relativeFrom="paragraph">
              <wp:posOffset>75565</wp:posOffset>
            </wp:positionV>
            <wp:extent cx="5734050" cy="5076825"/>
            <wp:effectExtent l="19050" t="0" r="76200" b="4762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7EE6C321" w14:textId="454F5A49" w:rsidR="00892BF8" w:rsidRPr="003676D3" w:rsidRDefault="00132774" w:rsidP="003676D3">
      <w:pPr>
        <w:pStyle w:val="Heading1"/>
        <w:spacing w:before="0" w:beforeAutospacing="0" w:line="276" w:lineRule="auto"/>
        <w:jc w:val="both"/>
        <w:rPr>
          <w:sz w:val="24"/>
          <w:szCs w:val="24"/>
        </w:rPr>
      </w:pPr>
      <w:r w:rsidRPr="003676D3">
        <w:rPr>
          <w:sz w:val="24"/>
          <w:szCs w:val="24"/>
        </w:rPr>
        <w:t xml:space="preserve">5. </w:t>
      </w:r>
      <w:r w:rsidR="00892BF8" w:rsidRPr="003676D3">
        <w:rPr>
          <w:sz w:val="24"/>
          <w:szCs w:val="24"/>
        </w:rPr>
        <w:t>Enabling Technologies</w:t>
      </w:r>
      <w:r w:rsidR="009573AC" w:rsidRPr="003676D3">
        <w:rPr>
          <w:sz w:val="24"/>
          <w:szCs w:val="24"/>
        </w:rPr>
        <w:t xml:space="preserve"> in Super Smart Grid</w:t>
      </w:r>
    </w:p>
    <w:p w14:paraId="3D0CF0C7" w14:textId="2CEFB71B" w:rsidR="00FA4AC4" w:rsidRPr="003676D3" w:rsidRDefault="00892BF8" w:rsidP="003676D3">
      <w:pPr>
        <w:pStyle w:val="NormalWeb"/>
        <w:spacing w:line="276" w:lineRule="auto"/>
        <w:jc w:val="both"/>
      </w:pPr>
      <w:r w:rsidRPr="003676D3">
        <w:t xml:space="preserve">This section </w:t>
      </w:r>
      <w:r w:rsidR="004B1918" w:rsidRPr="003676D3">
        <w:t>discusses</w:t>
      </w:r>
      <w:r w:rsidRPr="003676D3">
        <w:t xml:space="preserve"> leveraging the key enabling technologies to transform the smart grids into super smart grids through innovation and improvements. </w:t>
      </w:r>
      <w:r w:rsidR="00FA4AC4" w:rsidRPr="003676D3">
        <w:t>In the modern world, cities</w:t>
      </w:r>
      <w:r w:rsidR="002D2AB0" w:rsidRPr="003676D3">
        <w:t xml:space="preserve"> generate nearly 80% of greenhouse gases</w:t>
      </w:r>
      <w:r w:rsidR="00FA4AC4" w:rsidRPr="003676D3">
        <w:t xml:space="preserve"> </w:t>
      </w:r>
      <w:r w:rsidR="002D2AB0" w:rsidRPr="003676D3">
        <w:t xml:space="preserve">and </w:t>
      </w:r>
      <w:r w:rsidR="00FA4AC4" w:rsidRPr="003676D3">
        <w:t>con</w:t>
      </w:r>
      <w:r w:rsidR="002D2AB0" w:rsidRPr="003676D3">
        <w:t>sume 75% of the total energy</w:t>
      </w:r>
      <w:r w:rsidR="00FA4AC4" w:rsidRPr="003676D3">
        <w:t xml:space="preserve"> </w:t>
      </w:r>
      <w:r w:rsidR="004C03B2" w:rsidRPr="003676D3">
        <w:fldChar w:fldCharType="begin" w:fldLock="1"/>
      </w:r>
      <w:r w:rsidR="004C03B2" w:rsidRPr="003676D3">
        <w:instrText>ADDIN CSL_CITATION {"citationItems":[{"id":"ITEM-1","itemData":{"URL":"https://unhabitat.org/topic/urban-energy","accessed":{"date-parts":[["2024","5","27"]]},"author":[{"dropping-particle":"","family":"United Nations","given":"","non-dropping-particle":"","parse-names":false,"suffix":""}],"id":"ITEM-1","issued":{"date-parts":[["0"]]},"title":"Urban Energy | UN-Habitat","type":"webpage"},"uris":["http://www.mendeley.com/documents/?uuid=79e9bd3e-3407-3544-94ab-fee91836d060"]}],"mendeley":{"formattedCitation":"[132]","plainTextFormattedCitation":"[132]","previouslyFormattedCitation":"[132]"},"properties":{"noteIndex":0},"schema":"https://github.com/citation-style-language/schema/raw/master/csl-citation.json"}</w:instrText>
      </w:r>
      <w:r w:rsidR="004C03B2" w:rsidRPr="003676D3">
        <w:fldChar w:fldCharType="separate"/>
      </w:r>
      <w:r w:rsidR="004C03B2" w:rsidRPr="003676D3">
        <w:rPr>
          <w:noProof/>
        </w:rPr>
        <w:t>[132]</w:t>
      </w:r>
      <w:r w:rsidR="004C03B2" w:rsidRPr="003676D3">
        <w:fldChar w:fldCharType="end"/>
      </w:r>
      <w:r w:rsidR="00FA4AC4" w:rsidRPr="003676D3">
        <w:t xml:space="preserve">, leading to severe environmental impacts. Experts from both industry and academia recognize smart cities as the </w:t>
      </w:r>
      <w:r w:rsidR="002D2AB0" w:rsidRPr="003676D3">
        <w:t>ultimate</w:t>
      </w:r>
      <w:r w:rsidR="00FA4AC4" w:rsidRPr="003676D3">
        <w:t xml:space="preserve"> solution to the challeng</w:t>
      </w:r>
      <w:r w:rsidR="002D2AB0" w:rsidRPr="003676D3">
        <w:t>es posed by population growth, rapid urbanization</w:t>
      </w:r>
      <w:r w:rsidR="00FA4AC4" w:rsidRPr="003676D3">
        <w:t xml:space="preserve">, energy resource depletion, and environmental pollution. The </w:t>
      </w:r>
      <w:r w:rsidR="002D2AB0" w:rsidRPr="003676D3">
        <w:t>foundation</w:t>
      </w:r>
      <w:r w:rsidR="00FA4AC4" w:rsidRPr="003676D3">
        <w:t xml:space="preserve"> of smart cities are the Internet of Things (IoT)</w:t>
      </w:r>
      <w:r w:rsidR="004C03B2" w:rsidRPr="003676D3">
        <w:t xml:space="preserve"> </w:t>
      </w:r>
      <w:r w:rsidR="004C03B2" w:rsidRPr="003676D3">
        <w:fldChar w:fldCharType="begin" w:fldLock="1"/>
      </w:r>
      <w:r w:rsidR="004C03B2" w:rsidRPr="003676D3">
        <w:instrText>ADDIN CSL_CITATION {"citationItems":[{"id":"ITEM-1","itemData":{"DOI":"10.1007/978-3-030-35291-2_6","ISSN":"21991081","abstract":"Our planet has abundant renewable and conventional energy resources but technological capability and capacity gaps coupled with water-energy needs limit the benefits of these resources to citizens. Through IoT technology solutions and state-of-the-art IoT sensing and communications approaches, the sustainable energy-related research and innovation can bring a revolution in this area. Moreover, by the leveraging current infrastructure, including renewable energy technologies, microgrids, and power-to-gas (P2G) hydrogen systems, the Internet of Things in sustainable energy systems can address challenges in energy security to the community, with a minimal trade-off to environment and culture. In this chapter, the IoT in sustainable energy systems approaches, methodologies, scenarios, and tools is presented with a detailed discussion of different sensing and communications techniques. This IoT approach in energy systems is envisioned to enhance the bidirectional interchange of network services in grid by using Internet of Things in grid that will result in enhanced system resilience, reliable data flow, and connectivity optimization. Moreover, the sustainable energy IoT research challenges and innovation opportunities are also discussed to address the complex energy needs of our community and promote a strong energy sector economy.","author":[{"dropping-particle":"","family":"Salam","given":"Abdul","non-dropping-particle":"","parse-names":false,"suffix":""}],"container-title":"Internet of Things","id":"ITEM-1","issued":{"date-parts":[["2020"]]},"page":"183-216","title":"Internet of things in sustainable energy systems","type":"chapter"},"uris":["http://www.mendeley.com/documents/?uuid=01024d5f-9885-4c67-888c-ab9eef405758"]},{"id":"ITEM-2","itemData":{"DOI":"10.3390/en13020494","ISSN":"1996-1073","abstract":"Integration of renewable energy and optimization of energy use are key enablers of sustainable energy transitions and mitigating climate change. Modern technologies such the Internet of Things (IoT) offer a wide number of applications in the energy sector, i.e, in energy supply, transmission and distribution, and demand. IoT can be employed for improving energy efficiency, increasing the share of renewable energy, and reducing environmental impacts of the energy use. This paper reviews the existing literature on the application of IoT in in energy systems, in general, and in the context of smart grids particularly. Furthermore, we discuss enabling technologies of IoT, including cloud computing and different platforms for data analysis. Furthermore, we review challenges of deploying IoT in the energy sector, including privacy and security, with some solutions to these challenges such as blockchain technology. This survey provides energy policy-makers, energy economists, and managers with an overview of the role of IoT in optimization of energy systems.","author":[{"dropping-particle":"","family":"Hossein Motlagh","given":"Naser","non-dropping-particle":"","parse-names":false,"suffix":""},{"dropping-particle":"","family":"Mohammadrezaei","given":"Mahsa","non-dropping-particle":"","parse-names":false,"suffix":""},{"dropping-particle":"","family":"Hunt","given":"Julian","non-dropping-particle":"","parse-names":false,"suffix":""},{"dropping-particle":"","family":"Zakeri","given":"Behnam","non-dropping-particle":"","parse-names":false,"suffix":""}],"container-title":"Energies","id":"ITEM-2","issue":"2","issued":{"date-parts":[["2020","1","19"]]},"page":"494","title":"Internet of Things (IoT) and the Energy Sector","type":"article-journal","volume":"13"},"uris":["http://www.mendeley.com/documents/?uuid=80b52096-5c80-4a56-bcbc-fa8238b03c95"]},{"id":"ITEM-3","itemData":{"DOI":"10.1088/1742-6596/1187/2/022017","ISSN":"17426596","abstract":"This paper introduces various concepts that relate to information technology and the development of energy transmission and distribution. Key challenges need to be addressed in relation to energy consumption, such as the need to be responsive to current demand, which have been addressed through information technology systems. With the increased connectedness of energy systems, there has also been an increased need to ensure the information security of these systems. The Internet of Things (IoT) concept will be reviewed in relation to the connection of objects in energy systems as well as the concepts of Big Data and Cloud Computing. The former has developed in response to the need to predict energy usage more accurately and the latter offers the advantages of increased failover potential as well as much faster provisioning of enhanced capacity in IT systems to meet consumer demand.","author":[{"dropping-particle":"","family":"Ren","given":"Jiyuan","non-dropping-particle":"","parse-names":false,"suffix":""},{"dropping-particle":"","family":"Wang","given":"Zhe","non-dropping-particle":"","parse-names":false,"suffix":""},{"dropping-particle":"","family":"Luo","given":"Zhen","non-dropping-particle":"","parse-names":false,"suffix":""},{"dropping-particle":"","family":"Liu","given":"Fuyang","non-dropping-particle":"","parse-names":false,"suffix":""}],"container-title":"Journal of Physics: Conference Series","id":"ITEM-3","issued":{"date-parts":[["2019"]]},"publisher":"IOP Publishing","title":"Smart Grid and Electric Power Informatization","type":"paper-conference"},"uris":["http://www.mendeley.com/documents/?uuid=999e3304-2874-4fcc-ba1a-eeb05be32793"]}],"mendeley":{"formattedCitation":"[133–135]","plainTextFormattedCitation":"[133–135]","previouslyFormattedCitation":"[133–135]"},"properties":{"noteIndex":0},"schema":"https://github.com/citation-style-language/schema/raw/master/csl-citation.json"}</w:instrText>
      </w:r>
      <w:r w:rsidR="004C03B2" w:rsidRPr="003676D3">
        <w:fldChar w:fldCharType="separate"/>
      </w:r>
      <w:r w:rsidR="004C03B2" w:rsidRPr="003676D3">
        <w:rPr>
          <w:noProof/>
        </w:rPr>
        <w:t>[133–135]</w:t>
      </w:r>
      <w:r w:rsidR="004C03B2" w:rsidRPr="003676D3">
        <w:fldChar w:fldCharType="end"/>
      </w:r>
      <w:r w:rsidR="00FA4AC4" w:rsidRPr="003676D3">
        <w:t xml:space="preserve">, which has evolved from conventional networks to connects billions of devices. Technological </w:t>
      </w:r>
      <w:r w:rsidR="002D2AB0" w:rsidRPr="003676D3">
        <w:t>progress</w:t>
      </w:r>
      <w:r w:rsidR="00FA4AC4" w:rsidRPr="003676D3">
        <w:t xml:space="preserve"> in</w:t>
      </w:r>
      <w:r w:rsidR="00CD7701" w:rsidRPr="003676D3">
        <w:t xml:space="preserve"> wireless sensor networks (WSN), ubiquitous computing (UC),</w:t>
      </w:r>
      <w:r w:rsidR="00FA4AC4" w:rsidRPr="003676D3">
        <w:t xml:space="preserve"> and machine-to-machine (M2M) communication have further enhanced the IoT, supporting the development</w:t>
      </w:r>
      <w:r w:rsidR="002D2AB0" w:rsidRPr="003676D3">
        <w:t xml:space="preserve"> of smart cities and SG</w:t>
      </w:r>
      <w:r w:rsidR="004C03B2" w:rsidRPr="003676D3">
        <w:t xml:space="preserve"> </w:t>
      </w:r>
      <w:r w:rsidR="004C03B2" w:rsidRPr="003676D3">
        <w:fldChar w:fldCharType="begin" w:fldLock="1"/>
      </w:r>
      <w:r w:rsidR="004C03B2" w:rsidRPr="003676D3">
        <w:instrText>ADDIN CSL_CITATION {"citationItems":[{"id":"ITEM-1","itemData":{"DOI":"10.1016/J.SCS.2018.01.053","ISSN":"2210-6707","abstract":"Smart city is an application of Internet of Things (IoT) notion. Unceasing growth of population and urbanization have intensified innovative ways to handle urbanization with minimal impact on environment, citizen lifestyles, and governance. Initial integration of information communication technology (ICT) into city operations have promoted telicity, information city, and digital city concepts. Later, the conception of IoT has founded the smart cities, which support the city operations intelligently with minimal human interaction. Smart city emerged as a solution to address the challenges arise with exponential growth of urbanization and population. However, smart city concept is still evolving and not mainstreamed throughout the globe due to technological, economical, and governing barriers. Therefore, this paper aims to deliver the essence of smart cities. The paper presents a brief overview of smart cities, followed by the features and characteristics, generic architecture, composition, and real-world implementations of smart cities. Finally, we present some challenges and opportunities identified through extensive literature survey on smart cities.","author":[{"dropping-particle":"","family":"Silva","given":"Bhagya Nathali","non-dropping-particle":"","parse-names":false,"suffix":""},{"dropping-particle":"","family":"Khan","given":"Murad","non-dropping-particle":"","parse-names":false,"suffix":""},{"dropping-particle":"","family":"Han","given":"Kijun","non-dropping-particle":"","parse-names":false,"suffix":""}],"container-title":"Sustainable Cities and Society","id":"ITEM-1","issued":{"date-parts":[["2018","4","1"]]},"page":"697-713","publisher":"Elsevier","title":"Towards sustainable smart cities: A review of trends, architectures, components, and open challenges in smart cities","type":"article-journal","volume":"38"},"uris":["http://www.mendeley.com/documents/?uuid=0385b947-f599-37d5-bba8-0fb20e961bc0"]}],"mendeley":{"formattedCitation":"[136]","plainTextFormattedCitation":"[136]","previouslyFormattedCitation":"[136]"},"properties":{"noteIndex":0},"schema":"https://github.com/citation-style-language/schema/raw/master/csl-citation.json"}</w:instrText>
      </w:r>
      <w:r w:rsidR="004C03B2" w:rsidRPr="003676D3">
        <w:fldChar w:fldCharType="separate"/>
      </w:r>
      <w:r w:rsidR="004C03B2" w:rsidRPr="003676D3">
        <w:rPr>
          <w:noProof/>
        </w:rPr>
        <w:t>[136]</w:t>
      </w:r>
      <w:r w:rsidR="004C03B2" w:rsidRPr="003676D3">
        <w:fldChar w:fldCharType="end"/>
      </w:r>
      <w:r w:rsidR="00FA4AC4" w:rsidRPr="003676D3">
        <w:t>.</w:t>
      </w:r>
    </w:p>
    <w:p w14:paraId="357F223B" w14:textId="3BEF251E" w:rsidR="002E3991" w:rsidRPr="003676D3" w:rsidRDefault="009573AC"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Employing latest technologies has multifaceted advantages for energy industry; enhance the communication protocol for smart grids, provide virtual experience to customers and ensure </w:t>
      </w:r>
      <w:r w:rsidRPr="003676D3">
        <w:rPr>
          <w:rFonts w:ascii="Times New Roman" w:hAnsi="Times New Roman" w:cs="Times New Roman"/>
          <w:sz w:val="24"/>
          <w:szCs w:val="24"/>
        </w:rPr>
        <w:lastRenderedPageBreak/>
        <w:t xml:space="preserve">supplier support. </w:t>
      </w:r>
      <w:r w:rsidR="002E3991" w:rsidRPr="003676D3">
        <w:rPr>
          <w:rFonts w:ascii="Times New Roman" w:hAnsi="Times New Roman" w:cs="Times New Roman"/>
          <w:sz w:val="24"/>
          <w:szCs w:val="24"/>
        </w:rPr>
        <w:t>These cutting-edge technologies facilitates</w:t>
      </w:r>
      <w:r w:rsidR="002D2AB0" w:rsidRPr="003676D3">
        <w:rPr>
          <w:rFonts w:ascii="Times New Roman" w:hAnsi="Times New Roman" w:cs="Times New Roman"/>
          <w:sz w:val="24"/>
          <w:szCs w:val="24"/>
        </w:rPr>
        <w:t xml:space="preserve"> real-time system monitoring, </w:t>
      </w:r>
      <w:r w:rsidR="002E3991" w:rsidRPr="003676D3">
        <w:rPr>
          <w:rFonts w:ascii="Times New Roman" w:hAnsi="Times New Roman" w:cs="Times New Roman"/>
          <w:sz w:val="24"/>
          <w:szCs w:val="24"/>
        </w:rPr>
        <w:t>remote monitoring and maintenance of assets, virtual site visits, and accurate energy accounting</w:t>
      </w:r>
      <w:r w:rsidR="004C03B2" w:rsidRPr="003676D3">
        <w:rPr>
          <w:rFonts w:ascii="Times New Roman" w:hAnsi="Times New Roman" w:cs="Times New Roman"/>
          <w:sz w:val="24"/>
          <w:szCs w:val="24"/>
        </w:rPr>
        <w:t xml:space="preserve"> </w:t>
      </w:r>
      <w:r w:rsidR="004C03B2" w:rsidRPr="003676D3">
        <w:rPr>
          <w:rFonts w:ascii="Times New Roman" w:hAnsi="Times New Roman" w:cs="Times New Roman"/>
          <w:sz w:val="24"/>
          <w:szCs w:val="24"/>
        </w:rPr>
        <w:fldChar w:fldCharType="begin" w:fldLock="1"/>
      </w:r>
      <w:r w:rsidR="004C03B2" w:rsidRPr="003676D3">
        <w:rPr>
          <w:rFonts w:ascii="Times New Roman" w:hAnsi="Times New Roman" w:cs="Times New Roman"/>
          <w:sz w:val="24"/>
          <w:szCs w:val="24"/>
        </w:rPr>
        <w:instrText>ADDIN CSL_CITATION {"citationItems":[{"id":"ITEM-1","itemData":{"DOI":"10.1016/J.IOT.2023.100884","ISSN":"2542-6605","abstract":"Recent years have witnessed a global trend toward the metaverse. The metaverse is a collection of immersive and interconnected digital spaces in which users can interact through computer-generated environments. As smart cities aim to enhance the experiences of their citizens by improving infrastructure, modernizing government services, increasing accessibility, accelerating economic growth, and promoting sustainability, the metaverse has the potential to significantly revolutionize, reshape, and transform smart cities. In this paper, we discuss how leveraging the metaverse for smart cities can stimulate innovations and bring about major improvements. We discuss the key enabling technologies for the metaverse, along with the premier benefits of adopting this technology and the opportunities it presents for smart city applications. We present ongoing projects and case studies to showcase the practicality of metaverse technology across various industries. Furthermore, we identify and discuss critical research challenges that currently impede the realization of the full potential of the metaverse. Finally, we outline future research directions that can be pursued to further the development of the metaverse and its integration with smart cities.","author":[{"dropping-particle":"","family":"Yaqoob","given":"Ibrar","non-dropping-particle":"","parse-names":false,"suffix":""},{"dropping-particle":"","family":"Salah","given":"Khaled","non-dropping-particle":"","parse-names":false,"suffix":""},{"dropping-particle":"","family":"Jayaraman","given":"Raja","non-dropping-particle":"","parse-names":false,"suffix":""},{"dropping-particle":"","family":"Omar","given":"Mohammed","non-dropping-particle":"","parse-names":false,"suffix":""}],"container-title":"Internet of Things","id":"ITEM-1","issued":{"date-parts":[["2023","10","1"]]},"page":"100884","publisher":"Elsevier","title":"Metaverse applications in smart cities: Enabling technologies, opportunities, challenges, and future directions","type":"article-journal","volume":"23"},"uris":["http://www.mendeley.com/documents/?uuid=804308e3-d7f0-3583-85fd-b8080d27e0fa"]}],"mendeley":{"formattedCitation":"[25]","plainTextFormattedCitation":"[25]","previouslyFormattedCitation":"[25]"},"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[25]</w:t>
      </w:r>
      <w:r w:rsidR="004C03B2" w:rsidRPr="003676D3">
        <w:rPr>
          <w:rFonts w:ascii="Times New Roman" w:hAnsi="Times New Roman" w:cs="Times New Roman"/>
          <w:sz w:val="24"/>
          <w:szCs w:val="24"/>
        </w:rPr>
        <w:fldChar w:fldCharType="end"/>
      </w:r>
      <w:r w:rsidR="002E3991" w:rsidRPr="003676D3">
        <w:rPr>
          <w:rFonts w:ascii="Times New Roman" w:hAnsi="Times New Roman" w:cs="Times New Roman"/>
          <w:sz w:val="24"/>
          <w:szCs w:val="24"/>
        </w:rPr>
        <w:t xml:space="preserve">. </w:t>
      </w:r>
      <w:r w:rsidR="002D2AB0" w:rsidRPr="003676D3">
        <w:rPr>
          <w:rFonts w:ascii="Times New Roman" w:hAnsi="Times New Roman" w:cs="Times New Roman"/>
          <w:sz w:val="24"/>
          <w:szCs w:val="24"/>
        </w:rPr>
        <w:t>Furthermore</w:t>
      </w:r>
      <w:r w:rsidR="002E3991" w:rsidRPr="003676D3">
        <w:rPr>
          <w:rFonts w:ascii="Times New Roman" w:hAnsi="Times New Roman" w:cs="Times New Roman"/>
          <w:sz w:val="24"/>
          <w:szCs w:val="24"/>
        </w:rPr>
        <w:t xml:space="preserve">, it also has social benefit as it can provide virtual </w:t>
      </w:r>
      <w:r w:rsidR="002D2AB0" w:rsidRPr="003676D3">
        <w:rPr>
          <w:rFonts w:ascii="Times New Roman" w:hAnsi="Times New Roman" w:cs="Times New Roman"/>
          <w:sz w:val="24"/>
          <w:szCs w:val="24"/>
        </w:rPr>
        <w:t>environment</w:t>
      </w:r>
      <w:r w:rsidR="002E3991" w:rsidRPr="003676D3">
        <w:rPr>
          <w:rFonts w:ascii="Times New Roman" w:hAnsi="Times New Roman" w:cs="Times New Roman"/>
          <w:sz w:val="24"/>
          <w:szCs w:val="24"/>
        </w:rPr>
        <w:t xml:space="preserve"> for training of field engineers to manage power plants, thereby saving time and reducing risk</w:t>
      </w:r>
      <w:r w:rsidR="004C03B2" w:rsidRPr="003676D3">
        <w:rPr>
          <w:rFonts w:ascii="Times New Roman" w:hAnsi="Times New Roman" w:cs="Times New Roman"/>
          <w:sz w:val="24"/>
          <w:szCs w:val="24"/>
        </w:rPr>
        <w:t xml:space="preserve"> </w:t>
      </w:r>
      <w:r w:rsidR="004C03B2" w:rsidRPr="003676D3">
        <w:rPr>
          <w:rFonts w:ascii="Times New Roman" w:hAnsi="Times New Roman" w:cs="Times New Roman"/>
          <w:sz w:val="24"/>
          <w:szCs w:val="24"/>
        </w:rPr>
        <w:fldChar w:fldCharType="begin" w:fldLock="1"/>
      </w:r>
      <w:r w:rsidR="004C03B2" w:rsidRPr="003676D3">
        <w:rPr>
          <w:rFonts w:ascii="Times New Roman" w:hAnsi="Times New Roman" w:cs="Times New Roman"/>
          <w:sz w:val="24"/>
          <w:szCs w:val="24"/>
        </w:rPr>
        <w:instrText>ADDIN CSL_CITATION {"citationItems":[{"id":"ITEM-1","itemData":{"URL":"https://goodnewenergy.enagas.es/en/innovative/what-paper-does-the-metaverse-occupy-in-the-future-of-the-energy/","accessed":{"date-parts":[["2024","5","20"]]},"id":"ITEM-1","issued":{"date-parts":[["0"]]},"title":"What role does the metaverse play in the future of energy? - Good New Energy","type":"webpage"},"uris":["http://www.mendeley.com/documents/?uuid=bd20a1fa-7d7e-3e0e-953f-1a1bcaeab01d"]}],"mendeley":{"formattedCitation":"[137]","plainTextFormattedCitation":"[137]","previouslyFormattedCitation":"[137]"},"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[137]</w:t>
      </w:r>
      <w:r w:rsidR="004C03B2" w:rsidRPr="003676D3">
        <w:rPr>
          <w:rFonts w:ascii="Times New Roman" w:hAnsi="Times New Roman" w:cs="Times New Roman"/>
          <w:sz w:val="24"/>
          <w:szCs w:val="24"/>
        </w:rPr>
        <w:fldChar w:fldCharType="end"/>
      </w:r>
      <w:r w:rsidR="002E3991" w:rsidRPr="003676D3">
        <w:rPr>
          <w:rFonts w:ascii="Times New Roman" w:hAnsi="Times New Roman" w:cs="Times New Roman"/>
          <w:sz w:val="24"/>
          <w:szCs w:val="24"/>
        </w:rPr>
        <w:t>.</w:t>
      </w:r>
      <w:r w:rsidR="00154005" w:rsidRPr="003676D3">
        <w:rPr>
          <w:rFonts w:ascii="Times New Roman" w:hAnsi="Times New Roman" w:cs="Times New Roman"/>
          <w:sz w:val="24"/>
          <w:szCs w:val="24"/>
        </w:rPr>
        <w:t xml:space="preserve"> The methods and techniques used by these technologies in </w:t>
      </w:r>
      <w:r w:rsidR="00AA2AD6" w:rsidRPr="003676D3">
        <w:rPr>
          <w:rFonts w:ascii="Times New Roman" w:hAnsi="Times New Roman" w:cs="Times New Roman"/>
          <w:sz w:val="24"/>
          <w:szCs w:val="24"/>
        </w:rPr>
        <w:t>SSG</w:t>
      </w:r>
      <w:r w:rsidR="00154005" w:rsidRPr="003676D3">
        <w:rPr>
          <w:rFonts w:ascii="Times New Roman" w:hAnsi="Times New Roman" w:cs="Times New Roman"/>
          <w:sz w:val="24"/>
          <w:szCs w:val="24"/>
        </w:rPr>
        <w:t xml:space="preserve"> can support in optimizing </w:t>
      </w:r>
      <w:hyperlink r:id="rId30" w:tooltip="Learn more about resource allocation from ScienceDirect's AI-generated Topic Pages" w:history="1">
        <w:r w:rsidR="00154005" w:rsidRPr="003676D3">
          <w:rPr>
            <w:rStyle w:val="Hyperlink"/>
            <w:rFonts w:ascii="Times New Roman" w:hAnsi="Times New Roman" w:cs="Times New Roman"/>
            <w:color w:val="auto"/>
            <w:sz w:val="24"/>
            <w:szCs w:val="24"/>
            <w:u w:val="none"/>
          </w:rPr>
          <w:t>resource allocation</w:t>
        </w:r>
      </w:hyperlink>
      <w:r w:rsidR="00AA2AD6" w:rsidRPr="003676D3">
        <w:rPr>
          <w:rFonts w:ascii="Times New Roman" w:hAnsi="Times New Roman" w:cs="Times New Roman"/>
          <w:sz w:val="24"/>
          <w:szCs w:val="24"/>
        </w:rPr>
        <w:t xml:space="preserve"> and</w:t>
      </w:r>
      <w:r w:rsidR="002D2AB0" w:rsidRPr="003676D3">
        <w:rPr>
          <w:rFonts w:ascii="Times New Roman" w:hAnsi="Times New Roman" w:cs="Times New Roman"/>
          <w:sz w:val="24"/>
          <w:szCs w:val="24"/>
        </w:rPr>
        <w:t xml:space="preserve"> evaluating strategic interactions</w:t>
      </w:r>
      <w:r w:rsidR="00AA2AD6" w:rsidRPr="003676D3">
        <w:rPr>
          <w:rFonts w:ascii="Times New Roman" w:hAnsi="Times New Roman" w:cs="Times New Roman"/>
          <w:sz w:val="24"/>
          <w:szCs w:val="24"/>
        </w:rPr>
        <w:t xml:space="preserve">. They can also </w:t>
      </w:r>
      <w:r w:rsidR="004B1918" w:rsidRPr="003676D3">
        <w:rPr>
          <w:rFonts w:ascii="Times New Roman" w:hAnsi="Times New Roman" w:cs="Times New Roman"/>
          <w:sz w:val="24"/>
          <w:szCs w:val="24"/>
        </w:rPr>
        <w:t>extract</w:t>
      </w:r>
      <w:r w:rsidR="00154005" w:rsidRPr="003676D3">
        <w:rPr>
          <w:rFonts w:ascii="Times New Roman" w:hAnsi="Times New Roman" w:cs="Times New Roman"/>
          <w:sz w:val="24"/>
          <w:szCs w:val="24"/>
        </w:rPr>
        <w:t xml:space="preserve"> patte</w:t>
      </w:r>
      <w:r w:rsidR="002D2AB0" w:rsidRPr="003676D3">
        <w:rPr>
          <w:rFonts w:ascii="Times New Roman" w:hAnsi="Times New Roman" w:cs="Times New Roman"/>
          <w:sz w:val="24"/>
          <w:szCs w:val="24"/>
        </w:rPr>
        <w:t>rns from large volumes of data</w:t>
      </w:r>
      <w:r w:rsidR="00154005" w:rsidRPr="003676D3">
        <w:rPr>
          <w:rFonts w:ascii="Times New Roman" w:hAnsi="Times New Roman" w:cs="Times New Roman"/>
          <w:sz w:val="24"/>
          <w:szCs w:val="24"/>
        </w:rPr>
        <w:t xml:space="preserve">, and </w:t>
      </w:r>
      <w:r w:rsidR="002D2AB0" w:rsidRPr="003676D3">
        <w:rPr>
          <w:rFonts w:ascii="Times New Roman" w:hAnsi="Times New Roman" w:cs="Times New Roman"/>
          <w:sz w:val="24"/>
          <w:szCs w:val="24"/>
        </w:rPr>
        <w:t>modelling</w:t>
      </w:r>
      <w:r w:rsidR="00154005" w:rsidRPr="003676D3">
        <w:rPr>
          <w:rFonts w:ascii="Times New Roman" w:hAnsi="Times New Roman" w:cs="Times New Roman"/>
          <w:sz w:val="24"/>
          <w:szCs w:val="24"/>
        </w:rPr>
        <w:t xml:space="preserve"> network/communication infrastructure. Moreover, it can enhance the functionality of the grid by realising it in virtual environment, which results in an immersive and real-time experience</w:t>
      </w:r>
      <w:r w:rsidR="004C03B2" w:rsidRPr="003676D3">
        <w:rPr>
          <w:rFonts w:ascii="Times New Roman" w:hAnsi="Times New Roman" w:cs="Times New Roman"/>
          <w:sz w:val="24"/>
          <w:szCs w:val="24"/>
        </w:rPr>
        <w:t xml:space="preserve"> </w:t>
      </w:r>
      <w:r w:rsidR="004C03B2" w:rsidRPr="003676D3">
        <w:rPr>
          <w:rFonts w:ascii="Times New Roman" w:hAnsi="Times New Roman" w:cs="Times New Roman"/>
          <w:sz w:val="24"/>
          <w:szCs w:val="24"/>
        </w:rPr>
        <w:fldChar w:fldCharType="begin" w:fldLock="1"/>
      </w:r>
      <w:r w:rsidR="004C03B2" w:rsidRPr="003676D3">
        <w:rPr>
          <w:rFonts w:ascii="Times New Roman" w:hAnsi="Times New Roman" w:cs="Times New Roman"/>
          <w:sz w:val="24"/>
          <w:szCs w:val="24"/>
        </w:rPr>
        <w:instrText>ADDIN CSL_CITATION {"citationItems":[{"id":"ITEM-1","itemData":{"abstract":"Dubbed \"the successor to the mobile Internet\", the concept of the Metaverse has grown in popularity. While there exist lite versions of the Metaverse today, they are still far from realizing the full vision of an immersive, embodied, and interoper-able Metaverse. Without addressing the issues of implementation from the communication and networking, as well as computation perspectives, the Metaverse is difficult to succeed the Internet, especially in terms of its accessibility to billions of users today. In this survey, we focus on the edge-enabled Metaverse to realize its ultimate vision. We first provide readers with a succinct tutorial of the Metaverse, an introduction to the architecture, as well as current developments. To enable ubiquitous, seamless, and embodied access to the Metaverse, we discuss the communication and networking challenges and survey cutting-edge solutions and concepts that leverage next-generation communication systems for users to immerse as and interact with embodied avatars in the Metaverse. Moreover, given the high computation costs required, e.g., to render 3D virtual worlds and run data-hungry artificial intelligence-driven avatars, we discuss the computation challenges and cloud-edge-end computation framework-driven solutions to realize the Metaverse on resource-constrained edge devices. Next, we explore how blockchain technologies can aid in the interoperable development of the Metaverse, not just in terms of empowering the economic circulation of virtual user-generated content but also to manage physical edge resources in a decentralized, transparent, and immutable manner. Finally, we discuss the future research directions towards realizing the true vision of the edge-enabled Metaverse.","author":[{"dropping-particle":"","family":"Xu","given":"Minrui","non-dropping-particle":"","parse-names":false,"suffix":""},{"dropping-particle":"","family":"Ng","given":"Wei Chong","non-dropping-particle":"","parse-names":false,"suffix":""},{"dropping-particle":"","family":"Yang","given":"Wei","non-dropping-particle":"","parse-names":false,"suffix":""},{"dropping-particle":"","family":"Lim","given":"Bryan","non-dropping-particle":"","parse-names":false,"suffix":""},{"dropping-particle":"","family":"Kang","given":"Jiawen","non-dropping-particle":"","parse-names":false,"suffix":""},{"dropping-particle":"","family":"Xiong","given":"Zehui","non-dropping-particle":"","parse-names":false,"suffix":""},{"dropping-particle":"","family":"Niyato","given":"Dusit","non-dropping-particle":"","parse-names":false,"suffix":""},{"dropping-particle":"","family":"Yang","given":"Qiang","non-dropping-particle":"","parse-names":false,"suffix":""},{"dropping-particle":"","family":"Shen","given":"Sherman","non-dropping-particle":"","parse-names":false,"suffix":""},{"dropping-particle":"","family":"Miao","given":"Chunyan","non-dropping-particle":"","parse-names":false,"suffix":""}],"container-title":"ieeexplore.ieee.orgM Xu, WC Ng, WYB Lim, J Kang, Z Xiong, D Niyato, Q Yang, X Shen, C MiaoIEEE Communications Surveys &amp; Tutorials, 2022•ieeexplore.ieee.org","id":"ITEM-1","issued":{"date-parts":[["0"]]},"title":"A full dive into realizing the edge-enabled metaverse: Visions, enabling technologies, and challenges","type":"article-journal"},"uris":["http://www.mendeley.com/documents/?uuid=24b4e804-8ea3-3732-8c98-52a293b12b43"]},{"id":"ITEM-2","itemData":{"URL":"https://www.fastcompany.com/90771640/the-next-economy-creating-new-ways-to-shop-work-and-play","accessed":{"date-parts":[["2024","5","20"]]},"id":"ITEM-2","issued":{"date-parts":[["0"]]},"title":"The next economy: creating new ways to shop, work, and play - Fast Company","type":"webpage"},"uris":["http://www.mendeley.com/documents/?uuid=f148694a-498e-36d0-98f0-5c3be6d3ba90"]},{"id":"ITEM-3","itemData":{"URL":"https://www.financialexpress.com/opinion/virtual-power-plants-metaverse-for-the-power-sector/2511907/","accessed":{"date-parts":[["2024","5","20"]]},"id":"ITEM-3","issued":{"date-parts":[["0"]]},"title":"Virtual power plants: Metaverse for the power sector - Opinion News | The Financial Express","type":"webpage"},"uris":["http://www.mendeley.com/documents/?uuid=839e60bc-d5fb-3d9b-844f-42d5df73aa55"]}],"mendeley":{"formattedCitation":"[138–140]","plainTextFormattedCitation":"[138–140]","previouslyFormattedCitation":"[138–140]"},"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[138–140]</w:t>
      </w:r>
      <w:r w:rsidR="004C03B2" w:rsidRPr="003676D3">
        <w:rPr>
          <w:rFonts w:ascii="Times New Roman" w:hAnsi="Times New Roman" w:cs="Times New Roman"/>
          <w:sz w:val="24"/>
          <w:szCs w:val="24"/>
        </w:rPr>
        <w:fldChar w:fldCharType="end"/>
      </w:r>
      <w:r w:rsidR="004C03B2" w:rsidRPr="003676D3">
        <w:rPr>
          <w:rFonts w:ascii="Times New Roman" w:hAnsi="Times New Roman" w:cs="Times New Roman"/>
          <w:sz w:val="24"/>
          <w:szCs w:val="24"/>
        </w:rPr>
        <w:t xml:space="preserve"> </w:t>
      </w:r>
      <w:r w:rsidR="004C03B2" w:rsidRPr="003676D3">
        <w:rPr>
          <w:rFonts w:ascii="Times New Roman" w:hAnsi="Times New Roman" w:cs="Times New Roman"/>
          <w:sz w:val="24"/>
          <w:szCs w:val="24"/>
        </w:rPr>
        <w:fldChar w:fldCharType="begin" w:fldLock="1"/>
      </w:r>
      <w:r w:rsidR="004C03B2" w:rsidRPr="003676D3">
        <w:rPr>
          <w:rFonts w:ascii="Times New Roman" w:hAnsi="Times New Roman" w:cs="Times New Roman"/>
          <w:sz w:val="24"/>
          <w:szCs w:val="24"/>
        </w:rPr>
        <w:instrText>ADDIN CSL_CITATION {"citationItems":[{"id":"ITEM-1","itemData":{"DOI":"10.1109/COMST.2022.3202047","ISSN":"1553877X","abstract":"Metaverse, as an evolving paradigm of the next-generation Internet, aims to build a fully immersive, hyper spatiotemporal, and self-sustaining virtual shared space for humans to play, work, and socialize. Driven by recent advances in emerging technologies such as extended reality, artificial intelligence, and blockchain, metaverse is stepping from science fiction to an upcoming reality. However, severe privacy invasions and security breaches (inherited from underlying technologies or emerged in the new digital ecology) of metaverse can impede its wide deployment. At the same time, a series of fundamental challenges (e.g., scalability and interoperability) can arise in metaverse security provisioning owing to the intrinsic characteristics of metaverse, such as immersive realism, hyper spatiotemporality, sustainability, and heterogeneity. In this paper, we present a comprehensive survey of the fundamentals, security, and privacy of metaverse. Specifically, we first investigate a novel distributed metaverse architecture and its key characteristics with ternary-world interactions. Then, we discuss the security and privacy threats, present the critical challenges of metaverse systems, and review the state-of-the-art countermeasures. Finally, we draw open research directions for building future metaverse systems.","author":[{"dropping-particle":"","family":"Wang","given":"Yuntao","non-dropping-particle":"","parse-names":false,"suffix":""},{"dropping-particle":"","family":"Su","given":"Zhou","non-dropping-particle":"","parse-names":false,"suffix":""},{"dropping-particle":"","family":"Zhang","given":"Ning","non-dropping-particle":"","parse-names":false,"suffix":""},{"dropping-particle":"","family":"Xing","given":"Rui","non-dropping-particle":"","parse-names":false,"suffix":""},{"dropping-particle":"","family":"Liu","given":"Dongxiao","non-dropping-particle":"","parse-names":false,"suffix":""},{"dropping-particle":"","family":"Luan","given":"Tom H.","non-dropping-particle":"","parse-names":false,"suffix":""},{"dropping-particle":"","family":"Shen","given":"Xuemin","non-dropping-particle":"","parse-names":false,"suffix":""}],"container-title":"IEEE Communications Surveys and Tutorials","id":"ITEM-1","issue":"1","issued":{"date-parts":[["2023"]]},"page":"319-352","publisher":"Institute of Electrical and Electronics Engineers Inc.","title":"A Survey on Metaverse: Fundamentals, Security, and Privacy","type":"article-journal","volume":"25"},"uris":["http://www.mendeley.com/documents/?uuid=9f040599-20ff-3730-82c4-c98c0521aab1"]},{"id":"ITEM-2","itemData":{"DOI":"10.1016/S0262-4079(21)01450-0","ISSN":"02624079","abstract":"An old idea is gaining new traction through online gaming and big tech's bet on virtual reality, says Matthew Sparkes","author":[{"dropping-particle":"","family":"Sparkes","given":"Matthew","non-dropping-particle":"","parse-names":false,"suffix":""}],"container-title":"New Scientist","id":"ITEM-2","issue":"3348","issued":{"date-parts":[["2021","8"]]},"page":"18","publisher":"Elsevier BV","title":"What is a metaverse","type":"article-journal","volume":"251"},"uris":["http://www.mendeley.com/documents/?uuid=aad64890-1a1d-30c9-892c-5ad4f4c15ca0"]}],"mendeley":{"formattedCitation":"[141,142]","plainTextFormattedCitation":"[141,142]","previouslyFormattedCitation":"[141,142]"},"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[141,142]</w:t>
      </w:r>
      <w:r w:rsidR="004C03B2" w:rsidRPr="003676D3">
        <w:rPr>
          <w:rFonts w:ascii="Times New Roman" w:hAnsi="Times New Roman" w:cs="Times New Roman"/>
          <w:sz w:val="24"/>
          <w:szCs w:val="24"/>
        </w:rPr>
        <w:fldChar w:fldCharType="end"/>
      </w:r>
      <w:r w:rsidR="00154005" w:rsidRPr="003676D3">
        <w:rPr>
          <w:rFonts w:ascii="Times New Roman" w:hAnsi="Times New Roman" w:cs="Times New Roman"/>
          <w:sz w:val="24"/>
          <w:szCs w:val="24"/>
        </w:rPr>
        <w:t>.</w:t>
      </w:r>
      <w:r w:rsidR="003F2161" w:rsidRPr="003676D3">
        <w:rPr>
          <w:rFonts w:ascii="Times New Roman" w:hAnsi="Times New Roman" w:cs="Times New Roman"/>
          <w:sz w:val="24"/>
          <w:szCs w:val="24"/>
        </w:rPr>
        <w:t xml:space="preserve"> </w:t>
      </w:r>
      <w:r w:rsidR="003F2161" w:rsidRPr="003676D3">
        <w:rPr>
          <w:rFonts w:ascii="Times New Roman" w:hAnsi="Times New Roman" w:cs="Times New Roman"/>
          <w:sz w:val="24"/>
          <w:szCs w:val="24"/>
        </w:rPr>
        <w:fldChar w:fldCharType="begin"/>
      </w:r>
      <w:r w:rsidR="003F2161" w:rsidRPr="003676D3">
        <w:rPr>
          <w:rFonts w:ascii="Times New Roman" w:hAnsi="Times New Roman" w:cs="Times New Roman"/>
          <w:sz w:val="24"/>
          <w:szCs w:val="24"/>
        </w:rPr>
        <w:instrText xml:space="preserve"> REF _Ref168049875 \h  \* MERGEFORMAT </w:instrText>
      </w:r>
      <w:r w:rsidR="003F2161" w:rsidRPr="003676D3">
        <w:rPr>
          <w:rFonts w:ascii="Times New Roman" w:hAnsi="Times New Roman" w:cs="Times New Roman"/>
          <w:sz w:val="24"/>
          <w:szCs w:val="24"/>
        </w:rPr>
      </w:r>
      <w:r w:rsidR="003F2161"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7</w:t>
      </w:r>
      <w:r w:rsidR="003F2161" w:rsidRPr="003676D3">
        <w:rPr>
          <w:rFonts w:ascii="Times New Roman" w:hAnsi="Times New Roman" w:cs="Times New Roman"/>
          <w:sz w:val="24"/>
          <w:szCs w:val="24"/>
        </w:rPr>
        <w:fldChar w:fldCharType="end"/>
      </w:r>
      <w:r w:rsidR="003F2161" w:rsidRPr="003676D3">
        <w:rPr>
          <w:rFonts w:ascii="Times New Roman" w:hAnsi="Times New Roman" w:cs="Times New Roman"/>
          <w:sz w:val="24"/>
          <w:szCs w:val="24"/>
        </w:rPr>
        <w:t xml:space="preserve"> shows the role of enabling technologies in SSG.</w:t>
      </w:r>
    </w:p>
    <w:p w14:paraId="03BFCD73" w14:textId="6CB0459B" w:rsidR="003F2161" w:rsidRPr="003676D3" w:rsidRDefault="003F2161"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sz w:val="24"/>
          <w:szCs w:val="24"/>
        </w:rPr>
        <w:drawing>
          <wp:anchor distT="0" distB="0" distL="114300" distR="114300" simplePos="0" relativeHeight="251663360" behindDoc="0" locked="0" layoutInCell="1" allowOverlap="1" wp14:anchorId="416B35EF" wp14:editId="4900D795">
            <wp:simplePos x="0" y="0"/>
            <wp:positionH relativeFrom="margin">
              <wp:posOffset>0</wp:posOffset>
            </wp:positionH>
            <wp:positionV relativeFrom="paragraph">
              <wp:posOffset>308610</wp:posOffset>
            </wp:positionV>
            <wp:extent cx="5648325" cy="3295015"/>
            <wp:effectExtent l="0" t="0" r="9525" b="635"/>
            <wp:wrapSquare wrapText="bothSides"/>
            <wp:docPr id="2" name="Picture 2" descr="C:\Users\AnamZahid\Desktop\Project European grid\infographics for paper\Figures for 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mZahid\Desktop\Project European grid\infographics for paper\Figures for journ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6D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05B4D17" wp14:editId="09A93CA8">
                <wp:simplePos x="0" y="0"/>
                <wp:positionH relativeFrom="column">
                  <wp:posOffset>1270</wp:posOffset>
                </wp:positionH>
                <wp:positionV relativeFrom="paragraph">
                  <wp:posOffset>3749040</wp:posOffset>
                </wp:positionV>
                <wp:extent cx="5648325" cy="35242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a:off x="0" y="0"/>
                          <a:ext cx="5648325" cy="352425"/>
                        </a:xfrm>
                        <a:prstGeom prst="rect">
                          <a:avLst/>
                        </a:prstGeom>
                        <a:solidFill>
                          <a:prstClr val="white"/>
                        </a:solidFill>
                        <a:ln>
                          <a:noFill/>
                        </a:ln>
                      </wps:spPr>
                      <wps:txbx>
                        <w:txbxContent>
                          <w:p w14:paraId="6FECDB91" w14:textId="19661D01" w:rsidR="001F368F" w:rsidRPr="0049516E" w:rsidRDefault="001F368F" w:rsidP="004B1918">
                            <w:pPr>
                              <w:pStyle w:val="Caption"/>
                              <w:jc w:val="center"/>
                              <w:rPr>
                                <w:rFonts w:asciiTheme="majorBidi" w:hAnsiTheme="majorBidi" w:cstheme="majorBidi"/>
                                <w:b/>
                                <w:bCs/>
                                <w:i w:val="0"/>
                                <w:iCs w:val="0"/>
                                <w:noProof/>
                                <w:color w:val="auto"/>
                                <w:sz w:val="20"/>
                                <w:szCs w:val="20"/>
                              </w:rPr>
                            </w:pPr>
                            <w:bookmarkStart w:id="19" w:name="_Ref168049875"/>
                            <w:r w:rsidRPr="0049516E">
                              <w:rPr>
                                <w:rFonts w:asciiTheme="majorBidi" w:hAnsiTheme="majorBidi" w:cstheme="majorBidi"/>
                                <w:b/>
                                <w:bCs/>
                                <w:i w:val="0"/>
                                <w:iCs w:val="0"/>
                                <w:color w:val="auto"/>
                                <w:sz w:val="20"/>
                                <w:szCs w:val="20"/>
                              </w:rPr>
                              <w:t xml:space="preserve">Figure </w:t>
                            </w:r>
                            <w:r w:rsidRPr="0049516E">
                              <w:rPr>
                                <w:rFonts w:asciiTheme="majorBidi" w:hAnsiTheme="majorBidi" w:cstheme="majorBidi"/>
                                <w:b/>
                                <w:bCs/>
                                <w:i w:val="0"/>
                                <w:iCs w:val="0"/>
                                <w:color w:val="auto"/>
                                <w:sz w:val="20"/>
                                <w:szCs w:val="20"/>
                              </w:rPr>
                              <w:fldChar w:fldCharType="begin"/>
                            </w:r>
                            <w:r w:rsidRPr="0049516E">
                              <w:rPr>
                                <w:rFonts w:asciiTheme="majorBidi" w:hAnsiTheme="majorBidi" w:cstheme="majorBidi"/>
                                <w:b/>
                                <w:bCs/>
                                <w:i w:val="0"/>
                                <w:iCs w:val="0"/>
                                <w:color w:val="auto"/>
                                <w:sz w:val="20"/>
                                <w:szCs w:val="20"/>
                              </w:rPr>
                              <w:instrText xml:space="preserve"> SEQ Figure \* ARABIC </w:instrText>
                            </w:r>
                            <w:r w:rsidRPr="0049516E">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7</w:t>
                            </w:r>
                            <w:r w:rsidRPr="0049516E">
                              <w:rPr>
                                <w:rFonts w:asciiTheme="majorBidi" w:hAnsiTheme="majorBidi" w:cstheme="majorBidi"/>
                                <w:b/>
                                <w:bCs/>
                                <w:i w:val="0"/>
                                <w:iCs w:val="0"/>
                                <w:color w:val="auto"/>
                                <w:sz w:val="20"/>
                                <w:szCs w:val="20"/>
                              </w:rPr>
                              <w:fldChar w:fldCharType="end"/>
                            </w:r>
                            <w:bookmarkEnd w:id="19"/>
                            <w:r w:rsidRPr="0049516E">
                              <w:rPr>
                                <w:rFonts w:asciiTheme="majorBidi" w:hAnsiTheme="majorBidi" w:cstheme="majorBidi"/>
                                <w:b/>
                                <w:bCs/>
                                <w:i w:val="0"/>
                                <w:iCs w:val="0"/>
                                <w:color w:val="auto"/>
                                <w:sz w:val="20"/>
                                <w:szCs w:val="20"/>
                              </w:rPr>
                              <w:t>. Role of Enabling Technologies in Super Smart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B4D17" id="Text Box 14" o:spid="_x0000_s1031" type="#_x0000_t202" style="position:absolute;left:0;text-align:left;margin-left:.1pt;margin-top:295.2pt;width:444.75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" stroked="f">
                <v:textbox inset="0,0,0,0">
                  <w:txbxContent>
                    <w:p w14:paraId="6FECDB91" w14:textId="19661D01" w:rsidR="001F368F" w:rsidRPr="0049516E" w:rsidRDefault="001F368F" w:rsidP="004B1918">
                      <w:pPr>
                        <w:pStyle w:val="Caption"/>
                        <w:jc w:val="center"/>
                        <w:rPr>
                          <w:rFonts w:asciiTheme="majorBidi" w:hAnsiTheme="majorBidi" w:cstheme="majorBidi"/>
                          <w:b/>
                          <w:bCs/>
                          <w:i w:val="0"/>
                          <w:iCs w:val="0"/>
                          <w:noProof/>
                          <w:color w:val="auto"/>
                          <w:sz w:val="20"/>
                          <w:szCs w:val="20"/>
                        </w:rPr>
                      </w:pPr>
                      <w:bookmarkStart w:id="20" w:name="_Ref168049875"/>
                      <w:r w:rsidRPr="0049516E">
                        <w:rPr>
                          <w:rFonts w:asciiTheme="majorBidi" w:hAnsiTheme="majorBidi" w:cstheme="majorBidi"/>
                          <w:b/>
                          <w:bCs/>
                          <w:i w:val="0"/>
                          <w:iCs w:val="0"/>
                          <w:color w:val="auto"/>
                          <w:sz w:val="20"/>
                          <w:szCs w:val="20"/>
                        </w:rPr>
                        <w:t xml:space="preserve">Figure </w:t>
                      </w:r>
                      <w:r w:rsidRPr="0049516E">
                        <w:rPr>
                          <w:rFonts w:asciiTheme="majorBidi" w:hAnsiTheme="majorBidi" w:cstheme="majorBidi"/>
                          <w:b/>
                          <w:bCs/>
                          <w:i w:val="0"/>
                          <w:iCs w:val="0"/>
                          <w:color w:val="auto"/>
                          <w:sz w:val="20"/>
                          <w:szCs w:val="20"/>
                        </w:rPr>
                        <w:fldChar w:fldCharType="begin"/>
                      </w:r>
                      <w:r w:rsidRPr="0049516E">
                        <w:rPr>
                          <w:rFonts w:asciiTheme="majorBidi" w:hAnsiTheme="majorBidi" w:cstheme="majorBidi"/>
                          <w:b/>
                          <w:bCs/>
                          <w:i w:val="0"/>
                          <w:iCs w:val="0"/>
                          <w:color w:val="auto"/>
                          <w:sz w:val="20"/>
                          <w:szCs w:val="20"/>
                        </w:rPr>
                        <w:instrText xml:space="preserve"> SEQ Figure \* ARABIC </w:instrText>
                      </w:r>
                      <w:r w:rsidRPr="0049516E">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7</w:t>
                      </w:r>
                      <w:r w:rsidRPr="0049516E">
                        <w:rPr>
                          <w:rFonts w:asciiTheme="majorBidi" w:hAnsiTheme="majorBidi" w:cstheme="majorBidi"/>
                          <w:b/>
                          <w:bCs/>
                          <w:i w:val="0"/>
                          <w:iCs w:val="0"/>
                          <w:color w:val="auto"/>
                          <w:sz w:val="20"/>
                          <w:szCs w:val="20"/>
                        </w:rPr>
                        <w:fldChar w:fldCharType="end"/>
                      </w:r>
                      <w:bookmarkEnd w:id="20"/>
                      <w:r w:rsidRPr="0049516E">
                        <w:rPr>
                          <w:rFonts w:asciiTheme="majorBidi" w:hAnsiTheme="majorBidi" w:cstheme="majorBidi"/>
                          <w:b/>
                          <w:bCs/>
                          <w:i w:val="0"/>
                          <w:iCs w:val="0"/>
                          <w:color w:val="auto"/>
                          <w:sz w:val="20"/>
                          <w:szCs w:val="20"/>
                        </w:rPr>
                        <w:t>. Role of Enabling Technologies in Super Smart Grid.</w:t>
                      </w:r>
                    </w:p>
                  </w:txbxContent>
                </v:textbox>
                <w10:wrap type="square"/>
              </v:shape>
            </w:pict>
          </mc:Fallback>
        </mc:AlternateContent>
      </w:r>
    </w:p>
    <w:p w14:paraId="1E85A1BE" w14:textId="342CAA48" w:rsidR="008E3C66"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 xml:space="preserve">5.1. </w:t>
      </w:r>
      <w:r w:rsidR="002A7177" w:rsidRPr="003676D3">
        <w:rPr>
          <w:rFonts w:ascii="Times New Roman" w:hAnsi="Times New Roman" w:cs="Times New Roman"/>
          <w:b/>
          <w:bCs/>
          <w:color w:val="auto"/>
          <w:sz w:val="24"/>
          <w:szCs w:val="24"/>
        </w:rPr>
        <w:t>Metaverse</w:t>
      </w:r>
      <w:r w:rsidR="003F3758" w:rsidRPr="003676D3">
        <w:rPr>
          <w:rFonts w:ascii="Times New Roman" w:hAnsi="Times New Roman" w:cs="Times New Roman"/>
          <w:b/>
          <w:bCs/>
          <w:color w:val="auto"/>
          <w:sz w:val="24"/>
          <w:szCs w:val="24"/>
        </w:rPr>
        <w:t xml:space="preserve"> and Digital Twin</w:t>
      </w:r>
    </w:p>
    <w:p w14:paraId="2EA02E82" w14:textId="349DF552" w:rsidR="00132774" w:rsidRPr="003676D3" w:rsidRDefault="00892BF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metaverse is a prime example of Human-Computer Interaction (HCI) and widely explored by researchers globally. It is a virtual environment, consists of immersive and intertwined digital spaces, providing users a platform to interact with computer</w:t>
      </w:r>
      <w:r w:rsidR="004C03B2" w:rsidRPr="003676D3">
        <w:rPr>
          <w:rFonts w:ascii="Times New Roman" w:hAnsi="Times New Roman" w:cs="Times New Roman"/>
          <w:sz w:val="24"/>
          <w:szCs w:val="24"/>
        </w:rPr>
        <w:t xml:space="preserve"> </w:t>
      </w:r>
      <w:r w:rsidR="004C03B2" w:rsidRPr="003676D3">
        <w:rPr>
          <w:rFonts w:ascii="Times New Roman" w:hAnsi="Times New Roman" w:cs="Times New Roman"/>
          <w:sz w:val="24"/>
          <w:szCs w:val="24"/>
        </w:rPr>
        <w:fldChar w:fldCharType="begin" w:fldLock="1"/>
      </w:r>
      <w:r w:rsidR="004C03B2" w:rsidRPr="003676D3">
        <w:rPr>
          <w:rFonts w:ascii="Times New Roman" w:hAnsi="Times New Roman" w:cs="Times New Roman"/>
          <w:sz w:val="24"/>
          <w:szCs w:val="24"/>
        </w:rPr>
        <w:instrText>ADDIN CSL_CITATION {"citationItems":[{"id":"ITEM-1","itemData":{"URL":"https://www.mckinsey.com/capabilities/growth-marketing-and-sales/our-insights/value-creation-in-the-Metaverse","accessed":{"date-parts":[["2024","5","20"]]},"author":[{"dropping-particle":"","family":"Mckinsey","given":"","non-dropping-particle":"","parse-names":false,"suffix":""}],"id":"ITEM-1","issued":{"date-parts":[["0"]]},"title":"Value creation in the metaverse | McKinsey","type":"webpage"},"uris":["http://www.mendeley.com/documents/?uuid=10adfff2-1939-3591-9b13-735687d73bee"]}],"mendeley":{"formattedCitation":"[143]","plainTextFormattedCitation":"[143]","previouslyFormattedCitation":"[143]"},"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[143]</w:t>
      </w:r>
      <w:r w:rsidR="004C03B2" w:rsidRPr="003676D3">
        <w:rPr>
          <w:rFonts w:ascii="Times New Roman" w:hAnsi="Times New Roman" w:cs="Times New Roman"/>
          <w:sz w:val="24"/>
          <w:szCs w:val="24"/>
        </w:rPr>
        <w:fldChar w:fldCharType="end"/>
      </w:r>
      <w:r w:rsidR="004C03B2"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{"citationItems":[{"id":"ITEM-1","itemData":{"DOI":"10.3390/SMARTCITIES5030040","ISSN":"2624-6511","abstract":"Data infrastructures, economic processes, and governance models of digital platforms are increasingly pervading urban sectors and spheres of urban life. This phenomenon is known as platformization, which has in turn given rise to the phenomena of platform society, where platforms have permeated the core of urban societies. A recent manifestation of platformization is the Metaverse, a global platform project launched by Meta (formerly Facebook) as a globally operating platform company. The Metaverse represents an idea of a hypothetical “parallel virtual world” that incarnate ways of living and working in virtual cities as an alternative to smart cities of the future. Indeed, with emerging innovative technologies—such as Artificial Intelligence, Big Data, the IoT, and Digital Twins—providing rich datasets and advanced computational understandings of human behavior, the Metaverse has the potential to redefine city designing activities and service provisioning towards increasing urban efficiencies, accountabilities, and quality performance. However, there still remain ethical, human, social, and cultural concerns as to the Metaverse’s influence upon the quality of human social interactions and its prospective scope in reconstructing the quality of urban life. This paper undertakes an upper-level literature review of the area of the Metaverse from a broader perspective. Further, it maps the emerging products and services of the Metaverse, and explores their potential contributions to smart cities with respect to their virtual incarnation, with a particular focus on the environmental, economic, and social goals of sustainability. This study may help urban policy makers to better understand the opportunities and implications of the Metaverse upon tech-mediated practices and applied urban agendas, as well as assess the positives and negatives of this techno-urban vision. This paper also offers thoughts regarding the argument that the Metaverse has disruptive and substantive effects on forms of reconstructing reality in an increasingly platformized urban society. This will hopefully stimulate prospective research and further critical perspectives on the topic.","author":[{"dropping-particle":"","family":"Allam","given":"Zaheer","non-dropping-particle":"","parse-names":false,"suffix":""},{"dropping-particle":"","family":"Sharifi","given":"Ayyoob","non-dropping-particle":"","parse-names":false,"suffix":""},{"dropping-particle":"","family":"Bibri","given":"Simon Elias","non-dropping-particle":"","parse-names":false,"suffix":""},{"dropping-particle":"","family":"Jones","given":"David Sydney","non-dropping-particle":"","parse-names":false,"suffix":""},{"dropping-particle":"","family":"Krogstie","given":"John","non-dropping-particle":"","parse-names":false,"suffix":""}],"container-title":"Smart Cities 2022, Vol. 5, Pages 771-801","id":"ITEM-1","issue":"3","issued":{"date-parts":[["2022","7","8"]]},"page":"771-801","publisher":"Multidisciplinary Digital Publishing Institute","title":"The Metaverse as a Virtual Form of Smart Cities: Opportunities and Challenges for Environmental, Economic, and Social Sustainability in Urban Futures","type":"article-journal","volume":"5"},"uris":["http://www.mendeley.com/documents/?uuid=09cff68e-9c0a-3efb-b2d3-266b6fec42b1"]}],"mendeley":{"formattedCitation":"[144]","plainTextFormattedCitation":"[144]","previouslyFormattedCitation":"[144]"},"properties":{"noteIndex":0},"schema":"https://github.com/citation-style-language/schema/raw/master/csl-citation.json"}</w:instrText>
      </w:r>
      <w:r w:rsidR="004C03B2" w:rsidRPr="003676D3">
        <w:rPr>
          <w:rFonts w:ascii="Times New Roman" w:hAnsi="Times New Roman" w:cs="Times New Roman"/>
          <w:sz w:val="24"/>
          <w:szCs w:val="24"/>
        </w:rPr>
        <w:fldChar w:fldCharType="separate"/>
      </w:r>
      <w:r w:rsidR="004C03B2" w:rsidRPr="003676D3">
        <w:rPr>
          <w:rFonts w:ascii="Times New Roman" w:hAnsi="Times New Roman" w:cs="Times New Roman"/>
          <w:noProof/>
          <w:sz w:val="24"/>
          <w:szCs w:val="24"/>
        </w:rPr>
        <w:t>[144]</w:t>
      </w:r>
      <w:r w:rsidR="004C03B2"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Applying metaverse in </w:t>
      </w:r>
      <w:r w:rsidR="002D2AB0" w:rsidRPr="003676D3">
        <w:rPr>
          <w:rFonts w:ascii="Times New Roman" w:hAnsi="Times New Roman" w:cs="Times New Roman"/>
          <w:sz w:val="24"/>
          <w:szCs w:val="24"/>
        </w:rPr>
        <w:t>SG</w:t>
      </w:r>
      <w:r w:rsidRPr="003676D3">
        <w:rPr>
          <w:rFonts w:ascii="Times New Roman" w:hAnsi="Times New Roman" w:cs="Times New Roman"/>
          <w:sz w:val="24"/>
          <w:szCs w:val="24"/>
        </w:rPr>
        <w:t xml:space="preserve"> can revolutionize and transform the grid into super smart grid. It has the potential to enhance the features of smart grids like reliability, better infrastructure, prosumer service, accessibility and economics</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{"citationItems":[{"id":"ITEM-1","itemData":{"DOI":"10.1016/J.IRFA.2023.102560","ISSN":"1057-5219","abstract":"This paper provides (i) a review of the existing literature on the metaverse and (ii) an empirical assessment of the current state of the Web3 meta-economy, with the focus on economic governance and metaverse commerce. We have analysed the entire Web3 metaverse niche, i.e. both the 196 available metaverse fungible tokens and all the non-fungible token (NFT) transactions belonging to the metaverse marketplace. Our results showed that economic governance is based on metaverse tokens that cannot be defined as reliable virtual currencies due to their explosive behaviour, negative performance, and higher volatility compared to traditional alternatives. Paradoxically, fiat currencies and stablecoins could be more appropriate candidates for the payment infrastructure. Moreover, we also observed that NFT prices are affected by the cryptocurrency market, which highlights the risk of metaverse commerce. For future research, developers and scholars must assess the different alternatives and infrastructures that can make the metaverse a persistent reality with a proper virtual economy. However, at present, it seems that the hype has run far ahead of reality.","author":[{"dropping-particle":"","family":"Vidal-Tomás","given":"David","non-dropping-particle":"","parse-names":false,"suffix":""}],"container-title":"International Review of Financial Analysis","id":"ITEM-1","issued":{"date-parts":[["2023","3","1"]]},"page":"102560","publisher":"North-Holland","title":"The illusion of the metaverse and meta-economy","type":"article-journal","volume":"86"},"uris":["http://www.mendeley.com/documents/?uuid=48520336-25c3-3376-a40e-d1a4b68830a6"]}],"mendeley":{"formattedCitation":"[145]","plainTextFormattedCitation":"[145]","previouslyFormattedCitation":"[145]"},"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[145]</w:t>
      </w:r>
      <w:r w:rsidR="00D36763"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3F3758" w:rsidRPr="003676D3">
        <w:rPr>
          <w:rFonts w:ascii="Times New Roman" w:hAnsi="Times New Roman" w:cs="Times New Roman"/>
          <w:sz w:val="24"/>
          <w:szCs w:val="24"/>
        </w:rPr>
        <w:t xml:space="preserve"> The European Parliament expects that the metaverse market will reach 597.3 billion euros by 2030</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{"citationItems":[{"id":"ITEM-1","itemData":{"abstract":"One of the most talked about concepts in modern technology, the metaverse can be described as an immersive and constant virtual 3D world where people interact by means of an avatar to carry out a wide range of activities. Such activities can range from leisure and gaming to professional and commercial interactions, financial transactions or even health interventions such as surgery. While the exact scope and impact of the metaverse on society and on the economy is still unknown, it can already be seen that the metaverse will open up a range of opportunities but also a number of risks in a variety of policy areas. Major tech companies are scaling up their metaverse activities, including through mergers and acquisitions. This has given impetus to a debate on how merger regulations and antitrust law should apply. Business in the metaverse is expected to be underpinned largely by cryptocurrencies and non-fungible tokens, raising issues of ownership, misuse, interoperability and portability. Furthermore, the huge volume of data used in the metaverse raises a number of data protection and cybersecurity issues (e.g. how to collect user consent or protect avatars against identity theft). There is considerable scope for a wide range of illegal and harmful behaviours and practices in the metaverse environment. This makes it essential to consider how to attribute responsibility, inter alia, for fighting illegal and harmful practices and misleading advertising practices, and for protecting intellectual property rights. Moreover, digital immersion in the metaverse can have severe negative impacts on health, especially for vulnerable groups, such as minors, who may require special protection. Finally, the accessibility and inclusiveness of the metaverse remain areas where progress has still to be made in order to create an environment of equal opportunities.","author":[{"dropping-particle":"","family":"POLONA","given":"CAR","non-dropping-particle":"","parse-names":false,"suffix":""},{"dropping-particle":"","family":"André","given":"MADIEGA Tambiama","non-dropping-particle":"","parse-names":false,"suffix":""},{"dropping-particle":"","family":"Maria","given":"Niestadt","non-dropping-particle":"","parse-names":false,"suffix":""}],"id":"ITEM-1","issued":{"date-parts":[["2022"]]},"publisher":"&lt;bound method Organization.get_name_with_acronym of &lt;Organization: European Parliamentary Research Service&gt;&gt;","title":"Metaverse: Opportunities, risks and policy implications","type":"article"},"uris":["http://www.mendeley.com/documents/?uuid=85637309-8a5d-3828-9e35-ee5e3a1f1b1f"]}],"mendeley":{"formattedCitation":"[146]","plainTextFormattedCitation":"[146]","previouslyFormattedCitation":"[146]"},"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[146]</w:t>
      </w:r>
      <w:r w:rsidR="00D36763" w:rsidRPr="003676D3">
        <w:rPr>
          <w:rFonts w:ascii="Times New Roman" w:hAnsi="Times New Roman" w:cs="Times New Roman"/>
          <w:sz w:val="24"/>
          <w:szCs w:val="24"/>
        </w:rPr>
        <w:fldChar w:fldCharType="end"/>
      </w:r>
      <w:r w:rsidR="003F3758" w:rsidRPr="003676D3">
        <w:rPr>
          <w:rFonts w:ascii="Times New Roman" w:hAnsi="Times New Roman" w:cs="Times New Roman"/>
          <w:sz w:val="24"/>
          <w:szCs w:val="24"/>
        </w:rPr>
        <w:t>. Metaverse founds huge application in smart cities</w:t>
      </w:r>
      <w:r w:rsidR="00DF217F" w:rsidRPr="003676D3">
        <w:rPr>
          <w:rFonts w:ascii="Times New Roman" w:hAnsi="Times New Roman" w:cs="Times New Roman"/>
          <w:sz w:val="24"/>
          <w:szCs w:val="24"/>
        </w:rPr>
        <w:t xml:space="preserve"> </w:t>
      </w:r>
      <w:r w:rsidR="003F3758" w:rsidRPr="003676D3">
        <w:rPr>
          <w:rFonts w:ascii="Times New Roman" w:hAnsi="Times New Roman" w:cs="Times New Roman"/>
          <w:sz w:val="24"/>
          <w:szCs w:val="24"/>
        </w:rPr>
        <w:t>as it can help smooth integration of electric vehicles, ease of connectivity for Internet of Things</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{"citationItems":[{"id":"ITEM-1","itemData":{"DOI":"10.3390/SMARTCITIES5030040","ISSN":"2624-6511","abstract":"Data infrastructures, economic processes, and governance models of digital platforms are increasingly pervading urban sectors and spheres of urban life. This phenomenon is known as platformization, which has in turn given rise to the phenomena of platform society, where platforms have permeated the core of urban societies. A recent manifestation of platformization is the Metaverse, a global platform project launched by Meta (formerly Facebook) as a globally operating platform company. The Metaverse represents an idea of a hypothetical “parallel virtual world” that incarnate ways of living and working in virtual cities as an alternative to smart cities of the future. Indeed, with emerging innovative technologies—such as Artificial Intelligence, Big Data, the IoT, and Digital Twins—providing rich datasets and advanced computational understandings of human behavior, the Metaverse has the potential to redefine city designing activities and service provisioning towards increasing urban efficiencies, accountabilities, and quality performance. However, there still remain ethical, human, social, and cultural concerns as to the Metaverse’s influence upon the quality of human social interactions and its prospective scope in reconstructing the quality of urban life. This paper undertakes an upper-level literature review of the area of the Metaverse from a broader perspective. Further, it maps the emerging products and services of the Metaverse, and explores their potential contributions to smart cities with respect to their virtual incarnation, with a particular focus on the environmental, economic, and social goals of sustainability. This study may help urban policy makers to better understand the opportunities and implications of the Metaverse upon tech-mediated practices and applied urban agendas, as well as assess the positives and negatives of this techno-urban vision. This paper also offers thoughts regarding the argument that the Metaverse has disruptive and substantive effects on forms of reconstructing reality in an increasingly platformized urban society. This will hopefully stimulate prospective research and further critical perspectives on the topic.","author":[{"dropping-particle":"","family":"Allam","given":"Zaheer","non-dropping-particle":"","parse-names":false,"suffix":""},{"dropping-particle":"","family":"Sharifi","given":"Ayyoob","non-dropping-particle":"","parse-names":false,"suffix":""},{"dropping-particle":"","family":"Bibri","given":"Simon Elias","non-dropping-particle":"","parse-names":false,"suffix":""},{"dropping-particle":"","family":"Jones","given":"David Sydney","non-dropping-particle":"","parse-names":false,"suffix":""},{"dropping-particle":"","family":"Krogstie","given":"John","non-dropping-particle":"","parse-names":false,"suffix":""}],"container-title":"Smart Cities 2022, Vol. 5, Pages 771-801","id":"ITEM-1","issue":"3","issued":{"date-parts":[["2022","7","8"]]},"page":"771-801","publisher":"Multidisciplinary Digital Publishing Institute","title":"The Metaverse as a Virtual Form of Smart Cities: Opportunities and Challenges for Environmental, Economic, and Social Sustainability in Urban Futures","type":"article-journal","volume":"5"},"uris":["http://www.mendeley.com/documents/?uuid=09cff68e-9c0a-3efb-b2d3-266b6fec42b1"]},{"id":"ITEM-2","itemData":{"DOI":"10.1109/ACIT58888.2023.10453803","ISBN":"9798350384307","abstract":"In the dynamic landscape of urban development, the synergy of the Metaverse, Digital Twins, and Smart Cities emerges as a potent catalyst for transformation. The Metaverse, a vibrant virtual space, collaborates with cutting-edge technologies, including Virtual Reality (VR), Augmented Reality (AR), the Internet of Things (IoT), and Artificial Intelligence (AI), crafting immersive experiences. Simultaneously, Digital Twins, serving as virtual replicas of physical entities, instigating an industrial revolution, while Smart Cities harness advanced technologies for sustainable urban living. This paper explores the applications of converging these technologies across diverse industries, showcasing how Digital Twins reshape conventional practices and amplify the concept of smart cities through the immersive realm of the Metaverse. However, the exploration unveils challenges, particularly in data privacy, interoperability, and ethical considerations. The study advocates for a balanced and informed approach, emphasizing that the symbiotic relationship between Digital Twins and the Metaverse should steer the evolution of Smart Cities toward security, innovation, and interconnected urban spaces.","author":[{"dropping-particle":"","family":"Zainab","given":"Hijab E.","non-dropping-particle":"","parse-names":false,"suffix":""},{"dropping-particle":"","family":"Bawanay","given":"Narmeen Zakaria","non-dropping-particle":"","parse-names":false,"suffix":""}],"container-title":"2023 24th International Arab Conference on Information Technology, ACIT 2023","id":"ITEM-2","issued":{"date-parts":[["2023"]]},"publisher":"Institute of Electrical and Electronics Engineers Inc.","title":"Digital Twin, Metaverse and Smart Cities in a Race to the Future","type":"article-journal"},"uris":["http://www.mendeley.com/documents/?uuid=58c5059d-c029-3e6d-affa-ad6a46a6e03a"]}],"mendeley":{"formattedCitation":"[144,147]","plainTextFormattedCitation":"[144,147]","previouslyFormattedCitation":"[144,147]"},"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[144,147]</w:t>
      </w:r>
      <w:r w:rsidR="00D36763" w:rsidRPr="003676D3">
        <w:rPr>
          <w:rFonts w:ascii="Times New Roman" w:hAnsi="Times New Roman" w:cs="Times New Roman"/>
          <w:sz w:val="24"/>
          <w:szCs w:val="24"/>
        </w:rPr>
        <w:fldChar w:fldCharType="end"/>
      </w:r>
      <w:r w:rsidR="003F3758" w:rsidRPr="003676D3">
        <w:rPr>
          <w:rFonts w:ascii="Times New Roman" w:hAnsi="Times New Roman" w:cs="Times New Roman"/>
          <w:sz w:val="24"/>
          <w:szCs w:val="24"/>
        </w:rPr>
        <w:t xml:space="preserve">, </w:t>
      </w:r>
      <w:r w:rsidR="00194683" w:rsidRPr="003676D3">
        <w:rPr>
          <w:rFonts w:ascii="Times New Roman" w:hAnsi="Times New Roman" w:cs="Times New Roman"/>
          <w:sz w:val="24"/>
          <w:szCs w:val="24"/>
        </w:rPr>
        <w:t>prevent cyber-physical attacks</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{"citationItems":[{"id":"ITEM-1","itemData":{"DOI":"10.1109/MIS.2022.3221844","ISSN":"19411294","abstract":"The concept of metaverses has received extensive attention recently and cyber-physical-social systems (CPSS) is its academic foundation. In almost all the applications of metaverses, the sensing system is an essential part and intelligent sensing capacity must be provided. However, due to the insufficient consideration of human factors in most of the studies, digital twins' sensing in cyber-physical systems cannot achieve smart sensing in metaverses. For this reason, a novel framework for intelligent sensing in metaverses, MetaSensing, is proposed based on parallel intelligence in CPSS. Within the framework of MetaSensing, there are four states of sensing: physical sensing, descriptive sensing, predictive sensing, and prescriptive sensing. To protect sensors' data privacy in metaverses, DAO-based decentralized sensing is introduced as a mechanism of the operation and maintenance for smart sensing industries.","author":[{"dropping-particle":"","family":"Liu","given":"Yuhang","non-dropping-particle":"","parse-names":false,"suffix":""},{"dropping-particle":"","family":"Shen","given":"Yu","non-dropping-particle":"","parse-names":false,"suffix":""},{"dropping-particle":"","family":"Guo","given":"Chao","non-dropping-particle":"","parse-names":false,"suffix":""},{"dropping-particle":"","family":"Tian","given":"Yonglin","non-dropping-particle":"","parse-names":false,"suffix":""},{"dropping-particle":"","family":"Wang","given":"Xiao","non-dropping-particle":"","parse-names":false,"suffix":""},{"dropping-particle":"","family":"Zhu","given":"Yin","non-dropping-particle":"","parse-names":false,"suffix":""},{"dropping-particle":"","family":"Wang","given":"Fei Yue","non-dropping-particle":"","parse-names":false,"suffix":""}],"container-title":"IEEE Intelligent Systems","id":"ITEM-1","issue":"6","issued":{"date-parts":[["2022","11","1"]]},"page":"7-12","publisher":"Institute of Electrical and Electronics Engineers Inc.","title":"MetaSensing in Metaverses: See There, Be There, and Know There","type":"article-journal","volume":"37"},"uris":["http://www.mendeley.com/documents/?uuid=60c0f457-7dc4-3160-8994-b5d9fd3af511"]},{"id":"ITEM-2","itemData":{"URL":"https://www.microsoft.com/en-us/industry/government/resources/smart-cities","accessed":{"date-parts":[["2024","5","20"]]},"id":"ITEM-2","issued":{"date-parts":[["0"]]},"title":"Smart Cities – Cities of the Future | Microsoft Industry","type":"webpage"},"uris":["http://www.mendeley.com/documents/?uuid=8af7a761-dbab-34f8-98bf-ff23db1cc0e9"]}],"mendeley":{"formattedCitation":"[148,149]","plainTextFormattedCitation":"[148,149]","previouslyFormattedCitation":"[148,149]"},"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[148,149]</w:t>
      </w:r>
      <w:r w:rsidR="00D36763" w:rsidRPr="003676D3">
        <w:rPr>
          <w:rFonts w:ascii="Times New Roman" w:hAnsi="Times New Roman" w:cs="Times New Roman"/>
          <w:sz w:val="24"/>
          <w:szCs w:val="24"/>
        </w:rPr>
        <w:fldChar w:fldCharType="end"/>
      </w:r>
      <w:r w:rsidR="00194683" w:rsidRPr="003676D3">
        <w:rPr>
          <w:rFonts w:ascii="Times New Roman" w:hAnsi="Times New Roman" w:cs="Times New Roman"/>
          <w:sz w:val="24"/>
          <w:szCs w:val="24"/>
        </w:rPr>
        <w:t xml:space="preserve">, </w:t>
      </w:r>
      <w:r w:rsidR="003F3758" w:rsidRPr="003676D3">
        <w:rPr>
          <w:rFonts w:ascii="Times New Roman" w:hAnsi="Times New Roman" w:cs="Times New Roman"/>
          <w:sz w:val="24"/>
          <w:szCs w:val="24"/>
        </w:rPr>
        <w:t xml:space="preserve">lowers carbon emission by reducing the commute, and efficient energy management. </w:t>
      </w:r>
      <w:r w:rsidR="00D20DB7" w:rsidRPr="003676D3">
        <w:rPr>
          <w:rFonts w:ascii="Times New Roman" w:hAnsi="Times New Roman" w:cs="Times New Roman"/>
          <w:sz w:val="24"/>
          <w:szCs w:val="24"/>
        </w:rPr>
        <w:t xml:space="preserve">It would be a </w:t>
      </w:r>
      <w:r w:rsidR="00D20DB7" w:rsidRPr="003676D3">
        <w:rPr>
          <w:rFonts w:ascii="Times New Roman" w:hAnsi="Times New Roman" w:cs="Times New Roman"/>
          <w:sz w:val="24"/>
          <w:szCs w:val="24"/>
        </w:rPr>
        <w:lastRenderedPageBreak/>
        <w:t>next generation of Geographic Information System</w:t>
      </w:r>
      <w:r w:rsidR="00D36763" w:rsidRPr="003676D3">
        <w:rPr>
          <w:rFonts w:ascii="Times New Roman" w:hAnsi="Times New Roman" w:cs="Times New Roman"/>
          <w:sz w:val="24"/>
          <w:szCs w:val="24"/>
        </w:rPr>
        <w:t xml:space="preserve"> (GIS)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{"citationItems":[{"id":"ITEM-1","itemData":{"DOI":"10.3390/SMARTCITIES5030040","ISSN":"2624-6511","abstract":"Data infrastructures, economic processes, and governance models of digital platforms are increasingly pervading urban sectors and spheres of urban life. This phenomenon is known as platformization, which has in turn given rise to the phenomena of platform society, where platforms have permeated the core of urban societies. A recent manifestation of platformization is the Metaverse, a global platform project launched by Meta (formerly Facebook) as a globally operating platform company. The Metaverse represents an idea of a hypothetical “parallel virtual world” that incarnate ways of living and working in virtual cities as an alternative to smart cities of the future. Indeed, with emerging innovative technologies—such as Artificial Intelligence, Big Data, the IoT, and Digital Twins—providing rich datasets and advanced computational understandings of human behavior, the Metaverse has the potential to redefine city designing activities and service provisioning towards increasing urban efficiencies, accountabilities, and quality performance. However, there still remain ethical, human, social, and cultural concerns as to the Metaverse’s influence upon the quality of human social interactions and its prospective scope in reconstructing the quality of urban life. This paper undertakes an upper-level literature review of the area of the Metaverse from a broader perspective. Further, it maps the emerging products and services of the Metaverse, and explores their potential contributions to smart cities with respect to their virtual incarnation, with a particular focus on the environmental, economic, and social goals of sustainability. This study may help urban policy makers to better understand the opportunities and implications of the Metaverse upon tech-mediated practices and applied urban agendas, as well as assess the positives and negatives of this techno-urban vision. This paper also offers thoughts regarding the argument that the Metaverse has disruptive and substantive effects on forms of reconstructing reality in an increasingly platformized urban society. This will hopefully stimulate prospective research and further critical perspectives on the topic.","author":[{"dropping-particle":"","family":"Allam","given":"Zaheer","non-dropping-particle":"","parse-names":false,"suffix":""},{"dropping-particle":"","family":"Sharifi","given":"Ayyoob","non-dropping-particle":"","parse-names":false,"suffix":""},{"dropping-particle":"","family":"Bibri","given":"Simon Elias","non-dropping-particle":"","parse-names":false,"suffix":""},{"dropping-particle":"","family":"Jones","given":"David Sydney","non-dropping-particle":"","parse-names":false,"suffix":""},{"dropping-particle":"","family":"Krogstie","given":"John","non-dropping-particle":"","parse-names":false,"suffix":""}],"container-title":"Smart Cities 2022, Vol. 5, Pages 771-801","id":"ITEM-1","issue":"3","issued":{"date-parts":[["2022","7","8"]]},"page":"771-801","publisher":"Multidisciplinary Digital Publishing Institute","title":"The Metaverse as a Virtual Form of Smart Cities: Opportunities and Challenges for Environmental, Economic, and Social Sustainability in Urban Futures","type":"article-journal","volume":"5"},"uris":["http://www.mendeley.com/documents/?uuid=09cff68e-9c0a-3efb-b2d3-266b6fec42b1"]}],"mendeley":{"formattedCitation":"[144]","plainTextFormattedCitation":"[144]","previouslyFormattedCitation":"[144]"},"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[144]</w:t>
      </w:r>
      <w:r w:rsidR="00D36763" w:rsidRPr="003676D3">
        <w:rPr>
          <w:rFonts w:ascii="Times New Roman" w:hAnsi="Times New Roman" w:cs="Times New Roman"/>
          <w:sz w:val="24"/>
          <w:szCs w:val="24"/>
        </w:rPr>
        <w:fldChar w:fldCharType="end"/>
      </w:r>
      <w:r w:rsidR="00D20DB7" w:rsidRPr="003676D3">
        <w:rPr>
          <w:rFonts w:ascii="Times New Roman" w:hAnsi="Times New Roman" w:cs="Times New Roman"/>
          <w:sz w:val="24"/>
          <w:szCs w:val="24"/>
        </w:rPr>
        <w:t xml:space="preserve">, in which super smart grids would be perfectly laid out in 3D. </w:t>
      </w:r>
    </w:p>
    <w:p w14:paraId="78D0A9F1" w14:textId="4FCC61D4" w:rsidR="002E3991" w:rsidRPr="003676D3" w:rsidRDefault="003F375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Digital twin as a fundamental building block of metaverse</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{"citationItems":[{"id":"ITEM-1","itemData":{"DOI":"10.1016/J.VRIH.2022.06.005","ISSN":"2096-5796","abstract":"The new-generation information technology development enables Digital Twins to reshape the physical world into the virtual digital space and provide technical support for Metaverse construction. The Metaverse objects can be mesoscale or macro-micro-scales. Metaverse is a complex collection of both solid substances and liquid, gaseous, plasma, and other uncertain states. Additionally, Metaverse integrates the tangibles with social relations, such as interpersonal relations (friendship, love, and blood relations) and the overall social relations (ethics, morality, and law). This work also introduces some principles or laws to construct the Digital Twins model for social relations, such as broken windows theory, small-world phenomenon, survivor bias, and herd behavior. Thus, from multiple angles, it reviews mapping the tangible and intangible real-world objects to the Metaverse using the Digital Twins model.","author":[{"dropping-particle":"","family":"Lv","given":"Zhihan","non-dropping-particle":"","parse-names":false,"suffix":""},{"dropping-particle":"","family":"Xie","given":"Shuxuan","non-dropping-particle":"","parse-names":false,"suffix":""},{"dropping-particle":"","family":"Li","given":"Yuxi","non-dropping-particle":"","parse-names":false,"suffix":""},{"dropping-particle":"","family":"Shamim Hossain","given":"M.","non-dropping-particle":"","parse-names":false,"suffix":""},{"dropping-particle":"","family":"Saddik","given":"Abdulmotaleb","non-dropping-particle":"El","parse-names":false,"suffix":""}],"container-title":"Virtual Reality &amp; Intelligent Hardware","id":"ITEM-1","issue":"6","issued":{"date-parts":[["2022","12","1"]]},"page":"459-470","publisher":"Elsevier","title":"Building the metaverse using digital twins at all scales,states, and relations","type":"article-journal","volume":"4"},"uris":["http://www.mendeley.com/documents/?uuid=da202465-8728-337b-883f-005ac146d854"]}],"mendeley":{"formattedCitation":"[150]","plainTextFormattedCitation":"[150]","previouslyFormattedCitation":"[150]"},"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[150]</w:t>
      </w:r>
      <w:r w:rsidR="00D36763"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is expected to reach 86.09 billion dollar market by 2028. In case of a super smart grid, it acts as a virtual representation of the whole electric network in the digital space of metaverse and uses simulation, real time data and artificial intelligence methods to help reach a decision. This technology replicates the reality and instantaneously synchronise the sensor collected real time data between digital space and physical world</w:t>
      </w:r>
      <w:r w:rsidR="00D36763"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D36763" w:rsidRPr="003676D3">
        <w:rPr>
          <w:rFonts w:ascii="Times New Roman" w:hAnsi="Times New Roman" w:cs="Times New Roman"/>
          <w:sz w:val="24"/>
          <w:szCs w:val="24"/>
        </w:rPr>
        <w:instrText>ADDIN CSL_CITATION {"citationItems":[{"id":"ITEM-1","itemData":{"URL":"https://www.biznesstransform.com/virtual-smart-cities-using-metaverse-digital-twins/","accessed":{"date-parts":[["2024","5","13"]]},"id":"ITEM-1","issued":{"date-parts":[["0"]]},"title":"Virtual smart cities using Metaverse, digital twins - Bizness Transform","type":"webpage"},"uris":["http://www.mendeley.com/documents/?uuid=d6529f98-d61b-37c4-ba02-39ac1532467b"]}],"mendeley":{"formattedCitation":"[151]","plainTextFormattedCitation":"[151]","previouslyFormattedCitation":"[151]"},"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[151]</w:t>
      </w:r>
      <w:r w:rsidR="00D36763"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r w:rsidR="006E6D67" w:rsidRPr="003676D3">
        <w:rPr>
          <w:rFonts w:ascii="Times New Roman" w:hAnsi="Times New Roman" w:cs="Times New Roman"/>
          <w:sz w:val="24"/>
          <w:szCs w:val="24"/>
        </w:rPr>
        <w:t>Like metaverse application in smart cities</w:t>
      </w:r>
      <w:r w:rsidR="000E1E44" w:rsidRPr="003676D3">
        <w:rPr>
          <w:rFonts w:ascii="Times New Roman" w:hAnsi="Times New Roman" w:cs="Times New Roman"/>
          <w:sz w:val="24"/>
          <w:szCs w:val="24"/>
        </w:rPr>
        <w:t xml:space="preserve"> </w:t>
      </w:r>
      <w:r w:rsidR="00D36763"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{"citationItems":[{"id":"ITEM-1","itemData":{"DOI":"10.1016/J.CITIES.2015.05.004","ISSN":"0264-2751","abstract":"Despite the ongoing discussion of the recent years, there is no agreed definition of a 'smart city', while strategic planning in this field is still largely unexplored. Inspired by this, the purpose of this paper was to identify the forces shaping the smart city conception and, by doing so, to begin replacing the currently abstract image of what it means to be one. The paper commences by dividing the recent history of smart cities into two large sections - urban futures and the knowledge and innovation economy. The urban futures strand shows that technology has always played an important role in forward-looking visions about the city of the future. The knowledge and innovation economy strand shows that recent technological advancements have introduced a whole new level of knowledge management and innovation capabilities in the urban context. The paper proceeds to explicate the current technology push and demand pull for smart city solutions. On one hand, technology advances rapidly and creates a booming market of smart city products and solutions around it. On the other hand, there is demand on the side of cities that seek to address the problems of efficiency and sustainability, making the ground fertile for a smart city product economy. The research route of this paper eventually allows the identification of the underlying - and often forgotten - principles of what it means to be 'smart' in an urban context and yields conclusions about strategic planning for the development of smart cities today.","author":[{"dropping-particle":"","family":"Angelidou","given":"Margarita","non-dropping-particle":"","parse-names":false,"suffix":""}],"container-title":"Cities","id":"ITEM-1","issued":{"date-parts":[["2015","9","1"]]},"page":"95-106","publisher":"Pergamon","title":"Smart cities: A conjuncture of four forces","type":"article-journal","volume":"47"},"uris":["http://www.mendeley.com/documents/?uuid=56f2927d-e9c6-3fbb-bcdc-9b03beee65d3"]}],"mendeley":{"formattedCitation":"[152]","plainTextFormattedCitation":"[152]","previouslyFormattedCitation":"[152]"},"properties":{"noteIndex":0},"schema":"https://github.com/citation-style-language/schema/raw/master/csl-citation.json"}</w:instrText>
      </w:r>
      <w:r w:rsidR="00D36763" w:rsidRPr="003676D3">
        <w:rPr>
          <w:rFonts w:ascii="Times New Roman" w:hAnsi="Times New Roman" w:cs="Times New Roman"/>
          <w:sz w:val="24"/>
          <w:szCs w:val="24"/>
        </w:rPr>
        <w:fldChar w:fldCharType="separate"/>
      </w:r>
      <w:r w:rsidR="00D36763" w:rsidRPr="003676D3">
        <w:rPr>
          <w:rFonts w:ascii="Times New Roman" w:hAnsi="Times New Roman" w:cs="Times New Roman"/>
          <w:noProof/>
          <w:sz w:val="24"/>
          <w:szCs w:val="24"/>
        </w:rPr>
        <w:t>[152]</w:t>
      </w:r>
      <w:r w:rsidR="00D36763" w:rsidRPr="003676D3">
        <w:rPr>
          <w:rFonts w:ascii="Times New Roman" w:hAnsi="Times New Roman" w:cs="Times New Roman"/>
          <w:sz w:val="24"/>
          <w:szCs w:val="24"/>
        </w:rPr>
        <w:fldChar w:fldCharType="end"/>
      </w:r>
      <w:r w:rsidR="006E6D67" w:rsidRPr="003676D3">
        <w:rPr>
          <w:rFonts w:ascii="Times New Roman" w:hAnsi="Times New Roman" w:cs="Times New Roman"/>
          <w:sz w:val="24"/>
          <w:szCs w:val="24"/>
        </w:rPr>
        <w:t>, employing it in smart grid can help in optimal resource allocation</w:t>
      </w:r>
      <w:r w:rsidR="000E1E44" w:rsidRPr="003676D3">
        <w:rPr>
          <w:rFonts w:ascii="Times New Roman" w:hAnsi="Times New Roman" w:cs="Times New Roman"/>
          <w:sz w:val="24"/>
          <w:szCs w:val="24"/>
        </w:rPr>
        <w:t xml:space="preserve"> and analyse</w:t>
      </w:r>
      <w:r w:rsidR="006E6D67" w:rsidRPr="003676D3">
        <w:rPr>
          <w:rFonts w:ascii="Times New Roman" w:hAnsi="Times New Roman" w:cs="Times New Roman"/>
          <w:sz w:val="24"/>
          <w:szCs w:val="24"/>
        </w:rPr>
        <w:t xml:space="preserve"> strategic interactions between elements of grid</w:t>
      </w:r>
      <w:r w:rsidR="000E1E44" w:rsidRPr="003676D3">
        <w:rPr>
          <w:rFonts w:ascii="Times New Roman" w:hAnsi="Times New Roman" w:cs="Times New Roman"/>
          <w:sz w:val="24"/>
          <w:szCs w:val="24"/>
        </w:rPr>
        <w:t xml:space="preserve">. It also </w:t>
      </w:r>
      <w:r w:rsidR="006E6D67" w:rsidRPr="003676D3">
        <w:rPr>
          <w:rFonts w:ascii="Times New Roman" w:hAnsi="Times New Roman" w:cs="Times New Roman"/>
          <w:sz w:val="24"/>
          <w:szCs w:val="24"/>
        </w:rPr>
        <w:t>extract trends from data, predict future energy supply demand and modelling of system components. In metaverse environment, grid forming components like generation sources, transmission and distribution network can be virtually modelled and analyzed. Modelling the contingency situation of grid is also an added advantage of metaverse.</w:t>
      </w:r>
      <w:r w:rsidR="009573AC" w:rsidRPr="003676D3">
        <w:rPr>
          <w:rFonts w:ascii="Times New Roman" w:hAnsi="Times New Roman" w:cs="Times New Roman"/>
          <w:sz w:val="24"/>
          <w:szCs w:val="24"/>
        </w:rPr>
        <w:t xml:space="preserve"> </w:t>
      </w:r>
      <w:r w:rsidR="00A875CF" w:rsidRPr="003676D3">
        <w:rPr>
          <w:rFonts w:ascii="Times New Roman" w:hAnsi="Times New Roman" w:cs="Times New Roman"/>
          <w:sz w:val="24"/>
          <w:szCs w:val="24"/>
        </w:rPr>
        <w:fldChar w:fldCharType="begin"/>
      </w:r>
      <w:r w:rsidR="00A875CF" w:rsidRPr="003676D3">
        <w:rPr>
          <w:rFonts w:ascii="Times New Roman" w:hAnsi="Times New Roman" w:cs="Times New Roman"/>
          <w:sz w:val="24"/>
          <w:szCs w:val="24"/>
        </w:rPr>
        <w:instrText xml:space="preserve"> REF _Ref168450819 \h  \* MERGEFORMAT </w:instrText>
      </w:r>
      <w:r w:rsidR="00A875CF" w:rsidRPr="003676D3">
        <w:rPr>
          <w:rFonts w:ascii="Times New Roman" w:hAnsi="Times New Roman" w:cs="Times New Roman"/>
          <w:sz w:val="24"/>
          <w:szCs w:val="24"/>
        </w:rPr>
      </w:r>
      <w:r w:rsidR="00A875CF"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8.</w:t>
      </w:r>
      <w:r w:rsidR="008D1E2C" w:rsidRPr="003676D3">
        <w:rPr>
          <w:rFonts w:ascii="Times New Roman" w:hAnsi="Times New Roman" w:cs="Times New Roman"/>
          <w:sz w:val="24"/>
          <w:szCs w:val="24"/>
        </w:rPr>
        <w:t xml:space="preserve"> Metaverse and Digital Twin representation in SSG.</w:t>
      </w:r>
      <w:r w:rsidR="00A875CF" w:rsidRPr="003676D3">
        <w:rPr>
          <w:rFonts w:ascii="Times New Roman" w:hAnsi="Times New Roman" w:cs="Times New Roman"/>
          <w:sz w:val="24"/>
          <w:szCs w:val="24"/>
        </w:rPr>
        <w:fldChar w:fldCharType="end"/>
      </w:r>
    </w:p>
    <w:p w14:paraId="33F236C4" w14:textId="482DFE43" w:rsidR="00A875CF" w:rsidRPr="003676D3" w:rsidRDefault="00A875CF"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2AFFC2B0" wp14:editId="1C80D325">
                <wp:simplePos x="0" y="0"/>
                <wp:positionH relativeFrom="column">
                  <wp:posOffset>63500</wp:posOffset>
                </wp:positionH>
                <wp:positionV relativeFrom="paragraph">
                  <wp:posOffset>4701466</wp:posOffset>
                </wp:positionV>
                <wp:extent cx="5634990" cy="635"/>
                <wp:effectExtent l="0" t="0" r="3810" b="0"/>
                <wp:wrapSquare wrapText="bothSides"/>
                <wp:docPr id="20" name="Text Box 20"/>
                <wp:cNvGraphicFramePr/>
                <a:graphic xmlns:a="http://schemas.openxmlformats.org/drawingml/2006/main">
                  <a:graphicData uri="http://schemas.microsoft.com/office/word/2010/wordprocessingShape">
                    <wps:wsp>
                      <wps:cNvSpPr txBox="1"/>
                      <wps:spPr>
                        <a:xfrm>
                          <a:off x="0" y="0"/>
                          <a:ext cx="5634990" cy="635"/>
                        </a:xfrm>
                        <a:prstGeom prst="rect">
                          <a:avLst/>
                        </a:prstGeom>
                        <a:solidFill>
                          <a:prstClr val="white"/>
                        </a:solidFill>
                        <a:ln>
                          <a:noFill/>
                        </a:ln>
                      </wps:spPr>
                      <wps:txbx>
                        <w:txbxContent>
                          <w:p w14:paraId="675D9AE3" w14:textId="0F2E8ABF" w:rsidR="001F368F" w:rsidRPr="00A875CF" w:rsidRDefault="001F368F" w:rsidP="004B1918">
                            <w:pPr>
                              <w:pStyle w:val="Caption"/>
                              <w:jc w:val="center"/>
                              <w:rPr>
                                <w:rFonts w:asciiTheme="majorBidi" w:hAnsiTheme="majorBidi" w:cstheme="majorBidi"/>
                                <w:b/>
                                <w:bCs/>
                                <w:i w:val="0"/>
                                <w:iCs w:val="0"/>
                                <w:noProof/>
                                <w:color w:val="auto"/>
                                <w:sz w:val="28"/>
                                <w:szCs w:val="28"/>
                              </w:rPr>
                            </w:pPr>
                            <w:bookmarkStart w:id="21" w:name="_Ref168450819"/>
                            <w:r w:rsidRPr="00A875CF">
                              <w:rPr>
                                <w:rFonts w:asciiTheme="majorBidi" w:hAnsiTheme="majorBidi" w:cstheme="majorBidi"/>
                                <w:b/>
                                <w:bCs/>
                                <w:i w:val="0"/>
                                <w:iCs w:val="0"/>
                                <w:color w:val="auto"/>
                                <w:sz w:val="20"/>
                                <w:szCs w:val="20"/>
                              </w:rPr>
                              <w:t xml:space="preserve">Figure </w:t>
                            </w:r>
                            <w:r w:rsidRPr="00A875CF">
                              <w:rPr>
                                <w:rFonts w:asciiTheme="majorBidi" w:hAnsiTheme="majorBidi" w:cstheme="majorBidi"/>
                                <w:b/>
                                <w:bCs/>
                                <w:i w:val="0"/>
                                <w:iCs w:val="0"/>
                                <w:color w:val="auto"/>
                                <w:sz w:val="20"/>
                                <w:szCs w:val="20"/>
                              </w:rPr>
                              <w:fldChar w:fldCharType="begin"/>
                            </w:r>
                            <w:r w:rsidRPr="00A875CF">
                              <w:rPr>
                                <w:rFonts w:asciiTheme="majorBidi" w:hAnsiTheme="majorBidi" w:cstheme="majorBidi"/>
                                <w:b/>
                                <w:bCs/>
                                <w:i w:val="0"/>
                                <w:iCs w:val="0"/>
                                <w:color w:val="auto"/>
                                <w:sz w:val="20"/>
                                <w:szCs w:val="20"/>
                              </w:rPr>
                              <w:instrText xml:space="preserve"> SEQ Figure \* ARABIC </w:instrText>
                            </w:r>
                            <w:r w:rsidRPr="00A875CF">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8</w:t>
                            </w:r>
                            <w:r w:rsidRPr="00A875CF">
                              <w:rPr>
                                <w:rFonts w:asciiTheme="majorBidi" w:hAnsiTheme="majorBidi" w:cstheme="majorBidi"/>
                                <w:b/>
                                <w:bCs/>
                                <w:i w:val="0"/>
                                <w:iCs w:val="0"/>
                                <w:color w:val="auto"/>
                                <w:sz w:val="20"/>
                                <w:szCs w:val="20"/>
                              </w:rPr>
                              <w:fldChar w:fldCharType="end"/>
                            </w:r>
                            <w:r w:rsidRPr="00A875CF">
                              <w:rPr>
                                <w:rFonts w:asciiTheme="majorBidi" w:hAnsiTheme="majorBidi" w:cstheme="majorBidi"/>
                                <w:b/>
                                <w:bCs/>
                                <w:i w:val="0"/>
                                <w:iCs w:val="0"/>
                                <w:color w:val="auto"/>
                                <w:sz w:val="20"/>
                                <w:szCs w:val="20"/>
                              </w:rPr>
                              <w:t>. Metaverse and Digital Twin representation in SSG.</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FC2B0" id="Text Box 20" o:spid="_x0000_s1032" type="#_x0000_t202" style="position:absolute;left:0;text-align:left;margin-left:5pt;margin-top:370.2pt;width:443.7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S8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" stroked="f">
                <v:textbox style="mso-fit-shape-to-text:t" inset="0,0,0,0">
                  <w:txbxContent>
                    <w:p w14:paraId="675D9AE3" w14:textId="0F2E8ABF" w:rsidR="001F368F" w:rsidRPr="00A875CF" w:rsidRDefault="001F368F" w:rsidP="004B1918">
                      <w:pPr>
                        <w:pStyle w:val="Caption"/>
                        <w:jc w:val="center"/>
                        <w:rPr>
                          <w:rFonts w:asciiTheme="majorBidi" w:hAnsiTheme="majorBidi" w:cstheme="majorBidi"/>
                          <w:b/>
                          <w:bCs/>
                          <w:i w:val="0"/>
                          <w:iCs w:val="0"/>
                          <w:noProof/>
                          <w:color w:val="auto"/>
                          <w:sz w:val="28"/>
                          <w:szCs w:val="28"/>
                        </w:rPr>
                      </w:pPr>
                      <w:bookmarkStart w:id="22" w:name="_Ref168450819"/>
                      <w:r w:rsidRPr="00A875CF">
                        <w:rPr>
                          <w:rFonts w:asciiTheme="majorBidi" w:hAnsiTheme="majorBidi" w:cstheme="majorBidi"/>
                          <w:b/>
                          <w:bCs/>
                          <w:i w:val="0"/>
                          <w:iCs w:val="0"/>
                          <w:color w:val="auto"/>
                          <w:sz w:val="20"/>
                          <w:szCs w:val="20"/>
                        </w:rPr>
                        <w:t xml:space="preserve">Figure </w:t>
                      </w:r>
                      <w:r w:rsidRPr="00A875CF">
                        <w:rPr>
                          <w:rFonts w:asciiTheme="majorBidi" w:hAnsiTheme="majorBidi" w:cstheme="majorBidi"/>
                          <w:b/>
                          <w:bCs/>
                          <w:i w:val="0"/>
                          <w:iCs w:val="0"/>
                          <w:color w:val="auto"/>
                          <w:sz w:val="20"/>
                          <w:szCs w:val="20"/>
                        </w:rPr>
                        <w:fldChar w:fldCharType="begin"/>
                      </w:r>
                      <w:r w:rsidRPr="00A875CF">
                        <w:rPr>
                          <w:rFonts w:asciiTheme="majorBidi" w:hAnsiTheme="majorBidi" w:cstheme="majorBidi"/>
                          <w:b/>
                          <w:bCs/>
                          <w:i w:val="0"/>
                          <w:iCs w:val="0"/>
                          <w:color w:val="auto"/>
                          <w:sz w:val="20"/>
                          <w:szCs w:val="20"/>
                        </w:rPr>
                        <w:instrText xml:space="preserve"> SEQ Figure \* ARABIC </w:instrText>
                      </w:r>
                      <w:r w:rsidRPr="00A875CF">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8</w:t>
                      </w:r>
                      <w:r w:rsidRPr="00A875CF">
                        <w:rPr>
                          <w:rFonts w:asciiTheme="majorBidi" w:hAnsiTheme="majorBidi" w:cstheme="majorBidi"/>
                          <w:b/>
                          <w:bCs/>
                          <w:i w:val="0"/>
                          <w:iCs w:val="0"/>
                          <w:color w:val="auto"/>
                          <w:sz w:val="20"/>
                          <w:szCs w:val="20"/>
                        </w:rPr>
                        <w:fldChar w:fldCharType="end"/>
                      </w:r>
                      <w:r w:rsidRPr="00A875CF">
                        <w:rPr>
                          <w:rFonts w:asciiTheme="majorBidi" w:hAnsiTheme="majorBidi" w:cstheme="majorBidi"/>
                          <w:b/>
                          <w:bCs/>
                          <w:i w:val="0"/>
                          <w:iCs w:val="0"/>
                          <w:color w:val="auto"/>
                          <w:sz w:val="20"/>
                          <w:szCs w:val="20"/>
                        </w:rPr>
                        <w:t>. Metaverse and Digital Twin representation in SSG.</w:t>
                      </w:r>
                      <w:bookmarkEnd w:id="22"/>
                    </w:p>
                  </w:txbxContent>
                </v:textbox>
                <w10:wrap type="square"/>
              </v:shape>
            </w:pict>
          </mc:Fallback>
        </mc:AlternateContent>
      </w:r>
      <w:r w:rsidRPr="003676D3">
        <w:rPr>
          <w:rFonts w:ascii="Times New Roman" w:hAnsi="Times New Roman" w:cs="Times New Roman"/>
          <w:noProof/>
          <w:sz w:val="24"/>
          <w:szCs w:val="24"/>
          <w:lang w:eastAsia="en-GB"/>
        </w:rPr>
        <w:drawing>
          <wp:anchor distT="0" distB="0" distL="114300" distR="114300" simplePos="0" relativeHeight="251687936" behindDoc="0" locked="0" layoutInCell="1" allowOverlap="1" wp14:anchorId="7E0B3816" wp14:editId="494ADDA6">
            <wp:simplePos x="0" y="0"/>
            <wp:positionH relativeFrom="margin">
              <wp:align>center</wp:align>
            </wp:positionH>
            <wp:positionV relativeFrom="paragraph">
              <wp:posOffset>186055</wp:posOffset>
            </wp:positionV>
            <wp:extent cx="5634990" cy="442722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taverse.png"/>
                    <pic:cNvPicPr/>
                  </pic:nvPicPr>
                  <pic:blipFill>
                    <a:blip r:embed="rId32">
                      <a:extLst>
                        <a:ext uri="{28A0092B-C50C-407E-A947-70E740481C1C}">
                          <a14:useLocalDpi xmlns:a14="http://schemas.microsoft.com/office/drawing/2010/main" val="0"/>
                        </a:ext>
                      </a:extLst>
                    </a:blip>
                    <a:stretch>
                      <a:fillRect/>
                    </a:stretch>
                  </pic:blipFill>
                  <pic:spPr>
                    <a:xfrm>
                      <a:off x="0" y="0"/>
                      <a:ext cx="5634990" cy="4427220"/>
                    </a:xfrm>
                    <a:prstGeom prst="rect">
                      <a:avLst/>
                    </a:prstGeom>
                  </pic:spPr>
                </pic:pic>
              </a:graphicData>
            </a:graphic>
            <wp14:sizeRelH relativeFrom="margin">
              <wp14:pctWidth>0</wp14:pctWidth>
            </wp14:sizeRelH>
            <wp14:sizeRelV relativeFrom="margin">
              <wp14:pctHeight>0</wp14:pctHeight>
            </wp14:sizeRelV>
          </wp:anchor>
        </w:drawing>
      </w:r>
    </w:p>
    <w:p w14:paraId="13C01207" w14:textId="580EBB22" w:rsidR="00A875CF" w:rsidRPr="003676D3" w:rsidRDefault="00A875CF" w:rsidP="003676D3">
      <w:pPr>
        <w:spacing w:line="276" w:lineRule="auto"/>
        <w:jc w:val="both"/>
        <w:rPr>
          <w:rFonts w:ascii="Times New Roman" w:hAnsi="Times New Roman" w:cs="Times New Roman"/>
          <w:sz w:val="24"/>
          <w:szCs w:val="24"/>
        </w:rPr>
      </w:pPr>
    </w:p>
    <w:p w14:paraId="3576A112" w14:textId="77777777" w:rsidR="00A875CF" w:rsidRPr="003676D3" w:rsidRDefault="00A875CF" w:rsidP="003676D3">
      <w:pPr>
        <w:spacing w:line="276" w:lineRule="auto"/>
        <w:jc w:val="both"/>
        <w:rPr>
          <w:rFonts w:ascii="Times New Roman" w:hAnsi="Times New Roman" w:cs="Times New Roman"/>
          <w:sz w:val="24"/>
          <w:szCs w:val="24"/>
        </w:rPr>
      </w:pPr>
    </w:p>
    <w:p w14:paraId="4D29B9A5" w14:textId="11BA457C" w:rsidR="00A875CF" w:rsidRPr="003676D3" w:rsidRDefault="009573AC"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lastRenderedPageBreak/>
        <w:t>Th</w:t>
      </w:r>
      <w:r w:rsidR="00DF217F" w:rsidRPr="003676D3">
        <w:rPr>
          <w:rFonts w:ascii="Times New Roman" w:hAnsi="Times New Roman" w:cs="Times New Roman"/>
          <w:sz w:val="24"/>
          <w:szCs w:val="24"/>
        </w:rPr>
        <w:t>e creation of digital twin</w:t>
      </w:r>
      <w:r w:rsidRPr="003676D3">
        <w:rPr>
          <w:rFonts w:ascii="Times New Roman" w:hAnsi="Times New Roman" w:cs="Times New Roman"/>
          <w:sz w:val="24"/>
          <w:szCs w:val="24"/>
        </w:rPr>
        <w:t xml:space="preserve"> of energy infrastructure makes system testing more robust, reduced in cost and errors, and improved estimation of carbon emission.</w:t>
      </w:r>
      <w:r w:rsidR="002E3991" w:rsidRPr="003676D3">
        <w:rPr>
          <w:rFonts w:ascii="Times New Roman" w:hAnsi="Times New Roman" w:cs="Times New Roman"/>
          <w:sz w:val="24"/>
          <w:szCs w:val="24"/>
        </w:rPr>
        <w:t xml:space="preserve"> The metaverse provides the environment for </w:t>
      </w:r>
      <w:r w:rsidR="002D2AB0" w:rsidRPr="003676D3">
        <w:rPr>
          <w:rFonts w:ascii="Times New Roman" w:hAnsi="Times New Roman" w:cs="Times New Roman"/>
          <w:sz w:val="24"/>
          <w:szCs w:val="24"/>
        </w:rPr>
        <w:t xml:space="preserve">optimizing and </w:t>
      </w:r>
      <w:r w:rsidR="002E3991" w:rsidRPr="003676D3">
        <w:rPr>
          <w:rFonts w:ascii="Times New Roman" w:hAnsi="Times New Roman" w:cs="Times New Roman"/>
          <w:sz w:val="24"/>
          <w:szCs w:val="24"/>
        </w:rPr>
        <w:t xml:space="preserve">simulation of renewable energy resource for virtual power plants and battery storage system. Implementation of such technologies would greatly enhance the energy efficiency and management throughout the network and help prosumers as well as energy companies to make informed decisions. </w:t>
      </w:r>
    </w:p>
    <w:p w14:paraId="6B6871B4" w14:textId="2485771F" w:rsidR="00620BEE"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 xml:space="preserve">5.2. </w:t>
      </w:r>
      <w:r w:rsidR="00620BEE" w:rsidRPr="003676D3">
        <w:rPr>
          <w:rFonts w:ascii="Times New Roman" w:hAnsi="Times New Roman" w:cs="Times New Roman"/>
          <w:b/>
          <w:bCs/>
          <w:color w:val="auto"/>
          <w:sz w:val="24"/>
          <w:szCs w:val="24"/>
        </w:rPr>
        <w:t>Artificial Intelligence</w:t>
      </w:r>
      <w:r w:rsidR="00AC16AF" w:rsidRPr="003676D3">
        <w:rPr>
          <w:rFonts w:ascii="Times New Roman" w:hAnsi="Times New Roman" w:cs="Times New Roman"/>
          <w:b/>
          <w:bCs/>
          <w:color w:val="auto"/>
          <w:sz w:val="24"/>
          <w:szCs w:val="24"/>
        </w:rPr>
        <w:t xml:space="preserve"> (AI)</w:t>
      </w:r>
    </w:p>
    <w:p w14:paraId="3408EF9C" w14:textId="33733E34" w:rsidR="00620BEE" w:rsidRPr="003676D3" w:rsidRDefault="00CC545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AI founds its application in</w:t>
      </w:r>
      <w:r w:rsidR="00636FE7" w:rsidRPr="003676D3">
        <w:rPr>
          <w:rFonts w:ascii="Times New Roman" w:hAnsi="Times New Roman" w:cs="Times New Roman"/>
          <w:sz w:val="24"/>
          <w:szCs w:val="24"/>
        </w:rPr>
        <w:t xml:space="preserve"> metaverse as a combination of </w:t>
      </w:r>
      <w:r w:rsidR="002D2AB0" w:rsidRPr="003676D3">
        <w:rPr>
          <w:rFonts w:ascii="Times New Roman" w:hAnsi="Times New Roman" w:cs="Times New Roman"/>
          <w:sz w:val="24"/>
          <w:szCs w:val="24"/>
        </w:rPr>
        <w:t xml:space="preserve">computer vision, </w:t>
      </w:r>
      <w:r w:rsidRPr="003676D3">
        <w:rPr>
          <w:rFonts w:ascii="Times New Roman" w:hAnsi="Times New Roman" w:cs="Times New Roman"/>
          <w:sz w:val="24"/>
          <w:szCs w:val="24"/>
        </w:rPr>
        <w:t>nat</w:t>
      </w:r>
      <w:r w:rsidR="002D2AB0" w:rsidRPr="003676D3">
        <w:rPr>
          <w:rFonts w:ascii="Times New Roman" w:hAnsi="Times New Roman" w:cs="Times New Roman"/>
          <w:sz w:val="24"/>
          <w:szCs w:val="24"/>
        </w:rPr>
        <w:t xml:space="preserve">ural language processing (NLP)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{"citationItems":[{"id":"ITEM-1","itemData":{"DOI":"10.1016/J.ENGAPPAI.2022.105581","ISSN":"0952-1976","abstract":"Along with the massive growth of the Internet from the 1990s until now, various innovative technologies have been created to bring users breathtaking experiences with more virtual interactions in cyberspace. Many virtual environments have been developed with immersive experience and digital transformation, but most are incoherent instead of being integrated into a platform. In this context, metaverse has been introduced as a shared virtual world that is fueled by many emerging technologies. Among such technologies, artificial intelligence (AI) has shown the great importance of enhancing immersive experience and enabling human-like intelligence of virtual agents. In this survey, we make a beneficial effort to explore the role of AI, including machine learning algorithms and deep learning architectures, in the foundation and development of the metaverse. As the main contributions, we convey a comprehensive investigation of AI-based methods concerning several technical aspects (e.g., natural language processing, machine vision, blockchain, networking, digital twin, and neural interface) that have potentials to build virtual worlds in the metaverse. Furthermore, several primary AI-aided applications, including healthcare, manufacturing, smart cities, and gaming, are studied to be promisingly deployed in the virtual worlds. Finally, we conclude the key contribution and open some future research directions of AI for the metaverse. Serving as a foundational survey, this work will help researchers, including experts and non-experts in related fields, in applying, developing, and optimizing AI techniques to polish the appearance of virtual worlds and improve the quality of applications built in the metaverse.","author":[{"dropping-particle":"","family":"Huynh-The","given":"Thien","non-dropping-particle":"","parse-names":false,"suffix":""},{"dropping-particle":"","family":"Pham","given":"Quoc Viet","non-dropping-particle":"","parse-names":false,"suffix":""},{"dropping-particle":"","family":"Pham","given":"Xuan Qui","non-dropping-particle":"","parse-names":false,"suffix":""},{"dropping-particle":"","family":"Nguyen","given":"Thanh Thi","non-dropping-particle":"","parse-names":false,"suffix":""},{"dropping-particle":"","family":"Han","given":"Zhu","non-dropping-particle":"","parse-names":false,"suffix":""},{"dropping-particle":"","family":"Kim","given":"Dong Seong","non-dropping-particle":"","parse-names":false,"suffix":""}],"container-title":"Engineering Applications of Artificial Intelligence","id":"ITEM-1","issued":{"date-parts":[["2023","1","1"]]},"page":"105581","publisher":"Pergamon","title":"Artificial intelligence for the metaverse: A survey","type":"article-journal","volume":"117"},"uris":["http://www.mendeley.com/documents/?uuid=ccdbee6a-3683-3963-9ab4-b3cdb4d7f85d"]},{"id":"ITEM-2","itemData":{"URL":"https://www.neilsahota.com/the-role-of-ai-in-shaping-the-metaverse/","accessed":{"date-parts":[["2024","5","13"]]},"id":"ITEM-2","issued":{"date-parts":[["0"]]},"title":"The Role of AI in Shaping the Metaverse · Neil Sahota","type":"webpage"},"uris":["http://www.mendeley.com/documents/?uuid=02db6bad-b2fc-36d4-8aee-b5669835de21"]}],"mendeley":{"formattedCitation":"[153,154]","plainTextFormattedCitation":"[153,154]","previouslyFormattedCitation":"[153,154]"},"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[153,154]</w:t>
      </w:r>
      <w:r w:rsidR="00636FE7" w:rsidRPr="003676D3">
        <w:rPr>
          <w:rFonts w:ascii="Times New Roman" w:hAnsi="Times New Roman" w:cs="Times New Roman"/>
          <w:sz w:val="24"/>
          <w:szCs w:val="24"/>
        </w:rPr>
        <w:fldChar w:fldCharType="end"/>
      </w:r>
      <w:r w:rsidR="002D2AB0" w:rsidRPr="003676D3">
        <w:rPr>
          <w:rFonts w:ascii="Times New Roman" w:hAnsi="Times New Roman" w:cs="Times New Roman"/>
          <w:sz w:val="24"/>
          <w:szCs w:val="24"/>
        </w:rPr>
        <w:t xml:space="preserve"> </w:t>
      </w:r>
      <w:r w:rsidRPr="003676D3">
        <w:rPr>
          <w:rFonts w:ascii="Times New Roman" w:hAnsi="Times New Roman" w:cs="Times New Roman"/>
          <w:sz w:val="24"/>
          <w:szCs w:val="24"/>
        </w:rPr>
        <w:t xml:space="preserve">and </w:t>
      </w:r>
      <w:r w:rsidR="00636FE7" w:rsidRPr="003676D3">
        <w:rPr>
          <w:rFonts w:ascii="Times New Roman" w:hAnsi="Times New Roman" w:cs="Times New Roman"/>
          <w:sz w:val="24"/>
          <w:szCs w:val="24"/>
        </w:rPr>
        <w:t>machine</w:t>
      </w:r>
      <w:r w:rsidRPr="003676D3">
        <w:rPr>
          <w:rFonts w:ascii="Times New Roman" w:hAnsi="Times New Roman" w:cs="Times New Roman"/>
          <w:sz w:val="24"/>
          <w:szCs w:val="24"/>
        </w:rPr>
        <w:t xml:space="preserve"> learning</w:t>
      </w:r>
      <w:r w:rsidR="00AC16AF" w:rsidRPr="003676D3">
        <w:rPr>
          <w:rFonts w:ascii="Times New Roman" w:hAnsi="Times New Roman" w:cs="Times New Roman"/>
          <w:sz w:val="24"/>
          <w:szCs w:val="24"/>
        </w:rPr>
        <w:t xml:space="preserve">. </w:t>
      </w:r>
      <w:r w:rsidR="002D2AB0" w:rsidRPr="003676D3">
        <w:rPr>
          <w:rFonts w:ascii="Times New Roman" w:hAnsi="Times New Roman" w:cs="Times New Roman"/>
          <w:sz w:val="24"/>
          <w:szCs w:val="24"/>
        </w:rPr>
        <w:t>The metaverse has roots in</w:t>
      </w:r>
      <w:r w:rsidRPr="003676D3">
        <w:rPr>
          <w:rFonts w:ascii="Times New Roman" w:hAnsi="Times New Roman" w:cs="Times New Roman"/>
          <w:sz w:val="24"/>
          <w:szCs w:val="24"/>
        </w:rPr>
        <w:t xml:space="preserve"> AI to generate the 3D animations, images, speech, smart contracts and to carry out virtual transactions</w:t>
      </w:r>
      <w:r w:rsidR="00636FE7" w:rsidRPr="003676D3">
        <w:rPr>
          <w:rFonts w:ascii="Times New Roman" w:hAnsi="Times New Roman" w:cs="Times New Roman"/>
          <w:sz w:val="24"/>
          <w:szCs w:val="24"/>
        </w:rPr>
        <w:t xml:space="preserve">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{"citationItems":[{"id":"ITEM-1","itemData":{"URL":"https://www.itu.int/hub/2022/06/ai-driving-force-metaverse/","accessed":{"date-parts":[["2024","5","13"]]},"id":"ITEM-1","issued":{"date-parts":[["0"]]},"title":"AI: The driving force behind the metaverse? - ITU","type":"webpage"},"uris":["http://www.mendeley.com/documents/?uuid=8139585e-0d2b-3437-a7c3-0702616c2ca6"]}],"mendeley":{"formattedCitation":"[155]","plainTextFormattedCitation":"[155]","previouslyFormattedCitation":"[155]"},"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[155]</w:t>
      </w:r>
      <w:r w:rsidR="00636FE7"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AC16AF" w:rsidRPr="003676D3">
        <w:rPr>
          <w:rFonts w:ascii="Times New Roman" w:hAnsi="Times New Roman" w:cs="Times New Roman"/>
          <w:sz w:val="24"/>
          <w:szCs w:val="24"/>
        </w:rPr>
        <w:t xml:space="preserve"> In smart grids, AI can help generate virtual </w:t>
      </w:r>
      <w:r w:rsidR="001159D3" w:rsidRPr="003676D3">
        <w:rPr>
          <w:rFonts w:ascii="Times New Roman" w:hAnsi="Times New Roman" w:cs="Times New Roman"/>
          <w:sz w:val="24"/>
          <w:szCs w:val="24"/>
        </w:rPr>
        <w:t>models</w:t>
      </w:r>
      <w:r w:rsidR="00AC16AF" w:rsidRPr="003676D3">
        <w:rPr>
          <w:rFonts w:ascii="Times New Roman" w:hAnsi="Times New Roman" w:cs="Times New Roman"/>
          <w:sz w:val="24"/>
          <w:szCs w:val="24"/>
        </w:rPr>
        <w:t xml:space="preserve">; a prime example is virtual power plants (VPPs). Through machine learning and deep learning using artificial neural networks (ANN), AI empowers the system to make informed decisions based on pattern recognition and predictions. This assists in </w:t>
      </w:r>
      <w:r w:rsidR="001159D3" w:rsidRPr="003676D3">
        <w:rPr>
          <w:rFonts w:ascii="Times New Roman" w:hAnsi="Times New Roman" w:cs="Times New Roman"/>
          <w:sz w:val="24"/>
          <w:szCs w:val="24"/>
        </w:rPr>
        <w:t>visualising</w:t>
      </w:r>
      <w:r w:rsidR="00AC16AF" w:rsidRPr="003676D3">
        <w:rPr>
          <w:rFonts w:ascii="Times New Roman" w:hAnsi="Times New Roman" w:cs="Times New Roman"/>
          <w:sz w:val="24"/>
          <w:szCs w:val="24"/>
        </w:rPr>
        <w:t xml:space="preserve"> novel scenarios which results in diverse, more accurate and adaptive solutions. Moreover, AI also facilitates prosumer interaction, data and grid network protection.</w:t>
      </w:r>
      <w:r w:rsidR="00636FE7" w:rsidRPr="003676D3">
        <w:rPr>
          <w:rFonts w:ascii="Times New Roman" w:hAnsi="Times New Roman" w:cs="Times New Roman"/>
          <w:sz w:val="24"/>
          <w:szCs w:val="24"/>
        </w:rPr>
        <w:t xml:space="preserve"> For instance, in a study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{"citationItems":[{"id":"ITEM-1","itemData":{"DOI":"10.1109/JIOT.2020.2980586","ISSN":"23274662","abstract":"Internet of Things (IoT) has attracted much interest due to its wide applications, such as smart city, manufacturing, transportation, and healthcare. Social and cognitive IoT is capable of exploiting social networking characteristics to optimize network performance. Considering the fact that the IoT devices have different Quality-of-Service (QoS) requirements [ranging from ultrareliable and low-latency communications (URLLCs) to minimum data rate], this article presents a QoS-driven social-aware-enhanced device-to-device (D2D) communication network model for social and cognitive IoT by utilizing social orientation information. We model the optimization problem as a multiagent reinforcement learning formulation, and a novel coordinated multiagent deep-reinforcement-learning-based resource management approach is proposed to optimize the joint radio block assignment and the transmission power control strategy. Meanwhile, the prioritized experience replay (PER) and the coordinated learning mechanisms are employed to enable communication links to work cooperatively in a distributed manner, which enhances the network performance and access success probability. The simulation results corroborate the superiority in the performance of the presented resource management approach, and it outperforms other existing approaches in terms of meeting the energy efficiency and the QoS requirements.","author":[{"dropping-particle":"","family":"Yang","given":"Helin","non-dropping-particle":"","parse-names":false,"suffix":""},{"dropping-particle":"De","family":"Zhong","given":"Wen","non-dropping-particle":"","parse-names":false,"suffix":""},{"dropping-particle":"","family":"Chen","given":"Chen","non-dropping-particle":"","parse-names":false,"suffix":""},{"dropping-particle":"","family":"Alphones","given":"Arokiaswami","non-dropping-particle":"","parse-names":false,"suffix":""},{"dropping-particle":"","family":"Xie","given":"Xianzhong","non-dropping-particle":"","parse-names":false,"suffix":""}],"container-title":"IEEE Internet of Things Journal","id":"ITEM-1","issue":"6","issued":{"date-parts":[["2020","6","1"]]},"page":"5677-5689","publisher":"Institute of Electrical and Electronics Engineers Inc.","title":"Deep-reinforcement-learning-based energy-efficient resource management for social and cognitive internet of things","type":"article-journal","volume":"7"},"uris":["http://www.mendeley.com/documents/?uuid=7eb3319a-8e5c-3976-9ae6-a511f59b8c44"]}],"mendeley":{"formattedCitation":"[156]","plainTextFormattedCitation":"[156]","previouslyFormattedCitation":"[156]"},"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[156]</w:t>
      </w:r>
      <w:r w:rsidR="00636FE7" w:rsidRPr="003676D3">
        <w:rPr>
          <w:rFonts w:ascii="Times New Roman" w:hAnsi="Times New Roman" w:cs="Times New Roman"/>
          <w:sz w:val="24"/>
          <w:szCs w:val="24"/>
        </w:rPr>
        <w:fldChar w:fldCharType="end"/>
      </w:r>
      <w:r w:rsidR="00871B92" w:rsidRPr="003676D3">
        <w:rPr>
          <w:rFonts w:ascii="Times New Roman" w:hAnsi="Times New Roman" w:cs="Times New Roman"/>
          <w:sz w:val="24"/>
          <w:szCs w:val="24"/>
        </w:rPr>
        <w:t xml:space="preserve">, authors proposed </w:t>
      </w:r>
      <w:r w:rsidR="002D2AB0" w:rsidRPr="003676D3">
        <w:rPr>
          <w:rFonts w:ascii="Times New Roman" w:hAnsi="Times New Roman" w:cs="Times New Roman"/>
          <w:sz w:val="24"/>
          <w:szCs w:val="24"/>
        </w:rPr>
        <w:t xml:space="preserve">an energy management technique known as </w:t>
      </w:r>
      <w:r w:rsidR="00871B92" w:rsidRPr="003676D3">
        <w:rPr>
          <w:rFonts w:ascii="Times New Roman" w:hAnsi="Times New Roman" w:cs="Times New Roman"/>
          <w:sz w:val="24"/>
          <w:szCs w:val="24"/>
        </w:rPr>
        <w:t>collaborative multi-agent deep reinforcement learning</w:t>
      </w:r>
      <w:r w:rsidR="001159D3" w:rsidRPr="003676D3">
        <w:rPr>
          <w:rFonts w:ascii="Times New Roman" w:hAnsi="Times New Roman" w:cs="Times New Roman"/>
          <w:sz w:val="24"/>
          <w:szCs w:val="24"/>
        </w:rPr>
        <w:t xml:space="preserve">. It </w:t>
      </w:r>
      <w:r w:rsidR="00871B92" w:rsidRPr="003676D3">
        <w:rPr>
          <w:rFonts w:ascii="Times New Roman" w:hAnsi="Times New Roman" w:cs="Times New Roman"/>
          <w:sz w:val="24"/>
          <w:szCs w:val="24"/>
        </w:rPr>
        <w:t>modelled the</w:t>
      </w:r>
      <w:r w:rsidR="002D2AB0" w:rsidRPr="003676D3">
        <w:rPr>
          <w:rFonts w:ascii="Times New Roman" w:hAnsi="Times New Roman" w:cs="Times New Roman"/>
          <w:sz w:val="24"/>
          <w:szCs w:val="24"/>
        </w:rPr>
        <w:t xml:space="preserve"> problem of energy optimization</w:t>
      </w:r>
      <w:r w:rsidR="001159D3" w:rsidRPr="003676D3">
        <w:rPr>
          <w:rFonts w:ascii="Times New Roman" w:hAnsi="Times New Roman" w:cs="Times New Roman"/>
          <w:sz w:val="24"/>
          <w:szCs w:val="24"/>
        </w:rPr>
        <w:t xml:space="preserve"> and have </w:t>
      </w:r>
      <w:r w:rsidR="00871B92" w:rsidRPr="003676D3">
        <w:rPr>
          <w:rFonts w:ascii="Times New Roman" w:hAnsi="Times New Roman" w:cs="Times New Roman"/>
          <w:sz w:val="24"/>
          <w:szCs w:val="24"/>
        </w:rPr>
        <w:t xml:space="preserve">application in transmission power control.  </w:t>
      </w:r>
    </w:p>
    <w:p w14:paraId="0E81C3F2" w14:textId="79547064" w:rsidR="00A875CF" w:rsidRPr="003676D3" w:rsidRDefault="002D2AB0"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C</w:t>
      </w:r>
      <w:r w:rsidR="001159D3" w:rsidRPr="003676D3">
        <w:rPr>
          <w:rFonts w:ascii="Times New Roman" w:hAnsi="Times New Roman" w:cs="Times New Roman"/>
          <w:sz w:val="24"/>
          <w:szCs w:val="24"/>
        </w:rPr>
        <w:t>utting-edge</w:t>
      </w:r>
      <w:r w:rsidR="00116D42" w:rsidRPr="003676D3">
        <w:rPr>
          <w:rFonts w:ascii="Times New Roman" w:hAnsi="Times New Roman" w:cs="Times New Roman"/>
          <w:sz w:val="24"/>
          <w:szCs w:val="24"/>
        </w:rPr>
        <w:t xml:space="preserve"> machine learning (ML) tools offer powerful capabilities for predicting market dynamics using publicly available data. ML techniques have been employed to forecast</w:t>
      </w:r>
      <w:r w:rsidRPr="003676D3">
        <w:rPr>
          <w:rFonts w:ascii="Times New Roman" w:hAnsi="Times New Roman" w:cs="Times New Roman"/>
          <w:sz w:val="24"/>
          <w:szCs w:val="24"/>
        </w:rPr>
        <w:t xml:space="preserve"> and balance the</w:t>
      </w:r>
      <w:r w:rsidR="00116D42" w:rsidRPr="003676D3">
        <w:rPr>
          <w:rFonts w:ascii="Times New Roman" w:hAnsi="Times New Roman" w:cs="Times New Roman"/>
          <w:sz w:val="24"/>
          <w:szCs w:val="24"/>
        </w:rPr>
        <w:t xml:space="preserve"> electricity </w:t>
      </w:r>
      <w:r w:rsidRPr="003676D3">
        <w:rPr>
          <w:rFonts w:ascii="Times New Roman" w:hAnsi="Times New Roman" w:cs="Times New Roman"/>
          <w:sz w:val="24"/>
          <w:szCs w:val="24"/>
        </w:rPr>
        <w:t xml:space="preserve">market </w:t>
      </w:r>
      <w:r w:rsidR="00116D42" w:rsidRPr="003676D3">
        <w:rPr>
          <w:rFonts w:ascii="Times New Roman" w:hAnsi="Times New Roman" w:cs="Times New Roman"/>
          <w:sz w:val="24"/>
          <w:szCs w:val="24"/>
        </w:rPr>
        <w:t xml:space="preserve">prices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{"citationItems":[{"id":"ITEM-1","itemData":{"DOI":"10.1016/J.APENERGY.2020.114978","ISSN":"03062619","abstract":"In continental Europe, automatic Frequency Restoration Reserve (aFRR) is the second fastest control reserve market. Due to the complex auction design, market entrance barriers for new players are high and the market is dominated by few operators of conventional power plants. However, a rising share of renewable technologies requires their integration into this market in order to assure future grid stability. Due to the high market complexity, operators and traders of such technologies are currently lacking a tool to estimate earning potentials. Both a market prediction methodology as well as a bidding strategy are required to estimate the earning potentials and to participate in the aFRR market. To encourage participation of new technologies, this paper first provides a detailed market description and then presents a market prediction methodology for estimating revenue potentials and to assist in creating bidding strategies for auction participation. For any potential bid, the acceptance probability within the auction is derived. Both statistical and machine learning based models are used for predicting key market quantities. A model comparison reveals a steadier and usually better performance of statistical models. Exogenous data sources such as weather, electrical loads or market data did not improve the prediction performance.","author":[{"dropping-particle":"","family":"Merten","given":"Michael","non-dropping-particle":"","parse-names":false,"suffix":""},{"dropping-particle":"","family":"Rücker","given":"Fabian","non-dropping-particle":"","parse-names":false,"suffix":""},{"dropping-particle":"","family":"Schoeneberger","given":"Ilka","non-dropping-particle":"","parse-names":false,"suffix":""},{"dropping-particle":"","family":"Sauer","given":"Dirk Uwe","non-dropping-particle":"","parse-names":false,"suffix":""}],"container-title":"Applied Energy","id":"ITEM-1","issued":{"date-parts":[["2020","6","15"]]},"publisher":"Elsevier Ltd","title":"Automatic frequency restoration reserve market prediction: Methodology and comparison of various approaches","type":"article-journal","volume":"268"},"uris":["http://www.mendeley.com/documents/?uuid=6222a9b5-843b-3826-b308-643b7fb602a1"]}],"mendeley":{"formattedCitation":"[157]","plainTextFormattedCitation":"[157]","previouslyFormattedCitation":"[157]"},"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[157]</w:t>
      </w:r>
      <w:r w:rsidR="00636FE7" w:rsidRPr="003676D3">
        <w:rPr>
          <w:rFonts w:ascii="Times New Roman" w:hAnsi="Times New Roman" w:cs="Times New Roman"/>
          <w:sz w:val="24"/>
          <w:szCs w:val="24"/>
        </w:rPr>
        <w:fldChar w:fldCharType="end"/>
      </w:r>
      <w:r w:rsidR="00116D42" w:rsidRPr="003676D3">
        <w:rPr>
          <w:rFonts w:ascii="Times New Roman" w:hAnsi="Times New Roman" w:cs="Times New Roman"/>
          <w:sz w:val="24"/>
          <w:szCs w:val="24"/>
        </w:rPr>
        <w:t>. While these models excel at capturing non-linear effects and interactions for accurate predictions, they often lack interpretability</w:t>
      </w:r>
      <w:r w:rsidR="001159D3" w:rsidRPr="003676D3">
        <w:rPr>
          <w:rFonts w:ascii="Times New Roman" w:hAnsi="Times New Roman" w:cs="Times New Roman"/>
          <w:sz w:val="24"/>
          <w:szCs w:val="24"/>
        </w:rPr>
        <w:t xml:space="preserve">. This </w:t>
      </w:r>
      <w:r w:rsidR="00116D42" w:rsidRPr="003676D3">
        <w:rPr>
          <w:rFonts w:ascii="Times New Roman" w:hAnsi="Times New Roman" w:cs="Times New Roman"/>
          <w:sz w:val="24"/>
          <w:szCs w:val="24"/>
        </w:rPr>
        <w:t>mak</w:t>
      </w:r>
      <w:r w:rsidR="001159D3" w:rsidRPr="003676D3">
        <w:rPr>
          <w:rFonts w:ascii="Times New Roman" w:hAnsi="Times New Roman" w:cs="Times New Roman"/>
          <w:sz w:val="24"/>
          <w:szCs w:val="24"/>
        </w:rPr>
        <w:t>es</w:t>
      </w:r>
      <w:r w:rsidR="00116D42" w:rsidRPr="003676D3">
        <w:rPr>
          <w:rFonts w:ascii="Times New Roman" w:hAnsi="Times New Roman" w:cs="Times New Roman"/>
          <w:sz w:val="24"/>
          <w:szCs w:val="24"/>
        </w:rPr>
        <w:t xml:space="preserve"> them unsuitable for </w:t>
      </w:r>
      <w:proofErr w:type="spellStart"/>
      <w:r w:rsidR="00116D42" w:rsidRPr="003676D3">
        <w:rPr>
          <w:rFonts w:ascii="Times New Roman" w:hAnsi="Times New Roman" w:cs="Times New Roman"/>
          <w:sz w:val="24"/>
          <w:szCs w:val="24"/>
        </w:rPr>
        <w:t>analyzing</w:t>
      </w:r>
      <w:proofErr w:type="spellEnd"/>
      <w:r w:rsidR="00116D42" w:rsidRPr="003676D3">
        <w:rPr>
          <w:rFonts w:ascii="Times New Roman" w:hAnsi="Times New Roman" w:cs="Times New Roman"/>
          <w:sz w:val="24"/>
          <w:szCs w:val="24"/>
        </w:rPr>
        <w:t xml:space="preserve"> regulatory changes post hoc</w:t>
      </w:r>
      <w:r w:rsidR="00636FE7" w:rsidRPr="003676D3">
        <w:rPr>
          <w:rFonts w:ascii="Times New Roman" w:hAnsi="Times New Roman" w:cs="Times New Roman"/>
          <w:sz w:val="24"/>
          <w:szCs w:val="24"/>
        </w:rPr>
        <w:t xml:space="preserve">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{"citationItems":[{"id":"ITEM-1","itemData":{"DOI":"10.1016/J.APENERGY.2021.116983","ISSN":"03062619","abstract":"While the field of electricity price forecasting has benefited from plenty of contributions in the last two decades, it arguably lacks a rigorous approach to evaluating new predictive algorithms. The latter are often compared using unique, not publicly available datasets and across too short and limited to one market test samples. The proposed new methods are rarely benchmarked against well established and well performing simpler models, the accuracy metrics are sometimes inadequate and testing the significance of differences in predictive performance is seldom conducted. Consequently, it is not clear which methods perform well nor what are the best practices when forecasting electricity prices. In this paper, we tackle these issues by comparing state-of-the-art statistical and deep learning methods across multiple years and markets, and by putting forward a set of best practices. In addition, we make available the considered datasets, forecasts of the state-of-the-art models, and a specifically designed python toolbox, so that new algorithms can be rigorously evaluated in future studies.","author":[{"dropping-particle":"","family":"Lago","given":"Jesus","non-dropping-particle":"","parse-names":false,"suffix":""},{"dropping-particle":"","family":"Marcjasz","given":"Grzegorz","non-dropping-particle":"","parse-names":false,"suffix":""},{"dropping-particle":"","family":"Schutter","given":"Bart","non-dropping-particle":"De","parse-names":false,"suffix":""},{"dropping-particle":"","family":"Weron","given":"Rafał","non-dropping-particle":"","parse-names":false,"suffix":""}],"container-title":"Applied Energy","id":"ITEM-1","issued":{"date-parts":[["2020","7","1"]]},"publisher":"Elsevier Ltd","title":"Forecasting day-ahead electricity prices: A review of state-of-the-art algorithms, best practices and an open-access benchmark","type":"article-journal","volume":"293"},"uris":["http://www.mendeley.com/documents/?uuid=9963b994-0807-351e-9037-e99a928df653"]},{"id":"ITEM-2","itemData":{"DOI":"10.1016/J.ENERGY.2021.121989","ISSN":"03605442","abstract":"Current electricity price forecasting models rely on only simple hybridizations of data preprocessing and optimization methods while ignoring the significance of adaptive data preprocessing and effective optimization and selection strategies to obtain optimal models that improve the forecasting performance. To solve these problems, this study develops an improved electricity price forecasting model that offers the advantages of adaptive data preprocessing, advanced optimization method, kernel-based model, and optimal model selection strategy. Specifically, the adaptive parameter-based variational mode decomposition technology is proposed to provide desirable data preprocessing results, and a leave-one-out optimization strategy based on the chaotic sine cosine algorithm is proposed and applied to develop optimal kernel-based extreme learning machine models. In addition, a newly proposed optimal model selection strategy is applied to determine the developed model that provides the most desirable forecasting result. Numerical results show that the developed model's performance metrics were best, and the average values of mean absolute error, root mean square error, mean absolute percentage error, index of agreement, and Theil's inequality coefficient in four datasets are 0.5121, 0.7607, 0.5722%, 0.9997 and 0.0041, respectively, which imply that the developed model is a promising, applicable and effective electricity price forecasting technique in the real electricity market.","author":[{"dropping-particle":"","family":"Yang","given":"Wendong","non-dropping-particle":"","parse-names":false,"suffix":""},{"dropping-particle":"","family":"Sun","given":"Shaolong","non-dropping-particle":"","parse-names":false,"suffix":""},{"dropping-particle":"","family":"Hao","given":"Yan","non-dropping-particle":"","parse-names":false,"suffix":""},{"dropping-particle":"","family":"Wang","given":"Shouyang","non-dropping-particle":"","parse-names":false,"suffix":""}],"container-title":"Energy","id":"ITEM-2","issued":{"date-parts":[["2022","1","1"]]},"publisher":"Elsevier Ltd","title":"A novel machine learning-based electricity price forecasting model based on optimal model selection strategy","type":"article-journal","volume":"238"},"uris":["http://www.mendeley.com/documents/?uuid=65399055-94e4-3f17-a588-6a2bf9a20c35"]}],"mendeley":{"formattedCitation":"[158,159]","plainTextFormattedCitation":"[158,159]","previouslyFormattedCitation":"[158,159]"},"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[158,159]</w:t>
      </w:r>
      <w:r w:rsidR="00636FE7" w:rsidRPr="003676D3">
        <w:rPr>
          <w:rFonts w:ascii="Times New Roman" w:hAnsi="Times New Roman" w:cs="Times New Roman"/>
          <w:sz w:val="24"/>
          <w:szCs w:val="24"/>
        </w:rPr>
        <w:fldChar w:fldCharType="end"/>
      </w:r>
      <w:r w:rsidR="00116D42" w:rsidRPr="003676D3">
        <w:rPr>
          <w:rFonts w:ascii="Times New Roman" w:hAnsi="Times New Roman" w:cs="Times New Roman"/>
          <w:sz w:val="24"/>
          <w:szCs w:val="24"/>
        </w:rPr>
        <w:t xml:space="preserve">. As a result, econometric analyses typically resort to linear models. However, explainable artificial intelligence (XAI) in energy systems is rapidly advancing, with diverse applications spanning from ensuring power grid stability to </w:t>
      </w:r>
      <w:proofErr w:type="spellStart"/>
      <w:r w:rsidR="00116D42" w:rsidRPr="003676D3">
        <w:rPr>
          <w:rFonts w:ascii="Times New Roman" w:hAnsi="Times New Roman" w:cs="Times New Roman"/>
          <w:sz w:val="24"/>
          <w:szCs w:val="24"/>
        </w:rPr>
        <w:t>an</w:t>
      </w:r>
      <w:r w:rsidR="00787F42" w:rsidRPr="003676D3">
        <w:rPr>
          <w:rFonts w:ascii="Times New Roman" w:hAnsi="Times New Roman" w:cs="Times New Roman"/>
          <w:sz w:val="24"/>
          <w:szCs w:val="24"/>
        </w:rPr>
        <w:t>alyzing</w:t>
      </w:r>
      <w:proofErr w:type="spellEnd"/>
      <w:r w:rsidR="00787F42" w:rsidRPr="003676D3">
        <w:rPr>
          <w:rFonts w:ascii="Times New Roman" w:hAnsi="Times New Roman" w:cs="Times New Roman"/>
          <w:sz w:val="24"/>
          <w:szCs w:val="24"/>
        </w:rPr>
        <w:t xml:space="preserve"> price trends. </w:t>
      </w:r>
      <w:r w:rsidR="00116D42" w:rsidRPr="003676D3">
        <w:rPr>
          <w:rFonts w:ascii="Times New Roman" w:hAnsi="Times New Roman" w:cs="Times New Roman"/>
          <w:sz w:val="24"/>
          <w:szCs w:val="24"/>
        </w:rPr>
        <w:t>XAI models effectively differentiate between reg</w:t>
      </w:r>
      <w:r w:rsidR="00787F42" w:rsidRPr="003676D3">
        <w:rPr>
          <w:rFonts w:ascii="Times New Roman" w:hAnsi="Times New Roman" w:cs="Times New Roman"/>
          <w:sz w:val="24"/>
          <w:szCs w:val="24"/>
        </w:rPr>
        <w:t>ulatory settings and enhance</w:t>
      </w:r>
      <w:r w:rsidR="00116D42" w:rsidRPr="003676D3">
        <w:rPr>
          <w:rFonts w:ascii="Times New Roman" w:hAnsi="Times New Roman" w:cs="Times New Roman"/>
          <w:sz w:val="24"/>
          <w:szCs w:val="24"/>
        </w:rPr>
        <w:t xml:space="preserve"> comprehension of their impacts</w:t>
      </w:r>
      <w:r w:rsidR="00636FE7" w:rsidRPr="003676D3">
        <w:rPr>
          <w:rFonts w:ascii="Times New Roman" w:hAnsi="Times New Roman" w:cs="Times New Roman"/>
          <w:sz w:val="24"/>
          <w:szCs w:val="24"/>
        </w:rPr>
        <w:t xml:space="preserve"> on changes in the grid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{"citationItems":[{"id":"ITEM-1","itemData":{"DOI":"10.1145/3599733.3600247","ISBN":"9798400702273","abstract":"A stable supply of electrical energy is essential for the functioning of our society. Therefore, energy and balancing markets of power grids are strictly regulated. With changes in technology, the economy and society, these regulations are also constantly adapted. However, whether these regulatory changes lead to the intended results is not easy to assess. Could eXplainable Artificial Intelligence (XAI) models distinguish regulatory settings and support the understanding of the effects of these changes? In this article, we explore two examples of regulatory changes: The splitting of the German-Austrian bidding zone and changes in the pricing schemes of the German balancing energy market. We find that boosted tree models and feedforward neural networks before and after a regulatory change differ in their respective parametrizations. Using Shapley additive explanations, we reveal model differences, e.g., in terms of feature importance, and identify key features of these distinct models. With this study, we demonstrate how XAI can be applied to investigate system changes in power systems.","author":[{"dropping-particle":"","family":"Pütz","given":"Sebastian","non-dropping-particle":"","parse-names":false,"suffix":""},{"dropping-particle":"","family":"Kruse","given":"Johannes","non-dropping-particle":"","parse-names":false,"suffix":""},{"dropping-particle":"","family":"Witthaut","given":"Dirk","non-dropping-particle":"","parse-names":false,"suffix":""},{"dropping-particle":"","family":"Hagenmeyer","given":"Veit","non-dropping-particle":"","parse-names":false,"suffix":""},{"dropping-particle":"","family":"Schäfer","given":"Benjamin","non-dropping-particle":"","parse-names":false,"suffix":""}],"container-title":"e-Energy 2023 Companion - Proceedings of the 14th ACM International Conference on Future Energy Systems","id":"ITEM-1","issued":{"date-parts":[["2023","6","20"]]},"page":"26-31","publisher":"Association for Computing Machinery, Inc","title":"Regulatory Changes in German and Austrian Power Systems Explored with Explainable Artificial Intelligence","type":"article-journal"},"uris":["http://www.mendeley.com/documents/?uuid=43ed3284-08d1-3f14-b039-0886c0002e35"]},{"id":"ITEM-2","itemData":{"DOI":"10.1016/J.INFFUS.2019.12.012","ISSN":"15662535","abstract":"In the last few years, Artificial Intelligence (AI) has achieved a notable momentum that, if harnessed appropriately, may deliver the best of expectations over many application sectors across the field. For this to occur shortly in Machine Learning, the entire community stands in front of the barrier of explainability, an inherent problem of the latest techniques brought by sub-symbolism (e.g. ensembles or Deep Neural Networks) that were not present in the last hype of AI (namely, expert systems and rule based models). Paradigms underlying this problem fall within the so-called eXplainable AI (XAI) field, which is widely acknowledged as a crucial feature for the practical deployment of AI models. The overview presented in this article examines the existing literature and contributions already done in the field of XAI, including a prospect toward what is yet to be reached. For this purpose we summarize previous efforts made to define explainability in Machine Learning, establishing a novel definition of explainable Machine Learning that covers such prior conceptual propositions with a major focus on the audience for which the explainability is sought. Departing from this definition, we propose and discuss about a taxonomy of recent contributions related to the explainability of different Machine Learning models, including those aimed at explaining Deep Learning methods for which a second dedicated taxonomy is built and examined in detail. This critical literature analysis serves as the motivating background for a series of challenges faced by XAI, such as the interesting crossroads of data fusion and explainability. Our prospects lead toward the concept of Responsible Artificial Intelligence, namely, a methodology for the large-scale implementation of AI methods in real organizations with fairness, model explainability and accountability at its core. Our ultimate goal is to provide newcomers to the field of XAI with a thorough taxonomy that can serve as reference material in order to stimulate future research advances, but also to encourage experts and professionals from other disciplines to embrace the benefits of AI in their activity sectors, without any prior bias for its lack of interpretability.","author":[{"dropping-particle":"","family":"Barredo Arrieta","given":"Alejandro","non-dropping-particle":"","parse-names":false,"suffix":""},{"dropping-particle":"","family":"Díaz-Rodríguez","given":"Natalia","non-dropping-particle":"","parse-names":false,"suffix":""},{"dropping-particle":"","family":"Ser","given":"Javier","non-dropping-particle":"Del","parse-names":false,"suffix":""},{"dropping-particle":"","family":"Bennetot","given":"Adrien","non-dropping-particle":"","parse-names":false,"suffix":""},{"dropping-particle":"","family":"Tabik","given":"Siham","non-dropping-particle":"","parse-names":false,"suffix":""},{"dropping-particle":"","family":"Barbado","given":"Alberto","non-dropping-particle":"","parse-names":false,"suffix":""},{"dropping-particle":"","family":"Garcia","given":"Salvador","non-dropping-particle":"","parse-names":false,"suffix":""},{"dropping-particle":"","family":"Gil-Lopez","given":"Sergio","non-dropping-particle":"","parse-names":false,"suffix":""},{"dropping-particle":"","family":"Molina","given":"Daniel","non-dropping-particle":"","parse-names":false,"suffix":""},{"dropping-particle":"","family":"Benjamins","given":"Richard","non-dropping-particle":"","parse-names":false,"suffix":""},{"dropping-particle":"","family":"Chatila","given":"Raja","non-dropping-particle":"","parse-names":false,"suffix":""},{"dropping-particle":"","family":"Herrera","given":"Francisco","non-dropping-particle":"","parse-names":false,"suffix":""}],"container-title":"Information Fusion","id":"ITEM-2","issued":{"date-parts":[["2019","6","1"]]},"page":"82-115","publisher":"Elsevier B.V.","title":"Explainable Artificial Intelligence (XAI): Concepts, Taxonomies, Opportunities and Challenges toward Responsible AI","type":"article-journal","volume":"58"},"uris":["http://www.mendeley.com/documents/?uuid=01b709f5-e214-30bd-8396-e5aa4425e976"]},{"id":"ITEM-3","itemData":{"DOI":"10.1016/J.PATTER.2021.100365","ISSN":"26663899","abstract":"Stable operation of an electric power system requires strict operational limits for the grid frequency. Fluctuations and external impacts can cause large frequency deviations and increased control efforts. Although these complex interdependencies can be modeled using machine learning algorithms, the black box character of many models limits insights and applicability. In this article, we introduce an explainable machine learning model that accurately predicts frequency stability indicators for three European synchronous areas. Using Shapley additive explanations, we identify key features and risk factors for frequency stability. We show how load and generation ramps determine frequency gradients, and we identify three classes of generation technologies with converse impacts. Control efforts vary strongly depending on the grid and time of day and are driven by ramps as well as electricity prices. Notably, renewable power generation is central only in the British grid, while forecasting errors play a major role in the Nordic grid.","author":[{"dropping-particle":"","family":"Kruse","given":"Johannes","non-dropping-particle":"","parse-names":false,"suffix":""},{"dropping-particle":"","family":"Schäfer","given":"Benjamin","non-dropping-particle":"","parse-names":false,"suffix":""},{"dropping-particle":"","family":"Witthaut","given":"Dirk","non-dropping-particle":"","parse-names":false,"suffix":""}],"container-title":"Patterns","id":"ITEM-3","issue":"11","issued":{"date-parts":[["2021","11","12"]]},"publisher":"Cell Press","title":"Revealing drivers and risks for power grid frequency stability with explainable AI","type":"article-journal","volume":"2"},"uris":["http://www.mendeley.com/documents/?uuid=9dbe740f-025f-3304-8ec9-cebd183fe1ee"]},{"id":"ITEM-4","itemData":{"DOI":"10.48550/ARXIV.2212.04805","author":[{"dropping-particle":"","family":"Trebbien","given":"Julius","non-dropping-particle":"","parse-names":false,"suffix":""},{"dropping-particle":"","family":"Gorjão","given":"L. R.","non-dropping-particle":"","parse-names":false,"suffix":""},{"dropping-particle":"","family":"Praktiknjo","given":"Aaron","non-dropping-particle":"","parse-names":false,"suffix":""},{"dropping-particle":"","family":"Schäfer","given":"B.","non-dropping-particle":"","parse-names":false,"suffix":""},{"dropping-particle":"","family":"Witthaut","given":"D.","non-dropping-particle":"","parse-names":false,"suffix":""}],"container-title":"Energy and AI","id":"ITEM-4","issued":{"date-parts":[["2022"]]},"title":"Understanding electricity prices beyond the merit order principle using explainable AI","type":"article-journal"},"uris":["http://www.mendeley.com/documents/?uuid=25c78a69-ec39-3ddd-9d27-4e5cdb0276dd"]}],"mendeley":{"formattedCitation":"[124,125,160,161]","plainTextFormattedCitation":"[124,125,160,161]","previouslyFormattedCitation":"[124,125,160,161]"},"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[124,125,160,161]</w:t>
      </w:r>
      <w:r w:rsidR="00636FE7" w:rsidRPr="003676D3">
        <w:rPr>
          <w:rFonts w:ascii="Times New Roman" w:hAnsi="Times New Roman" w:cs="Times New Roman"/>
          <w:sz w:val="24"/>
          <w:szCs w:val="24"/>
        </w:rPr>
        <w:fldChar w:fldCharType="end"/>
      </w:r>
      <w:r w:rsidR="00116D42" w:rsidRPr="003676D3">
        <w:rPr>
          <w:rFonts w:ascii="Times New Roman" w:hAnsi="Times New Roman" w:cs="Times New Roman"/>
          <w:sz w:val="24"/>
          <w:szCs w:val="24"/>
        </w:rPr>
        <w:t>.</w:t>
      </w:r>
      <w:r w:rsidR="00A875CF" w:rsidRPr="003676D3">
        <w:rPr>
          <w:rFonts w:ascii="Times New Roman" w:hAnsi="Times New Roman" w:cs="Times New Roman"/>
          <w:sz w:val="24"/>
          <w:szCs w:val="24"/>
        </w:rPr>
        <w:t xml:space="preserve"> </w:t>
      </w:r>
    </w:p>
    <w:p w14:paraId="63E7A871" w14:textId="06D56B7B" w:rsidR="003725D5" w:rsidRPr="003676D3" w:rsidRDefault="003725D5"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Federated Learning (FL) techniques facilitate collaborative model training across distributed </w:t>
      </w:r>
      <w:r w:rsidR="001159D3" w:rsidRPr="003676D3">
        <w:rPr>
          <w:rFonts w:ascii="Times New Roman" w:hAnsi="Times New Roman" w:cs="Times New Roman"/>
          <w:sz w:val="24"/>
          <w:szCs w:val="24"/>
        </w:rPr>
        <w:t>devices ensuring</w:t>
      </w:r>
      <w:r w:rsidRPr="003676D3">
        <w:rPr>
          <w:rFonts w:ascii="Times New Roman" w:hAnsi="Times New Roman" w:cs="Times New Roman"/>
          <w:sz w:val="24"/>
          <w:szCs w:val="24"/>
        </w:rPr>
        <w:t xml:space="preserve"> data privacy without the necessity to transmit data to a centralized server. In Smart Grids (SG), FL mechanisms maintain data privacy</w:t>
      </w:r>
      <w:r w:rsidR="00636FE7" w:rsidRPr="003676D3">
        <w:rPr>
          <w:rFonts w:ascii="Times New Roman" w:hAnsi="Times New Roman" w:cs="Times New Roman"/>
          <w:sz w:val="24"/>
          <w:szCs w:val="24"/>
        </w:rPr>
        <w:t xml:space="preserve"> </w:t>
      </w:r>
      <w:r w:rsidR="00636FE7" w:rsidRPr="003676D3">
        <w:rPr>
          <w:rFonts w:ascii="Times New Roman" w:hAnsi="Times New Roman" w:cs="Times New Roman"/>
          <w:sz w:val="24"/>
          <w:szCs w:val="24"/>
        </w:rPr>
        <w:fldChar w:fldCharType="begin" w:fldLock="1"/>
      </w:r>
      <w:r w:rsidR="00636FE7" w:rsidRPr="003676D3">
        <w:rPr>
          <w:rFonts w:ascii="Times New Roman" w:hAnsi="Times New Roman" w:cs="Times New Roman"/>
          <w:sz w:val="24"/>
          <w:szCs w:val="24"/>
        </w:rPr>
        <w:instrText>ADDIN CSL_CITATION {"citationItems":[{"id":"ITEM-1","itemData":{"DOI":"10.32604/cmc.2022.022290","abstract":"Federated learning is a distributed learning framework which trains global models by passing model parameters instead of raw data. However, the training mechanism for passing model parameters is still threatened by gradient inversion, inference attacks, etc. With a lightweight encryption overhead, function encryption is a viable secure aggregation technique in federation learning, which is often used in combination with differential privacy. The function encryption in federal learning still has the following problems: a) Traditional function encryption usually requires a trust third party (TTP) to assign the keys. If a TTP colludes with a server, the security aggregation mechanism can be compromised. b) When using differential privacy in combination with function encryption, the evaluation metrics of incentive mechanisms in the traditional federal learning become invisible. In this paper, we propose a hybrid privacy-preserving scheme for federated learning, called Fed-DFE. Specifically, we present a decentralized multi-client function encryption algorithm. It replaces the TTP in traditional function encryption with an interactive key generation algorithm, avoiding the problem of collusion. Then, an embedded incentive mechanism is designed for function encryption. It models the real parameters in federated learning and finds a balance between privacy preservation and model accuracy. Subsequently, we implemented a prototype of Fed-DFE and evaluated the performance of decentralized function encryp-tion algorithm. The experimental results demonstrate the effectiveness and efficiency of our scheme.","author":[{"dropping-particle":"","family":"Sun","given":"Z","non-dropping-particle":"","parse-names":false,"suffix":""},{"dropping-particle":"","family":"Feng","given":"J","non-dropping-particle":"","parse-names":false,"suffix":""},{"dropping-particle":"","family":"Yin","given":"L","non-dropping-particle":"","parse-names":false,"suffix":""},{"dropping-particle":"","family":"Zhang","given":"Z","non-dropping-particle":"","parse-names":false,"suffix":""},{"dropping-particle":"","family":"…","given":"R Li -","non-dropping-particle":"","parse-names":false,"suffix":""},{"dropping-particle":"","family":"Continua","given":"Materials &amp;","non-dropping-particle":"","parse-names":false,"suffix":""},{"dropping-particle":"","family":"2022","given":"undefined","non-dropping-particle":"","parse-names":false,"suffix":""}],"container-title":"cdn.techscience.cnZ Sun, J Feng, L Yin, Z Zhang, R Li, Y Hu, C NaComputers, Materials &amp; Continua, 2022•cdn.techscience.cn","id":"ITEM-1","issued":{"date-parts":[["0"]]},"title":"Fed-DFE: A Decentralized Function Encryption-Based Privacy-Preserving Scheme for Federated Learning.","type":"article-journal"},"uris":["http://www.mendeley.com/documents/?uuid=120bdbff-c930-3a46-8cf4-caed33cf883e"]}],"mendeley":{"formattedCitation":"[162]","plainTextFormattedCitation":"[162]","previouslyFormattedCitation":"[162]"},"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[162]</w:t>
      </w:r>
      <w:r w:rsidR="00636FE7" w:rsidRPr="003676D3">
        <w:rPr>
          <w:rFonts w:ascii="Times New Roman" w:hAnsi="Times New Roman" w:cs="Times New Roman"/>
          <w:sz w:val="24"/>
          <w:szCs w:val="24"/>
        </w:rPr>
        <w:fldChar w:fldCharType="end"/>
      </w:r>
      <w:r w:rsidR="001159D3" w:rsidRPr="003676D3">
        <w:rPr>
          <w:rFonts w:ascii="Times New Roman" w:hAnsi="Times New Roman" w:cs="Times New Roman"/>
          <w:sz w:val="24"/>
          <w:szCs w:val="24"/>
        </w:rPr>
        <w:t xml:space="preserve">. This is done by </w:t>
      </w:r>
      <w:r w:rsidRPr="003676D3">
        <w:rPr>
          <w:rFonts w:ascii="Times New Roman" w:hAnsi="Times New Roman" w:cs="Times New Roman"/>
          <w:sz w:val="24"/>
          <w:szCs w:val="24"/>
        </w:rPr>
        <w:t xml:space="preserve">conducting local training at individual stations, with only the results shared with the cloud server. Consumers receive suitable incentives based on the data obtained by the cloud server. </w:t>
      </w:r>
      <w:r w:rsidR="003B3E2E" w:rsidRPr="003676D3">
        <w:rPr>
          <w:rFonts w:ascii="Times New Roman" w:hAnsi="Times New Roman" w:cs="Times New Roman"/>
          <w:sz w:val="24"/>
          <w:szCs w:val="24"/>
        </w:rPr>
        <w:t>E</w:t>
      </w:r>
      <w:r w:rsidRPr="003676D3">
        <w:rPr>
          <w:rFonts w:ascii="Times New Roman" w:hAnsi="Times New Roman" w:cs="Times New Roman"/>
          <w:sz w:val="24"/>
          <w:szCs w:val="24"/>
        </w:rPr>
        <w:t>dge-cloud collaboration was proposed by</w:t>
      </w:r>
      <w:r w:rsidR="00636FE7" w:rsidRPr="003676D3">
        <w:rPr>
          <w:rFonts w:ascii="Times New Roman" w:hAnsi="Times New Roman" w:cs="Times New Roman"/>
          <w:sz w:val="24"/>
          <w:szCs w:val="24"/>
        </w:rPr>
        <w:t xml:space="preserve"> </w:t>
      </w:r>
      <w:r w:rsidR="00636FE7"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{"citationItems":[{"id":"ITEM-1","itemData":{"DOI":"10.1109/TII.2021.3095506","ISSN":"19410050","abstract":"With the prevalence of smart appliances, smart meters, and Internet of Things (IoT) devices in smart grids, artificial intelligence (AI) built on the rich IoT big data enables various energy data analysis applications and brings intelligent and personalized energy services for users. In conventional AI of Things (AIoT) paradigms, a wealth of individual energy data distributed across users’ IoT devices needs to be migrated to a central storage (e.g., cloud or edge device) for knowledge extraction, which may impose severe privacy violation and data misuse risks. Federated learning, as an appealing privacy-preserving AI paradigm, enables energy data owners (EDOs) to cooperatively train a shared AI model without revealing the local energy data. Nevertheless, potential security and efficiency concerns still impede the deployment of federatedlearning-based AIoT services in smart grids due to the low-quality shared local models, non-independently and identically distributed (non-IID) data distributions, and unpredictable communication delays. In this article, we propose a secure and efficient federated-learning-enabled AIoT scheme for private energy data sharing in smart grids with edge-cloud collaboration. Specifically, we first introduce an edge-cloud-assisted federated learning framework for communication-efficient and privacy-preserving energy data sharing of users in smart grids. Then, by considering non-IID effects, we design a local data evaluation mechanism in federated learning and formulate two optimization problems for EDOs and energy service providers. Furthermore, due to the lack of knowledge of multidimensional user private information in practical scenarios, a two-layer deep reinforcement-learning-based incentive algorithm is developed to promote EDOs’ participation and high-quality model contribution. Extensive simulation results show that the proposed scheme can effectively stimulate EDOs to share high-quality local model updates and improve the communication efficiency.","author":[{"dropping-particle":"","family":"Su","given":"Zhou","non-dropping-particle":"","parse-names":false,"suffix":""},{"dropping-particle":"","family":"Wang","given":"Yuntao","non-dropping-particle":"","parse-names":false,"suffix":""},{"dropping-particle":"","family":"Luan","given":"Tom H.","non-dropping-particle":"","parse-names":false,"suffix":""},{"dropping-particle":"","family":"Zhang","given":"Ning","non-dropping-particle":"","parse-names":false,"suffix":""},{"dropping-particle":"","family":"Li","given":"Feng","non-dropping-particle":"","parse-names":false,"suffix":""},{"dropping-particle":"","family":"Chen","given":"Tao","non-dropping-particle":"","parse-names":false,"suffix":""},{"dropping-particle":"","family":"Cao","given":"Hui","non-dropping-particle":"","parse-names":false,"suffix":""}],"container-title":"IEEE Transactions on Industrial Informatics","id":"ITEM-1","issue":"2","issued":{"date-parts":[["2022","2","1"]]},"page":"1333-1344","publisher":"IEEE Computer Society","title":"Secure and Efficient Federated Learning for Smart Grid with Edge-Cloud Collaboration","type":"article-journal","volume":"18"},"uris":["http://www.mendeley.com/documents/?uuid=5169c3b3-c725-3853-9eab-900b05ef5656"]},{"id":"ITEM-2","itemData":{"DOI":"10.5220/0010580700830090","ISBN":"9789897585296","abstract":"Multi-microgrids (MMGs) provide economic and environmental benefits to society by improving operational flexibility, stability and reliability of a smart grid. MMGs have greater complexity than conventional power networks due to the use of multiple infrastructures, communication protocols, controllers, and intelligent electronic devices. The distributed and heterogeneous connectivity technologies of the MMGs and their need to exchange information with external sources as well as the vulnerabilities in the communication networks and software-based components, make MMGs susceptible to cyberattacks. In this work, we present a conceptual framework for collaborative adaptive cybersecurity that is able to proactively detect security incidents. The framework utilizes federated learning for collaborative training of shared prediction models in a decentralized manner. The methodology used in this research is mainly analytical. This involves analysis of how the principles of a collaborative adaptive cybersecurity can be applied to the MMG environments resulting in the development of theoretical models which can then be validated in practice by prototyping and using real time simulation.","author":[{"dropping-particle":"","family":"Boudko","given":"S","non-dropping-particle":"","parse-names":false,"suffix":""},{"dropping-particle":"","family":"Abie","given":"H","non-dropping-particle":"","parse-names":false,"suffix":""},{"dropping-particle":"","family":"Nigussie","given":"E","non-dropping-particle":"","parse-names":false,"suffix":""},{"dropping-particle":"","family":"WINSYS","given":"R Savola -","non-dropping-particle":"","parse-names":false,"suffix":""},{"dropping-particle":"","family":"2021","given":"undefined","non-dropping-particle":"","parse-names":false,"suffix":""}],"container-title":"scitepress.orgS Boudko, H Abie, E Nigussie, R SavolaWINSYS, 2021•scitepress.org","id":"ITEM-2","issued":{"date-parts":[["0"]]},"title":"Towards Federated Learning-based Collaborative Adaptive Cybersecurity for Multi-microgrids.","type":"article-journal"},"uris":["http://www.mendeley.com/documents/?uuid=de824a1b-bf98-309c-ae09-a6f712a10589"]}],"mendeley":{"formattedCitation":"[163,164]","plainTextFormattedCitation":"[163,164]","previouslyFormattedCitation":"[163,164]"},"properties":{"noteIndex":0},"schema":"https://github.com/citation-style-language/schema/raw/master/csl-citation.json"}</w:instrText>
      </w:r>
      <w:r w:rsidR="00636FE7" w:rsidRPr="003676D3">
        <w:rPr>
          <w:rFonts w:ascii="Times New Roman" w:hAnsi="Times New Roman" w:cs="Times New Roman"/>
          <w:sz w:val="24"/>
          <w:szCs w:val="24"/>
        </w:rPr>
        <w:fldChar w:fldCharType="separate"/>
      </w:r>
      <w:r w:rsidR="00636FE7" w:rsidRPr="003676D3">
        <w:rPr>
          <w:rFonts w:ascii="Times New Roman" w:hAnsi="Times New Roman" w:cs="Times New Roman"/>
          <w:noProof/>
          <w:sz w:val="24"/>
          <w:szCs w:val="24"/>
        </w:rPr>
        <w:t>[163,164]</w:t>
      </w:r>
      <w:r w:rsidR="00636FE7" w:rsidRPr="003676D3">
        <w:rPr>
          <w:rFonts w:ascii="Times New Roman" w:hAnsi="Times New Roman" w:cs="Times New Roman"/>
          <w:sz w:val="24"/>
          <w:szCs w:val="24"/>
        </w:rPr>
        <w:fldChar w:fldCharType="end"/>
      </w:r>
      <w:r w:rsidR="003B3E2E" w:rsidRPr="003676D3">
        <w:rPr>
          <w:rFonts w:ascii="Times New Roman" w:hAnsi="Times New Roman" w:cs="Times New Roman"/>
          <w:sz w:val="24"/>
          <w:szCs w:val="24"/>
        </w:rPr>
        <w:t xml:space="preserve"> for privacy-preserving energy data sharing</w:t>
      </w:r>
      <w:r w:rsidRPr="003676D3">
        <w:rPr>
          <w:rFonts w:ascii="Times New Roman" w:hAnsi="Times New Roman" w:cs="Times New Roman"/>
          <w:sz w:val="24"/>
          <w:szCs w:val="24"/>
        </w:rPr>
        <w:t xml:space="preserve">. </w:t>
      </w:r>
      <w:r w:rsidR="004C6214" w:rsidRPr="003676D3">
        <w:rPr>
          <w:rFonts w:ascii="Times New Roman" w:hAnsi="Times New Roman" w:cs="Times New Roman"/>
          <w:b/>
          <w:bCs/>
          <w:sz w:val="24"/>
          <w:szCs w:val="24"/>
        </w:rPr>
        <w:fldChar w:fldCharType="begin"/>
      </w:r>
      <w:r w:rsidR="004C6214" w:rsidRPr="003676D3">
        <w:rPr>
          <w:rFonts w:ascii="Times New Roman" w:hAnsi="Times New Roman" w:cs="Times New Roman"/>
          <w:b/>
          <w:bCs/>
          <w:sz w:val="24"/>
          <w:szCs w:val="24"/>
        </w:rPr>
        <w:instrText xml:space="preserve"> REF _Ref168447528 \h  \* MERGEFORMAT </w:instrText>
      </w:r>
      <w:r w:rsidR="004C6214" w:rsidRPr="003676D3">
        <w:rPr>
          <w:rFonts w:ascii="Times New Roman" w:hAnsi="Times New Roman" w:cs="Times New Roman"/>
          <w:b/>
          <w:bCs/>
          <w:sz w:val="24"/>
          <w:szCs w:val="24"/>
        </w:rPr>
      </w:r>
      <w:r w:rsidR="004C6214" w:rsidRPr="003676D3">
        <w:rPr>
          <w:rFonts w:ascii="Times New Roman" w:hAnsi="Times New Roman" w:cs="Times New Roman"/>
          <w:b/>
          <w:bCs/>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9</w:t>
      </w:r>
      <w:r w:rsidR="004C6214" w:rsidRPr="003676D3">
        <w:rPr>
          <w:rFonts w:ascii="Times New Roman" w:hAnsi="Times New Roman" w:cs="Times New Roman"/>
          <w:b/>
          <w:bCs/>
          <w:sz w:val="24"/>
          <w:szCs w:val="24"/>
        </w:rPr>
        <w:fldChar w:fldCharType="end"/>
      </w:r>
      <w:r w:rsidR="004C6214" w:rsidRPr="003676D3">
        <w:rPr>
          <w:rFonts w:ascii="Times New Roman" w:hAnsi="Times New Roman" w:cs="Times New Roman"/>
          <w:sz w:val="24"/>
          <w:szCs w:val="24"/>
        </w:rPr>
        <w:t xml:space="preserve"> shows application of artificial intelligence and machine learning algorithms with asset and ICT layers in a SG environment</w:t>
      </w:r>
      <w:r w:rsidR="000128C6" w:rsidRPr="003676D3">
        <w:rPr>
          <w:rFonts w:ascii="Times New Roman" w:hAnsi="Times New Roman" w:cs="Times New Roman"/>
          <w:sz w:val="24"/>
          <w:szCs w:val="24"/>
        </w:rPr>
        <w:t xml:space="preserve"> </w:t>
      </w:r>
      <w:r w:rsidR="000128C6" w:rsidRPr="003676D3">
        <w:rPr>
          <w:rFonts w:ascii="Times New Roman" w:hAnsi="Times New Roman" w:cs="Times New Roman"/>
          <w:sz w:val="24"/>
          <w:szCs w:val="24"/>
        </w:rPr>
        <w:fldChar w:fldCharType="begin" w:fldLock="1"/>
      </w:r>
      <w:r w:rsidR="000128C6" w:rsidRPr="003676D3">
        <w:rPr>
          <w:rFonts w:ascii="Times New Roman" w:hAnsi="Times New Roman" w:cs="Times New Roman"/>
          <w:sz w:val="24"/>
          <w:szCs w:val="24"/>
        </w:rPr>
        <w:instrText>ADDIN CSL_CITATION {"citationItems":[{"id":"ITEM-1","itemData":{"DOI":"10.1016/J.JCLEPRO.2021.126877","ISSN":"0959-6526","abstract":"This paper describes a generic methodology to develop mathematical and computational models of different components of the smart grid architecture model (SGAM). The SGAM inspired integrated mathematical modelling will help develop interoperable complex system simulations for integrating different smart grid components, associated communication models for data exchange and software modules, control, estimation, and data analytics functionalities with the business perspectives. This paper is based on the existing component models inspired by SGAM, which provides a holistic view for integrating the models under operational and security constraints. Achievable results and open research problems for the SGAM mapping have also been discussed in these models supporting the interoperability challenges. The models described in this paper can serve as a guideline to design efficient and robust control strategies for smart grids against uncertain loading, generation, and communication constraints, thus optimizing and improving the whole system's performance. Mathematical and computational models of cyber-physical systems have also been discussed along with their potential challenges. Based on the above concepts, unsolved and open challenges in the smart grid control, optimization and data analytics are highlighted.","author":[{"dropping-particle":"","family":"Panda","given":"Deepak Kumar","non-dropping-particle":"","parse-names":false,"suffix":""},{"dropping-particle":"","family":"Das","given":"Saptarshi","non-dropping-particle":"","parse-names":false,"suffix":""}],"container-title":"Journal of Cleaner Production","id":"ITEM-1","issued":{"date-parts":[["2021","6","10"]]},"page":"126877","publisher":"Elsevier","title":"Smart grid architecture model for control, optimization and data analytics of future power networks with more renewable energy","type":"article-journal","volume":"301"},"uris":["http://www.mendeley.com/documents/?uuid=f91adc9d-0091-3d22-ae10-84bcaed7fab6"]}],"mendeley":{"formattedCitation":"[23]","plainTextFormattedCitation":"[23]","previouslyFormattedCitation":"[23]"},"properties":{"noteIndex":0},"schema":"https://github.com/citation-style-language/schema/raw/master/csl-citation.json"}</w:instrText>
      </w:r>
      <w:r w:rsidR="000128C6" w:rsidRPr="003676D3">
        <w:rPr>
          <w:rFonts w:ascii="Times New Roman" w:hAnsi="Times New Roman" w:cs="Times New Roman"/>
          <w:sz w:val="24"/>
          <w:szCs w:val="24"/>
        </w:rPr>
        <w:fldChar w:fldCharType="separate"/>
      </w:r>
      <w:r w:rsidR="000128C6" w:rsidRPr="003676D3">
        <w:rPr>
          <w:rFonts w:ascii="Times New Roman" w:hAnsi="Times New Roman" w:cs="Times New Roman"/>
          <w:noProof/>
          <w:sz w:val="24"/>
          <w:szCs w:val="24"/>
        </w:rPr>
        <w:t>[23]</w:t>
      </w:r>
      <w:r w:rsidR="000128C6" w:rsidRPr="003676D3">
        <w:rPr>
          <w:rFonts w:ascii="Times New Roman" w:hAnsi="Times New Roman" w:cs="Times New Roman"/>
          <w:sz w:val="24"/>
          <w:szCs w:val="24"/>
        </w:rPr>
        <w:fldChar w:fldCharType="end"/>
      </w:r>
      <w:r w:rsidR="004C6214" w:rsidRPr="003676D3">
        <w:rPr>
          <w:rFonts w:ascii="Times New Roman" w:hAnsi="Times New Roman" w:cs="Times New Roman"/>
          <w:sz w:val="24"/>
          <w:szCs w:val="24"/>
        </w:rPr>
        <w:t>. These enabling technologies in SG constitutes the basis of a super smart grid.</w:t>
      </w:r>
      <w:r w:rsidR="00CC49AF" w:rsidRPr="003676D3">
        <w:rPr>
          <w:rFonts w:ascii="Times New Roman" w:hAnsi="Times New Roman" w:cs="Times New Roman"/>
          <w:sz w:val="24"/>
          <w:szCs w:val="24"/>
        </w:rPr>
        <w:t xml:space="preserve"> </w:t>
      </w:r>
      <w:r w:rsidR="00CC49AF" w:rsidRPr="003676D3">
        <w:rPr>
          <w:rFonts w:ascii="Times New Roman" w:hAnsi="Times New Roman" w:cs="Times New Roman"/>
          <w:sz w:val="24"/>
          <w:szCs w:val="24"/>
        </w:rPr>
        <w:fldChar w:fldCharType="begin"/>
      </w:r>
      <w:r w:rsidR="00CC49AF" w:rsidRPr="003676D3">
        <w:rPr>
          <w:rFonts w:ascii="Times New Roman" w:hAnsi="Times New Roman" w:cs="Times New Roman"/>
          <w:sz w:val="24"/>
          <w:szCs w:val="24"/>
        </w:rPr>
        <w:instrText xml:space="preserve"> REF _Ref168484028 \h  \* MERGEFORMAT </w:instrText>
      </w:r>
      <w:r w:rsidR="00CC49AF" w:rsidRPr="003676D3">
        <w:rPr>
          <w:rFonts w:ascii="Times New Roman" w:hAnsi="Times New Roman" w:cs="Times New Roman"/>
          <w:sz w:val="24"/>
          <w:szCs w:val="24"/>
        </w:rPr>
      </w:r>
      <w:r w:rsidR="00CC49AF" w:rsidRPr="003676D3">
        <w:rPr>
          <w:rFonts w:ascii="Times New Roman" w:hAnsi="Times New Roman" w:cs="Times New Roman"/>
          <w:sz w:val="24"/>
          <w:szCs w:val="24"/>
        </w:rPr>
        <w:fldChar w:fldCharType="separate"/>
      </w:r>
      <w:r w:rsidR="008D1E2C" w:rsidRPr="003676D3">
        <w:rPr>
          <w:rFonts w:ascii="Times New Roman" w:hAnsi="Times New Roman" w:cs="Times New Roman"/>
          <w:b/>
          <w:bCs/>
          <w:sz w:val="24"/>
          <w:szCs w:val="24"/>
        </w:rPr>
        <w:t xml:space="preserve">Table </w:t>
      </w:r>
      <w:r w:rsidR="008D1E2C" w:rsidRPr="003676D3">
        <w:rPr>
          <w:rFonts w:ascii="Times New Roman" w:hAnsi="Times New Roman" w:cs="Times New Roman"/>
          <w:b/>
          <w:bCs/>
          <w:noProof/>
          <w:sz w:val="24"/>
          <w:szCs w:val="24"/>
        </w:rPr>
        <w:t>4.</w:t>
      </w:r>
      <w:r w:rsidR="008D1E2C" w:rsidRPr="003676D3">
        <w:rPr>
          <w:rFonts w:ascii="Times New Roman" w:hAnsi="Times New Roman" w:cs="Times New Roman"/>
          <w:sz w:val="24"/>
          <w:szCs w:val="24"/>
        </w:rPr>
        <w:t xml:space="preserve"> Summary of research papers within the domain of enabling technologies, SG and SSG.</w:t>
      </w:r>
      <w:r w:rsidR="00CC49AF" w:rsidRPr="003676D3">
        <w:rPr>
          <w:rFonts w:ascii="Times New Roman" w:hAnsi="Times New Roman" w:cs="Times New Roman"/>
          <w:sz w:val="24"/>
          <w:szCs w:val="24"/>
        </w:rPr>
        <w:fldChar w:fldCharType="end"/>
      </w:r>
    </w:p>
    <w:p w14:paraId="57A2DE68" w14:textId="085ACB82" w:rsidR="003F2161" w:rsidRPr="003676D3" w:rsidRDefault="00A875CF"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sz w:val="24"/>
          <w:szCs w:val="24"/>
          <w:lang w:eastAsia="en-GB"/>
        </w:rPr>
        <w:lastRenderedPageBreak/>
        <w:drawing>
          <wp:anchor distT="0" distB="0" distL="114300" distR="114300" simplePos="0" relativeHeight="251679744" behindDoc="0" locked="0" layoutInCell="1" allowOverlap="1" wp14:anchorId="4955681C" wp14:editId="493158B9">
            <wp:simplePos x="0" y="0"/>
            <wp:positionH relativeFrom="column">
              <wp:posOffset>-63795</wp:posOffset>
            </wp:positionH>
            <wp:positionV relativeFrom="paragraph">
              <wp:posOffset>74029</wp:posOffset>
            </wp:positionV>
            <wp:extent cx="5731510" cy="368427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y.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anchor>
        </w:drawing>
      </w:r>
      <w:r w:rsidR="004C6214" w:rsidRPr="003676D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567E58D" wp14:editId="4716B2AA">
                <wp:simplePos x="0" y="0"/>
                <wp:positionH relativeFrom="column">
                  <wp:posOffset>0</wp:posOffset>
                </wp:positionH>
                <wp:positionV relativeFrom="paragraph">
                  <wp:posOffset>4017645</wp:posOffset>
                </wp:positionV>
                <wp:extent cx="5731510" cy="456565"/>
                <wp:effectExtent l="0" t="0" r="2540" b="635"/>
                <wp:wrapSquare wrapText="bothSides"/>
                <wp:docPr id="18" name="Text Box 18"/>
                <wp:cNvGraphicFramePr/>
                <a:graphic xmlns:a="http://schemas.openxmlformats.org/drawingml/2006/main">
                  <a:graphicData uri="http://schemas.microsoft.com/office/word/2010/wordprocessingShape">
                    <wps:wsp>
                      <wps:cNvSpPr txBox="1"/>
                      <wps:spPr>
                        <a:xfrm>
                          <a:off x="0" y="0"/>
                          <a:ext cx="5731510" cy="456565"/>
                        </a:xfrm>
                        <a:prstGeom prst="rect">
                          <a:avLst/>
                        </a:prstGeom>
                        <a:solidFill>
                          <a:prstClr val="white"/>
                        </a:solidFill>
                        <a:ln>
                          <a:noFill/>
                        </a:ln>
                      </wps:spPr>
                      <wps:txbx>
                        <w:txbxContent>
                          <w:p w14:paraId="14903A06" w14:textId="67B680D1" w:rsidR="001F368F" w:rsidRDefault="001F368F" w:rsidP="004B1918">
                            <w:pPr>
                              <w:pStyle w:val="Caption"/>
                              <w:spacing w:after="0" w:line="276" w:lineRule="auto"/>
                              <w:jc w:val="center"/>
                              <w:rPr>
                                <w:rFonts w:asciiTheme="majorBidi" w:hAnsiTheme="majorBidi" w:cstheme="majorBidi"/>
                                <w:b/>
                                <w:bCs/>
                                <w:i w:val="0"/>
                                <w:iCs w:val="0"/>
                                <w:color w:val="auto"/>
                                <w:sz w:val="20"/>
                                <w:szCs w:val="20"/>
                              </w:rPr>
                            </w:pPr>
                            <w:bookmarkStart w:id="23" w:name="_Ref168447528"/>
                            <w:r w:rsidRPr="003F2161">
                              <w:rPr>
                                <w:rFonts w:asciiTheme="majorBidi" w:hAnsiTheme="majorBidi" w:cstheme="majorBidi"/>
                                <w:b/>
                                <w:bCs/>
                                <w:i w:val="0"/>
                                <w:iCs w:val="0"/>
                                <w:color w:val="auto"/>
                                <w:sz w:val="20"/>
                                <w:szCs w:val="20"/>
                              </w:rPr>
                              <w:t xml:space="preserve">Figure </w:t>
                            </w:r>
                            <w:r w:rsidRPr="003F2161">
                              <w:rPr>
                                <w:rFonts w:asciiTheme="majorBidi" w:hAnsiTheme="majorBidi" w:cstheme="majorBidi"/>
                                <w:b/>
                                <w:bCs/>
                                <w:i w:val="0"/>
                                <w:iCs w:val="0"/>
                                <w:color w:val="auto"/>
                                <w:sz w:val="20"/>
                                <w:szCs w:val="20"/>
                              </w:rPr>
                              <w:fldChar w:fldCharType="begin"/>
                            </w:r>
                            <w:r w:rsidRPr="003F2161">
                              <w:rPr>
                                <w:rFonts w:asciiTheme="majorBidi" w:hAnsiTheme="majorBidi" w:cstheme="majorBidi"/>
                                <w:b/>
                                <w:bCs/>
                                <w:i w:val="0"/>
                                <w:iCs w:val="0"/>
                                <w:color w:val="auto"/>
                                <w:sz w:val="20"/>
                                <w:szCs w:val="20"/>
                              </w:rPr>
                              <w:instrText xml:space="preserve"> SEQ Figure \* ARABIC </w:instrText>
                            </w:r>
                            <w:r w:rsidRPr="003F2161">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9</w:t>
                            </w:r>
                            <w:r w:rsidRPr="003F2161">
                              <w:rPr>
                                <w:rFonts w:asciiTheme="majorBidi" w:hAnsiTheme="majorBidi" w:cstheme="majorBidi"/>
                                <w:b/>
                                <w:bCs/>
                                <w:i w:val="0"/>
                                <w:iCs w:val="0"/>
                                <w:color w:val="auto"/>
                                <w:sz w:val="20"/>
                                <w:szCs w:val="20"/>
                              </w:rPr>
                              <w:fldChar w:fldCharType="end"/>
                            </w:r>
                            <w:bookmarkEnd w:id="23"/>
                            <w:r w:rsidRPr="003F2161">
                              <w:rPr>
                                <w:rFonts w:asciiTheme="majorBidi" w:hAnsiTheme="majorBidi" w:cstheme="majorBidi"/>
                                <w:b/>
                                <w:bCs/>
                                <w:i w:val="0"/>
                                <w:iCs w:val="0"/>
                                <w:color w:val="auto"/>
                                <w:sz w:val="20"/>
                                <w:szCs w:val="20"/>
                              </w:rPr>
                              <w:t xml:space="preserve">. </w:t>
                            </w:r>
                            <w:r>
                              <w:rPr>
                                <w:rFonts w:asciiTheme="majorBidi" w:hAnsiTheme="majorBidi" w:cstheme="majorBidi"/>
                                <w:b/>
                                <w:bCs/>
                                <w:i w:val="0"/>
                                <w:iCs w:val="0"/>
                                <w:color w:val="auto"/>
                                <w:sz w:val="20"/>
                                <w:szCs w:val="20"/>
                              </w:rPr>
                              <w:t>Artificial intelligence</w:t>
                            </w:r>
                            <w:r w:rsidRPr="003F2161">
                              <w:rPr>
                                <w:rFonts w:asciiTheme="majorBidi" w:hAnsiTheme="majorBidi" w:cstheme="majorBidi"/>
                                <w:b/>
                                <w:bCs/>
                                <w:i w:val="0"/>
                                <w:iCs w:val="0"/>
                                <w:color w:val="auto"/>
                                <w:sz w:val="20"/>
                                <w:szCs w:val="20"/>
                              </w:rPr>
                              <w:t xml:space="preserve"> a</w:t>
                            </w:r>
                            <w:r>
                              <w:rPr>
                                <w:rFonts w:asciiTheme="majorBidi" w:hAnsiTheme="majorBidi" w:cstheme="majorBidi"/>
                                <w:b/>
                                <w:bCs/>
                                <w:i w:val="0"/>
                                <w:iCs w:val="0"/>
                                <w:color w:val="auto"/>
                                <w:sz w:val="20"/>
                                <w:szCs w:val="20"/>
                              </w:rPr>
                              <w:t>pplications in SG [23].</w:t>
                            </w:r>
                          </w:p>
                          <w:p w14:paraId="3E03D52A" w14:textId="640BCD24" w:rsidR="001F368F" w:rsidRPr="003F2161" w:rsidRDefault="001F368F" w:rsidP="004C6214">
                            <w:pPr>
                              <w:pStyle w:val="Caption"/>
                              <w:spacing w:line="276" w:lineRule="auto"/>
                              <w:jc w:val="both"/>
                              <w:rPr>
                                <w:rFonts w:asciiTheme="majorBidi" w:hAnsiTheme="majorBidi" w:cstheme="majorBidi"/>
                                <w:b/>
                                <w:bCs/>
                                <w:i w:val="0"/>
                                <w:iCs w:val="0"/>
                                <w:noProof/>
                                <w:color w:val="auto"/>
                                <w:sz w:val="20"/>
                                <w:szCs w:val="20"/>
                              </w:rPr>
                            </w:pPr>
                            <w:r>
                              <w:rPr>
                                <w:rFonts w:asciiTheme="majorBidi" w:hAnsiTheme="majorBidi" w:cstheme="majorBidi"/>
                                <w:b/>
                                <w:bCs/>
                                <w:i w:val="0"/>
                                <w:iCs w:val="0"/>
                                <w:color w:val="auto"/>
                                <w:sz w:val="20"/>
                                <w:szCs w:val="20"/>
                              </w:rPr>
                              <w:t xml:space="preserve">Grey: Artificial intelligence </w:t>
                            </w:r>
                            <w:r w:rsidRPr="003F2161">
                              <w:rPr>
                                <w:rFonts w:asciiTheme="majorBidi" w:hAnsiTheme="majorBidi" w:cstheme="majorBidi"/>
                                <w:b/>
                                <w:bCs/>
                                <w:i w:val="0"/>
                                <w:iCs w:val="0"/>
                                <w:color w:val="auto"/>
                                <w:sz w:val="20"/>
                                <w:szCs w:val="20"/>
                              </w:rPr>
                              <w:t>,</w:t>
                            </w:r>
                            <w:r>
                              <w:rPr>
                                <w:rFonts w:asciiTheme="majorBidi" w:hAnsiTheme="majorBidi" w:cstheme="majorBidi"/>
                                <w:b/>
                                <w:bCs/>
                                <w:i w:val="0"/>
                                <w:iCs w:val="0"/>
                                <w:color w:val="auto"/>
                                <w:sz w:val="20"/>
                                <w:szCs w:val="20"/>
                              </w:rPr>
                              <w:t xml:space="preserve"> Purple: communication layer, Blue: Asset layer, Red: </w:t>
                            </w:r>
                            <w:r w:rsidRPr="003F2161">
                              <w:rPr>
                                <w:rFonts w:asciiTheme="majorBidi" w:hAnsiTheme="majorBidi" w:cstheme="majorBidi"/>
                                <w:b/>
                                <w:bCs/>
                                <w:i w:val="0"/>
                                <w:iCs w:val="0"/>
                                <w:color w:val="auto"/>
                                <w:sz w:val="20"/>
                                <w:szCs w:val="20"/>
                                <w:cs/>
                              </w:rPr>
                              <w:t>‎</w:t>
                            </w:r>
                            <w:r w:rsidRPr="003F2161">
                              <w:rPr>
                                <w:rFonts w:asciiTheme="majorBidi" w:hAnsiTheme="majorBidi" w:cstheme="majorBidi"/>
                                <w:b/>
                                <w:bCs/>
                                <w:i w:val="0"/>
                                <w:iCs w:val="0"/>
                                <w:color w:val="auto"/>
                                <w:sz w:val="20"/>
                                <w:szCs w:val="20"/>
                              </w:rPr>
                              <w:t>information 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7E58D" id="Text Box 18" o:spid="_x0000_s1033" type="#_x0000_t202" style="position:absolute;left:0;text-align:left;margin-left:0;margin-top:316.35pt;width:451.3pt;height:35.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" stroked="f">
                <v:textbox inset="0,0,0,0">
                  <w:txbxContent>
                    <w:p w14:paraId="14903A06" w14:textId="67B680D1" w:rsidR="001F368F" w:rsidRDefault="001F368F" w:rsidP="004B1918">
                      <w:pPr>
                        <w:pStyle w:val="Caption"/>
                        <w:spacing w:after="0" w:line="276" w:lineRule="auto"/>
                        <w:jc w:val="center"/>
                        <w:rPr>
                          <w:rFonts w:asciiTheme="majorBidi" w:hAnsiTheme="majorBidi" w:cstheme="majorBidi"/>
                          <w:b/>
                          <w:bCs/>
                          <w:i w:val="0"/>
                          <w:iCs w:val="0"/>
                          <w:color w:val="auto"/>
                          <w:sz w:val="20"/>
                          <w:szCs w:val="20"/>
                        </w:rPr>
                      </w:pPr>
                      <w:bookmarkStart w:id="24" w:name="_Ref168447528"/>
                      <w:r w:rsidRPr="003F2161">
                        <w:rPr>
                          <w:rFonts w:asciiTheme="majorBidi" w:hAnsiTheme="majorBidi" w:cstheme="majorBidi"/>
                          <w:b/>
                          <w:bCs/>
                          <w:i w:val="0"/>
                          <w:iCs w:val="0"/>
                          <w:color w:val="auto"/>
                          <w:sz w:val="20"/>
                          <w:szCs w:val="20"/>
                        </w:rPr>
                        <w:t xml:space="preserve">Figure </w:t>
                      </w:r>
                      <w:r w:rsidRPr="003F2161">
                        <w:rPr>
                          <w:rFonts w:asciiTheme="majorBidi" w:hAnsiTheme="majorBidi" w:cstheme="majorBidi"/>
                          <w:b/>
                          <w:bCs/>
                          <w:i w:val="0"/>
                          <w:iCs w:val="0"/>
                          <w:color w:val="auto"/>
                          <w:sz w:val="20"/>
                          <w:szCs w:val="20"/>
                        </w:rPr>
                        <w:fldChar w:fldCharType="begin"/>
                      </w:r>
                      <w:r w:rsidRPr="003F2161">
                        <w:rPr>
                          <w:rFonts w:asciiTheme="majorBidi" w:hAnsiTheme="majorBidi" w:cstheme="majorBidi"/>
                          <w:b/>
                          <w:bCs/>
                          <w:i w:val="0"/>
                          <w:iCs w:val="0"/>
                          <w:color w:val="auto"/>
                          <w:sz w:val="20"/>
                          <w:szCs w:val="20"/>
                        </w:rPr>
                        <w:instrText xml:space="preserve"> SEQ Figure \* ARABIC </w:instrText>
                      </w:r>
                      <w:r w:rsidRPr="003F2161">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9</w:t>
                      </w:r>
                      <w:r w:rsidRPr="003F2161">
                        <w:rPr>
                          <w:rFonts w:asciiTheme="majorBidi" w:hAnsiTheme="majorBidi" w:cstheme="majorBidi"/>
                          <w:b/>
                          <w:bCs/>
                          <w:i w:val="0"/>
                          <w:iCs w:val="0"/>
                          <w:color w:val="auto"/>
                          <w:sz w:val="20"/>
                          <w:szCs w:val="20"/>
                        </w:rPr>
                        <w:fldChar w:fldCharType="end"/>
                      </w:r>
                      <w:bookmarkEnd w:id="24"/>
                      <w:r w:rsidRPr="003F2161">
                        <w:rPr>
                          <w:rFonts w:asciiTheme="majorBidi" w:hAnsiTheme="majorBidi" w:cstheme="majorBidi"/>
                          <w:b/>
                          <w:bCs/>
                          <w:i w:val="0"/>
                          <w:iCs w:val="0"/>
                          <w:color w:val="auto"/>
                          <w:sz w:val="20"/>
                          <w:szCs w:val="20"/>
                        </w:rPr>
                        <w:t xml:space="preserve">. </w:t>
                      </w:r>
                      <w:r>
                        <w:rPr>
                          <w:rFonts w:asciiTheme="majorBidi" w:hAnsiTheme="majorBidi" w:cstheme="majorBidi"/>
                          <w:b/>
                          <w:bCs/>
                          <w:i w:val="0"/>
                          <w:iCs w:val="0"/>
                          <w:color w:val="auto"/>
                          <w:sz w:val="20"/>
                          <w:szCs w:val="20"/>
                        </w:rPr>
                        <w:t>Artificial intelligence</w:t>
                      </w:r>
                      <w:r w:rsidRPr="003F2161">
                        <w:rPr>
                          <w:rFonts w:asciiTheme="majorBidi" w:hAnsiTheme="majorBidi" w:cstheme="majorBidi"/>
                          <w:b/>
                          <w:bCs/>
                          <w:i w:val="0"/>
                          <w:iCs w:val="0"/>
                          <w:color w:val="auto"/>
                          <w:sz w:val="20"/>
                          <w:szCs w:val="20"/>
                        </w:rPr>
                        <w:t xml:space="preserve"> a</w:t>
                      </w:r>
                      <w:r>
                        <w:rPr>
                          <w:rFonts w:asciiTheme="majorBidi" w:hAnsiTheme="majorBidi" w:cstheme="majorBidi"/>
                          <w:b/>
                          <w:bCs/>
                          <w:i w:val="0"/>
                          <w:iCs w:val="0"/>
                          <w:color w:val="auto"/>
                          <w:sz w:val="20"/>
                          <w:szCs w:val="20"/>
                        </w:rPr>
                        <w:t>pplications in SG [23].</w:t>
                      </w:r>
                    </w:p>
                    <w:p w14:paraId="3E03D52A" w14:textId="640BCD24" w:rsidR="001F368F" w:rsidRPr="003F2161" w:rsidRDefault="001F368F" w:rsidP="004C6214">
                      <w:pPr>
                        <w:pStyle w:val="Caption"/>
                        <w:spacing w:line="276" w:lineRule="auto"/>
                        <w:jc w:val="both"/>
                        <w:rPr>
                          <w:rFonts w:asciiTheme="majorBidi" w:hAnsiTheme="majorBidi" w:cstheme="majorBidi"/>
                          <w:b/>
                          <w:bCs/>
                          <w:i w:val="0"/>
                          <w:iCs w:val="0"/>
                          <w:noProof/>
                          <w:color w:val="auto"/>
                          <w:sz w:val="20"/>
                          <w:szCs w:val="20"/>
                        </w:rPr>
                      </w:pPr>
                      <w:r>
                        <w:rPr>
                          <w:rFonts w:asciiTheme="majorBidi" w:hAnsiTheme="majorBidi" w:cstheme="majorBidi"/>
                          <w:b/>
                          <w:bCs/>
                          <w:i w:val="0"/>
                          <w:iCs w:val="0"/>
                          <w:color w:val="auto"/>
                          <w:sz w:val="20"/>
                          <w:szCs w:val="20"/>
                        </w:rPr>
                        <w:t xml:space="preserve">Grey: Artificial intelligence </w:t>
                      </w:r>
                      <w:r w:rsidRPr="003F2161">
                        <w:rPr>
                          <w:rFonts w:asciiTheme="majorBidi" w:hAnsiTheme="majorBidi" w:cstheme="majorBidi"/>
                          <w:b/>
                          <w:bCs/>
                          <w:i w:val="0"/>
                          <w:iCs w:val="0"/>
                          <w:color w:val="auto"/>
                          <w:sz w:val="20"/>
                          <w:szCs w:val="20"/>
                        </w:rPr>
                        <w:t>,</w:t>
                      </w:r>
                      <w:r>
                        <w:rPr>
                          <w:rFonts w:asciiTheme="majorBidi" w:hAnsiTheme="majorBidi" w:cstheme="majorBidi"/>
                          <w:b/>
                          <w:bCs/>
                          <w:i w:val="0"/>
                          <w:iCs w:val="0"/>
                          <w:color w:val="auto"/>
                          <w:sz w:val="20"/>
                          <w:szCs w:val="20"/>
                        </w:rPr>
                        <w:t xml:space="preserve"> Purple: communication layer, Blue: Asset layer, Red: </w:t>
                      </w:r>
                      <w:r w:rsidRPr="003F2161">
                        <w:rPr>
                          <w:rFonts w:asciiTheme="majorBidi" w:hAnsiTheme="majorBidi" w:cstheme="majorBidi"/>
                          <w:b/>
                          <w:bCs/>
                          <w:i w:val="0"/>
                          <w:iCs w:val="0"/>
                          <w:color w:val="auto"/>
                          <w:sz w:val="20"/>
                          <w:szCs w:val="20"/>
                          <w:cs/>
                        </w:rPr>
                        <w:t>‎</w:t>
                      </w:r>
                      <w:r w:rsidRPr="003F2161">
                        <w:rPr>
                          <w:rFonts w:asciiTheme="majorBidi" w:hAnsiTheme="majorBidi" w:cstheme="majorBidi"/>
                          <w:b/>
                          <w:bCs/>
                          <w:i w:val="0"/>
                          <w:iCs w:val="0"/>
                          <w:color w:val="auto"/>
                          <w:sz w:val="20"/>
                          <w:szCs w:val="20"/>
                        </w:rPr>
                        <w:t>information layer</w:t>
                      </w:r>
                    </w:p>
                  </w:txbxContent>
                </v:textbox>
                <w10:wrap type="square"/>
              </v:shape>
            </w:pict>
          </mc:Fallback>
        </mc:AlternateContent>
      </w:r>
    </w:p>
    <w:p w14:paraId="548DCDD6" w14:textId="4D27BBC1" w:rsidR="00DF217F"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5.3. Big D</w:t>
      </w:r>
      <w:r w:rsidR="00DF217F" w:rsidRPr="003676D3">
        <w:rPr>
          <w:rFonts w:ascii="Times New Roman" w:hAnsi="Times New Roman" w:cs="Times New Roman"/>
          <w:b/>
          <w:bCs/>
          <w:color w:val="auto"/>
          <w:sz w:val="24"/>
          <w:szCs w:val="24"/>
        </w:rPr>
        <w:t>ata</w:t>
      </w:r>
    </w:p>
    <w:p w14:paraId="5A6948CC" w14:textId="3C3A1EB7" w:rsidR="003F2161" w:rsidRPr="003676D3" w:rsidRDefault="00FF6844"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As the resources are going to be scarce in future,</w:t>
      </w:r>
      <w:r w:rsidR="00FA4AC4" w:rsidRPr="003676D3">
        <w:rPr>
          <w:rFonts w:ascii="Times New Roman" w:hAnsi="Times New Roman" w:cs="Times New Roman"/>
          <w:sz w:val="24"/>
          <w:szCs w:val="24"/>
        </w:rPr>
        <w:t xml:space="preserve"> it is crucial to implement solutions for </w:t>
      </w:r>
      <w:r w:rsidR="006907A2" w:rsidRPr="003676D3">
        <w:rPr>
          <w:rFonts w:ascii="Times New Roman" w:hAnsi="Times New Roman" w:cs="Times New Roman"/>
          <w:sz w:val="24"/>
          <w:szCs w:val="24"/>
        </w:rPr>
        <w:t xml:space="preserve">its </w:t>
      </w:r>
      <w:r w:rsidR="003B3E2E" w:rsidRPr="003676D3">
        <w:rPr>
          <w:rFonts w:ascii="Times New Roman" w:hAnsi="Times New Roman" w:cs="Times New Roman"/>
          <w:sz w:val="24"/>
          <w:szCs w:val="24"/>
        </w:rPr>
        <w:t>improved</w:t>
      </w:r>
      <w:r w:rsidR="00FA4AC4" w:rsidRPr="003676D3">
        <w:rPr>
          <w:rFonts w:ascii="Times New Roman" w:hAnsi="Times New Roman" w:cs="Times New Roman"/>
          <w:sz w:val="24"/>
          <w:szCs w:val="24"/>
        </w:rPr>
        <w:t xml:space="preserve"> and controlled utilization. </w:t>
      </w:r>
      <w:r w:rsidR="006907A2" w:rsidRPr="003676D3">
        <w:rPr>
          <w:rFonts w:ascii="Times New Roman" w:hAnsi="Times New Roman" w:cs="Times New Roman"/>
          <w:sz w:val="24"/>
          <w:szCs w:val="24"/>
        </w:rPr>
        <w:t>In this regard, i</w:t>
      </w:r>
      <w:r w:rsidR="00FA4AC4" w:rsidRPr="003676D3">
        <w:rPr>
          <w:rFonts w:ascii="Times New Roman" w:hAnsi="Times New Roman" w:cs="Times New Roman"/>
          <w:sz w:val="24"/>
          <w:szCs w:val="24"/>
        </w:rPr>
        <w:t>ntegrat</w:t>
      </w:r>
      <w:r w:rsidR="006907A2" w:rsidRPr="003676D3">
        <w:rPr>
          <w:rFonts w:ascii="Times New Roman" w:hAnsi="Times New Roman" w:cs="Times New Roman"/>
          <w:sz w:val="24"/>
          <w:szCs w:val="24"/>
        </w:rPr>
        <w:t>ed</w:t>
      </w:r>
      <w:r w:rsidR="00FA4AC4" w:rsidRPr="003676D3">
        <w:rPr>
          <w:rFonts w:ascii="Times New Roman" w:hAnsi="Times New Roman" w:cs="Times New Roman"/>
          <w:sz w:val="24"/>
          <w:szCs w:val="24"/>
        </w:rPr>
        <w:t xml:space="preserve"> technological systems like </w:t>
      </w:r>
      <w:r w:rsidR="003B3E2E" w:rsidRPr="003676D3">
        <w:rPr>
          <w:rFonts w:ascii="Times New Roman" w:hAnsi="Times New Roman" w:cs="Times New Roman"/>
          <w:sz w:val="24"/>
          <w:szCs w:val="24"/>
        </w:rPr>
        <w:t xml:space="preserve">Geographic Information Systems (GIS) and </w:t>
      </w:r>
      <w:r w:rsidR="00FA4AC4" w:rsidRPr="003676D3">
        <w:rPr>
          <w:rFonts w:ascii="Times New Roman" w:hAnsi="Times New Roman" w:cs="Times New Roman"/>
          <w:sz w:val="24"/>
          <w:szCs w:val="24"/>
        </w:rPr>
        <w:t>Enterpr</w:t>
      </w:r>
      <w:r w:rsidR="003B3E2E" w:rsidRPr="003676D3">
        <w:rPr>
          <w:rFonts w:ascii="Times New Roman" w:hAnsi="Times New Roman" w:cs="Times New Roman"/>
          <w:sz w:val="24"/>
          <w:szCs w:val="24"/>
        </w:rPr>
        <w:t>ise Resource Planning (ERP)</w:t>
      </w:r>
      <w:r w:rsidR="006907A2" w:rsidRPr="003676D3">
        <w:rPr>
          <w:rFonts w:ascii="Times New Roman" w:hAnsi="Times New Roman" w:cs="Times New Roman"/>
          <w:sz w:val="24"/>
          <w:szCs w:val="24"/>
        </w:rPr>
        <w:t xml:space="preserve"> </w:t>
      </w:r>
      <w:r w:rsidR="00FA4AC4" w:rsidRPr="003676D3">
        <w:rPr>
          <w:rFonts w:ascii="Times New Roman" w:hAnsi="Times New Roman" w:cs="Times New Roman"/>
          <w:sz w:val="24"/>
          <w:szCs w:val="24"/>
        </w:rPr>
        <w:t>can help</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{"citationItems":[{"id":"ITEM-1","itemData":{"DOI":"10.1186/S13174-015-0041-5/FIGURES/3","ISSN":"18690238","abstract":"Many governments are considering adopting the smart city concept in their cities and implementing big data applications that support smart city components to reach the required level of sustainability and improve the living standards. Smart cities utilize multiple technologies to improve the performance of health, transportation, energy, education, and water services leading to higher levels of comfort of their citizens. This involves reducing costs and resource consumption in addition to more effectively and actively engaging with their citizens. One of the recent technologies that has a huge potential to enhance smart city services is big data analytics. As digitization has become an integral part of everyday life, data collection has resulted in the accumulation of huge amounts of data that can be used in various beneficial application domains. Effective analysis and utilization of big data is a key factor for success in many business and service domains, including the smart city domain. This paper reviews the applications of big data to support smart cities. It discusses and compares different definitions of the smart city and big data and explores the opportunities, challenges and benefits of incorporating big data applications for smart cities. In addition it attempts to identify the requirements that support the implementation of big data applications for smart city services. The review reveals that several opportunities are available for utilizing big data in smart cities; however, there are still many issues and challenges to be addressed to achieve better utilization of this technology.","author":[{"dropping-particle":"","family":"Nuaimi","given":"Eiman","non-dropping-particle":"Al","parse-names":false,"suffix":""},{"dropping-particle":"","family":"Neyadi","given":"Hind","non-dropping-particle":"Al","parse-names":false,"suffix":""},{"dropping-particle":"","family":"Mohamed","given":"Nader","non-dropping-particle":"","parse-names":false,"suffix":""},{"dropping-particle":"","family":"Al-Jaroodi","given":"Jameela","non-dropping-particle":"","parse-names":false,"suffix":""}],"container-title":"Journal of Internet Services and Applications","id":"ITEM-1","issue":"1","issued":{"date-parts":[["2015","8","1"]]},"page":"1-15","publisher":"Springer-Verlag London Ltd","title":"Applications of big data to smart cities","type":"article-journal","volume":"6"},"uris":["http://www.mendeley.com/documents/?uuid=2896e10e-f175-3b31-8747-5db06a95d013"]}],"mendeley":{"formattedCitation":"[165]","plainTextFormattedCitation":"[165]","previouslyFormattedCitation":"[165]"},"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[165]</w:t>
      </w:r>
      <w:r w:rsidR="006D6D2E" w:rsidRPr="003676D3">
        <w:rPr>
          <w:rFonts w:ascii="Times New Roman" w:hAnsi="Times New Roman" w:cs="Times New Roman"/>
          <w:sz w:val="24"/>
          <w:szCs w:val="24"/>
        </w:rPr>
        <w:fldChar w:fldCharType="end"/>
      </w:r>
      <w:r w:rsidR="00FA4AC4" w:rsidRPr="003676D3">
        <w:rPr>
          <w:rFonts w:ascii="Times New Roman" w:hAnsi="Times New Roman" w:cs="Times New Roman"/>
          <w:sz w:val="24"/>
          <w:szCs w:val="24"/>
        </w:rPr>
        <w:t xml:space="preserve">. </w:t>
      </w:r>
      <w:r w:rsidR="00F10D5E" w:rsidRPr="003676D3">
        <w:rPr>
          <w:rFonts w:ascii="Times New Roman" w:hAnsi="Times New Roman" w:cs="Times New Roman"/>
          <w:sz w:val="24"/>
          <w:szCs w:val="24"/>
        </w:rPr>
        <w:t>Such</w:t>
      </w:r>
      <w:r w:rsidR="00FA4AC4" w:rsidRPr="003676D3">
        <w:rPr>
          <w:rFonts w:ascii="Times New Roman" w:hAnsi="Times New Roman" w:cs="Times New Roman"/>
          <w:sz w:val="24"/>
          <w:szCs w:val="24"/>
        </w:rPr>
        <w:t xml:space="preserve"> systems enable the identification of </w:t>
      </w:r>
      <w:r w:rsidR="00F10D5E" w:rsidRPr="003676D3">
        <w:rPr>
          <w:rFonts w:ascii="Times New Roman" w:hAnsi="Times New Roman" w:cs="Times New Roman"/>
          <w:sz w:val="24"/>
          <w:szCs w:val="24"/>
        </w:rPr>
        <w:t>areas</w:t>
      </w:r>
      <w:r w:rsidR="00606264" w:rsidRPr="003676D3">
        <w:rPr>
          <w:rFonts w:ascii="Times New Roman" w:hAnsi="Times New Roman" w:cs="Times New Roman"/>
          <w:sz w:val="24"/>
          <w:szCs w:val="24"/>
        </w:rPr>
        <w:t xml:space="preserve"> where energy gets wasted</w:t>
      </w:r>
      <w:r w:rsidR="00FA4AC4" w:rsidRPr="003676D3">
        <w:rPr>
          <w:rFonts w:ascii="Times New Roman" w:hAnsi="Times New Roman" w:cs="Times New Roman"/>
          <w:sz w:val="24"/>
          <w:szCs w:val="24"/>
        </w:rPr>
        <w:t>, improve resource distribution, control costs, and reduce</w:t>
      </w:r>
      <w:r w:rsidR="00EA0FF6" w:rsidRPr="003676D3">
        <w:rPr>
          <w:rFonts w:ascii="Times New Roman" w:hAnsi="Times New Roman" w:cs="Times New Roman"/>
          <w:sz w:val="24"/>
          <w:szCs w:val="24"/>
        </w:rPr>
        <w:t xml:space="preserve"> consumption of</w:t>
      </w:r>
      <w:r w:rsidR="00FA4AC4" w:rsidRPr="003676D3">
        <w:rPr>
          <w:rFonts w:ascii="Times New Roman" w:hAnsi="Times New Roman" w:cs="Times New Roman"/>
          <w:sz w:val="24"/>
          <w:szCs w:val="24"/>
        </w:rPr>
        <w:t xml:space="preserve"> natural resource.</w:t>
      </w:r>
      <w:r w:rsidR="003B3E2E" w:rsidRPr="003676D3">
        <w:rPr>
          <w:rFonts w:ascii="Times New Roman" w:hAnsi="Times New Roman" w:cs="Times New Roman"/>
          <w:sz w:val="24"/>
          <w:szCs w:val="24"/>
        </w:rPr>
        <w:t xml:space="preserve"> Enhancing grid </w:t>
      </w:r>
      <w:r w:rsidR="0059174B" w:rsidRPr="003676D3">
        <w:rPr>
          <w:rFonts w:ascii="Times New Roman" w:hAnsi="Times New Roman" w:cs="Times New Roman"/>
          <w:sz w:val="24"/>
          <w:szCs w:val="24"/>
        </w:rPr>
        <w:t>reliability</w:t>
      </w:r>
      <w:r w:rsidR="003B3E2E" w:rsidRPr="003676D3">
        <w:rPr>
          <w:rFonts w:ascii="Times New Roman" w:hAnsi="Times New Roman" w:cs="Times New Roman"/>
          <w:sz w:val="24"/>
          <w:szCs w:val="24"/>
        </w:rPr>
        <w:t xml:space="preserve"> and efficiency</w:t>
      </w:r>
      <w:r w:rsidR="0059174B" w:rsidRPr="003676D3">
        <w:rPr>
          <w:rFonts w:ascii="Times New Roman" w:hAnsi="Times New Roman" w:cs="Times New Roman"/>
          <w:sz w:val="24"/>
          <w:szCs w:val="24"/>
        </w:rPr>
        <w:t xml:space="preserve"> through self-monitoring and feedback</w:t>
      </w:r>
      <w:r w:rsidR="003B3E2E" w:rsidRPr="003676D3">
        <w:rPr>
          <w:rFonts w:ascii="Times New Roman" w:hAnsi="Times New Roman" w:cs="Times New Roman"/>
          <w:sz w:val="24"/>
          <w:szCs w:val="24"/>
        </w:rPr>
        <w:t xml:space="preserve"> loops</w:t>
      </w:r>
      <w:r w:rsidR="0059174B" w:rsidRPr="003676D3">
        <w:rPr>
          <w:rFonts w:ascii="Times New Roman" w:hAnsi="Times New Roman" w:cs="Times New Roman"/>
          <w:sz w:val="24"/>
          <w:szCs w:val="24"/>
        </w:rPr>
        <w:t xml:space="preserve"> involves </w:t>
      </w:r>
      <w:r w:rsidR="001D3358" w:rsidRPr="003676D3">
        <w:rPr>
          <w:rFonts w:ascii="Times New Roman" w:hAnsi="Times New Roman" w:cs="Times New Roman"/>
          <w:sz w:val="24"/>
          <w:szCs w:val="24"/>
        </w:rPr>
        <w:t>connecting</w:t>
      </w:r>
      <w:r w:rsidR="0059174B" w:rsidRPr="003676D3">
        <w:rPr>
          <w:rFonts w:ascii="Times New Roman" w:hAnsi="Times New Roman" w:cs="Times New Roman"/>
          <w:sz w:val="24"/>
          <w:szCs w:val="24"/>
        </w:rPr>
        <w:t xml:space="preserve"> smart</w:t>
      </w:r>
      <w:r w:rsidR="003B3E2E" w:rsidRPr="003676D3">
        <w:rPr>
          <w:rFonts w:ascii="Times New Roman" w:hAnsi="Times New Roman" w:cs="Times New Roman"/>
          <w:sz w:val="24"/>
          <w:szCs w:val="24"/>
        </w:rPr>
        <w:t xml:space="preserve"> meters and</w:t>
      </w:r>
      <w:r w:rsidR="0059174B" w:rsidRPr="003676D3">
        <w:rPr>
          <w:rFonts w:ascii="Times New Roman" w:hAnsi="Times New Roman" w:cs="Times New Roman"/>
          <w:sz w:val="24"/>
          <w:szCs w:val="24"/>
        </w:rPr>
        <w:t xml:space="preserve"> sensors</w:t>
      </w:r>
      <w:r w:rsidR="001D3358" w:rsidRPr="003676D3">
        <w:rPr>
          <w:rFonts w:ascii="Times New Roman" w:hAnsi="Times New Roman" w:cs="Times New Roman"/>
          <w:sz w:val="24"/>
          <w:szCs w:val="24"/>
        </w:rPr>
        <w:t xml:space="preserve">. This can be done </w:t>
      </w:r>
      <w:r w:rsidR="0059174B" w:rsidRPr="003676D3">
        <w:rPr>
          <w:rFonts w:ascii="Times New Roman" w:hAnsi="Times New Roman" w:cs="Times New Roman"/>
          <w:sz w:val="24"/>
          <w:szCs w:val="24"/>
        </w:rPr>
        <w:t xml:space="preserve">across </w:t>
      </w:r>
      <w:r w:rsidR="000A625F" w:rsidRPr="003676D3">
        <w:rPr>
          <w:rFonts w:ascii="Times New Roman" w:hAnsi="Times New Roman" w:cs="Times New Roman"/>
          <w:sz w:val="24"/>
          <w:szCs w:val="24"/>
        </w:rPr>
        <w:t>generation</w:t>
      </w:r>
      <w:r w:rsidR="0059174B" w:rsidRPr="003676D3">
        <w:rPr>
          <w:rFonts w:ascii="Times New Roman" w:hAnsi="Times New Roman" w:cs="Times New Roman"/>
          <w:sz w:val="24"/>
          <w:szCs w:val="24"/>
        </w:rPr>
        <w:t xml:space="preserve">, transmission, distribution systems, and </w:t>
      </w:r>
      <w:r w:rsidR="000A625F" w:rsidRPr="003676D3">
        <w:rPr>
          <w:rFonts w:ascii="Times New Roman" w:hAnsi="Times New Roman" w:cs="Times New Roman"/>
          <w:sz w:val="24"/>
          <w:szCs w:val="24"/>
        </w:rPr>
        <w:t>load consumption</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{"citationItems":[{"id":"ITEM-1","itemData":{"DOI":"10.1109/SOSE.2013.71","ISBN":"9780769549446","abstract":"This paper describes technical challenges in supporting large-scale real-time data analysis for future power grid systems and discusses various design options to address these challenges. Even though the existing U.S. power grid has served the nation remarkably well over the last 120 years, big changes are in the horizon. The widespread deployment of renewable generation, smart grid controls, energy storage, plug-in hybrids, and new conducting materials will require fundamental changes in the operational concepts and principal components. The whole system becomes highly dynamic and needs constant adjustments based on real time data. Even though millions of sensors such as phase measurement units (PMUs) and smart meters are being widely deployed, a data layer that can support this amount of data in real time is needed. Unlike the data fabric in cloud services, the data layer for smart grids must address some unique challenges. This layer must be scalable to support millions of sensors and a large number of diverse applications and still provide real time guarantees. Moreover, the system needs to be highly reliable and highly secure because the power grid is a critical piece of infrastructure. No existing systems can satisfy all the requirements at the same time. We examine various design options. In particular, we explore the special characteristics of power grid data to meet both scalability and quality of service requirements. Our initial prototype can improve performance by orders of magnitude over existing general-purpose systems. The prototype was demonstrated with several use cases from PNNL's FPGI and was shown to be able to integrate huge amount of data from a large number of sensors and a diverse set of applications. © 2012 IEEE.","author":[{"dropping-particle":"","family":"Yin","given":"Jian","non-dropping-particle":"","parse-names":false,"suffix":""},{"dropping-particle":"","family":"Sharma","given":"Poorva","non-dropping-particle":"","parse-names":false,"suffix":""},{"dropping-particle":"","family":"Gorton","given":"Ian","non-dropping-particle":"","parse-names":false,"suffix":""},{"dropping-particle":"","family":"Akyol","given":"Bora","non-dropping-particle":"","parse-names":false,"suffix":""}],"container-title":"Proceedings - 2013 IEEE 7th International Symposium on Service-Oriented System Engineering, SOSE 2013","id":"ITEM-1","issued":{"date-parts":[["2013"]]},"page":"324-328","title":"Large-scale data challenges in future power grids","type":"article-journal"},"uris":["http://www.mendeley.com/documents/?uuid=88beda5a-024b-3871-953f-6243054c9563"]}],"mendeley":{"formattedCitation":"[166]","plainTextFormattedCitation":"[166]","previouslyFormattedCitation":"[166]"},"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[166]</w:t>
      </w:r>
      <w:r w:rsidR="006D6D2E" w:rsidRPr="003676D3">
        <w:rPr>
          <w:rFonts w:ascii="Times New Roman" w:hAnsi="Times New Roman" w:cs="Times New Roman"/>
          <w:sz w:val="24"/>
          <w:szCs w:val="24"/>
        </w:rPr>
        <w:fldChar w:fldCharType="end"/>
      </w:r>
      <w:r w:rsidR="0059174B" w:rsidRPr="003676D3">
        <w:rPr>
          <w:rFonts w:ascii="Times New Roman" w:hAnsi="Times New Roman" w:cs="Times New Roman"/>
          <w:sz w:val="24"/>
          <w:szCs w:val="24"/>
        </w:rPr>
        <w:t xml:space="preserve">. These devices </w:t>
      </w:r>
      <w:r w:rsidR="00063128" w:rsidRPr="003676D3">
        <w:rPr>
          <w:rFonts w:ascii="Times New Roman" w:hAnsi="Times New Roman" w:cs="Times New Roman"/>
          <w:sz w:val="24"/>
          <w:szCs w:val="24"/>
        </w:rPr>
        <w:t xml:space="preserve">can </w:t>
      </w:r>
      <w:r w:rsidR="00FE26D6" w:rsidRPr="003676D3">
        <w:rPr>
          <w:rFonts w:ascii="Times New Roman" w:hAnsi="Times New Roman" w:cs="Times New Roman"/>
          <w:sz w:val="24"/>
          <w:szCs w:val="24"/>
        </w:rPr>
        <w:t>collect</w:t>
      </w:r>
      <w:r w:rsidR="0059174B" w:rsidRPr="003676D3">
        <w:rPr>
          <w:rFonts w:ascii="Times New Roman" w:hAnsi="Times New Roman" w:cs="Times New Roman"/>
          <w:sz w:val="24"/>
          <w:szCs w:val="24"/>
        </w:rPr>
        <w:t xml:space="preserve"> re</w:t>
      </w:r>
      <w:r w:rsidR="003B3E2E" w:rsidRPr="003676D3">
        <w:rPr>
          <w:rFonts w:ascii="Times New Roman" w:hAnsi="Times New Roman" w:cs="Times New Roman"/>
          <w:sz w:val="24"/>
          <w:szCs w:val="24"/>
        </w:rPr>
        <w:t>al-time data on power generation</w:t>
      </w:r>
      <w:r w:rsidR="0059174B" w:rsidRPr="003676D3">
        <w:rPr>
          <w:rFonts w:ascii="Times New Roman" w:hAnsi="Times New Roman" w:cs="Times New Roman"/>
          <w:sz w:val="24"/>
          <w:szCs w:val="24"/>
        </w:rPr>
        <w:t xml:space="preserve">, </w:t>
      </w:r>
      <w:r w:rsidR="00063128" w:rsidRPr="003676D3">
        <w:rPr>
          <w:rFonts w:ascii="Times New Roman" w:hAnsi="Times New Roman" w:cs="Times New Roman"/>
          <w:sz w:val="24"/>
          <w:szCs w:val="24"/>
        </w:rPr>
        <w:t xml:space="preserve">load </w:t>
      </w:r>
      <w:r w:rsidR="0059174B" w:rsidRPr="003676D3">
        <w:rPr>
          <w:rFonts w:ascii="Times New Roman" w:hAnsi="Times New Roman" w:cs="Times New Roman"/>
          <w:sz w:val="24"/>
          <w:szCs w:val="24"/>
        </w:rPr>
        <w:t>consumption and</w:t>
      </w:r>
      <w:r w:rsidR="003B6E51" w:rsidRPr="003676D3">
        <w:rPr>
          <w:rFonts w:ascii="Times New Roman" w:hAnsi="Times New Roman" w:cs="Times New Roman"/>
          <w:sz w:val="24"/>
          <w:szCs w:val="24"/>
        </w:rPr>
        <w:t xml:space="preserve"> line</w:t>
      </w:r>
      <w:r w:rsidR="0059174B" w:rsidRPr="003676D3">
        <w:rPr>
          <w:rFonts w:ascii="Times New Roman" w:hAnsi="Times New Roman" w:cs="Times New Roman"/>
          <w:sz w:val="24"/>
          <w:szCs w:val="24"/>
        </w:rPr>
        <w:t xml:space="preserve"> faults. </w:t>
      </w:r>
      <w:r w:rsidR="006E1DBB" w:rsidRPr="003676D3">
        <w:rPr>
          <w:rFonts w:ascii="Times New Roman" w:hAnsi="Times New Roman" w:cs="Times New Roman"/>
          <w:sz w:val="24"/>
          <w:szCs w:val="24"/>
        </w:rPr>
        <w:t>The i</w:t>
      </w:r>
      <w:r w:rsidR="0059174B" w:rsidRPr="003676D3">
        <w:rPr>
          <w:rFonts w:ascii="Times New Roman" w:hAnsi="Times New Roman" w:cs="Times New Roman"/>
          <w:sz w:val="24"/>
          <w:szCs w:val="24"/>
        </w:rPr>
        <w:t>mplement</w:t>
      </w:r>
      <w:r w:rsidR="006E1DBB" w:rsidRPr="003676D3">
        <w:rPr>
          <w:rFonts w:ascii="Times New Roman" w:hAnsi="Times New Roman" w:cs="Times New Roman"/>
          <w:sz w:val="24"/>
          <w:szCs w:val="24"/>
        </w:rPr>
        <w:t>ation of</w:t>
      </w:r>
      <w:r w:rsidR="0059174B" w:rsidRPr="003676D3">
        <w:rPr>
          <w:rFonts w:ascii="Times New Roman" w:hAnsi="Times New Roman" w:cs="Times New Roman"/>
          <w:sz w:val="24"/>
          <w:szCs w:val="24"/>
        </w:rPr>
        <w:t xml:space="preserve"> dynamic pricing models can </w:t>
      </w:r>
      <w:r w:rsidR="00765BD2" w:rsidRPr="003676D3">
        <w:rPr>
          <w:rFonts w:ascii="Times New Roman" w:hAnsi="Times New Roman" w:cs="Times New Roman"/>
          <w:sz w:val="24"/>
          <w:szCs w:val="24"/>
        </w:rPr>
        <w:t>l</w:t>
      </w:r>
      <w:r w:rsidR="008F200C" w:rsidRPr="003676D3">
        <w:rPr>
          <w:rFonts w:ascii="Times New Roman" w:hAnsi="Times New Roman" w:cs="Times New Roman"/>
          <w:sz w:val="24"/>
          <w:szCs w:val="24"/>
        </w:rPr>
        <w:t>ower the</w:t>
      </w:r>
      <w:r w:rsidR="0059174B" w:rsidRPr="003676D3">
        <w:rPr>
          <w:rFonts w:ascii="Times New Roman" w:hAnsi="Times New Roman" w:cs="Times New Roman"/>
          <w:sz w:val="24"/>
          <w:szCs w:val="24"/>
        </w:rPr>
        <w:t xml:space="preserve"> peak by charging higher rates during peak times and lower rates during off-peak periods</w:t>
      </w:r>
      <w:r w:rsidR="000D2AF9" w:rsidRPr="003676D3">
        <w:rPr>
          <w:rFonts w:ascii="Times New Roman" w:hAnsi="Times New Roman" w:cs="Times New Roman"/>
          <w:sz w:val="24"/>
          <w:szCs w:val="24"/>
        </w:rPr>
        <w:t>. This</w:t>
      </w:r>
      <w:r w:rsidR="0059174B" w:rsidRPr="003676D3">
        <w:rPr>
          <w:rFonts w:ascii="Times New Roman" w:hAnsi="Times New Roman" w:cs="Times New Roman"/>
          <w:sz w:val="24"/>
          <w:szCs w:val="24"/>
        </w:rPr>
        <w:t xml:space="preserve"> help</w:t>
      </w:r>
      <w:r w:rsidR="000D2AF9" w:rsidRPr="003676D3">
        <w:rPr>
          <w:rFonts w:ascii="Times New Roman" w:hAnsi="Times New Roman" w:cs="Times New Roman"/>
          <w:sz w:val="24"/>
          <w:szCs w:val="24"/>
        </w:rPr>
        <w:t>s</w:t>
      </w:r>
      <w:r w:rsidR="0059174B" w:rsidRPr="003676D3">
        <w:rPr>
          <w:rFonts w:ascii="Times New Roman" w:hAnsi="Times New Roman" w:cs="Times New Roman"/>
          <w:sz w:val="24"/>
          <w:szCs w:val="24"/>
        </w:rPr>
        <w:t xml:space="preserve"> to prevent outages </w:t>
      </w:r>
      <w:r w:rsidR="008F200C" w:rsidRPr="003676D3">
        <w:rPr>
          <w:rFonts w:ascii="Times New Roman" w:hAnsi="Times New Roman" w:cs="Times New Roman"/>
          <w:sz w:val="24"/>
          <w:szCs w:val="24"/>
        </w:rPr>
        <w:t>due to</w:t>
      </w:r>
      <w:r w:rsidR="0059174B" w:rsidRPr="003676D3">
        <w:rPr>
          <w:rFonts w:ascii="Times New Roman" w:hAnsi="Times New Roman" w:cs="Times New Roman"/>
          <w:sz w:val="24"/>
          <w:szCs w:val="24"/>
        </w:rPr>
        <w:t xml:space="preserve"> high demand. Consumers receive near real-time information about their </w:t>
      </w:r>
      <w:r w:rsidR="003B3E2E" w:rsidRPr="003676D3">
        <w:rPr>
          <w:rFonts w:ascii="Times New Roman" w:hAnsi="Times New Roman" w:cs="Times New Roman"/>
          <w:sz w:val="24"/>
          <w:szCs w:val="24"/>
        </w:rPr>
        <w:t>load demand</w:t>
      </w:r>
      <w:r w:rsidR="000D2AF9" w:rsidRPr="003676D3">
        <w:rPr>
          <w:rFonts w:ascii="Times New Roman" w:hAnsi="Times New Roman" w:cs="Times New Roman"/>
          <w:sz w:val="24"/>
          <w:szCs w:val="24"/>
        </w:rPr>
        <w:t>. This</w:t>
      </w:r>
      <w:r w:rsidR="0059174B" w:rsidRPr="003676D3">
        <w:rPr>
          <w:rFonts w:ascii="Times New Roman" w:hAnsi="Times New Roman" w:cs="Times New Roman"/>
          <w:sz w:val="24"/>
          <w:szCs w:val="24"/>
        </w:rPr>
        <w:t xml:space="preserve"> enabl</w:t>
      </w:r>
      <w:r w:rsidR="000D2AF9" w:rsidRPr="003676D3">
        <w:rPr>
          <w:rFonts w:ascii="Times New Roman" w:hAnsi="Times New Roman" w:cs="Times New Roman"/>
          <w:sz w:val="24"/>
          <w:szCs w:val="24"/>
        </w:rPr>
        <w:t>es</w:t>
      </w:r>
      <w:r w:rsidR="0059174B" w:rsidRPr="003676D3">
        <w:rPr>
          <w:rFonts w:ascii="Times New Roman" w:hAnsi="Times New Roman" w:cs="Times New Roman"/>
          <w:sz w:val="24"/>
          <w:szCs w:val="24"/>
        </w:rPr>
        <w:t xml:space="preserve"> them to manage consumption based on needs and cost</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{"citationItems":[{"id":"ITEM-1","itemData":{"URL":"https://www.energy.gov/oe/grid-modernization-and-smart-grid","accessed":{"date-parts":[["2024","5","26"]]},"id":"ITEM-1","issued":{"date-parts":[["0"]]},"title":"Grid Modernization and the Smart Grid | Department of Energy","type":"webpage"},"uris":["http://www.mendeley.com/documents/?uuid=17ab6fc8-a9b7-302d-bcc6-99b6b4957212"]}],"mendeley":{"formattedCitation":"[167]","plainTextFormattedCitation":"[167]","previouslyFormattedCitation":"[167]"},"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[167]</w:t>
      </w:r>
      <w:r w:rsidR="006D6D2E" w:rsidRPr="003676D3">
        <w:rPr>
          <w:rFonts w:ascii="Times New Roman" w:hAnsi="Times New Roman" w:cs="Times New Roman"/>
          <w:sz w:val="24"/>
          <w:szCs w:val="24"/>
        </w:rPr>
        <w:fldChar w:fldCharType="end"/>
      </w:r>
      <w:r w:rsidR="0059174B" w:rsidRPr="003676D3">
        <w:rPr>
          <w:rFonts w:ascii="Times New Roman" w:hAnsi="Times New Roman" w:cs="Times New Roman"/>
          <w:sz w:val="24"/>
          <w:szCs w:val="24"/>
        </w:rPr>
        <w:t xml:space="preserve">. This approach requires extensive data collection from all </w:t>
      </w:r>
      <w:r w:rsidR="004E60A3" w:rsidRPr="003676D3">
        <w:rPr>
          <w:rFonts w:ascii="Times New Roman" w:hAnsi="Times New Roman" w:cs="Times New Roman"/>
          <w:sz w:val="24"/>
          <w:szCs w:val="24"/>
        </w:rPr>
        <w:t>parts</w:t>
      </w:r>
      <w:r w:rsidR="0059174B" w:rsidRPr="003676D3">
        <w:rPr>
          <w:rFonts w:ascii="Times New Roman" w:hAnsi="Times New Roman" w:cs="Times New Roman"/>
          <w:sz w:val="24"/>
          <w:szCs w:val="24"/>
        </w:rPr>
        <w:t xml:space="preserve"> of the power system and real-time big data analytics to process this data</w:t>
      </w:r>
      <w:r w:rsidR="00A95DD0" w:rsidRPr="003676D3">
        <w:rPr>
          <w:rFonts w:ascii="Times New Roman" w:hAnsi="Times New Roman" w:cs="Times New Roman"/>
          <w:sz w:val="24"/>
          <w:szCs w:val="24"/>
        </w:rPr>
        <w:t xml:space="preserve">. It </w:t>
      </w:r>
      <w:r w:rsidR="0059174B" w:rsidRPr="003676D3">
        <w:rPr>
          <w:rFonts w:ascii="Times New Roman" w:hAnsi="Times New Roman" w:cs="Times New Roman"/>
          <w:sz w:val="24"/>
          <w:szCs w:val="24"/>
        </w:rPr>
        <w:t>send control information, thereby enhancing the overall performance of the electric power system</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{"citationItems":[{"id":"ITEM-1","itemData":{"DOI":"10.1109/HPCSIM.2014.6903700","ISBN":"9781479953127","abstract":"Timely analytics over big data is a key factor for success in many business and service domains. Some examples of these domains include finance, transportation, energy, security, military, and emergency response. Several big data applications in these domains rely on fast and timely analytics based on available data to make quality decisions. This paper surveys real-time big data analytics applications and their technical challenges.","author":[{"dropping-particle":"","family":"Mohamed","given":"Nader","non-dropping-particle":"","parse-names":false,"suffix":""},{"dropping-particle":"","family":"Al-Jaroodi","given":"Jameela","non-dropping-particle":"","parse-names":false,"suffix":""}],"container-title":"Proceedings of the 2014 International Conference on High Performance Computing and Simulation, HPCS 2014","id":"ITEM-1","issued":{"date-parts":[["2014","9","18"]]},"page":"305-310","publisher":"Institute of Electrical and Electronics Engineers Inc.","title":"Real-time big data analytics: Applications and challenges","type":"article-journal"},"uris":["http://www.mendeley.com/documents/?uuid=1e5b10bf-20d3-3744-9943-9d18f916704d"]}],"mendeley":{"formattedCitation":"[168]","plainTextFormattedCitation":"[168]","previouslyFormattedCitation":"[168]"},"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[168]</w:t>
      </w:r>
      <w:r w:rsidR="006D6D2E" w:rsidRPr="003676D3">
        <w:rPr>
          <w:rFonts w:ascii="Times New Roman" w:hAnsi="Times New Roman" w:cs="Times New Roman"/>
          <w:sz w:val="24"/>
          <w:szCs w:val="24"/>
        </w:rPr>
        <w:fldChar w:fldCharType="end"/>
      </w:r>
      <w:r w:rsidR="0059174B" w:rsidRPr="003676D3">
        <w:rPr>
          <w:rFonts w:ascii="Times New Roman" w:hAnsi="Times New Roman" w:cs="Times New Roman"/>
          <w:sz w:val="24"/>
          <w:szCs w:val="24"/>
        </w:rPr>
        <w:t>.</w:t>
      </w:r>
    </w:p>
    <w:p w14:paraId="0A0C40DC" w14:textId="0E7FA9E1" w:rsidR="002A7177"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 xml:space="preserve">5.4. </w:t>
      </w:r>
      <w:r w:rsidR="00EB2B54" w:rsidRPr="003676D3">
        <w:rPr>
          <w:rFonts w:ascii="Times New Roman" w:hAnsi="Times New Roman" w:cs="Times New Roman"/>
          <w:b/>
          <w:bCs/>
          <w:color w:val="auto"/>
          <w:sz w:val="24"/>
          <w:szCs w:val="24"/>
        </w:rPr>
        <w:t xml:space="preserve">IoT, 5G and </w:t>
      </w:r>
      <w:r w:rsidR="002A7177" w:rsidRPr="003676D3">
        <w:rPr>
          <w:rFonts w:ascii="Times New Roman" w:hAnsi="Times New Roman" w:cs="Times New Roman"/>
          <w:b/>
          <w:bCs/>
          <w:color w:val="auto"/>
          <w:sz w:val="24"/>
          <w:szCs w:val="24"/>
        </w:rPr>
        <w:t>Edge</w:t>
      </w:r>
      <w:r w:rsidR="00EB2B54" w:rsidRPr="003676D3">
        <w:rPr>
          <w:rFonts w:ascii="Times New Roman" w:hAnsi="Times New Roman" w:cs="Times New Roman"/>
          <w:b/>
          <w:bCs/>
          <w:color w:val="auto"/>
          <w:sz w:val="24"/>
          <w:szCs w:val="24"/>
        </w:rPr>
        <w:t xml:space="preserve"> Computing</w:t>
      </w:r>
    </w:p>
    <w:p w14:paraId="34B02EDF" w14:textId="7328AD8A" w:rsidR="002B3FEA" w:rsidRPr="003676D3" w:rsidRDefault="002B3FE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metaverse </w:t>
      </w:r>
      <w:r w:rsidR="003972F8" w:rsidRPr="003676D3">
        <w:rPr>
          <w:rFonts w:ascii="Times New Roman" w:hAnsi="Times New Roman" w:cs="Times New Roman"/>
          <w:sz w:val="24"/>
          <w:szCs w:val="24"/>
        </w:rPr>
        <w:t>has the</w:t>
      </w:r>
      <w:r w:rsidRPr="003676D3">
        <w:rPr>
          <w:rFonts w:ascii="Times New Roman" w:hAnsi="Times New Roman" w:cs="Times New Roman"/>
          <w:sz w:val="24"/>
          <w:szCs w:val="24"/>
        </w:rPr>
        <w:t xml:space="preserve"> capacity to derive valuable insights from</w:t>
      </w:r>
      <w:r w:rsidR="00763330" w:rsidRPr="003676D3">
        <w:rPr>
          <w:rFonts w:ascii="Times New Roman" w:hAnsi="Times New Roman" w:cs="Times New Roman"/>
          <w:sz w:val="24"/>
          <w:szCs w:val="24"/>
        </w:rPr>
        <w:t xml:space="preserve"> the data acquired from</w:t>
      </w:r>
      <w:r w:rsidRPr="003676D3">
        <w:rPr>
          <w:rFonts w:ascii="Times New Roman" w:hAnsi="Times New Roman" w:cs="Times New Roman"/>
          <w:sz w:val="24"/>
          <w:szCs w:val="24"/>
        </w:rPr>
        <w:t xml:space="preserve"> real-world</w:t>
      </w:r>
      <w:r w:rsidR="003972F8" w:rsidRPr="003676D3">
        <w:rPr>
          <w:rFonts w:ascii="Times New Roman" w:hAnsi="Times New Roman" w:cs="Times New Roman"/>
          <w:sz w:val="24"/>
          <w:szCs w:val="24"/>
        </w:rPr>
        <w:t xml:space="preserve">. This is done </w:t>
      </w:r>
      <w:r w:rsidRPr="003676D3">
        <w:rPr>
          <w:rFonts w:ascii="Times New Roman" w:hAnsi="Times New Roman" w:cs="Times New Roman"/>
          <w:sz w:val="24"/>
          <w:szCs w:val="24"/>
        </w:rPr>
        <w:t xml:space="preserve">while prioritizing prosumer safety and inclusivity. This </w:t>
      </w:r>
      <w:r w:rsidR="003972F8" w:rsidRPr="003676D3">
        <w:rPr>
          <w:rFonts w:ascii="Times New Roman" w:hAnsi="Times New Roman" w:cs="Times New Roman"/>
          <w:sz w:val="24"/>
          <w:szCs w:val="24"/>
        </w:rPr>
        <w:t>demands</w:t>
      </w:r>
      <w:r w:rsidRPr="003676D3">
        <w:rPr>
          <w:rFonts w:ascii="Times New Roman" w:hAnsi="Times New Roman" w:cs="Times New Roman"/>
          <w:sz w:val="24"/>
          <w:szCs w:val="24"/>
        </w:rPr>
        <w:t xml:space="preserve"> a robust </w:t>
      </w:r>
      <w:r w:rsidRPr="003676D3">
        <w:rPr>
          <w:rFonts w:ascii="Times New Roman" w:hAnsi="Times New Roman" w:cs="Times New Roman"/>
          <w:sz w:val="24"/>
          <w:szCs w:val="24"/>
        </w:rPr>
        <w:lastRenderedPageBreak/>
        <w:t xml:space="preserve">IoT infrastructure due to its role in </w:t>
      </w:r>
      <w:r w:rsidR="003B3E2E" w:rsidRPr="003676D3">
        <w:rPr>
          <w:rFonts w:ascii="Times New Roman" w:hAnsi="Times New Roman" w:cs="Times New Roman"/>
          <w:sz w:val="24"/>
          <w:szCs w:val="24"/>
        </w:rPr>
        <w:t>linking</w:t>
      </w:r>
      <w:r w:rsidRPr="003676D3">
        <w:rPr>
          <w:rFonts w:ascii="Times New Roman" w:hAnsi="Times New Roman" w:cs="Times New Roman"/>
          <w:sz w:val="24"/>
          <w:szCs w:val="24"/>
        </w:rPr>
        <w:t xml:space="preserve"> the physical and digital realms. IoT </w:t>
      </w:r>
      <w:r w:rsidR="003972F8" w:rsidRPr="003676D3">
        <w:rPr>
          <w:rFonts w:ascii="Times New Roman" w:hAnsi="Times New Roman" w:cs="Times New Roman"/>
          <w:sz w:val="24"/>
          <w:szCs w:val="24"/>
        </w:rPr>
        <w:t>helps in</w:t>
      </w:r>
      <w:r w:rsidRPr="003676D3">
        <w:rPr>
          <w:rFonts w:ascii="Times New Roman" w:hAnsi="Times New Roman" w:cs="Times New Roman"/>
          <w:sz w:val="24"/>
          <w:szCs w:val="24"/>
        </w:rPr>
        <w:t xml:space="preserve"> the interconnection of devices</w:t>
      </w:r>
      <w:r w:rsidR="003972F8" w:rsidRPr="003676D3">
        <w:rPr>
          <w:rFonts w:ascii="Times New Roman" w:hAnsi="Times New Roman" w:cs="Times New Roman"/>
          <w:sz w:val="24"/>
          <w:szCs w:val="24"/>
        </w:rPr>
        <w:t xml:space="preserve"> which </w:t>
      </w:r>
      <w:r w:rsidRPr="003676D3">
        <w:rPr>
          <w:rFonts w:ascii="Times New Roman" w:hAnsi="Times New Roman" w:cs="Times New Roman"/>
          <w:sz w:val="24"/>
          <w:szCs w:val="24"/>
        </w:rPr>
        <w:t>enabl</w:t>
      </w:r>
      <w:r w:rsidR="003972F8" w:rsidRPr="003676D3">
        <w:rPr>
          <w:rFonts w:ascii="Times New Roman" w:hAnsi="Times New Roman" w:cs="Times New Roman"/>
          <w:sz w:val="24"/>
          <w:szCs w:val="24"/>
        </w:rPr>
        <w:t>e</w:t>
      </w:r>
      <w:r w:rsidRPr="003676D3">
        <w:rPr>
          <w:rFonts w:ascii="Times New Roman" w:hAnsi="Times New Roman" w:cs="Times New Roman"/>
          <w:sz w:val="24"/>
          <w:szCs w:val="24"/>
        </w:rPr>
        <w:t xml:space="preserve"> seamless data exchange and integration</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{"citationItems":[{"id":"ITEM-1","itemData":{"DOI":"10.1016/J.SCS.2018.01.053","ISSN":"2210-6707","abstract":"Smart city is an application of Internet of Things (IoT) notion. Unceasing growth of population and urbanization have intensified innovative ways to handle urbanization with minimal impact on environment, citizen lifestyles, and governance. Initial integration of information communication technology (ICT) into city operations have promoted telicity, information city, and digital city concepts. Later, the conception of IoT has founded the smart cities, which support the city operations intelligently with minimal human interaction. Smart city emerged as a solution to address the challenges arise with exponential growth of urbanization and population. However, smart city concept is still evolving and not mainstreamed throughout the globe due to technological, economical, and governing barriers. Therefore, this paper aims to deliver the essence of smart cities. The paper presents a brief overview of smart cities, followed by the features and characteristics, generic architecture, composition, and real-world implementations of smart cities. Finally, we present some challenges and opportunities identified through extensive literature survey on smart cities.","author":[{"dropping-particle":"","family":"Silva","given":"Bhagya Nathali","non-dropping-particle":"","parse-names":false,"suffix":""},{"dropping-particle":"","family":"Khan","given":"Murad","non-dropping-particle":"","parse-names":false,"suffix":""},{"dropping-particle":"","family":"Han","given":"Kijun","non-dropping-particle":"","parse-names":false,"suffix":""}],"container-title":"Sustainable Cities and Society","id":"ITEM-1","issued":{"date-parts":[["2018","4","1"]]},"page":"697-713","publisher":"Elsevier","title":"Towards sustainable smart cities: A review of trends, architectures, components, and open challenges in smart cities","type":"article-journal","volume":"38"},"uris":["http://www.mendeley.com/documents/?uuid=0385b947-f599-37d5-bba8-0fb20e961bc0"]}],"mendeley":{"formattedCitation":"[136]","plainTextFormattedCitation":"[136]","previouslyFormattedCitation":"[136]"},"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[136]</w:t>
      </w:r>
      <w:r w:rsidR="006D6D2E"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which is crucial for the metaverse's functionality and complexity. IoT not only </w:t>
      </w:r>
      <w:r w:rsidR="003D155C" w:rsidRPr="003676D3">
        <w:rPr>
          <w:rFonts w:ascii="Times New Roman" w:hAnsi="Times New Roman" w:cs="Times New Roman"/>
          <w:sz w:val="24"/>
          <w:szCs w:val="24"/>
        </w:rPr>
        <w:t>makes</w:t>
      </w:r>
      <w:r w:rsidRPr="003676D3">
        <w:rPr>
          <w:rFonts w:ascii="Times New Roman" w:hAnsi="Times New Roman" w:cs="Times New Roman"/>
          <w:sz w:val="24"/>
          <w:szCs w:val="24"/>
        </w:rPr>
        <w:t xml:space="preserve"> the technological foundations of the metaverse but also shapes its user experience and potential for innovation [80].</w:t>
      </w:r>
      <w:r w:rsidR="009573AC" w:rsidRPr="003676D3">
        <w:rPr>
          <w:rFonts w:ascii="Times New Roman" w:hAnsi="Times New Roman" w:cs="Times New Roman"/>
          <w:sz w:val="24"/>
          <w:szCs w:val="24"/>
        </w:rPr>
        <w:t xml:space="preserve"> The integration of AI and IoT tools along with virtual reality </w:t>
      </w:r>
      <w:r w:rsidR="002E3991" w:rsidRPr="003676D3">
        <w:rPr>
          <w:rFonts w:ascii="Times New Roman" w:hAnsi="Times New Roman" w:cs="Times New Roman"/>
          <w:sz w:val="24"/>
          <w:szCs w:val="24"/>
        </w:rPr>
        <w:t xml:space="preserve">helps in better understanding the energy efficiency and consumption of a system. </w:t>
      </w:r>
    </w:p>
    <w:p w14:paraId="11CD19BE" w14:textId="0E77F42F" w:rsidR="002B3FEA" w:rsidRPr="003676D3" w:rsidRDefault="001C43F6" w:rsidP="003676D3">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676D3">
        <w:rPr>
          <w:rFonts w:ascii="Times New Roman" w:eastAsia="Times New Roman" w:hAnsi="Times New Roman" w:cs="Times New Roman"/>
          <w:sz w:val="24"/>
          <w:szCs w:val="24"/>
          <w:lang w:eastAsia="en-GB"/>
        </w:rPr>
        <w:t>The applications and functionalities of the metaverse are fundamentally enhanced through 5G technology. Its ability to ensure latency, reliability and throughput essentially serves the core needs of a metaverse ecosystem. More than that, 5G represents a substantial advancement over traditional broadband in terms of lowering energy consumption and raising data rates by almost 90%. Additionally, it cuts latency by roughly 20 times and improves reliability by about 95%</w:t>
      </w:r>
      <w:r w:rsidR="00E1734C" w:rsidRPr="003676D3">
        <w:rPr>
          <w:rFonts w:ascii="Times New Roman" w:eastAsia="Times New Roman" w:hAnsi="Times New Roman" w:cs="Times New Roman"/>
          <w:sz w:val="24"/>
          <w:szCs w:val="24"/>
          <w:lang w:eastAsia="en-GB"/>
        </w:rPr>
        <w:t xml:space="preserve"> </w:t>
      </w:r>
      <w:r w:rsidRPr="003676D3">
        <w:rPr>
          <w:rFonts w:ascii="Times New Roman" w:eastAsia="Times New Roman" w:hAnsi="Times New Roman" w:cs="Times New Roman"/>
          <w:sz w:val="24"/>
          <w:szCs w:val="24"/>
          <w:lang w:eastAsia="en-GB"/>
        </w:rPr>
        <w:t xml:space="preserve"> </w:t>
      </w:r>
      <w:r w:rsidR="006D6D2E" w:rsidRPr="003676D3">
        <w:rPr>
          <w:rFonts w:ascii="Times New Roman" w:eastAsia="Times New Roman" w:hAnsi="Times New Roman" w:cs="Times New Roman"/>
          <w:sz w:val="24"/>
          <w:szCs w:val="24"/>
          <w:lang w:eastAsia="en-GB"/>
        </w:rPr>
        <w:fldChar w:fldCharType="begin" w:fldLock="1"/>
      </w:r>
      <w:r w:rsidR="006D6D2E" w:rsidRPr="003676D3">
        <w:rPr>
          <w:rFonts w:ascii="Times New Roman" w:eastAsia="Times New Roman" w:hAnsi="Times New Roman" w:cs="Times New Roman"/>
          <w:sz w:val="24"/>
          <w:szCs w:val="24"/>
          <w:lang w:eastAsia="en-GB"/>
        </w:rPr>
        <w:instrText>ADDIN CSL_CITATION {"citationItems":[{"id":"ITEM-1","itemData":{"DOI":"10.3390/en13020494","ISSN":"1996-1073","abstract":"Integration of renewable energy and optimization of energy use are key enablers of sustainable energy transitions and mitigating climate change. Modern technologies such the Internet of Things (IoT) offer a wide number of applications in the energy sector, i.e, in energy supply, transmission and distribution, and demand. IoT can be employed for improving energy efficiency, increasing the share of renewable energy, and reducing environmental impacts of the energy use. This paper reviews the existing literature on the application of IoT in in energy systems, in general, and in the context of smart grids particularly. Furthermore, we discuss enabling technologies of IoT, including cloud computing and different platforms for data analysis. Furthermore, we review challenges of deploying IoT in the energy sector, including privacy and security, with some solutions to these challenges such as blockchain technology. This survey provides energy policy-makers, energy economists, and managers with an overview of the role of IoT in optimization of energy systems.","author":[{"dropping-particle":"","family":"Hossein Motlagh","given":"Naser","non-dropping-particle":"","parse-names":false,"suffix":""},{"dropping-particle":"","family":"Mohammadrezaei","given":"Mahsa","non-dropping-particle":"","parse-names":false,"suffix":""},{"dropping-particle":"","family":"Hunt","given":"Julian","non-dropping-particle":"","parse-names":false,"suffix":""},{"dropping-particle":"","family":"Zakeri","given":"Behnam","non-dropping-particle":"","parse-names":false,"suffix":""}],"container-title":"Energies","id":"ITEM-1","issue":"2","issued":{"date-parts":[["2020","1","19"]]},"page":"494","title":"Internet of Things (IoT) and the Energy Sector","type":"article-journal","volume":"13"},"uris":["http://www.mendeley.com/documents/?uuid=80b52096-5c80-4a56-bcbc-fa8238b03c95"]},{"id":"ITEM-2","itemData":{"URL":"https://www.indiumsoftware.com/blog/","accessed":{"date-parts":[["2024","5","13"]]},"author":[{"dropping-particle":"","family":"Indium","given":"","non-dropping-particle":"","parse-names":false,"suffix":""}],"id":"ITEM-2","issued":{"date-parts":[["0"]]},"title":"Role of IoT in Metaverse","type":"webpage"},"uris":["http://www.mendeley.com/documents/?uuid=cd321575-ef10-3f48-bdc9-d205793b8336"]},{"id":"ITEM-3","itemData":{"URL":"https://www.encora.com/insights/5-key-technologies-that-power-the-metaverse?excellarate-is-now-encora","accessed":{"date-parts":[["2024","5","13"]]},"id":"ITEM-3","issued":{"date-parts":[["0"]]},"title":"5 key technologies that power the Metaverse - Excellarate","type":"webpage"},"uris":["http://www.mendeley.com/documents/?uuid=5e7b602d-ddf8-3907-bac4-bcb894606f19"]}],"mendeley":{"formattedCitation":"[134,169,170]","plainTextFormattedCitation":"[134,169,170]","previouslyFormattedCitation":"[134,169,170]"},"properties":{"noteIndex":0},"schema":"https://github.com/citation-style-language/schema/raw/master/csl-citation.json"}</w:instrText>
      </w:r>
      <w:r w:rsidR="006D6D2E" w:rsidRPr="003676D3">
        <w:rPr>
          <w:rFonts w:ascii="Times New Roman" w:eastAsia="Times New Roman" w:hAnsi="Times New Roman" w:cs="Times New Roman"/>
          <w:sz w:val="24"/>
          <w:szCs w:val="24"/>
          <w:lang w:eastAsia="en-GB"/>
        </w:rPr>
        <w:fldChar w:fldCharType="separate"/>
      </w:r>
      <w:r w:rsidR="006D6D2E" w:rsidRPr="003676D3">
        <w:rPr>
          <w:rFonts w:ascii="Times New Roman" w:eastAsia="Times New Roman" w:hAnsi="Times New Roman" w:cs="Times New Roman"/>
          <w:noProof/>
          <w:sz w:val="24"/>
          <w:szCs w:val="24"/>
          <w:lang w:eastAsia="en-GB"/>
        </w:rPr>
        <w:t>[134,169,170]</w:t>
      </w:r>
      <w:r w:rsidR="006D6D2E" w:rsidRPr="003676D3">
        <w:rPr>
          <w:rFonts w:ascii="Times New Roman" w:eastAsia="Times New Roman" w:hAnsi="Times New Roman" w:cs="Times New Roman"/>
          <w:sz w:val="24"/>
          <w:szCs w:val="24"/>
          <w:lang w:eastAsia="en-GB"/>
        </w:rPr>
        <w:fldChar w:fldCharType="end"/>
      </w:r>
      <w:r w:rsidR="002B3FEA" w:rsidRPr="003676D3">
        <w:rPr>
          <w:rFonts w:ascii="Times New Roman" w:eastAsia="Times New Roman" w:hAnsi="Times New Roman" w:cs="Times New Roman"/>
          <w:sz w:val="24"/>
          <w:szCs w:val="24"/>
          <w:lang w:eastAsia="en-GB"/>
        </w:rPr>
        <w:t xml:space="preserve">. </w:t>
      </w:r>
      <w:r w:rsidR="00E35DE7" w:rsidRPr="003676D3">
        <w:rPr>
          <w:rFonts w:ascii="Times New Roman" w:eastAsia="Times New Roman" w:hAnsi="Times New Roman" w:cs="Times New Roman"/>
          <w:sz w:val="24"/>
          <w:szCs w:val="24"/>
          <w:lang w:eastAsia="en-GB"/>
        </w:rPr>
        <w:t>Such improvements are an indispensable part to improving user experience and meeting the functional requirements for building metaverse applications</w:t>
      </w:r>
      <w:r w:rsidR="002B3FEA" w:rsidRPr="003676D3">
        <w:rPr>
          <w:rFonts w:ascii="Times New Roman" w:eastAsia="Times New Roman" w:hAnsi="Times New Roman" w:cs="Times New Roman"/>
          <w:sz w:val="24"/>
          <w:szCs w:val="24"/>
          <w:lang w:eastAsia="en-GB"/>
        </w:rPr>
        <w:t xml:space="preserve">. Additionally, </w:t>
      </w:r>
      <w:r w:rsidR="00E35DE7" w:rsidRPr="003676D3">
        <w:rPr>
          <w:rFonts w:ascii="Times New Roman" w:eastAsia="Times New Roman" w:hAnsi="Times New Roman" w:cs="Times New Roman"/>
          <w:sz w:val="24"/>
          <w:szCs w:val="24"/>
          <w:lang w:eastAsia="en-GB"/>
        </w:rPr>
        <w:t>edge computing has emerged as yet another vital supporting technology for the metaverse, which enables users to have faster response times and thus feel more engaged in the virtual world.</w:t>
      </w:r>
    </w:p>
    <w:p w14:paraId="33C24078" w14:textId="70732BA2" w:rsidR="002B3FEA" w:rsidRPr="003676D3" w:rsidRDefault="002B500E" w:rsidP="003676D3">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676D3">
        <w:rPr>
          <w:rFonts w:ascii="Times New Roman" w:eastAsia="Times New Roman" w:hAnsi="Times New Roman" w:cs="Times New Roman"/>
          <w:sz w:val="24"/>
          <w:szCs w:val="24"/>
          <w:lang w:eastAsia="en-GB"/>
        </w:rPr>
        <w:t xml:space="preserve">The vast amount of data requires </w:t>
      </w:r>
      <w:r w:rsidR="0044433A" w:rsidRPr="003676D3">
        <w:rPr>
          <w:rFonts w:ascii="Times New Roman" w:eastAsia="Times New Roman" w:hAnsi="Times New Roman" w:cs="Times New Roman"/>
          <w:sz w:val="24"/>
          <w:szCs w:val="24"/>
          <w:lang w:eastAsia="en-GB"/>
        </w:rPr>
        <w:t>efficient</w:t>
      </w:r>
      <w:r w:rsidRPr="003676D3">
        <w:rPr>
          <w:rFonts w:ascii="Times New Roman" w:eastAsia="Times New Roman" w:hAnsi="Times New Roman" w:cs="Times New Roman"/>
          <w:sz w:val="24"/>
          <w:szCs w:val="24"/>
          <w:lang w:eastAsia="en-GB"/>
        </w:rPr>
        <w:t xml:space="preserve"> communication network for supporting metaverse</w:t>
      </w:r>
      <w:r w:rsidR="0044433A" w:rsidRPr="003676D3">
        <w:rPr>
          <w:rFonts w:ascii="Times New Roman" w:eastAsia="Times New Roman" w:hAnsi="Times New Roman" w:cs="Times New Roman"/>
          <w:sz w:val="24"/>
          <w:szCs w:val="24"/>
          <w:lang w:eastAsia="en-GB"/>
        </w:rPr>
        <w:t xml:space="preserve">. It </w:t>
      </w:r>
      <w:r w:rsidRPr="003676D3">
        <w:rPr>
          <w:rFonts w:ascii="Times New Roman" w:eastAsia="Times New Roman" w:hAnsi="Times New Roman" w:cs="Times New Roman"/>
          <w:sz w:val="24"/>
          <w:szCs w:val="24"/>
          <w:lang w:eastAsia="en-GB"/>
        </w:rPr>
        <w:t>should be highly responsive, high bandwidth connectivity</w:t>
      </w:r>
      <w:r w:rsidR="006D6D2E" w:rsidRPr="003676D3">
        <w:rPr>
          <w:rFonts w:ascii="Times New Roman" w:eastAsia="Times New Roman" w:hAnsi="Times New Roman" w:cs="Times New Roman"/>
          <w:sz w:val="24"/>
          <w:szCs w:val="24"/>
          <w:lang w:eastAsia="en-GB"/>
        </w:rPr>
        <w:t xml:space="preserve"> </w:t>
      </w:r>
      <w:r w:rsidR="006D6D2E" w:rsidRPr="003676D3">
        <w:rPr>
          <w:rFonts w:ascii="Times New Roman" w:eastAsia="Times New Roman" w:hAnsi="Times New Roman" w:cs="Times New Roman"/>
          <w:sz w:val="24"/>
          <w:szCs w:val="24"/>
          <w:lang w:eastAsia="en-GB"/>
        </w:rPr>
        <w:fldChar w:fldCharType="begin" w:fldLock="1"/>
      </w:r>
      <w:r w:rsidR="006D6D2E" w:rsidRPr="003676D3">
        <w:rPr>
          <w:rFonts w:ascii="Times New Roman" w:eastAsia="Times New Roman" w:hAnsi="Times New Roman" w:cs="Times New Roman"/>
          <w:sz w:val="24"/>
          <w:szCs w:val="24"/>
          <w:lang w:eastAsia="en-GB"/>
        </w:rPr>
        <w:instrText>ADDIN CSL_CITATION {"citationItems":[{"id":"ITEM-1","itemData":{"URL":"https://www.iceconnect.com/blog/it-support/metaverse-network-requirements/","accessed":{"date-parts":[["2024","5","20"]]},"id":"ITEM-1","issued":{"date-parts":[["0"]]},"title":"Network Requirements for the Metaverse, Are We Ready? | iceConnect","type":"webpage"},"uris":["http://www.mendeley.com/documents/?uuid=1c871919-f5be-304c-b92d-26b13718945b"]}],"mendeley":{"formattedCitation":"[171]","plainTextFormattedCitation":"[171]","previouslyFormattedCitation":"[171]"},"properties":{"noteIndex":0},"schema":"https://github.com/citation-style-language/schema/raw/master/csl-citation.json"}</w:instrText>
      </w:r>
      <w:r w:rsidR="006D6D2E" w:rsidRPr="003676D3">
        <w:rPr>
          <w:rFonts w:ascii="Times New Roman" w:eastAsia="Times New Roman" w:hAnsi="Times New Roman" w:cs="Times New Roman"/>
          <w:sz w:val="24"/>
          <w:szCs w:val="24"/>
          <w:lang w:eastAsia="en-GB"/>
        </w:rPr>
        <w:fldChar w:fldCharType="separate"/>
      </w:r>
      <w:r w:rsidR="006D6D2E" w:rsidRPr="003676D3">
        <w:rPr>
          <w:rFonts w:ascii="Times New Roman" w:eastAsia="Times New Roman" w:hAnsi="Times New Roman" w:cs="Times New Roman"/>
          <w:noProof/>
          <w:sz w:val="24"/>
          <w:szCs w:val="24"/>
          <w:lang w:eastAsia="en-GB"/>
        </w:rPr>
        <w:t>[171]</w:t>
      </w:r>
      <w:r w:rsidR="006D6D2E" w:rsidRPr="003676D3">
        <w:rPr>
          <w:rFonts w:ascii="Times New Roman" w:eastAsia="Times New Roman" w:hAnsi="Times New Roman" w:cs="Times New Roman"/>
          <w:sz w:val="24"/>
          <w:szCs w:val="24"/>
          <w:lang w:eastAsia="en-GB"/>
        </w:rPr>
        <w:fldChar w:fldCharType="end"/>
      </w:r>
      <w:r w:rsidRPr="003676D3">
        <w:rPr>
          <w:rFonts w:ascii="Times New Roman" w:eastAsia="Times New Roman" w:hAnsi="Times New Roman" w:cs="Times New Roman"/>
          <w:sz w:val="24"/>
          <w:szCs w:val="24"/>
          <w:lang w:eastAsia="en-GB"/>
        </w:rPr>
        <w:t xml:space="preserve"> and</w:t>
      </w:r>
      <w:r w:rsidR="0044433A" w:rsidRPr="003676D3">
        <w:rPr>
          <w:rFonts w:ascii="Times New Roman" w:eastAsia="Times New Roman" w:hAnsi="Times New Roman" w:cs="Times New Roman"/>
          <w:sz w:val="24"/>
          <w:szCs w:val="24"/>
          <w:lang w:eastAsia="en-GB"/>
        </w:rPr>
        <w:t xml:space="preserve"> have</w:t>
      </w:r>
      <w:r w:rsidRPr="003676D3">
        <w:rPr>
          <w:rFonts w:ascii="Times New Roman" w:eastAsia="Times New Roman" w:hAnsi="Times New Roman" w:cs="Times New Roman"/>
          <w:sz w:val="24"/>
          <w:szCs w:val="24"/>
          <w:lang w:eastAsia="en-GB"/>
        </w:rPr>
        <w:t xml:space="preserve"> latency.  </w:t>
      </w:r>
      <w:r w:rsidR="001B0655" w:rsidRPr="003676D3">
        <w:rPr>
          <w:rFonts w:ascii="Times New Roman" w:hAnsi="Times New Roman" w:cs="Times New Roman"/>
          <w:sz w:val="24"/>
          <w:szCs w:val="24"/>
        </w:rPr>
        <w:t xml:space="preserve">The Internet of Things (IoT)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{"citationItems":[{"id":"ITEM-1","itemData":{"DOI":"10.9734/ajrcos/2020/v5i430147","abstract":"The problems of energy usage wastage, conservation and optimization has always been there. Most significantly in third world countries with a high level of improper energy resource management. The world has become a global village and tending toward the transformational use of technology assets and materials to optimize the usage of renewable energy; in this case the Internet of things. Renewable Energy are actually energy source that are continually replenished naturally by nature. The internet of things are interconnected system through which hardware system device are given instruction for instance to reduce energy wastage; the potential for further reduction of fossil fuel usage and wasted energy is become cosmic. Optimization here is the appropriate management of the energy generated by energy sources through use of internet of things. The modern technology such as the internet of things is to help harness and improve in management by switching between renewable energy sources alongside the enhancement in making effective energy source at given time and energy consuming device.","author":[{"dropping-particle":"","family":"Chukwuemeka","given":"C. Mazi","non-dropping-particle":"","parse-names":false,"suffix":""},{"dropping-particle":"","family":"Uchechi","given":"M. Ihedioha","non-dropping-particle":"","parse-names":false,"suffix":""},{"dropping-particle":"","family":"Obinna","given":"C. Onyedeke","non-dropping-particle":"","parse-names":false,"suffix":""},{"dropping-particle":"","family":"Modesta","given":"Ezema","non-dropping-particle":"","parse-names":false,"suffix":""},{"dropping-particle":"","family":"Chimezie","given":"Uzo Blessing","non-dropping-particle":"","parse-names":false,"suffix":""},{"dropping-particle":"","family":"Nnamdi","given":"A. Idoko","non-dropping-particle":"","parse-names":false,"suffix":""}],"container-title":"Asian Journal of Research in Computer Science","id":"ITEM-1","issued":{"date-parts":[["2020"]]},"title":"Optimizing the Sustainability of Renewable Energy: A Review on the Impart of Internet of Things","type":"article-journal"},"uris":["http://www.mendeley.com/documents/?uuid=619f7755-e16e-456f-b8cc-fd8bed412c86"]}],"mendeley":{"formattedCitation":"[172]","plainTextFormattedCitation":"[172]","previouslyFormattedCitation":"[172]"},"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[172]</w:t>
      </w:r>
      <w:r w:rsidR="006D6D2E" w:rsidRPr="003676D3">
        <w:rPr>
          <w:rFonts w:ascii="Times New Roman" w:hAnsi="Times New Roman" w:cs="Times New Roman"/>
          <w:sz w:val="24"/>
          <w:szCs w:val="24"/>
        </w:rPr>
        <w:fldChar w:fldCharType="end"/>
      </w:r>
      <w:r w:rsidR="006D6D2E" w:rsidRPr="003676D3">
        <w:rPr>
          <w:rFonts w:ascii="Times New Roman" w:hAnsi="Times New Roman" w:cs="Times New Roman"/>
          <w:sz w:val="24"/>
          <w:szCs w:val="24"/>
        </w:rPr>
        <w:t xml:space="preserve"> </w:t>
      </w:r>
      <w:r w:rsidR="001B0655" w:rsidRPr="003676D3">
        <w:rPr>
          <w:rFonts w:ascii="Times New Roman" w:hAnsi="Times New Roman" w:cs="Times New Roman"/>
          <w:sz w:val="24"/>
          <w:szCs w:val="24"/>
        </w:rPr>
        <w:t>plays a crucial role in smart grids by enabling efficient data transfer and interaction among utilities and smart devices. IoT devices, such as smart energy meters</w:t>
      </w:r>
      <w:r w:rsidR="00B06EBA" w:rsidRPr="003676D3">
        <w:rPr>
          <w:rFonts w:ascii="Times New Roman" w:hAnsi="Times New Roman" w:cs="Times New Roman"/>
          <w:sz w:val="24"/>
          <w:szCs w:val="24"/>
        </w:rPr>
        <w:t xml:space="preserve"> can </w:t>
      </w:r>
      <w:r w:rsidR="001B0655" w:rsidRPr="003676D3">
        <w:rPr>
          <w:rFonts w:ascii="Times New Roman" w:hAnsi="Times New Roman" w:cs="Times New Roman"/>
          <w:sz w:val="24"/>
          <w:szCs w:val="24"/>
        </w:rPr>
        <w:t xml:space="preserve">help </w:t>
      </w:r>
      <w:r w:rsidR="00B06EBA" w:rsidRPr="003676D3">
        <w:rPr>
          <w:rFonts w:ascii="Times New Roman" w:hAnsi="Times New Roman" w:cs="Times New Roman"/>
          <w:sz w:val="24"/>
          <w:szCs w:val="24"/>
        </w:rPr>
        <w:t xml:space="preserve">to </w:t>
      </w:r>
      <w:r w:rsidR="001B0655" w:rsidRPr="003676D3">
        <w:rPr>
          <w:rFonts w:ascii="Times New Roman" w:hAnsi="Times New Roman" w:cs="Times New Roman"/>
          <w:sz w:val="24"/>
          <w:szCs w:val="24"/>
        </w:rPr>
        <w:t>identify power shortages and collect load patterns</w:t>
      </w:r>
      <w:r w:rsidR="00B06EBA" w:rsidRPr="003676D3">
        <w:rPr>
          <w:rFonts w:ascii="Times New Roman" w:hAnsi="Times New Roman" w:cs="Times New Roman"/>
          <w:sz w:val="24"/>
          <w:szCs w:val="24"/>
        </w:rPr>
        <w:t>. It also he</w:t>
      </w:r>
      <w:r w:rsidR="00A415BF" w:rsidRPr="003676D3">
        <w:rPr>
          <w:rFonts w:ascii="Times New Roman" w:hAnsi="Times New Roman" w:cs="Times New Roman"/>
          <w:sz w:val="24"/>
          <w:szCs w:val="24"/>
        </w:rPr>
        <w:t xml:space="preserve">lps in </w:t>
      </w:r>
      <w:r w:rsidR="001B0655" w:rsidRPr="003676D3">
        <w:rPr>
          <w:rFonts w:ascii="Times New Roman" w:hAnsi="Times New Roman" w:cs="Times New Roman"/>
          <w:sz w:val="24"/>
          <w:szCs w:val="24"/>
        </w:rPr>
        <w:t xml:space="preserve">improving fault detection, grid restoration, and overall efficiency. This data collection leads to better customer load management, reduced energy outages, and lower consumer bills. IoT also enhances the resilience of power transmission </w:t>
      </w:r>
      <w:r w:rsidR="00A415BF" w:rsidRPr="003676D3">
        <w:rPr>
          <w:rFonts w:ascii="Times New Roman" w:hAnsi="Times New Roman" w:cs="Times New Roman"/>
          <w:sz w:val="24"/>
          <w:szCs w:val="24"/>
        </w:rPr>
        <w:t>network</w:t>
      </w:r>
      <w:r w:rsidR="001B0655" w:rsidRPr="003676D3">
        <w:rPr>
          <w:rFonts w:ascii="Times New Roman" w:hAnsi="Times New Roman" w:cs="Times New Roman"/>
          <w:sz w:val="24"/>
          <w:szCs w:val="24"/>
        </w:rPr>
        <w:t xml:space="preserve"> against natural disasters</w:t>
      </w:r>
      <w:r w:rsidR="00A415BF" w:rsidRPr="003676D3">
        <w:rPr>
          <w:rFonts w:ascii="Times New Roman" w:hAnsi="Times New Roman" w:cs="Times New Roman"/>
          <w:sz w:val="24"/>
          <w:szCs w:val="24"/>
        </w:rPr>
        <w:t xml:space="preserve">. IoT can </w:t>
      </w:r>
      <w:r w:rsidR="001B0655" w:rsidRPr="003676D3">
        <w:rPr>
          <w:rFonts w:ascii="Times New Roman" w:hAnsi="Times New Roman" w:cs="Times New Roman"/>
          <w:sz w:val="24"/>
          <w:szCs w:val="24"/>
        </w:rPr>
        <w:t>reduces losses through e</w:t>
      </w:r>
      <w:r w:rsidR="00A415BF" w:rsidRPr="003676D3">
        <w:rPr>
          <w:rFonts w:ascii="Times New Roman" w:hAnsi="Times New Roman" w:cs="Times New Roman"/>
          <w:sz w:val="24"/>
          <w:szCs w:val="24"/>
        </w:rPr>
        <w:t>nhanced</w:t>
      </w:r>
      <w:r w:rsidR="001B0655" w:rsidRPr="003676D3">
        <w:rPr>
          <w:rFonts w:ascii="Times New Roman" w:hAnsi="Times New Roman" w:cs="Times New Roman"/>
          <w:sz w:val="24"/>
          <w:szCs w:val="24"/>
        </w:rPr>
        <w:t xml:space="preserve"> sensing and advanced communication technologies. However, IoT-enabled smart grids face significant security challenges, including impersonation</w:t>
      </w:r>
      <w:r w:rsidR="00A415BF" w:rsidRPr="003676D3">
        <w:rPr>
          <w:rFonts w:ascii="Times New Roman" w:hAnsi="Times New Roman" w:cs="Times New Roman"/>
          <w:sz w:val="24"/>
          <w:szCs w:val="24"/>
        </w:rPr>
        <w:t xml:space="preserve"> and </w:t>
      </w:r>
      <w:r w:rsidR="001B0655" w:rsidRPr="003676D3">
        <w:rPr>
          <w:rFonts w:ascii="Times New Roman" w:hAnsi="Times New Roman" w:cs="Times New Roman"/>
          <w:sz w:val="24"/>
          <w:szCs w:val="24"/>
        </w:rPr>
        <w:t>unauthorized access</w:t>
      </w:r>
      <w:r w:rsidR="00A415BF" w:rsidRPr="003676D3">
        <w:rPr>
          <w:rFonts w:ascii="Times New Roman" w:hAnsi="Times New Roman" w:cs="Times New Roman"/>
          <w:sz w:val="24"/>
          <w:szCs w:val="24"/>
        </w:rPr>
        <w:t xml:space="preserve">. Other security threats include </w:t>
      </w:r>
      <w:r w:rsidR="003B3E2E" w:rsidRPr="003676D3">
        <w:rPr>
          <w:rFonts w:ascii="Times New Roman" w:hAnsi="Times New Roman" w:cs="Times New Roman"/>
          <w:sz w:val="24"/>
          <w:szCs w:val="24"/>
        </w:rPr>
        <w:t xml:space="preserve">data tempering, </w:t>
      </w:r>
      <w:r w:rsidR="001B0655" w:rsidRPr="003676D3">
        <w:rPr>
          <w:rFonts w:ascii="Times New Roman" w:hAnsi="Times New Roman" w:cs="Times New Roman"/>
          <w:sz w:val="24"/>
          <w:szCs w:val="24"/>
        </w:rPr>
        <w:t xml:space="preserve">eavesdropping, malicious code, </w:t>
      </w:r>
      <w:r w:rsidR="003B3E2E" w:rsidRPr="003676D3">
        <w:rPr>
          <w:rFonts w:ascii="Times New Roman" w:hAnsi="Times New Roman" w:cs="Times New Roman"/>
          <w:sz w:val="24"/>
          <w:szCs w:val="24"/>
        </w:rPr>
        <w:t xml:space="preserve">cyber-attacks and </w:t>
      </w:r>
      <w:r w:rsidR="001B0655" w:rsidRPr="003676D3">
        <w:rPr>
          <w:rFonts w:ascii="Times New Roman" w:hAnsi="Times New Roman" w:cs="Times New Roman"/>
          <w:sz w:val="24"/>
          <w:szCs w:val="24"/>
        </w:rPr>
        <w:t>p</w:t>
      </w:r>
      <w:r w:rsidR="003B3E2E" w:rsidRPr="003676D3">
        <w:rPr>
          <w:rFonts w:ascii="Times New Roman" w:hAnsi="Times New Roman" w:cs="Times New Roman"/>
          <w:sz w:val="24"/>
          <w:szCs w:val="24"/>
        </w:rPr>
        <w:t>rivacy issues</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author":[{"dropping-particle":"","family":"Ciavarella","given":"S","non-dropping-particle":"","parse-names":false,"suffix":""},{"dropping-particle":"","family":"Joo","given":"JY","non-dropping-particle":"","parse-names":false,"suffix":""},{"dropping-particle":"","family":"Smart","given":"S Silvestri - IEEE Transactions on","non-dropping-particle":"","parse-names":false,"suffix":""},{"dropping-particle":"","family":"2016","given":"undefined","non-dropping-particle":"","parse-names":false,"suffix":""}],"container-title":"ieeexplore.ieee.orgS Ciavarella, JY Joo, S SilvestriIEEE Transactions on Smart Grid, 2016•ieeexplore.ieee.org","id":"ITEM-1","issued":{"date-parts":[["0"]]},"title":"Managing contingencies in smart grids via the internet of things","type":"article-journal"},"uris":["http://www.mendeley.com/documents/?uuid=8bb77bbb-7e84-3c72-9915-fd70de503a04"]},{"id":"ITEM-2","itemData":{"author":[{"dropping-particle":"","family":"Haider","given":"HT","non-dropping-particle":"","parse-names":false,"suffix":""},{"dropping-particle":"","family":"See","given":"OH","non-dropping-particle":"","parse-names":false,"suffix":""},{"dropping-particle":"","family":"Energy","given":"W Elmenreich - Renewable and Sustainable","non-dropping-particle":"","parse-names":false,"suffix":""},{"dropping-particle":"","family":"2016","given":"undefined","non-dropping-particle":"","parse-names":false,"suffix":""}],"container-title":"ElsevierHT Haider, OH See, W ElmenreichRenewable and Sustainable Energy Reviews, 2016•Elsevier","id":"ITEM-2","issued":{"date-parts":[["0"]]},"title":"A review of residential demand response of smart grid","type":"article-journal"},"uris":["http://www.mendeley.com/documents/?uuid=8bd02c71-0cf1-3dec-919c-927c25901fd2"]},{"id":"ITEM-3","itemData":{"author":[{"dropping-particle":"","family":"Science","given":"C Bekara - Procedia Computer","non-dropping-particle":"","parse-names":false,"suffix":""},{"dropping-particle":"","family":"2014","given":"undefined","non-dropping-particle":"","parse-names":false,"suffix":""}],"container-title":"ElsevierC BekaraProcedia Computer Science, 2014•Elsevier","id":"ITEM-3","issued":{"date-parts":[["0"]]},"title":"Security issues and challenges for the IoT-based smart grid","type":"article-journal"},"uris":["http://www.mendeley.com/documents/?uuid=c392e92e-0a7e-33aa-9554-5f54a52e4991"]}],"mendeley":{"formattedCitation":"[173–175]","plainTextFormattedCitation":"[173–175]","previouslyFormattedCitation":"[173–175]"},"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[173–175]</w:t>
      </w:r>
      <w:r w:rsidR="006D6D2E" w:rsidRPr="003676D3">
        <w:rPr>
          <w:rFonts w:ascii="Times New Roman" w:hAnsi="Times New Roman" w:cs="Times New Roman"/>
          <w:sz w:val="24"/>
          <w:szCs w:val="24"/>
        </w:rPr>
        <w:fldChar w:fldCharType="end"/>
      </w:r>
      <w:r w:rsidR="001B0655" w:rsidRPr="003676D3">
        <w:rPr>
          <w:rFonts w:ascii="Times New Roman" w:hAnsi="Times New Roman" w:cs="Times New Roman"/>
          <w:sz w:val="24"/>
          <w:szCs w:val="24"/>
        </w:rPr>
        <w:t>.</w:t>
      </w:r>
    </w:p>
    <w:p w14:paraId="57F65F1C" w14:textId="42F17C8A" w:rsidR="002A7177" w:rsidRPr="003676D3" w:rsidRDefault="00132774" w:rsidP="003676D3">
      <w:pPr>
        <w:pStyle w:val="Heading2"/>
        <w:spacing w:after="240" w:line="276" w:lineRule="auto"/>
        <w:jc w:val="both"/>
        <w:rPr>
          <w:rFonts w:ascii="Times New Roman" w:hAnsi="Times New Roman" w:cs="Times New Roman"/>
          <w:b/>
          <w:bCs/>
          <w:color w:val="auto"/>
          <w:sz w:val="24"/>
          <w:szCs w:val="24"/>
        </w:rPr>
      </w:pPr>
      <w:r w:rsidRPr="003676D3">
        <w:rPr>
          <w:rFonts w:ascii="Times New Roman" w:hAnsi="Times New Roman" w:cs="Times New Roman"/>
          <w:b/>
          <w:bCs/>
          <w:color w:val="auto"/>
          <w:sz w:val="24"/>
          <w:szCs w:val="24"/>
        </w:rPr>
        <w:t xml:space="preserve">5.5. </w:t>
      </w:r>
      <w:r w:rsidR="005979C0" w:rsidRPr="003676D3">
        <w:rPr>
          <w:rFonts w:ascii="Times New Roman" w:hAnsi="Times New Roman" w:cs="Times New Roman"/>
          <w:b/>
          <w:bCs/>
          <w:color w:val="auto"/>
          <w:sz w:val="24"/>
          <w:szCs w:val="24"/>
        </w:rPr>
        <w:t>Block-</w:t>
      </w:r>
      <w:r w:rsidR="002A7177" w:rsidRPr="003676D3">
        <w:rPr>
          <w:rFonts w:ascii="Times New Roman" w:hAnsi="Times New Roman" w:cs="Times New Roman"/>
          <w:b/>
          <w:bCs/>
          <w:color w:val="auto"/>
          <w:sz w:val="24"/>
          <w:szCs w:val="24"/>
        </w:rPr>
        <w:t>chain</w:t>
      </w:r>
    </w:p>
    <w:p w14:paraId="5550C3C2" w14:textId="520BF5E8" w:rsidR="00132774" w:rsidRPr="003676D3" w:rsidRDefault="00AC16A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Block</w:t>
      </w:r>
      <w:r w:rsidR="005979C0" w:rsidRPr="003676D3">
        <w:rPr>
          <w:rFonts w:ascii="Times New Roman" w:hAnsi="Times New Roman" w:cs="Times New Roman"/>
          <w:sz w:val="24"/>
          <w:szCs w:val="24"/>
        </w:rPr>
        <w:t>-</w:t>
      </w:r>
      <w:r w:rsidRPr="003676D3">
        <w:rPr>
          <w:rFonts w:ascii="Times New Roman" w:hAnsi="Times New Roman" w:cs="Times New Roman"/>
          <w:sz w:val="24"/>
          <w:szCs w:val="24"/>
        </w:rPr>
        <w:t>chain technology has profound application in super smart grids</w:t>
      </w:r>
      <w:r w:rsidR="004D3404" w:rsidRPr="003676D3">
        <w:rPr>
          <w:rFonts w:ascii="Times New Roman" w:hAnsi="Times New Roman" w:cs="Times New Roman"/>
          <w:sz w:val="24"/>
          <w:szCs w:val="24"/>
        </w:rPr>
        <w:t xml:space="preserve"> as it simplifies the complex multi-level system</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{"citationItems":[{"id":"ITEM-1","itemData":{"DOI":"10.1016/j.rser.2018.10.014","abstract":"Blockchains or distributed ledgers are an emerging technology that has drawn considerable interest from energy supply firms, startups, technology developers, financial institutions, national governments and the academic community. Numerous sources coming from these backgrounds identify blockchains as having the potential to bring significant benefits and innovation. Blockchains promise transparent, tamper-proof and secure systems that can enable novel business solutions, especially when combined with smart contracts. This work provides a comprehensive overview of fundamental principles that underpin blockchain technologies, such as system ar-chitectures and distributed consensus algorithms. Next, we focus on blockchain solutions for the energy industry and inform the state-of-the-art by thoroughly reviewing the literature and current business cases. To our knowledge, this is one of the first academic, peer-reviewed works to provide a systematic review of blockchain activities and initiatives in the energy sector. Our study reviews 140 blockchain research projects and startups from which we construct a map of the potential and relevance of blockchains for energy applications. These initiatives were systematically classified into different groups according to the field of activity, implementation platform and consensus strategy used. 1 Opportunities, potential challenges and limitations for a number of use cases are discussed, ranging from emerging peer-to-peer (P2P) energy trading and Internet of Things (IoT) applications , to decentralised marketplaces, electric vehicle charging and e-mobility. For each of these use cases, our contribution is twofold: first, in identifying the technical challenges that blockchain technology can solve for that application as well as its potential drawbacks, and second in briefly presenting the research and industrial projects and startups that are currently applying blockchain technology to that area. The paper ends with a discussion of challenges and market barriers the technology needs to overcome to get past the hype phase, prove its commercial viability and finally be adopted in the mainstream.","author":[{"dropping-particle":"","family":"Andoni","given":"Merlinda","non-dropping-particle":"","parse-names":false,"suffix":""},{"dropping-particle":"","family":"Robu","given":"Valentin","non-dropping-particle":"","parse-names":false,"suffix":""},{"dropping-particle":"","family":"Flynn","given":"David","non-dropping-particle":"","parse-names":false,"suffix":""},{"dropping-particle":"","family":"Abram","given":"Simone","non-dropping-particle":"","parse-names":false,"suffix":""},{"dropping-particle":"","family":"Geach","given":"Dale","non-dropping-particle":"","parse-names":false,"suffix":""},{"dropping-particle":"","family":"Jenkins","given":"David","non-dropping-particle":"","parse-names":false,"suffix":""},{"dropping-particle":"","family":"Mccallum","given":"Peter","non-dropping-particle":"","parse-names":false,"suffix":""},{"dropping-particle":"","family":"Peacock","given":"Andrew","non-dropping-particle":"","parse-names":false,"suffix":""}],"id":"ITEM-1","issued":{"date-parts":[["2018"]]},"title":"Blockchain technology in the energy sector: A systematic review of challenges and opportunities","type":"article-journal"},"uris":["http://www.mendeley.com/documents/?uuid=bde14bd4-b875-3be4-be41-b8ec8c1a3b3d"]}],"mendeley":{"formattedCitation":"[176]","plainTextFormattedCitation":"[176]","previouslyFormattedCitation":"[176]"},"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[176]</w:t>
      </w:r>
      <w:r w:rsidR="006D6D2E" w:rsidRPr="003676D3">
        <w:rPr>
          <w:rFonts w:ascii="Times New Roman" w:hAnsi="Times New Roman" w:cs="Times New Roman"/>
          <w:sz w:val="24"/>
          <w:szCs w:val="24"/>
        </w:rPr>
        <w:fldChar w:fldCharType="end"/>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{"citationItems":[{"id":"ITEM-1","itemData":{"DOI":"10.1016/J.DCAN.2023.02.017","ISSN":"2352-8648","abstract":"The Metaverse depicts a parallel digitalized world where virtuality and reality are fused. It has economic and social systems like those in the real world and provides intelligent services and applications. In this paper, we introduce the Metaverse from a new technology perspective, including its essence, corresponding technical framework, and potential technical challenges. Specifically, we analyze the essence of the Metaverse from its etymology and point out breakthroughs promising to be made in time, space, and contents of the Metaverse by citing Maslow's Hierarchy of Needs. Subsequently, we conclude four pillars of the Metaverse, named ubiquitous connections, space convergence, virtuality and reality interaction, and human-centered communication, and establish a corresponding technical framework. Additionally, we envision open issues and challenges of the Metaverse in the technical aspect. The work proposes a new technology perspective of the Metaverse and will provide further guidance for its technology development in the future.","author":[{"dropping-particle":"","family":"Shi","given":"Feifei","non-dropping-particle":"","parse-names":false,"suffix":""},{"dropping-particle":"","family":"Ning","given":"Huansheng","non-dropping-particle":"","parse-names":false,"suffix":""},{"dropping-particle":"","family":"Zhang","given":"Xiaohong","non-dropping-particle":"","parse-names":false,"suffix":""},{"dropping-particle":"","family":"Li","given":"Rongyang","non-dropping-particle":"","parse-names":false,"suffix":""},{"dropping-particle":"","family":"Tian","given":"Qiaohui","non-dropping-particle":"","parse-names":false,"suffix":""},{"dropping-particle":"","family":"Zhang","given":"Shiming","non-dropping-particle":"","parse-names":false,"suffix":""},{"dropping-particle":"","family":"Zheng","given":"Yuanyuan","non-dropping-particle":"","parse-names":false,"suffix":""},{"dropping-particle":"","family":"Guo","given":"Yudong","non-dropping-particle":"","parse-names":false,"suffix":""},{"dropping-particle":"","family":"Daneshmand","given":"Mahmoud","non-dropping-particle":"","parse-names":false,"suffix":""}],"container-title":"Digital Communications and Networks","id":"ITEM-1","issued":{"date-parts":[["2023","3","3"]]},"publisher":"Elsevier","title":"A new technology perspective of the Metaverse: Its essence, framework and challenges","type":"article-journal"},"uris":["http://www.mendeley.com/documents/?uuid=5ea69518-2de4-332f-b847-adfa1a3c3092"]}],"mendeley":{"formattedCitation":"[177]","plainTextFormattedCitation":"[177]","previouslyFormattedCitation":"[177]"},"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[177]</w:t>
      </w:r>
      <w:r w:rsidR="006D6D2E" w:rsidRPr="003676D3">
        <w:rPr>
          <w:rFonts w:ascii="Times New Roman" w:hAnsi="Times New Roman" w:cs="Times New Roman"/>
          <w:sz w:val="24"/>
          <w:szCs w:val="24"/>
        </w:rPr>
        <w:fldChar w:fldCharType="end"/>
      </w:r>
      <w:r w:rsidRPr="003676D3">
        <w:rPr>
          <w:rFonts w:ascii="Times New Roman" w:hAnsi="Times New Roman" w:cs="Times New Roman"/>
          <w:sz w:val="24"/>
          <w:szCs w:val="24"/>
        </w:rPr>
        <w:t>. It is a secure, decentralised, trustworthy and traceable digital ledger for keeping transactions that can ensure safeguarding the digital assets in a virtual space</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{"citationItems":[{"id":"ITEM-1","itemData":{"DOI":"10.1016/J.FUTURE.2023.02.008","ISSN":"0167-739X","abstract":"Since Facebook officially changed its name to Meta in Oct. 2021, the metaverse has become a new norm of social networks and three-dimensional (3D) virtual worlds. The metaverse aims to bring 3D immersive and personalized experiences to users by leveraging many pertinent technologies. Despite great attention and benefits, a natural question in the metaverse is how to secure its users’ digital content and data. In this regard, blockchain is a promising solution owing to its distinct features of decentralization, immutability, and transparency. To better understand the role of blockchain in the metaverse, we aim to provide an extensive survey on the applications of blockchain for the metaverse. We first present a preliminary to blockchain and the metaverse and highlight the motivations behind the use of blockchain for the metaverse. Next, we extensively discuss blockchain-based methods for the metaverse from technical perspectives, such as data acquisition, data storage, data sharing, data interoperability, and data privacy preservation. For each perspective, we first discuss the technical challenges of the metaverse and then highlight how blockchain can help. Moreover, we investigate the impact of blockchain on key-enabling technologies in the metaverse, including Internet-of-Things, digital twins, multi-sensory and immersive applications, artificial intelligence, and big data. We also present some major projects to showcase the role of blockchain in metaverse applications and services. Finally, we present some promising directions to drive further research innovations and developments toward the use of blockchain in the metaverse in the future.","author":[{"dropping-particle":"","family":"Huynh-The","given":"Thien","non-dropping-particle":"","parse-names":false,"suffix":""},{"dropping-particle":"","family":"Gadekallu","given":"Thippa Reddy","non-dropping-particle":"","parse-names":false,"suffix":""},{"dropping-particle":"","family":"Wang","given":"Weizheng","non-dropping-particle":"","parse-names":false,"suffix":""},{"dropping-particle":"","family":"Yenduri","given":"Gokul","non-dropping-particle":"","parse-names":false,"suffix":""},{"dropping-particle":"","family":"Ranaweera","given":"Pasika","non-dropping-particle":"","parse-names":false,"suffix":""},{"dropping-particle":"","family":"Pham","given":"Quoc Viet","non-dropping-particle":"","parse-names":false,"suffix":""},{"dropping-particle":"","family":"Costa","given":"Daniel Benevides","non-dropping-particle":"da","parse-names":false,"suffix":""},{"dropping-particle":"","family":"Liyanage","given":"Madhusanka","non-dropping-particle":"","parse-names":false,"suffix":""}],"container-title":"Future Generation Computer Systems","id":"ITEM-1","issued":{"date-parts":[["2023","6","1"]]},"page":"401-419","publisher":"North-Holland","title":"Blockchain for the metaverse: A Review","type":"article-journal","volume":"143"},"uris":["http://www.mendeley.com/documents/?uuid=ef67d789-e548-327a-8bc3-abc543284dcb"]}],"mendeley":{"formattedCitation":"[178]","plainTextFormattedCitation":"[178]","previouslyFormattedCitation":"[178]"},"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[178]</w:t>
      </w:r>
      <w:r w:rsidR="006D6D2E" w:rsidRPr="003676D3">
        <w:rPr>
          <w:rFonts w:ascii="Times New Roman" w:hAnsi="Times New Roman" w:cs="Times New Roman"/>
          <w:sz w:val="24"/>
          <w:szCs w:val="24"/>
        </w:rPr>
        <w:fldChar w:fldCharType="end"/>
      </w:r>
      <w:r w:rsidR="006D6D2E" w:rsidRPr="003676D3">
        <w:rPr>
          <w:rFonts w:ascii="Times New Roman" w:hAnsi="Times New Roman" w:cs="Times New Roman"/>
          <w:sz w:val="24"/>
          <w:szCs w:val="24"/>
        </w:rPr>
        <w:fldChar w:fldCharType="begin" w:fldLock="1"/>
      </w:r>
      <w:r w:rsidR="006D6D2E" w:rsidRPr="003676D3">
        <w:rPr>
          <w:rFonts w:ascii="Times New Roman" w:hAnsi="Times New Roman" w:cs="Times New Roman"/>
          <w:sz w:val="24"/>
          <w:szCs w:val="24"/>
        </w:rPr>
        <w:instrText>ADDIN CSL_CITATION {"citationItems":[{"id":"ITEM-1","itemData":{"DOI":"10.1109/ACCESS.2022.3206457","ISSN":"21693536","abstract":"During the COVID-19 pandemic, engagement in various remote activities such as online education and meetings has increased. However, since the conventional online environments typically provide simple streaming services using cameras and microphones, there have limitations in terms of physical expression and experiencing real-world activities such as cultural and economic activities. Recently, metaverse environments, three-dimensional virtual reality that use avatars, have attracted increasing attention as a means to solve these problems. Thus, many metaverse platforms such as Roblox, Minecraft, and Fortnite have been emerging to provide various services to users. However, such metaverse environments are potentially vulnerable to various security threats because the users and platform servers communicate through public channels. In addition, sensitive user data such as identity, password, and biometric information are managed by each platform server. In this paper, we design a system model that can guarantee secure communication and transparently manage user identification data in metaverse environments using blockchain technology. We also propose a mutual authentication scheme using biometric information and Elliptic Curve Cryptography (ECC) to provide secure communication between users and platform servers and secure avatar interactions between avatars and avatars. To demonstrate the security of the proposed mutual authentication scheme, we perform informal security analysis, Burrows-Abadi-Needham (BAN) logic, Real-or-Random (ROR) model, and Automated Validation of Internet Security Protocols and Applications (AVISPA). In addition, we compare the computation costs, communication costs, and security features of the proposed scheme with existing schemes in similar environments. The results demonstrate that the proposed scheme has lower computation and communication costs and can provide a wider range of security features than existing schemes. Thus, our proposed scheme can be used to provide secure metaverse environments.","author":[{"dropping-particle":"","family":"Ryu","given":"Jongseok","non-dropping-particle":"","parse-names":false,"suffix":""},{"dropping-particle":"","family":"Son","given":"Seunghwan","non-dropping-particle":"","parse-names":false,"suffix":""},{"dropping-particle":"","family":"Lee","given":"Joonyoung","non-dropping-particle":"","parse-names":false,"suffix":""},{"dropping-particle":"","family":"Park","given":"Yohan","non-dropping-particle":"","parse-names":false,"suffix":""},{"dropping-particle":"","family":"Park","given":"Youngho","non-dropping-particle":"","parse-names":false,"suffix":""}],"container-title":"IEEE Access","id":"ITEM-1","issued":{"date-parts":[["2022"]]},"page":"98944-98958","publisher":"Institute of Electrical and Electronics Engineers Inc.","title":"Design of Secure Mutual Authentication Scheme for Metaverse Environments Using Blockchain","type":"article-journal","volume":"10"},"uris":["http://www.mendeley.com/documents/?uuid=3bb4fb72-7c52-3399-ae84-21bba145e80a"]},{"id":"ITEM-2","itemData":{"DOI":"10.1016/J.FUTURE.2022.12.031","ISSN":"0167-739X","abstract":"Electronic Commodity Trading has a pivotal role in our economic activities. In the literature, there is a classic problem called “Fair Exchange” which is fundamental to electronic commodity trading. It means the participants can receive the exchange item of the counterparty as they have agreed on before. Since the ownership of items online is often authorized by digital signatures, we focus on the problem of the fair exchange of digital signatures in this paper. As the concept of the Metaverse becomes popular recently, what we are concerned about is how the fair exchange will evolve in a metaverse. It is said that the metaverse is a vision of how the next generation of the internet will operate and the research for the fair exchange problem in it is essential for a wide range of applications like trading a (Non-fungible-token) NFT. Many cryptographic fair exchange protocols are proposed to deal with such a problem. However, most of them should rely on a Trusted Third Party (TTP) and the security is restricted by the TTP. The way the metaverse will work is still being defined. But it will probably provide users with a decentralized environment and a fair exchange protocol relying on a TTP seems unsuitable for it. Recently, researchers present some blockchain-based fair exchange protocols to get rid of or reduce the power of a TTP. But these blockchain-based protocols face new challenges. Firstly, cryptography pairing operations are often contained in such a TTP-free protocol and cost too much for the blockchain. Secondly, the player may hang for an unacceptably long time of the latency of the blockchain network. Thirdly, it is difficult to protect the privacy of the signatures while making the whole protocol verifiable at the same time. To bridge these research gaps, this paper presents a novel signature exchange protocol called DFSE which is decentralized, verifiable, efficient and autonomous. To give a real-world evaluation, we perform the experiment on the live test network of Ethereum and the results show that our protocol is feasible.","author":[{"dropping-particle":"","family":"Chen","given":"Jiahui","non-dropping-particle":"","parse-names":false,"suffix":""},{"dropping-particle":"","family":"Xiao","given":"Hang","non-dropping-particle":"","parse-names":false,"suffix":""},{"dropping-particle":"","family":"Hu","given":"Muchuang","non-dropping-particle":"","parse-names":false,"suffix":""},{"dropping-particle":"","family":"Chen","given":"Chien Ming","non-dropping-particle":"","parse-names":false,"suffix":""}],"container-title":"Future Generation Computer Systems","id":"ITEM-2","issued":{"date-parts":[["2023","5","1"]]},"page":"237-247","publisher":"North-Holland","title":"A blockchain-based signature exchange protocol for metaverse","type":"article-journal","volume":"142"},"uris":["http://www.mendeley.com/documents/?uuid=5dd57af6-74da-3742-a235-46826ad8ec09"]}],"mendeley":{"formattedCitation":"[179,180]","plainTextFormattedCitation":"[179,180]","previouslyFormattedCitation":"[179,180]"},"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[179,180]</w:t>
      </w:r>
      <w:r w:rsidR="006D6D2E" w:rsidRPr="003676D3">
        <w:rPr>
          <w:rFonts w:ascii="Times New Roman" w:hAnsi="Times New Roman" w:cs="Times New Roman"/>
          <w:sz w:val="24"/>
          <w:szCs w:val="24"/>
        </w:rPr>
        <w:fldChar w:fldCharType="end"/>
      </w:r>
      <w:r w:rsidR="006D6D2E" w:rsidRPr="003676D3">
        <w:rPr>
          <w:rFonts w:ascii="Times New Roman" w:hAnsi="Times New Roman" w:cs="Times New Roman"/>
          <w:sz w:val="24"/>
          <w:szCs w:val="24"/>
        </w:rPr>
        <w:t xml:space="preserve">. </w:t>
      </w:r>
      <w:r w:rsidRPr="003676D3">
        <w:rPr>
          <w:rFonts w:ascii="Times New Roman" w:hAnsi="Times New Roman" w:cs="Times New Roman"/>
          <w:sz w:val="24"/>
          <w:szCs w:val="24"/>
        </w:rPr>
        <w:t xml:space="preserve">Blockchain works in a </w:t>
      </w:r>
      <w:r w:rsidR="005979C0" w:rsidRPr="003676D3">
        <w:rPr>
          <w:rFonts w:ascii="Times New Roman" w:hAnsi="Times New Roman" w:cs="Times New Roman"/>
          <w:sz w:val="24"/>
          <w:szCs w:val="24"/>
        </w:rPr>
        <w:t>synchronise</w:t>
      </w:r>
      <w:r w:rsidRPr="003676D3">
        <w:rPr>
          <w:rFonts w:ascii="Times New Roman" w:hAnsi="Times New Roman" w:cs="Times New Roman"/>
          <w:sz w:val="24"/>
          <w:szCs w:val="24"/>
        </w:rPr>
        <w:t xml:space="preserve"> virtual space in a decentralized </w:t>
      </w:r>
      <w:r w:rsidR="004B1918" w:rsidRPr="003676D3">
        <w:rPr>
          <w:rFonts w:ascii="Times New Roman" w:hAnsi="Times New Roman" w:cs="Times New Roman"/>
          <w:sz w:val="24"/>
          <w:szCs w:val="24"/>
        </w:rPr>
        <w:t>environment and</w:t>
      </w:r>
      <w:r w:rsidRPr="003676D3">
        <w:rPr>
          <w:rFonts w:ascii="Times New Roman" w:hAnsi="Times New Roman" w:cs="Times New Roman"/>
          <w:sz w:val="24"/>
          <w:szCs w:val="24"/>
        </w:rPr>
        <w:t xml:space="preserve"> allows independent nodes in synchronization. Just as monetary trading, blockchain can also work in energy trading like real-ti</w:t>
      </w:r>
      <w:r w:rsidR="00F236A3" w:rsidRPr="003676D3">
        <w:rPr>
          <w:rFonts w:ascii="Times New Roman" w:hAnsi="Times New Roman" w:cs="Times New Roman"/>
          <w:sz w:val="24"/>
          <w:szCs w:val="24"/>
        </w:rPr>
        <w:t>me trading with crypto currency as means of virtual purchase</w:t>
      </w:r>
      <w:r w:rsidR="006D6D2E" w:rsidRPr="003676D3">
        <w:rPr>
          <w:rFonts w:ascii="Times New Roman" w:hAnsi="Times New Roman" w:cs="Times New Roman"/>
          <w:sz w:val="24"/>
          <w:szCs w:val="24"/>
        </w:rPr>
        <w:t xml:space="preserve"> </w:t>
      </w:r>
      <w:r w:rsidR="006D6D2E" w:rsidRPr="003676D3">
        <w:rPr>
          <w:rFonts w:ascii="Times New Roman" w:hAnsi="Times New Roman" w:cs="Times New Roman"/>
          <w:sz w:val="24"/>
          <w:szCs w:val="24"/>
        </w:rPr>
        <w:fldChar w:fldCharType="begin" w:fldLock="1"/>
      </w:r>
      <w:r w:rsidR="0049516E" w:rsidRPr="003676D3">
        <w:rPr>
          <w:rFonts w:ascii="Times New Roman" w:hAnsi="Times New Roman" w:cs="Times New Roman"/>
          <w:sz w:val="24"/>
          <w:szCs w:val="24"/>
        </w:rPr>
        <w:instrText>ADDIN CSL_CITATION {"citationItems":[{"id":"ITEM-1","itemData":{"author":[{"dropping-particle":"","family":"Maksymyuk","given":"T","non-dropping-particle":"","parse-names":false,"suffix":""},{"dropping-particle":"","family":"Gazda","given":"J","non-dropping-particle":"","parse-names":false,"suffix":""},{"dropping-particle":"","family":"Bugár","given":"G","non-dropping-particle":"","parse-names":false,"suffix":""},{"dropping-particle":"","family":"…","given":"V Gazda - IEEE","non-dropping-particle":"","parse-names":false,"suffix":""},{"dropping-particle":"","family":"2022","given":"undefined","non-dropping-particle":"","parse-names":false,"suffix":""}],"container-title":"ieeexplore.ieee.orgT Maksymyuk, J Gazda, G Bugár, V Gazda, M Liyanage, M DohlerIEEE Access, 2022•ieeexplore.ieee.org","id":"ITEM-1","issued":{"date-parts":[["0"]]},"title":"Blockchain-empowered service management for the decentralized metaverse of things","type":"article-journal"},"uris":["http://www.mendeley.com/documents/?uuid=f117c2f3-1596-335d-b1f4-cd0e758b0377"]},{"id":"ITEM-2","itemData":{"DOI":"10.1016/J.FRL.2022.102742","ISSN":"1544-6123","abstract":"The combination of blockchain technologies and the gaming industry has given rise to metaverses and play-to-earn games, which incorporate their own economy, commerce, and currencies, namely, metaverse and play-to-earn tokens. In this study, we analysed the performance and dynamics of 174 tokens, showing that this new crypto niche is characterised by (i) a positive performance in the long run, (ii) the absence of high co-movements with the cryptocurrency market, (iii) the emergence of bubbles, (iv) and the absence of high correlations with NFT features, such as number of transactions, sales and Google searches.","author":[{"dropping-particle":"","family":"Vidal-Tomás","given":"David","non-dropping-particle":"","parse-names":false,"suffix":""}],"container-title":"Finance Research Letters","id":"ITEM-2","issued":{"date-parts":[["2022","6","1"]]},"page":"102742","publisher":"Elsevier","title":"The new crypto niche: NFTs, play-to-earn, and metaverse tokens","type":"article-journal","volume":"47"},"uris":["http://www.mendeley.com/documents/?uuid=de985f31-c4e2-3d93-be47-f6efb34e808e"]}],"mendeley":{"formattedCitation":"[181,182]","plainTextFormattedCitation":"[181,182]","previouslyFormattedCitation":"[181,182]"},"properties":{"noteIndex":0},"schema":"https://github.com/citation-style-language/schema/raw/master/csl-citation.json"}</w:instrText>
      </w:r>
      <w:r w:rsidR="006D6D2E" w:rsidRPr="003676D3">
        <w:rPr>
          <w:rFonts w:ascii="Times New Roman" w:hAnsi="Times New Roman" w:cs="Times New Roman"/>
          <w:sz w:val="24"/>
          <w:szCs w:val="24"/>
        </w:rPr>
        <w:fldChar w:fldCharType="separate"/>
      </w:r>
      <w:r w:rsidR="006D6D2E" w:rsidRPr="003676D3">
        <w:rPr>
          <w:rFonts w:ascii="Times New Roman" w:hAnsi="Times New Roman" w:cs="Times New Roman"/>
          <w:noProof/>
          <w:sz w:val="24"/>
          <w:szCs w:val="24"/>
        </w:rPr>
        <w:t>[181,182]</w:t>
      </w:r>
      <w:r w:rsidR="006D6D2E" w:rsidRPr="003676D3">
        <w:rPr>
          <w:rFonts w:ascii="Times New Roman" w:hAnsi="Times New Roman" w:cs="Times New Roman"/>
          <w:sz w:val="24"/>
          <w:szCs w:val="24"/>
        </w:rPr>
        <w:fldChar w:fldCharType="end"/>
      </w:r>
      <w:r w:rsidR="006D6D2E" w:rsidRPr="003676D3">
        <w:rPr>
          <w:rFonts w:ascii="Times New Roman" w:hAnsi="Times New Roman" w:cs="Times New Roman"/>
          <w:sz w:val="24"/>
          <w:szCs w:val="24"/>
        </w:rPr>
        <w:t xml:space="preserve">. </w:t>
      </w:r>
      <w:r w:rsidR="00F236A3" w:rsidRPr="003676D3">
        <w:rPr>
          <w:rFonts w:ascii="Times New Roman" w:hAnsi="Times New Roman" w:cs="Times New Roman"/>
          <w:sz w:val="24"/>
          <w:szCs w:val="24"/>
        </w:rPr>
        <w:t xml:space="preserve">Similarly, </w:t>
      </w:r>
      <w:r w:rsidR="004D3404" w:rsidRPr="003676D3">
        <w:rPr>
          <w:rFonts w:ascii="Times New Roman" w:hAnsi="Times New Roman" w:cs="Times New Roman"/>
          <w:sz w:val="24"/>
          <w:szCs w:val="24"/>
        </w:rPr>
        <w:t>Non fungible tokens (</w:t>
      </w:r>
      <w:r w:rsidR="00F236A3" w:rsidRPr="003676D3">
        <w:rPr>
          <w:rFonts w:ascii="Times New Roman" w:hAnsi="Times New Roman" w:cs="Times New Roman"/>
          <w:sz w:val="24"/>
          <w:szCs w:val="24"/>
        </w:rPr>
        <w:t>NFTs</w:t>
      </w:r>
      <w:r w:rsidR="004D3404" w:rsidRPr="003676D3">
        <w:rPr>
          <w:rFonts w:ascii="Times New Roman" w:hAnsi="Times New Roman" w:cs="Times New Roman"/>
          <w:sz w:val="24"/>
          <w:szCs w:val="24"/>
        </w:rPr>
        <w:t>)</w:t>
      </w:r>
      <w:r w:rsidR="00F236A3" w:rsidRPr="003676D3">
        <w:rPr>
          <w:rFonts w:ascii="Times New Roman" w:hAnsi="Times New Roman" w:cs="Times New Roman"/>
          <w:sz w:val="24"/>
          <w:szCs w:val="24"/>
        </w:rPr>
        <w:t xml:space="preserve"> can create a system of digita</w:t>
      </w:r>
      <w:r w:rsidR="0049516E" w:rsidRPr="003676D3">
        <w:rPr>
          <w:rFonts w:ascii="Times New Roman" w:hAnsi="Times New Roman" w:cs="Times New Roman"/>
          <w:sz w:val="24"/>
          <w:szCs w:val="24"/>
        </w:rPr>
        <w:t xml:space="preserve">l economy within this realm </w:t>
      </w:r>
      <w:r w:rsidR="0049516E" w:rsidRPr="003676D3">
        <w:rPr>
          <w:rFonts w:ascii="Times New Roman" w:hAnsi="Times New Roman" w:cs="Times New Roman"/>
          <w:sz w:val="24"/>
          <w:szCs w:val="24"/>
        </w:rPr>
        <w:fldChar w:fldCharType="begin" w:fldLock="1"/>
      </w:r>
      <w:r w:rsidR="0049516E" w:rsidRPr="003676D3">
        <w:rPr>
          <w:rFonts w:ascii="Times New Roman" w:hAnsi="Times New Roman" w:cs="Times New Roman"/>
          <w:sz w:val="24"/>
          <w:szCs w:val="24"/>
        </w:rPr>
        <w:instrText>ADDIN CSL_CITATION {"citationItems":[{"id":"ITEM-1","itemData":{"DOI":"10.1016/J.FRL.2022.102742","ISSN":"1544-6123","abstract":"The combination of blockchain technologies and the gaming industry has given rise to metaverses and play-to-earn games, which incorporate their own economy, commerce, and currencies, namely, metaverse and play-to-earn tokens. In this study, we analysed the performance and dynamics of 174 tokens, showing that this new crypto niche is characterised by (i) a positive performance in the long run, (ii) the absence of high co-movements with the cryptocurrency market, (iii) the emergence of bubbles, (iv) and the absence of high correlations with NFT features, such as number of transactions, sales and Google searches.","author":[{"dropping-particle":"","family":"Vidal-Tomás","given":"David","non-dropping-particle":"","parse-names":false,"suffix":""}],"container-title":"Finance Research Letters","id":"ITEM-1","issued":{"date-parts":[["2022","6","1"]]},"page":"102742","publisher":"Elsevier","title":"The new crypto niche: NFTs, play-to-earn, and metaverse tokens","type":"article-journal","volume":"47"},"uris":["http://www.mendeley.com/documents/?uuid=de985f31-c4e2-3d93-be47-f6efb34e808e"]}],"mendeley":{"formattedCitation":"[182]","plainTextFormattedCitation":"[182]","previouslyFormattedCitation":"[182]"},"properties":{"noteIndex":0},"schema":"https://github.com/citation-style-language/schema/raw/master/csl-citation.json"}</w:instrText>
      </w:r>
      <w:r w:rsidR="0049516E" w:rsidRPr="003676D3">
        <w:rPr>
          <w:rFonts w:ascii="Times New Roman" w:hAnsi="Times New Roman" w:cs="Times New Roman"/>
          <w:sz w:val="24"/>
          <w:szCs w:val="24"/>
        </w:rPr>
        <w:fldChar w:fldCharType="separate"/>
      </w:r>
      <w:r w:rsidR="0049516E" w:rsidRPr="003676D3">
        <w:rPr>
          <w:rFonts w:ascii="Times New Roman" w:hAnsi="Times New Roman" w:cs="Times New Roman"/>
          <w:noProof/>
          <w:sz w:val="24"/>
          <w:szCs w:val="24"/>
        </w:rPr>
        <w:t>[182]</w:t>
      </w:r>
      <w:r w:rsidR="0049516E" w:rsidRPr="003676D3">
        <w:rPr>
          <w:rFonts w:ascii="Times New Roman" w:hAnsi="Times New Roman" w:cs="Times New Roman"/>
          <w:sz w:val="24"/>
          <w:szCs w:val="24"/>
        </w:rPr>
        <w:fldChar w:fldCharType="end"/>
      </w:r>
      <w:r w:rsidR="00F236A3" w:rsidRPr="003676D3">
        <w:rPr>
          <w:rFonts w:ascii="Times New Roman" w:hAnsi="Times New Roman" w:cs="Times New Roman"/>
          <w:sz w:val="24"/>
          <w:szCs w:val="24"/>
        </w:rPr>
        <w:t xml:space="preserve">. </w:t>
      </w:r>
      <w:r w:rsidR="0049516E" w:rsidRPr="003676D3">
        <w:rPr>
          <w:rFonts w:ascii="Times New Roman" w:hAnsi="Times New Roman" w:cs="Times New Roman"/>
          <w:sz w:val="24"/>
          <w:szCs w:val="24"/>
        </w:rPr>
        <w:t>Blo</w:t>
      </w:r>
      <w:r w:rsidR="00871B92" w:rsidRPr="003676D3">
        <w:rPr>
          <w:rFonts w:ascii="Times New Roman" w:hAnsi="Times New Roman" w:cs="Times New Roman"/>
          <w:sz w:val="24"/>
          <w:szCs w:val="24"/>
        </w:rPr>
        <w:t xml:space="preserve">ckchain technology has proven effective in optimizing big data applications, data </w:t>
      </w:r>
      <w:r w:rsidR="003B3E2E" w:rsidRPr="003676D3">
        <w:rPr>
          <w:rFonts w:ascii="Times New Roman" w:hAnsi="Times New Roman" w:cs="Times New Roman"/>
          <w:sz w:val="24"/>
          <w:szCs w:val="24"/>
        </w:rPr>
        <w:t>sharing and data circulation</w:t>
      </w:r>
      <w:r w:rsidR="00871B92" w:rsidRPr="003676D3">
        <w:rPr>
          <w:rFonts w:ascii="Times New Roman" w:hAnsi="Times New Roman" w:cs="Times New Roman"/>
          <w:sz w:val="24"/>
          <w:szCs w:val="24"/>
        </w:rPr>
        <w:t xml:space="preserve">. </w:t>
      </w:r>
      <w:r w:rsidR="004C6214" w:rsidRPr="003676D3">
        <w:rPr>
          <w:rFonts w:ascii="Times New Roman" w:hAnsi="Times New Roman" w:cs="Times New Roman"/>
          <w:b/>
          <w:bCs/>
          <w:sz w:val="24"/>
          <w:szCs w:val="24"/>
        </w:rPr>
        <w:fldChar w:fldCharType="begin"/>
      </w:r>
      <w:r w:rsidR="004C6214" w:rsidRPr="003676D3">
        <w:rPr>
          <w:rFonts w:ascii="Times New Roman" w:hAnsi="Times New Roman" w:cs="Times New Roman"/>
          <w:b/>
          <w:bCs/>
          <w:sz w:val="24"/>
          <w:szCs w:val="24"/>
        </w:rPr>
        <w:instrText xml:space="preserve"> REF _Ref168445828 \h  \* MERGEFORMAT </w:instrText>
      </w:r>
      <w:r w:rsidR="004C6214" w:rsidRPr="003676D3">
        <w:rPr>
          <w:rFonts w:ascii="Times New Roman" w:hAnsi="Times New Roman" w:cs="Times New Roman"/>
          <w:b/>
          <w:bCs/>
          <w:sz w:val="24"/>
          <w:szCs w:val="24"/>
        </w:rPr>
      </w:r>
      <w:r w:rsidR="004C6214" w:rsidRPr="003676D3">
        <w:rPr>
          <w:rFonts w:ascii="Times New Roman" w:hAnsi="Times New Roman" w:cs="Times New Roman"/>
          <w:b/>
          <w:bCs/>
          <w:sz w:val="24"/>
          <w:szCs w:val="24"/>
        </w:rPr>
        <w:fldChar w:fldCharType="separate"/>
      </w:r>
      <w:r w:rsidR="008D1E2C" w:rsidRPr="003676D3">
        <w:rPr>
          <w:rFonts w:ascii="Times New Roman" w:hAnsi="Times New Roman" w:cs="Times New Roman"/>
          <w:b/>
          <w:bCs/>
          <w:sz w:val="24"/>
          <w:szCs w:val="24"/>
        </w:rPr>
        <w:t xml:space="preserve">Figure </w:t>
      </w:r>
      <w:r w:rsidR="008D1E2C" w:rsidRPr="003676D3">
        <w:rPr>
          <w:rFonts w:ascii="Times New Roman" w:hAnsi="Times New Roman" w:cs="Times New Roman"/>
          <w:b/>
          <w:bCs/>
          <w:noProof/>
          <w:sz w:val="24"/>
          <w:szCs w:val="24"/>
        </w:rPr>
        <w:t>10</w:t>
      </w:r>
      <w:r w:rsidR="004C6214" w:rsidRPr="003676D3">
        <w:rPr>
          <w:rFonts w:ascii="Times New Roman" w:hAnsi="Times New Roman" w:cs="Times New Roman"/>
          <w:b/>
          <w:bCs/>
          <w:sz w:val="24"/>
          <w:szCs w:val="24"/>
        </w:rPr>
        <w:fldChar w:fldCharType="end"/>
      </w:r>
      <w:r w:rsidR="004C6214" w:rsidRPr="003676D3">
        <w:rPr>
          <w:rFonts w:ascii="Times New Roman" w:hAnsi="Times New Roman" w:cs="Times New Roman"/>
          <w:sz w:val="24"/>
          <w:szCs w:val="24"/>
        </w:rPr>
        <w:t xml:space="preserve"> shows the blockchain working </w:t>
      </w:r>
      <w:r w:rsidR="000128C6"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{"citationItems":[{"id":"ITEM-1","itemData":{"DOI":"10.3390/BDCC6020047","ISSN":"2504-2289","abstract":"Smart grids (SG) are electricity grids that communicate with each other, provide reliable information, and enable administrators to operate energy supplies across the country, ensuring optimized reliability and efficiency. The smart grid contains sensors that measure and transmit data to adjust the flow of electricity automatically based on supply/demand, and thus, responding to problems becomes quicker and easier. This also plays a crucial role in controlling carbon emissions, by avoiding energy losses during peak load hours and ensuring optimal energy management. The scope of big data analytics in smart grids is huge, as they collect information from raw data and derive intelligent information from the same. However, these benefits of the smart grid are dependent on the active and voluntary participation of the consumers in real-time. Consumers need to be motivated and conscious to avail themselves of the achievable benefits. Incentivizing the appropriate actor is an absolute necessity to encourage prosumers to generate renewable energy sources (RES) and motivate industries to establish plants that support sustainable and green-energy-based processes or products. The current study emphasizes similar aspects and presents a comprehensive survey of the start-of-the-art contributions pertinent to incentive mechanisms in smart grids, which can be used in smart grids to optimize the power distribution during peak times and also reduce carbon emissions. The various technologies, such as game theory, blockchain, and artificial intelligence, used in implementing incentive mechanisms in smart grids are discussed, followed by different incentive projects being implemented across the globe. The lessons learnt, challenges faced in such implementations, and open issues such as data quality, privacy, security, and pricing related to incentive mechanisms in SG are identified to guide the future scope of research in this sector.","author":[{"dropping-particle":"","family":"Bhattacharya","given":"Sweta","non-dropping-particle":"","parse-names":false,"suffix":""},{"dropping-particle":"","family":"Chengoden","given":"Rajeswari","non-dropping-particle":"","parse-names":false,"suffix":""},{"dropping-particle":"","family":"Srivastava","given":"Gautam","non-dropping-particle":"","parse-names":false,"suffix":""},{"dropping-particle":"","family":"Alazab","given":"Mamoun","non-dropping-particle":"","parse-names":false,"suffix":""},{"dropping-particle":"","family":"Javed","given":"Abdul Rehman","non-dropping-particle":"","parse-names":false,"suffix":""},{"dropping-particle":"","family":"Victor","given":"Nancy","non-dropping-particle":"","parse-names":false,"suffix":""},{"dropping-particle":"","family":"Maddikunta","given":"Praveen Kumar Reddy","non-dropping-particle":"","parse-names":false,"suffix":""},{"dropping-particle":"","family":"Gadekallu","given":"Thippa Reddy","non-dropping-particle":"","parse-names":false,"suffix":""}],"container-title":"Big Data and Cognitive Computing 2022, Vol. 6, Page 47","id":"ITEM-1","issue":"2","issued":{"date-parts":[["2022","4","27"]]},"page":"47","publisher":"Multidisciplinary Digital Publishing Institute","title":"Incentive Mechanisms for Smart Grid: State of the Art, Challenges, Open Issues, Future Directions","type":"article-journal","volume":"6"},"uris":["http://www.mendeley.com/documents/?uuid=a46c14f4-f20b-3372-89e3-9a89c9278d14"]}],"mendeley":{"formattedCitation":"[24]","plainTextFormattedCitation":"[24]","previouslyFormattedCitation":"[24]"},"properties":{"noteIndex":0},"schema":"https://github.com/citation-style-language/schema/raw/master/csl-citation.json"}</w:instrText>
      </w:r>
      <w:r w:rsidR="000128C6" w:rsidRPr="003676D3">
        <w:rPr>
          <w:rFonts w:ascii="Times New Roman" w:hAnsi="Times New Roman" w:cs="Times New Roman"/>
          <w:sz w:val="24"/>
          <w:szCs w:val="24"/>
        </w:rPr>
        <w:fldChar w:fldCharType="separate"/>
      </w:r>
      <w:r w:rsidR="000128C6" w:rsidRPr="003676D3">
        <w:rPr>
          <w:rFonts w:ascii="Times New Roman" w:hAnsi="Times New Roman" w:cs="Times New Roman"/>
          <w:noProof/>
          <w:sz w:val="24"/>
          <w:szCs w:val="24"/>
        </w:rPr>
        <w:t>[24]</w:t>
      </w:r>
      <w:r w:rsidR="000128C6" w:rsidRPr="003676D3">
        <w:rPr>
          <w:rFonts w:ascii="Times New Roman" w:hAnsi="Times New Roman" w:cs="Times New Roman"/>
          <w:sz w:val="24"/>
          <w:szCs w:val="24"/>
        </w:rPr>
        <w:fldChar w:fldCharType="end"/>
      </w:r>
      <w:r w:rsidR="000128C6" w:rsidRPr="003676D3">
        <w:rPr>
          <w:rFonts w:ascii="Times New Roman" w:hAnsi="Times New Roman" w:cs="Times New Roman"/>
          <w:sz w:val="24"/>
          <w:szCs w:val="24"/>
        </w:rPr>
        <w:t xml:space="preserve"> </w:t>
      </w:r>
      <w:r w:rsidR="004C6214" w:rsidRPr="003676D3">
        <w:rPr>
          <w:rFonts w:ascii="Times New Roman" w:hAnsi="Times New Roman" w:cs="Times New Roman"/>
          <w:sz w:val="24"/>
          <w:szCs w:val="24"/>
        </w:rPr>
        <w:t>in</w:t>
      </w:r>
      <w:r w:rsidR="000128C6" w:rsidRPr="003676D3">
        <w:rPr>
          <w:rFonts w:ascii="Times New Roman" w:hAnsi="Times New Roman" w:cs="Times New Roman"/>
          <w:sz w:val="24"/>
          <w:szCs w:val="24"/>
        </w:rPr>
        <w:t xml:space="preserve"> a potential</w:t>
      </w:r>
      <w:r w:rsidR="004C6214" w:rsidRPr="003676D3">
        <w:rPr>
          <w:rFonts w:ascii="Times New Roman" w:hAnsi="Times New Roman" w:cs="Times New Roman"/>
          <w:sz w:val="24"/>
          <w:szCs w:val="24"/>
        </w:rPr>
        <w:t xml:space="preserve"> SSG. </w:t>
      </w:r>
    </w:p>
    <w:p w14:paraId="2DADF74C" w14:textId="0601439B" w:rsidR="00820DC7" w:rsidRPr="003676D3" w:rsidRDefault="00EE6812"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w:t>
      </w:r>
      <w:r w:rsidR="00871B92" w:rsidRPr="003676D3">
        <w:rPr>
          <w:rFonts w:ascii="Times New Roman" w:hAnsi="Times New Roman" w:cs="Times New Roman"/>
          <w:sz w:val="24"/>
          <w:szCs w:val="24"/>
        </w:rPr>
        <w:t>he future Metaverse will generate vast amounts of data</w:t>
      </w:r>
      <w:r w:rsidR="005100F2" w:rsidRPr="003676D3">
        <w:rPr>
          <w:rFonts w:ascii="Times New Roman" w:hAnsi="Times New Roman" w:cs="Times New Roman"/>
          <w:sz w:val="24"/>
          <w:szCs w:val="24"/>
        </w:rPr>
        <w:t xml:space="preserve"> because of which </w:t>
      </w:r>
      <w:r w:rsidR="00871B92" w:rsidRPr="003676D3">
        <w:rPr>
          <w:rFonts w:ascii="Times New Roman" w:hAnsi="Times New Roman" w:cs="Times New Roman"/>
          <w:sz w:val="24"/>
          <w:szCs w:val="24"/>
        </w:rPr>
        <w:t xml:space="preserve">the current centralized data storage mechanisms are inadequate. </w:t>
      </w:r>
      <w:r w:rsidR="005100F2" w:rsidRPr="003676D3">
        <w:rPr>
          <w:rFonts w:ascii="Times New Roman" w:hAnsi="Times New Roman" w:cs="Times New Roman"/>
          <w:sz w:val="24"/>
          <w:szCs w:val="24"/>
        </w:rPr>
        <w:t xml:space="preserve">The solution is to use </w:t>
      </w:r>
      <w:r w:rsidR="00871B92" w:rsidRPr="003676D3">
        <w:rPr>
          <w:rFonts w:ascii="Times New Roman" w:hAnsi="Times New Roman" w:cs="Times New Roman"/>
          <w:sz w:val="24"/>
          <w:szCs w:val="24"/>
        </w:rPr>
        <w:t xml:space="preserve">Blockchain </w:t>
      </w:r>
      <w:r w:rsidR="005100F2" w:rsidRPr="003676D3">
        <w:rPr>
          <w:rFonts w:ascii="Times New Roman" w:hAnsi="Times New Roman" w:cs="Times New Roman"/>
          <w:sz w:val="24"/>
          <w:szCs w:val="24"/>
        </w:rPr>
        <w:t xml:space="preserve">which </w:t>
      </w:r>
      <w:r w:rsidR="00871B92" w:rsidRPr="003676D3">
        <w:rPr>
          <w:rFonts w:ascii="Times New Roman" w:hAnsi="Times New Roman" w:cs="Times New Roman"/>
          <w:sz w:val="24"/>
          <w:szCs w:val="24"/>
        </w:rPr>
        <w:lastRenderedPageBreak/>
        <w:t xml:space="preserve">offers promising solutions for data storage and processing in the Metaverse. Its features of non-tampering and </w:t>
      </w:r>
      <w:r w:rsidR="003B3E2E" w:rsidRPr="003676D3">
        <w:rPr>
          <w:rFonts w:ascii="Times New Roman" w:hAnsi="Times New Roman" w:cs="Times New Roman"/>
          <w:sz w:val="24"/>
          <w:szCs w:val="24"/>
        </w:rPr>
        <w:t>non-</w:t>
      </w:r>
      <w:r w:rsidR="00871B92" w:rsidRPr="003676D3">
        <w:rPr>
          <w:rFonts w:ascii="Times New Roman" w:hAnsi="Times New Roman" w:cs="Times New Roman"/>
          <w:sz w:val="24"/>
          <w:szCs w:val="24"/>
        </w:rPr>
        <w:t>traceability ensure data authenticity and high quality</w:t>
      </w:r>
      <w:r w:rsidR="005100F2" w:rsidRPr="003676D3">
        <w:rPr>
          <w:rFonts w:ascii="Times New Roman" w:hAnsi="Times New Roman" w:cs="Times New Roman"/>
          <w:sz w:val="24"/>
          <w:szCs w:val="24"/>
        </w:rPr>
        <w:t xml:space="preserve">. This </w:t>
      </w:r>
      <w:r w:rsidR="00871B92" w:rsidRPr="003676D3">
        <w:rPr>
          <w:rFonts w:ascii="Times New Roman" w:hAnsi="Times New Roman" w:cs="Times New Roman"/>
          <w:sz w:val="24"/>
          <w:szCs w:val="24"/>
        </w:rPr>
        <w:t>provid</w:t>
      </w:r>
      <w:r w:rsidR="005100F2" w:rsidRPr="003676D3">
        <w:rPr>
          <w:rFonts w:ascii="Times New Roman" w:hAnsi="Times New Roman" w:cs="Times New Roman"/>
          <w:sz w:val="24"/>
          <w:szCs w:val="24"/>
        </w:rPr>
        <w:t>es</w:t>
      </w:r>
      <w:r w:rsidR="00871B92" w:rsidRPr="003676D3">
        <w:rPr>
          <w:rFonts w:ascii="Times New Roman" w:hAnsi="Times New Roman" w:cs="Times New Roman"/>
          <w:sz w:val="24"/>
          <w:szCs w:val="24"/>
        </w:rPr>
        <w:t xml:space="preserve"> a foundation for the Metaverse's development</w:t>
      </w:r>
      <w:r w:rsidR="003A6D00" w:rsidRPr="003676D3">
        <w:rPr>
          <w:rFonts w:ascii="Times New Roman" w:hAnsi="Times New Roman" w:cs="Times New Roman"/>
          <w:sz w:val="24"/>
          <w:szCs w:val="24"/>
        </w:rPr>
        <w:t>, a</w:t>
      </w:r>
      <w:r w:rsidR="00871B92" w:rsidRPr="003676D3">
        <w:rPr>
          <w:rFonts w:ascii="Times New Roman" w:hAnsi="Times New Roman" w:cs="Times New Roman"/>
          <w:sz w:val="24"/>
          <w:szCs w:val="24"/>
        </w:rPr>
        <w:t xml:space="preserve"> unique virtual economic systems</w:t>
      </w:r>
      <w:r w:rsidR="0049516E" w:rsidRPr="003676D3">
        <w:rPr>
          <w:rFonts w:ascii="Times New Roman" w:hAnsi="Times New Roman" w:cs="Times New Roman"/>
          <w:sz w:val="24"/>
          <w:szCs w:val="24"/>
        </w:rPr>
        <w:t xml:space="preserve"> </w:t>
      </w:r>
      <w:r w:rsidR="0049516E" w:rsidRPr="003676D3">
        <w:rPr>
          <w:rFonts w:ascii="Times New Roman" w:hAnsi="Times New Roman" w:cs="Times New Roman"/>
          <w:sz w:val="24"/>
          <w:szCs w:val="24"/>
        </w:rPr>
        <w:fldChar w:fldCharType="begin" w:fldLock="1"/>
      </w:r>
      <w:r w:rsidR="0049516E" w:rsidRPr="003676D3">
        <w:rPr>
          <w:rFonts w:ascii="Times New Roman" w:hAnsi="Times New Roman" w:cs="Times New Roman"/>
          <w:sz w:val="24"/>
          <w:szCs w:val="24"/>
        </w:rPr>
        <w:instrText>ADDIN CSL_CITATION {"citationItems":[{"id":"ITEM-1","itemData":{"author":[{"dropping-particle":"","family":"Jeon","given":"HJ","non-dropping-particle":"","parse-names":false,"suffix":""},{"dropping-particle":"","family":"Youn","given":"HC","non-dropping-particle":"","parse-names":false,"suffix":""},{"dropping-particle":"","family":"Ko","given":"SM","non-dropping-particle":"","parse-names":false,"suffix":""},{"dropping-particle":"","family":"the","given":"TH Kim - Advances in","non-dropping-particle":"","parse-names":false,"suffix":""},{"dropping-particle":"","family":"2022","given":"undefined","non-dropping-particle":"","parse-names":false,"suffix":""}],"container-title":"books.google.comHJ Jeon, HC Youn, SM Ko, TH KimAdvances in the Convergence of Blockchain and Artificial Intelligence, 2022•books.google.com","id":"ITEM-1","issued":{"date-parts":[["0"]]},"title":"Blockchain and AI Meet in the Metaverse","type":"article-journal"},"uris":["http://www.mendeley.com/documents/?uuid=22d4b811-b892-3d53-8fac-909777f05aeb"]},{"id":"ITEM-2","itemData":{"DOI":"10.1016/J.DCAN.2023.02.017","ISSN":"2352-8648","abstract":"The Metaverse depicts a parallel digitalized world where virtuality and reality are fused. It has economic and social systems like those in the real world and provides intelligent services and applications. In this paper, we introduce the Metaverse from a new technology perspective, including its essence, corresponding technical framework, and potential technical challenges. Specifically, we analyze the essence of the Metaverse from its etymology and point out breakthroughs promising to be made in time, space, and contents of the Metaverse by citing Maslow's Hierarchy of Needs. Subsequently, we conclude four pillars of the Metaverse, named ubiquitous connections, space convergence, virtuality and reality interaction, and human-centered communication, and establish a corresponding technical framework. Additionally, we envision open issues and challenges of the Metaverse in the technical aspect. The work proposes a new technology perspective of the Metaverse and will provide further guidance for its technology development in the future.","author":[{"dropping-particle":"","family":"Shi","given":"Feifei","non-dropping-particle":"","parse-names":false,"suffix":""},{"dropping-particle":"","family":"Ning","given":"Huansheng","non-dropping-particle":"","parse-names":false,"suffix":""},{"dropping-particle":"","family":"Zhang","given":"Xiaohong","non-dropping-particle":"","parse-names":false,"suffix":""},{"dropping-particle":"","family":"Li","given":"Rongyang","non-dropping-particle":"","parse-names":false,"suffix":""},{"dropping-particle":"","family":"Tian","given":"Qiaohui","non-dropping-particle":"","parse-names":false,"suffix":""},{"dropping-particle":"","family":"Zhang","given":"Shiming","non-dropping-particle":"","parse-names":false,"suffix":""},{"dropping-particle":"","family":"Zheng","given":"Yuanyuan","non-dropping-particle":"","parse-names":false,"suffix":""},{"dropping-particle":"","family":"Guo","given":"Yudong","non-dropping-particle":"","parse-names":false,"suffix":""},{"dropping-particle":"","family":"Daneshmand","given":"Mahmoud","non-dropping-particle":"","parse-names":false,"suffix":""}],"container-title":"Digital Communications and Networks","id":"ITEM-2","issued":{"date-parts":[["2023","3","3"]]},"publisher":"Elsevier","title":"A new technology perspective of the Metaverse: Its essence, framework and challenges","type":"article-journal"},"uris":["http://www.mendeley.com/documents/?uuid=5ea69518-2de4-332f-b847-adfa1a3c3092"]}],"mendeley":{"formattedCitation":"[177,183]","plainTextFormattedCitation":"[177,183]","previouslyFormattedCitation":"[177,183]"},"properties":{"noteIndex":0},"schema":"https://github.com/citation-style-language/schema/raw/master/csl-citation.json"}</w:instrText>
      </w:r>
      <w:r w:rsidR="0049516E" w:rsidRPr="003676D3">
        <w:rPr>
          <w:rFonts w:ascii="Times New Roman" w:hAnsi="Times New Roman" w:cs="Times New Roman"/>
          <w:sz w:val="24"/>
          <w:szCs w:val="24"/>
        </w:rPr>
        <w:fldChar w:fldCharType="separate"/>
      </w:r>
      <w:r w:rsidR="0049516E" w:rsidRPr="003676D3">
        <w:rPr>
          <w:rFonts w:ascii="Times New Roman" w:hAnsi="Times New Roman" w:cs="Times New Roman"/>
          <w:noProof/>
          <w:sz w:val="24"/>
          <w:szCs w:val="24"/>
        </w:rPr>
        <w:t>[177,183]</w:t>
      </w:r>
      <w:r w:rsidR="0049516E" w:rsidRPr="003676D3">
        <w:rPr>
          <w:rFonts w:ascii="Times New Roman" w:hAnsi="Times New Roman" w:cs="Times New Roman"/>
          <w:sz w:val="24"/>
          <w:szCs w:val="24"/>
        </w:rPr>
        <w:fldChar w:fldCharType="end"/>
      </w:r>
      <w:r w:rsidR="00871B92" w:rsidRPr="003676D3">
        <w:rPr>
          <w:rFonts w:ascii="Times New Roman" w:hAnsi="Times New Roman" w:cs="Times New Roman"/>
          <w:sz w:val="24"/>
          <w:szCs w:val="24"/>
        </w:rPr>
        <w:t>.</w:t>
      </w:r>
      <w:r w:rsidR="002A3CCA" w:rsidRPr="003676D3">
        <w:rPr>
          <w:rFonts w:ascii="Times New Roman" w:hAnsi="Times New Roman" w:cs="Times New Roman"/>
          <w:sz w:val="24"/>
          <w:szCs w:val="24"/>
        </w:rPr>
        <w:t xml:space="preserve"> </w:t>
      </w:r>
      <w:r w:rsidR="003A6D00" w:rsidRPr="003676D3">
        <w:rPr>
          <w:rFonts w:ascii="Times New Roman" w:hAnsi="Times New Roman" w:cs="Times New Roman"/>
          <w:sz w:val="24"/>
          <w:szCs w:val="24"/>
        </w:rPr>
        <w:t xml:space="preserve">Blockchain </w:t>
      </w:r>
      <w:r w:rsidR="005775B1" w:rsidRPr="003676D3">
        <w:rPr>
          <w:rFonts w:ascii="Times New Roman" w:hAnsi="Times New Roman" w:cs="Times New Roman"/>
          <w:sz w:val="24"/>
          <w:szCs w:val="24"/>
        </w:rPr>
        <w:t xml:space="preserve">based </w:t>
      </w:r>
      <w:r w:rsidR="002A3CCA" w:rsidRPr="003676D3">
        <w:rPr>
          <w:rFonts w:ascii="Times New Roman" w:hAnsi="Times New Roman" w:cs="Times New Roman"/>
          <w:sz w:val="24"/>
          <w:szCs w:val="24"/>
        </w:rPr>
        <w:t>Distributed Ledger Technology (DLT)</w:t>
      </w:r>
      <w:r w:rsidR="003A6D00" w:rsidRPr="003676D3">
        <w:rPr>
          <w:rFonts w:ascii="Times New Roman" w:hAnsi="Times New Roman" w:cs="Times New Roman"/>
          <w:sz w:val="24"/>
          <w:szCs w:val="24"/>
        </w:rPr>
        <w:t xml:space="preserve"> </w:t>
      </w:r>
      <w:r w:rsidR="002A3CCA" w:rsidRPr="003676D3">
        <w:rPr>
          <w:rFonts w:ascii="Times New Roman" w:hAnsi="Times New Roman" w:cs="Times New Roman"/>
          <w:sz w:val="24"/>
          <w:szCs w:val="24"/>
        </w:rPr>
        <w:t xml:space="preserve">enables decentralized data management. DLT </w:t>
      </w:r>
      <w:r w:rsidR="005775B1" w:rsidRPr="003676D3">
        <w:rPr>
          <w:rFonts w:ascii="Times New Roman" w:hAnsi="Times New Roman" w:cs="Times New Roman"/>
          <w:sz w:val="24"/>
          <w:szCs w:val="24"/>
        </w:rPr>
        <w:t>have the features of</w:t>
      </w:r>
      <w:r w:rsidR="002A3CCA" w:rsidRPr="003676D3">
        <w:rPr>
          <w:rFonts w:ascii="Times New Roman" w:hAnsi="Times New Roman" w:cs="Times New Roman"/>
          <w:sz w:val="24"/>
          <w:szCs w:val="24"/>
        </w:rPr>
        <w:t xml:space="preserve"> security of digital assets</w:t>
      </w:r>
      <w:r w:rsidR="005775B1" w:rsidRPr="003676D3">
        <w:rPr>
          <w:rFonts w:ascii="Times New Roman" w:hAnsi="Times New Roman" w:cs="Times New Roman"/>
          <w:sz w:val="24"/>
          <w:szCs w:val="24"/>
        </w:rPr>
        <w:t xml:space="preserve"> and </w:t>
      </w:r>
      <w:r w:rsidR="002A3CCA" w:rsidRPr="003676D3">
        <w:rPr>
          <w:rFonts w:ascii="Times New Roman" w:hAnsi="Times New Roman" w:cs="Times New Roman"/>
          <w:sz w:val="24"/>
          <w:szCs w:val="24"/>
        </w:rPr>
        <w:t>verifies user identities</w:t>
      </w:r>
      <w:r w:rsidR="005775B1" w:rsidRPr="003676D3">
        <w:rPr>
          <w:rFonts w:ascii="Times New Roman" w:hAnsi="Times New Roman" w:cs="Times New Roman"/>
          <w:sz w:val="24"/>
          <w:szCs w:val="24"/>
        </w:rPr>
        <w:t>.</w:t>
      </w:r>
      <w:r w:rsidR="002A3CCA" w:rsidRPr="003676D3">
        <w:rPr>
          <w:rFonts w:ascii="Times New Roman" w:hAnsi="Times New Roman" w:cs="Times New Roman"/>
          <w:sz w:val="24"/>
          <w:szCs w:val="24"/>
        </w:rPr>
        <w:t xml:space="preserve"> </w:t>
      </w:r>
      <w:r w:rsidR="005775B1" w:rsidRPr="003676D3">
        <w:rPr>
          <w:rFonts w:ascii="Times New Roman" w:hAnsi="Times New Roman" w:cs="Times New Roman"/>
          <w:sz w:val="24"/>
          <w:szCs w:val="24"/>
        </w:rPr>
        <w:t xml:space="preserve">At the same time, it </w:t>
      </w:r>
      <w:r w:rsidR="002A3CCA" w:rsidRPr="003676D3">
        <w:rPr>
          <w:rFonts w:ascii="Times New Roman" w:hAnsi="Times New Roman" w:cs="Times New Roman"/>
          <w:sz w:val="24"/>
          <w:szCs w:val="24"/>
        </w:rPr>
        <w:t xml:space="preserve"> establishes a trustworthy environment for transactions</w:t>
      </w:r>
      <w:r w:rsidR="0049516E" w:rsidRPr="003676D3">
        <w:rPr>
          <w:rFonts w:ascii="Times New Roman" w:hAnsi="Times New Roman" w:cs="Times New Roman"/>
          <w:sz w:val="24"/>
          <w:szCs w:val="24"/>
        </w:rPr>
        <w:t xml:space="preserve"> </w:t>
      </w:r>
      <w:r w:rsidR="0049516E" w:rsidRPr="003676D3">
        <w:rPr>
          <w:rFonts w:ascii="Times New Roman" w:hAnsi="Times New Roman" w:cs="Times New Roman"/>
          <w:sz w:val="24"/>
          <w:szCs w:val="24"/>
        </w:rPr>
        <w:fldChar w:fldCharType="begin" w:fldLock="1"/>
      </w:r>
      <w:r w:rsidR="0049516E" w:rsidRPr="003676D3">
        <w:rPr>
          <w:rFonts w:ascii="Times New Roman" w:hAnsi="Times New Roman" w:cs="Times New Roman"/>
          <w:sz w:val="24"/>
          <w:szCs w:val="24"/>
        </w:rPr>
        <w:instrText>ADDIN CSL_CITATION {"citationItems":[{"id":"ITEM-1","itemData":{"DOI":"10.1109/ACCESS.2023.3272890","ISSN":"21693536","abstract":"The movie - The Matrix (1999) - boosted our imagination about how further we can be immersed within the cyber world, i.e., how further the cyber world can be indistinguishable from the real world. Nobody, including the creators, had expected that the aspirational fictional virtual worlds such as 'ActiveWorlds (1995)' and 'Second Life (2003)' would impact the way of experiencing our real urban environments with many urban experiences embedded into a rich featured 3D environment. Are we going to stay as ourselves while existing in a mirror world? Are the fabricated, created imaginary worlds becoming a part of real worlds or vice versa? The recent once-in-a-lifetime pandemic has confirmed the importance of location and time-independent Digital Twins (DTs) (i.e., virtual scale models) of cities and their automated services which can provide everybody with equity and accessibility. This study analyses how the metaverse (3D elevation of linear Internet), that aims to build high-fidelity virtual worlds with which to interact with, can be engaged within the Smart City (SC) ecosystem with high immersive Quality of Experiences (QoE) leading to increased Quality of Life (QoL). An urban metaverse ecosystem framework - MetaOmniCity - is designed to demonstrate a variety of insights and orchestrational directions for policymakers, city planners and all other stakeholders about how to transform data-driven SCs with DTs into virtually inhabitable cities with a network of shared urban experiences from a metaverse point of view. MetaOmniCity, allowing the metaversification of cities with granular virtual societies, i.e., MetaSocieties, and eliminating the boundaries between the real world and their virtual counterparts can be shaped to the particular requirements and features of cities. Urban metaverse shared worlds, an extension of residents and urban society, where the virtual and the physically real blend and are more organically integrated, would impact urban ways of living significantly with many practical implementations. This would open doors for potential businesses with tremendous global economic value by democratising skills/assets within an urban environment, paving the way for immersive globalisation with the bigger and richer metaverse of Country (MoC) and metaverse of World (MoW) being an immersive DT of the broader universe with tangibly connected cities. MetaOmniCity is expected to accelerate the building, deployment, and adoption of immersive urban metav…","author":[{"dropping-particle":"","family":"Kuru","given":"Kaya","non-dropping-particle":"","parse-names":false,"suffix":""}],"container-title":"IEEE Access","id":"ITEM-1","issued":{"date-parts":[["2023"]]},"page":"43844-43868","publisher":"Institute of Electrical and Electronics Engineers Inc.","title":"MetaOmniCity: Toward Immersive Urban Metaverse Cyberspaces Using Smart City Digital Twins","type":"article-journal","volume":"11"},"uris":["http://www.mendeley.com/documents/?uuid=f7af71ff-3b0c-3e40-be5c-d90b0230fe6a"]}],"mendeley":{"formattedCitation":"[184]","plainTextFormattedCitation":"[184]","previouslyFormattedCitation":"[184]"},"properties":{"noteIndex":0},"schema":"https://github.com/citation-style-language/schema/raw/master/csl-citation.json"}</w:instrText>
      </w:r>
      <w:r w:rsidR="0049516E" w:rsidRPr="003676D3">
        <w:rPr>
          <w:rFonts w:ascii="Times New Roman" w:hAnsi="Times New Roman" w:cs="Times New Roman"/>
          <w:sz w:val="24"/>
          <w:szCs w:val="24"/>
        </w:rPr>
        <w:fldChar w:fldCharType="separate"/>
      </w:r>
      <w:r w:rsidR="0049516E" w:rsidRPr="003676D3">
        <w:rPr>
          <w:rFonts w:ascii="Times New Roman" w:hAnsi="Times New Roman" w:cs="Times New Roman"/>
          <w:noProof/>
          <w:sz w:val="24"/>
          <w:szCs w:val="24"/>
        </w:rPr>
        <w:t>[184]</w:t>
      </w:r>
      <w:r w:rsidR="0049516E" w:rsidRPr="003676D3">
        <w:rPr>
          <w:rFonts w:ascii="Times New Roman" w:hAnsi="Times New Roman" w:cs="Times New Roman"/>
          <w:sz w:val="24"/>
          <w:szCs w:val="24"/>
        </w:rPr>
        <w:fldChar w:fldCharType="end"/>
      </w:r>
      <w:r w:rsidR="002A3CCA" w:rsidRPr="003676D3">
        <w:rPr>
          <w:rFonts w:ascii="Times New Roman" w:hAnsi="Times New Roman" w:cs="Times New Roman"/>
          <w:sz w:val="24"/>
          <w:szCs w:val="24"/>
        </w:rPr>
        <w:t>.</w:t>
      </w:r>
      <w:r w:rsidR="001B0655" w:rsidRPr="003676D3">
        <w:rPr>
          <w:rFonts w:ascii="Times New Roman" w:hAnsi="Times New Roman" w:cs="Times New Roman"/>
          <w:sz w:val="24"/>
          <w:szCs w:val="24"/>
        </w:rPr>
        <w:t xml:space="preserve"> DLT is extensively cited in the </w:t>
      </w:r>
      <w:r w:rsidR="0080479B" w:rsidRPr="003676D3">
        <w:rPr>
          <w:rFonts w:ascii="Times New Roman" w:hAnsi="Times New Roman" w:cs="Times New Roman"/>
          <w:sz w:val="24"/>
          <w:szCs w:val="24"/>
        </w:rPr>
        <w:t>research</w:t>
      </w:r>
      <w:r w:rsidR="001B0655" w:rsidRPr="003676D3">
        <w:rPr>
          <w:rFonts w:ascii="Times New Roman" w:hAnsi="Times New Roman" w:cs="Times New Roman"/>
          <w:sz w:val="24"/>
          <w:szCs w:val="24"/>
        </w:rPr>
        <w:t xml:space="preserve"> literature as an efficient and suitable blockchain.</w:t>
      </w:r>
      <w:r w:rsidR="00204553" w:rsidRPr="003676D3">
        <w:rPr>
          <w:rFonts w:ascii="Times New Roman" w:hAnsi="Times New Roman" w:cs="Times New Roman"/>
          <w:sz w:val="24"/>
          <w:szCs w:val="24"/>
        </w:rPr>
        <w:t xml:space="preserve"> A comprehensive </w:t>
      </w:r>
      <w:r w:rsidR="0049516E" w:rsidRPr="003676D3">
        <w:rPr>
          <w:rFonts w:ascii="Times New Roman" w:hAnsi="Times New Roman" w:cs="Times New Roman"/>
          <w:sz w:val="24"/>
          <w:szCs w:val="24"/>
        </w:rPr>
        <w:t>comparison</w:t>
      </w:r>
      <w:r w:rsidR="00204553" w:rsidRPr="003676D3">
        <w:rPr>
          <w:rFonts w:ascii="Times New Roman" w:hAnsi="Times New Roman" w:cs="Times New Roman"/>
          <w:sz w:val="24"/>
          <w:szCs w:val="24"/>
        </w:rPr>
        <w:t xml:space="preserve"> between various blockchain algorithms are given in</w:t>
      </w:r>
      <w:r w:rsidR="0049516E" w:rsidRPr="003676D3">
        <w:rPr>
          <w:rFonts w:ascii="Times New Roman" w:hAnsi="Times New Roman" w:cs="Times New Roman"/>
          <w:sz w:val="24"/>
          <w:szCs w:val="24"/>
        </w:rPr>
        <w:t xml:space="preserve"> </w:t>
      </w:r>
      <w:r w:rsidR="0049516E" w:rsidRPr="003676D3">
        <w:rPr>
          <w:rFonts w:ascii="Times New Roman" w:hAnsi="Times New Roman" w:cs="Times New Roman"/>
          <w:sz w:val="24"/>
          <w:szCs w:val="24"/>
        </w:rPr>
        <w:fldChar w:fldCharType="begin" w:fldLock="1"/>
      </w:r>
      <w:r w:rsidR="0049516E" w:rsidRPr="003676D3">
        <w:rPr>
          <w:rFonts w:ascii="Times New Roman" w:hAnsi="Times New Roman" w:cs="Times New Roman"/>
          <w:sz w:val="24"/>
          <w:szCs w:val="24"/>
        </w:rPr>
        <w:instrText>ADDIN CSL_CITATION {"citationItems":[{"id":"ITEM-1","itemData":{"DOI":"10.1016/J.EGYR.2021.05.037","ISSN":"2352-4847","abstract":"Transactive energy is an effective way to share and trade energy among peers. A transactive energy framework is composed of several integrated blocks such as an energy market, service providers, generation companies, transmission and distribution networks, prosumers, etc. The success of such a framework can be measured by analyzing the effectiveness of its major building blocks. This paper provides a basic definition of transactive energy which helps in identifying its primary building blocks. Based on the identified building blocks, each block of the transactive energy system is discussed briefly to highlight its significant role and effectiveness. Some enabling technologies for such systems are then reviewed along with pilot projects. In the end, some policy guidelines are presented to speed up their implementation.","author":[{"dropping-particle":"","family":"Huang","given":"Qi","non-dropping-particle":"","parse-names":false,"suffix":""},{"dropping-particle":"","family":"Amin","given":"Waqas","non-dropping-particle":"","parse-names":false,"suffix":""},{"dropping-particle":"","family":"Umer","given":"Khalid","non-dropping-particle":"","parse-names":false,"suffix":""},{"dropping-particle":"","family":"Gooi","given":"Hoay Beng","non-dropping-particle":"","parse-names":false,"suffix":""},{"dropping-particle":"","family":"Eddy","given":"Foo Yi Shyh","non-dropping-particle":"","parse-names":false,"suffix":""},{"dropping-particle":"","family":"Afzal","given":"Muhammad","non-dropping-particle":"","parse-names":false,"suffix":""},{"dropping-particle":"","family":"Shahzadi","given":"Mahnoor","non-dropping-particle":"","parse-names":false,"suffix":""},{"dropping-particle":"","family":"Khan","given":"Abdullah Aman","non-dropping-particle":"","parse-names":false,"suffix":""},{"dropping-particle":"","family":"Ahmad","given":"Syed Adrees","non-dropping-particle":"","parse-names":false,"suffix":""}],"container-title":"Energy Reports","id":"ITEM-1","issued":{"date-parts":[["2021","11","1"]]},"page":"7804-7824","publisher":"Elsevier","title":"A review of transactive energy systems: Concept and implementation","type":"article-journal","volume":"7"},"uris":["http://www.mendeley.com/documents/?uuid=e9b36103-7a03-3bbf-ac9c-f99325d78859"]}],"mendeley":{"formattedCitation":"[108]","plainTextFormattedCitation":"[108]","previouslyFormattedCitation":"[108]"},"properties":{"noteIndex":0},"schema":"https://github.com/citation-style-language/schema/raw/master/csl-citation.json"}</w:instrText>
      </w:r>
      <w:r w:rsidR="0049516E" w:rsidRPr="003676D3">
        <w:rPr>
          <w:rFonts w:ascii="Times New Roman" w:hAnsi="Times New Roman" w:cs="Times New Roman"/>
          <w:sz w:val="24"/>
          <w:szCs w:val="24"/>
        </w:rPr>
        <w:fldChar w:fldCharType="separate"/>
      </w:r>
      <w:r w:rsidR="0049516E" w:rsidRPr="003676D3">
        <w:rPr>
          <w:rFonts w:ascii="Times New Roman" w:hAnsi="Times New Roman" w:cs="Times New Roman"/>
          <w:noProof/>
          <w:sz w:val="24"/>
          <w:szCs w:val="24"/>
        </w:rPr>
        <w:t>[108]</w:t>
      </w:r>
      <w:r w:rsidR="0049516E" w:rsidRPr="003676D3">
        <w:rPr>
          <w:rFonts w:ascii="Times New Roman" w:hAnsi="Times New Roman" w:cs="Times New Roman"/>
          <w:sz w:val="24"/>
          <w:szCs w:val="24"/>
        </w:rPr>
        <w:fldChar w:fldCharType="end"/>
      </w:r>
      <w:r w:rsidR="00204553" w:rsidRPr="003676D3">
        <w:rPr>
          <w:rFonts w:ascii="Times New Roman" w:hAnsi="Times New Roman" w:cs="Times New Roman"/>
          <w:sz w:val="24"/>
          <w:szCs w:val="24"/>
        </w:rPr>
        <w:t>.</w:t>
      </w:r>
    </w:p>
    <w:p w14:paraId="49CCFD03" w14:textId="79AB3F6E" w:rsidR="004C6214" w:rsidRPr="003676D3" w:rsidRDefault="004C6214"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sz w:val="24"/>
          <w:szCs w:val="24"/>
          <w:lang w:eastAsia="en-GB"/>
        </w:rPr>
        <w:drawing>
          <wp:anchor distT="0" distB="0" distL="114300" distR="114300" simplePos="0" relativeHeight="251671552" behindDoc="0" locked="0" layoutInCell="1" allowOverlap="1" wp14:anchorId="3CB4F62B" wp14:editId="4E30AC81">
            <wp:simplePos x="0" y="0"/>
            <wp:positionH relativeFrom="margin">
              <wp:posOffset>346710</wp:posOffset>
            </wp:positionH>
            <wp:positionV relativeFrom="paragraph">
              <wp:posOffset>176815</wp:posOffset>
            </wp:positionV>
            <wp:extent cx="4949825" cy="417703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ockchain.PNG"/>
                    <pic:cNvPicPr/>
                  </pic:nvPicPr>
                  <pic:blipFill>
                    <a:blip r:embed="rId34">
                      <a:extLst>
                        <a:ext uri="{28A0092B-C50C-407E-A947-70E740481C1C}">
                          <a14:useLocalDpi xmlns:a14="http://schemas.microsoft.com/office/drawing/2010/main" val="0"/>
                        </a:ext>
                      </a:extLst>
                    </a:blip>
                    <a:stretch>
                      <a:fillRect/>
                    </a:stretch>
                  </pic:blipFill>
                  <pic:spPr>
                    <a:xfrm>
                      <a:off x="0" y="0"/>
                      <a:ext cx="4949825" cy="4177030"/>
                    </a:xfrm>
                    <a:prstGeom prst="rect">
                      <a:avLst/>
                    </a:prstGeom>
                  </pic:spPr>
                </pic:pic>
              </a:graphicData>
            </a:graphic>
            <wp14:sizeRelH relativeFrom="margin">
              <wp14:pctWidth>0</wp14:pctWidth>
            </wp14:sizeRelH>
            <wp14:sizeRelV relativeFrom="margin">
              <wp14:pctHeight>0</wp14:pctHeight>
            </wp14:sizeRelV>
          </wp:anchor>
        </w:drawing>
      </w:r>
    </w:p>
    <w:p w14:paraId="72A16D4C" w14:textId="77777777" w:rsidR="004C6214" w:rsidRPr="003676D3" w:rsidRDefault="004C6214" w:rsidP="003676D3">
      <w:pPr>
        <w:spacing w:line="276" w:lineRule="auto"/>
        <w:jc w:val="both"/>
        <w:rPr>
          <w:rFonts w:ascii="Times New Roman" w:hAnsi="Times New Roman" w:cs="Times New Roman"/>
          <w:sz w:val="24"/>
          <w:szCs w:val="24"/>
        </w:rPr>
      </w:pPr>
    </w:p>
    <w:p w14:paraId="0F960FE8" w14:textId="77777777" w:rsidR="004C6214" w:rsidRPr="003676D3" w:rsidRDefault="004C6214" w:rsidP="003676D3">
      <w:pPr>
        <w:spacing w:line="276" w:lineRule="auto"/>
        <w:jc w:val="both"/>
        <w:rPr>
          <w:rFonts w:ascii="Times New Roman" w:hAnsi="Times New Roman" w:cs="Times New Roman"/>
          <w:sz w:val="24"/>
          <w:szCs w:val="24"/>
        </w:rPr>
      </w:pPr>
    </w:p>
    <w:p w14:paraId="3E94FF09" w14:textId="77777777" w:rsidR="004C6214" w:rsidRPr="003676D3" w:rsidRDefault="004C6214" w:rsidP="003676D3">
      <w:pPr>
        <w:spacing w:line="276" w:lineRule="auto"/>
        <w:jc w:val="both"/>
        <w:rPr>
          <w:rFonts w:ascii="Times New Roman" w:hAnsi="Times New Roman" w:cs="Times New Roman"/>
          <w:sz w:val="24"/>
          <w:szCs w:val="24"/>
        </w:rPr>
      </w:pPr>
    </w:p>
    <w:p w14:paraId="6F809C8A" w14:textId="77777777" w:rsidR="004C6214" w:rsidRPr="003676D3" w:rsidRDefault="004C6214" w:rsidP="003676D3">
      <w:pPr>
        <w:spacing w:line="276" w:lineRule="auto"/>
        <w:jc w:val="both"/>
        <w:rPr>
          <w:rFonts w:ascii="Times New Roman" w:hAnsi="Times New Roman" w:cs="Times New Roman"/>
          <w:sz w:val="24"/>
          <w:szCs w:val="24"/>
        </w:rPr>
      </w:pPr>
    </w:p>
    <w:p w14:paraId="56EF0268" w14:textId="77777777" w:rsidR="004C6214" w:rsidRPr="003676D3" w:rsidRDefault="004C6214" w:rsidP="003676D3">
      <w:pPr>
        <w:spacing w:line="276" w:lineRule="auto"/>
        <w:jc w:val="both"/>
        <w:rPr>
          <w:rFonts w:ascii="Times New Roman" w:hAnsi="Times New Roman" w:cs="Times New Roman"/>
          <w:sz w:val="24"/>
          <w:szCs w:val="24"/>
        </w:rPr>
      </w:pPr>
    </w:p>
    <w:p w14:paraId="60C22E2F" w14:textId="77777777" w:rsidR="004C6214" w:rsidRPr="003676D3" w:rsidRDefault="004C6214" w:rsidP="003676D3">
      <w:pPr>
        <w:spacing w:line="276" w:lineRule="auto"/>
        <w:jc w:val="both"/>
        <w:rPr>
          <w:rFonts w:ascii="Times New Roman" w:hAnsi="Times New Roman" w:cs="Times New Roman"/>
          <w:sz w:val="24"/>
          <w:szCs w:val="24"/>
        </w:rPr>
      </w:pPr>
    </w:p>
    <w:p w14:paraId="0C462DD4" w14:textId="77777777" w:rsidR="004C6214" w:rsidRPr="003676D3" w:rsidRDefault="004C6214" w:rsidP="003676D3">
      <w:pPr>
        <w:spacing w:line="276" w:lineRule="auto"/>
        <w:jc w:val="both"/>
        <w:rPr>
          <w:rFonts w:ascii="Times New Roman" w:hAnsi="Times New Roman" w:cs="Times New Roman"/>
          <w:sz w:val="24"/>
          <w:szCs w:val="24"/>
        </w:rPr>
      </w:pPr>
    </w:p>
    <w:p w14:paraId="1B1BACEB" w14:textId="77777777" w:rsidR="004C6214" w:rsidRPr="003676D3" w:rsidRDefault="004C6214" w:rsidP="003676D3">
      <w:pPr>
        <w:spacing w:line="276" w:lineRule="auto"/>
        <w:jc w:val="both"/>
        <w:rPr>
          <w:rFonts w:ascii="Times New Roman" w:hAnsi="Times New Roman" w:cs="Times New Roman"/>
          <w:sz w:val="24"/>
          <w:szCs w:val="24"/>
        </w:rPr>
      </w:pPr>
    </w:p>
    <w:p w14:paraId="2773F18D" w14:textId="77777777" w:rsidR="004C6214" w:rsidRPr="003676D3" w:rsidRDefault="004C6214" w:rsidP="003676D3">
      <w:pPr>
        <w:spacing w:line="276" w:lineRule="auto"/>
        <w:jc w:val="both"/>
        <w:rPr>
          <w:rFonts w:ascii="Times New Roman" w:hAnsi="Times New Roman" w:cs="Times New Roman"/>
          <w:sz w:val="24"/>
          <w:szCs w:val="24"/>
        </w:rPr>
      </w:pPr>
    </w:p>
    <w:p w14:paraId="61B035BA" w14:textId="77777777" w:rsidR="004C6214" w:rsidRPr="003676D3" w:rsidRDefault="004C6214" w:rsidP="003676D3">
      <w:pPr>
        <w:spacing w:line="276" w:lineRule="auto"/>
        <w:jc w:val="both"/>
        <w:rPr>
          <w:rFonts w:ascii="Times New Roman" w:hAnsi="Times New Roman" w:cs="Times New Roman"/>
          <w:sz w:val="24"/>
          <w:szCs w:val="24"/>
        </w:rPr>
      </w:pPr>
    </w:p>
    <w:p w14:paraId="5C848109" w14:textId="77777777" w:rsidR="004C6214" w:rsidRPr="003676D3" w:rsidRDefault="004C6214" w:rsidP="003676D3">
      <w:pPr>
        <w:spacing w:line="276" w:lineRule="auto"/>
        <w:jc w:val="both"/>
        <w:rPr>
          <w:rFonts w:ascii="Times New Roman" w:hAnsi="Times New Roman" w:cs="Times New Roman"/>
          <w:sz w:val="24"/>
          <w:szCs w:val="24"/>
        </w:rPr>
      </w:pPr>
    </w:p>
    <w:p w14:paraId="437EB7E9" w14:textId="77777777" w:rsidR="004C6214" w:rsidRPr="003676D3" w:rsidRDefault="004C6214" w:rsidP="003676D3">
      <w:pPr>
        <w:spacing w:line="276" w:lineRule="auto"/>
        <w:jc w:val="both"/>
        <w:rPr>
          <w:rFonts w:ascii="Times New Roman" w:hAnsi="Times New Roman" w:cs="Times New Roman"/>
          <w:sz w:val="24"/>
          <w:szCs w:val="24"/>
        </w:rPr>
      </w:pPr>
    </w:p>
    <w:p w14:paraId="25EE17F2" w14:textId="77777777" w:rsidR="004C6214" w:rsidRPr="003676D3" w:rsidRDefault="004C6214" w:rsidP="003676D3">
      <w:pPr>
        <w:spacing w:line="276" w:lineRule="auto"/>
        <w:jc w:val="both"/>
        <w:rPr>
          <w:rFonts w:ascii="Times New Roman" w:hAnsi="Times New Roman" w:cs="Times New Roman"/>
          <w:sz w:val="24"/>
          <w:szCs w:val="24"/>
        </w:rPr>
      </w:pPr>
    </w:p>
    <w:p w14:paraId="7D1AE2B7" w14:textId="5E2544C1" w:rsidR="004C6214" w:rsidRPr="003676D3" w:rsidRDefault="00CC49AF" w:rsidP="003676D3">
      <w:pPr>
        <w:spacing w:line="276" w:lineRule="auto"/>
        <w:jc w:val="both"/>
        <w:rPr>
          <w:rFonts w:ascii="Times New Roman" w:hAnsi="Times New Roman" w:cs="Times New Roman"/>
          <w:sz w:val="24"/>
          <w:szCs w:val="24"/>
        </w:rPr>
      </w:pPr>
      <w:r w:rsidRPr="003676D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04DF865" wp14:editId="735A6D64">
                <wp:simplePos x="0" y="0"/>
                <wp:positionH relativeFrom="column">
                  <wp:posOffset>462280</wp:posOffset>
                </wp:positionH>
                <wp:positionV relativeFrom="paragraph">
                  <wp:posOffset>254000</wp:posOffset>
                </wp:positionV>
                <wp:extent cx="4540250" cy="2622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4540250" cy="262255"/>
                        </a:xfrm>
                        <a:prstGeom prst="rect">
                          <a:avLst/>
                        </a:prstGeom>
                        <a:solidFill>
                          <a:prstClr val="white"/>
                        </a:solidFill>
                        <a:ln>
                          <a:noFill/>
                        </a:ln>
                      </wps:spPr>
                      <wps:txbx>
                        <w:txbxContent>
                          <w:p w14:paraId="3457B0B0" w14:textId="3261747E" w:rsidR="001F368F" w:rsidRPr="003F2161" w:rsidRDefault="001F368F" w:rsidP="004B1918">
                            <w:pPr>
                              <w:pStyle w:val="Caption"/>
                              <w:jc w:val="center"/>
                              <w:rPr>
                                <w:rFonts w:asciiTheme="majorBidi" w:hAnsiTheme="majorBidi" w:cstheme="majorBidi"/>
                                <w:b/>
                                <w:bCs/>
                                <w:i w:val="0"/>
                                <w:iCs w:val="0"/>
                                <w:color w:val="auto"/>
                                <w:sz w:val="28"/>
                                <w:szCs w:val="28"/>
                              </w:rPr>
                            </w:pPr>
                            <w:bookmarkStart w:id="25" w:name="_Ref168445828"/>
                            <w:r w:rsidRPr="003F2161">
                              <w:rPr>
                                <w:rFonts w:asciiTheme="majorBidi" w:hAnsiTheme="majorBidi" w:cstheme="majorBidi"/>
                                <w:b/>
                                <w:bCs/>
                                <w:i w:val="0"/>
                                <w:iCs w:val="0"/>
                                <w:color w:val="auto"/>
                                <w:sz w:val="20"/>
                                <w:szCs w:val="20"/>
                              </w:rPr>
                              <w:t xml:space="preserve">Figure </w:t>
                            </w:r>
                            <w:r w:rsidRPr="003F2161">
                              <w:rPr>
                                <w:rFonts w:asciiTheme="majorBidi" w:hAnsiTheme="majorBidi" w:cstheme="majorBidi"/>
                                <w:b/>
                                <w:bCs/>
                                <w:i w:val="0"/>
                                <w:iCs w:val="0"/>
                                <w:color w:val="auto"/>
                                <w:sz w:val="20"/>
                                <w:szCs w:val="20"/>
                              </w:rPr>
                              <w:fldChar w:fldCharType="begin"/>
                            </w:r>
                            <w:r w:rsidRPr="003F2161">
                              <w:rPr>
                                <w:rFonts w:asciiTheme="majorBidi" w:hAnsiTheme="majorBidi" w:cstheme="majorBidi"/>
                                <w:b/>
                                <w:bCs/>
                                <w:i w:val="0"/>
                                <w:iCs w:val="0"/>
                                <w:color w:val="auto"/>
                                <w:sz w:val="20"/>
                                <w:szCs w:val="20"/>
                              </w:rPr>
                              <w:instrText xml:space="preserve"> SEQ Figure \* ARABIC </w:instrText>
                            </w:r>
                            <w:r w:rsidRPr="003F2161">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10</w:t>
                            </w:r>
                            <w:r w:rsidRPr="003F2161">
                              <w:rPr>
                                <w:rFonts w:asciiTheme="majorBidi" w:hAnsiTheme="majorBidi" w:cstheme="majorBidi"/>
                                <w:b/>
                                <w:bCs/>
                                <w:i w:val="0"/>
                                <w:iCs w:val="0"/>
                                <w:color w:val="auto"/>
                                <w:sz w:val="20"/>
                                <w:szCs w:val="20"/>
                              </w:rPr>
                              <w:fldChar w:fldCharType="end"/>
                            </w:r>
                            <w:bookmarkEnd w:id="25"/>
                            <w:r w:rsidRPr="003F2161">
                              <w:rPr>
                                <w:rFonts w:asciiTheme="majorBidi" w:hAnsiTheme="majorBidi" w:cstheme="majorBidi"/>
                                <w:b/>
                                <w:bCs/>
                                <w:i w:val="0"/>
                                <w:iCs w:val="0"/>
                                <w:color w:val="auto"/>
                                <w:sz w:val="20"/>
                                <w:szCs w:val="20"/>
                              </w:rPr>
                              <w:t>. Role of</w:t>
                            </w:r>
                            <w:r>
                              <w:rPr>
                                <w:rFonts w:asciiTheme="majorBidi" w:hAnsiTheme="majorBidi" w:cstheme="majorBidi"/>
                                <w:b/>
                                <w:bCs/>
                                <w:i w:val="0"/>
                                <w:iCs w:val="0"/>
                                <w:color w:val="auto"/>
                                <w:sz w:val="20"/>
                                <w:szCs w:val="20"/>
                              </w:rPr>
                              <w:t xml:space="preserve"> Blockchain in Super Smart Grid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F865" id="Text Box 16" o:spid="_x0000_s1034" type="#_x0000_t202" style="position:absolute;left:0;text-align:left;margin-left:36.4pt;margin-top:20pt;width:357.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" stroked="f">
                <v:textbox inset="0,0,0,0">
                  <w:txbxContent>
                    <w:p w14:paraId="3457B0B0" w14:textId="3261747E" w:rsidR="001F368F" w:rsidRPr="003F2161" w:rsidRDefault="001F368F" w:rsidP="004B1918">
                      <w:pPr>
                        <w:pStyle w:val="Caption"/>
                        <w:jc w:val="center"/>
                        <w:rPr>
                          <w:rFonts w:asciiTheme="majorBidi" w:hAnsiTheme="majorBidi" w:cstheme="majorBidi"/>
                          <w:b/>
                          <w:bCs/>
                          <w:i w:val="0"/>
                          <w:iCs w:val="0"/>
                          <w:color w:val="auto"/>
                          <w:sz w:val="28"/>
                          <w:szCs w:val="28"/>
                        </w:rPr>
                      </w:pPr>
                      <w:bookmarkStart w:id="26" w:name="_Ref168445828"/>
                      <w:r w:rsidRPr="003F2161">
                        <w:rPr>
                          <w:rFonts w:asciiTheme="majorBidi" w:hAnsiTheme="majorBidi" w:cstheme="majorBidi"/>
                          <w:b/>
                          <w:bCs/>
                          <w:i w:val="0"/>
                          <w:iCs w:val="0"/>
                          <w:color w:val="auto"/>
                          <w:sz w:val="20"/>
                          <w:szCs w:val="20"/>
                        </w:rPr>
                        <w:t xml:space="preserve">Figure </w:t>
                      </w:r>
                      <w:r w:rsidRPr="003F2161">
                        <w:rPr>
                          <w:rFonts w:asciiTheme="majorBidi" w:hAnsiTheme="majorBidi" w:cstheme="majorBidi"/>
                          <w:b/>
                          <w:bCs/>
                          <w:i w:val="0"/>
                          <w:iCs w:val="0"/>
                          <w:color w:val="auto"/>
                          <w:sz w:val="20"/>
                          <w:szCs w:val="20"/>
                        </w:rPr>
                        <w:fldChar w:fldCharType="begin"/>
                      </w:r>
                      <w:r w:rsidRPr="003F2161">
                        <w:rPr>
                          <w:rFonts w:asciiTheme="majorBidi" w:hAnsiTheme="majorBidi" w:cstheme="majorBidi"/>
                          <w:b/>
                          <w:bCs/>
                          <w:i w:val="0"/>
                          <w:iCs w:val="0"/>
                          <w:color w:val="auto"/>
                          <w:sz w:val="20"/>
                          <w:szCs w:val="20"/>
                        </w:rPr>
                        <w:instrText xml:space="preserve"> SEQ Figure \* ARABIC </w:instrText>
                      </w:r>
                      <w:r w:rsidRPr="003F2161">
                        <w:rPr>
                          <w:rFonts w:asciiTheme="majorBidi" w:hAnsiTheme="majorBidi" w:cstheme="majorBidi"/>
                          <w:b/>
                          <w:bCs/>
                          <w:i w:val="0"/>
                          <w:iCs w:val="0"/>
                          <w:color w:val="auto"/>
                          <w:sz w:val="20"/>
                          <w:szCs w:val="20"/>
                        </w:rPr>
                        <w:fldChar w:fldCharType="separate"/>
                      </w:r>
                      <w:r w:rsidR="008D1E2C">
                        <w:rPr>
                          <w:rFonts w:asciiTheme="majorBidi" w:hAnsiTheme="majorBidi" w:cstheme="majorBidi"/>
                          <w:b/>
                          <w:bCs/>
                          <w:i w:val="0"/>
                          <w:iCs w:val="0"/>
                          <w:noProof/>
                          <w:color w:val="auto"/>
                          <w:sz w:val="20"/>
                          <w:szCs w:val="20"/>
                        </w:rPr>
                        <w:t>10</w:t>
                      </w:r>
                      <w:r w:rsidRPr="003F2161">
                        <w:rPr>
                          <w:rFonts w:asciiTheme="majorBidi" w:hAnsiTheme="majorBidi" w:cstheme="majorBidi"/>
                          <w:b/>
                          <w:bCs/>
                          <w:i w:val="0"/>
                          <w:iCs w:val="0"/>
                          <w:color w:val="auto"/>
                          <w:sz w:val="20"/>
                          <w:szCs w:val="20"/>
                        </w:rPr>
                        <w:fldChar w:fldCharType="end"/>
                      </w:r>
                      <w:bookmarkEnd w:id="26"/>
                      <w:r w:rsidRPr="003F2161">
                        <w:rPr>
                          <w:rFonts w:asciiTheme="majorBidi" w:hAnsiTheme="majorBidi" w:cstheme="majorBidi"/>
                          <w:b/>
                          <w:bCs/>
                          <w:i w:val="0"/>
                          <w:iCs w:val="0"/>
                          <w:color w:val="auto"/>
                          <w:sz w:val="20"/>
                          <w:szCs w:val="20"/>
                        </w:rPr>
                        <w:t>. Role of</w:t>
                      </w:r>
                      <w:r>
                        <w:rPr>
                          <w:rFonts w:asciiTheme="majorBidi" w:hAnsiTheme="majorBidi" w:cstheme="majorBidi"/>
                          <w:b/>
                          <w:bCs/>
                          <w:i w:val="0"/>
                          <w:iCs w:val="0"/>
                          <w:color w:val="auto"/>
                          <w:sz w:val="20"/>
                          <w:szCs w:val="20"/>
                        </w:rPr>
                        <w:t xml:space="preserve"> Blockchain in Super Smart Grid [24].</w:t>
                      </w:r>
                    </w:p>
                  </w:txbxContent>
                </v:textbox>
                <w10:wrap type="square"/>
              </v:shape>
            </w:pict>
          </mc:Fallback>
        </mc:AlternateContent>
      </w:r>
    </w:p>
    <w:p w14:paraId="4709FFEC" w14:textId="6D57D8CE" w:rsidR="004C6214" w:rsidRPr="003676D3" w:rsidRDefault="004C6214" w:rsidP="003676D3">
      <w:pPr>
        <w:spacing w:line="276" w:lineRule="auto"/>
        <w:jc w:val="both"/>
        <w:rPr>
          <w:rFonts w:ascii="Times New Roman" w:hAnsi="Times New Roman" w:cs="Times New Roman"/>
          <w:sz w:val="24"/>
          <w:szCs w:val="24"/>
        </w:rPr>
      </w:pPr>
    </w:p>
    <w:p w14:paraId="57F2EDD1" w14:textId="06523FF0" w:rsidR="003F2161" w:rsidRPr="003676D3" w:rsidRDefault="0049516E"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To manage a crowdsourced energy system, an optimised blockchain architecture is presented in </w:t>
      </w:r>
      <w:r w:rsidRPr="003676D3">
        <w:rPr>
          <w:rFonts w:ascii="Times New Roman" w:hAnsi="Times New Roman" w:cs="Times New Roman"/>
          <w:sz w:val="24"/>
          <w:szCs w:val="24"/>
        </w:rPr>
        <w:fldChar w:fldCharType="begin" w:fldLock="1"/>
      </w:r>
      <w:r w:rsidRPr="003676D3">
        <w:rPr>
          <w:rFonts w:ascii="Times New Roman" w:hAnsi="Times New Roman" w:cs="Times New Roman"/>
          <w:sz w:val="24"/>
          <w:szCs w:val="24"/>
        </w:rPr>
        <w:instrText>ADDIN CSL_CITATION {"citationItems":[{"id":"ITEM-1","itemData":{"DOI":"10.1109/TSMC.2019.2916565","ISSN":"21682232","abstract":"The power grid is rapidly transforming, and while recent grid innovations increased the utilization of advanced control methods, the next-generation grid demands technologies that enable the integration of distributed energy resources (DERs) - and consumers that both seamlessly buy and sell electricity. This paper develops an optimization model and blockchain-based architecture to manage the operation of crowdsourced energy systems (CESs), with peer-to-peer (P2P) energy trading transactions (ETTs). An operational model of CESs in distribution networks is presented considering various types of ETT and crowdsourcees. Then, a two-phase operation algorithm is presented: Phase I focuses on the day-ahead scheduling of generation and controllable DERs, whereas Phase II is developed for hour-ahead or real-time operation of distribution networks. The developed approach supports seamless P2P energy trading between individual prosumers and/or the utility. The presented operational model can also be used to operate islanded microgrids. The CES framework and the operation algorithm are then prototyped through an efficient blockchain implementation, namely, the IBM Hyperledger Fabric. This implementation allows the system operator to manage the network users to seamlessly trade energy. Case studies and prototype illustration are provided.","author":[{"dropping-particle":"","family":"Wang","given":"Shen","non-dropping-particle":"","parse-names":false,"suffix":""},{"dropping-particle":"","family":"Taha","given":"Ahmad F.","non-dropping-particle":"","parse-names":false,"suffix":""},{"dropping-particle":"","family":"Wang","given":"Jianhui","non-dropping-particle":"","parse-names":false,"suffix":""},{"dropping-particle":"","family":"Kvaternik","given":"Karla","non-dropping-particle":"","parse-names":false,"suffix":""},{"dropping-particle":"","family":"Hahn","given":"Adam","non-dropping-particle":"","parse-names":false,"suffix":""}],"container-title":"IEEE Transactions on Systems, Man, and Cybernetics: Systems","id":"ITEM-1","issue":"8","issued":{"date-parts":[["2019","8","1"]]},"page":"1612-1623","publisher":"Institute of Electrical and Electronics Engineers Inc.","title":"Energy Crowdsourcing and Peer-to-Peer Energy Trading in Blockchain-Enabled Smart Grids","type":"article-journal","volume":"49"},"uris":["http://www.mendeley.com/documents/?uuid=1b1fee9d-9d5f-385a-a8a2-333d88a67c4b"]}],"mendeley":{"formattedCitation":"[185]","plainTextFormattedCitation":"[185]","previouslyFormattedCitation":"[185]"},"properties":{"noteIndex":0},"schema":"https://github.com/citation-style-language/schema/raw/master/csl-citation.json"}</w:instrText>
      </w:r>
      <w:r w:rsidRPr="003676D3">
        <w:rPr>
          <w:rFonts w:ascii="Times New Roman" w:hAnsi="Times New Roman" w:cs="Times New Roman"/>
          <w:sz w:val="24"/>
          <w:szCs w:val="24"/>
        </w:rPr>
        <w:fldChar w:fldCharType="separate"/>
      </w:r>
      <w:r w:rsidRPr="003676D3">
        <w:rPr>
          <w:rFonts w:ascii="Times New Roman" w:hAnsi="Times New Roman" w:cs="Times New Roman"/>
          <w:noProof/>
          <w:sz w:val="24"/>
          <w:szCs w:val="24"/>
        </w:rPr>
        <w:t>[185]</w:t>
      </w:r>
      <w:r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for seamless peer-to-peer energy transferring as well as to operate islanded microgrids. This operation algorithm is prototyped through IBM Hyperledger Fabric, an efficient blockchain implementation. Blockchain technology plays a crucial role in virtual power plants (VPPs) by facilitating real-time energy trading through smart contracts. These contracts enable secure, transparent transactions and reflect supply and demand information, allowing for efficient two-way selection under information symmetry. Blockchain helps set fair electricity prices, reduces trust costs, i</w:t>
      </w:r>
      <w:r w:rsidR="00624232" w:rsidRPr="003676D3">
        <w:rPr>
          <w:rFonts w:ascii="Times New Roman" w:hAnsi="Times New Roman" w:cs="Times New Roman"/>
          <w:sz w:val="24"/>
          <w:szCs w:val="24"/>
        </w:rPr>
        <w:t xml:space="preserve">mproves trading efficiency, </w:t>
      </w:r>
      <w:r w:rsidRPr="003676D3">
        <w:rPr>
          <w:rFonts w:ascii="Times New Roman" w:hAnsi="Times New Roman" w:cs="Times New Roman"/>
          <w:sz w:val="24"/>
          <w:szCs w:val="24"/>
        </w:rPr>
        <w:t>enhances the and scheduling of distributed energy resources</w:t>
      </w:r>
      <w:r w:rsidR="00624232" w:rsidRPr="003676D3">
        <w:rPr>
          <w:rFonts w:ascii="Times New Roman" w:hAnsi="Times New Roman" w:cs="Times New Roman"/>
          <w:sz w:val="24"/>
          <w:szCs w:val="24"/>
        </w:rPr>
        <w:t xml:space="preserve"> and their coordinated control </w:t>
      </w:r>
      <w:r w:rsidRPr="003676D3">
        <w:rPr>
          <w:rFonts w:ascii="Times New Roman" w:hAnsi="Times New Roman" w:cs="Times New Roman"/>
          <w:sz w:val="24"/>
          <w:szCs w:val="24"/>
        </w:rPr>
        <w:t xml:space="preserve">within VPPs </w:t>
      </w:r>
      <w:r w:rsidRPr="003676D3">
        <w:rPr>
          <w:rFonts w:ascii="Times New Roman" w:hAnsi="Times New Roman" w:cs="Times New Roman"/>
          <w:sz w:val="24"/>
          <w:szCs w:val="24"/>
        </w:rPr>
        <w:fldChar w:fldCharType="begin" w:fldLock="1"/>
      </w:r>
      <w:r w:rsidR="003E3F7F" w:rsidRPr="003676D3">
        <w:rPr>
          <w:rFonts w:ascii="Times New Roman" w:hAnsi="Times New Roman" w:cs="Times New Roman"/>
          <w:sz w:val="24"/>
          <w:szCs w:val="24"/>
        </w:rPr>
        <w:instrText>ADDIN CSL_CITATION {"citationItems":[{"id":"ITEM-1","itemData":{"DOI":"10.1111/COIN.12388","ISSN":"14678640","abstract":"The energy system is evolving from smart grid to energy Internet. Virtual power plant (VPP), as an important part of the energy Internet, plays an important role in the distributed energy generation and trading. In this article, a blockchain‐based VPP transaction model is established for the future energy Internet driven by real‐time electricity price. Then the smart contracts for distributed energy trading in VPPs using blockchain technology are proposed, and the key technological difficulties are analyzed and the solutions are given. Experiments show that the proposed model can reflect the supply and demand information in real time, so that two‐way selection can be carried out under the condition of information symmetry when distributed energy is connected to the grid. If our method is applied, we can help distributed energy suppliers set electricity prices, reduce the trust cost and improve the energy trading efficiency. Also, we can help the distributed energy voluntarily participate in VPPs and joint maintain the system, then solve the problem of VPP's coordinated control and scheduling of distributed energy resources.","author":[{"dropping-particle":"","family":"Lu","given":"Jing","non-dropping-particle":"","parse-names":false,"suffix":""},{"dropping-particle":"","family":"Wu","given":"Shihong","non-dropping-particle":"","parse-names":false,"suffix":""},{"dropping-particle":"","family":"Cheng","given":"Hanlei","non-dropping-particle":"","parse-names":false,"suffix":""},{"dropping-particle":"","family":"Xiang","given":"Zhiyu","non-dropping-particle":"","parse-names":false,"suffix":""}],"container-title":"Computational Intelligence","id":"ITEM-1","issue":"3","issued":{"date-parts":[["2021","8","1"]]},"page":"1445-1455","publisher":"John Wiley and Sons Inc","title":"Smart contract for distributed energy trading in virtual power plants based on blockchain","type":"article-journal","volume":"37"},"uris":["http://www.mendeley.com/documents/?uuid=75cee756-74ba-337a-8ebe-7e1b6279c605"]},{"id":"ITEM-2","itemData":{"DOI":"10.1016/j.apenergy.2017.05.066","ISSN":"03062619","abstract":"Future distribution systems will accommodate an increasing share of distributed energy resources (DERs). Facing with this new reality, virtual power plants (VPPs) play a key role to aggregate DERs with the aim of facilitating their involvement in wholesale electricity markets. In this paper, the trading strategies of a VPP in cooperation with its neighboring VPPs are addressed. Toward this aim, a portfolio of inter-regional contracts is considered to model this cooperation and maximize the energy trade opportunities of the VPP within a medium-term horizon. To hedge against profit variability caused by market price uncertainties, two efficient risk management approaches are also implemented in the VPP decision-making problem based on the concepts of conditional value at risk (CVaR) and second-order stochastic dominance constraints (SSD). The resulting models are formulated as mixed-integer linear programming (MILP) problems that can be solved using off-the-shelf software packages. The efficiency of the proposed risk-hedging models is analyzed through a detailed case study, and thereby relevant conclusions are drawn.","author":[{"dropping-particle":"","family":"Shabanzadeh","given":"Morteza","non-dropping-particle":"","parse-names":false,"suffix":""},{"dropping-particle":"","family":"Sheikh-El-Eslami","given":"Mohammad Kazem","non-dropping-particle":"","parse-names":false,"suffix":""},{"dropping-particle":"","family":"Haghifam","given":"Mahmoud Reza","non-dropping-particle":"","parse-names":false,"suffix":""}],"container-title":"Applied Energy","id":"ITEM-2","issued":{"date-parts":[["2017"]]},"title":"An interactive cooperation model for neighboring virtual power plants","type":"article-journal"},"uris":["http://www.mendeley.com/documents/?uuid=ab793567-7078-46b4-b6ee-c76cac590473"]},{"id":"ITEM-3","itemData":{"DOI":"10.1016/j.epsr.2017.04.010","ISSN":"03787796","abstract":"Virtual power plants are an integral part of advanced power systems providing different ancillary services. This paper presents a case study of an operational virtual power plant communication system providing manual Frequency Restoration Reserve service to the transmission system operator, aggregating two Distributed Energy Resources: a refinery facility with steam turbines and diesel generator sets, and a paper mill plant with an available flexible capacity of 30 MW in total. The study is based on the communication traffic data captured during the virtual power plant live operation over a one-month period with fourteen fully automatic activations. The study analyzes selected communication quality of service parameters—in particular, latency, packet loss, retransmissions, bandwidth, amount of traffic, and message patterns of the IEC 60870-5-104 protocol.","author":[{"dropping-particle":"","family":"Kolenc","given":"Mitja","non-dropping-particle":"","parse-names":false,"suffix":""},{"dropping-particle":"","family":"Nemček","given":"Peter","non-dropping-particle":"","parse-names":false,"suffix":""},{"dropping-particle":"","family":"Gutschi","given":"Christoph","non-dropping-particle":"","parse-names":false,"suffix":""},{"dropping-particle":"","family":"Suljanović","given":"Nermin","non-dropping-particle":"","parse-names":false,"suffix":""},{"dropping-particle":"","family":"Zajc","given":"Matej","non-dropping-particle":"","parse-names":false,"suffix":""}],"container-title":"Electric Power Systems Research","id":"ITEM-3","issued":{"date-parts":[["2017"]]},"title":"Performance evaluation of a virtual power plant communication system providing ancillary services","type":"article-journal"},"uris":["http://www.mendeley.com/documents/?uuid=58b46b08-39cb-4dda-9686-ac7e8648f778"]}],"mendeley":{"formattedCitation":"[116,186,187]","plainTextFormattedCitation":"[116,186,187]","previouslyFormattedCitation":"[116,186,187]"},"properties":{"noteIndex":0},"schema":"https://github.com/citation-style-language/schema/raw/master/csl-citation.json"}</w:instrText>
      </w:r>
      <w:r w:rsidRPr="003676D3">
        <w:rPr>
          <w:rFonts w:ascii="Times New Roman" w:hAnsi="Times New Roman" w:cs="Times New Roman"/>
          <w:sz w:val="24"/>
          <w:szCs w:val="24"/>
        </w:rPr>
        <w:fldChar w:fldCharType="separate"/>
      </w:r>
      <w:r w:rsidRPr="003676D3">
        <w:rPr>
          <w:rFonts w:ascii="Times New Roman" w:hAnsi="Times New Roman" w:cs="Times New Roman"/>
          <w:noProof/>
          <w:sz w:val="24"/>
          <w:szCs w:val="24"/>
        </w:rPr>
        <w:t>[116,186,187]</w:t>
      </w:r>
      <w:r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r w:rsidR="00CC49AF" w:rsidRPr="003676D3">
        <w:rPr>
          <w:rFonts w:ascii="Times New Roman" w:hAnsi="Times New Roman" w:cs="Times New Roman"/>
          <w:sz w:val="24"/>
          <w:szCs w:val="24"/>
        </w:rPr>
        <w:t xml:space="preserve"> </w:t>
      </w:r>
      <w:r w:rsidR="003F2161" w:rsidRPr="003676D3">
        <w:rPr>
          <w:rFonts w:ascii="Times New Roman" w:hAnsi="Times New Roman" w:cs="Times New Roman"/>
          <w:sz w:val="24"/>
          <w:szCs w:val="24"/>
        </w:rPr>
        <w:t xml:space="preserve"> </w:t>
      </w:r>
    </w:p>
    <w:p w14:paraId="178D41A1" w14:textId="0CF4FB04" w:rsidR="00CC49AF" w:rsidRPr="003676D3" w:rsidRDefault="00CC49AF" w:rsidP="004B1918">
      <w:pPr>
        <w:pStyle w:val="Caption"/>
        <w:keepNext/>
        <w:spacing w:line="276" w:lineRule="auto"/>
        <w:jc w:val="center"/>
        <w:rPr>
          <w:rFonts w:ascii="Times New Roman" w:hAnsi="Times New Roman" w:cs="Times New Roman"/>
          <w:b/>
          <w:bCs/>
          <w:i w:val="0"/>
          <w:iCs w:val="0"/>
          <w:color w:val="auto"/>
          <w:sz w:val="20"/>
          <w:szCs w:val="20"/>
        </w:rPr>
      </w:pPr>
      <w:bookmarkStart w:id="27" w:name="_Ref168484028"/>
      <w:r w:rsidRPr="003676D3">
        <w:rPr>
          <w:rFonts w:ascii="Times New Roman" w:hAnsi="Times New Roman" w:cs="Times New Roman"/>
          <w:b/>
          <w:bCs/>
          <w:i w:val="0"/>
          <w:iCs w:val="0"/>
          <w:color w:val="auto"/>
          <w:sz w:val="20"/>
          <w:szCs w:val="20"/>
        </w:rPr>
        <w:lastRenderedPageBreak/>
        <w:t xml:space="preserve">Table </w:t>
      </w:r>
      <w:r w:rsidRPr="003676D3">
        <w:rPr>
          <w:rFonts w:ascii="Times New Roman" w:hAnsi="Times New Roman" w:cs="Times New Roman"/>
          <w:b/>
          <w:bCs/>
          <w:i w:val="0"/>
          <w:iCs w:val="0"/>
          <w:color w:val="auto"/>
          <w:sz w:val="20"/>
          <w:szCs w:val="20"/>
        </w:rPr>
        <w:fldChar w:fldCharType="begin"/>
      </w:r>
      <w:r w:rsidRPr="003676D3">
        <w:rPr>
          <w:rFonts w:ascii="Times New Roman" w:hAnsi="Times New Roman" w:cs="Times New Roman"/>
          <w:b/>
          <w:bCs/>
          <w:i w:val="0"/>
          <w:iCs w:val="0"/>
          <w:color w:val="auto"/>
          <w:sz w:val="20"/>
          <w:szCs w:val="20"/>
        </w:rPr>
        <w:instrText xml:space="preserve"> SEQ Table \* ARABIC </w:instrText>
      </w:r>
      <w:r w:rsidRPr="003676D3">
        <w:rPr>
          <w:rFonts w:ascii="Times New Roman" w:hAnsi="Times New Roman" w:cs="Times New Roman"/>
          <w:b/>
          <w:bCs/>
          <w:i w:val="0"/>
          <w:iCs w:val="0"/>
          <w:color w:val="auto"/>
          <w:sz w:val="20"/>
          <w:szCs w:val="20"/>
        </w:rPr>
        <w:fldChar w:fldCharType="separate"/>
      </w:r>
      <w:r w:rsidR="008D1E2C" w:rsidRPr="003676D3">
        <w:rPr>
          <w:rFonts w:ascii="Times New Roman" w:hAnsi="Times New Roman" w:cs="Times New Roman"/>
          <w:b/>
          <w:bCs/>
          <w:i w:val="0"/>
          <w:iCs w:val="0"/>
          <w:noProof/>
          <w:color w:val="auto"/>
          <w:sz w:val="20"/>
          <w:szCs w:val="20"/>
        </w:rPr>
        <w:t>4</w:t>
      </w:r>
      <w:r w:rsidRPr="003676D3">
        <w:rPr>
          <w:rFonts w:ascii="Times New Roman" w:hAnsi="Times New Roman" w:cs="Times New Roman"/>
          <w:b/>
          <w:bCs/>
          <w:i w:val="0"/>
          <w:iCs w:val="0"/>
          <w:color w:val="auto"/>
          <w:sz w:val="20"/>
          <w:szCs w:val="20"/>
        </w:rPr>
        <w:fldChar w:fldCharType="end"/>
      </w:r>
      <w:r w:rsidRPr="003676D3">
        <w:rPr>
          <w:rFonts w:ascii="Times New Roman" w:hAnsi="Times New Roman" w:cs="Times New Roman"/>
          <w:b/>
          <w:bCs/>
          <w:i w:val="0"/>
          <w:iCs w:val="0"/>
          <w:color w:val="auto"/>
          <w:sz w:val="20"/>
          <w:szCs w:val="20"/>
        </w:rPr>
        <w:t>. Summary of research papers within the domain of enabling technologies, SG and SSG.</w:t>
      </w:r>
      <w:bookmarkEnd w:id="27"/>
    </w:p>
    <w:tbl>
      <w:tblPr>
        <w:tblStyle w:val="GridTable4-Accent1"/>
        <w:tblW w:w="5000" w:type="pct"/>
        <w:tblLook w:val="04A0" w:firstRow="1" w:lastRow="0" w:firstColumn="1" w:lastColumn="0" w:noHBand="0" w:noVBand="1"/>
      </w:tblPr>
      <w:tblGrid>
        <w:gridCol w:w="1071"/>
        <w:gridCol w:w="669"/>
        <w:gridCol w:w="7276"/>
      </w:tblGrid>
      <w:tr w:rsidR="00C312C2" w:rsidRPr="003676D3" w14:paraId="5481520F" w14:textId="77777777" w:rsidTr="00312D2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605913A0" w14:textId="77777777" w:rsidR="00CC49AF" w:rsidRPr="003676D3" w:rsidRDefault="00CC49AF" w:rsidP="003676D3">
            <w:pPr>
              <w:spacing w:line="276" w:lineRule="auto"/>
              <w:jc w:val="both"/>
              <w:rPr>
                <w:rFonts w:ascii="Times New Roman" w:hAnsi="Times New Roman" w:cs="Times New Roman"/>
                <w:color w:val="auto"/>
                <w:sz w:val="20"/>
                <w:szCs w:val="20"/>
              </w:rPr>
            </w:pPr>
            <w:r w:rsidRPr="003676D3">
              <w:rPr>
                <w:rFonts w:ascii="Times New Roman" w:hAnsi="Times New Roman" w:cs="Times New Roman"/>
                <w:color w:val="auto"/>
                <w:sz w:val="20"/>
                <w:szCs w:val="20"/>
              </w:rPr>
              <w:t>Reference</w:t>
            </w:r>
          </w:p>
        </w:tc>
        <w:tc>
          <w:tcPr>
            <w:tcW w:w="371" w:type="pct"/>
            <w:vAlign w:val="center"/>
          </w:tcPr>
          <w:p w14:paraId="5452BC29" w14:textId="77777777" w:rsidR="00CC49AF" w:rsidRPr="003676D3" w:rsidRDefault="00CC49AF"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Year</w:t>
            </w:r>
          </w:p>
        </w:tc>
        <w:tc>
          <w:tcPr>
            <w:tcW w:w="4035" w:type="pct"/>
            <w:vAlign w:val="center"/>
          </w:tcPr>
          <w:p w14:paraId="05096556" w14:textId="13AE9DEC" w:rsidR="00CC49AF" w:rsidRPr="003676D3" w:rsidRDefault="00CC49AF" w:rsidP="003676D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76D3">
              <w:rPr>
                <w:rFonts w:ascii="Times New Roman" w:hAnsi="Times New Roman" w:cs="Times New Roman"/>
                <w:color w:val="auto"/>
                <w:sz w:val="20"/>
                <w:szCs w:val="20"/>
              </w:rPr>
              <w:t>Scope of research</w:t>
            </w:r>
          </w:p>
        </w:tc>
      </w:tr>
      <w:tr w:rsidR="00C312C2" w:rsidRPr="003676D3" w14:paraId="476F0B39"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0035DDAC" w14:textId="413EFBBB"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{"citationItems":[{"id":"ITEM-1","itemData":{"DOI":"10.1016/J.SCS.2017.12.041","ISSN":"22106707","abstract":"In this paper, we present a comprehensive survey of privacy-preserving schemes for smart grid communications. Specifically, we select and in-detail examine thirty-two privacy preserving schemes developed for or applied in the context of smart grids. Based on both communication and system models, we classify these schemes that are published between 2013 and 2017, in five categories, including, (1) smart grid with advanced metering infrastructure, (2) data aggregation, (3) smart grid marketing architecture, (4) smart community of home gateways, and (5) vehicle-to grid architecture. For each scheme, we survey attacks of leaking privacy, countermeasures, and game theoretic approaches. In addition, we review survey articles published in the recent years that deal with smart grids communications, applications, standardization, and security. Based on the current survey, several recommendations for further research are discussed at the end of this paper.","author":[{"dropping-particle":"","family":"Ferrag","given":"Mohamed Amine","non-dropping-particle":"","parse-names":false,"suffix":""},{"dropping-particle":"","family":"Maglaras","given":"Leandros A.","non-dropping-particle":"","parse-names":false,"suffix":""},{"dropping-particle":"","family":"Janicke","given":"Helge","non-dropping-particle":"","parse-names":false,"suffix":""},{"dropping-particle":"","family":"Jiang","given":"Jianmin","non-dropping-particle":"","parse-names":false,"suffix":""},{"dropping-particle":"","family":"Shu","given":"Lei","non-dropping-particle":"","parse-names":false,"suffix":""}],"container-title":"Sustainable Cities and Society","id":"ITEM-1","issued":{"date-parts":[["2018","4","1"]]},"page":"806-835","publisher":"Elsevier Ltd","title":"A systematic review of data protection and privacy preservation schemes for smart grid communications","type":"article-journal","volume":"38"},"uris":["http://www.mendeley.com/documents/?uuid=82779607-be35-38ec-b554-72fd30e8203b"]}],"mendeley":{"formattedCitation":"[188]","plainTextFormattedCitation":"[188]","previouslyFormattedCitation":"[188]"},"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[188]</w:t>
            </w:r>
            <w:r w:rsidRPr="003676D3">
              <w:rPr>
                <w:rFonts w:ascii="Times New Roman" w:hAnsi="Times New Roman" w:cs="Times New Roman"/>
                <w:sz w:val="20"/>
                <w:szCs w:val="20"/>
              </w:rPr>
              <w:fldChar w:fldCharType="end"/>
            </w:r>
          </w:p>
        </w:tc>
        <w:tc>
          <w:tcPr>
            <w:tcW w:w="371" w:type="pct"/>
            <w:vAlign w:val="center"/>
          </w:tcPr>
          <w:p w14:paraId="2D85C941"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2018</w:t>
            </w:r>
          </w:p>
        </w:tc>
        <w:tc>
          <w:tcPr>
            <w:tcW w:w="4035" w:type="pct"/>
            <w:vAlign w:val="center"/>
          </w:tcPr>
          <w:p w14:paraId="00869E2E"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Survey privacy preserving schemes, leaking privacy attack, countermeasures, and game theory approach. Also reviewed SG communications, standards, applications and security.</w:t>
            </w:r>
          </w:p>
        </w:tc>
      </w:tr>
      <w:tr w:rsidR="00C312C2" w:rsidRPr="003676D3" w14:paraId="619ECF5C"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0A0E729D" w14:textId="14036E8E"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{"citationItems":[{"id":"ITEM-1","itemData":{"DOI":"10.1109/ACCESS.2019.2896108","ISSN":"21693536","abstract":"The past decade has witnessed the rapid evolution in blockchain technologies, which has attracted tremendous interests from both the research communities and industries. The blockchain network was originated from the Internet financial sector as a decentralized, immutable ledger system for transactional data ordering. Nowadays, it is envisioned as a powerful backbone/framework for decentralized data processing and data-driven self-organization in flat, open-access networks. In particular, the plausible characteristics of decentralization, immutability, and self-organization are primarily owing to the unique decentralized consensus mechanisms introduced by blockchain networks. This survey is motivated by the lack of a comprehensive literature review on the development of decentralized consensus mechanisms in blockchain networks. In this paper, we provide a systematic vision of the organization of blockchain networks. By emphasizing the unique characteristics of decentralized consensus in blockchain networks, our in-depth review of the state-of-the-art consensus protocols is focused on both the perspective of distributed consensus system design and the perspective of incentive mechanism design. From a game-theoretic point of view, we also provide a thorough review of the strategy adopted for self-organization by the individual nodes in the blockchain backbone networks. Consequently, we provide a comprehensive survey of the emerging applications of blockchain networks in a broad area of telecommunication. We highlight our special interest in how the consensus mechanisms impact these applications. Finally, we discuss several open issues in the protocol design for blockchain consensus and the related potential research directions.","author":[{"dropping-particle":"","family":"Wang","given":"Wenbo","non-dropping-particle":"","parse-names":false,"suffix":""},{"dropping-particle":"","family":"Hoang","given":"Dinh Thai","non-dropping-particle":"","parse-names":false,"suffix":""},{"dropping-particle":"","family":"Hu","given":"Peizhao","non-dropping-particle":"","parse-names":false,"suffix":""},{"dropping-particle":"","family":"Xiong","given":"Zehui","non-dropping-particle":"","parse-names":false,"suffix":""},{"dropping-particle":"","family":"Niyato","given":"Dusit","non-dropping-particle":"","parse-names":false,"suffix":""},{"dropping-particle":"","family":"Wang","given":"Ping","non-dropping-particle":"","parse-names":false,"suffix":""},{"dropping-particle":"","family":"Wen","given":"Yonggang","non-dropping-particle":"","parse-names":false,"suffix":""},{"dropping-particle":"","family":"Kim","given":"Dong In","non-dropping-particle":"","parse-names":false,"suffix":""}],"container-title":"IEEE Access","id":"ITEM-1","issued":{"date-parts":[["2018"]]},"page":"22328-22370","publisher":"Institute of Electrical and Electronics Engineers Inc.","title":"A Survey on Consensus Mechanisms and Mining Strategy Management in Blockchain Networks","type":"article-journal","volume":"7"},"uris":["http://www.mendeley.com/documents/?uuid=9c4c5690-8cf4-3ab1-83e2-793b287a0f6c"]}],"mendeley":{"formattedCitation":"[189]","plainTextFormattedCitation":"[189]","previouslyFormattedCitation":"[189]"},"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[189]</w:t>
            </w:r>
            <w:r w:rsidRPr="003676D3">
              <w:rPr>
                <w:rFonts w:ascii="Times New Roman" w:hAnsi="Times New Roman" w:cs="Times New Roman"/>
                <w:sz w:val="20"/>
                <w:szCs w:val="20"/>
              </w:rPr>
              <w:fldChar w:fldCharType="end"/>
            </w:r>
          </w:p>
        </w:tc>
        <w:tc>
          <w:tcPr>
            <w:tcW w:w="371" w:type="pct"/>
            <w:vAlign w:val="center"/>
          </w:tcPr>
          <w:p w14:paraId="674F9500"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2019</w:t>
            </w:r>
          </w:p>
        </w:tc>
        <w:tc>
          <w:tcPr>
            <w:tcW w:w="4035" w:type="pct"/>
            <w:vAlign w:val="center"/>
          </w:tcPr>
          <w:p w14:paraId="73140208"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Presented a review of game theory based incentive mechanisms in telecommunication within blockchain networks designed to motivate participants using consensus mechanisms.</w:t>
            </w:r>
          </w:p>
        </w:tc>
      </w:tr>
      <w:tr w:rsidR="00C312C2" w:rsidRPr="003676D3" w14:paraId="7F51F4CE"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2485F057" w14:textId="05196DBC"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{"citationItems":[{"id":"ITEM-1","itemData":{"DOI":"10.1109/ACCESS.2019.2894819","ISSN":"21693536","abstract":"This paper conducts a comprehensive study on the application of big data and machine learning in the electrical power grid introduced through the emergence of the next-generation power system - the smart grid (SG). Connectivity lies at the core of this new grid infrastructure, which is provided by the Internet of Things (IoT). This connectivity, and constant communication required in this system, also introduced a massive data volume that demands techniques far superior to conventional methods for proper analysis and decision-making. The IoT-integrated SG system can provide efficient load forecasting and data acquisition technique along with cost-effectiveness. Big data analysis and machine learning techniques are essential to reaping these benefits. In the complex connected system of SG, cyber security becomes a critical issue; IoT devices and their data turning into major targets of attacks. Such security concerns and their solutions are also included in this paper. Key information obtained through literature review is tabulated in the corresponding sections to provide a clear synopsis; and the findings of this rigorous review are listed to give a concise picture of this area of study and promising future fields of academic and industrial research, with current limitations with viable solutions along with their effectiveness.","author":[{"dropping-particle":"","family":"Hossain","given":"Eklas","non-dropping-particle":"","parse-names":false,"suffix":""},{"dropping-particle":"","family":"Khan","given":"Imtiaj","non-dropping-particle":"","parse-names":false,"suffix":""},{"dropping-particle":"","family":"Un-Noor","given":"Fuad","non-dropping-particle":"","parse-names":false,"suffix":""},{"dropping-particle":"","family":"Sikander","given":"Sarder Shazali","non-dropping-particle":"","parse-names":false,"suffix":""},{"dropping-particle":"","family":"Sunny","given":"Md Samiul Haque","non-dropping-particle":"","parse-names":false,"suffix":""}],"container-title":"IEEE Access","id":"ITEM-1","issued":{"date-parts":[["2019"]]},"page":"13960-13988","publisher":"Institute of Electrical and Electronics Engineers Inc.","title":"Application of Big Data and Machine Learning in Smart Grid, and Associated Security Concerns: A Review","type":"article-journal","volume":"7"},"uris":["http://www.mendeley.com/documents/?uuid=9558debd-dc83-3f37-81bf-7184785d0f07"]}],"mendeley":{"formattedCitation":"[190]","plainTextFormattedCitation":"[190]","previouslyFormattedCitation":"[190]"},"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[190]</w:t>
            </w:r>
            <w:r w:rsidRPr="003676D3">
              <w:rPr>
                <w:rFonts w:ascii="Times New Roman" w:hAnsi="Times New Roman" w:cs="Times New Roman"/>
                <w:sz w:val="20"/>
                <w:szCs w:val="20"/>
              </w:rPr>
              <w:fldChar w:fldCharType="end"/>
            </w:r>
          </w:p>
        </w:tc>
        <w:tc>
          <w:tcPr>
            <w:tcW w:w="371" w:type="pct"/>
            <w:vAlign w:val="center"/>
          </w:tcPr>
          <w:p w14:paraId="4161ED02"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2019</w:t>
            </w:r>
          </w:p>
        </w:tc>
        <w:tc>
          <w:tcPr>
            <w:tcW w:w="4035" w:type="pct"/>
            <w:vAlign w:val="center"/>
          </w:tcPr>
          <w:p w14:paraId="5524C978" w14:textId="7C6AE2D6" w:rsidR="00CC49AF" w:rsidRPr="003676D3" w:rsidRDefault="00CC49AF" w:rsidP="003676D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 xml:space="preserve">Presented a review on the application of </w:t>
            </w:r>
            <w:r w:rsidR="00F80674" w:rsidRPr="003676D3">
              <w:rPr>
                <w:rFonts w:ascii="Times New Roman" w:hAnsi="Times New Roman" w:cs="Times New Roman"/>
                <w:sz w:val="20"/>
                <w:szCs w:val="20"/>
              </w:rPr>
              <w:t xml:space="preserve">big data analytics and </w:t>
            </w:r>
            <w:r w:rsidRPr="003676D3">
              <w:rPr>
                <w:rFonts w:ascii="Times New Roman" w:hAnsi="Times New Roman" w:cs="Times New Roman"/>
                <w:sz w:val="20"/>
                <w:szCs w:val="20"/>
              </w:rPr>
              <w:t>machine learning</w:t>
            </w:r>
            <w:r w:rsidR="00F80674" w:rsidRPr="003676D3">
              <w:rPr>
                <w:rFonts w:ascii="Times New Roman" w:hAnsi="Times New Roman" w:cs="Times New Roman"/>
                <w:sz w:val="20"/>
                <w:szCs w:val="20"/>
              </w:rPr>
              <w:t xml:space="preserve"> </w:t>
            </w:r>
            <w:r w:rsidRPr="003676D3">
              <w:rPr>
                <w:rFonts w:ascii="Times New Roman" w:hAnsi="Times New Roman" w:cs="Times New Roman"/>
                <w:sz w:val="20"/>
                <w:szCs w:val="20"/>
              </w:rPr>
              <w:t>in next generation of SG along with their application to load forecasting</w:t>
            </w:r>
          </w:p>
        </w:tc>
      </w:tr>
      <w:tr w:rsidR="00C312C2" w:rsidRPr="003676D3" w14:paraId="681F4222"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0629787A" w14:textId="1439D836"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{"citationItems":[{"id":"ITEM-1","itemData":{"DOI":"10.3390/S19224862","ISSN":"1424-8220","PMID":"31717262","abstract":"With the integration of Wireless Sensor Networks and the Internet of Things, the smart grid is being projected as a solution for the challenges regarding electricity supply in the future. However, security and privacy issues in the consumption and trading of electricity data pose serious challenges in the adoption of the smart grid. To address these challenges, blockchain technology is being researched for applicability in the smart grid. In this paper, important application areas of blockchain in the smart grid are discussed. One use case of each area is discussed in detail, suggesting a suitable blockchain architecture, a sample block structure and the potential blockchain technicalities employed in it. The blockchain can be used for peer-to-peer energy trading, where a credit-based payment scheme can enhance the energy trading process. Efficient data aggregation schemes based on the blockchain technology can be used to overcome the challenges related to privacy and security in the grid. Energy distribution systems can also use blockchain to remotely control energy flow to a particular area by monitoring the usage statistics of that area. Further, blockchain-based frameworks can also help in the diagnosis and maintenance of smart grid equipment. We also discuss several commercial implementations of blockchain in the smart grid. Finally, various challenges to be addressed for integrating these two technologies are discussed.","author":[{"dropping-particle":"","family":"Alladi","given":"Tejasvi","non-dropping-particle":"","parse-names":false,"suffix":""},{"dropping-particle":"","family":"Chamola","given":"Vinay","non-dropping-particle":"","parse-names":false,"suffix":""},{"dropping-particle":"","family":"Rodrigues","given":"Joel J.P.C.","non-dropping-particle":"","parse-names":false,"suffix":""},{"dropping-particle":"","family":"Kozlov","given":"Sergei A.","non-dropping-particle":"","parse-names":false,"suffix":""}],"container-title":"Sensors 2019, Vol. 19, Page 4862","id":"ITEM-1","issue":"22","issued":{"date-parts":[["2019","11","8"]]},"page":"4862","publisher":"Multidisciplinary Digital Publishing Institute","title":"Blockchain in Smart Grids: A Review on Different Use Cases","type":"article-journal","volume":"19"},"uris":["http://www.mendeley.com/documents/?uuid=1100848c-63aa-32c3-b47a-7b70f2a80d33"]}],"mendeley":{"formattedCitation":"[191]","plainTextFormattedCitation":"[191]","previouslyFormattedCitation":"[191]"},"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[191]</w:t>
            </w:r>
            <w:r w:rsidRPr="003676D3">
              <w:rPr>
                <w:rFonts w:ascii="Times New Roman" w:hAnsi="Times New Roman" w:cs="Times New Roman"/>
                <w:sz w:val="20"/>
                <w:szCs w:val="20"/>
              </w:rPr>
              <w:fldChar w:fldCharType="end"/>
            </w:r>
          </w:p>
        </w:tc>
        <w:tc>
          <w:tcPr>
            <w:tcW w:w="371" w:type="pct"/>
            <w:vAlign w:val="center"/>
          </w:tcPr>
          <w:p w14:paraId="7FFF9AB0"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2019</w:t>
            </w:r>
          </w:p>
        </w:tc>
        <w:tc>
          <w:tcPr>
            <w:tcW w:w="4035" w:type="pct"/>
            <w:vAlign w:val="center"/>
          </w:tcPr>
          <w:p w14:paraId="0BDE3EE3"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Explores blockchain applications in the SG, detailing its use in peer-to-peer energy trading, data privacy and security, energy distribution control, and equipment maintenance, while discussing commercial implementations and integration challenges.</w:t>
            </w:r>
          </w:p>
        </w:tc>
      </w:tr>
      <w:tr w:rsidR="00C312C2" w:rsidRPr="003676D3" w14:paraId="7590F41D"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123910FC" w14:textId="31F77449"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{"citationItems":[{"id":"ITEM-1","itemData":{"DOI":"10.3390/EN13112762","ISSN":"1996-1073","abstract":"Since the smart grid deals with a large mass of data and critical missions, it requires ubiquitous, reliable, and real-time communication. The Internet of Things (IoT) technology, which has the potential of connecting all objects over the globe through the Internet, excels in providing robust information transmission infrastructure in the smart grid. There are a multitude of possible protocols, standards, and configurations for communication in the smart grid. A commonly applied communication standard IEC 61850 recommends the use of Manufacturing Message Specification (MMS) protocol for communication in Local Area Network (LAN) and eXtensible Messaging and Presence Protocol (XMPP) in Wide Area Network (WAN). However, a plethora of research on this topic compares the behavior of other IoT protocols and standard recommendations in the smart grid. On the other hand, the sky-rocketing penetration of Renewable Energy Sources (RES), especially in the form of micro grid, transformed the central control structure of the smart grid into a distributed style called Multi-Agent Systems (MAS). This new approach defined new communication requirements and more particular IoT protocol characteristic requirements. However, a limited number of the existing studies have considered IoT protocol characteristic requirements of the smart grid and its new control structures. In this paper, we initially investigate the communication requirements of the smart grid and introduce all IoT protocols and their specifications. We analyze IoT protocol characteristics and performances in the smart grid through literature review based on the smart grid communication requirements. In this approach, we highlight weak points of these practices making them fail to acquire the holistic guidelines in utilizing proper IoT protocol that can meet the smart grid environment interaction requirements. Using the existing facilities, the public Internet, we follow the arrangement of cost-effective high penetration communication requirements for new structures of the smart grid, i.e., the MAS and multi-micro grid. In this case, we consider IoT protocol Quality of Services (QoS) requirements, especially in the case of security and reliability, to satisfy stakeholders, namely utilities and prosumers. Addressing effective elements in applying IoT in the smart grid’s future trends is another contribution to this paper.","author":[{"dropping-particle":"","family":"Tightiz","given":"Lilia","non-dropping-particle":"","parse-names":false,"suffix":""},{"dropping-particle":"","family":"Yang","given":"Hyosik","non-dropping-particle":"","parse-names":false,"suffix":""}],"container-title":"Energies 2020, Vol. 13, Page 2762","id":"ITEM-1","issue":"11","issued":{"date-parts":[["2020","6","1"]]},"page":"2762","publisher":"Multidisciplinary Digital Publishing Institute","title":"A Comprehensive Review on IoT Protocols’ Features in Smart Grid Communication","type":"article-journal","volume":"13"},"uris":["http://www.mendeley.com/documents/?uuid=20b43da8-a7ed-3a6f-a009-c7fd1b3b9ec2"]}],"mendeley":{"formattedCitation":"[192]","plainTextFormattedCitation":"[192]","previouslyFormattedCitation":"[192]"},"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[192]</w:t>
            </w:r>
            <w:r w:rsidRPr="003676D3">
              <w:rPr>
                <w:rFonts w:ascii="Times New Roman" w:hAnsi="Times New Roman" w:cs="Times New Roman"/>
                <w:sz w:val="20"/>
                <w:szCs w:val="20"/>
              </w:rPr>
              <w:fldChar w:fldCharType="end"/>
            </w:r>
          </w:p>
        </w:tc>
        <w:tc>
          <w:tcPr>
            <w:tcW w:w="371" w:type="pct"/>
            <w:vAlign w:val="center"/>
          </w:tcPr>
          <w:p w14:paraId="324D45FA"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2020</w:t>
            </w:r>
          </w:p>
        </w:tc>
        <w:tc>
          <w:tcPr>
            <w:tcW w:w="4035" w:type="pct"/>
            <w:vAlign w:val="center"/>
          </w:tcPr>
          <w:p w14:paraId="598244A9"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Examines smart grid communication needs, evaluates IoT protocols, identifies their shortcomings, and proposes cost-effective, high-penetration solutions while emphasizing security and reliability.</w:t>
            </w:r>
          </w:p>
        </w:tc>
      </w:tr>
      <w:tr w:rsidR="00C312C2" w:rsidRPr="003676D3" w14:paraId="2E9C2974"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54F1EBE1" w14:textId="4A0171C0"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{"citationItems":[{"id":"ITEM-1","itemData":{"DOI":"10.1109/ACCESS.2021.3058628","ISSN":"21693536","abstract":"Recent advances in the cyber-physical smart grid (CPSG) have enabled a broad range of new devices based on the information and communication technology (ICT). However, these ICT-enabled devices are susceptible to a growing threat of cyber-physical attacks. This paper performs a thorough review of the state-of-the-art cyber-physical security of the smart grid. By focusing on the physical layer of the CPSG, this paper provides an abstracted and unified state-space model, in which cyber-physical attack and defense models can be effectively generalized. The existing cyber-physical attacks are categorized in terms of their target components. We then discuss several operational and informational defense approaches that present the current state-of-the-art in the field, including moving target defense, watermarking, and data-driven approaches. Finally, we discuss challenges and future opportunities associated with the smart grid cyber-physical security.","author":[{"dropping-particle":"","family":"Zhang","given":"Hang","non-dropping-particle":"","parse-names":false,"suffix":""},{"dropping-particle":"","family":"Liu","given":"Bo","non-dropping-particle":"","parse-names":false,"suffix":""},{"dropping-particle":"","family":"Wu","given":"Hongyu","non-dropping-particle":"","parse-names":false,"suffix":""}],"container-title":"IEEE Access","id":"ITEM-1","issued":{"date-parts":[["2021"]]},"page":"29641-29659","publisher":"Institute of Electrical and Electronics Engineers Inc.","title":"Smart Grid Cyber-Physical Attack and Defense: A Review","type":"article-journal","volume":"9"},"uris":["http://www.mendeley.com/documents/?uuid=f41f7665-cebc-3fe8-94a6-d39148a1623a"]}],"mendeley":{"formattedCitation":"[193]","plainTextFormattedCitation":"[193]","previouslyFormattedCitation":"[193]"},"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[193]</w:t>
            </w:r>
            <w:r w:rsidRPr="003676D3">
              <w:rPr>
                <w:rFonts w:ascii="Times New Roman" w:hAnsi="Times New Roman" w:cs="Times New Roman"/>
                <w:sz w:val="20"/>
                <w:szCs w:val="20"/>
              </w:rPr>
              <w:fldChar w:fldCharType="end"/>
            </w:r>
          </w:p>
        </w:tc>
        <w:tc>
          <w:tcPr>
            <w:tcW w:w="371" w:type="pct"/>
            <w:vAlign w:val="center"/>
          </w:tcPr>
          <w:p w14:paraId="5FF2ED94"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2021</w:t>
            </w:r>
          </w:p>
        </w:tc>
        <w:tc>
          <w:tcPr>
            <w:tcW w:w="4035" w:type="pct"/>
            <w:vAlign w:val="center"/>
          </w:tcPr>
          <w:p w14:paraId="0591349D" w14:textId="3120EB4E"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 xml:space="preserve">Reviews cyber-physical security in SG, categorizing attacks, presenting </w:t>
            </w:r>
            <w:r w:rsidR="00ED5CE9" w:rsidRPr="003676D3">
              <w:rPr>
                <w:rFonts w:ascii="Times New Roman" w:hAnsi="Times New Roman" w:cs="Times New Roman"/>
                <w:sz w:val="20"/>
                <w:szCs w:val="20"/>
              </w:rPr>
              <w:t>defence</w:t>
            </w:r>
            <w:r w:rsidRPr="003676D3">
              <w:rPr>
                <w:rFonts w:ascii="Times New Roman" w:hAnsi="Times New Roman" w:cs="Times New Roman"/>
                <w:sz w:val="20"/>
                <w:szCs w:val="20"/>
              </w:rPr>
              <w:t xml:space="preserve"> strategies, and discussing future security challenges and opportunities.</w:t>
            </w:r>
          </w:p>
        </w:tc>
      </w:tr>
      <w:tr w:rsidR="00C312C2" w:rsidRPr="003676D3" w14:paraId="1FAAC086"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37EF0662" w14:textId="7AE21638"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{"citationItems":[{"id":"ITEM-1","itemData":{"DOI":"10.1080/23311916.2021.1935410","ISSN":"23311916","abstract":"The industrial and economic development of the industrialized countries, from the nineteenth century, has gone hand in hand with the development of electricity, the internal combustion engine, computers, the Internet, data use, and the intensive use of knowledge focused on science and the technology. Most conventional energy sources have proven to be finite and exhaustible. In turn, the different production activities of goods and services using fossil fuels and conventional energy have significantly increased the pollution of the environment, and with it, contributed to global warming. The objective of this work was to carry out a theoretical approach to data analytics and business intelligence technologies applied to smart electrical-system networks with renewable energies. For this paper, a bibliometric and bibliographic review about Big Data Analytics, ICT tools of industry 4.0 and Business intelligence was carried out in different databases available in the public domain. The results of the analysis indicate the importance of the use of data analytics and business intelligence in the management of energy companies. The paper concludes by pointing out how business intelligence and data analytics are being applied in specific examples of energy companies and their growing importance in strategic and operational decision-making.","author":[{"dropping-particle":"","family":"Colmenares-Quintero","given":"Ramón Fernando","non-dropping-particle":"","parse-names":false,"suffix":""},{"dropping-particle":"","family":"Quiroga-Parra","given":"Darío Jesús","non-dropping-particle":"","parse-names":false,"suffix":""},{"dropping-particle":"","family":"Rojas","given":"Natalia","non-dropping-particle":"","parse-names":false,"suffix":""},{"dropping-particle":"","family":"Stansfield","given":"Kim E.","non-dropping-particle":"","parse-names":false,"suffix":""},{"dropping-particle":"","family":"Colmenares-Quintero","given":"Juan Carlos","non-dropping-particle":"","parse-names":false,"suffix":""}],"container-title":"Cogent Engineering","id":"ITEM-1","issue":"1","issued":{"date-parts":[["2021"]]},"publisher":"Cogent OA","title":"Big Data analytics in Smart Grids for renewable energy networks: Systematic review of information and communication technology tools","type":"article-journal","volume":"8"},"uris":["http://www.mendeley.com/documents/?uuid=e9674a70-8cc1-341b-ab1f-999a81a068fe"]}],"mendeley":{"formattedCitation":"[194]","plainTextFormattedCitation":"[194]","previouslyFormattedCitation":"[194]"},"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[194]</w:t>
            </w:r>
            <w:r w:rsidRPr="003676D3">
              <w:rPr>
                <w:rFonts w:ascii="Times New Roman" w:hAnsi="Times New Roman" w:cs="Times New Roman"/>
                <w:sz w:val="20"/>
                <w:szCs w:val="20"/>
              </w:rPr>
              <w:fldChar w:fldCharType="end"/>
            </w:r>
          </w:p>
        </w:tc>
        <w:tc>
          <w:tcPr>
            <w:tcW w:w="371" w:type="pct"/>
            <w:vAlign w:val="center"/>
          </w:tcPr>
          <w:p w14:paraId="67D49CC4"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2021</w:t>
            </w:r>
          </w:p>
        </w:tc>
        <w:tc>
          <w:tcPr>
            <w:tcW w:w="4035" w:type="pct"/>
            <w:vAlign w:val="center"/>
          </w:tcPr>
          <w:p w14:paraId="628EE9C3" w14:textId="6307ADBF"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 xml:space="preserve">Explores the role of </w:t>
            </w:r>
            <w:r w:rsidR="00F80674" w:rsidRPr="003676D3">
              <w:rPr>
                <w:rFonts w:ascii="Times New Roman" w:hAnsi="Times New Roman" w:cs="Times New Roman"/>
                <w:sz w:val="20"/>
                <w:szCs w:val="20"/>
              </w:rPr>
              <w:t>business intelligence and data analytics</w:t>
            </w:r>
            <w:r w:rsidRPr="003676D3">
              <w:rPr>
                <w:rFonts w:ascii="Times New Roman" w:hAnsi="Times New Roman" w:cs="Times New Roman"/>
                <w:sz w:val="20"/>
                <w:szCs w:val="20"/>
              </w:rPr>
              <w:t xml:space="preserve"> in managing smart </w:t>
            </w:r>
            <w:r w:rsidR="00F80674" w:rsidRPr="003676D3">
              <w:rPr>
                <w:rFonts w:ascii="Times New Roman" w:hAnsi="Times New Roman" w:cs="Times New Roman"/>
                <w:sz w:val="20"/>
                <w:szCs w:val="20"/>
              </w:rPr>
              <w:t>grid</w:t>
            </w:r>
            <w:r w:rsidRPr="003676D3">
              <w:rPr>
                <w:rFonts w:ascii="Times New Roman" w:hAnsi="Times New Roman" w:cs="Times New Roman"/>
                <w:sz w:val="20"/>
                <w:szCs w:val="20"/>
              </w:rPr>
              <w:t xml:space="preserve"> </w:t>
            </w:r>
            <w:r w:rsidR="00410C91" w:rsidRPr="003676D3">
              <w:rPr>
                <w:rFonts w:ascii="Times New Roman" w:hAnsi="Times New Roman" w:cs="Times New Roman"/>
                <w:sz w:val="20"/>
                <w:szCs w:val="20"/>
              </w:rPr>
              <w:t>networks with RE</w:t>
            </w:r>
            <w:r w:rsidRPr="003676D3">
              <w:rPr>
                <w:rFonts w:ascii="Times New Roman" w:hAnsi="Times New Roman" w:cs="Times New Roman"/>
                <w:sz w:val="20"/>
                <w:szCs w:val="20"/>
              </w:rPr>
              <w:t>, highlighting their importance in</w:t>
            </w:r>
            <w:r w:rsidR="00410C91" w:rsidRPr="003676D3">
              <w:rPr>
                <w:rFonts w:ascii="Times New Roman" w:hAnsi="Times New Roman" w:cs="Times New Roman"/>
                <w:sz w:val="20"/>
                <w:szCs w:val="20"/>
              </w:rPr>
              <w:t xml:space="preserve"> operational and strategic decisions</w:t>
            </w:r>
            <w:r w:rsidRPr="003676D3">
              <w:rPr>
                <w:rFonts w:ascii="Times New Roman" w:hAnsi="Times New Roman" w:cs="Times New Roman"/>
                <w:sz w:val="20"/>
                <w:szCs w:val="20"/>
              </w:rPr>
              <w:t xml:space="preserve"> for energy companies.</w:t>
            </w:r>
          </w:p>
        </w:tc>
      </w:tr>
      <w:tr w:rsidR="00C312C2" w:rsidRPr="003676D3" w14:paraId="55816B2B"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74A8909F" w14:textId="1E63C630"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{"citationItems":[{"id":"ITEM-1","itemData":{"DOI":"10.1109/COMST.2022.3202047","ISSN":"1553877X","abstract":"Metaverse, as an evolving paradigm of the next-generation Internet, aims to build a fully immersive, hyper spatiotemporal, and self-sustaining virtual shared space for humans to play, work, and socialize. Driven by recent advances in emerging technologies such as extended reality, artificial intelligence, and blockchain, metaverse is stepping from science fiction to an upcoming reality. However, severe privacy invasions and security breaches (inherited from underlying technologies or emerged in the new digital ecology) of metaverse can impede its wide deployment. At the same time, a series of fundamental challenges (e.g., scalability and interoperability) can arise in metaverse security provisioning owing to the intrinsic characteristics of metaverse, such as immersive realism, hyper spatiotemporality, sustainability, and heterogeneity. In this paper, we present a comprehensive survey of the fundamentals, security, and privacy of metaverse. Specifically, we first investigate a novel distributed metaverse architecture and its key characteristics with ternary-world interactions. Then, we discuss the security and privacy threats, present the critical challenges of metaverse systems, and review the state-of-the-art countermeasures. Finally, we draw open research directions for building future metaverse systems.","author":[{"dropping-particle":"","family":"Wang","given":"Yuntao","non-dropping-particle":"","parse-names":false,"suffix":""},{"dropping-particle":"","family":"Su","given":"Zhou","non-dropping-particle":"","parse-names":false,"suffix":""},{"dropping-particle":"","family":"Zhang","given":"Ning","non-dropping-particle":"","parse-names":false,"suffix":""},{"dropping-particle":"","family":"Xing","given":"Rui","non-dropping-particle":"","parse-names":false,"suffix":""},{"dropping-particle":"","family":"Liu","given":"Dongxiao","non-dropping-particle":"","parse-names":false,"suffix":""},{"dropping-particle":"","family":"Luan","given":"Tom H.","non-dropping-particle":"","parse-names":false,"suffix":""},{"dropping-particle":"","family":"Shen","given":"Xuemin","non-dropping-particle":"","parse-names":false,"suffix":""}],"container-title":"IEEE Communications Surveys and Tutorials","id":"ITEM-1","issue":"1","issued":{"date-parts":[["2023"]]},"page":"319-352","publisher":"Institute of Electrical and Electronics Engineers Inc.","title":"A Survey on Metaverse: Fundamentals, Security, and Privacy","type":"article-journal","volume":"25"},"uris":["http://www.mendeley.com/documents/?uuid=9f040599-20ff-3730-82c4-c98c0521aab1"]}],"mendeley":{"formattedCitation":"[141]","plainTextFormattedCitation":"[141]","previouslyFormattedCitation":"[141]"},"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[141]</w:t>
            </w:r>
            <w:r w:rsidRPr="003676D3">
              <w:rPr>
                <w:rFonts w:ascii="Times New Roman" w:hAnsi="Times New Roman" w:cs="Times New Roman"/>
                <w:sz w:val="20"/>
                <w:szCs w:val="20"/>
              </w:rPr>
              <w:fldChar w:fldCharType="end"/>
            </w:r>
          </w:p>
        </w:tc>
        <w:tc>
          <w:tcPr>
            <w:tcW w:w="371" w:type="pct"/>
            <w:vAlign w:val="center"/>
          </w:tcPr>
          <w:p w14:paraId="01C10998"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2022</w:t>
            </w:r>
          </w:p>
        </w:tc>
        <w:tc>
          <w:tcPr>
            <w:tcW w:w="4035" w:type="pct"/>
            <w:vAlign w:val="center"/>
          </w:tcPr>
          <w:p w14:paraId="6599B9FF"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Surveys the fundamentals, security, and privacy of the Metaverse, exploring its architecture, key characteristics, threats, challenges, and current countermeasures, while highlighting future research directions.</w:t>
            </w:r>
          </w:p>
        </w:tc>
      </w:tr>
      <w:tr w:rsidR="00C312C2" w:rsidRPr="003676D3" w14:paraId="489D7627"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60F920F1" w14:textId="671E8941"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{"citationItems":[{"id":"ITEM-1","itemData":{"DOI":"10.1186/S13705-022-00368-Y/FIGURES/2","ISSN":"21920567","abstract":"Background: One way to design an electricity system wholly based on renewables is referred to as the global Super-grid, a vision of a transmission network of unprecedented geographical scope that uses advanced technology to balance spatially and temporally varying supply and demand across the globe. While proponents, since the 1960s, have argued that a global Super-grid is technologically possible and socially desirable, and significant technical progress has been made since the 1990s, development is slow with new transmission lines being built predominantly with established technology and within the boundaries of single countries. The aim of this study is to explore sociotechnical drivers and barriers of global Super-grid development. Results: A main driver is the century old ideas that larger grids are more efficient and contribute to cooperation and peace. Over the last decades, the level of technical knowledge and networks of proponent have grown. The Super-grid also benefits from the potential opportunity of building on existing grids. Barriers stem from the scale of investments needed to experiment, path dependences in established industry and competition from novel smaller scale solutions based on local production, energy storage and smart grid technology. Other barriers originate in the organisational and institutional complexities of international electricity trade, and in the lack of trust at local and global levels, which hinder the development of necessary coordination. Conclusions: The analysis suggests that if the Super-grid is to become part of a future electricity system, the discourse needs to open up, move beyond simplistic ideas of efficiency and ‘technocratic internationalism’, and take into account a broader set of social benefits, risks and trade-offs.","author":[{"dropping-particle":"","family":"Hojckova","given":"Kristina","non-dropping-particle":"","parse-names":false,"suffix":""},{"dropping-particle":"","family":"Ahlborg","given":"Helene","non-dropping-particle":"","parse-names":false,"suffix":""},{"dropping-particle":"","family":"Sandén","given":"Björn A.","non-dropping-particle":"","parse-names":false,"suffix":""}],"container-title":"Energy, Sustainability and Society","id":"ITEM-1","issue":"1","issued":{"date-parts":[["2022","12","1"]]},"page":"1-16","publisher":"BioMed Central Ltd","title":"A global super-grid: sociotechnical drivers and barriers","type":"article-journal","volume":"12"},"uris":["http://www.mendeley.com/documents/?uuid=67d1a25c-45e8-3569-b871-0f299e75abce"]}],"mendeley":{"formattedCitation":"[195]","plainTextFormattedCitation":"[195]","previouslyFormattedCitation":"[195]"},"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[195]</w:t>
            </w:r>
            <w:r w:rsidRPr="003676D3">
              <w:rPr>
                <w:rFonts w:ascii="Times New Roman" w:hAnsi="Times New Roman" w:cs="Times New Roman"/>
                <w:sz w:val="20"/>
                <w:szCs w:val="20"/>
              </w:rPr>
              <w:fldChar w:fldCharType="end"/>
            </w:r>
          </w:p>
        </w:tc>
        <w:tc>
          <w:tcPr>
            <w:tcW w:w="371" w:type="pct"/>
            <w:vAlign w:val="center"/>
          </w:tcPr>
          <w:p w14:paraId="5071B2F6"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2022</w:t>
            </w:r>
          </w:p>
        </w:tc>
        <w:tc>
          <w:tcPr>
            <w:tcW w:w="4035" w:type="pct"/>
            <w:vAlign w:val="center"/>
          </w:tcPr>
          <w:p w14:paraId="34EB7969"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Explores the sociotechnical drivers and barriers to the development of a global Super-grid, a vision for a renewable-based electricity system with a vast, advanced transmission network.</w:t>
            </w:r>
          </w:p>
        </w:tc>
      </w:tr>
      <w:tr w:rsidR="00C312C2" w:rsidRPr="003676D3" w14:paraId="16B449DB"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5BCA9B2C" w14:textId="1E8E894D"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{"citationItems":[{"id":"ITEM-1","itemData":{"abstract":"Dubbed \"the successor to the mobile Internet\", the concept of the Metaverse has grown in popularity. While there exist lite versions of the Metaverse today, they are still far from realizing the full vision of an immersive, embodied, and interoper-able Metaverse. Without addressing the issues of implementation from the communication and networking, as well as computation perspectives, the Metaverse is difficult to succeed the Internet, especially in terms of its accessibility to billions of users today. In this survey, we focus on the edge-enabled Metaverse to realize its ultimate vision. We first provide readers with a succinct tutorial of the Metaverse, an introduction to the architecture, as well as current developments. To enable ubiquitous, seamless, and embodied access to the Metaverse, we discuss the communication and networking challenges and survey cutting-edge solutions and concepts that leverage next-generation communication systems for users to immerse as and interact with embodied avatars in the Metaverse. Moreover, given the high computation costs required, e.g., to render 3D virtual worlds and run data-hungry artificial intelligence-driven avatars, we discuss the computation challenges and cloud-edge-end computation framework-driven solutions to realize the Metaverse on resource-constrained edge devices. Next, we explore how blockchain technologies can aid in the interoperable development of the Metaverse, not just in terms of empowering the economic circulation of virtual user-generated content but also to manage physical edge resources in a decentralized, transparent, and immutable manner. Finally, we discuss the future research directions towards realizing the true vision of the edge-enabled Metaverse.","author":[{"dropping-particle":"","family":"Xu","given":"Minrui","non-dropping-particle":"","parse-names":false,"suffix":""},{"dropping-particle":"","family":"Ng","given":"Wei Chong","non-dropping-particle":"","parse-names":false,"suffix":""},{"dropping-particle":"","family":"Yang","given":"Wei","non-dropping-particle":"","parse-names":false,"suffix":""},{"dropping-particle":"","family":"Lim","given":"Bryan","non-dropping-particle":"","parse-names":false,"suffix":""},{"dropping-particle":"","family":"Kang","given":"Jiawen","non-dropping-particle":"","parse-names":false,"suffix":""},{"dropping-particle":"","family":"Xiong","given":"Zehui","non-dropping-particle":"","parse-names":false,"suffix":""},{"dropping-particle":"","family":"Niyato","given":"Dusit","non-dropping-particle":"","parse-names":false,"suffix":""},{"dropping-particle":"","family":"Yang","given":"Qiang","non-dropping-particle":"","parse-names":false,"suffix":""},{"dropping-particle":"","family":"Shen","given":"Sherman","non-dropping-particle":"","parse-names":false,"suffix":""},{"dropping-particle":"","family":"Miao","given":"Chunyan","non-dropping-particle":"","parse-names":false,"suffix":""}],"container-title":"ieeexplore.ieee.orgM Xu, WC Ng, WYB Lim, J Kang, Z Xiong, D Niyato, Q Yang, X Shen, C MiaoIEEE Communications Surveys &amp; Tutorials, 2022•ieeexplore.ieee.org","id":"ITEM-1","issued":{"date-parts":[["0"]]},"title":"A full dive into realizing the edge-enabled metaverse: Visions, enabling technologies, and challenges","type":"article-journal"},"uris":["http://www.mendeley.com/documents/?uuid=24b4e804-8ea3-3732-8c98-52a293b12b43"]}],"mendeley":{"formattedCitation":"[138]","plainTextFormattedCitation":"[138]","previouslyFormattedCitation":"[138]"},"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[138]</w:t>
            </w:r>
            <w:r w:rsidRPr="003676D3">
              <w:rPr>
                <w:rFonts w:ascii="Times New Roman" w:hAnsi="Times New Roman" w:cs="Times New Roman"/>
                <w:sz w:val="20"/>
                <w:szCs w:val="20"/>
              </w:rPr>
              <w:fldChar w:fldCharType="end"/>
            </w:r>
          </w:p>
        </w:tc>
        <w:tc>
          <w:tcPr>
            <w:tcW w:w="371" w:type="pct"/>
            <w:vAlign w:val="center"/>
          </w:tcPr>
          <w:p w14:paraId="06AFBB22"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2022</w:t>
            </w:r>
          </w:p>
        </w:tc>
        <w:tc>
          <w:tcPr>
            <w:tcW w:w="4035" w:type="pct"/>
            <w:vAlign w:val="center"/>
          </w:tcPr>
          <w:p w14:paraId="1EAABA28"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Explores the edge-enabled Metaverse, addressing communication, networking, and computation challenges, and examines blockchain solutions to enhance interoperability, economic transactions, and resource management.</w:t>
            </w:r>
          </w:p>
        </w:tc>
      </w:tr>
      <w:tr w:rsidR="00C312C2" w:rsidRPr="003676D3" w14:paraId="671E411C"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1D820850" w14:textId="56958046"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{"citationItems":[{"id":"ITEM-1","itemData":{"DOI":"10.1016/J.PROCS.2022.12.374","ISSN":"1877-0509","abstract":"The Metaverse is revolutionizing the world of the internet. It is the new \"virtual\"universe capable of going beyond the pure three-dimensional and immersive dimension combining the physical and digital worlds. The metaverse, which until recently was an abstract concept, is now assuming great importance and attracting the attention of consumers, investors, brands, and large global players. Certainly, the first sector to adapt to this new immersive reality is e-commerce. Obviously, e-commerce is not the only sector affected by this digital revolution. Interoperability and interconnection will revolutionize current business models. Although the business opportunities seem endless, the scenario is still not entirely clear. Thus, the aim of the present research is to provide an overview on the state of the art, technologies, applications, and challenges of metaverse. Ethical and social implications are also analized. The result is a first detailed scenario analysis on the Metaverse.","author":[{"dropping-particle":"","family":"Felice","given":"Fabio","non-dropping-particle":"De","parse-names":false,"suffix":""},{"dropping-particle":"","family":"Luca","given":"Cristina","non-dropping-particle":"De","parse-names":false,"suffix":""},{"dropping-particle":"Di","family":"Chiara","given":"Simona","non-dropping-particle":"","parse-names":false,"suffix":""},{"dropping-particle":"","family":"Petrillo","given":"Antonella","non-dropping-particle":"","parse-names":false,"suffix":""}],"container-title":"Procedia Computer Science","id":"ITEM-1","issued":{"date-parts":[["2023","1","1"]]},"page":"1744-1754","publisher":"Elsevier","title":"Physical and digital worlds: implications and opportunities of the metaverse","type":"article-journal","volume":"217"},"uris":["http://www.mendeley.com/documents/?uuid=ddf71720-5480-3022-be03-efc0d925d5be"]}],"mendeley":{"formattedCitation":"[196]","plainTextFormattedCitation":"[196]","previouslyFormattedCitation":"[196]"},"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[196]</w:t>
            </w:r>
            <w:r w:rsidRPr="003676D3">
              <w:rPr>
                <w:rFonts w:ascii="Times New Roman" w:hAnsi="Times New Roman" w:cs="Times New Roman"/>
                <w:sz w:val="20"/>
                <w:szCs w:val="20"/>
              </w:rPr>
              <w:fldChar w:fldCharType="end"/>
            </w:r>
          </w:p>
        </w:tc>
        <w:tc>
          <w:tcPr>
            <w:tcW w:w="371" w:type="pct"/>
            <w:vAlign w:val="center"/>
          </w:tcPr>
          <w:p w14:paraId="2085AFEB"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2023</w:t>
            </w:r>
          </w:p>
        </w:tc>
        <w:tc>
          <w:tcPr>
            <w:tcW w:w="4035" w:type="pct"/>
            <w:vAlign w:val="center"/>
          </w:tcPr>
          <w:p w14:paraId="43BA8F75"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An overview of the Metaverse, its technologies, applications, challenges, and the ethical and social implications, with a focus on its transformative impact on e-commerce and other sectors.</w:t>
            </w:r>
          </w:p>
        </w:tc>
      </w:tr>
      <w:tr w:rsidR="00C312C2" w:rsidRPr="003676D3" w14:paraId="1DCB3DEA" w14:textId="77777777" w:rsidTr="00312D27">
        <w:trPr>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0EB4C590" w14:textId="4BBC4300"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{"citationItems":[{"id":"ITEM-1","itemData":{"DOI":"10.1016/J.EGYAI.2022.100213","ISSN":"2666-5468","abstract":"The major hindrances in the energy system are ecological consciousness, lack of clean and sustainable energy management, insufficient energy distribution–transmission–optimization, expensive power transfer costs, and increased customer knowledge of energy charges. Thus why, universal access to the grid with high cybersecurity, and reliability is needed to solve all these challenges. The digital twin concept turns a new dimension of technology into the world. Electric Digital Twin grid can perform online analysis of the grid in real-time and integrates all the past and present data and express the current grid status to the producers and consumers and also predicts the future grid status. Thus, the power grid transmission loss and location of the overheated line and power connection missing can be detected in addition decision-making and self-healing can possible. The future prediction saves the power grid from small to long accidents such as power outages and even blackout problems. The whole consumers and nation feel relief from these types of accidents and saves from large economic and business loss. The blockchain-enabled digital twin grid provides high security for the grid from cyberattacks. The paper conveys the framework of the electric digital twin grid and the concept of the DT grid processing and the way of serving the producer, prosumers, consumers even the whole nation in infrastructure, education, research, economic, business, and political development.","author":[{"dropping-particle":"","family":"Sifat","given":"Md Mhamud Hussen","non-dropping-particle":"","parse-names":false,"suffix":""},{"dropping-particle":"","family":"Choudhury","given":"Safwat Mukarrama","non-dropping-particle":"","parse-names":false,"suffix":""},{"dropping-particle":"","family":"Das","given":"Sajal K.","non-dropping-particle":"","parse-names":false,"suffix":""},{"dropping-particle":"","family":"Ahamed","given":"Md Hafiz","non-dropping-particle":"","parse-names":false,"suffix":""},{"dropping-particle":"","family":"Muyeen","given":"S. M.","non-dropping-particle":"","parse-names":false,"suffix":""},{"dropping-particle":"","family":"Hasan","given":"Md Mehedi","non-dropping-particle":"","parse-names":false,"suffix":""},{"dropping-particle":"","family":"Ali","given":"Md Firoj","non-dropping-particle":"","parse-names":false,"suffix":""},{"dropping-particle":"","family":"Tasneem","given":"Zinat","non-dropping-particle":"","parse-names":false,"suffix":""},{"dropping-particle":"","family":"Islam","given":"Md Manirul","non-dropping-particle":"","parse-names":false,"suffix":""},{"dropping-particle":"","family":"Islam","given":"Md Robiul","non-dropping-particle":"","parse-names":false,"suffix":""},{"dropping-particle":"","family":"Badal","given":"Md Faisal R.","non-dropping-particle":"","parse-names":false,"suffix":""},{"dropping-particle":"","family":"Abhi","given":"Sarafat H.","non-dropping-particle":"","parse-names":false,"suffix":""},{"dropping-particle":"","family":"Sarker","given":"Subrata K.","non-dropping-particle":"","parse-names":false,"suffix":""},{"dropping-particle":"","family":"Das","given":"Prangon","non-dropping-particle":"","parse-names":false,"suffix":""}],"container-title":"Energy and AI","id":"ITEM-1","issued":{"date-parts":[["2023","1","1"]]},"page":"100213","publisher":"Elsevier","title":"Towards electric digital twin grid: Technology and framework review","type":"article-journal","volume":"11"},"uris":["http://www.mendeley.com/documents/?uuid=ee44f7b4-2236-3e16-899b-967362bd0ad2"]}],"mendeley":{"formattedCitation":"[197]","plainTextFormattedCitation":"[197]","previouslyFormattedCitation":"[197]"},"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[197]</w:t>
            </w:r>
            <w:r w:rsidRPr="003676D3">
              <w:rPr>
                <w:rFonts w:ascii="Times New Roman" w:hAnsi="Times New Roman" w:cs="Times New Roman"/>
                <w:sz w:val="20"/>
                <w:szCs w:val="20"/>
              </w:rPr>
              <w:fldChar w:fldCharType="end"/>
            </w:r>
          </w:p>
        </w:tc>
        <w:tc>
          <w:tcPr>
            <w:tcW w:w="371" w:type="pct"/>
            <w:vAlign w:val="center"/>
          </w:tcPr>
          <w:p w14:paraId="480BD87D"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2024</w:t>
            </w:r>
          </w:p>
        </w:tc>
        <w:tc>
          <w:tcPr>
            <w:tcW w:w="4035" w:type="pct"/>
            <w:vAlign w:val="center"/>
          </w:tcPr>
          <w:p w14:paraId="097D0F93" w14:textId="77777777" w:rsidR="00CC49AF" w:rsidRPr="003676D3" w:rsidRDefault="00CC49AF" w:rsidP="003676D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Outlines the framework of the electric digital twin grid and its applications in serving producers, prosumers, consumers, and national development.</w:t>
            </w:r>
          </w:p>
        </w:tc>
      </w:tr>
      <w:tr w:rsidR="00C312C2" w:rsidRPr="003676D3" w14:paraId="01BE535C" w14:textId="77777777" w:rsidTr="00312D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4" w:type="pct"/>
            <w:vAlign w:val="center"/>
          </w:tcPr>
          <w:p w14:paraId="191306BD" w14:textId="2E17910D" w:rsidR="00CC49AF" w:rsidRPr="003676D3" w:rsidRDefault="00C312C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fldChar w:fldCharType="begin" w:fldLock="1"/>
            </w:r>
            <w:r w:rsidRPr="003676D3">
              <w:rPr>
                <w:rFonts w:ascii="Times New Roman" w:hAnsi="Times New Roman" w:cs="Times New Roman"/>
                <w:sz w:val="20"/>
                <w:szCs w:val="20"/>
              </w:rPr>
              <w:instrText>ADDIN CSL_CITATION {"citationItems":[{"id":"ITEM-1","itemData":{"DOI":"10.1109/ICRITO61523.2024.10522167","ISBN":"9798350350357","author":[{"dropping-particle":"","family":"Kasture","given":"Shreyas","non-dropping-particle":"","parse-names":false,"suffix":""},{"dropping-particle":"","family":"Maurya","given":"Sudhanshu","non-dropping-particle":"","parse-names":false,"suffix":""},{"dropping-particle":"","family":"Verma","given":"Rohan","non-dropping-particle":"","parse-names":false,"suffix":""},{"dropping-particle":"","family":"Pathak","given":"Nitish","non-dropping-particle":"","parse-names":false,"suffix":""},{"dropping-particle":"","family":"Joshi","given":"Priyanka","non-dropping-particle":"","parse-names":false,"suffix":""},{"dropping-particle":"","family":"Rakesh","given":"Nitin","non-dropping-particle":"","parse-names":false,"suffix":""}],"id":"ITEM-1","issued":{"date-parts":[["2024","5","14"]]},"page":"1-6","publisher":"Institute of Electrical and Electronics Engineers (IEEE)","title":"Green Cloud Computing for the Metaverse: Powering the Future of the Internet with Renewable Energy","type":"article-journal"},"uris":["http://www.mendeley.com/documents/?uuid=17e7fa59-ded0-3e7b-87d9-0e45a9889c02"]}],"mendeley":{"formattedCitation":"[198]","plainTextFormattedCitation":"[198]","previouslyFormattedCitation":"[198]"},"properties":{"noteIndex":0},"schema":"https://github.com/citation-style-language/schema/raw/master/csl-citation.json"}</w:instrText>
            </w:r>
            <w:r w:rsidRPr="003676D3">
              <w:rPr>
                <w:rFonts w:ascii="Times New Roman" w:hAnsi="Times New Roman" w:cs="Times New Roman"/>
                <w:sz w:val="20"/>
                <w:szCs w:val="20"/>
              </w:rPr>
              <w:fldChar w:fldCharType="separate"/>
            </w:r>
            <w:r w:rsidRPr="003676D3">
              <w:rPr>
                <w:rFonts w:ascii="Times New Roman" w:hAnsi="Times New Roman" w:cs="Times New Roman"/>
                <w:b w:val="0"/>
                <w:noProof/>
                <w:sz w:val="20"/>
                <w:szCs w:val="20"/>
              </w:rPr>
              <w:t>[198]</w:t>
            </w:r>
            <w:r w:rsidRPr="003676D3">
              <w:rPr>
                <w:rFonts w:ascii="Times New Roman" w:hAnsi="Times New Roman" w:cs="Times New Roman"/>
                <w:sz w:val="20"/>
                <w:szCs w:val="20"/>
              </w:rPr>
              <w:fldChar w:fldCharType="end"/>
            </w:r>
          </w:p>
        </w:tc>
        <w:tc>
          <w:tcPr>
            <w:tcW w:w="371" w:type="pct"/>
            <w:vAlign w:val="center"/>
          </w:tcPr>
          <w:p w14:paraId="09F63424"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2024</w:t>
            </w:r>
          </w:p>
        </w:tc>
        <w:tc>
          <w:tcPr>
            <w:tcW w:w="4035" w:type="pct"/>
            <w:vAlign w:val="center"/>
          </w:tcPr>
          <w:p w14:paraId="453AF463" w14:textId="77777777" w:rsidR="00CC49AF" w:rsidRPr="003676D3" w:rsidRDefault="00CC49AF" w:rsidP="003676D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676D3">
              <w:rPr>
                <w:rFonts w:ascii="Times New Roman" w:hAnsi="Times New Roman" w:cs="Times New Roman"/>
                <w:sz w:val="20"/>
                <w:szCs w:val="20"/>
              </w:rPr>
              <w:t>presents strategies for integrating Green Cloud Computing techniques into metaverse platforms, aiming to create sustainable and energy-efficient cloud architectures to support immersive virtual worlds.</w:t>
            </w:r>
          </w:p>
        </w:tc>
      </w:tr>
    </w:tbl>
    <w:p w14:paraId="46059B39" w14:textId="77777777" w:rsidR="007C7973" w:rsidRPr="003676D3" w:rsidRDefault="007C7973" w:rsidP="003676D3">
      <w:pPr>
        <w:spacing w:line="276" w:lineRule="auto"/>
        <w:jc w:val="both"/>
        <w:rPr>
          <w:rFonts w:ascii="Times New Roman" w:hAnsi="Times New Roman" w:cs="Times New Roman"/>
          <w:sz w:val="24"/>
          <w:szCs w:val="24"/>
        </w:rPr>
      </w:pPr>
    </w:p>
    <w:p w14:paraId="22761F3E" w14:textId="6348B874" w:rsidR="00820DC7" w:rsidRPr="003676D3" w:rsidRDefault="00FE67FE" w:rsidP="003676D3">
      <w:pPr>
        <w:pStyle w:val="Heading1"/>
        <w:spacing w:line="276" w:lineRule="auto"/>
        <w:jc w:val="both"/>
        <w:rPr>
          <w:sz w:val="24"/>
          <w:szCs w:val="24"/>
        </w:rPr>
      </w:pPr>
      <w:r w:rsidRPr="003676D3">
        <w:rPr>
          <w:sz w:val="24"/>
          <w:szCs w:val="24"/>
        </w:rPr>
        <w:t xml:space="preserve">6. </w:t>
      </w:r>
      <w:r w:rsidR="00132774" w:rsidRPr="003676D3">
        <w:rPr>
          <w:sz w:val="24"/>
          <w:szCs w:val="24"/>
        </w:rPr>
        <w:t xml:space="preserve"> </w:t>
      </w:r>
      <w:r w:rsidR="00CF0477" w:rsidRPr="003676D3">
        <w:rPr>
          <w:sz w:val="24"/>
          <w:szCs w:val="24"/>
        </w:rPr>
        <w:t>Challenges</w:t>
      </w:r>
      <w:r w:rsidR="006F37A0" w:rsidRPr="003676D3">
        <w:rPr>
          <w:sz w:val="24"/>
          <w:szCs w:val="24"/>
        </w:rPr>
        <w:t xml:space="preserve"> </w:t>
      </w:r>
      <w:r w:rsidR="00E02AA5" w:rsidRPr="003676D3">
        <w:rPr>
          <w:sz w:val="24"/>
          <w:szCs w:val="24"/>
        </w:rPr>
        <w:t>in</w:t>
      </w:r>
      <w:r w:rsidR="00CF0477" w:rsidRPr="003676D3">
        <w:rPr>
          <w:sz w:val="24"/>
          <w:szCs w:val="24"/>
        </w:rPr>
        <w:t xml:space="preserve"> Super Smart Grid</w:t>
      </w:r>
    </w:p>
    <w:p w14:paraId="6D88F6DB" w14:textId="642DA2AF" w:rsidR="004F4B0D" w:rsidRPr="003676D3" w:rsidRDefault="004F4B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w:t>
      </w:r>
      <w:r w:rsidR="002469AE" w:rsidRPr="003676D3">
        <w:rPr>
          <w:rFonts w:ascii="Times New Roman" w:hAnsi="Times New Roman" w:cs="Times New Roman"/>
          <w:sz w:val="24"/>
          <w:szCs w:val="24"/>
        </w:rPr>
        <w:t>acceleration</w:t>
      </w:r>
      <w:r w:rsidRPr="003676D3">
        <w:rPr>
          <w:rFonts w:ascii="Times New Roman" w:hAnsi="Times New Roman" w:cs="Times New Roman"/>
          <w:sz w:val="24"/>
          <w:szCs w:val="24"/>
        </w:rPr>
        <w:t xml:space="preserve"> of super smart grid technologies </w:t>
      </w:r>
      <w:r w:rsidR="00803383" w:rsidRPr="003676D3">
        <w:rPr>
          <w:rFonts w:ascii="Times New Roman" w:hAnsi="Times New Roman" w:cs="Times New Roman"/>
          <w:sz w:val="24"/>
          <w:szCs w:val="24"/>
        </w:rPr>
        <w:t>requires</w:t>
      </w:r>
      <w:r w:rsidRPr="003676D3">
        <w:rPr>
          <w:rFonts w:ascii="Times New Roman" w:hAnsi="Times New Roman" w:cs="Times New Roman"/>
          <w:sz w:val="24"/>
          <w:szCs w:val="24"/>
        </w:rPr>
        <w:t xml:space="preserve"> </w:t>
      </w:r>
      <w:r w:rsidR="00DA79DF" w:rsidRPr="003676D3">
        <w:rPr>
          <w:rFonts w:ascii="Times New Roman" w:hAnsi="Times New Roman" w:cs="Times New Roman"/>
          <w:sz w:val="24"/>
          <w:szCs w:val="24"/>
        </w:rPr>
        <w:t>advanced</w:t>
      </w:r>
      <w:r w:rsidRPr="003676D3">
        <w:rPr>
          <w:rFonts w:ascii="Times New Roman" w:hAnsi="Times New Roman" w:cs="Times New Roman"/>
          <w:sz w:val="24"/>
          <w:szCs w:val="24"/>
        </w:rPr>
        <w:t xml:space="preserve"> sens</w:t>
      </w:r>
      <w:r w:rsidR="00BA2B35" w:rsidRPr="003676D3">
        <w:rPr>
          <w:rFonts w:ascii="Times New Roman" w:hAnsi="Times New Roman" w:cs="Times New Roman"/>
          <w:sz w:val="24"/>
          <w:szCs w:val="24"/>
        </w:rPr>
        <w:t>or technology</w:t>
      </w:r>
      <w:r w:rsidRPr="003676D3">
        <w:rPr>
          <w:rFonts w:ascii="Times New Roman" w:hAnsi="Times New Roman" w:cs="Times New Roman"/>
          <w:sz w:val="24"/>
          <w:szCs w:val="24"/>
        </w:rPr>
        <w:t xml:space="preserve">, communication, and control strategies. However, this integration also </w:t>
      </w:r>
      <w:r w:rsidR="0025124C" w:rsidRPr="003676D3">
        <w:rPr>
          <w:rFonts w:ascii="Times New Roman" w:hAnsi="Times New Roman" w:cs="Times New Roman"/>
          <w:sz w:val="24"/>
          <w:szCs w:val="24"/>
        </w:rPr>
        <w:t>increases</w:t>
      </w:r>
      <w:r w:rsidRPr="003676D3">
        <w:rPr>
          <w:rFonts w:ascii="Times New Roman" w:hAnsi="Times New Roman" w:cs="Times New Roman"/>
          <w:sz w:val="24"/>
          <w:szCs w:val="24"/>
        </w:rPr>
        <w:t xml:space="preserve"> the </w:t>
      </w:r>
      <w:r w:rsidR="0025124C" w:rsidRPr="003676D3">
        <w:rPr>
          <w:rFonts w:ascii="Times New Roman" w:hAnsi="Times New Roman" w:cs="Times New Roman"/>
          <w:sz w:val="24"/>
          <w:szCs w:val="24"/>
        </w:rPr>
        <w:t>possibility</w:t>
      </w:r>
      <w:r w:rsidRPr="003676D3">
        <w:rPr>
          <w:rFonts w:ascii="Times New Roman" w:hAnsi="Times New Roman" w:cs="Times New Roman"/>
          <w:sz w:val="24"/>
          <w:szCs w:val="24"/>
        </w:rPr>
        <w:t xml:space="preserve"> of grids to cyber-attacks. </w:t>
      </w:r>
      <w:r w:rsidR="00DA79DF" w:rsidRPr="003676D3">
        <w:rPr>
          <w:rFonts w:ascii="Times New Roman" w:hAnsi="Times New Roman" w:cs="Times New Roman"/>
          <w:sz w:val="24"/>
          <w:szCs w:val="24"/>
        </w:rPr>
        <w:t>These</w:t>
      </w:r>
      <w:r w:rsidRPr="003676D3">
        <w:rPr>
          <w:rFonts w:ascii="Times New Roman" w:hAnsi="Times New Roman" w:cs="Times New Roman"/>
          <w:sz w:val="24"/>
          <w:szCs w:val="24"/>
        </w:rPr>
        <w:t xml:space="preserve"> attacks can </w:t>
      </w:r>
      <w:r w:rsidR="00DA79DF" w:rsidRPr="003676D3">
        <w:rPr>
          <w:rFonts w:ascii="Times New Roman" w:hAnsi="Times New Roman" w:cs="Times New Roman"/>
          <w:sz w:val="24"/>
          <w:szCs w:val="24"/>
        </w:rPr>
        <w:t>affect</w:t>
      </w:r>
      <w:r w:rsidRPr="003676D3">
        <w:rPr>
          <w:rFonts w:ascii="Times New Roman" w:hAnsi="Times New Roman" w:cs="Times New Roman"/>
          <w:sz w:val="24"/>
          <w:szCs w:val="24"/>
        </w:rPr>
        <w:t xml:space="preserve"> crucial data </w:t>
      </w:r>
      <w:r w:rsidR="0078669F" w:rsidRPr="003676D3">
        <w:rPr>
          <w:rFonts w:ascii="Times New Roman" w:hAnsi="Times New Roman" w:cs="Times New Roman"/>
          <w:sz w:val="24"/>
          <w:szCs w:val="24"/>
        </w:rPr>
        <w:t>required</w:t>
      </w:r>
      <w:r w:rsidRPr="003676D3">
        <w:rPr>
          <w:rFonts w:ascii="Times New Roman" w:hAnsi="Times New Roman" w:cs="Times New Roman"/>
          <w:sz w:val="24"/>
          <w:szCs w:val="24"/>
        </w:rPr>
        <w:t xml:space="preserve"> for grid operations</w:t>
      </w:r>
      <w:r w:rsidR="00DA79DF" w:rsidRPr="003676D3">
        <w:rPr>
          <w:rFonts w:ascii="Times New Roman" w:hAnsi="Times New Roman" w:cs="Times New Roman"/>
          <w:sz w:val="24"/>
          <w:szCs w:val="24"/>
        </w:rPr>
        <w:t>.</w:t>
      </w:r>
      <w:r w:rsidR="000117E2" w:rsidRPr="003676D3">
        <w:rPr>
          <w:rFonts w:ascii="Times New Roman" w:hAnsi="Times New Roman" w:cs="Times New Roman"/>
          <w:sz w:val="24"/>
          <w:szCs w:val="24"/>
        </w:rPr>
        <w:t xml:space="preserve"> </w:t>
      </w:r>
      <w:r w:rsidR="004B1918" w:rsidRPr="003676D3">
        <w:rPr>
          <w:rFonts w:ascii="Times New Roman" w:hAnsi="Times New Roman" w:cs="Times New Roman"/>
          <w:sz w:val="24"/>
          <w:szCs w:val="24"/>
        </w:rPr>
        <w:t>This potentially</w:t>
      </w:r>
      <w:r w:rsidRPr="003676D3">
        <w:rPr>
          <w:rFonts w:ascii="Times New Roman" w:hAnsi="Times New Roman" w:cs="Times New Roman"/>
          <w:sz w:val="24"/>
          <w:szCs w:val="24"/>
        </w:rPr>
        <w:t xml:space="preserve"> lead</w:t>
      </w:r>
      <w:r w:rsidR="000117E2" w:rsidRPr="003676D3">
        <w:rPr>
          <w:rFonts w:ascii="Times New Roman" w:hAnsi="Times New Roman" w:cs="Times New Roman"/>
          <w:sz w:val="24"/>
          <w:szCs w:val="24"/>
        </w:rPr>
        <w:t>s</w:t>
      </w:r>
      <w:r w:rsidRPr="003676D3">
        <w:rPr>
          <w:rFonts w:ascii="Times New Roman" w:hAnsi="Times New Roman" w:cs="Times New Roman"/>
          <w:sz w:val="24"/>
          <w:szCs w:val="24"/>
        </w:rPr>
        <w:t xml:space="preserve"> to significant malfunctions. Injecting </w:t>
      </w:r>
      <w:r w:rsidR="00277732" w:rsidRPr="003676D3">
        <w:rPr>
          <w:rFonts w:ascii="Times New Roman" w:hAnsi="Times New Roman" w:cs="Times New Roman"/>
          <w:sz w:val="24"/>
          <w:szCs w:val="24"/>
        </w:rPr>
        <w:t>incorrect</w:t>
      </w:r>
      <w:r w:rsidRPr="003676D3">
        <w:rPr>
          <w:rFonts w:ascii="Times New Roman" w:hAnsi="Times New Roman" w:cs="Times New Roman"/>
          <w:sz w:val="24"/>
          <w:szCs w:val="24"/>
        </w:rPr>
        <w:t xml:space="preserve"> data into the system can induce grid instability and provide financial incentives for attackers</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{"citationItems":[{"id":"ITEM-1","itemData":{"DOI":"10.1016/J.JCLEPRO.2021.126877","ISSN":"0959-6526","abstract":"This paper describes a generic methodology to develop mathematical and computational models of different components of the smart grid architecture model (SGAM). The SGAM inspired integrated mathematical modelling will help develop interoperable complex system simulations for integrating different smart grid components, associated communication models for data exchange and software modules, control, estimation, and data analytics functionalities with the business perspectives. This paper is based on the existing component models inspired by SGAM, which provides a holistic view for integrating the models under operational and security constraints. Achievable results and open research problems for the SGAM mapping have also been discussed in these models supporting the interoperability challenges. The models described in this paper can serve as a guideline to design efficient and robust control strategies for smart grids against uncertain loading, generation, and communication constraints, thus optimizing and improving the whole system's performance. Mathematical and computational models of cyber-physical systems have also been discussed along with their potential challenges. Based on the above concepts, unsolved and open challenges in the smart grid control, optimization and data analytics are highlighted.","author":[{"dropping-particle":"","family":"Panda","given":"Deepak Kumar","non-dropping-particle":"","parse-names":false,"suffix":""},{"dropping-particle":"","family":"Das","given":"Saptarshi","non-dropping-particle":"","parse-names":false,"suffix":""}],"container-title":"Journal of Cleaner Production","id":"ITEM-1","issued":{"date-parts":[["2021","6","10"]]},"page":"126877","publisher":"Elsevier","title":"Smart grid architecture model for control, optimization and data analytics of future power networks with more renewable energy","type":"article-journal","volume":"301"},"uris":["http://www.mendeley.com/documents/?uuid=f91adc9d-0091-3d22-ae10-84bcaed7fab6"]},{"id":"ITEM-2","itemData":{"DOI":"10.1007/S00502-017-0472-8/METRICS","ISSN":"0932383X","abstract":"This paper gives a short overview about important guidelines and standards that set the focus on security in Smart Grids and industrial automation. The standards are described and compared regarding their scope of application within the Smart Grid and the focus of the standards. Beside the description of standards, some guidelines of major importance to the development of Smart Grids are described.","author":[{"dropping-particle":"","family":"Ruland","given":"Karl Christoph","non-dropping-particle":"","parse-names":false,"suffix":""},{"dropping-particle":"","family":"Sassmannshausen","given":"Jochen","non-dropping-particle":"","parse-names":false,"suffix":""},{"dropping-particle":"","family":"Waedt","given":"Karl","non-dropping-particle":"","parse-names":false,"suffix":""},{"dropping-particle":"","family":"Zivic","given":"Natasa","non-dropping-particle":"","parse-names":false,"suffix":""}],"container-title":"Elektrotechnik und Informationstechnik","id":"ITEM-2","issue":"1","issued":{"date-parts":[["2017","2","1"]]},"page":"19-25","publisher":"Springer-Verlag Wien","title":"Smart Grid Security – ein Überblick über Standards und Richtlinien","type":"article-journal","volume":"134"},"uris":["http://www.mendeley.com/documents/?uuid=2f908d06-6127-3f72-a674-7d047dad0485"]},{"id":"ITEM-3","itemData":{"DOI":"10.1016/J.COSE.2016.07.008","ISSN":"0167-4048","abstract":"Future smart grids will consist of legacy systems and new ICT components, which are used to support increased monitoring and control capabilities in the low- and medium-voltage grids. In this article, we present a cybersecurity risk assessment method, which involves two interrelated streams of analyses that can be used to determine the risks associated with an architectural concept of a smart grid that includes both legacy systems and novel ICT concepts. To ensure the validity of the recommendations that stem from the risk assessment with respect to national regulatory and deployment norms, the analysis is based on a consolidated national smart grid reference architecture. We have applied the method in a national smart grid security project that includes a number of key smart grid stakeholders, resulting in security recommendations that are based on a sound understanding of cybersecurity risks.","author":[{"dropping-particle":"","family":"Langer","given":"Lucie","non-dropping-particle":"","parse-names":false,"suffix":""},{"dropping-particle":"","family":"Skopik","given":"Florian","non-dropping-particle":"","parse-names":false,"suffix":""},{"dropping-particle":"","family":"Smith","given":"Paul","non-dropping-particle":"","parse-names":false,"suffix":""},{"dropping-particle":"","family":"Kammerstetter","given":"Markus","non-dropping-particle":"","parse-names":false,"suffix":""}],"container-title":"Computers &amp; Security","id":"ITEM-3","issued":{"date-parts":[["2016","9","1"]]},"page":"165-176","publisher":"Elsevier Advanced Technology","title":"From old to new: Assessing cybersecurity risks for an evolving smart grid","type":"article-journal","volume":"62"},"uris":["http://www.mendeley.com/documents/?uuid=3ae1df07-7efe-3b2a-9e8c-7fdc32568205"]},{"id":"ITEM-4","itemData":{"DOI":"10.1016/J.CSI.2017.09.005","ISSN":"0920-5489","abstract":"Resilient information and communications technologies are a prerequisite for reliable operation of the smart grid. In recent years, many standards for the new form of electricity network have been proposed, which results in operators and other smart grid stakeholders having difficulties in finding the documents which can be related to their particular problems. The purpose of this paper is to bring in all smart grid standards that describe cybersecurity issues and to provide the information regarding their contents. In order to achieve this goal, a systematic study was conducted that led to the identification of thirty six publications on security and eleven on privacy. The details of the research method and the standards’ selection and evaluation criteria are presented.","author":[{"dropping-particle":"","family":"Leszczyna","given":"Rafał","non-dropping-particle":"","parse-names":false,"suffix":""}],"container-title":"Computer Standards &amp; Interfaces","id":"ITEM-4","issued":{"date-parts":[["2018","2","1"]]},"page":"62-73","publisher":"North-Holland","title":"Cybersecurity and privacy in standards for smart grids – A comprehensive survey","type":"article-journal","volume":"56"},"uris":["http://www.mendeley.com/documents/?uuid=be6a50b3-30bb-3434-b5e9-d4ec85e5b0db"]},{"id":"ITEM-5","itemData":{"DOI":"10.1109/ISGTEUROPE.2014.7028834","ISBN":"9781479977208","abstract":"The complexity of today's power systems is continuously increasing due to the paradigm shift towards Smart Grids. This leads to a large number of use cases that need to be covered by holistic future energy systems of which power grids are just one subsystem. However, providing information about those use cases in a structured way in order to obtain a common basis for information exchange has often not been considered in the past. Covering this gap has led to the development of use case templates in the IEC and the Smart Grid Architecture Model in the EU Mandate M/490. Furthermore, regarding the usability of these two approaches, the SGAM Toolbox and the Use Case Management Repository have been developed as appropriate tool support. In this paper, a third component for visual analysis purposes is introduced. The overall goal of the approach proposed in this paper is to integrate these three components into a comprehensive toolchain that supports the whole process from use case development to visualization in compliance to the findings of EU Mandate M/490.","author":[{"dropping-particle":"","family":"Neureiter","given":"Christian","non-dropping-particle":"","parse-names":false,"suffix":""},{"dropping-particle":"","family":"Engel","given":"Dominik","non-dropping-particle":"","parse-names":false,"suffix":""},{"dropping-particle":"","family":"Trefke","given":"Jorn","non-dropping-particle":"","parse-names":false,"suffix":""},{"dropping-particle":"","family":"Santodomingo","given":"Rafael","non-dropping-particle":"","parse-names":false,"suffix":""},{"dropping-particle":"","family":"Rohjans","given":"Sebastian","non-dropping-particle":"","parse-names":false,"suffix":""},{"dropping-particle":"","family":"Uslar","given":"Mathias","non-dropping-particle":"","parse-names":false,"suffix":""}],"container-title":"IEEE PES Innovative Smart Grid Technologies Conference Europe","id":"ITEM-5","issue":"January","issued":{"date-parts":[["2015","1","30"]]},"publisher":"IEEE Computer Society","title":"Towards consistent smart grid architecture tool support: From use cases to visualization","type":"article-journal","volume":"2015-January"},"uris":["http://www.mendeley.com/documents/?uuid=a23acfff-4d3d-3f7f-8132-ad04ac3abd3c"]}],"mendeley":{"formattedCitation":"[23,199–202]","plainTextFormattedCitation":"[23,199–202]","previouslyFormattedCitation":"[23,199–202]"},"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[23,199–202]</w:t>
      </w:r>
      <w:r w:rsidR="008473C5" w:rsidRPr="003676D3">
        <w:rPr>
          <w:rFonts w:ascii="Times New Roman" w:hAnsi="Times New Roman" w:cs="Times New Roman"/>
          <w:sz w:val="24"/>
          <w:szCs w:val="24"/>
        </w:rPr>
        <w:fldChar w:fldCharType="end"/>
      </w:r>
      <w:r w:rsidRPr="003676D3">
        <w:rPr>
          <w:rFonts w:ascii="Times New Roman" w:hAnsi="Times New Roman" w:cs="Times New Roman"/>
          <w:sz w:val="24"/>
          <w:szCs w:val="24"/>
        </w:rPr>
        <w:t>.</w:t>
      </w:r>
    </w:p>
    <w:p w14:paraId="3A731CA8" w14:textId="6B056B67" w:rsidR="004F4B0D" w:rsidRPr="003676D3" w:rsidRDefault="006F37A0"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lastRenderedPageBreak/>
        <w:t xml:space="preserve">SSGs are prone to cyber-physical attacks. </w:t>
      </w:r>
      <w:r w:rsidR="004F4B0D" w:rsidRPr="003676D3">
        <w:rPr>
          <w:rFonts w:ascii="Times New Roman" w:hAnsi="Times New Roman" w:cs="Times New Roman"/>
          <w:sz w:val="24"/>
          <w:szCs w:val="24"/>
        </w:rPr>
        <w:t xml:space="preserve">The study </w:t>
      </w:r>
      <w:r w:rsidR="004B1918" w:rsidRPr="003676D3">
        <w:rPr>
          <w:rFonts w:ascii="Times New Roman" w:hAnsi="Times New Roman" w:cs="Times New Roman"/>
          <w:sz w:val="24"/>
          <w:szCs w:val="24"/>
        </w:rPr>
        <w:t>delineates</w:t>
      </w:r>
      <w:r w:rsidR="004F4B0D" w:rsidRPr="003676D3">
        <w:rPr>
          <w:rFonts w:ascii="Times New Roman" w:hAnsi="Times New Roman" w:cs="Times New Roman"/>
          <w:sz w:val="24"/>
          <w:szCs w:val="24"/>
        </w:rPr>
        <w:t xml:space="preserve"> three key security levels for smart grids: </w:t>
      </w:r>
      <w:r w:rsidR="00624232" w:rsidRPr="003676D3">
        <w:rPr>
          <w:rFonts w:ascii="Times New Roman" w:hAnsi="Times New Roman" w:cs="Times New Roman"/>
          <w:sz w:val="24"/>
          <w:szCs w:val="24"/>
        </w:rPr>
        <w:t xml:space="preserve">confidentiality, </w:t>
      </w:r>
      <w:r w:rsidR="004F4B0D" w:rsidRPr="003676D3">
        <w:rPr>
          <w:rFonts w:ascii="Times New Roman" w:hAnsi="Times New Roman" w:cs="Times New Roman"/>
          <w:sz w:val="24"/>
          <w:szCs w:val="24"/>
        </w:rPr>
        <w:t>availabi</w:t>
      </w:r>
      <w:r w:rsidR="00624232" w:rsidRPr="003676D3">
        <w:rPr>
          <w:rFonts w:ascii="Times New Roman" w:hAnsi="Times New Roman" w:cs="Times New Roman"/>
          <w:sz w:val="24"/>
          <w:szCs w:val="24"/>
        </w:rPr>
        <w:t>lity and integrity</w:t>
      </w:r>
      <w:r w:rsidR="004F4B0D" w:rsidRPr="003676D3">
        <w:rPr>
          <w:rFonts w:ascii="Times New Roman" w:hAnsi="Times New Roman" w:cs="Times New Roman"/>
          <w:sz w:val="24"/>
          <w:szCs w:val="24"/>
        </w:rPr>
        <w:t>. Various attack classification strategies have been explored, elucidating their impacts across different communication layers such as the physical, MAC, network, transport, and application layers. Detailed examinations of cyber-attacks on data integrity and confidentiality are also provided in</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{"citationItems":[{"id":"ITEM-1","itemData":{"DOI":"10.1016/J.COMPELECENG.2018.01.015","ISSN":"00457906","abstract":"Abstract Smart grid uses the power of information technology to intelligently deliver energy by using a two-way communication and wisely meet the environmental requirements by facilitating the integration of green technologies. The inherent weakness of communication technology has exposed the system to numerous security threats. Several survey papers have discussed these problems and their countermeasures. However, most of these papers classified attacks based on confidentiality, integrity, and availability, but they excluded the accountability. In addition, the existing countermeasures focus on countering some specific attacks or protecting some specific components, but there is no global approach to secure the entire system. In this paper, we review the security requirements, provide descriptions of several severe cyber-attacks, and propose a cyber-security strategy to detect and counter these attacks. Lastly, we provide some future research directions.","author":[{"dropping-particle":"El","family":"Mrabet","given":"Zakaria","non-dropping-particle":"","parse-names":false,"suffix":""},{"dropping-particle":"","family":"Kaabouch","given":"Naima","non-dropping-particle":"","parse-names":false,"suffix":""},{"dropping-particle":"El","family":"Ghazi","given":"Hassan","non-dropping-particle":"","parse-names":false,"suffix":""},{"dropping-particle":"El","family":"Ghazi","given":"Hamid","non-dropping-particle":"","parse-names":false,"suffix":""}],"container-title":"ArXiv","id":"ITEM-1","issued":{"date-parts":[["2018","4","1"]]},"page":"469-482","publisher":"Elsevier Ltd","title":"Cyber-security in smart grid: Survey and challenges","type":"article-journal","volume":"abs/1809.02609"},"uris":["http://www.mendeley.com/documents/?uuid=093a36a8-d8f5-3a92-9cb9-edd30a43859b"]},{"id":"ITEM-2","itemData":{"DOI":"10.1016/J.COMNET.2012.12.017","ISSN":"1389-1286","abstract":"The Smart Grid, generally referred to as the next-generation power system, is considered as a revolutionary and evolutionary regime of existing power grids. More importantly, with the integration of advanced computing and communication technologies, the Smart Grid is expected to greatly enhance efficiency and reliability of future power systems with renewable energy resources, as well as distributed intelligence and demand response. Along with the silent features of the Smart Grid, cyber security emerges to be a critical issue because millions of electronic devices are inter-connected via communication networks throughout critical power facilities, which has an immediate impact on reliability of such a widespread infrastructure. In this paper, we present a comprehensive survey of cyber security issues for the Smart Grid. Specifically, we focus on reviewing and discussing security requirements, network vulnerabilities, attack countermeasures, secure communication protocols and architectures in the Smart Grid. We aim to provide a deep understanding of security vulnerabilities and solutions in the Smart Grid and shed light on future research directions for Smart Grid security. © 2012 Elsevier B.V. All rights reserved.","author":[{"dropping-particle":"","family":"Wang","given":"Wenye","non-dropping-particle":"","parse-names":false,"suffix":""},{"dropping-particle":"","family":"Lu","given":"Zhuo","non-dropping-particle":"","parse-names":false,"suffix":""}],"container-title":"Computer Networks","id":"ITEM-2","issue":"5","issued":{"date-parts":[["2013","4","7"]]},"page":"1344-1371","publisher":"Elsevier","title":"Cyber security in the Smart Grid: Survey and challenges","type":"article-journal","volume":"57"},"uris":["http://www.mendeley.com/documents/?uuid=90832a88-2b9e-3622-9bae-360255638b44"]}],"mendeley":{"formattedCitation":"[48,203]","plainTextFormattedCitation":"[48,203]","previouslyFormattedCitation":"[48,203]"},"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[48,203]</w:t>
      </w:r>
      <w:r w:rsidR="008473C5" w:rsidRPr="003676D3">
        <w:rPr>
          <w:rFonts w:ascii="Times New Roman" w:hAnsi="Times New Roman" w:cs="Times New Roman"/>
          <w:sz w:val="24"/>
          <w:szCs w:val="24"/>
        </w:rPr>
        <w:fldChar w:fldCharType="end"/>
      </w:r>
      <w:r w:rsidR="004F4B0D" w:rsidRPr="003676D3">
        <w:rPr>
          <w:rFonts w:ascii="Times New Roman" w:hAnsi="Times New Roman" w:cs="Times New Roman"/>
          <w:sz w:val="24"/>
          <w:szCs w:val="24"/>
        </w:rPr>
        <w:t>.</w:t>
      </w:r>
    </w:p>
    <w:p w14:paraId="167AA3C1" w14:textId="6F6C2C41" w:rsidR="00CC49AF" w:rsidRPr="003676D3" w:rsidRDefault="004F4B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Security mechanisms outlined in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{"citationItems":[{"id":"ITEM-1","itemData":{"DOI":"10.1109/TSG.2011.2163829","ISSN":"19493053","abstract":"The smart grid's heavy reliance on cyber resources introduces numerous security concerns. The substantial attack surface presented by the advanced metering infrastructure (AMI) along with the dissemination of sensitive data including privacy, billing, and control information will provide attackers with significant economic incentive. In addition, the scale and complexity of the architecture will stress the capabilities of many security controls such as public key encryption (PKI), authentication, and access control. The aforementioned concerns produce a requirement for increased risk management including security models that have the capability to scale to such a complex environment. A security model is introduced to represent various privilege states in a large architecture and evaluates viable paths that an attacker could exploit. The resulting model is used to produce a quantitative information-based exposure metric to evaluate the completeness of implemented security mechanisms. Various applications are proposed to show how the metric can enhance current risk management processes by identifying information dependencies of the deployed security mechanisms. Finally, the applicability of the proposed methodologies has been evaluated through a simulation study using realistic AMI infrastructure to demonstrate the utility of the proposed metric. © 2011 IEEE.","author":[{"dropping-particle":"","family":"Hahn","given":"Adam","non-dropping-particle":"","parse-names":false,"suffix":""},{"dropping-particle":"","family":"Govindarasu","given":"Manimaran","non-dropping-particle":"","parse-names":false,"suffix":""}],"container-title":"IEEE Transactions on Smart Grid","id":"ITEM-1","issue":"4","issued":{"date-parts":[["2011","12"]]},"page":"835-843","title":"Cyber attack exposure evaluation framework for the smart grid","type":"article-journal","volume":"2"},"uris":["http://www.mendeley.com/documents/?uuid=f92f1612-b2d6-3fa9-8efc-5dacff6ad707"]}],"mendeley":{"formattedCitation":"[204]","plainTextFormattedCitation":"[204]","previouslyFormattedCitation":"[204]"},"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[204]</w:t>
      </w:r>
      <w:r w:rsidR="008473C5" w:rsidRPr="003676D3">
        <w:rPr>
          <w:rFonts w:ascii="Times New Roman" w:hAnsi="Times New Roman" w:cs="Times New Roman"/>
          <w:sz w:val="24"/>
          <w:szCs w:val="24"/>
        </w:rPr>
        <w:fldChar w:fldCharType="end"/>
      </w:r>
      <w:r w:rsidR="00540A3F" w:rsidRPr="003676D3">
        <w:rPr>
          <w:rFonts w:ascii="Times New Roman" w:hAnsi="Times New Roman" w:cs="Times New Roman"/>
          <w:sz w:val="24"/>
          <w:szCs w:val="24"/>
        </w:rPr>
        <w:t xml:space="preserve"> </w:t>
      </w:r>
      <w:r w:rsidRPr="003676D3">
        <w:rPr>
          <w:rFonts w:ascii="Times New Roman" w:hAnsi="Times New Roman" w:cs="Times New Roman"/>
          <w:sz w:val="24"/>
          <w:szCs w:val="24"/>
        </w:rPr>
        <w:t>offer protection for numerous informati</w:t>
      </w:r>
      <w:r w:rsidR="00277732" w:rsidRPr="003676D3">
        <w:rPr>
          <w:rFonts w:ascii="Times New Roman" w:hAnsi="Times New Roman" w:cs="Times New Roman"/>
          <w:sz w:val="24"/>
          <w:szCs w:val="24"/>
        </w:rPr>
        <w:t>on objects within the SG</w:t>
      </w:r>
      <w:r w:rsidRPr="003676D3">
        <w:rPr>
          <w:rFonts w:ascii="Times New Roman" w:hAnsi="Times New Roman" w:cs="Times New Roman"/>
          <w:sz w:val="24"/>
          <w:szCs w:val="24"/>
        </w:rPr>
        <w:t>. Vulnerabilities of these objects are simulated, demonstrating their effects using defined performance metrics. Additionally, the framework for sensors and actuators</w:t>
      </w:r>
      <w:r w:rsidR="0090025B" w:rsidRPr="003676D3">
        <w:rPr>
          <w:rFonts w:ascii="Times New Roman" w:hAnsi="Times New Roman" w:cs="Times New Roman"/>
          <w:sz w:val="24"/>
          <w:szCs w:val="24"/>
        </w:rPr>
        <w:t xml:space="preserve"> necessary</w:t>
      </w:r>
      <w:r w:rsidRPr="003676D3">
        <w:rPr>
          <w:rFonts w:ascii="Times New Roman" w:hAnsi="Times New Roman" w:cs="Times New Roman"/>
          <w:sz w:val="24"/>
          <w:szCs w:val="24"/>
        </w:rPr>
        <w:t xml:space="preserve"> for Industry 4.0 services and management, is discussed in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{"citationItems":[{"id":"ITEM-1","itemData":{"DOI":"10.1016/J.ENBUILD.2017.02.039","ISSN":"0378-7788","abstract":"For an industry 4.0 environment, the management and offering of services, falls over the construction of a stable and reliable sensor and actuator infrastructure. Industry 4.0 is undergoing increase advancement, infrastructure availability and public acceptance, mainly boosted by the Interconnected Things. The public acceptance drives an increase on investments, carrying an insurgence of companies competing with each other to gain market. Although lessening costs, this insurgence has brought heterogeneous infrastructures and solutions availability, challenging services providers. Among the challenges the security and different technology solutions support are of the most importance. The scattering of solutions and software code have to be conveniently gathered to avoid weak-points, eventually, a menace to be explored by hackers. This paper is a contribution in order to embraces those challenges in a new architecture framework able of supporting the creation of solutions for Smart Grid and Smart Living services providers under the industry 4.0 paradigm. The architecture framework design offers security, simplicity of implementation and maintenance, and is resilient to failures or attacks and technologically independent. Field tests are reported in order to evaluate key aspects of the proposed architecture.","author":[{"dropping-particle":"","family":"Batista","given":"N. C.","non-dropping-particle":"","parse-names":false,"suffix":""},{"dropping-particle":"","family":"Melício","given":"R.","non-dropping-particle":"","parse-names":false,"suffix":""},{"dropping-particle":"","family":"Mendes","given":"V. M.F.","non-dropping-particle":"","parse-names":false,"suffix":""}],"container-title":"Energy and Buildings","id":"ITEM-1","issued":{"date-parts":[["2017","4","15"]]},"page":"16-27","publisher":"Elsevier","title":"Services enabler architecture for smart grid and smart living services providers under industry 4.0","type":"article-journal","volume":"141"},"uris":["http://www.mendeley.com/documents/?uuid=290d2a7f-8b52-356e-b476-179862ca5088"]}],"mendeley":{"formattedCitation":"[205]","plainTextFormattedCitation":"[205]","previouslyFormattedCitation":"[205]"},"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[205]</w:t>
      </w:r>
      <w:r w:rsidR="008473C5" w:rsidRPr="003676D3">
        <w:rPr>
          <w:rFonts w:ascii="Times New Roman" w:hAnsi="Times New Roman" w:cs="Times New Roman"/>
          <w:sz w:val="24"/>
          <w:szCs w:val="24"/>
        </w:rPr>
        <w:fldChar w:fldCharType="end"/>
      </w:r>
      <w:r w:rsidR="0067737A" w:rsidRPr="003676D3">
        <w:rPr>
          <w:rFonts w:ascii="Times New Roman" w:hAnsi="Times New Roman" w:cs="Times New Roman"/>
          <w:sz w:val="24"/>
          <w:szCs w:val="24"/>
        </w:rPr>
        <w:t xml:space="preserve"> that could </w:t>
      </w:r>
      <w:r w:rsidRPr="003676D3">
        <w:rPr>
          <w:rFonts w:ascii="Times New Roman" w:hAnsi="Times New Roman" w:cs="Times New Roman"/>
          <w:sz w:val="24"/>
          <w:szCs w:val="24"/>
        </w:rPr>
        <w:t>enhanc</w:t>
      </w:r>
      <w:r w:rsidR="0067737A" w:rsidRPr="003676D3">
        <w:rPr>
          <w:rFonts w:ascii="Times New Roman" w:hAnsi="Times New Roman" w:cs="Times New Roman"/>
          <w:sz w:val="24"/>
          <w:szCs w:val="24"/>
        </w:rPr>
        <w:t>e</w:t>
      </w:r>
      <w:r w:rsidRPr="003676D3">
        <w:rPr>
          <w:rFonts w:ascii="Times New Roman" w:hAnsi="Times New Roman" w:cs="Times New Roman"/>
          <w:sz w:val="24"/>
          <w:szCs w:val="24"/>
        </w:rPr>
        <w:t xml:space="preserve"> system robustness and reliability.</w:t>
      </w:r>
      <w:r w:rsidR="00540A3F" w:rsidRPr="003676D3">
        <w:rPr>
          <w:rFonts w:ascii="Times New Roman" w:hAnsi="Times New Roman" w:cs="Times New Roman"/>
          <w:sz w:val="24"/>
          <w:szCs w:val="24"/>
        </w:rPr>
        <w:t xml:space="preserve"> </w:t>
      </w:r>
    </w:p>
    <w:p w14:paraId="67E36841" w14:textId="05D14ECF" w:rsidR="004F4B0D" w:rsidRPr="003676D3" w:rsidRDefault="001D24E5"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On the generation side, the c</w:t>
      </w:r>
      <w:r w:rsidR="004F4B0D" w:rsidRPr="003676D3">
        <w:rPr>
          <w:rFonts w:ascii="Times New Roman" w:hAnsi="Times New Roman" w:cs="Times New Roman"/>
          <w:sz w:val="24"/>
          <w:szCs w:val="24"/>
        </w:rPr>
        <w:t>yber-attacks</w:t>
      </w:r>
      <w:r w:rsidR="00277732" w:rsidRPr="003676D3">
        <w:rPr>
          <w:rFonts w:ascii="Times New Roman" w:hAnsi="Times New Roman" w:cs="Times New Roman"/>
          <w:sz w:val="24"/>
          <w:szCs w:val="24"/>
        </w:rPr>
        <w:t xml:space="preserve"> can </w:t>
      </w:r>
      <w:r w:rsidR="000F72A6" w:rsidRPr="003676D3">
        <w:rPr>
          <w:rFonts w:ascii="Times New Roman" w:hAnsi="Times New Roman" w:cs="Times New Roman"/>
          <w:sz w:val="24"/>
          <w:szCs w:val="24"/>
        </w:rPr>
        <w:t>disturb</w:t>
      </w:r>
      <w:r w:rsidR="00277732" w:rsidRPr="003676D3">
        <w:rPr>
          <w:rFonts w:ascii="Times New Roman" w:hAnsi="Times New Roman" w:cs="Times New Roman"/>
          <w:sz w:val="24"/>
          <w:szCs w:val="24"/>
        </w:rPr>
        <w:t xml:space="preserve"> </w:t>
      </w:r>
      <w:r w:rsidR="004F4B0D" w:rsidRPr="003676D3">
        <w:rPr>
          <w:rFonts w:ascii="Times New Roman" w:hAnsi="Times New Roman" w:cs="Times New Roman"/>
          <w:sz w:val="24"/>
          <w:szCs w:val="24"/>
        </w:rPr>
        <w:t>automatic voltage regulator (AVR) set-points</w:t>
      </w:r>
      <w:r w:rsidR="000F72A6" w:rsidRPr="003676D3">
        <w:rPr>
          <w:rFonts w:ascii="Times New Roman" w:hAnsi="Times New Roman" w:cs="Times New Roman"/>
          <w:sz w:val="24"/>
          <w:szCs w:val="24"/>
        </w:rPr>
        <w:t xml:space="preserve"> </w:t>
      </w:r>
      <w:r w:rsidR="00277732" w:rsidRPr="003676D3">
        <w:rPr>
          <w:rFonts w:ascii="Times New Roman" w:hAnsi="Times New Roman" w:cs="Times New Roman"/>
          <w:sz w:val="24"/>
          <w:szCs w:val="24"/>
        </w:rPr>
        <w:t>and governor settings</w:t>
      </w:r>
      <w:r w:rsidR="000F72A6" w:rsidRPr="003676D3">
        <w:rPr>
          <w:rFonts w:ascii="Times New Roman" w:hAnsi="Times New Roman" w:cs="Times New Roman"/>
          <w:sz w:val="24"/>
          <w:szCs w:val="24"/>
        </w:rPr>
        <w:t xml:space="preserve">. This could </w:t>
      </w:r>
      <w:r w:rsidR="005418F0" w:rsidRPr="003676D3">
        <w:rPr>
          <w:rFonts w:ascii="Times New Roman" w:hAnsi="Times New Roman" w:cs="Times New Roman"/>
          <w:sz w:val="24"/>
          <w:szCs w:val="24"/>
        </w:rPr>
        <w:t>cause</w:t>
      </w:r>
      <w:r w:rsidR="008D411B" w:rsidRPr="003676D3">
        <w:rPr>
          <w:rFonts w:ascii="Times New Roman" w:hAnsi="Times New Roman" w:cs="Times New Roman"/>
          <w:sz w:val="24"/>
          <w:szCs w:val="24"/>
        </w:rPr>
        <w:t xml:space="preserve"> disruption in</w:t>
      </w:r>
      <w:r w:rsidR="000F72A6" w:rsidRPr="003676D3">
        <w:rPr>
          <w:rFonts w:ascii="Times New Roman" w:hAnsi="Times New Roman" w:cs="Times New Roman"/>
          <w:sz w:val="24"/>
          <w:szCs w:val="24"/>
        </w:rPr>
        <w:t xml:space="preserve"> the</w:t>
      </w:r>
      <w:r w:rsidR="004F4B0D" w:rsidRPr="003676D3">
        <w:rPr>
          <w:rFonts w:ascii="Times New Roman" w:hAnsi="Times New Roman" w:cs="Times New Roman"/>
          <w:sz w:val="24"/>
          <w:szCs w:val="24"/>
        </w:rPr>
        <w:t xml:space="preserve"> </w:t>
      </w:r>
      <w:r w:rsidR="00247091" w:rsidRPr="003676D3">
        <w:rPr>
          <w:rFonts w:ascii="Times New Roman" w:hAnsi="Times New Roman" w:cs="Times New Roman"/>
          <w:sz w:val="24"/>
          <w:szCs w:val="24"/>
        </w:rPr>
        <w:t xml:space="preserve">system </w:t>
      </w:r>
      <w:r w:rsidR="004F4B0D" w:rsidRPr="003676D3">
        <w:rPr>
          <w:rFonts w:ascii="Times New Roman" w:hAnsi="Times New Roman" w:cs="Times New Roman"/>
          <w:sz w:val="24"/>
          <w:szCs w:val="24"/>
        </w:rPr>
        <w:t xml:space="preserve">frequency and active power control. </w:t>
      </w:r>
      <w:r w:rsidR="00247091" w:rsidRPr="003676D3">
        <w:rPr>
          <w:rFonts w:ascii="Times New Roman" w:hAnsi="Times New Roman" w:cs="Times New Roman"/>
          <w:sz w:val="24"/>
          <w:szCs w:val="24"/>
        </w:rPr>
        <w:t>Attacks on t</w:t>
      </w:r>
      <w:r w:rsidR="004F4B0D" w:rsidRPr="003676D3">
        <w:rPr>
          <w:rFonts w:ascii="Times New Roman" w:hAnsi="Times New Roman" w:cs="Times New Roman"/>
          <w:sz w:val="24"/>
          <w:szCs w:val="24"/>
        </w:rPr>
        <w:t>ransmission control can disrupt</w:t>
      </w:r>
      <w:r w:rsidR="00247091" w:rsidRPr="003676D3">
        <w:rPr>
          <w:rFonts w:ascii="Times New Roman" w:hAnsi="Times New Roman" w:cs="Times New Roman"/>
          <w:sz w:val="24"/>
          <w:szCs w:val="24"/>
        </w:rPr>
        <w:t xml:space="preserve"> operation of</w:t>
      </w:r>
      <w:r w:rsidR="00624232" w:rsidRPr="003676D3">
        <w:rPr>
          <w:rFonts w:ascii="Times New Roman" w:hAnsi="Times New Roman" w:cs="Times New Roman"/>
          <w:sz w:val="24"/>
          <w:szCs w:val="24"/>
        </w:rPr>
        <w:t xml:space="preserve"> FACTS device</w:t>
      </w:r>
      <w:r w:rsidR="008D411B" w:rsidRPr="003676D3">
        <w:rPr>
          <w:rFonts w:ascii="Times New Roman" w:hAnsi="Times New Roman" w:cs="Times New Roman"/>
          <w:sz w:val="24"/>
          <w:szCs w:val="24"/>
        </w:rPr>
        <w:t xml:space="preserve">. These operations include </w:t>
      </w:r>
      <w:r w:rsidR="00624232" w:rsidRPr="003676D3">
        <w:rPr>
          <w:rFonts w:ascii="Times New Roman" w:hAnsi="Times New Roman" w:cs="Times New Roman"/>
          <w:sz w:val="24"/>
          <w:szCs w:val="24"/>
        </w:rPr>
        <w:t xml:space="preserve">state estimation algorithms, </w:t>
      </w:r>
      <w:r w:rsidR="004F4B0D" w:rsidRPr="003676D3">
        <w:rPr>
          <w:rFonts w:ascii="Times New Roman" w:hAnsi="Times New Roman" w:cs="Times New Roman"/>
          <w:sz w:val="24"/>
          <w:szCs w:val="24"/>
        </w:rPr>
        <w:t xml:space="preserve">and wide area monitoring systems (WAMS). Similarly, attacks on distribution </w:t>
      </w:r>
      <w:r w:rsidR="00B53658" w:rsidRPr="003676D3">
        <w:rPr>
          <w:rFonts w:ascii="Times New Roman" w:hAnsi="Times New Roman" w:cs="Times New Roman"/>
          <w:sz w:val="24"/>
          <w:szCs w:val="24"/>
        </w:rPr>
        <w:t xml:space="preserve">side </w:t>
      </w:r>
      <w:r w:rsidR="004F4B0D" w:rsidRPr="003676D3">
        <w:rPr>
          <w:rFonts w:ascii="Times New Roman" w:hAnsi="Times New Roman" w:cs="Times New Roman"/>
          <w:sz w:val="24"/>
          <w:szCs w:val="24"/>
        </w:rPr>
        <w:t>can</w:t>
      </w:r>
      <w:r w:rsidR="00624232" w:rsidRPr="003676D3">
        <w:rPr>
          <w:rFonts w:ascii="Times New Roman" w:hAnsi="Times New Roman" w:cs="Times New Roman"/>
          <w:sz w:val="24"/>
          <w:szCs w:val="24"/>
        </w:rPr>
        <w:t xml:space="preserve"> </w:t>
      </w:r>
      <w:r w:rsidR="00B53658" w:rsidRPr="003676D3">
        <w:rPr>
          <w:rFonts w:ascii="Times New Roman" w:hAnsi="Times New Roman" w:cs="Times New Roman"/>
          <w:sz w:val="24"/>
          <w:szCs w:val="24"/>
        </w:rPr>
        <w:t>cause</w:t>
      </w:r>
      <w:r w:rsidR="00624232" w:rsidRPr="003676D3">
        <w:rPr>
          <w:rFonts w:ascii="Times New Roman" w:hAnsi="Times New Roman" w:cs="Times New Roman"/>
          <w:sz w:val="24"/>
          <w:szCs w:val="24"/>
        </w:rPr>
        <w:t xml:space="preserve"> load shedding and demand side management</w:t>
      </w:r>
      <w:r w:rsidR="004F4B0D" w:rsidRPr="003676D3">
        <w:rPr>
          <w:rFonts w:ascii="Times New Roman" w:hAnsi="Times New Roman" w:cs="Times New Roman"/>
          <w:sz w:val="24"/>
          <w:szCs w:val="24"/>
        </w:rPr>
        <w:t xml:space="preserve"> strategies. Once these effects are understood, supporting methodologies are implemented to detect and mitigate cyber-attacks.</w:t>
      </w:r>
      <w:r w:rsidR="00540A3F" w:rsidRPr="003676D3">
        <w:rPr>
          <w:rFonts w:ascii="Times New Roman" w:hAnsi="Times New Roman" w:cs="Times New Roman"/>
          <w:sz w:val="24"/>
          <w:szCs w:val="24"/>
        </w:rPr>
        <w:t xml:space="preserve"> </w:t>
      </w:r>
      <w:r w:rsidR="004F4B0D" w:rsidRPr="003676D3">
        <w:rPr>
          <w:rFonts w:ascii="Times New Roman" w:hAnsi="Times New Roman" w:cs="Times New Roman"/>
          <w:sz w:val="24"/>
          <w:szCs w:val="24"/>
        </w:rPr>
        <w:t xml:space="preserve">Emerging research challenges in smart grid cybersecurity, as discussed in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{"citationItems":[{"id":"ITEM-1","itemData":{"DOI":"10.1109/JPROC.2011.2165269","ISSN":"00189219","abstract":"The development of a trustworthy smart grid requires a deeper understanding of potential impacts resulting from successful cyber attacks. Estimating feasible attack impact requires an evaluation of the grid's dependency on its cyber infrastructure and its ability to tolerate potential failures. A further exploration of the cyber-physical relationships within the smart grid and a specific review of possible attack vectors is necessary to determine the adequacy of cybersecurity efforts. This paper highlights the significance of cyber infrastructure security in conjunction with power application security to prevent, mitigate, and tolerate cyber attacks. A layered approach is introduced to evaluating risk based on the security of both the physical power applications and the supporting cyber infrastructure. A classification is presented to highlight dependencies between the cyber-physical controls required to support the smart grid and the communication and computations that must be protected from cyber attack. The paper then presents current research efforts aimed at enhancing the smart grid's application and infrastructure security. Finally, current challenges are identified to facilitate future research efforts. © 2012 IEEE.","author":[{"dropping-particle":"","family":"Sridhar","given":"Siddharth","non-dropping-particle":"","parse-names":false,"suffix":""},{"dropping-particle":"","family":"Hahn","given":"Adam","non-dropping-particle":"","parse-names":false,"suffix":""},{"dropping-particle":"","family":"Govindarasu","given":"Manimaran","non-dropping-particle":"","parse-names":false,"suffix":""}],"container-title":"Proceedings of the IEEE","id":"ITEM-1","issue":"1","issued":{"date-parts":[["2012"]]},"page":"210-224","publisher":"Institute of Electrical and Electronics Engineers Inc.","title":"Cyber-physical system security for the electric power grid","type":"article-journal","volume":"100"},"uris":["http://www.mendeley.com/documents/?uuid=94da9292-a8a1-3afa-82c3-d7a487e0bc19"]}],"mendeley":{"formattedCitation":"[206]","plainTextFormattedCitation":"[206]","previouslyFormattedCitation":"[206]"},"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[206]</w:t>
      </w:r>
      <w:r w:rsidR="008473C5" w:rsidRPr="003676D3">
        <w:rPr>
          <w:rFonts w:ascii="Times New Roman" w:hAnsi="Times New Roman" w:cs="Times New Roman"/>
          <w:sz w:val="24"/>
          <w:szCs w:val="24"/>
        </w:rPr>
        <w:fldChar w:fldCharType="end"/>
      </w:r>
      <w:r w:rsidR="00540A3F" w:rsidRPr="003676D3">
        <w:rPr>
          <w:rFonts w:ascii="Times New Roman" w:hAnsi="Times New Roman" w:cs="Times New Roman"/>
          <w:sz w:val="24"/>
          <w:szCs w:val="24"/>
        </w:rPr>
        <w:t xml:space="preserve"> </w:t>
      </w:r>
      <w:r w:rsidR="004F4B0D" w:rsidRPr="003676D3">
        <w:rPr>
          <w:rFonts w:ascii="Times New Roman" w:hAnsi="Times New Roman" w:cs="Times New Roman"/>
          <w:sz w:val="24"/>
          <w:szCs w:val="24"/>
        </w:rPr>
        <w:t xml:space="preserve">encompass risk </w:t>
      </w:r>
      <w:r w:rsidR="008473C5" w:rsidRPr="003676D3">
        <w:rPr>
          <w:rFonts w:ascii="Times New Roman" w:hAnsi="Times New Roman" w:cs="Times New Roman"/>
          <w:sz w:val="24"/>
          <w:szCs w:val="24"/>
        </w:rPr>
        <w:t>modelling</w:t>
      </w:r>
      <w:r w:rsidR="004F4B0D" w:rsidRPr="003676D3">
        <w:rPr>
          <w:rFonts w:ascii="Times New Roman" w:hAnsi="Times New Roman" w:cs="Times New Roman"/>
          <w:sz w:val="24"/>
          <w:szCs w:val="24"/>
        </w:rPr>
        <w:t>, mitigation algorithms</w:t>
      </w:r>
      <w:r w:rsidR="00B53658" w:rsidRPr="003676D3">
        <w:rPr>
          <w:rFonts w:ascii="Times New Roman" w:hAnsi="Times New Roman" w:cs="Times New Roman"/>
          <w:sz w:val="24"/>
          <w:szCs w:val="24"/>
        </w:rPr>
        <w:t xml:space="preserve"> and </w:t>
      </w:r>
      <w:r w:rsidR="004F4B0D" w:rsidRPr="003676D3">
        <w:rPr>
          <w:rFonts w:ascii="Times New Roman" w:hAnsi="Times New Roman" w:cs="Times New Roman"/>
          <w:sz w:val="24"/>
          <w:szCs w:val="24"/>
        </w:rPr>
        <w:t xml:space="preserve">coordinated attack </w:t>
      </w:r>
      <w:r w:rsidR="008473C5" w:rsidRPr="003676D3">
        <w:rPr>
          <w:rFonts w:ascii="Times New Roman" w:hAnsi="Times New Roman" w:cs="Times New Roman"/>
          <w:sz w:val="24"/>
          <w:szCs w:val="24"/>
        </w:rPr>
        <w:t>defence</w:t>
      </w:r>
      <w:r w:rsidR="00B53658" w:rsidRPr="003676D3">
        <w:rPr>
          <w:rFonts w:ascii="Times New Roman" w:hAnsi="Times New Roman" w:cs="Times New Roman"/>
          <w:sz w:val="24"/>
          <w:szCs w:val="24"/>
        </w:rPr>
        <w:t xml:space="preserve">. </w:t>
      </w:r>
      <w:r w:rsidR="0048335E" w:rsidRPr="003676D3">
        <w:rPr>
          <w:rFonts w:ascii="Times New Roman" w:hAnsi="Times New Roman" w:cs="Times New Roman"/>
          <w:sz w:val="24"/>
          <w:szCs w:val="24"/>
        </w:rPr>
        <w:t xml:space="preserve">Other research challenges in this domain include </w:t>
      </w:r>
      <w:r w:rsidR="004F4B0D" w:rsidRPr="003676D3">
        <w:rPr>
          <w:rFonts w:ascii="Times New Roman" w:hAnsi="Times New Roman" w:cs="Times New Roman"/>
          <w:sz w:val="24"/>
          <w:szCs w:val="24"/>
        </w:rPr>
        <w:t>AMI security, trust management, attack attribution, and validation of incoming data.</w:t>
      </w:r>
    </w:p>
    <w:p w14:paraId="7890A194" w14:textId="10109328" w:rsidR="00CC49AF" w:rsidRPr="003676D3" w:rsidRDefault="006D62F8"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D</w:t>
      </w:r>
      <w:r w:rsidR="00CF0477" w:rsidRPr="003676D3">
        <w:rPr>
          <w:rFonts w:ascii="Times New Roman" w:hAnsi="Times New Roman" w:cs="Times New Roman"/>
          <w:sz w:val="24"/>
          <w:szCs w:val="24"/>
        </w:rPr>
        <w:t>ata</w:t>
      </w:r>
      <w:r w:rsidRPr="003676D3">
        <w:rPr>
          <w:rFonts w:ascii="Times New Roman" w:hAnsi="Times New Roman" w:cs="Times New Roman"/>
          <w:sz w:val="24"/>
          <w:szCs w:val="24"/>
        </w:rPr>
        <w:t xml:space="preserve"> management</w:t>
      </w:r>
      <w:r w:rsidR="00CF0477" w:rsidRPr="003676D3">
        <w:rPr>
          <w:rFonts w:ascii="Times New Roman" w:hAnsi="Times New Roman" w:cs="Times New Roman"/>
          <w:sz w:val="24"/>
          <w:szCs w:val="24"/>
        </w:rPr>
        <w:t xml:space="preserve"> in the metaverse </w:t>
      </w:r>
      <w:r w:rsidR="00010FA7" w:rsidRPr="003676D3">
        <w:rPr>
          <w:rFonts w:ascii="Times New Roman" w:hAnsi="Times New Roman" w:cs="Times New Roman"/>
          <w:sz w:val="24"/>
          <w:szCs w:val="24"/>
        </w:rPr>
        <w:t xml:space="preserve">has </w:t>
      </w:r>
      <w:r w:rsidR="008E7079" w:rsidRPr="003676D3">
        <w:rPr>
          <w:rFonts w:ascii="Times New Roman" w:hAnsi="Times New Roman" w:cs="Times New Roman"/>
          <w:sz w:val="24"/>
          <w:szCs w:val="24"/>
        </w:rPr>
        <w:t xml:space="preserve">to face </w:t>
      </w:r>
      <w:r w:rsidR="00CF0477" w:rsidRPr="003676D3">
        <w:rPr>
          <w:rFonts w:ascii="Times New Roman" w:hAnsi="Times New Roman" w:cs="Times New Roman"/>
          <w:sz w:val="24"/>
          <w:szCs w:val="24"/>
        </w:rPr>
        <w:t>multiple challenges</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{"citationItems":[{"id":"ITEM-1","itemData":{"DOI":"10.1016/J.PROCS.2022.12.374","ISSN":"1877-0509","abstract":"The Metaverse is revolutionizing the world of the internet. It is the new \"virtual\"universe capable of going beyond the pure three-dimensional and immersive dimension combining the physical and digital worlds. The metaverse, which until recently was an abstract concept, is now assuming great importance and attracting the attention of consumers, investors, brands, and large global players. Certainly, the first sector to adapt to this new immersive reality is e-commerce. Obviously, e-commerce is not the only sector affected by this digital revolution. Interoperability and interconnection will revolutionize current business models. Although the business opportunities seem endless, the scenario is still not entirely clear. Thus, the aim of the present research is to provide an overview on the state of the art, technologies, applications, and challenges of metaverse. Ethical and social implications are also analized. The result is a first detailed scenario analysis on the Metaverse.","author":[{"dropping-particle":"","family":"Felice","given":"Fabio","non-dropping-particle":"De","parse-names":false,"suffix":""},{"dropping-particle":"","family":"Luca","given":"Cristina","non-dropping-particle":"De","parse-names":false,"suffix":""},{"dropping-particle":"Di","family":"Chiara","given":"Simona","non-dropping-particle":"","parse-names":false,"suffix":""},{"dropping-particle":"","family":"Petrillo","given":"Antonella","non-dropping-particle":"","parse-names":false,"suffix":""}],"container-title":"Procedia Computer Science","id":"ITEM-1","issued":{"date-parts":[["2023","1","1"]]},"page":"1744-1754","publisher":"Elsevier","title":"Physical and digital worlds: implications and opportunities of the metaverse","type":"article-journal","volume":"217"},"uris":["http://www.mendeley.com/documents/?uuid=ddf71720-5480-3022-be03-efc0d925d5be"]}],"mendeley":{"formattedCitation":"[196]","plainTextFormattedCitation":"[196]","previouslyFormattedCitation":"[196]"},"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[196]</w:t>
      </w:r>
      <w:r w:rsidR="008473C5" w:rsidRPr="003676D3">
        <w:rPr>
          <w:rFonts w:ascii="Times New Roman" w:hAnsi="Times New Roman" w:cs="Times New Roman"/>
          <w:sz w:val="24"/>
          <w:szCs w:val="24"/>
        </w:rPr>
        <w:fldChar w:fldCharType="end"/>
      </w:r>
      <w:r w:rsidR="00CF0477" w:rsidRPr="003676D3">
        <w:rPr>
          <w:rFonts w:ascii="Times New Roman" w:hAnsi="Times New Roman" w:cs="Times New Roman"/>
          <w:sz w:val="24"/>
          <w:szCs w:val="24"/>
        </w:rPr>
        <w:t xml:space="preserve"> due to the diversity </w:t>
      </w:r>
      <w:r w:rsidR="00644D33" w:rsidRPr="003676D3">
        <w:rPr>
          <w:rFonts w:ascii="Times New Roman" w:hAnsi="Times New Roman" w:cs="Times New Roman"/>
          <w:sz w:val="24"/>
          <w:szCs w:val="24"/>
        </w:rPr>
        <w:t>in the</w:t>
      </w:r>
      <w:r w:rsidR="00CF0477" w:rsidRPr="003676D3">
        <w:rPr>
          <w:rFonts w:ascii="Times New Roman" w:hAnsi="Times New Roman" w:cs="Times New Roman"/>
          <w:sz w:val="24"/>
          <w:szCs w:val="24"/>
        </w:rPr>
        <w:t xml:space="preserve"> data formats</w:t>
      </w:r>
      <w:r w:rsidR="00010FA7" w:rsidRPr="003676D3">
        <w:rPr>
          <w:rFonts w:ascii="Times New Roman" w:hAnsi="Times New Roman" w:cs="Times New Roman"/>
          <w:sz w:val="24"/>
          <w:szCs w:val="24"/>
        </w:rPr>
        <w:t xml:space="preserve">. The various data types </w:t>
      </w:r>
      <w:r w:rsidR="00CF0477" w:rsidRPr="003676D3">
        <w:rPr>
          <w:rFonts w:ascii="Times New Roman" w:hAnsi="Times New Roman" w:cs="Times New Roman"/>
          <w:sz w:val="24"/>
          <w:szCs w:val="24"/>
        </w:rPr>
        <w:t>includ</w:t>
      </w:r>
      <w:r w:rsidR="00010FA7" w:rsidRPr="003676D3">
        <w:rPr>
          <w:rFonts w:ascii="Times New Roman" w:hAnsi="Times New Roman" w:cs="Times New Roman"/>
          <w:sz w:val="24"/>
          <w:szCs w:val="24"/>
        </w:rPr>
        <w:t>e</w:t>
      </w:r>
      <w:r w:rsidR="00CF0477" w:rsidRPr="003676D3">
        <w:rPr>
          <w:rFonts w:ascii="Times New Roman" w:hAnsi="Times New Roman" w:cs="Times New Roman"/>
          <w:sz w:val="24"/>
          <w:szCs w:val="24"/>
        </w:rPr>
        <w:t xml:space="preserve"> structured data,</w:t>
      </w:r>
      <w:r w:rsidR="00A86A12" w:rsidRPr="003676D3">
        <w:rPr>
          <w:rFonts w:ascii="Times New Roman" w:hAnsi="Times New Roman" w:cs="Times New Roman"/>
          <w:sz w:val="24"/>
          <w:szCs w:val="24"/>
        </w:rPr>
        <w:t xml:space="preserve"> location information and multimedia</w:t>
      </w:r>
      <w:r w:rsidR="00644D33" w:rsidRPr="003676D3">
        <w:rPr>
          <w:rFonts w:ascii="Times New Roman" w:hAnsi="Times New Roman" w:cs="Times New Roman"/>
          <w:sz w:val="24"/>
          <w:szCs w:val="24"/>
        </w:rPr>
        <w:t>.</w:t>
      </w:r>
      <w:r w:rsidR="00A86A12" w:rsidRPr="003676D3">
        <w:rPr>
          <w:rFonts w:ascii="Times New Roman" w:hAnsi="Times New Roman" w:cs="Times New Roman"/>
          <w:sz w:val="24"/>
          <w:szCs w:val="24"/>
        </w:rPr>
        <w:t xml:space="preserve"> </w:t>
      </w:r>
      <w:r w:rsidR="00644D33" w:rsidRPr="003676D3">
        <w:rPr>
          <w:rFonts w:ascii="Times New Roman" w:hAnsi="Times New Roman" w:cs="Times New Roman"/>
          <w:sz w:val="24"/>
          <w:szCs w:val="24"/>
        </w:rPr>
        <w:t>E</w:t>
      </w:r>
      <w:r w:rsidR="00CF0477" w:rsidRPr="003676D3">
        <w:rPr>
          <w:rFonts w:ascii="Times New Roman" w:hAnsi="Times New Roman" w:cs="Times New Roman"/>
          <w:sz w:val="24"/>
          <w:szCs w:val="24"/>
        </w:rPr>
        <w:t>ach</w:t>
      </w:r>
      <w:r w:rsidR="00A86A12" w:rsidRPr="003676D3">
        <w:rPr>
          <w:rFonts w:ascii="Times New Roman" w:hAnsi="Times New Roman" w:cs="Times New Roman"/>
          <w:sz w:val="24"/>
          <w:szCs w:val="24"/>
        </w:rPr>
        <w:t xml:space="preserve"> </w:t>
      </w:r>
      <w:r w:rsidR="00644D33" w:rsidRPr="003676D3">
        <w:rPr>
          <w:rFonts w:ascii="Times New Roman" w:hAnsi="Times New Roman" w:cs="Times New Roman"/>
          <w:sz w:val="24"/>
          <w:szCs w:val="24"/>
        </w:rPr>
        <w:t xml:space="preserve">of these </w:t>
      </w:r>
      <w:r w:rsidR="00A86A12" w:rsidRPr="003676D3">
        <w:rPr>
          <w:rFonts w:ascii="Times New Roman" w:hAnsi="Times New Roman" w:cs="Times New Roman"/>
          <w:sz w:val="24"/>
          <w:szCs w:val="24"/>
        </w:rPr>
        <w:t>requir</w:t>
      </w:r>
      <w:r w:rsidR="00644D33" w:rsidRPr="003676D3">
        <w:rPr>
          <w:rFonts w:ascii="Times New Roman" w:hAnsi="Times New Roman" w:cs="Times New Roman"/>
          <w:sz w:val="24"/>
          <w:szCs w:val="24"/>
        </w:rPr>
        <w:t>es</w:t>
      </w:r>
      <w:r w:rsidR="00A86A12" w:rsidRPr="003676D3">
        <w:rPr>
          <w:rFonts w:ascii="Times New Roman" w:hAnsi="Times New Roman" w:cs="Times New Roman"/>
          <w:sz w:val="24"/>
          <w:szCs w:val="24"/>
        </w:rPr>
        <w:t xml:space="preserve"> distinct </w:t>
      </w:r>
      <w:r w:rsidR="00CF0477" w:rsidRPr="003676D3">
        <w:rPr>
          <w:rFonts w:ascii="Times New Roman" w:hAnsi="Times New Roman" w:cs="Times New Roman"/>
          <w:sz w:val="24"/>
          <w:szCs w:val="24"/>
        </w:rPr>
        <w:t>management</w:t>
      </w:r>
      <w:r w:rsidR="00A86A12" w:rsidRPr="003676D3">
        <w:rPr>
          <w:rFonts w:ascii="Times New Roman" w:hAnsi="Times New Roman" w:cs="Times New Roman"/>
          <w:sz w:val="24"/>
          <w:szCs w:val="24"/>
        </w:rPr>
        <w:t xml:space="preserve"> and storage</w:t>
      </w:r>
      <w:r w:rsidR="00CF0477" w:rsidRPr="003676D3">
        <w:rPr>
          <w:rFonts w:ascii="Times New Roman" w:hAnsi="Times New Roman" w:cs="Times New Roman"/>
          <w:sz w:val="24"/>
          <w:szCs w:val="24"/>
        </w:rPr>
        <w:t xml:space="preserve"> methods. Current method</w:t>
      </w:r>
      <w:r w:rsidR="00B25B0B" w:rsidRPr="003676D3">
        <w:rPr>
          <w:rFonts w:ascii="Times New Roman" w:hAnsi="Times New Roman" w:cs="Times New Roman"/>
          <w:sz w:val="24"/>
          <w:szCs w:val="24"/>
        </w:rPr>
        <w:t xml:space="preserve">s </w:t>
      </w:r>
      <w:r w:rsidR="00CF0477" w:rsidRPr="003676D3">
        <w:rPr>
          <w:rFonts w:ascii="Times New Roman" w:hAnsi="Times New Roman" w:cs="Times New Roman"/>
          <w:sz w:val="24"/>
          <w:szCs w:val="24"/>
        </w:rPr>
        <w:t xml:space="preserve">such as data compression, </w:t>
      </w:r>
      <w:r w:rsidR="00B53DCE" w:rsidRPr="003676D3">
        <w:rPr>
          <w:rFonts w:ascii="Times New Roman" w:hAnsi="Times New Roman" w:cs="Times New Roman"/>
          <w:sz w:val="24"/>
          <w:szCs w:val="24"/>
        </w:rPr>
        <w:t xml:space="preserve">data </w:t>
      </w:r>
      <w:r w:rsidR="00CF0477" w:rsidRPr="003676D3">
        <w:rPr>
          <w:rFonts w:ascii="Times New Roman" w:hAnsi="Times New Roman" w:cs="Times New Roman"/>
          <w:sz w:val="24"/>
          <w:szCs w:val="24"/>
        </w:rPr>
        <w:t>streaming, and cloud storage</w:t>
      </w:r>
      <w:r w:rsidR="00B25B0B" w:rsidRPr="003676D3">
        <w:rPr>
          <w:rFonts w:ascii="Times New Roman" w:hAnsi="Times New Roman" w:cs="Times New Roman"/>
          <w:sz w:val="24"/>
          <w:szCs w:val="24"/>
        </w:rPr>
        <w:t xml:space="preserve"> have certain</w:t>
      </w:r>
      <w:r w:rsidR="00CF0477" w:rsidRPr="003676D3">
        <w:rPr>
          <w:rFonts w:ascii="Times New Roman" w:hAnsi="Times New Roman" w:cs="Times New Roman"/>
          <w:sz w:val="24"/>
          <w:szCs w:val="24"/>
        </w:rPr>
        <w:t xml:space="preserve"> limit</w:t>
      </w:r>
      <w:r w:rsidR="00B25B0B" w:rsidRPr="003676D3">
        <w:rPr>
          <w:rFonts w:ascii="Times New Roman" w:hAnsi="Times New Roman" w:cs="Times New Roman"/>
          <w:sz w:val="24"/>
          <w:szCs w:val="24"/>
        </w:rPr>
        <w:t>ations. These limitations are due to the</w:t>
      </w:r>
      <w:r w:rsidR="00277732" w:rsidRPr="003676D3">
        <w:rPr>
          <w:rFonts w:ascii="Times New Roman" w:hAnsi="Times New Roman" w:cs="Times New Roman"/>
          <w:sz w:val="24"/>
          <w:szCs w:val="24"/>
        </w:rPr>
        <w:t xml:space="preserve"> processing power, data size, interoperability issues, </w:t>
      </w:r>
      <w:r w:rsidR="00CF0477" w:rsidRPr="003676D3">
        <w:rPr>
          <w:rFonts w:ascii="Times New Roman" w:hAnsi="Times New Roman" w:cs="Times New Roman"/>
          <w:sz w:val="24"/>
          <w:szCs w:val="24"/>
        </w:rPr>
        <w:t>network bandwidth</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{"citationItems":[{"id":"ITEM-1","itemData":{"DOI":"10.1016/J.IOT.2023.100884","ISSN":"2542-6605","abstract":"Recent years have witnessed a global trend toward the metaverse. The metaverse is a collection of immersive and interconnected digital spaces in which users can interact through computer-generated environments. As smart cities aim to enhance the experiences of their citizens by improving infrastructure, modernizing government services, increasing accessibility, accelerating economic growth, and promoting sustainability, the metaverse has the potential to significantly revolutionize, reshape, and transform smart cities. In this paper, we discuss how leveraging the metaverse for smart cities can stimulate innovations and bring about major improvements. We discuss the key enabling technologies for the metaverse, along with the premier benefits of adopting this technology and the opportunities it presents for smart city applications. We present ongoing projects and case studies to showcase the practicality of metaverse technology across various industries. Furthermore, we identify and discuss critical research challenges that currently impede the realization of the full potential of the metaverse. Finally, we outline future research directions that can be pursued to further the development of the metaverse and its integration with smart cities.","author":[{"dropping-particle":"","family":"Yaqoob","given":"Ibrar","non-dropping-particle":"","parse-names":false,"suffix":""},{"dropping-particle":"","family":"Salah","given":"Khaled","non-dropping-particle":"","parse-names":false,"suffix":""},{"dropping-particle":"","family":"Jayaraman","given":"Raja","non-dropping-particle":"","parse-names":false,"suffix":""},{"dropping-particle":"","family":"Omar","given":"Mohammed","non-dropping-particle":"","parse-names":false,"suffix":""}],"container-title":"Internet of Things","id":"ITEM-1","issued":{"date-parts":[["2023","10","1"]]},"page":"100884","publisher":"Elsevier","title":"Metaverse applications in smart cities: Enabling technologies, opportunities, challenges, and future directions","type":"article-journal","volume":"23"},"uris":["http://www.mendeley.com/documents/?uuid=804308e3-d7f0-3583-85fd-b8080d27e0fa"]},{"id":"ITEM-2","itemData":{"DOI":"10.1109/JIOT.2022.3222521","ISSN":"23274662","abstract":"The virtual world created by the development of the Internet, computers, artificial intelligence (AI), and hardware technologies have brought various degrees of digital transformation to people's lives. With multiple demands for virtual reality increasing, the metaverse, a new type of social ecology that can connect the physical and virtual worlds, is booming. However, with the rapid growth of data volume and value, the continuous evolution of the metaverse faces the demands and challenges of privacy, security, high synchronization, and low latency. Fortunately, the ever-evolving blockchain and intelligent networking technologies can be used to satisfy the trusted construction, continuous data interaction, and computing demands of the metaverse. Therefore, it is necessary to conduct an in-depth review of the role and gains of blockchain, intelligent networking, and the combination of both in providing the immersive experiences of the metaverse. In this survey, we first discuss the development trend, characteristics, and architecture of the metaverse. Then, the existing work on blockchain, networking, and the combination of the two technologies are reviewed, including overviews, applications, and challenges. Next, applications of the metaverse are summarized, emphasizing the importance of the metaverse and the fields of development. Finally, we discuss some open issues, challenges, and future research directions.","author":[{"dropping-particle":"","family":"Fu","given":"Yuchuan","non-dropping-particle":"","parse-names":false,"suffix":""},{"dropping-particle":"","family":"Li","given":"Changle","non-dropping-particle":"","parse-names":false,"suffix":""},{"dropping-particle":"","family":"Yu","given":"F. Richard","non-dropping-particle":"","parse-names":false,"suffix":""},{"dropping-particle":"","family":"Luan","given":"Tom H.","non-dropping-particle":"","parse-names":false,"suffix":""},{"dropping-particle":"","family":"Zhao","given":"Pincan","non-dropping-particle":"","parse-names":false,"suffix":""},{"dropping-particle":"","family":"Liu","given":"Sha","non-dropping-particle":"","parse-names":false,"suffix":""}],"container-title":"IEEE Internet of Things Journal","id":"ITEM-2","issue":"4","issued":{"date-parts":[["2023","2","15"]]},"page":"3587-3610","publisher":"Institute of Electrical and Electronics Engineers Inc.","title":"A Survey of Blockchain and Intelligent Networking for the Metaverse","type":"article-journal","volume":"10"},"uris":["http://www.mendeley.com/documents/?uuid=08d9b1dc-3f64-3bbe-8699-2e20593f01f5"]}],"mendeley":{"formattedCitation":"[25,207]","plainTextFormattedCitation":"[25,207]","previouslyFormattedCitation":"[25,207]"},"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[25,207]</w:t>
      </w:r>
      <w:r w:rsidR="008473C5" w:rsidRPr="003676D3">
        <w:rPr>
          <w:rFonts w:ascii="Times New Roman" w:hAnsi="Times New Roman" w:cs="Times New Roman"/>
          <w:sz w:val="24"/>
          <w:szCs w:val="24"/>
        </w:rPr>
        <w:fldChar w:fldCharType="end"/>
      </w:r>
      <w:r w:rsidR="00CF0477" w:rsidRPr="003676D3">
        <w:rPr>
          <w:rFonts w:ascii="Times New Roman" w:hAnsi="Times New Roman" w:cs="Times New Roman"/>
          <w:sz w:val="24"/>
          <w:szCs w:val="24"/>
        </w:rPr>
        <w:t xml:space="preserve">. </w:t>
      </w:r>
    </w:p>
    <w:p w14:paraId="5CDC68A1" w14:textId="53A02618" w:rsidR="00CF0477" w:rsidRPr="003676D3" w:rsidRDefault="00277732"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To understand</w:t>
      </w:r>
      <w:r w:rsidR="00E02AA5" w:rsidRPr="003676D3">
        <w:rPr>
          <w:rFonts w:ascii="Times New Roman" w:hAnsi="Times New Roman" w:cs="Times New Roman"/>
          <w:sz w:val="24"/>
          <w:szCs w:val="24"/>
        </w:rPr>
        <w:t xml:space="preserve"> the metaverse</w:t>
      </w:r>
      <w:r w:rsidR="00CF0477" w:rsidRPr="003676D3">
        <w:rPr>
          <w:rFonts w:ascii="Times New Roman" w:hAnsi="Times New Roman" w:cs="Times New Roman"/>
          <w:sz w:val="24"/>
          <w:szCs w:val="24"/>
        </w:rPr>
        <w:t xml:space="preserve"> potential, new requirements must be met: scalable infrastructure, </w:t>
      </w:r>
      <w:r w:rsidR="00A86A12" w:rsidRPr="003676D3">
        <w:rPr>
          <w:rFonts w:ascii="Times New Roman" w:hAnsi="Times New Roman" w:cs="Times New Roman"/>
          <w:sz w:val="24"/>
          <w:szCs w:val="24"/>
        </w:rPr>
        <w:t xml:space="preserve">enhanced compression algorithms, </w:t>
      </w:r>
      <w:r w:rsidR="00CF0477" w:rsidRPr="003676D3">
        <w:rPr>
          <w:rFonts w:ascii="Times New Roman" w:hAnsi="Times New Roman" w:cs="Times New Roman"/>
          <w:sz w:val="24"/>
          <w:szCs w:val="24"/>
        </w:rPr>
        <w:t xml:space="preserve">efficient data management, and seamless integration of </w:t>
      </w:r>
      <w:r w:rsidRPr="003676D3">
        <w:rPr>
          <w:rFonts w:ascii="Times New Roman" w:hAnsi="Times New Roman" w:cs="Times New Roman"/>
          <w:sz w:val="24"/>
          <w:szCs w:val="24"/>
        </w:rPr>
        <w:t>various</w:t>
      </w:r>
      <w:r w:rsidR="00CF0477" w:rsidRPr="003676D3">
        <w:rPr>
          <w:rFonts w:ascii="Times New Roman" w:hAnsi="Times New Roman" w:cs="Times New Roman"/>
          <w:sz w:val="24"/>
          <w:szCs w:val="24"/>
        </w:rPr>
        <w:t xml:space="preserve"> data types. Technical challenges like </w:t>
      </w:r>
      <w:r w:rsidR="00A86A12" w:rsidRPr="003676D3">
        <w:rPr>
          <w:rFonts w:ascii="Times New Roman" w:hAnsi="Times New Roman" w:cs="Times New Roman"/>
          <w:sz w:val="24"/>
          <w:szCs w:val="24"/>
        </w:rPr>
        <w:t>user experience optimization, real-time rendering and data synchronization</w:t>
      </w:r>
      <w:r w:rsidR="00CF0477" w:rsidRPr="003676D3">
        <w:rPr>
          <w:rFonts w:ascii="Times New Roman" w:hAnsi="Times New Roman" w:cs="Times New Roman"/>
          <w:sz w:val="24"/>
          <w:szCs w:val="24"/>
        </w:rPr>
        <w:t xml:space="preserve"> also need resolution. Additionally, decisions regarding the treatment of physical and virtual data—whether separate or unified—impact data organization and performance</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8473C5" w:rsidRPr="003676D3">
        <w:rPr>
          <w:rFonts w:ascii="Times New Roman" w:hAnsi="Times New Roman" w:cs="Times New Roman"/>
          <w:sz w:val="24"/>
          <w:szCs w:val="24"/>
        </w:rPr>
        <w:instrText>ADDIN CSL_CITATION {"citationItems":[{"id":"ITEM-1","itemData":{"DOI":"10.1016/J.FUTURE.2023.02.008","ISSN":"0167-739X","abstract":"Since Facebook officially changed its name to Meta in Oct. 2021, the metaverse has become a new norm of social networks and three-dimensional (3D) virtual worlds. The metaverse aims to bring 3D immersive and personalized experiences to users by leveraging many pertinent technologies. Despite great attention and benefits, a natural question in the metaverse is how to secure its users’ digital content and data. In this regard, blockchain is a promising solution owing to its distinct features of decentralization, immutability, and transparency. To better understand the role of blockchain in the metaverse, we aim to provide an extensive survey on the applications of blockchain for the metaverse. We first present a preliminary to blockchain and the metaverse and highlight the motivations behind the use of blockchain for the metaverse. Next, we extensively discuss blockchain-based methods for the metaverse from technical perspectives, such as data acquisition, data storage, data sharing, data interoperability, and data privacy preservation. For each perspective, we first discuss the technical challenges of the metaverse and then highlight how blockchain can help. Moreover, we investigate the impact of blockchain on key-enabling technologies in the metaverse, including Internet-of-Things, digital twins, multi-sensory and immersive applications, artificial intelligence, and big data. We also present some major projects to showcase the role of blockchain in metaverse applications and services. Finally, we present some promising directions to drive further research innovations and developments toward the use of blockchain in the metaverse in the future.","author":[{"dropping-particle":"","family":"Huynh-The","given":"Thien","non-dropping-particle":"","parse-names":false,"suffix":""},{"dropping-particle":"","family":"Gadekallu","given":"Thippa Reddy","non-dropping-particle":"","parse-names":false,"suffix":""},{"dropping-particle":"","family":"Wang","given":"Weizheng","non-dropping-particle":"","parse-names":false,"suffix":""},{"dropping-particle":"","family":"Yenduri","given":"Gokul","non-dropping-particle":"","parse-names":false,"suffix":""},{"dropping-particle":"","family":"Ranaweera","given":"Pasika","non-dropping-particle":"","parse-names":false,"suffix":""},{"dropping-particle":"","family":"Pham","given":"Quoc Viet","non-dropping-particle":"","parse-names":false,"suffix":""},{"dropping-particle":"","family":"Costa","given":"Daniel Benevides","non-dropping-particle":"da","parse-names":false,"suffix":""},{"dropping-particle":"","family":"Liyanage","given":"Madhusanka","non-dropping-particle":"","parse-names":false,"suffix":""}],"container-title":"Future Generation Computer Systems","id":"ITEM-1","issued":{"date-parts":[["2023","6","1"]]},"page":"401-419","publisher":"North-Holland","title":"Blockchain for the metaverse: A Review","type":"article-journal","volume":"143"},"uris":["http://www.mendeley.com/documents/?uuid=c1ad20dc-8b9d-3f72-a64f-fb9da74da6df"]}],"mendeley":{"formattedCitation":"[178]","plainTextFormattedCitation":"[178]","previouslyFormattedCitation":"[178]"},"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8473C5" w:rsidRPr="003676D3">
        <w:rPr>
          <w:rFonts w:ascii="Times New Roman" w:hAnsi="Times New Roman" w:cs="Times New Roman"/>
          <w:noProof/>
          <w:sz w:val="24"/>
          <w:szCs w:val="24"/>
        </w:rPr>
        <w:t>[178]</w:t>
      </w:r>
      <w:r w:rsidR="008473C5" w:rsidRPr="003676D3">
        <w:rPr>
          <w:rFonts w:ascii="Times New Roman" w:hAnsi="Times New Roman" w:cs="Times New Roman"/>
          <w:sz w:val="24"/>
          <w:szCs w:val="24"/>
        </w:rPr>
        <w:fldChar w:fldCharType="end"/>
      </w:r>
      <w:r w:rsidR="00CF0477" w:rsidRPr="003676D3">
        <w:rPr>
          <w:rFonts w:ascii="Times New Roman" w:hAnsi="Times New Roman" w:cs="Times New Roman"/>
          <w:sz w:val="24"/>
          <w:szCs w:val="24"/>
        </w:rPr>
        <w:t>. Integrating diverse data sources and developing innovative solutions beyond conventional heterogeneous databases are crucial. For context-aware scenarios, the development of context-aware algorithms,</w:t>
      </w:r>
      <w:r w:rsidRPr="003676D3">
        <w:rPr>
          <w:rFonts w:ascii="Times New Roman" w:hAnsi="Times New Roman" w:cs="Times New Roman"/>
          <w:sz w:val="24"/>
          <w:szCs w:val="24"/>
        </w:rPr>
        <w:t xml:space="preserve"> novel operators</w:t>
      </w:r>
      <w:r w:rsidR="00CF0477" w:rsidRPr="003676D3">
        <w:rPr>
          <w:rFonts w:ascii="Times New Roman" w:hAnsi="Times New Roman" w:cs="Times New Roman"/>
          <w:sz w:val="24"/>
          <w:szCs w:val="24"/>
        </w:rPr>
        <w:t xml:space="preserve"> and new approximation operators is essential</w:t>
      </w:r>
      <w:r w:rsidR="008473C5"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{"citationItems":[{"id":"ITEM-1","itemData":{"DOI":"10.1109/ACCESS.2022.3225638","ISSN":"21693536","abstract":"Metaverse is a vision enabling to constitute an environment in which someone could see real and virtualized worlds. The Metaverse is a product (or something similar as we do not yet know its final form) of such technologies. In this circumstance, when applications that utilize the Metaverse are used, there seem to be no transportation charges, and there is no cap on amounts of individuals, users, players, learners, or trainee who can take part. Hence, and due to such a feature, the Metaverse has attracted various researchers from different fields where it has been exploited by them to contribute to those fields and research areas. As for example, it is possible to teach various target audiences by offering different events and classes from any location in the globe. In order for a participant to utilize the Metaverse, there are necessary conditions to be considered as well as other settings to be initialized. In line of this, virtual reality, augmented reality, availability of required sensors, smart glasses, headsets, and few others are considered some examples of such conditions and settings that the Metaverse requires. Despite the advantages that Metaverse offers us, there are a number of considerations that must be taken into account while developing it by interested researchers. One of these concerns is the Metaverse privacy regarding the participants (represented as avatars inside the Metaverse environment). Another issue is that since the Metaverse is still in its early stages, many attempts have to be made from interested researchers who engage to develop it to enhancing it. This review aims to survey related articles that concern the Metaverse and its development providing a review of the chronological stages throughout the history of the development of Metaverse. It aims also to list a number of recent technological advances allowing the Metaverse. Besides, Metaverse's definitions, properties, architecture, and applications have been discussed and listed in this review. The novelty of this article is that it has suggested a framework to a number of issues that are still paid attention for potential solutions by researchers aiming to contribute to researchers and designers to consider such an issue and its corresponding solution for future research works and enhancement. Challenges faced by researchers and other relevant concerned issues related to Metaverse have been in detail discussed and highlighted. Besides, future trends have been clarified.","author":[{"dropping-particle":"","family":"Al-Ghaili","given":"Abbas M.","non-dropping-particle":"","parse-names":false,"suffix":""},{"dropping-particle":"","family":"Kasim","given":"Hairoladenan","non-dropping-particle":"","parse-names":false,"suffix":""},{"dropping-particle":"","family":"Al-Hada","given":"Naif Mohammed","non-dropping-particle":"","parse-names":false,"suffix":""},{"dropping-particle":"Bin","family":"Hassan","given":"Zainuddin","non-dropping-particle":"","parse-names":false,"suffix":""},{"dropping-particle":"","family":"Othman","given":"Marini","non-dropping-particle":"","parse-names":false,"suffix":""},{"dropping-particle":"","family":"Tharik","given":"Jakir Hussain","non-dropping-particle":"","parse-names":false,"suffix":""},{"dropping-particle":"","family":"Kasmani","given":"Rafiziana Md","non-dropping-particle":"","parse-names":false,"suffix":""},{"dropping-particle":"","family":"Shayea","given":"Ibraheem","non-dropping-particle":"","parse-names":false,"suffix":""}],"container-title":"IEEE Access","id":"ITEM-1","issued":{"date-parts":[["2022"]]},"page":"125835-125866","publisher":"Institute of Electrical and Electronics Engineers Inc.","title":"A Review of Metaverse's Definitions, Architecture, Applications, Challenges, Issues, Solutions, and Future Trends","type":"article-journal","volume":"10"},"uris":["http://www.mendeley.com/documents/?uuid=418cbffa-8990-3ebc-aec4-3498b223c3d9"]}],"mendeley":{"formattedCitation":"[208]","plainTextFormattedCitation":"[208]","previouslyFormattedCitation":"[208]"},"properties":{"noteIndex":0},"schema":"https://github.com/citation-style-language/schema/raw/master/csl-citation.json"}</w:instrText>
      </w:r>
      <w:r w:rsidR="008473C5"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[208]</w:t>
      </w:r>
      <w:r w:rsidR="008473C5" w:rsidRPr="003676D3">
        <w:rPr>
          <w:rFonts w:ascii="Times New Roman" w:hAnsi="Times New Roman" w:cs="Times New Roman"/>
          <w:sz w:val="24"/>
          <w:szCs w:val="24"/>
        </w:rPr>
        <w:fldChar w:fldCharType="end"/>
      </w:r>
      <w:r w:rsidR="00CF0477" w:rsidRPr="003676D3">
        <w:rPr>
          <w:rFonts w:ascii="Times New Roman" w:hAnsi="Times New Roman" w:cs="Times New Roman"/>
          <w:sz w:val="24"/>
          <w:szCs w:val="24"/>
        </w:rPr>
        <w:t>.</w:t>
      </w:r>
      <w:r w:rsidR="00EC029C" w:rsidRPr="003676D3">
        <w:rPr>
          <w:rFonts w:ascii="Times New Roman" w:hAnsi="Times New Roman" w:cs="Times New Roman"/>
          <w:sz w:val="24"/>
          <w:szCs w:val="24"/>
        </w:rPr>
        <w:t xml:space="preserve"> </w:t>
      </w:r>
      <w:r w:rsidR="008473C5" w:rsidRPr="003676D3">
        <w:rPr>
          <w:rFonts w:ascii="Times New Roman" w:hAnsi="Times New Roman" w:cs="Times New Roman"/>
          <w:sz w:val="24"/>
          <w:szCs w:val="24"/>
        </w:rPr>
        <w:fldChar w:fldCharType="begin"/>
      </w:r>
      <w:r w:rsidR="008473C5" w:rsidRPr="003676D3">
        <w:rPr>
          <w:rFonts w:ascii="Times New Roman" w:hAnsi="Times New Roman" w:cs="Times New Roman"/>
          <w:sz w:val="24"/>
          <w:szCs w:val="24"/>
        </w:rPr>
        <w:instrText xml:space="preserve"> REF _Ref168051973 \h  \* MERGEFORMAT </w:instrText>
      </w:r>
      <w:r w:rsidR="008473C5" w:rsidRPr="003676D3">
        <w:rPr>
          <w:rFonts w:ascii="Times New Roman" w:hAnsi="Times New Roman" w:cs="Times New Roman"/>
          <w:sz w:val="24"/>
          <w:szCs w:val="24"/>
        </w:rPr>
      </w:r>
      <w:r w:rsidR="008473C5" w:rsidRPr="003676D3">
        <w:rPr>
          <w:rFonts w:ascii="Times New Roman" w:hAnsi="Times New Roman" w:cs="Times New Roman"/>
          <w:sz w:val="24"/>
          <w:szCs w:val="24"/>
        </w:rPr>
        <w:fldChar w:fldCharType="separate"/>
      </w:r>
      <w:r w:rsidR="008D1E2C" w:rsidRPr="003676D3">
        <w:rPr>
          <w:rFonts w:ascii="Times New Roman" w:hAnsi="Times New Roman" w:cs="Times New Roman"/>
          <w:sz w:val="24"/>
          <w:szCs w:val="24"/>
        </w:rPr>
        <w:t xml:space="preserve">Table </w:t>
      </w:r>
      <w:r w:rsidR="008D1E2C" w:rsidRPr="003676D3">
        <w:rPr>
          <w:rFonts w:ascii="Times New Roman" w:hAnsi="Times New Roman" w:cs="Times New Roman"/>
          <w:noProof/>
          <w:sz w:val="24"/>
          <w:szCs w:val="24"/>
        </w:rPr>
        <w:t>5.</w:t>
      </w:r>
      <w:r w:rsidR="008D1E2C" w:rsidRPr="003676D3">
        <w:rPr>
          <w:rFonts w:ascii="Times New Roman" w:hAnsi="Times New Roman" w:cs="Times New Roman"/>
          <w:sz w:val="24"/>
          <w:szCs w:val="24"/>
        </w:rPr>
        <w:t xml:space="preserve"> Super Smart Grid challenges and solutions</w:t>
      </w:r>
      <w:r w:rsidR="008473C5" w:rsidRPr="003676D3">
        <w:rPr>
          <w:rFonts w:ascii="Times New Roman" w:hAnsi="Times New Roman" w:cs="Times New Roman"/>
          <w:sz w:val="24"/>
          <w:szCs w:val="24"/>
        </w:rPr>
        <w:fldChar w:fldCharType="end"/>
      </w:r>
      <w:r w:rsidR="00CC49AF" w:rsidRPr="003676D3">
        <w:rPr>
          <w:rFonts w:ascii="Times New Roman" w:hAnsi="Times New Roman" w:cs="Times New Roman"/>
          <w:sz w:val="24"/>
          <w:szCs w:val="24"/>
        </w:rPr>
        <w:t>.</w:t>
      </w:r>
    </w:p>
    <w:p w14:paraId="28D29726" w14:textId="31FD5C01" w:rsidR="00CC49AF" w:rsidRPr="003676D3" w:rsidRDefault="00CC49AF" w:rsidP="003676D3">
      <w:pPr>
        <w:spacing w:line="276" w:lineRule="auto"/>
        <w:jc w:val="both"/>
        <w:rPr>
          <w:rFonts w:ascii="Times New Roman" w:hAnsi="Times New Roman" w:cs="Times New Roman"/>
          <w:sz w:val="24"/>
          <w:szCs w:val="24"/>
        </w:rPr>
      </w:pPr>
    </w:p>
    <w:p w14:paraId="5FBF6BFA" w14:textId="4D9E38F3" w:rsidR="00CC49AF" w:rsidRPr="003676D3" w:rsidRDefault="00CC49AF" w:rsidP="003676D3">
      <w:pPr>
        <w:spacing w:line="276" w:lineRule="auto"/>
        <w:jc w:val="both"/>
        <w:rPr>
          <w:rFonts w:ascii="Times New Roman" w:hAnsi="Times New Roman" w:cs="Times New Roman"/>
          <w:sz w:val="24"/>
          <w:szCs w:val="24"/>
        </w:rPr>
      </w:pPr>
    </w:p>
    <w:p w14:paraId="49FBA808" w14:textId="566A0802" w:rsidR="00CC49AF" w:rsidRPr="003676D3" w:rsidRDefault="00CC49AF" w:rsidP="003676D3">
      <w:pPr>
        <w:spacing w:line="276" w:lineRule="auto"/>
        <w:jc w:val="both"/>
        <w:rPr>
          <w:rFonts w:ascii="Times New Roman" w:hAnsi="Times New Roman" w:cs="Times New Roman"/>
          <w:sz w:val="24"/>
          <w:szCs w:val="24"/>
        </w:rPr>
      </w:pPr>
    </w:p>
    <w:p w14:paraId="3CC20B0B" w14:textId="77777777" w:rsidR="00CC49AF" w:rsidRPr="003676D3" w:rsidRDefault="00CC49AF" w:rsidP="003676D3">
      <w:pPr>
        <w:spacing w:line="276" w:lineRule="auto"/>
        <w:jc w:val="both"/>
        <w:rPr>
          <w:rFonts w:ascii="Times New Roman" w:hAnsi="Times New Roman" w:cs="Times New Roman"/>
          <w:sz w:val="24"/>
          <w:szCs w:val="24"/>
        </w:rPr>
      </w:pPr>
    </w:p>
    <w:p w14:paraId="2C7A606E" w14:textId="79D893A0" w:rsidR="008473C5" w:rsidRPr="003676D3" w:rsidRDefault="008473C5" w:rsidP="004B1918">
      <w:pPr>
        <w:pStyle w:val="Caption"/>
        <w:keepNext/>
        <w:spacing w:line="276" w:lineRule="auto"/>
        <w:jc w:val="center"/>
        <w:rPr>
          <w:rFonts w:ascii="Times New Roman" w:hAnsi="Times New Roman" w:cs="Times New Roman"/>
          <w:b/>
          <w:bCs/>
          <w:i w:val="0"/>
          <w:iCs w:val="0"/>
          <w:color w:val="auto"/>
          <w:sz w:val="20"/>
          <w:szCs w:val="20"/>
        </w:rPr>
      </w:pPr>
      <w:bookmarkStart w:id="28" w:name="_Ref168051973"/>
      <w:r w:rsidRPr="003676D3">
        <w:rPr>
          <w:rFonts w:ascii="Times New Roman" w:hAnsi="Times New Roman" w:cs="Times New Roman"/>
          <w:b/>
          <w:bCs/>
          <w:i w:val="0"/>
          <w:iCs w:val="0"/>
          <w:color w:val="auto"/>
          <w:sz w:val="20"/>
          <w:szCs w:val="20"/>
        </w:rPr>
        <w:lastRenderedPageBreak/>
        <w:t xml:space="preserve">Table </w:t>
      </w:r>
      <w:r w:rsidRPr="003676D3">
        <w:rPr>
          <w:rFonts w:ascii="Times New Roman" w:hAnsi="Times New Roman" w:cs="Times New Roman"/>
          <w:b/>
          <w:bCs/>
          <w:i w:val="0"/>
          <w:iCs w:val="0"/>
          <w:color w:val="auto"/>
          <w:sz w:val="20"/>
          <w:szCs w:val="20"/>
        </w:rPr>
        <w:fldChar w:fldCharType="begin"/>
      </w:r>
      <w:r w:rsidRPr="003676D3">
        <w:rPr>
          <w:rFonts w:ascii="Times New Roman" w:hAnsi="Times New Roman" w:cs="Times New Roman"/>
          <w:b/>
          <w:bCs/>
          <w:i w:val="0"/>
          <w:iCs w:val="0"/>
          <w:color w:val="auto"/>
          <w:sz w:val="20"/>
          <w:szCs w:val="20"/>
        </w:rPr>
        <w:instrText xml:space="preserve"> SEQ Table \* ARABIC </w:instrText>
      </w:r>
      <w:r w:rsidRPr="003676D3">
        <w:rPr>
          <w:rFonts w:ascii="Times New Roman" w:hAnsi="Times New Roman" w:cs="Times New Roman"/>
          <w:b/>
          <w:bCs/>
          <w:i w:val="0"/>
          <w:iCs w:val="0"/>
          <w:color w:val="auto"/>
          <w:sz w:val="20"/>
          <w:szCs w:val="20"/>
        </w:rPr>
        <w:fldChar w:fldCharType="separate"/>
      </w:r>
      <w:r w:rsidR="008D1E2C" w:rsidRPr="003676D3">
        <w:rPr>
          <w:rFonts w:ascii="Times New Roman" w:hAnsi="Times New Roman" w:cs="Times New Roman"/>
          <w:b/>
          <w:bCs/>
          <w:i w:val="0"/>
          <w:iCs w:val="0"/>
          <w:noProof/>
          <w:color w:val="auto"/>
          <w:sz w:val="20"/>
          <w:szCs w:val="20"/>
        </w:rPr>
        <w:t>5</w:t>
      </w:r>
      <w:r w:rsidRPr="003676D3">
        <w:rPr>
          <w:rFonts w:ascii="Times New Roman" w:hAnsi="Times New Roman" w:cs="Times New Roman"/>
          <w:b/>
          <w:bCs/>
          <w:i w:val="0"/>
          <w:iCs w:val="0"/>
          <w:color w:val="auto"/>
          <w:sz w:val="20"/>
          <w:szCs w:val="20"/>
        </w:rPr>
        <w:fldChar w:fldCharType="end"/>
      </w:r>
      <w:r w:rsidRPr="003676D3">
        <w:rPr>
          <w:rFonts w:ascii="Times New Roman" w:hAnsi="Times New Roman" w:cs="Times New Roman"/>
          <w:b/>
          <w:bCs/>
          <w:i w:val="0"/>
          <w:iCs w:val="0"/>
          <w:color w:val="auto"/>
          <w:sz w:val="20"/>
          <w:szCs w:val="20"/>
        </w:rPr>
        <w:t>. Super Smart Grid challenges and solutions</w:t>
      </w:r>
      <w:bookmarkEnd w:id="28"/>
    </w:p>
    <w:tbl>
      <w:tblPr>
        <w:tblStyle w:val="GridTable4-Accent1"/>
        <w:tblW w:w="5000" w:type="pct"/>
        <w:tblLook w:val="0420" w:firstRow="1" w:lastRow="0" w:firstColumn="0" w:lastColumn="0" w:noHBand="0" w:noVBand="1"/>
      </w:tblPr>
      <w:tblGrid>
        <w:gridCol w:w="1766"/>
        <w:gridCol w:w="3287"/>
        <w:gridCol w:w="3963"/>
      </w:tblGrid>
      <w:tr w:rsidR="00CC49AF" w:rsidRPr="003676D3" w14:paraId="650013BF" w14:textId="77777777" w:rsidTr="00ED5CE9">
        <w:trPr>
          <w:cnfStyle w:val="100000000000" w:firstRow="1" w:lastRow="0" w:firstColumn="0" w:lastColumn="0" w:oddVBand="0" w:evenVBand="0" w:oddHBand="0" w:evenHBand="0" w:firstRowFirstColumn="0" w:firstRowLastColumn="0" w:lastRowFirstColumn="0" w:lastRowLastColumn="0"/>
          <w:trHeight w:val="477"/>
        </w:trPr>
        <w:tc>
          <w:tcPr>
            <w:tcW w:w="979" w:type="pct"/>
            <w:vAlign w:val="center"/>
            <w:hideMark/>
          </w:tcPr>
          <w:p w14:paraId="445571E5" w14:textId="77777777" w:rsidR="00EC029C" w:rsidRPr="003676D3" w:rsidRDefault="00EC029C" w:rsidP="003676D3">
            <w:pPr>
              <w:spacing w:line="276" w:lineRule="auto"/>
              <w:jc w:val="both"/>
              <w:rPr>
                <w:rFonts w:ascii="Times New Roman" w:hAnsi="Times New Roman" w:cs="Times New Roman"/>
                <w:color w:val="auto"/>
                <w:sz w:val="20"/>
                <w:szCs w:val="20"/>
              </w:rPr>
            </w:pPr>
            <w:r w:rsidRPr="003676D3">
              <w:rPr>
                <w:rFonts w:ascii="Times New Roman" w:hAnsi="Times New Roman" w:cs="Times New Roman"/>
                <w:color w:val="auto"/>
                <w:sz w:val="20"/>
                <w:szCs w:val="20"/>
              </w:rPr>
              <w:t>Parameters</w:t>
            </w:r>
          </w:p>
        </w:tc>
        <w:tc>
          <w:tcPr>
            <w:tcW w:w="1823" w:type="pct"/>
            <w:vAlign w:val="center"/>
            <w:hideMark/>
          </w:tcPr>
          <w:p w14:paraId="1CFF34E3" w14:textId="77777777" w:rsidR="00EC029C" w:rsidRPr="003676D3" w:rsidRDefault="00EC029C" w:rsidP="003676D3">
            <w:pPr>
              <w:spacing w:line="276" w:lineRule="auto"/>
              <w:jc w:val="both"/>
              <w:rPr>
                <w:rFonts w:ascii="Times New Roman" w:hAnsi="Times New Roman" w:cs="Times New Roman"/>
                <w:color w:val="auto"/>
                <w:sz w:val="20"/>
                <w:szCs w:val="20"/>
              </w:rPr>
            </w:pPr>
            <w:r w:rsidRPr="003676D3">
              <w:rPr>
                <w:rFonts w:ascii="Times New Roman" w:hAnsi="Times New Roman" w:cs="Times New Roman"/>
                <w:color w:val="auto"/>
                <w:sz w:val="20"/>
                <w:szCs w:val="20"/>
              </w:rPr>
              <w:t>Grid Challenges</w:t>
            </w:r>
          </w:p>
        </w:tc>
        <w:tc>
          <w:tcPr>
            <w:tcW w:w="2198" w:type="pct"/>
            <w:vAlign w:val="center"/>
            <w:hideMark/>
          </w:tcPr>
          <w:p w14:paraId="059CA203" w14:textId="77777777" w:rsidR="00EC029C" w:rsidRPr="003676D3" w:rsidRDefault="00EC029C" w:rsidP="003676D3">
            <w:pPr>
              <w:spacing w:line="276" w:lineRule="auto"/>
              <w:jc w:val="both"/>
              <w:rPr>
                <w:rFonts w:ascii="Times New Roman" w:hAnsi="Times New Roman" w:cs="Times New Roman"/>
                <w:color w:val="auto"/>
                <w:sz w:val="20"/>
                <w:szCs w:val="20"/>
              </w:rPr>
            </w:pPr>
            <w:r w:rsidRPr="003676D3">
              <w:rPr>
                <w:rFonts w:ascii="Times New Roman" w:hAnsi="Times New Roman" w:cs="Times New Roman"/>
                <w:color w:val="auto"/>
                <w:sz w:val="20"/>
                <w:szCs w:val="20"/>
              </w:rPr>
              <w:t>Solution via Enabling Technologies</w:t>
            </w:r>
          </w:p>
        </w:tc>
      </w:tr>
      <w:tr w:rsidR="00CC49AF" w:rsidRPr="003676D3" w14:paraId="29067A8B" w14:textId="77777777" w:rsidTr="00ED5CE9">
        <w:trPr>
          <w:cnfStyle w:val="000000100000" w:firstRow="0" w:lastRow="0" w:firstColumn="0" w:lastColumn="0" w:oddVBand="0" w:evenVBand="0" w:oddHBand="1" w:evenHBand="0" w:firstRowFirstColumn="0" w:firstRowLastColumn="0" w:lastRowFirstColumn="0" w:lastRowLastColumn="0"/>
          <w:trHeight w:val="704"/>
        </w:trPr>
        <w:tc>
          <w:tcPr>
            <w:tcW w:w="979" w:type="pct"/>
            <w:vAlign w:val="center"/>
            <w:hideMark/>
          </w:tcPr>
          <w:p w14:paraId="4F026B3D"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System Monitoring</w:t>
            </w:r>
          </w:p>
        </w:tc>
        <w:tc>
          <w:tcPr>
            <w:tcW w:w="1823" w:type="pct"/>
            <w:vAlign w:val="center"/>
            <w:hideMark/>
          </w:tcPr>
          <w:p w14:paraId="2AD8EFBC"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Remote monitoring and maintenance of assets</w:t>
            </w:r>
          </w:p>
        </w:tc>
        <w:tc>
          <w:tcPr>
            <w:tcW w:w="2198" w:type="pct"/>
            <w:vAlign w:val="center"/>
            <w:hideMark/>
          </w:tcPr>
          <w:p w14:paraId="5F71BA57"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Immersive and real time monitoring and maintenance using metaverse</w:t>
            </w:r>
          </w:p>
        </w:tc>
      </w:tr>
      <w:tr w:rsidR="00CC49AF" w:rsidRPr="003676D3" w14:paraId="11D723CF" w14:textId="77777777" w:rsidTr="00ED5CE9">
        <w:trPr>
          <w:trHeight w:val="699"/>
        </w:trPr>
        <w:tc>
          <w:tcPr>
            <w:tcW w:w="979" w:type="pct"/>
            <w:vAlign w:val="center"/>
            <w:hideMark/>
          </w:tcPr>
          <w:p w14:paraId="7897DF4A"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Energy management solution (EMS)</w:t>
            </w:r>
          </w:p>
        </w:tc>
        <w:tc>
          <w:tcPr>
            <w:tcW w:w="1823" w:type="pct"/>
            <w:vAlign w:val="center"/>
            <w:hideMark/>
          </w:tcPr>
          <w:p w14:paraId="755E0DF2"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High computation</w:t>
            </w:r>
          </w:p>
        </w:tc>
        <w:tc>
          <w:tcPr>
            <w:tcW w:w="2198" w:type="pct"/>
            <w:vAlign w:val="center"/>
            <w:hideMark/>
          </w:tcPr>
          <w:p w14:paraId="3449E4B1"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Through virtual power plants, simulation and optimization help in EMS</w:t>
            </w:r>
          </w:p>
        </w:tc>
      </w:tr>
      <w:tr w:rsidR="00CC49AF" w:rsidRPr="003676D3" w14:paraId="1888F5CD" w14:textId="77777777" w:rsidTr="00ED5CE9">
        <w:trPr>
          <w:cnfStyle w:val="000000100000" w:firstRow="0" w:lastRow="0" w:firstColumn="0" w:lastColumn="0" w:oddVBand="0" w:evenVBand="0" w:oddHBand="1" w:evenHBand="0" w:firstRowFirstColumn="0" w:firstRowLastColumn="0" w:lastRowFirstColumn="0" w:lastRowLastColumn="0"/>
          <w:trHeight w:val="715"/>
        </w:trPr>
        <w:tc>
          <w:tcPr>
            <w:tcW w:w="979" w:type="pct"/>
            <w:vAlign w:val="center"/>
            <w:hideMark/>
          </w:tcPr>
          <w:p w14:paraId="058576F2"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Contingency</w:t>
            </w:r>
          </w:p>
        </w:tc>
        <w:tc>
          <w:tcPr>
            <w:tcW w:w="1823" w:type="pct"/>
            <w:vAlign w:val="center"/>
            <w:hideMark/>
          </w:tcPr>
          <w:p w14:paraId="6C30E4F9"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Ability to detect gaps and loopholes in the event of contingency</w:t>
            </w:r>
          </w:p>
        </w:tc>
        <w:tc>
          <w:tcPr>
            <w:tcW w:w="2198" w:type="pct"/>
            <w:vAlign w:val="center"/>
            <w:hideMark/>
          </w:tcPr>
          <w:p w14:paraId="2ACD141A"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Virtual visualization of system helps in pre-planning and detecting loopholes</w:t>
            </w:r>
          </w:p>
        </w:tc>
      </w:tr>
      <w:tr w:rsidR="00CC49AF" w:rsidRPr="003676D3" w14:paraId="050AEDE1" w14:textId="77777777" w:rsidTr="00ED5CE9">
        <w:trPr>
          <w:trHeight w:val="717"/>
        </w:trPr>
        <w:tc>
          <w:tcPr>
            <w:tcW w:w="979" w:type="pct"/>
            <w:vAlign w:val="center"/>
            <w:hideMark/>
          </w:tcPr>
          <w:p w14:paraId="594A7078" w14:textId="7FCA049D"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Interoperability</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author":[{"dropping-particle":"","family":"Jaimini","given":"U","non-dropping-particle":"","parse-names":false,"suffix":""},{"dropping-particle":"","family":"Zhang","given":"T","non-dropping-particle":"","parse-names":false,"suffix":""},{"dropping-particle":"","family":"Computing","given":"GO Brikis - IEEE Internet","non-dropping-particle":"","parse-names":false,"suffix":""},{"dropping-particle":"","family":"2022","given":"undefined","non-dropping-particle":"","parse-names":false,"suffix":""}],"container-title":"ieeexplore.ieee.orgU Jaimini, T Zhang, GO Brikis, A ShethIEEE Internet Computing, 2022•ieeexplore.ieee.org","id":"ITEM-1","issued":{"date-parts":[["0"]]},"title":"iMetaverseKG: Industrial Metaverse Knowledge Graph to Promote Interoperability in Design and Engineering Applications","type":"article-journal"},"uris":["http://www.mendeley.com/documents/?uuid=e73f0899-de42-3f84-a04f-807429399652"]}],"mendeley":{"formattedCitation":"[209]","plainTextFormattedCitation":"[209]","previouslyFormattedCitation":"[209]"},"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[209]</w:t>
            </w:r>
            <w:r w:rsidR="008473C5" w:rsidRPr="003676D3">
              <w:rPr>
                <w:rFonts w:ascii="Times New Roman" w:hAnsi="Times New Roman" w:cs="Times New Roman"/>
                <w:sz w:val="20"/>
                <w:szCs w:val="20"/>
              </w:rPr>
              <w:fldChar w:fldCharType="end"/>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{"citationItems":[{"id":"ITEM-1","itemData":{"URL":"https://www.weforum.org/publications/interoperability-in-the-metaverse/","accessed":{"date-parts":[["2024","5","31"]]},"id":"ITEM-1","issued":{"date-parts":[["0"]]},"title":"Interoperability in the Metaverse | World Economic Forum","type":"webpage"},"uris":["http://www.mendeley.com/documents/?uuid=7c8f0f39-621f-3114-b86e-da70e0714644"]}],"mendeley":{"formattedCitation":"[210]","plainTextFormattedCitation":"[210]","previouslyFormattedCitation":"[210]"},"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[210]</w:t>
            </w:r>
            <w:r w:rsidR="008473C5" w:rsidRPr="003676D3">
              <w:rPr>
                <w:rFonts w:ascii="Times New Roman" w:hAnsi="Times New Roman" w:cs="Times New Roman"/>
                <w:sz w:val="20"/>
                <w:szCs w:val="20"/>
              </w:rPr>
              <w:fldChar w:fldCharType="end"/>
            </w:r>
          </w:p>
        </w:tc>
        <w:tc>
          <w:tcPr>
            <w:tcW w:w="1823" w:type="pct"/>
            <w:vAlign w:val="center"/>
            <w:hideMark/>
          </w:tcPr>
          <w:p w14:paraId="17C991E0"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Variety of software, hardware, and network protocols as well as user inputs</w:t>
            </w:r>
          </w:p>
        </w:tc>
        <w:tc>
          <w:tcPr>
            <w:tcW w:w="2198" w:type="pct"/>
            <w:vAlign w:val="center"/>
            <w:hideMark/>
          </w:tcPr>
          <w:p w14:paraId="2AEDEF88"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Maintain standards and regulations, pre-testing system virtually</w:t>
            </w:r>
          </w:p>
        </w:tc>
      </w:tr>
      <w:tr w:rsidR="00CC49AF" w:rsidRPr="003676D3" w14:paraId="510AD9B9" w14:textId="77777777" w:rsidTr="00ED5CE9">
        <w:trPr>
          <w:cnfStyle w:val="000000100000" w:firstRow="0" w:lastRow="0" w:firstColumn="0" w:lastColumn="0" w:oddVBand="0" w:evenVBand="0" w:oddHBand="1" w:evenHBand="0" w:firstRowFirstColumn="0" w:firstRowLastColumn="0" w:lastRowFirstColumn="0" w:lastRowLastColumn="0"/>
          <w:trHeight w:val="961"/>
        </w:trPr>
        <w:tc>
          <w:tcPr>
            <w:tcW w:w="979" w:type="pct"/>
            <w:vAlign w:val="center"/>
            <w:hideMark/>
          </w:tcPr>
          <w:p w14:paraId="0F54906E" w14:textId="25A58A6A"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Network and communication requirements</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{"citationItems":[{"id":"ITEM-1","itemData":{"URL":"https://www.iceconnect.com/blog/it-support/metaverse-network-requirements/","accessed":{"date-parts":[["2024","5","20"]]},"id":"ITEM-1","issued":{"date-parts":[["0"]]},"title":"Network Requirements for the Metaverse, Are We Ready? | iceConnect","type":"webpage"},"uris":["http://www.mendeley.com/documents/?uuid=1c871919-f5be-304c-b92d-26b13718945b"]},{"id":"ITEM-2","itemData":{"URL":"https://www.nokia.com/blog/the-metaverse-and-communication-service-providers/","accessed":{"date-parts":[["2024","5","20"]]},"id":"ITEM-2","issued":{"date-parts":[["0"]]},"title":"The metaverse and communication service providers | Nokia","type":"webpage"},"uris":["http://www.mendeley.com/documents/?uuid=03616482-ae13-3431-a851-c2c8ac442364"]}],"mendeley":{"formattedCitation":"[171,211]","plainTextFormattedCitation":"[171,211]","previouslyFormattedCitation":"[171,211]"},"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[171,211]</w:t>
            </w:r>
            <w:r w:rsidR="008473C5" w:rsidRPr="003676D3">
              <w:rPr>
                <w:rFonts w:ascii="Times New Roman" w:hAnsi="Times New Roman" w:cs="Times New Roman"/>
                <w:sz w:val="20"/>
                <w:szCs w:val="20"/>
              </w:rPr>
              <w:fldChar w:fldCharType="end"/>
            </w:r>
          </w:p>
        </w:tc>
        <w:tc>
          <w:tcPr>
            <w:tcW w:w="1823" w:type="pct"/>
            <w:vAlign w:val="center"/>
            <w:hideMark/>
          </w:tcPr>
          <w:p w14:paraId="3A358E93" w14:textId="6C918D56" w:rsidR="00EC029C" w:rsidRPr="003676D3" w:rsidRDefault="0027773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High-bandwidth c</w:t>
            </w:r>
            <w:r w:rsidR="00EC029C" w:rsidRPr="003676D3">
              <w:rPr>
                <w:rFonts w:ascii="Times New Roman" w:hAnsi="Times New Roman" w:cs="Times New Roman"/>
                <w:sz w:val="20"/>
                <w:szCs w:val="20"/>
              </w:rPr>
              <w:t>onnectivity requirements</w:t>
            </w:r>
            <w:r w:rsidRPr="003676D3">
              <w:rPr>
                <w:rFonts w:ascii="Times New Roman" w:hAnsi="Times New Roman" w:cs="Times New Roman"/>
                <w:sz w:val="20"/>
                <w:szCs w:val="20"/>
              </w:rPr>
              <w:t xml:space="preserve"> and responsiveness</w:t>
            </w:r>
          </w:p>
        </w:tc>
        <w:tc>
          <w:tcPr>
            <w:tcW w:w="2198" w:type="pct"/>
            <w:vAlign w:val="center"/>
            <w:hideMark/>
          </w:tcPr>
          <w:p w14:paraId="33AB633D"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Upgradation of network infrastructure with automation</w:t>
            </w:r>
          </w:p>
        </w:tc>
      </w:tr>
      <w:tr w:rsidR="00CC49AF" w:rsidRPr="003676D3" w14:paraId="66271962" w14:textId="77777777" w:rsidTr="00ED5CE9">
        <w:trPr>
          <w:trHeight w:val="1358"/>
        </w:trPr>
        <w:tc>
          <w:tcPr>
            <w:tcW w:w="979" w:type="pct"/>
            <w:vAlign w:val="center"/>
            <w:hideMark/>
          </w:tcPr>
          <w:p w14:paraId="284F81C0" w14:textId="04A5888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Security and Privacy</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{"citationItems":[{"id":"ITEM-1","itemData":{"DOI":"10.1016/J.CHB.2022.107642","ISSN":"0747-5632","abstract":"The most ambitious visions of metaverse technology promise to create virtual places that offer the same possibilities as the real world. However, as any novel technology, the metaverse raises controversies and questions. Does one want to migrate to the metaverse? Does one's willingness to move to virtual worlds depend on the bonds with existing virtual places and the sense of threat related to this technology? To address these questions, we drew on the theories of place attachment and intergroup threat. In two studies – (1) among users of open-world games (N = 366) and (2) using a sample representative of the Polish population in terms of age, gender and size of the residential place (N = 995) – we observed a low level of willingness to migrate to the metaverse. The participants displayed a high level of perceived metaverse-related threat, ranging from privacy concerns to the belief that metaverse can deprive one of access to essential human experiences. However, greater attachment to virtual, as opposed to real, places was associated with both an increased willingness to migrate to the metaverse and a low level of perceived threat. The results provide a better understanding of individuals' perception of the metaverse and of how the bonds with virtual and real places translate into attitudes towards metaverse technology.","author":[{"dropping-particle":"","family":"Oleksy","given":"Tomasz","non-dropping-particle":"","parse-names":false,"suffix":""},{"dropping-particle":"","family":"Wnuk","given":"Anna","non-dropping-particle":"","parse-names":false,"suffix":""},{"dropping-particle":"","family":"Piskorska","given":"Małgorzata","non-dropping-particle":"","parse-names":false,"suffix":""}],"container-title":"Computers in Human Behavior","id":"ITEM-1","issued":{"date-parts":[["2023","4","1"]]},"page":"107642","publisher":"Pergamon","title":"Migration to the metaverse and its predictors: Attachment to virtual places and metaverse-related threat","type":"article-journal","volume":"141"},"uris":["http://www.mendeley.com/documents/?uuid=fe6e1764-add7-3038-abea-41cde7a32b46"]},{"id":"ITEM-2","itemData":{"DOI":"10.1016/J.FUTURE.2023.01.017","ISSN":"0167-739X","abstract":"The Metaverse shows great potential to facilitate the development of new technologies. Because the security of the Metaverse has attracted considerable attention, the automatic detection of malware in different scenarios related to the Metaverse has become significant as well. A Metaverse-based wireless system comprises various physical and virtual sensing models, and the security between these sensors and nodes should be further considered. A wormhole link is created by two malicious radio transceivers connected by high capacity out-of-band wireless or wired links. Wormhole attacks can easily subvert many network protocols and maliciously collect a large amount of traffic. As many new mobile applications in the Internet of Things (IoT) have emerged recently, the threat posed by wormhole attacks has increased. Accordingly, research efforts have been made to develop countermeasures for wormhole attacks. However, most of them have considered a static network, assuming that a wormhole does not move and that wormhole nodes cannot adaptively turn their radio on or off to avoid being detected. These assumptions limit the use of existing detection methods. Hence, we first study the security impact and characteristics of wormhole attacks in mobile cloud and Metaverse environments and find the possibility of matching statistical methods such as the sequential probability ratio test (SPRT) to detect wormholes. Moreover, in our assumed topology, nodes in the network have mobility. From our investigation results, we attempt to derive a novel defense mechanism design against wormhole attacks.","author":[{"dropping-particle":"","family":"Kuo","given":"Shu Yu","non-dropping-particle":"","parse-names":false,"suffix":""},{"dropping-particle":"","family":"Tseng","given":"Fan Hsun","non-dropping-particle":"","parse-names":false,"suffix":""},{"dropping-particle":"","family":"Chou","given":"Yao Hsin","non-dropping-particle":"","parse-names":false,"suffix":""}],"container-title":"Future Generation Computer Systems","id":"ITEM-2","issued":{"date-parts":[["2023","6","1"]]},"page":"179-190","publisher":"North-Holland","title":"Metaverse intrusion detection of wormhole attacks based on a novel statistical mechanism","type":"article-journal","volume":"143"},"uris":["http://www.mendeley.com/documents/?uuid=80b02fe8-35df-31e8-b054-5b8b29ca2fef"]}],"mendeley":{"formattedCitation":"[212,213]","plainTextFormattedCitation":"[212,213]","previouslyFormattedCitation":"[212,213]"},"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[212,213]</w:t>
            </w:r>
            <w:r w:rsidR="008473C5" w:rsidRPr="003676D3">
              <w:rPr>
                <w:rFonts w:ascii="Times New Roman" w:hAnsi="Times New Roman" w:cs="Times New Roman"/>
                <w:sz w:val="20"/>
                <w:szCs w:val="20"/>
              </w:rPr>
              <w:fldChar w:fldCharType="end"/>
            </w:r>
          </w:p>
        </w:tc>
        <w:tc>
          <w:tcPr>
            <w:tcW w:w="1823" w:type="pct"/>
            <w:vAlign w:val="center"/>
            <w:hideMark/>
          </w:tcPr>
          <w:p w14:paraId="0D3159AD"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Grid and user data requires high security measures and protection</w:t>
            </w:r>
          </w:p>
        </w:tc>
        <w:tc>
          <w:tcPr>
            <w:tcW w:w="2198" w:type="pct"/>
            <w:vAlign w:val="center"/>
            <w:hideMark/>
          </w:tcPr>
          <w:p w14:paraId="3949FACB" w14:textId="1883B7C5"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 xml:space="preserve">Creation of a </w:t>
            </w:r>
            <w:r w:rsidR="00277732" w:rsidRPr="003676D3">
              <w:rPr>
                <w:rFonts w:ascii="Times New Roman" w:hAnsi="Times New Roman" w:cs="Times New Roman"/>
                <w:sz w:val="20"/>
                <w:szCs w:val="20"/>
              </w:rPr>
              <w:t>doable</w:t>
            </w:r>
            <w:r w:rsidRPr="003676D3">
              <w:rPr>
                <w:rFonts w:ascii="Times New Roman" w:hAnsi="Times New Roman" w:cs="Times New Roman"/>
                <w:sz w:val="20"/>
                <w:szCs w:val="20"/>
              </w:rPr>
              <w:t xml:space="preserve"> privacy policy </w:t>
            </w:r>
            <w:r w:rsidR="00277732" w:rsidRPr="003676D3">
              <w:rPr>
                <w:rFonts w:ascii="Times New Roman" w:hAnsi="Times New Roman" w:cs="Times New Roman"/>
                <w:sz w:val="20"/>
                <w:szCs w:val="20"/>
              </w:rPr>
              <w:t>for metaverse that ensure</w:t>
            </w:r>
            <w:r w:rsidRPr="003676D3">
              <w:rPr>
                <w:rFonts w:ascii="Times New Roman" w:hAnsi="Times New Roman" w:cs="Times New Roman"/>
                <w:sz w:val="20"/>
                <w:szCs w:val="20"/>
              </w:rPr>
              <w:t xml:space="preserve"> user-to-user privacy. Employing enhanced multi-factor authentication method</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{"citationItems":[{"id":"ITEM-1","itemData":{"DOI":"10.1016/J.COSE.2023.103127","ISSN":"0167-4048","abstract":"With the rapid development and evolution of immersive technologies there are growing concerns of security and privacy threats to the metaverse and extended reality (XR) systems. Immersive reality solutions are a combination of multiple vulnerable technologies allowing attackers to easily undermine security. Furthermore the deployment of appropriate security controls and defensive mechanisms for resource constrained proprietary XR products has been limited. In this paper, we provide a comprehensive overview of extended reality systems and the metaverse with emphasis on technology weaknesses, cyber security challenges and users’ safety concerns. Five major taxonomies have been presented in this research with an aim of identifying privacy inference vectors and potential cyber threats; determining the impact on human health and the extent to which cyberstalking, and digital currency scam activities proliferate when using XR. This research also proposes strategies for primary lines of defense and provides recommendations on the adoption of safety measures.","author":[{"dropping-particle":"","family":"Qamar","given":"Sara","non-dropping-particle":"","parse-names":false,"suffix":""},{"dropping-particle":"","family":"Anwar","given":"Zahid","non-dropping-particle":"","parse-names":false,"suffix":""},{"dropping-particle":"","family":"Afzal","given":"Mehreen","non-dropping-particle":"","parse-names":false,"suffix":""}],"container-title":"Computers &amp; Security","id":"ITEM-1","issued":{"date-parts":[["2023","5","1"]]},"page":"103127","publisher":"Elsevier Advanced Technology","title":"A systematic threat analysis and defense strategies for the metaverse and extended reality systems","type":"article-journal","volume":"128"},"uris":["http://www.mendeley.com/documents/?uuid=300d642b-fc0d-32b3-805b-0421d13940c9"]}],"mendeley":{"formattedCitation":"[214]","plainTextFormattedCitation":"[214]","previouslyFormattedCitation":"[214]"},"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[214]</w:t>
            </w:r>
            <w:r w:rsidR="008473C5" w:rsidRPr="003676D3">
              <w:rPr>
                <w:rFonts w:ascii="Times New Roman" w:hAnsi="Times New Roman" w:cs="Times New Roman"/>
                <w:sz w:val="20"/>
                <w:szCs w:val="20"/>
              </w:rPr>
              <w:fldChar w:fldCharType="end"/>
            </w:r>
            <w:r w:rsidRPr="003676D3">
              <w:rPr>
                <w:rFonts w:ascii="Times New Roman" w:hAnsi="Times New Roman" w:cs="Times New Roman"/>
                <w:sz w:val="20"/>
                <w:szCs w:val="20"/>
              </w:rPr>
              <w:t>.</w:t>
            </w:r>
          </w:p>
        </w:tc>
      </w:tr>
      <w:tr w:rsidR="00CC49AF" w:rsidRPr="003676D3" w14:paraId="2D901B04" w14:textId="77777777" w:rsidTr="00ED5CE9">
        <w:trPr>
          <w:cnfStyle w:val="000000100000" w:firstRow="0" w:lastRow="0" w:firstColumn="0" w:lastColumn="0" w:oddVBand="0" w:evenVBand="0" w:oddHBand="1" w:evenHBand="0" w:firstRowFirstColumn="0" w:firstRowLastColumn="0" w:lastRowFirstColumn="0" w:lastRowLastColumn="0"/>
          <w:trHeight w:val="1358"/>
        </w:trPr>
        <w:tc>
          <w:tcPr>
            <w:tcW w:w="979" w:type="pct"/>
            <w:vAlign w:val="center"/>
            <w:hideMark/>
          </w:tcPr>
          <w:p w14:paraId="0505A410" w14:textId="1BCBECE8"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Data Management</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{"citationItems":[{"id":"ITEM-1","itemData":{"URL":"https://wp.sigmod.org/?p=3481","accessed":{"date-parts":[["2024","5","20"]]},"id":"ITEM-1","issued":{"date-parts":[["0"]]},"title":"Data Management For The Metaverse – ACM SIGMOD Blog","type":"webpage"},"uris":["http://www.mendeley.com/documents/?uuid=73ed3a79-5d5a-3389-82bb-3f79ab5bd970"]}],"mendeley":{"formattedCitation":"[215]","plainTextFormattedCitation":"[215]","previouslyFormattedCitation":"[215]"},"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[215]</w:t>
            </w:r>
            <w:r w:rsidR="008473C5" w:rsidRPr="003676D3">
              <w:rPr>
                <w:rFonts w:ascii="Times New Roman" w:hAnsi="Times New Roman" w:cs="Times New Roman"/>
                <w:sz w:val="20"/>
                <w:szCs w:val="20"/>
              </w:rPr>
              <w:fldChar w:fldCharType="end"/>
            </w:r>
          </w:p>
        </w:tc>
        <w:tc>
          <w:tcPr>
            <w:tcW w:w="1823" w:type="pct"/>
            <w:vAlign w:val="center"/>
            <w:hideMark/>
          </w:tcPr>
          <w:p w14:paraId="4473BD06" w14:textId="34E54F31" w:rsidR="00EC029C" w:rsidRPr="003676D3" w:rsidRDefault="00277732"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Large volume of data need to be processed</w:t>
            </w:r>
            <w:r w:rsidR="00EC029C" w:rsidRPr="003676D3">
              <w:rPr>
                <w:rFonts w:ascii="Times New Roman" w:hAnsi="Times New Roman" w:cs="Times New Roman"/>
                <w:sz w:val="20"/>
                <w:szCs w:val="20"/>
              </w:rPr>
              <w:t xml:space="preserve"> and integrate. Also, heterogeneous storage need increased</w:t>
            </w:r>
          </w:p>
        </w:tc>
        <w:tc>
          <w:tcPr>
            <w:tcW w:w="2198" w:type="pct"/>
            <w:vAlign w:val="center"/>
            <w:hideMark/>
          </w:tcPr>
          <w:p w14:paraId="27276666" w14:textId="34BC010E"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 xml:space="preserve">Design </w:t>
            </w:r>
            <w:r w:rsidR="00277732" w:rsidRPr="003676D3">
              <w:rPr>
                <w:rFonts w:ascii="Times New Roman" w:hAnsi="Times New Roman" w:cs="Times New Roman"/>
                <w:sz w:val="20"/>
                <w:szCs w:val="20"/>
              </w:rPr>
              <w:t>algorithms which are context-aware and novel</w:t>
            </w:r>
            <w:r w:rsidRPr="003676D3">
              <w:rPr>
                <w:rFonts w:ascii="Times New Roman" w:hAnsi="Times New Roman" w:cs="Times New Roman"/>
                <w:sz w:val="20"/>
                <w:szCs w:val="20"/>
              </w:rPr>
              <w:t xml:space="preserve"> approximation operators. Use pf AI, IoT and fast computing methods.</w:t>
            </w:r>
          </w:p>
        </w:tc>
      </w:tr>
      <w:tr w:rsidR="00CC49AF" w:rsidRPr="003676D3" w14:paraId="4E62B4E8" w14:textId="77777777" w:rsidTr="00ED5CE9">
        <w:trPr>
          <w:trHeight w:val="1358"/>
        </w:trPr>
        <w:tc>
          <w:tcPr>
            <w:tcW w:w="979" w:type="pct"/>
            <w:vAlign w:val="center"/>
            <w:hideMark/>
          </w:tcPr>
          <w:p w14:paraId="0C6938A1" w14:textId="0F235721"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Governance and Law</w:t>
            </w:r>
            <w:r w:rsidR="008473C5" w:rsidRPr="003676D3">
              <w:rPr>
                <w:rFonts w:ascii="Times New Roman" w:hAnsi="Times New Roman" w:cs="Times New Roman"/>
                <w:sz w:val="20"/>
                <w:szCs w:val="20"/>
              </w:rPr>
              <w:t xml:space="preserve"> </w:t>
            </w:r>
            <w:r w:rsidR="008473C5" w:rsidRPr="003676D3">
              <w:rPr>
                <w:rFonts w:ascii="Times New Roman" w:hAnsi="Times New Roman" w:cs="Times New Roman"/>
                <w:sz w:val="20"/>
                <w:szCs w:val="20"/>
              </w:rPr>
              <w:fldChar w:fldCharType="begin" w:fldLock="1"/>
            </w:r>
            <w:r w:rsidR="00C312C2" w:rsidRPr="003676D3">
              <w:rPr>
                <w:rFonts w:ascii="Times New Roman" w:hAnsi="Times New Roman" w:cs="Times New Roman"/>
                <w:sz w:val="20"/>
                <w:szCs w:val="20"/>
              </w:rPr>
              <w:instrText>ADDIN CSL_CITATION {"citationItems":[{"id":"ITEM-1","itemData":{"URL":"https://bsabh.com/knowledge-hub/news/no-country-has-jurisdiction-over-the-metaverse-yet","accessed":{"date-parts":[["2024","5","20"]]},"id":"ITEM-1","issued":{"date-parts":[["0"]]},"title":"No country has jurisdiction over the metaverse (yet) | BSA Middle East Law Firm","type":"webpage"},"uris":["http://www.mendeley.com/documents/?uuid=f343e23f-abee-350d-a03e-50f2d811195a"]}],"mendeley":{"formattedCitation":"[216]","plainTextFormattedCitation":"[216]","previouslyFormattedCitation":"[216]"},"properties":{"noteIndex":0},"schema":"https://github.com/citation-style-language/schema/raw/master/csl-citation.json"}</w:instrText>
            </w:r>
            <w:r w:rsidR="008473C5" w:rsidRPr="003676D3">
              <w:rPr>
                <w:rFonts w:ascii="Times New Roman" w:hAnsi="Times New Roman" w:cs="Times New Roman"/>
                <w:sz w:val="20"/>
                <w:szCs w:val="20"/>
              </w:rPr>
              <w:fldChar w:fldCharType="separate"/>
            </w:r>
            <w:r w:rsidR="00C312C2" w:rsidRPr="003676D3">
              <w:rPr>
                <w:rFonts w:ascii="Times New Roman" w:hAnsi="Times New Roman" w:cs="Times New Roman"/>
                <w:noProof/>
                <w:sz w:val="20"/>
                <w:szCs w:val="20"/>
              </w:rPr>
              <w:t>[216]</w:t>
            </w:r>
            <w:r w:rsidR="008473C5" w:rsidRPr="003676D3">
              <w:rPr>
                <w:rFonts w:ascii="Times New Roman" w:hAnsi="Times New Roman" w:cs="Times New Roman"/>
                <w:sz w:val="20"/>
                <w:szCs w:val="20"/>
              </w:rPr>
              <w:fldChar w:fldCharType="end"/>
            </w:r>
          </w:p>
        </w:tc>
        <w:tc>
          <w:tcPr>
            <w:tcW w:w="1823" w:type="pct"/>
            <w:vAlign w:val="center"/>
            <w:hideMark/>
          </w:tcPr>
          <w:p w14:paraId="3BAE399A"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 xml:space="preserve">Traditional institutions and physical premises required for resolving conflicts. </w:t>
            </w:r>
            <w:proofErr w:type="spellStart"/>
            <w:r w:rsidRPr="003676D3">
              <w:rPr>
                <w:rFonts w:ascii="Times New Roman" w:hAnsi="Times New Roman" w:cs="Times New Roman"/>
                <w:sz w:val="20"/>
                <w:szCs w:val="20"/>
              </w:rPr>
              <w:t>Well crafted</w:t>
            </w:r>
            <w:proofErr w:type="spellEnd"/>
            <w:r w:rsidRPr="003676D3">
              <w:rPr>
                <w:rFonts w:ascii="Times New Roman" w:hAnsi="Times New Roman" w:cs="Times New Roman"/>
                <w:sz w:val="20"/>
                <w:szCs w:val="20"/>
              </w:rPr>
              <w:t xml:space="preserve"> Energy and Power policies require that address every problem.</w:t>
            </w:r>
          </w:p>
        </w:tc>
        <w:tc>
          <w:tcPr>
            <w:tcW w:w="2198" w:type="pct"/>
            <w:vAlign w:val="center"/>
            <w:hideMark/>
          </w:tcPr>
          <w:p w14:paraId="25E49CDE"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A decentralized governance system for virtual space having transparent conflict resolution system. Policies are crafted with the support of generative AI.</w:t>
            </w:r>
          </w:p>
        </w:tc>
      </w:tr>
      <w:tr w:rsidR="00CC49AF" w:rsidRPr="003676D3" w14:paraId="2FA19F7B" w14:textId="77777777" w:rsidTr="00ED5CE9">
        <w:trPr>
          <w:cnfStyle w:val="000000100000" w:firstRow="0" w:lastRow="0" w:firstColumn="0" w:lastColumn="0" w:oddVBand="0" w:evenVBand="0" w:oddHBand="1" w:evenHBand="0" w:firstRowFirstColumn="0" w:firstRowLastColumn="0" w:lastRowFirstColumn="0" w:lastRowLastColumn="0"/>
          <w:trHeight w:val="1358"/>
        </w:trPr>
        <w:tc>
          <w:tcPr>
            <w:tcW w:w="979" w:type="pct"/>
            <w:vAlign w:val="center"/>
            <w:hideMark/>
          </w:tcPr>
          <w:p w14:paraId="3BC31454"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Monetarily Transactions</w:t>
            </w:r>
          </w:p>
        </w:tc>
        <w:tc>
          <w:tcPr>
            <w:tcW w:w="1823" w:type="pct"/>
            <w:vAlign w:val="center"/>
            <w:hideMark/>
          </w:tcPr>
          <w:p w14:paraId="45EFB182" w14:textId="7777777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Traceable transactions with high security measures</w:t>
            </w:r>
          </w:p>
        </w:tc>
        <w:tc>
          <w:tcPr>
            <w:tcW w:w="2198" w:type="pct"/>
            <w:vAlign w:val="center"/>
            <w:hideMark/>
          </w:tcPr>
          <w:p w14:paraId="17799DA6" w14:textId="12887447" w:rsidR="00EC029C" w:rsidRPr="003676D3" w:rsidRDefault="00EC029C" w:rsidP="003676D3">
            <w:pPr>
              <w:spacing w:line="276" w:lineRule="auto"/>
              <w:jc w:val="both"/>
              <w:rPr>
                <w:rFonts w:ascii="Times New Roman" w:hAnsi="Times New Roman" w:cs="Times New Roman"/>
                <w:sz w:val="20"/>
                <w:szCs w:val="20"/>
              </w:rPr>
            </w:pPr>
            <w:r w:rsidRPr="003676D3">
              <w:rPr>
                <w:rFonts w:ascii="Times New Roman" w:hAnsi="Times New Roman" w:cs="Times New Roman"/>
                <w:sz w:val="20"/>
                <w:szCs w:val="20"/>
              </w:rPr>
              <w:t xml:space="preserve">Block-chain ensures immutability of transactions and storage. Transactions would be virtual, </w:t>
            </w:r>
            <w:r w:rsidR="00277732" w:rsidRPr="003676D3">
              <w:rPr>
                <w:rFonts w:ascii="Times New Roman" w:hAnsi="Times New Roman" w:cs="Times New Roman"/>
                <w:sz w:val="20"/>
                <w:szCs w:val="20"/>
              </w:rPr>
              <w:t>encrypted and anonymous</w:t>
            </w:r>
            <w:r w:rsidRPr="003676D3">
              <w:rPr>
                <w:rFonts w:ascii="Times New Roman" w:hAnsi="Times New Roman" w:cs="Times New Roman"/>
                <w:sz w:val="20"/>
                <w:szCs w:val="20"/>
              </w:rPr>
              <w:t>.</w:t>
            </w:r>
          </w:p>
        </w:tc>
      </w:tr>
    </w:tbl>
    <w:p w14:paraId="42F39364" w14:textId="77777777" w:rsidR="00EC029C" w:rsidRPr="003676D3" w:rsidRDefault="00EC029C" w:rsidP="003676D3">
      <w:pPr>
        <w:spacing w:line="276" w:lineRule="auto"/>
        <w:jc w:val="both"/>
        <w:rPr>
          <w:rFonts w:ascii="Times New Roman" w:hAnsi="Times New Roman" w:cs="Times New Roman"/>
          <w:sz w:val="24"/>
          <w:szCs w:val="24"/>
        </w:rPr>
      </w:pPr>
    </w:p>
    <w:p w14:paraId="10D4D062" w14:textId="3517386C" w:rsidR="00EC029C" w:rsidRPr="003676D3" w:rsidRDefault="00572084"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It is very challenging to e</w:t>
      </w:r>
      <w:r w:rsidR="004F1909" w:rsidRPr="003676D3">
        <w:rPr>
          <w:rFonts w:ascii="Times New Roman" w:hAnsi="Times New Roman" w:cs="Times New Roman"/>
          <w:sz w:val="24"/>
          <w:szCs w:val="24"/>
        </w:rPr>
        <w:t>nforc</w:t>
      </w:r>
      <w:r w:rsidRPr="003676D3">
        <w:rPr>
          <w:rFonts w:ascii="Times New Roman" w:hAnsi="Times New Roman" w:cs="Times New Roman"/>
          <w:sz w:val="24"/>
          <w:szCs w:val="24"/>
        </w:rPr>
        <w:t>e</w:t>
      </w:r>
      <w:r w:rsidR="004F1909" w:rsidRPr="003676D3">
        <w:rPr>
          <w:rFonts w:ascii="Times New Roman" w:hAnsi="Times New Roman" w:cs="Times New Roman"/>
          <w:sz w:val="24"/>
          <w:szCs w:val="24"/>
        </w:rPr>
        <w:t xml:space="preserve"> laws in the metaverse due to its virtual nature</w:t>
      </w:r>
      <w:r w:rsidRPr="003676D3">
        <w:rPr>
          <w:rFonts w:ascii="Times New Roman" w:hAnsi="Times New Roman" w:cs="Times New Roman"/>
          <w:sz w:val="24"/>
          <w:szCs w:val="24"/>
        </w:rPr>
        <w:t xml:space="preserve">. Another reasons include </w:t>
      </w:r>
      <w:r w:rsidR="004F1909" w:rsidRPr="003676D3">
        <w:rPr>
          <w:rFonts w:ascii="Times New Roman" w:hAnsi="Times New Roman" w:cs="Times New Roman"/>
          <w:sz w:val="24"/>
          <w:szCs w:val="24"/>
        </w:rPr>
        <w:t>the use of anonymous</w:t>
      </w:r>
      <w:r w:rsidRPr="003676D3">
        <w:rPr>
          <w:rFonts w:ascii="Times New Roman" w:hAnsi="Times New Roman" w:cs="Times New Roman"/>
          <w:sz w:val="24"/>
          <w:szCs w:val="24"/>
        </w:rPr>
        <w:t xml:space="preserve"> and </w:t>
      </w:r>
      <w:r w:rsidR="004F1909" w:rsidRPr="003676D3">
        <w:rPr>
          <w:rFonts w:ascii="Times New Roman" w:hAnsi="Times New Roman" w:cs="Times New Roman"/>
          <w:sz w:val="24"/>
          <w:szCs w:val="24"/>
        </w:rPr>
        <w:t>encrypted cryptocurrency transactions</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F6280D" w:rsidRPr="003676D3">
        <w:rPr>
          <w:rFonts w:ascii="Times New Roman" w:hAnsi="Times New Roman" w:cs="Times New Roman"/>
          <w:sz w:val="24"/>
          <w:szCs w:val="24"/>
        </w:rPr>
        <w:instrText>ADDIN CSL_CITATION {"citationItems":[{"id":"ITEM-1","itemData":{"DOI":"10.1016/J.FRL.2022.102742","ISSN":"1544-6123","abstract":"The combination of blockchain technologies and the gaming industry has given rise to metaverses and play-to-earn games, which incorporate their own economy, commerce, and currencies, namely, metaverse and play-to-earn tokens. In this study, we analysed the performance and dynamics of 174 tokens, showing that this new crypto niche is characterised by (i) a positive performance in the long run, (ii) the absence of high co-movements with the cryptocurrency market, (iii) the emergence of bubbles, (iv) and the absence of high correlations with NFT features, such as number of transactions, sales and Google searches.","author":[{"dropping-particle":"","family":"Vidal-Tomás","given":"David","non-dropping-particle":"","parse-names":false,"suffix":""}],"container-title":"Finance Research Letters","id":"ITEM-1","issued":{"date-parts":[["2022","6","1"]]},"page":"102742","publisher":"Elsevier","title":"The new crypto niche: NFTs, play-to-earn, and metaverse tokens","type":"article-journal","volume":"47"},"uris":["http://www.mendeley.com/documents/?uuid=de985f31-c4e2-3d93-be47-f6efb34e808e"]},{"id":"ITEM-2","itemData":{"DOI":"10.1016/J.IRFA.2023.102560","ISSN":"1057-5219","abstract":"This paper provides (i) a review of the existing literature on the metaverse and (ii) an empirical assessment of the current state of the Web3 meta-economy, with the focus on economic governance and metaverse commerce. We have analysed the entire Web3 metaverse niche, i.e. both the 196 available metaverse fungible tokens and all the non-fungible token (NFT) transactions belonging to the metaverse marketplace. Our results showed that economic governance is based on metaverse tokens that cannot be defined as reliable virtual currencies due to their explosive behaviour, negative performance, and higher volatility compared to traditional alternatives. Paradoxically, fiat currencies and stablecoins could be more appropriate candidates for the payment infrastructure. Moreover, we also observed that NFT prices are affected by the cryptocurrency market, which highlights the risk of metaverse commerce. For future research, developers and scholars must assess the different alternatives and infrastructures that can make the metaverse a persistent reality with a proper virtual economy. However, at present, it seems that the hype has run far ahead of reality.","author":[{"dropping-particle":"","family":"Vidal-Tomás","given":"David","non-dropping-particle":"","parse-names":false,"suffix":""}],"container-title":"International Review of Financial Analysis","id":"ITEM-2","issued":{"date-parts":[["2023","3","1"]]},"page":"102560","publisher":"North-Holland","title":"The illusion of the metaverse and meta-economy","type":"article-journal","volume":"86"},"uris":["http://www.mendeley.com/documents/?uuid=48520336-25c3-3376-a40e-d1a4b68830a6"]}],"mendeley":{"formattedCitation":"[145,182]","plainTextFormattedCitation":"[145,182]","previouslyFormattedCitation":"[145,182]"},"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F6280D" w:rsidRPr="003676D3">
        <w:rPr>
          <w:rFonts w:ascii="Times New Roman" w:hAnsi="Times New Roman" w:cs="Times New Roman"/>
          <w:noProof/>
          <w:sz w:val="24"/>
          <w:szCs w:val="24"/>
        </w:rPr>
        <w:t>[145,182]</w:t>
      </w:r>
      <w:r w:rsidR="00F6280D" w:rsidRPr="003676D3">
        <w:rPr>
          <w:rFonts w:ascii="Times New Roman" w:hAnsi="Times New Roman" w:cs="Times New Roman"/>
          <w:sz w:val="24"/>
          <w:szCs w:val="24"/>
        </w:rPr>
        <w:fldChar w:fldCharType="end"/>
      </w:r>
      <w:r w:rsidR="004F1909" w:rsidRPr="003676D3">
        <w:rPr>
          <w:rFonts w:ascii="Times New Roman" w:hAnsi="Times New Roman" w:cs="Times New Roman"/>
          <w:sz w:val="24"/>
          <w:szCs w:val="24"/>
        </w:rPr>
        <w:t xml:space="preserve">. </w:t>
      </w:r>
      <w:r w:rsidR="00396778" w:rsidRPr="003676D3">
        <w:rPr>
          <w:rFonts w:ascii="Times New Roman" w:hAnsi="Times New Roman" w:cs="Times New Roman"/>
          <w:sz w:val="24"/>
          <w:szCs w:val="24"/>
        </w:rPr>
        <w:t>This complicates</w:t>
      </w:r>
      <w:r w:rsidR="004F1909" w:rsidRPr="003676D3">
        <w:rPr>
          <w:rFonts w:ascii="Times New Roman" w:hAnsi="Times New Roman" w:cs="Times New Roman"/>
          <w:sz w:val="24"/>
          <w:szCs w:val="24"/>
        </w:rPr>
        <w:t xml:space="preserve"> accountability for</w:t>
      </w:r>
      <w:r w:rsidR="00277732" w:rsidRPr="003676D3">
        <w:rPr>
          <w:rFonts w:ascii="Times New Roman" w:hAnsi="Times New Roman" w:cs="Times New Roman"/>
          <w:sz w:val="24"/>
          <w:szCs w:val="24"/>
        </w:rPr>
        <w:t xml:space="preserve"> data theft. </w:t>
      </w:r>
      <w:r w:rsidR="004A15C3" w:rsidRPr="003676D3">
        <w:rPr>
          <w:rFonts w:ascii="Times New Roman" w:hAnsi="Times New Roman" w:cs="Times New Roman"/>
          <w:sz w:val="24"/>
          <w:szCs w:val="24"/>
        </w:rPr>
        <w:t xml:space="preserve">In </w:t>
      </w:r>
      <w:r w:rsidR="00277732" w:rsidRPr="003676D3">
        <w:rPr>
          <w:rFonts w:ascii="Times New Roman" w:hAnsi="Times New Roman" w:cs="Times New Roman"/>
          <w:sz w:val="24"/>
          <w:szCs w:val="24"/>
        </w:rPr>
        <w:t>M</w:t>
      </w:r>
      <w:r w:rsidR="004F1909" w:rsidRPr="003676D3">
        <w:rPr>
          <w:rFonts w:ascii="Times New Roman" w:hAnsi="Times New Roman" w:cs="Times New Roman"/>
          <w:sz w:val="24"/>
          <w:szCs w:val="24"/>
        </w:rPr>
        <w:t>etaverse</w:t>
      </w:r>
      <w:r w:rsidR="001A3314" w:rsidRPr="003676D3">
        <w:rPr>
          <w:rFonts w:ascii="Times New Roman" w:hAnsi="Times New Roman" w:cs="Times New Roman"/>
          <w:sz w:val="24"/>
          <w:szCs w:val="24"/>
        </w:rPr>
        <w:t xml:space="preserve"> no physical entity is present for handling complains. </w:t>
      </w:r>
      <w:r w:rsidR="00B55F4F" w:rsidRPr="003676D3">
        <w:rPr>
          <w:rFonts w:ascii="Times New Roman" w:hAnsi="Times New Roman" w:cs="Times New Roman"/>
          <w:sz w:val="24"/>
          <w:szCs w:val="24"/>
        </w:rPr>
        <w:t xml:space="preserve">That is the reason behind its </w:t>
      </w:r>
      <w:r w:rsidR="004F1909" w:rsidRPr="003676D3">
        <w:rPr>
          <w:rFonts w:ascii="Times New Roman" w:hAnsi="Times New Roman" w:cs="Times New Roman"/>
          <w:sz w:val="24"/>
          <w:szCs w:val="24"/>
        </w:rPr>
        <w:t>lack</w:t>
      </w:r>
      <w:r w:rsidR="00B55F4F" w:rsidRPr="003676D3">
        <w:rPr>
          <w:rFonts w:ascii="Times New Roman" w:hAnsi="Times New Roman" w:cs="Times New Roman"/>
          <w:sz w:val="24"/>
          <w:szCs w:val="24"/>
        </w:rPr>
        <w:t xml:space="preserve"> of</w:t>
      </w:r>
      <w:r w:rsidR="00277732" w:rsidRPr="003676D3">
        <w:rPr>
          <w:rFonts w:ascii="Times New Roman" w:hAnsi="Times New Roman" w:cs="Times New Roman"/>
          <w:sz w:val="24"/>
          <w:szCs w:val="24"/>
        </w:rPr>
        <w:t xml:space="preserve"> consumer protection and</w:t>
      </w:r>
      <w:r w:rsidR="004F1909" w:rsidRPr="003676D3">
        <w:rPr>
          <w:rFonts w:ascii="Times New Roman" w:hAnsi="Times New Roman" w:cs="Times New Roman"/>
          <w:sz w:val="24"/>
          <w:szCs w:val="24"/>
        </w:rPr>
        <w:t xml:space="preserve"> traditional re</w:t>
      </w:r>
      <w:r w:rsidR="00277732" w:rsidRPr="003676D3">
        <w:rPr>
          <w:rFonts w:ascii="Times New Roman" w:hAnsi="Times New Roman" w:cs="Times New Roman"/>
          <w:sz w:val="24"/>
          <w:szCs w:val="24"/>
        </w:rPr>
        <w:t>gulation</w:t>
      </w:r>
      <w:r w:rsidR="004F1909" w:rsidRPr="003676D3">
        <w:rPr>
          <w:rFonts w:ascii="Times New Roman" w:hAnsi="Times New Roman" w:cs="Times New Roman"/>
          <w:sz w:val="24"/>
          <w:szCs w:val="24"/>
        </w:rPr>
        <w:t xml:space="preserve">. </w:t>
      </w:r>
      <w:r w:rsidR="00D76519" w:rsidRPr="003676D3">
        <w:rPr>
          <w:rFonts w:ascii="Times New Roman" w:hAnsi="Times New Roman" w:cs="Times New Roman"/>
          <w:sz w:val="24"/>
          <w:szCs w:val="24"/>
        </w:rPr>
        <w:t>New legislation is needed to address virtual crimes</w:t>
      </w:r>
      <w:r w:rsidR="00D27EB7" w:rsidRPr="003676D3">
        <w:rPr>
          <w:rFonts w:ascii="Times New Roman" w:hAnsi="Times New Roman" w:cs="Times New Roman"/>
          <w:sz w:val="24"/>
          <w:szCs w:val="24"/>
        </w:rPr>
        <w:t xml:space="preserve">. Even for this challenge, there exists ambiguity in </w:t>
      </w:r>
      <w:r w:rsidR="00D76519" w:rsidRPr="003676D3">
        <w:rPr>
          <w:rFonts w:ascii="Times New Roman" w:hAnsi="Times New Roman" w:cs="Times New Roman"/>
          <w:sz w:val="24"/>
          <w:szCs w:val="24"/>
        </w:rPr>
        <w:t xml:space="preserve">determining jurisdiction and enforcing laws. This is due to the intangible nature of virtual assets and </w:t>
      </w:r>
      <w:r w:rsidR="004D5C0E" w:rsidRPr="003676D3">
        <w:rPr>
          <w:rFonts w:ascii="Times New Roman" w:hAnsi="Times New Roman" w:cs="Times New Roman"/>
          <w:sz w:val="24"/>
          <w:szCs w:val="24"/>
        </w:rPr>
        <w:t>variety of</w:t>
      </w:r>
      <w:r w:rsidR="00D76519" w:rsidRPr="003676D3">
        <w:rPr>
          <w:rFonts w:ascii="Times New Roman" w:hAnsi="Times New Roman" w:cs="Times New Roman"/>
          <w:sz w:val="24"/>
          <w:szCs w:val="24"/>
        </w:rPr>
        <w:t xml:space="preserve"> legal frameworks. </w:t>
      </w:r>
      <w:r w:rsidR="004F1909" w:rsidRPr="003676D3">
        <w:rPr>
          <w:rFonts w:ascii="Times New Roman" w:hAnsi="Times New Roman" w:cs="Times New Roman"/>
          <w:sz w:val="24"/>
          <w:szCs w:val="24"/>
        </w:rPr>
        <w:t xml:space="preserve">Additionally, the metaverse </w:t>
      </w:r>
      <w:r w:rsidR="00396778" w:rsidRPr="003676D3">
        <w:rPr>
          <w:rFonts w:ascii="Times New Roman" w:hAnsi="Times New Roman" w:cs="Times New Roman"/>
          <w:sz w:val="24"/>
          <w:szCs w:val="24"/>
        </w:rPr>
        <w:t>introduces challenges</w:t>
      </w:r>
      <w:r w:rsidR="004F1909" w:rsidRPr="003676D3">
        <w:rPr>
          <w:rFonts w:ascii="Times New Roman" w:hAnsi="Times New Roman" w:cs="Times New Roman"/>
          <w:sz w:val="24"/>
          <w:szCs w:val="24"/>
        </w:rPr>
        <w:t xml:space="preserve"> including </w:t>
      </w:r>
      <w:r w:rsidR="00A86A12" w:rsidRPr="003676D3">
        <w:rPr>
          <w:rFonts w:ascii="Times New Roman" w:hAnsi="Times New Roman" w:cs="Times New Roman"/>
          <w:sz w:val="24"/>
          <w:szCs w:val="24"/>
        </w:rPr>
        <w:t>privacy breaches</w:t>
      </w:r>
      <w:r w:rsidR="00A33A51" w:rsidRPr="003676D3">
        <w:rPr>
          <w:rFonts w:ascii="Times New Roman" w:hAnsi="Times New Roman" w:cs="Times New Roman"/>
          <w:sz w:val="24"/>
          <w:szCs w:val="24"/>
        </w:rPr>
        <w:t xml:space="preserve"> and</w:t>
      </w:r>
      <w:r w:rsidR="00A86A12" w:rsidRPr="003676D3">
        <w:rPr>
          <w:rFonts w:ascii="Times New Roman" w:hAnsi="Times New Roman" w:cs="Times New Roman"/>
          <w:sz w:val="24"/>
          <w:szCs w:val="24"/>
        </w:rPr>
        <w:t xml:space="preserve"> </w:t>
      </w:r>
      <w:r w:rsidR="004F1909" w:rsidRPr="003676D3">
        <w:rPr>
          <w:rFonts w:ascii="Times New Roman" w:hAnsi="Times New Roman" w:cs="Times New Roman"/>
          <w:sz w:val="24"/>
          <w:szCs w:val="24"/>
        </w:rPr>
        <w:t>unauthorized ac</w:t>
      </w:r>
      <w:r w:rsidR="00A86A12" w:rsidRPr="003676D3">
        <w:rPr>
          <w:rFonts w:ascii="Times New Roman" w:hAnsi="Times New Roman" w:cs="Times New Roman"/>
          <w:sz w:val="24"/>
          <w:szCs w:val="24"/>
        </w:rPr>
        <w:t>cess to virtual infrastructure</w:t>
      </w:r>
      <w:r w:rsidR="00A33A51" w:rsidRPr="003676D3">
        <w:rPr>
          <w:rFonts w:ascii="Times New Roman" w:hAnsi="Times New Roman" w:cs="Times New Roman"/>
          <w:sz w:val="24"/>
          <w:szCs w:val="24"/>
        </w:rPr>
        <w:t>.</w:t>
      </w:r>
      <w:r w:rsidR="004334E7" w:rsidRPr="003676D3">
        <w:rPr>
          <w:rFonts w:ascii="Times New Roman" w:hAnsi="Times New Roman" w:cs="Times New Roman"/>
          <w:sz w:val="24"/>
          <w:szCs w:val="24"/>
        </w:rPr>
        <w:t xml:space="preserve"> Other challenges include</w:t>
      </w:r>
      <w:r w:rsidR="004F1909" w:rsidRPr="003676D3">
        <w:rPr>
          <w:rFonts w:ascii="Times New Roman" w:hAnsi="Times New Roman" w:cs="Times New Roman"/>
          <w:sz w:val="24"/>
          <w:szCs w:val="24"/>
        </w:rPr>
        <w:t xml:space="preserve"> data manip</w:t>
      </w:r>
      <w:r w:rsidR="00D76519" w:rsidRPr="003676D3">
        <w:rPr>
          <w:rFonts w:ascii="Times New Roman" w:hAnsi="Times New Roman" w:cs="Times New Roman"/>
          <w:sz w:val="24"/>
          <w:szCs w:val="24"/>
        </w:rPr>
        <w:t>ulation, and the need for comprehensive</w:t>
      </w:r>
      <w:r w:rsidR="004F1909" w:rsidRPr="003676D3">
        <w:rPr>
          <w:rFonts w:ascii="Times New Roman" w:hAnsi="Times New Roman" w:cs="Times New Roman"/>
          <w:sz w:val="24"/>
          <w:szCs w:val="24"/>
        </w:rPr>
        <w:t xml:space="preserve"> security measures to </w:t>
      </w:r>
      <w:r w:rsidR="004F1909" w:rsidRPr="003676D3">
        <w:rPr>
          <w:rFonts w:ascii="Times New Roman" w:hAnsi="Times New Roman" w:cs="Times New Roman"/>
          <w:sz w:val="24"/>
          <w:szCs w:val="24"/>
        </w:rPr>
        <w:lastRenderedPageBreak/>
        <w:t xml:space="preserve">safeguard both physical and </w:t>
      </w:r>
      <w:r w:rsidR="004334E7" w:rsidRPr="003676D3">
        <w:rPr>
          <w:rFonts w:ascii="Times New Roman" w:hAnsi="Times New Roman" w:cs="Times New Roman"/>
          <w:sz w:val="24"/>
          <w:szCs w:val="24"/>
        </w:rPr>
        <w:t>cyber</w:t>
      </w:r>
      <w:r w:rsidR="004F1909" w:rsidRPr="003676D3">
        <w:rPr>
          <w:rFonts w:ascii="Times New Roman" w:hAnsi="Times New Roman" w:cs="Times New Roman"/>
          <w:sz w:val="24"/>
          <w:szCs w:val="24"/>
        </w:rPr>
        <w:t xml:space="preserve"> </w:t>
      </w:r>
      <w:r w:rsidR="00D76519" w:rsidRPr="003676D3">
        <w:rPr>
          <w:rFonts w:ascii="Times New Roman" w:hAnsi="Times New Roman" w:cs="Times New Roman"/>
          <w:sz w:val="24"/>
          <w:szCs w:val="24"/>
        </w:rPr>
        <w:t>modules</w:t>
      </w:r>
      <w:r w:rsidR="004F1909" w:rsidRPr="003676D3">
        <w:rPr>
          <w:rFonts w:ascii="Times New Roman" w:hAnsi="Times New Roman" w:cs="Times New Roman"/>
          <w:sz w:val="24"/>
          <w:szCs w:val="24"/>
        </w:rPr>
        <w:t>. Addressing these issues is essential for ensuring user safety in the metaverse.</w:t>
      </w:r>
      <w:r w:rsidR="00EC029C" w:rsidRPr="003676D3">
        <w:rPr>
          <w:rFonts w:ascii="Times New Roman" w:hAnsi="Times New Roman" w:cs="Times New Roman"/>
          <w:sz w:val="24"/>
          <w:szCs w:val="24"/>
        </w:rPr>
        <w:t xml:space="preserve"> </w:t>
      </w:r>
    </w:p>
    <w:p w14:paraId="5BAC0A67" w14:textId="6D77048A" w:rsidR="0081302A" w:rsidRPr="003676D3" w:rsidRDefault="0081302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Super smart grids comprising of extensive energy internet of things (EIOT) has to face critical challenges like data security, privacy as well as latency issues</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{"citationItems":[{"id":"ITEM-1","itemData":{"DOI":"10.1016/J.IOTCPS.2023.12.002","ISSN":"26673452","abstract":"The concept of a smart city is geared towards enhancing convenience and the efficient management of city areas through innovation. As Metaverse rises in the 2020s, providing the possible direction for a new generation of the Internet, it has a huge number of opportunities to promote smart cities. The Metaverse can empower smart cities in various aspects. In this article, we provide a detailed review of smart cities based on Metaverse technologies. Firstly, we introduce the Metaverse and smart cities and describe the future vision and applications of smart cities, which are based on the Metaverse. In addition, we discuss the essential technologies for smart cities in the Metaverse and the currently available solutions. Additionally, we have some concerns regarding the potential of Metaverse and there are still unresolved issues that should be addressed. The purpose of this article is to provide researchers and developers with essential guidance and opportunities to propel the development of the Metaverse and smart cities.","author":[{"dropping-particle":"","family":"Chen","given":"Zefeng","non-dropping-particle":"","parse-names":false,"suffix":""},{"dropping-particle":"","family":"Gan","given":"Wensheng","non-dropping-particle":"","parse-names":false,"suffix":""},{"dropping-particle":"","family":"Wu","given":"Jiayang","non-dropping-particle":"","parse-names":false,"suffix":""},{"dropping-particle":"","family":"Lin","given":"Hong","non-dropping-particle":"","parse-names":false,"suffix":""},{"dropping-particle":"","family":"Chen","given":"Chien Ming","non-dropping-particle":"","parse-names":false,"suffix":""}],"container-title":"Internet of Things and Cyber-Physical Systems","id":"ITEM-1","issued":{"date-parts":[["2024","1","1"]]},"page":"203-216","publisher":"KeAi Communications Co.","title":"Metaverse for smart cities: A survey","type":"article-journal","volume":"4"},"uris":["http://www.mendeley.com/documents/?uuid=d5a65010-7d88-39c4-b673-6e8bc1881742"]}],"mendeley":{"formattedCitation":"[217]","plainTextFormattedCitation":"[217]","previouslyFormattedCitation":"[217]"},"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[217]</w:t>
      </w:r>
      <w:r w:rsidR="00F6280D"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due to high computation</w:t>
      </w:r>
      <w:r w:rsidR="004B4472" w:rsidRPr="003676D3">
        <w:rPr>
          <w:rFonts w:ascii="Times New Roman" w:hAnsi="Times New Roman" w:cs="Times New Roman"/>
          <w:sz w:val="24"/>
          <w:szCs w:val="24"/>
        </w:rPr>
        <w:t xml:space="preserve"> volume</w:t>
      </w:r>
      <w:r w:rsidRPr="003676D3">
        <w:rPr>
          <w:rFonts w:ascii="Times New Roman" w:hAnsi="Times New Roman" w:cs="Times New Roman"/>
          <w:sz w:val="24"/>
          <w:szCs w:val="24"/>
        </w:rPr>
        <w:t>.</w:t>
      </w:r>
      <w:r w:rsidR="004B4472" w:rsidRPr="003676D3">
        <w:rPr>
          <w:rFonts w:ascii="Times New Roman" w:hAnsi="Times New Roman" w:cs="Times New Roman"/>
          <w:sz w:val="24"/>
          <w:szCs w:val="24"/>
        </w:rPr>
        <w:t xml:space="preserve"> For this purpose, authentication schemes were employed with the help of </w:t>
      </w:r>
      <w:r w:rsidR="00D76519" w:rsidRPr="003676D3">
        <w:rPr>
          <w:rFonts w:ascii="Times New Roman" w:hAnsi="Times New Roman" w:cs="Times New Roman"/>
          <w:sz w:val="24"/>
          <w:szCs w:val="24"/>
        </w:rPr>
        <w:t xml:space="preserve">two-factor authentication (2FA), </w:t>
      </w:r>
      <w:r w:rsidR="004B4472" w:rsidRPr="003676D3">
        <w:rPr>
          <w:rFonts w:ascii="Times New Roman" w:hAnsi="Times New Roman" w:cs="Times New Roman"/>
          <w:sz w:val="24"/>
          <w:szCs w:val="24"/>
        </w:rPr>
        <w:t>ID based single</w:t>
      </w:r>
      <w:r w:rsidR="00F31851" w:rsidRPr="003676D3">
        <w:rPr>
          <w:rFonts w:ascii="Times New Roman" w:hAnsi="Times New Roman" w:cs="Times New Roman"/>
          <w:sz w:val="24"/>
          <w:szCs w:val="24"/>
        </w:rPr>
        <w:t xml:space="preserve"> factor authentication scheme</w:t>
      </w:r>
      <w:r w:rsidR="00D76519" w:rsidRPr="003676D3">
        <w:rPr>
          <w:rFonts w:ascii="Times New Roman" w:hAnsi="Times New Roman" w:cs="Times New Roman"/>
          <w:sz w:val="24"/>
          <w:szCs w:val="24"/>
        </w:rPr>
        <w:t xml:space="preserve"> and Public Key Infrastructure (PKI)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{"citationItems":[{"id":"ITEM-1","itemData":{"DOI":"10.3390/CRYPTOGRAPHY2010001","ISSN":"2410387X","abstract":"Today, digitalization decisively penetrates all the sides of the modern society. One of the key enablers to maintain this process secure is authentication. It covers many different areas of a hyper-connected world, including online payments, communications, access right management, etc. This work sheds light on the evolution of authentication systems towards Multi-Factor Authentication (MFA) starting from Single-Factor Authentication (SFA) and through Two-Factor Authentication (2FA). Particularly, MFA is expected to be utilized for human-to-everything interactions by enabling fast, user-friendly, and reliable authentication when accessing a service. This paper surveys the already available and emerging sensors (factor providers) that allow for authenticating a user with the system directly or by involving the cloud. The corresponding challenges from the user as well as the service provider perspective are also reviewed. The MFA system based on reversed Lagrange polynomial within Shamir’s Secret Sharing (SSS) scheme is further proposed to enable more flexible authentication. This solution covers the cases of authenticating the user even if some of the factors are mismatched or absent. Our framework allows for qualifying the missing factors by authenticating the user without disclosing sensitive biometric data to the verification entity. Finally, a vision of the future trends in MFA is discussed.","author":[{"dropping-particle":"","family":"Ometov","given":"Aleksandr","non-dropping-particle":"","parse-names":false,"suffix":""},{"dropping-particle":"","family":"Bezzateev","given":"Sergey","non-dropping-particle":"","parse-names":false,"suffix":""},{"dropping-particle":"","family":"Mäkitalo","given":"Niko","non-dropping-particle":"","parse-names":false,"suffix":""},{"dropping-particle":"","family":"Andreev","given":"Sergey","non-dropping-particle":"","parse-names":false,"suffix":""},{"dropping-particle":"","family":"Mikkonen","given":"Tommi","non-dropping-particle":"","parse-names":false,"suffix":""},{"dropping-particle":"","family":"Koucheryavy","given":"Yevgeni","non-dropping-particle":"","parse-names":false,"suffix":""}],"container-title":"Cryptography","id":"ITEM-1","issue":"1","issued":{"date-parts":[["2018","3","1"]]},"page":"1-31","publisher":"MDPI AG","title":"Multi-factor authentication: A survey","type":"article-journal","volume":"2"},"uris":["http://www.mendeley.com/documents/?uuid=2c16e0a7-8a5e-3fec-9056-6002bc67cee0"]},{"id":"ITEM-2","itemData":{"DOI":"10.1145/2751323.2751327","ISBN":"9781450334792","abstract":"As text-based passwords continue to be the dominant form for user identiication today, services try to protect their costumers by ooering enhanced, and more secure, technologies for authen-tication. One of the most promising is two-factor authentication (2FA). 2FA raises the bar for the attacker signiicantly, however, it is still questionable if the technology can be realistically adopted by the majority of Internet users. In this paper, we attempt a arst study for quantifying the adoption of 2FA in probably the largest existing provider, namely Google. For achieving this, we leverage the password-reminder process in a novel way for discovering if 2FA is enabled for a particular account, without annoying or affecting the account's owner. Our technique has many challenges to overcome, since it requires issuing massively thousands of password reminders. In order to remain below the radar, and therefore avoid solving CAPTCHAs or having our hosts blocked, we leverage distributed systems, such as TOR and PlanetLab. After examining over 100,000 Google accounts, we conclude that 2FA has not yet been adopted by more than 6.4% of the users. Last but not least, as a side-eeect of our technique, we are also able to exxltrate private information, which can be potentially used for malicious purposes. Thus, in this paper we additionally present important for raising concerns about privacy risks in designing password reminders.","author":[{"dropping-particle":"","family":"Petsas","given":"T","non-dropping-particle":"","parse-names":false,"suffix":""},{"dropping-particle":"","family":"Tsirantonakis","given":"G","non-dropping-particle":"","parse-names":false,"suffix":""},{"dropping-particle":"","family":"…","given":"E Athanasopoulos - Proceedings of the","non-dropping-particle":"","parse-names":false,"suffix":""},{"dropping-particle":"","family":"2015","given":"undefined","non-dropping-particle":"","parse-names":false,"suffix":""}],"container-title":"dl.acm.orgT Petsas, G Tsirantonakis, E Athanasopoulos, S IoannidisProceedings of the eighth european workshop on system security, 2015•dl.acm.org","id":"ITEM-2","issued":{"date-parts":[["2015","4","21"]]},"publisher":"Association for Computing Machinery, Inc","title":"Two-factor authentication: is the world ready? Quantifying 2FA adoption","type":"article-journal"},"uris":["http://www.mendeley.com/documents/?uuid=d885da07-390e-35a8-bdd4-6b938adae796"]}],"mendeley":{"formattedCitation":"[218,219]","plainTextFormattedCitation":"[218,219]","previouslyFormattedCitation":"[218,219]"},"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[218,219]</w:t>
      </w:r>
      <w:r w:rsidR="00F6280D" w:rsidRPr="003676D3">
        <w:rPr>
          <w:rFonts w:ascii="Times New Roman" w:hAnsi="Times New Roman" w:cs="Times New Roman"/>
          <w:sz w:val="24"/>
          <w:szCs w:val="24"/>
        </w:rPr>
        <w:fldChar w:fldCharType="end"/>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{"citationItems":[{"id":"ITEM-1","itemData":{"DOI":"10.1109/TDSC.2014.2355850","abstract":"Despite two decades of intensive research, it remains a challenge to design a practical anonymous two-factor authentication scheme, for the designers are confronted with an impressive list of security requirements (e.g., resistance to smart card loss attack) and desirable attributes (e.g., local password update). Numerous solutions have been proposed, yet most of them are shortly found either unable to satisfy some critical security requirements or short of a few important features. To overcome this unsatisfactory situation, researchers often work around it in hopes of a new proposal (but no one has succeeded so far), while paying little attention to the fundamental question: whether or not there are inherent limitations that prevent us from designing an \"ideal\" scheme that satisfies all the desirable goals? In this work, we aim to provide a definite answer to this question. We first revisit two foremost proposals, i.e. Tsai et al.'s scheme and Li's scheme, revealing some subtleties and challenges in designing such schemes. Then, we systematically explore the inherent conflicts and unavoidable trade-offs among the design criteria. Our results indicate that, under the current widely accepted adversarial model, certain goals are beyond attainment. This also suggests a negative answer to the open problem left by Huang et al. in 2014. To the best of knowledge, the present study makes the first step towards understanding the underlying evaluation metric for anonymous two-factor authentication, which we believe will facilitate better design of anonymous two-factor protocols that offer acceptable trade-offs among usability, security and privacy. Index Terms-Two-factor authentication, user anonymity, offline dictionary attack, de-synchronization attack, smart card loss attack.","author":[{"dropping-particle":"","family":"Wang","given":"D","non-dropping-particle":"","parse-names":false,"suffix":""},{"dropping-particle":"","family":"He","given":"D","non-dropping-particle":"","parse-names":false,"suffix":""},{"dropping-particle":"","family":"Wang","given":"P","non-dropping-particle":"","parse-names":false,"suffix":""},{"dropping-particle":"","family":"on","given":"CH Chu - IEEE Transactions","non-dropping-particle":"","parse-names":false,"suffix":""},{"dropping-particle":"","family":"2014","given":"undefined","non-dropping-particle":"","parse-names":false,"suffix":""}],"container-title":"ieeexplore.ieee.orgD Wang, D He, P Wang, CH ChuIEEE Transactions on Dependable and Secure Computing, 2014•ieeexplore.ieee.org","id":"ITEM-1","issue":"4","issued":{"date-parts":[["2014","7","1"]]},"page":"428-442","publisher":"Institute of Electrical and Electronics Engineers Inc.","title":"Anonymous two-factor authentication in distributed systems: Certain goals are beyond attainment","type":"article-journal","volume":"12"},"uris":["http://www.mendeley.com/documents/?uuid=6b59f987-5b2b-37b8-85d5-c05b0e81f6aa"]},{"id":"ITEM-2","itemData":{"abstract":"Since the popularisation of the Internet in the 1990s, the cyberspace has kept evolving. We have created various computer-mediated virtual environments including social networks, video conferencing, virtual 3D worlds (e.g., VR Chat), augmented reality applications (e.g., Pokemon Go), and Non-Fungible Token Games (e.g., Upland). Such virtual environments, albeit non-perpetual and unconnected, have bought us various degrees of digital transformation. The term `metaverse' has been coined to further facilitate the digital transformation in every aspect of our physical lives. At the core of the metaverse stands the vision of an immersive Internet as a gigantic, unified, persistent, and shared realm. While the metaverse may seem futuristic, catalysed by emerging technologies such as Extended Reality, 5G, and Artificial Intelligence, the digital `big bang' of our cyberspace is not far away. This survey paper presents the first effort to offer a comprehensive framework that examines the latest metaverse development under the dimensions of state-of-the-art technologies and metaverse ecosystems, and illustrates the possibility of the digital `big bang'. First, technologies are the enablers that drive the transition from the current Internet to the metaverse. We thus examine eight enabling technologies rigorously - Extended Reality, User Interactivity (Human-Computer Interaction), Artificial Intelligence, Blockchain, Computer Vision, IoT and Robotics, Edge and Cloud computing, and Future Mobile Networks. In terms of applications, the metaverse ecosystem allows human users to live and play within a self-sustaining, persistent, and shared realm. Therefore, we discuss six user-centric factors -- Avatar, Content Creation, Virtual Economy, Social Acceptability, Security and Privacy, and Trust and Accountability. Finally, we propose a concrete research agenda for the development of the metaverse.","author":[{"dropping-particle":"","family":"Lee","given":"Lik-Hang","non-dropping-particle":"","parse-names":false,"suffix":""},{"dropping-particle":"","family":"Braud","given":"Tristan","non-dropping-particle":"","parse-names":false,"suffix":""},{"dropping-particle":"","family":"Zhou","given":"Pengyuan","non-dropping-particle":"","parse-names":false,"suffix":""},{"dropping-particle":"","family":"Wang","given":"Lin","non-dropping-particle":"","parse-names":false,"suffix":""},{"dropping-particle":"","family":"Xu","given":"Dianlei","non-dropping-particle":"","parse-names":false,"suffix":""},{"dropping-particle":"","family":"Lin","given":"Zijun","non-dropping-particle":"","parse-names":false,"suffix":""},{"dropping-particle":"","family":"Kumar","given":"Abhishek","non-dropping-particle":"","parse-names":false,"suffix":""},{"dropping-particle":"","family":"Bermejo","given":"Carlos","non-dropping-particle":"","parse-names":false,"suffix":""},{"dropping-particle":"","family":"Hui","given":"Pan","non-dropping-particle":"","parse-names":false,"suffix":""}],"id":"ITEM-2","issued":{"date-parts":[["2021","10","6"]]},"title":"All One Needs to Know about Metaverse: A Complete Survey on Technological Singularity, Virtual Ecosystem, and Research Agenda","type":"article-journal"},"uris":["http://www.mendeley.com/documents/?uuid=9f25d708-31f7-3083-999e-fdb016bf0d84"]}],"mendeley":{"formattedCitation":"[220,221]","plainTextFormattedCitation":"[220,221]","previouslyFormattedCitation":"[220,221]"},"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[220,221]</w:t>
      </w:r>
      <w:r w:rsidR="00F6280D" w:rsidRPr="003676D3">
        <w:rPr>
          <w:rFonts w:ascii="Times New Roman" w:hAnsi="Times New Roman" w:cs="Times New Roman"/>
          <w:sz w:val="24"/>
          <w:szCs w:val="24"/>
        </w:rPr>
        <w:fldChar w:fldCharType="end"/>
      </w:r>
      <w:r w:rsidR="004B4472" w:rsidRPr="003676D3">
        <w:rPr>
          <w:rFonts w:ascii="Times New Roman" w:hAnsi="Times New Roman" w:cs="Times New Roman"/>
          <w:sz w:val="24"/>
          <w:szCs w:val="24"/>
        </w:rPr>
        <w:t>. Realising super smart grids in metaverse, high latency will create problem with the validity of data such as payment information.</w:t>
      </w:r>
      <w:r w:rsidR="00F31851" w:rsidRPr="003676D3">
        <w:rPr>
          <w:rFonts w:ascii="Times New Roman" w:hAnsi="Times New Roman" w:cs="Times New Roman"/>
          <w:sz w:val="24"/>
          <w:szCs w:val="24"/>
        </w:rPr>
        <w:t xml:space="preserve"> One way to manage the unbalanced computational capability (between client and server) is to use low-latency authentication and key exchange protocol LLAKEP</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{"citationItems":[{"id":"ITEM-1","itemData":{"DOI":"10.3390/MATH10142545","ISSN":"2227-7390","abstract":"The authenticated key exchange (AKE) protocol can ensure secure communication between a client and a server in the electricity transaction of the Energy Internet of things (EIoT). Park proposed a two-factor authentication protocol 2PAKEP, whose computational burden of authentication is evenly shared by both sides. However, the computing capability of the client device is weaker than that of the server. Therefore, based on 2PAKEP, we propose an authentication protocol that transfers computational tasks from the client to the server. The client has fewer computing tasks in this protocol than the server, and the overall latency will be greatly reduced. Furthermore, the security of the proposed protocol is analyzed by using the ROR model and GNY logic. We verify the low-latency advantage of the proposed protocol through various comparative experiments and use it for EIoT electricity transaction systems in a Metaverse scenario.","author":[{"dropping-particle":"","family":"Zhang","given":"Xin","non-dropping-particle":"","parse-names":false,"suffix":""},{"dropping-particle":"","family":"Huang","given":"Xin","non-dropping-particle":"","parse-names":false,"suffix":""},{"dropping-particle":"","family":"Yin","given":"Haotian","non-dropping-particle":"","parse-names":false,"suffix":""},{"dropping-particle":"","family":"Huang","given":"Jiajia","non-dropping-particle":"","parse-names":false,"suffix":""},{"dropping-particle":"","family":"Chai","given":"Sheng","non-dropping-particle":"","parse-names":false,"suffix":""},{"dropping-particle":"","family":"Xing","given":"Bin","non-dropping-particle":"","parse-names":false,"suffix":""},{"dropping-particle":"","family":"Wu","given":"Xiaohua","non-dropping-particle":"","parse-names":false,"suffix":""},{"dropping-particle":"","family":"Zhao","given":"Liangbin","non-dropping-particle":"","parse-names":false,"suffix":""}],"container-title":"Mathematics 2022, Vol. 10, Page 2545","id":"ITEM-1","issue":"14","issued":{"date-parts":[["2022","7","21"]]},"page":"2545","publisher":"Multidisciplinary Digital Publishing Institute","title":"LLAKEP: A Low-Latency Authentication and Key Exchange Protocol for Energy Internet of Things in the Metaverse Era","type":"article-journal","volume":"10"},"uris":["http://www.mendeley.com/documents/?uuid=fef51b16-3c85-3521-b19f-cf1e695a094e"]}],"mendeley":{"formattedCitation":"[222]","plainTextFormattedCitation":"[222]","previouslyFormattedCitation":"[222]"},"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[222]</w:t>
      </w:r>
      <w:r w:rsidR="00F6280D" w:rsidRPr="003676D3">
        <w:rPr>
          <w:rFonts w:ascii="Times New Roman" w:hAnsi="Times New Roman" w:cs="Times New Roman"/>
          <w:sz w:val="24"/>
          <w:szCs w:val="24"/>
        </w:rPr>
        <w:fldChar w:fldCharType="end"/>
      </w:r>
      <w:r w:rsidR="00F31851" w:rsidRPr="003676D3">
        <w:rPr>
          <w:rFonts w:ascii="Times New Roman" w:hAnsi="Times New Roman" w:cs="Times New Roman"/>
          <w:sz w:val="24"/>
          <w:szCs w:val="24"/>
        </w:rPr>
        <w:t>.</w:t>
      </w:r>
    </w:p>
    <w:p w14:paraId="6A8A36B2" w14:textId="7956A14E" w:rsidR="00FE1F3B" w:rsidRPr="003676D3" w:rsidRDefault="00FE1F3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Data uncertainty, a significant concern in designing super smart grids. It encompasses issues such as consistency, completeness, and accuracy. However, </w:t>
      </w:r>
      <w:r w:rsidR="004334E7" w:rsidRPr="003676D3">
        <w:rPr>
          <w:rFonts w:ascii="Times New Roman" w:hAnsi="Times New Roman" w:cs="Times New Roman"/>
          <w:sz w:val="24"/>
          <w:szCs w:val="24"/>
        </w:rPr>
        <w:t xml:space="preserve">there are certain </w:t>
      </w:r>
      <w:r w:rsidRPr="003676D3">
        <w:rPr>
          <w:rFonts w:ascii="Times New Roman" w:hAnsi="Times New Roman" w:cs="Times New Roman"/>
          <w:sz w:val="24"/>
          <w:szCs w:val="24"/>
        </w:rPr>
        <w:t xml:space="preserve">challenges </w:t>
      </w:r>
      <w:r w:rsidR="00764C60" w:rsidRPr="003676D3">
        <w:rPr>
          <w:rFonts w:ascii="Times New Roman" w:hAnsi="Times New Roman" w:cs="Times New Roman"/>
          <w:sz w:val="24"/>
          <w:szCs w:val="24"/>
        </w:rPr>
        <w:t>like missing</w:t>
      </w:r>
      <w:r w:rsidRPr="003676D3">
        <w:rPr>
          <w:rFonts w:ascii="Times New Roman" w:hAnsi="Times New Roman" w:cs="Times New Roman"/>
          <w:sz w:val="24"/>
          <w:szCs w:val="24"/>
        </w:rPr>
        <w:t xml:space="preserve"> or inconsistent values, noise</w:t>
      </w:r>
      <w:r w:rsidR="004334E7" w:rsidRPr="003676D3">
        <w:rPr>
          <w:rFonts w:ascii="Times New Roman" w:hAnsi="Times New Roman" w:cs="Times New Roman"/>
          <w:sz w:val="24"/>
          <w:szCs w:val="24"/>
        </w:rPr>
        <w:t xml:space="preserve"> and </w:t>
      </w:r>
      <w:r w:rsidRPr="003676D3">
        <w:rPr>
          <w:rFonts w:ascii="Times New Roman" w:hAnsi="Times New Roman" w:cs="Times New Roman"/>
          <w:sz w:val="24"/>
          <w:szCs w:val="24"/>
        </w:rPr>
        <w:t>unsynchronised data</w:t>
      </w:r>
      <w:r w:rsidR="004334E7" w:rsidRPr="003676D3">
        <w:rPr>
          <w:rFonts w:ascii="Times New Roman" w:hAnsi="Times New Roman" w:cs="Times New Roman"/>
          <w:sz w:val="24"/>
          <w:szCs w:val="24"/>
        </w:rPr>
        <w:t>. Other issues include</w:t>
      </w:r>
      <w:r w:rsidRPr="003676D3">
        <w:rPr>
          <w:rFonts w:ascii="Times New Roman" w:hAnsi="Times New Roman" w:cs="Times New Roman"/>
          <w:sz w:val="24"/>
          <w:szCs w:val="24"/>
        </w:rPr>
        <w:t xml:space="preserve"> sensor inaccuracies</w:t>
      </w:r>
      <w:r w:rsidR="004334E7" w:rsidRPr="003676D3">
        <w:rPr>
          <w:rFonts w:ascii="Times New Roman" w:hAnsi="Times New Roman" w:cs="Times New Roman"/>
          <w:sz w:val="24"/>
          <w:szCs w:val="24"/>
        </w:rPr>
        <w:t xml:space="preserve"> and factors that alter the</w:t>
      </w:r>
      <w:r w:rsidRPr="003676D3">
        <w:rPr>
          <w:rFonts w:ascii="Times New Roman" w:hAnsi="Times New Roman" w:cs="Times New Roman"/>
          <w:sz w:val="24"/>
          <w:szCs w:val="24"/>
        </w:rPr>
        <w:t xml:space="preserve"> real-time decisions</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F6280D" w:rsidRPr="003676D3">
        <w:rPr>
          <w:rFonts w:ascii="Times New Roman" w:hAnsi="Times New Roman" w:cs="Times New Roman"/>
          <w:sz w:val="24"/>
          <w:szCs w:val="24"/>
        </w:rPr>
        <w:instrText>ADDIN CSL_CITATION {"citationItems":[{"id":"ITEM-1","itemData":{"DOI":"10.3390/BDCC6020047","ISSN":"2504-2289","abstract":"Smart grids (SG) are electricity grids that communicate with each other, provide reliable information, and enable administrators to operate energy supplies across the country, ensuring optimized reliability and efficiency. The smart grid contains sensors that measure and transmit data to adjust the flow of electricity automatically based on supply/demand, and thus, responding to problems becomes quicker and easier. This also plays a crucial role in controlling carbon emissions, by avoiding energy losses during peak load hours and ensuring optimal energy management. The scope of big data analytics in smart grids is huge, as they collect information from raw data and derive intelligent information from the same. However, these benefits of the smart grid are dependent on the active and voluntary participation of the consumers in real-time. Consumers need to be motivated and conscious to avail themselves of the achievable benefits. Incentivizing the appropriate actor is an absolute necessity to encourage prosumers to generate renewable energy sources (RES) and motivate industries to establish plants that support sustainable and green-energy-based processes or products. The current study emphasizes similar aspects and presents a comprehensive survey of the start-of-the-art contributions pertinent to incentive mechanisms in smart grids, which can be used in smart grids to optimize the power distribution during peak times and also reduce carbon emissions. The various technologies, such as game theory, blockchain, and artificial intelligence, used in implementing incentive mechanisms in smart grids are discussed, followed by different incentive projects being implemented across the globe. The lessons learnt, challenges faced in such implementations, and open issues such as data quality, privacy, security, and pricing related to incentive mechanisms in SG are identified to guide the future scope of research in this sector.","author":[{"dropping-particle":"","family":"Bhattacharya","given":"Sweta","non-dropping-particle":"","parse-names":false,"suffix":""},{"dropping-particle":"","family":"Chengoden","given":"Rajeswari","non-dropping-particle":"","parse-names":false,"suffix":""},{"dropping-particle":"","family":"Srivastava","given":"Gautam","non-dropping-particle":"","parse-names":false,"suffix":""},{"dropping-particle":"","family":"Alazab","given":"Mamoun","non-dropping-particle":"","parse-names":false,"suffix":""},{"dropping-particle":"","family":"Javed","given":"Abdul Rehman","non-dropping-particle":"","parse-names":false,"suffix":""},{"dropping-particle":"","family":"Victor","given":"Nancy","non-dropping-particle":"","parse-names":false,"suffix":""},{"dropping-particle":"","family":"Maddikunta","given":"Praveen Kumar Reddy","non-dropping-particle":"","parse-names":false,"suffix":""},{"dropping-particle":"","family":"Gadekallu","given":"Thippa Reddy","non-dropping-particle":"","parse-names":false,"suffix":""}],"container-title":"Big Data and Cognitive Computing 2022, Vol. 6, Page 47","id":"ITEM-1","issue":"2","issued":{"date-parts":[["2022","4","27"]]},"page":"47","publisher":"Multidisciplinary Digital Publishing Institute","title":"Incentive Mechanisms for Smart Grid: State of the Art, Challenges, Open Issues, Future Directions","type":"article-journal","volume":"6"},"uris":["http://www.mendeley.com/documents/?uuid=a46c14f4-f20b-3372-89e3-9a89c9278d14"]}],"mendeley":{"formattedCitation":"[24]","plainTextFormattedCitation":"[24]","previouslyFormattedCitation":"[24]"},"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F6280D" w:rsidRPr="003676D3">
        <w:rPr>
          <w:rFonts w:ascii="Times New Roman" w:hAnsi="Times New Roman" w:cs="Times New Roman"/>
          <w:noProof/>
          <w:sz w:val="24"/>
          <w:szCs w:val="24"/>
        </w:rPr>
        <w:t>[24]</w:t>
      </w:r>
      <w:r w:rsidR="00F6280D" w:rsidRPr="003676D3">
        <w:rPr>
          <w:rFonts w:ascii="Times New Roman" w:hAnsi="Times New Roman" w:cs="Times New Roman"/>
          <w:sz w:val="24"/>
          <w:szCs w:val="24"/>
        </w:rPr>
        <w:fldChar w:fldCharType="end"/>
      </w:r>
      <w:r w:rsidRPr="003676D3">
        <w:rPr>
          <w:rFonts w:ascii="Times New Roman" w:hAnsi="Times New Roman" w:cs="Times New Roman"/>
          <w:sz w:val="24"/>
          <w:szCs w:val="24"/>
        </w:rPr>
        <w:t xml:space="preserve">. </w:t>
      </w:r>
      <w:r w:rsidR="004334E7" w:rsidRPr="003676D3">
        <w:rPr>
          <w:rFonts w:ascii="Times New Roman" w:hAnsi="Times New Roman" w:cs="Times New Roman"/>
          <w:sz w:val="24"/>
          <w:szCs w:val="24"/>
        </w:rPr>
        <w:t>Safeguarding</w:t>
      </w:r>
      <w:r w:rsidRPr="003676D3">
        <w:rPr>
          <w:rFonts w:ascii="Times New Roman" w:hAnsi="Times New Roman" w:cs="Times New Roman"/>
          <w:sz w:val="24"/>
          <w:szCs w:val="24"/>
        </w:rPr>
        <w:t xml:space="preserve"> data availability and public trust are</w:t>
      </w:r>
      <w:r w:rsidR="005321B4" w:rsidRPr="003676D3">
        <w:rPr>
          <w:rFonts w:ascii="Times New Roman" w:hAnsi="Times New Roman" w:cs="Times New Roman"/>
          <w:sz w:val="24"/>
          <w:szCs w:val="24"/>
        </w:rPr>
        <w:t xml:space="preserve"> the two</w:t>
      </w:r>
      <w:r w:rsidRPr="003676D3">
        <w:rPr>
          <w:rFonts w:ascii="Times New Roman" w:hAnsi="Times New Roman" w:cs="Times New Roman"/>
          <w:sz w:val="24"/>
          <w:szCs w:val="24"/>
        </w:rPr>
        <w:t xml:space="preserve"> </w:t>
      </w:r>
      <w:r w:rsidR="00D76519" w:rsidRPr="003676D3">
        <w:rPr>
          <w:rFonts w:ascii="Times New Roman" w:hAnsi="Times New Roman" w:cs="Times New Roman"/>
          <w:sz w:val="24"/>
          <w:szCs w:val="24"/>
        </w:rPr>
        <w:t>significant</w:t>
      </w:r>
      <w:r w:rsidRPr="003676D3">
        <w:rPr>
          <w:rFonts w:ascii="Times New Roman" w:hAnsi="Times New Roman" w:cs="Times New Roman"/>
          <w:sz w:val="24"/>
          <w:szCs w:val="24"/>
        </w:rPr>
        <w:t xml:space="preserve"> challenges</w:t>
      </w:r>
      <w:r w:rsidR="005321B4" w:rsidRPr="003676D3">
        <w:rPr>
          <w:rFonts w:ascii="Times New Roman" w:hAnsi="Times New Roman" w:cs="Times New Roman"/>
          <w:sz w:val="24"/>
          <w:szCs w:val="24"/>
        </w:rPr>
        <w:t xml:space="preserve"> among others</w:t>
      </w:r>
      <w:r w:rsidRPr="003676D3">
        <w:rPr>
          <w:rFonts w:ascii="Times New Roman" w:hAnsi="Times New Roman" w:cs="Times New Roman"/>
          <w:sz w:val="24"/>
          <w:szCs w:val="24"/>
        </w:rPr>
        <w:t xml:space="preserve"> in the adoption of incentive-based smart grids</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{"citationItems":[{"id":"ITEM-1","itemData":{"DOI":"10.1016/J.ENERGY.2018.07.115","ISSN":"03605442","abstract":"The shift to increasingly smarter grids will require preparation and planning on the part of a diverse selection of current and future stakeholders. There are substantive sources of uncertainty that will impact on the adoption of smarter grid solutions. Risks and uncertainties are placed in one of seven categories: markets, users, data and information, supply mix, policy, investment conditions, and networks. Each of these has the potential to add risk to the planning profiles of the stakeholders involved. Here, UK stakeholders drawn from industry, government, regulators, and academia are canvassed about potential sources of uncertainty within the UK's electricity sector and the attendant risks that might be engendered by them.","author":[{"dropping-particle":"","family":"Connor","given":"P. M.","non-dropping-particle":"","parse-names":false,"suffix":""},{"dropping-particle":"","family":"Axon","given":"C. J.","non-dropping-particle":"","parse-names":false,"suffix":""},{"dropping-particle":"","family":"Xenias","given":"D.","non-dropping-particle":"","parse-names":false,"suffix":""},{"dropping-particle":"","family":"Balta-Ozkan","given":"N.","non-dropping-particle":"","parse-names":false,"suffix":""}],"container-title":"Energy","id":"ITEM-1","issued":{"date-parts":[["2018","10","15"]]},"page":"1-9","publisher":"Elsevier Ltd","title":"Sources of risk and uncertainty in UK smart grid deployment: An expert stakeholder analysis","type":"article-journal","volume":"161"},"uris":["http://www.mendeley.com/documents/?uuid=937e3d83-c0f2-3331-8976-d5f74bffb3b4"]},{"id":"ITEM-2","itemData":{"DOI":"10.1016/J.IJEPES.2018.11.034","ISSN":"01420615","abstract":"The deployment of traditional computing, control and monitoring paradigms in modern smart grids is characterized by several severe limitations. These could restrict their capability to manage the huge complexities and the vast penetration of distributed and renewable energy resources that are expected in future operational scenarios. In this context, the design of more scalable and more flexible solution paradigms represents a relevant issue to address. The enabling technologies and methodologies aimed at addressing these complex challenges include decentralized computing, self-organizing sensor networks, proactive control, and holistic computing frameworks. Accordingly, in this paper a selection from literature published on these topics will be analyzed and reviewed, in order to outline the most relevant research trends, and the main open problems.","author":[{"dropping-particle":"","family":"Vaccaro","given":"A.","non-dropping-particle":"","parse-names":false,"suffix":""},{"dropping-particle":"","family":"Pisica","given":"I.","non-dropping-particle":"","parse-names":false,"suffix":""},{"dropping-particle":"","family":"Lai","given":"L. L.","non-dropping-particle":"","parse-names":false,"suffix":""},{"dropping-particle":"","family":"Zobaa","given":"A. F.","non-dropping-particle":"","parse-names":false,"suffix":""}],"container-title":"International Journal of Electrical Power and Energy Systems","id":"ITEM-2","issued":{"date-parts":[["2019","5","1"]]},"page":"516-522","publisher":"Elsevier Ltd","title":"A review of enabling methodologies for information processing in smart grids","type":"article-journal","volume":"107"},"uris":["http://www.mendeley.com/documents/?uuid=7f78aa03-d0f6-32ea-989f-102b13f68c3e"]},{"id":"ITEM-3","itemData":{"DOI":"10.1109/TSG.2016.2563461","ISSN":"19493061","abstract":"The limited available fossil fuels and the call for sustainable environment have brought about new technologies for the high efficiency in the use of fossil fuels and introduction of renewable energy. Smart grid is an emerging technology that can fulfill such demands by incorporating advanced information and communications technology (ICT). The pervasive deployment of the advanced ICT, especially the smart metering, will generate big energy data in terms of volume, velocity, and variety. The generated big data can bring huge benefits to the better energy planning, efficient energy generation, and distribution. As such data involve end users' privacy and secure operation of the critical infrastructure, there will be new security issues. This paper is to survey and discuss new findings and developments in the existing big energy data analytics and security. Several taxonomies have been proposed to express the intriguing relationships of various variables in the field.","author":[{"dropping-particle":"","family":"Hu","given":"Jiankun","non-dropping-particle":"","parse-names":false,"suffix":""},{"dropping-particle":"V.","family":"Vasilakos","given":"Athanasios","non-dropping-particle":"","parse-names":false,"suffix":""}],"container-title":"IEEE Transactions on Smart Grid","id":"ITEM-3","issue":"5","issued":{"date-parts":[["2016","9","1"]]},"page":"2423-2436","publisher":"Institute of Electrical and Electronics Engineers Inc.","title":"Energy Big Data Analytics and Security: Challenges and Opportunities","type":"article-journal","volume":"7"},"uris":["http://www.mendeley.com/documents/?uuid=304f4a1b-70d3-3bf5-b356-bc8024b462f6"]}],"mendeley":{"formattedCitation":"[223–225]","plainTextFormattedCitation":"[223–225]","previouslyFormattedCitation":"[223–225]"},"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[223–225]</w:t>
      </w:r>
      <w:r w:rsidR="00F6280D" w:rsidRPr="003676D3">
        <w:rPr>
          <w:rFonts w:ascii="Times New Roman" w:hAnsi="Times New Roman" w:cs="Times New Roman"/>
          <w:sz w:val="24"/>
          <w:szCs w:val="24"/>
        </w:rPr>
        <w:fldChar w:fldCharType="end"/>
      </w:r>
      <w:r w:rsidRPr="003676D3">
        <w:rPr>
          <w:rFonts w:ascii="Times New Roman" w:hAnsi="Times New Roman" w:cs="Times New Roman"/>
          <w:sz w:val="24"/>
          <w:szCs w:val="24"/>
        </w:rPr>
        <w:t>. Data a</w:t>
      </w:r>
      <w:r w:rsidR="00F6280D" w:rsidRPr="003676D3">
        <w:rPr>
          <w:rFonts w:ascii="Times New Roman" w:hAnsi="Times New Roman" w:cs="Times New Roman"/>
          <w:sz w:val="24"/>
          <w:szCs w:val="24"/>
        </w:rPr>
        <w:t>nalytics and data mining</w:t>
      </w:r>
      <w:r w:rsidRPr="003676D3">
        <w:rPr>
          <w:rFonts w:ascii="Times New Roman" w:hAnsi="Times New Roman" w:cs="Times New Roman"/>
          <w:sz w:val="24"/>
          <w:szCs w:val="24"/>
        </w:rPr>
        <w:t xml:space="preserve"> can be the foremost options to resolve such data uncertainties. </w:t>
      </w:r>
      <w:r w:rsidR="001C1047" w:rsidRPr="003676D3">
        <w:rPr>
          <w:rFonts w:ascii="Times New Roman" w:hAnsi="Times New Roman" w:cs="Times New Roman"/>
          <w:sz w:val="24"/>
          <w:szCs w:val="24"/>
        </w:rPr>
        <w:t>Other challenges include data security,  privacy</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{"citationItems":[{"id":"ITEM-1","itemData":{"DOI":"10.1016/j.rser.2017.05.134","abstract":"There are both economic and environmental urges for transition from the current outdated power grid to a sensor-embedded smart grid that monitors system stability, integrates distributed energy and schedules energy consumption for household users. Especially with the proliferation of intelligent measurement devices, exponential growth of data empowers this transition and brings new tools for the development of different applications in power system. Under this context, this paper presents a holistically overview on the state-of-the-art of big data technology in smart grid integration. First, the features of smart grid and the multisource of energy data are discussed. Then, this paper comprehensive summarizes the applications leveraged by big data in smart grid, which also contains some brand new applications with the latest big data technologies. Furthermore, some mainstream platforms and knowledge extraction techniques are looked to promote the big data insights. Finally, challenges and opportunities are pointed out in this paper as well.","author":[{"dropping-particle":"","family":"Tu","given":"C","non-dropping-particle":"","parse-names":false,"suffix":""},{"dropping-particle":"","family":"He","given":"X","non-dropping-particle":"","parse-names":false,"suffix":""},{"dropping-particle":"","family":"Shuai","given":"Z","non-dropping-particle":"","parse-names":false,"suffix":""},{"dropping-particle":"","family":"Energy","given":"F Jiang - Renewable and Sustainable","non-dropping-particle":"","parse-names":false,"suffix":""},{"dropping-particle":"","family":"2017","given":"undefined","non-dropping-particle":"","parse-names":false,"suffix":""}],"container-title":"ElsevierC Tu, X He, Z Shuai, F JiangRenewable and Sustainable Energy Reviews, 2017•Elsevier","id":"ITEM-1","issued":{"date-parts":[["2017"]]},"page":"1099-1107","publisher":"Elsevier Ltd","title":"Big data issues in smart grid–A review","type":"article-journal","volume":"79"},"uris":["http://www.mendeley.com/documents/?uuid=f20ef67f-230a-317a-a888-c70a093d97a1"]},{"id":"ITEM-2","itemData":{"DOI":"10.1109/TSG.2016.2563461","ISSN":"19493061","abstract":"The limited available fossil fuels and the call for sustainable environment have brought about new technologies for the high efficiency in the use of fossil fuels and introduction of renewable energy. Smart grid is an emerging technology that can fulfill such demands by incorporating advanced information and communications technology (ICT). The pervasive deployment of the advanced ICT, especially the smart metering, will generate big energy data in terms of volume, velocity, and variety. The generated big data can bring huge benefits to the better energy planning, efficient energy generation, and distribution. As such data involve end users' privacy and secure operation of the critical infrastructure, there will be new security issues. This paper is to survey and discuss new findings and developments in the existing big energy data analytics and security. Several taxonomies have been proposed to express the intriguing relationships of various variables in the field.","author":[{"dropping-particle":"","family":"Hu","given":"Jiankun","non-dropping-particle":"","parse-names":false,"suffix":""},{"dropping-particle":"V.","family":"Vasilakos","given":"Athanasios","non-dropping-particle":"","parse-names":false,"suffix":""}],"container-title":"IEEE Transactions on Smart Grid","id":"ITEM-2","issue":"5","issued":{"date-parts":[["2016","9","1"]]},"page":"2423-2436","publisher":"Institute of Electrical and Electronics Engineers Inc.","title":"Energy Big Data Analytics and Security: Challenges and Opportunities","type":"article-journal","volume":"7"},"uris":["http://www.mendeley.com/documents/?uuid=304f4a1b-70d3-3bf5-b356-bc8024b462f6"]},{"id":"ITEM-3","itemData":{"DOI":"10.1016/J.CSI.2017.09.005","ISSN":"0920-5489","abstract":"Resilient information and communications technologies are a prerequisite for reliable operation of the smart grid. In recent years, many standards for the new form of electricity network have been proposed, which results in operators and other smart grid stakeholders having difficulties in finding the documents which can be related to their particular problems. The purpose of this paper is to bring in all smart grid standards that describe cybersecurity issues and to provide the information regarding their contents. In order to achieve this goal, a systematic study was conducted that led to the identification of thirty six publications on security and eleven on privacy. The details of the research method and the standards’ selection and evaluation criteria are presented.","author":[{"dropping-particle":"","family":"Leszczyna","given":"Rafał","non-dropping-particle":"","parse-names":false,"suffix":""}],"container-title":"Computer Standards &amp; Interfaces","id":"ITEM-3","issued":{"date-parts":[["2018","2","1"]]},"page":"62-73","publisher":"North-Holland","title":"Cybersecurity and privacy in standards for smart grids – A comprehensive survey","type":"article-journal","volume":"56"},"uris":["http://www.mendeley.com/documents/?uuid=be6a50b3-30bb-3434-b5e9-d4ec85e5b0db"]}],"mendeley":{"formattedCitation":"[201,225,226]","plainTextFormattedCitation":"[201,225,226]","previouslyFormattedCitation":"[201,225,226]"},"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[201,225,226]</w:t>
      </w:r>
      <w:r w:rsidR="00F6280D" w:rsidRPr="003676D3">
        <w:rPr>
          <w:rFonts w:ascii="Times New Roman" w:hAnsi="Times New Roman" w:cs="Times New Roman"/>
          <w:sz w:val="24"/>
          <w:szCs w:val="24"/>
        </w:rPr>
        <w:fldChar w:fldCharType="end"/>
      </w:r>
      <w:r w:rsidR="001C1047" w:rsidRPr="003676D3">
        <w:rPr>
          <w:rFonts w:ascii="Times New Roman" w:hAnsi="Times New Roman" w:cs="Times New Roman"/>
          <w:sz w:val="24"/>
          <w:szCs w:val="24"/>
        </w:rPr>
        <w:t>, integrity</w:t>
      </w:r>
      <w:r w:rsidR="00F6280D" w:rsidRPr="003676D3">
        <w:rPr>
          <w:rFonts w:ascii="Times New Roman" w:hAnsi="Times New Roman" w:cs="Times New Roman"/>
          <w:sz w:val="24"/>
          <w:szCs w:val="24"/>
        </w:rPr>
        <w:t xml:space="preserve"> </w:t>
      </w:r>
      <w:r w:rsidR="001C1047" w:rsidRPr="003676D3">
        <w:rPr>
          <w:rFonts w:ascii="Times New Roman" w:hAnsi="Times New Roman" w:cs="Times New Roman"/>
          <w:sz w:val="24"/>
          <w:szCs w:val="24"/>
        </w:rPr>
        <w:t>, authenticity, latency, throughput, anomaly issues and real-time pricing</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{"citationItems":[{"id":"ITEM-1","itemData":{"author":[{"dropping-particle":"","family":"Dalipi","given":"F","non-dropping-particle":"","parse-names":false,"suffix":""},{"dropping-particle":"","family":"…","given":"SY Yayilgan - Conference on Future Internet of Things","non-dropping-particle":"","parse-names":false,"suffix":""},{"dropping-particle":"","family":"2016","given":"undefined","non-dropping-particle":"","parse-names":false,"suffix":""}],"container-title":"ieeexplore.ieee.orgF Dalipi, SY Yayilgan2016 IEEE 4th International Conference on Future Internet of, 2016•ieeexplore.ieee.org","id":"ITEM-1","issued":{"date-parts":[["0"]]},"title":"Security and privacy considerations for iot application on smart grids: Survey and research challenges","type":"article-journal"},"uris":["http://www.mendeley.com/documents/?uuid=be918916-4663-3cf4-a4a5-6c44d1d234a7"]},{"id":"ITEM-2","itemData":{"DOI":"10.1109/TIFS.2017.2656475","abstract":"Efficient power management in smart grids requires obtaining power consumption data from each resident. However, data concerning user's electricity consumption might reveal sensitive information, such as living habits and lifestyles. In order to solve this problem, this paper proposes a privacy-preserving cube-data aggregation scheme for electricity consumption. In our scheme, a data item is described as a multi-dimensional data structure (l-dimensional), and users form and live in multiple residential areas (m areas, and at most n users in each area). Based on Horner's Rule, for each user, we construct a user-level polynomial to store dimensional values in a single data space by using the first Horner parameter. After embedding the second Horner parameter into the polynomial, the polynomial is hidden by using Paillier cryptosystem. By aggregating data from m areas, we hide the area-level polynomial into the final output. Moreover, we propose a batch verification scheme in multi-dimensional data to reduce authentication cost. Finally, our analysis shows that the proposed scheme is efficient in terms of computation and communication costs, suitable for massive user groups, and supports the flexible and rapid growth of residential scales in smart grids.","author":[{"dropping-particle":"","family":"Shen","given":"H","non-dropping-particle":"","parse-names":false,"suffix":""},{"dropping-particle":"","family":"Zhang","given":"M","non-dropping-particle":"","parse-names":false,"suffix":""},{"dropping-particle":"","family":"Information","given":"J Shen - IEEE Transactions on","non-dropping-particle":"","parse-names":false,"suffix":""},{"dropping-particle":"","family":"2017","given":"undefined","non-dropping-particle":"","parse-names":false,"suffix":""}],"container-title":"ieeexplore.ieee.orgH Shen, M Zhang, J ShenIEEE Transactions on Information Forensics and Security, 2017•ieeexplore.ieee.org","id":"ITEM-2","issue":"6","issued":{"date-parts":[["2017","6","1"]]},"page":"1369","publisher":"Institute of Electrical and Electronics Engineers Inc.","title":"Efficient privacy-preserving cube-data aggregation scheme for smart grids","type":"article-journal","volume":"12"},"uris":["http://www.mendeley.com/documents/?uuid=424fb6d4-bf91-3782-8888-7f74b8a2466b"]},{"id":"ITEM-3","itemData":{"DOI":"10.1007/s12243-017-0602-7","abstract":"Data aggregation (DA) is the process of combining smart metering data so that it can be sent to a control center in package form rather than as individual data points. Smart metering data represents sensitive information that must be protected during the aggregation process. Traditional data aggregation schemes have addressed privacy issues based primarily on computationally expensive homo-morphic encryption. In contrast, this paper presents a novel method based on hash chaining to verify the integrity of a set of aggregated data. This scheme divides the user's data into two diverse groups. It also enables the control center to collect more fine-grained data aggregation results at a reduced cost. In addition, the proposed scheme ensures data integrity by maintaining a hash chain and assigning new values in the hash chain by XORing previous hash values with the current hash value. The proposed scheme is evaluated in terms of computational cost and communication overhead. A comparative analysis of our proposed methodology with existing aggregation schemes regarding computational cost and communication overhead illustrates the optimality of our proposed scheme.","author":[{"dropping-particle":"","family":"Tahir","given":"Mouzna","non-dropping-particle":"","parse-names":false,"suffix":""},{"dropping-particle":"","family":"Khan","given":"Abid","non-dropping-particle":"","parse-names":false,"suffix":""},{"dropping-particle":"","family":"Hameed","given":"Abdul","non-dropping-particle":"","parse-names":false,"suffix":""},{"dropping-particle":"","family":"Masoom Alam","given":"Muhammad","non-dropping-particle":"","parse-names":false,"suffix":""},{"dropping-particle":"","family":"Alam","given":"Masoom","non-dropping-particle":"","parse-names":false,"suffix":""},{"dropping-particle":"","family":"Khurram Khan","given":"Muhammad","non-dropping-particle":"","parse-names":false,"suffix":""},{"dropping-particle":"","family":"Jabeen","given":"Farhana","non-dropping-particle":"","parse-names":false,"suffix":""}],"container-title":"SpringerM Tahir, A Khan, A Hameed, M Alam, MK Khan, F JabeenAnnals of Telecommunications, 2017•Springer","id":"ITEM-3","issue":"9-10","issued":{"date-parts":[["2017","10","1"]]},"page":"551-561","publisher":"Springer-Verlag France","title":"Towards a set aggregation-based data integrity scheme for smart grids","type":"article-journal","volume":"72"},"uris":["http://www.mendeley.com/documents/?uuid=48e2c4f7-6c23-3b37-a113-9f9da155e539"]},{"id":"ITEM-4","itemData":{"DOI":"10.1016/J.ADHOC.2019.102020","ISSN":"15708705","abstract":"To meet the diverse QoS requirements of future Smart Grid (SG) communication network, efficient traffic scheduling and optimization techniques to prioritize data from various SG applications are required. Recently, focus has only been on the latency and criticality based priority-aware policies for same channel bandwidth. Traffic scheduling and subsequent channel allocation are required to support both the differential throughput and latency requirements simultaneously for channels having different bandwidths and SNRs. In this paper, a QoS-aware framework for data traffic scheduling in cognitive radio based SG communication network is proposed. The channels available to smart grid Communication Nodes (SCNs) are categorized as low and high bandwidths. For each bandwidth, all SG applications are categorized into several priority-classes comprised of latency and throughput sub-classes. For both channel bandwidths, the scheduler maintains and updates two sets of priority queues based on weights associated with each class and its data type. The complete scheduling framework is formulated as a multi-objective optimization problem. The overall objective function is the weighted sum of individual utility functions of latency and throughput. A novel usage of Adam optimizer is proposed to minimize the latency and maximize the throughput by obtaining optimal system cost, resulting in optimal decision policy. Simulation results show that the proposed algorithm achieves desired QoS requirements in the presence of heavy PU traffic, whereas in case of no priority assignment, QoS requirements of lower priority applications are met by compromising the QoS of higher priority data.","author":[{"dropping-particle":"","family":"Khan","given":"Muhammad Waqas","non-dropping-particle":"","parse-names":false,"suffix":""},{"dropping-particle":"","family":"Zeeshan","given":"Muhammad","non-dropping-particle":"","parse-names":false,"suffix":""},{"dropping-particle":"","family":"Farid","given":"Asma","non-dropping-particle":"","parse-names":false,"suffix":""},{"dropping-particle":"","family":"Usman","given":"Muhammad","non-dropping-particle":"","parse-names":false,"suffix":""}],"container-title":"Ad Hoc Networks","id":"ITEM-4","issued":{"date-parts":[["2020","2","1"]]},"publisher":"Elsevier B.V.","title":"QoS-aware traffic scheduling framework in cognitive radio based smart grids using multi-objective optimization of latency and throughput","type":"article-journal","volume":"97"},"uris":["http://www.mendeley.com/documents/?uuid=96bdec15-bf3b-31fe-8439-03d3faf7509a"]},{"id":"ITEM-5","itemData":{"DOI":"10.1016/J.IJEPES.2019.01.039","ISSN":"01420615","abstract":"Smart grids are required to respond quickly and efficiently to any types of electrical incidents. This is possible only if advanced monitoring and decision support tools are available for the operators to collect and analyze the real-time data from the entire power system. Sensors and smart meters become necessary for an effective smart grid operation, as they can play a significant role in measuring system parameters such as the temperature of the transmission line, power outages and power usage. These sensors allow communication between the generation side and user side to ensure full network observability. Hence, the volume of data which needs to be analyzed for more reliable electrical services has been increased. Upon the analysis of all the data collected, useful insights can be gained to bring benefits to the utilities, consumers and the related organizations. In this project, the effect of smart meter data collection frequencies on the early detection of short-duration voltage anomalies has been investigated. An anomaly detection algorithm that analyzes the voltages collected from smart meters is developed. The proposed anomaly detector checks the normality of the voltage data collected from the smart meters installed at the residential loads. To test the effectiveness of the frequent-and-large smart meter data, a smart grid model was simulated in MATLAB/Simulink and the model was tested under three different operating conditions. The efficacy of the anomaly detector with the smart meter data collected at different data collection intervals was compared under the three operating conditions. The investigation of the smart meter data clearly shows that the shorter-duration anomalies can be detected effectively with more frequent data and hence it reveals the potential of smart meters in the early detection of short-duration anomalies in smart grids.","author":[{"dropping-particle":"","family":"Wan Yen","given":"Soo","non-dropping-particle":"","parse-names":false,"suffix":""},{"dropping-particle":"","family":"Morris","given":"Stella","non-dropping-particle":"","parse-names":false,"suffix":""},{"dropping-particle":"","family":"Ezra","given":"Morris A.G.","non-dropping-particle":"","parse-names":false,"suffix":""},{"dropping-particle":"","family":"Jun Huat","given":"Tang","non-dropping-particle":"","parse-names":false,"suffix":""}],"container-title":"International Journal of Electrical Power and Energy Systems","id":"ITEM-5","issued":{"date-parts":[["2019","7","1"]]},"page":"1-8","publisher":"Elsevier Ltd","title":"Effect of smart meter data collection frequency in an early detection of shorter-duration voltage anomalies in smart grids","type":"article-journal","volume":"109"},"uris":["http://www.mendeley.com/documents/?uuid=19cc52bd-e7b0-3272-874b-a91173f352a4"]}],"mendeley":{"formattedCitation":"[227–231]","plainTextFormattedCitation":"[227–231]","previouslyFormattedCitation":"[227–231]"},"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[227–231]</w:t>
      </w:r>
      <w:r w:rsidR="00F6280D" w:rsidRPr="003676D3">
        <w:rPr>
          <w:rFonts w:ascii="Times New Roman" w:hAnsi="Times New Roman" w:cs="Times New Roman"/>
          <w:sz w:val="24"/>
          <w:szCs w:val="24"/>
        </w:rPr>
        <w:fldChar w:fldCharType="end"/>
      </w:r>
      <w:r w:rsidR="00F6280D" w:rsidRPr="003676D3">
        <w:rPr>
          <w:rFonts w:ascii="Times New Roman" w:hAnsi="Times New Roman" w:cs="Times New Roman"/>
          <w:sz w:val="24"/>
          <w:szCs w:val="24"/>
        </w:rPr>
        <w:fldChar w:fldCharType="begin" w:fldLock="1"/>
      </w:r>
      <w:r w:rsidR="00F6280D" w:rsidRPr="003676D3">
        <w:rPr>
          <w:rFonts w:ascii="Times New Roman" w:hAnsi="Times New Roman" w:cs="Times New Roman"/>
          <w:sz w:val="24"/>
          <w:szCs w:val="24"/>
        </w:rPr>
        <w:instrText>ADDIN CSL_CITATION {"citationItems":[{"id":"ITEM-1","itemData":{"abstract":"In this paper, we consider a smart power infrastructure , where several subscribers share a common energy source. Each subscriber is equipped with an energy consumption controller (ECC) unit as part of its smart meter. Each smart meter is connected to not only the power grid but also a communication infrastructure such as a local area network. This allows two-way communication among smart meters. Considering the importance of energy pricing as an essential tool to develop efficient demand side management strategies, we propose a novel real-time pricing algorithm for the future smart grid. We focus on the interactions between the smart meters and the energy provider through the exchange of control messages which contain subscribers' energy consumption and the real-time price information. First, we analytically model the subscribers' preferences and their energy consumption patterns in form of carefully selected utility functions based on concepts from microeconomics. Second, we propose a distributed algorithm which automatically manages the interactions among the ECC units at the smart meters and the energy provider. The algorithm finds the optimal energy consumption levels for each subscriber to maximize the aggregate utility of all subscribers in the system in a fair and efficient fashion. Finally, we show that the energy provider can encourage some desirable consumption patterns among the subscribers by means of the proposed real-time pricing interactions. Simulation results confirm that the proposed distributed algorithm can potentially benefit both subscribers and the energy provider.","author":[{"dropping-particle":"","family":"Samadi","given":"Pedram","non-dropping-particle":"","parse-names":false,"suffix":""},{"dropping-particle":"","family":"Mohsenian-Rad","given":"Amir-Hamed","non-dropping-particle":"","parse-names":false,"suffix":""},{"dropping-particle":"","family":"Schober","given":"Robert","non-dropping-particle":"","parse-names":false,"suffix":""},{"dropping-particle":"","family":"Wong","given":"Vincent W S","non-dropping-particle":"","parse-names":false,"suffix":""},{"dropping-particle":"","family":"Jatskevich","given":"Juri","non-dropping-particle":"","parse-names":false,"suffix":""}],"container-title":"ieeexplore.ieee.orgP Samadi, AH Mohsenian-Rad, R Schober, VWS Wong, J Jatskevich2010 First IEEE international conference on smart grid communications, 2010•ieeexplore.ieee.org","id":"ITEM-1","issued":{"date-parts":[["0"]]},"title":"Optimal real-time pricing algorithm based on utility maximization for smart grid","type":"article-journal"},"uris":["http://www.mendeley.com/documents/?uuid=570ad672-16b5-38bc-a690-43d53a0b351c"]}],"mendeley":{"formattedCitation":"[63]","plainTextFormattedCitation":"[63]","previouslyFormattedCitation":"[63]"},"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F6280D" w:rsidRPr="003676D3">
        <w:rPr>
          <w:rFonts w:ascii="Times New Roman" w:hAnsi="Times New Roman" w:cs="Times New Roman"/>
          <w:noProof/>
          <w:sz w:val="24"/>
          <w:szCs w:val="24"/>
        </w:rPr>
        <w:t>[63]</w:t>
      </w:r>
      <w:r w:rsidR="00F6280D" w:rsidRPr="003676D3">
        <w:rPr>
          <w:rFonts w:ascii="Times New Roman" w:hAnsi="Times New Roman" w:cs="Times New Roman"/>
          <w:sz w:val="24"/>
          <w:szCs w:val="24"/>
        </w:rPr>
        <w:fldChar w:fldCharType="end"/>
      </w:r>
      <w:r w:rsidR="001C1047" w:rsidRPr="003676D3">
        <w:rPr>
          <w:rFonts w:ascii="Times New Roman" w:hAnsi="Times New Roman" w:cs="Times New Roman"/>
          <w:sz w:val="24"/>
          <w:szCs w:val="24"/>
        </w:rPr>
        <w:t>.</w:t>
      </w:r>
    </w:p>
    <w:p w14:paraId="2E900AA4" w14:textId="444E6424" w:rsidR="00906555" w:rsidRPr="003676D3" w:rsidRDefault="0098538F"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In Metaverse</w:t>
      </w:r>
      <w:r w:rsidR="00AA55C8" w:rsidRPr="003676D3">
        <w:rPr>
          <w:rFonts w:ascii="Times New Roman" w:hAnsi="Times New Roman" w:cs="Times New Roman"/>
          <w:sz w:val="24"/>
          <w:szCs w:val="24"/>
        </w:rPr>
        <w:t xml:space="preserve"> </w:t>
      </w:r>
      <w:r w:rsidRPr="003676D3">
        <w:rPr>
          <w:rFonts w:ascii="Times New Roman" w:hAnsi="Times New Roman" w:cs="Times New Roman"/>
          <w:sz w:val="24"/>
          <w:szCs w:val="24"/>
        </w:rPr>
        <w:t xml:space="preserve">the need is to </w:t>
      </w:r>
      <w:r w:rsidR="00906555" w:rsidRPr="003676D3">
        <w:rPr>
          <w:rFonts w:ascii="Times New Roman" w:hAnsi="Times New Roman" w:cs="Times New Roman"/>
          <w:sz w:val="24"/>
          <w:szCs w:val="24"/>
        </w:rPr>
        <w:t>overcom</w:t>
      </w:r>
      <w:r w:rsidR="00AA55C8" w:rsidRPr="003676D3">
        <w:rPr>
          <w:rFonts w:ascii="Times New Roman" w:hAnsi="Times New Roman" w:cs="Times New Roman"/>
          <w:sz w:val="24"/>
          <w:szCs w:val="24"/>
        </w:rPr>
        <w:t>e</w:t>
      </w:r>
      <w:r w:rsidR="00906555" w:rsidRPr="003676D3">
        <w:rPr>
          <w:rFonts w:ascii="Times New Roman" w:hAnsi="Times New Roman" w:cs="Times New Roman"/>
          <w:sz w:val="24"/>
          <w:szCs w:val="24"/>
        </w:rPr>
        <w:t xml:space="preserve"> the challenge of integrating virtual and real spaces</w:t>
      </w:r>
      <w:r w:rsidR="00FE1F3B" w:rsidRPr="003676D3">
        <w:rPr>
          <w:rFonts w:ascii="Times New Roman" w:hAnsi="Times New Roman" w:cs="Times New Roman"/>
          <w:sz w:val="24"/>
          <w:szCs w:val="24"/>
        </w:rPr>
        <w:t xml:space="preserve"> while optimizing the energy utilisation in the network</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{"citationItems":[{"id":"ITEM-1","itemData":{"DOI":"10.1145/3565287.3610271","ISBN":"9781450399265","abstract":"The Metaverse, an emerging digital space, is expected to offer various services mirroring the real world. Wireless communications for mobile Metaverse users should be tailored to meet the following user characteristics: 1) emphasizing application-specific perceptual utility instead of simply the transmission rate, 2) concerned with energy efficiency due to the limited device battery and energy intensiveness of some applications, and 3) caring about security as the applications may involve sensitive personal data. To this end, this paper incorporates application-specific utility, energy efficiency, and physical-layer security (PLS) into the studied optimization in a wireless network for the Metaverse. Specifically, after introducing utility-energy efficiency (UEE) to represent each Metaverse user's application-specific objective under PLS, we formulate an optimization to maximize the network's weighted sum-UEE by deciding users' transmission powers and communication bandwidths. The formulated problem belongs to the sum-of-ratios optimization, for which prior studies have demonstrated its difficulty. Nevertheless, our proposed algorithm 1) obtains the global optimum for the weighted sum-UEE optimization, via a transform to parametric convex optimization problems, 2) applies to any utility function which is concave, increasing, and twice differentiable, and 3) achieves a linear time complexity in the number of users (the optimal complexity in the order sense). Simulations confirm the superiority of our algorithm over other approaches. We explain that our technique for solving the sum-of-ratios optimization is applicable to other optimization problems in wireless networks and mobile computing.","author":[{"dropping-particle":"","family":"Zhao","given":"Jun","non-dropping-particle":"","parse-names":false,"suffix":""},{"dropping-particle":"","family":"Zhou","given":"Xinyu","non-dropping-particle":"","parse-names":false,"suffix":""},{"dropping-particle":"","family":"Li","given":"Yang","non-dropping-particle":"","parse-names":false,"suffix":""},{"dropping-particle":"","family":"Qian","given":"Liangxin","non-dropping-particle":"","parse-names":false,"suffix":""}],"container-title":"Proceedings of the Twenty-fourth International Symposium on Theory, Algorithmic Foundations, and Protocol Design for Mobile Networks and Mobile Computing","id":"ITEM-1","issued":{"date-parts":[["2023","10","23"]]},"page":"250-259","publisher":"Association for Computing Machinery","title":"Optimizing Utility-Energy Efficiency for the Metaverse over Wireless Networks under Physical Layer Security","type":"article-journal","volume":"23"},"uris":["http://www.mendeley.com/documents/?uuid=ff0c5bb9-56d1-37a7-8b3a-0377d9440145"]}],"mendeley":{"formattedCitation":"[232]","plainTextFormattedCitation":"[232]","previouslyFormattedCitation":"[232]"},"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[232]</w:t>
      </w:r>
      <w:r w:rsidR="00F6280D" w:rsidRPr="003676D3">
        <w:rPr>
          <w:rFonts w:ascii="Times New Roman" w:hAnsi="Times New Roman" w:cs="Times New Roman"/>
          <w:sz w:val="24"/>
          <w:szCs w:val="24"/>
        </w:rPr>
        <w:fldChar w:fldCharType="end"/>
      </w:r>
      <w:r w:rsidR="00906555" w:rsidRPr="003676D3">
        <w:rPr>
          <w:rFonts w:ascii="Times New Roman" w:hAnsi="Times New Roman" w:cs="Times New Roman"/>
          <w:sz w:val="24"/>
          <w:szCs w:val="24"/>
        </w:rPr>
        <w:t xml:space="preserve">. </w:t>
      </w:r>
      <w:r w:rsidR="00AA55C8" w:rsidRPr="003676D3">
        <w:rPr>
          <w:rFonts w:ascii="Times New Roman" w:hAnsi="Times New Roman" w:cs="Times New Roman"/>
          <w:sz w:val="24"/>
          <w:szCs w:val="24"/>
        </w:rPr>
        <w:t>For this purpose, k</w:t>
      </w:r>
      <w:r w:rsidR="00906555" w:rsidRPr="003676D3">
        <w:rPr>
          <w:rFonts w:ascii="Times New Roman" w:hAnsi="Times New Roman" w:cs="Times New Roman"/>
          <w:sz w:val="24"/>
          <w:szCs w:val="24"/>
        </w:rPr>
        <w:t>ey issues include</w:t>
      </w:r>
      <w:r w:rsidR="00E434A8" w:rsidRPr="003676D3">
        <w:rPr>
          <w:rFonts w:ascii="Times New Roman" w:hAnsi="Times New Roman" w:cs="Times New Roman"/>
          <w:sz w:val="24"/>
          <w:szCs w:val="24"/>
        </w:rPr>
        <w:t xml:space="preserve"> estimating energy</w:t>
      </w:r>
      <w:r w:rsidR="00906555" w:rsidRPr="003676D3">
        <w:rPr>
          <w:rFonts w:ascii="Times New Roman" w:hAnsi="Times New Roman" w:cs="Times New Roman"/>
          <w:sz w:val="24"/>
          <w:szCs w:val="24"/>
        </w:rPr>
        <w:t xml:space="preserve"> consumption </w:t>
      </w:r>
      <w:r w:rsidR="00AA55C8" w:rsidRPr="003676D3">
        <w:rPr>
          <w:rFonts w:ascii="Times New Roman" w:hAnsi="Times New Roman" w:cs="Times New Roman"/>
          <w:sz w:val="24"/>
          <w:szCs w:val="24"/>
        </w:rPr>
        <w:t xml:space="preserve">with its </w:t>
      </w:r>
      <w:r w:rsidR="00906555" w:rsidRPr="003676D3">
        <w:rPr>
          <w:rFonts w:ascii="Times New Roman" w:hAnsi="Times New Roman" w:cs="Times New Roman"/>
          <w:sz w:val="24"/>
          <w:szCs w:val="24"/>
        </w:rPr>
        <w:t>optim</w:t>
      </w:r>
      <w:r w:rsidR="00AA55C8" w:rsidRPr="003676D3">
        <w:rPr>
          <w:rFonts w:ascii="Times New Roman" w:hAnsi="Times New Roman" w:cs="Times New Roman"/>
          <w:sz w:val="24"/>
          <w:szCs w:val="24"/>
        </w:rPr>
        <w:t>al</w:t>
      </w:r>
      <w:r w:rsidR="00906555" w:rsidRPr="003676D3">
        <w:rPr>
          <w:rFonts w:ascii="Times New Roman" w:hAnsi="Times New Roman" w:cs="Times New Roman"/>
          <w:sz w:val="24"/>
          <w:szCs w:val="24"/>
        </w:rPr>
        <w:t xml:space="preserve"> use. Addressing these challenges </w:t>
      </w:r>
      <w:r w:rsidR="00FE1F3B" w:rsidRPr="003676D3">
        <w:rPr>
          <w:rFonts w:ascii="Times New Roman" w:hAnsi="Times New Roman" w:cs="Times New Roman"/>
          <w:sz w:val="24"/>
          <w:szCs w:val="24"/>
        </w:rPr>
        <w:t>such as</w:t>
      </w:r>
      <w:r w:rsidR="003C42E4" w:rsidRPr="003676D3">
        <w:rPr>
          <w:rFonts w:ascii="Times New Roman" w:hAnsi="Times New Roman" w:cs="Times New Roman"/>
          <w:sz w:val="24"/>
          <w:szCs w:val="24"/>
        </w:rPr>
        <w:t xml:space="preserve"> in</w:t>
      </w:r>
      <w:r w:rsidR="00FE1F3B" w:rsidRPr="003676D3">
        <w:rPr>
          <w:rFonts w:ascii="Times New Roman" w:hAnsi="Times New Roman" w:cs="Times New Roman"/>
          <w:sz w:val="24"/>
          <w:szCs w:val="24"/>
        </w:rPr>
        <w:t xml:space="preserve"> Green Metaverse Networking</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{"citationItems":[{"id":"ITEM-1","itemData":{"DOI":"10.48550/ARXIV.2211.03057","abstract":"As the Metaverse is iteratively being defined, its potential to unleash the next wave of digital disruption and create real-life value becomes increasingly clear. With distinctive features of immersive experience, simultaneous interactivity, and user agency, the Metaverse has the capability to transform all walks of life. However, the enabling technologies of the Metaverse, i.e., digital twin, artificial intelligence, blockchain, and extended reality, are known to be energy-hungry, therefore raising concerns about the sustainability of its large-scale deployment and development. This article proposes Green Metaverse Networking for the first time to optimize energy efficiencies of all network components for Metaverse sustainable development. We first analyze energy consumption, efficiency, and sustainability of energy-intensive technologies in the Metaverse. Next, focusing on computation and networking, we present major advancements related to energy efficiency and their integration into the Metaverse. A case study of energy conservation by incorporating semantic communication and stochastic resource allocation in the Metaverse is presented. Finally, we outline the critical challenges of Metaverse sustainable development, thereby indicating potential directions of future research towards the green Metaverse.","author":[{"dropping-particle":"","family":"Zhang","given":"Siyue","non-dropping-particle":"","parse-names":false,"suffix":""},{"dropping-particle":"","family":"Lim","given":"Wei Yang Bryan","non-dropping-particle":"","parse-names":false,"suffix":""},{"dropping-particle":"","family":"Ng","given":"Wei Chong","non-dropping-particle":"","parse-names":false,"suffix":""},{"dropping-particle":"","family":"Xiong","given":"Zehui","non-dropping-particle":"","parse-names":false,"suffix":""},{"dropping-particle":"","family":"Niyato","given":"D.","non-dropping-particle":"","parse-names":false,"suffix":""},{"dropping-particle":"","family":"Shen","given":"X.","non-dropping-particle":"","parse-names":false,"suffix":""},{"dropping-particle":"","family":"Miao","given":"Chunyan","non-dropping-particle":"","parse-names":false,"suffix":""}],"container-title":"ArXiv","id":"ITEM-1","issued":{"date-parts":[["0"]]},"title":"Towards Green Metaverse Networking Technologies, Advancements and Future Directions","type":"article-journal","volume":"abs/2211.03057"},"uris":["http://www.mendeley.com/documents/?uuid=273e5d73-6e09-352b-87eb-a5b711dce476"]}],"mendeley":{"formattedCitation":"[233]","plainTextFormattedCitation":"[233]","previouslyFormattedCitation":"[233]"},"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[233]</w:t>
      </w:r>
      <w:r w:rsidR="00F6280D" w:rsidRPr="003676D3">
        <w:rPr>
          <w:rFonts w:ascii="Times New Roman" w:hAnsi="Times New Roman" w:cs="Times New Roman"/>
          <w:sz w:val="24"/>
          <w:szCs w:val="24"/>
        </w:rPr>
        <w:fldChar w:fldCharType="end"/>
      </w:r>
      <w:r w:rsidR="00FE1F3B" w:rsidRPr="003676D3">
        <w:rPr>
          <w:rFonts w:ascii="Times New Roman" w:hAnsi="Times New Roman" w:cs="Times New Roman"/>
          <w:sz w:val="24"/>
          <w:szCs w:val="24"/>
        </w:rPr>
        <w:t xml:space="preserve">, </w:t>
      </w:r>
      <w:r w:rsidR="00906555" w:rsidRPr="003676D3">
        <w:rPr>
          <w:rFonts w:ascii="Times New Roman" w:hAnsi="Times New Roman" w:cs="Times New Roman"/>
          <w:sz w:val="24"/>
          <w:szCs w:val="24"/>
        </w:rPr>
        <w:t>is essential for the power system</w:t>
      </w:r>
      <w:r w:rsidR="003F10B0" w:rsidRPr="003676D3">
        <w:rPr>
          <w:rFonts w:ascii="Times New Roman" w:hAnsi="Times New Roman" w:cs="Times New Roman"/>
          <w:sz w:val="24"/>
          <w:szCs w:val="24"/>
        </w:rPr>
        <w:t>. It will help</w:t>
      </w:r>
      <w:r w:rsidR="008F63C1" w:rsidRPr="003676D3">
        <w:rPr>
          <w:rFonts w:ascii="Times New Roman" w:hAnsi="Times New Roman" w:cs="Times New Roman"/>
          <w:sz w:val="24"/>
          <w:szCs w:val="24"/>
        </w:rPr>
        <w:t xml:space="preserve"> to</w:t>
      </w:r>
      <w:r w:rsidR="00906555" w:rsidRPr="003676D3">
        <w:rPr>
          <w:rFonts w:ascii="Times New Roman" w:hAnsi="Times New Roman" w:cs="Times New Roman"/>
          <w:sz w:val="24"/>
          <w:szCs w:val="24"/>
        </w:rPr>
        <w:t xml:space="preserve"> </w:t>
      </w:r>
      <w:r w:rsidR="00756351" w:rsidRPr="003676D3">
        <w:rPr>
          <w:rFonts w:ascii="Times New Roman" w:hAnsi="Times New Roman" w:cs="Times New Roman"/>
          <w:sz w:val="24"/>
          <w:szCs w:val="24"/>
        </w:rPr>
        <w:t>integra</w:t>
      </w:r>
      <w:r w:rsidR="008F63C1" w:rsidRPr="003676D3">
        <w:rPr>
          <w:rFonts w:ascii="Times New Roman" w:hAnsi="Times New Roman" w:cs="Times New Roman"/>
          <w:sz w:val="24"/>
          <w:szCs w:val="24"/>
        </w:rPr>
        <w:t>te</w:t>
      </w:r>
      <w:r w:rsidR="00756351" w:rsidRPr="003676D3">
        <w:rPr>
          <w:rFonts w:ascii="Times New Roman" w:hAnsi="Times New Roman" w:cs="Times New Roman"/>
          <w:sz w:val="24"/>
          <w:szCs w:val="24"/>
        </w:rPr>
        <w:t xml:space="preserve"> </w:t>
      </w:r>
      <w:r w:rsidR="00906555" w:rsidRPr="003676D3">
        <w:rPr>
          <w:rFonts w:ascii="Times New Roman" w:hAnsi="Times New Roman" w:cs="Times New Roman"/>
          <w:sz w:val="24"/>
          <w:szCs w:val="24"/>
        </w:rPr>
        <w:t xml:space="preserve">artificial intelligence and the Metaverse. </w:t>
      </w:r>
      <w:r w:rsidR="00D76519" w:rsidRPr="003676D3">
        <w:rPr>
          <w:rFonts w:ascii="Times New Roman" w:hAnsi="Times New Roman" w:cs="Times New Roman"/>
          <w:sz w:val="24"/>
          <w:szCs w:val="24"/>
        </w:rPr>
        <w:t>However,</w:t>
      </w:r>
      <w:r w:rsidR="00906555" w:rsidRPr="003676D3">
        <w:rPr>
          <w:rFonts w:ascii="Times New Roman" w:hAnsi="Times New Roman" w:cs="Times New Roman"/>
          <w:sz w:val="24"/>
          <w:szCs w:val="24"/>
        </w:rPr>
        <w:t xml:space="preserve"> </w:t>
      </w:r>
      <w:r w:rsidR="00682E21" w:rsidRPr="003676D3">
        <w:rPr>
          <w:rFonts w:ascii="Times New Roman" w:hAnsi="Times New Roman" w:cs="Times New Roman"/>
          <w:sz w:val="24"/>
          <w:szCs w:val="24"/>
        </w:rPr>
        <w:t>there is</w:t>
      </w:r>
      <w:r w:rsidR="00463AE9" w:rsidRPr="003676D3">
        <w:rPr>
          <w:rFonts w:ascii="Times New Roman" w:hAnsi="Times New Roman" w:cs="Times New Roman"/>
          <w:sz w:val="24"/>
          <w:szCs w:val="24"/>
        </w:rPr>
        <w:t xml:space="preserve"> still</w:t>
      </w:r>
      <w:r w:rsidR="00682E21" w:rsidRPr="003676D3">
        <w:rPr>
          <w:rFonts w:ascii="Times New Roman" w:hAnsi="Times New Roman" w:cs="Times New Roman"/>
          <w:sz w:val="24"/>
          <w:szCs w:val="24"/>
        </w:rPr>
        <w:t xml:space="preserve"> room for much research </w:t>
      </w:r>
      <w:r w:rsidR="00906555" w:rsidRPr="003676D3">
        <w:rPr>
          <w:rFonts w:ascii="Times New Roman" w:hAnsi="Times New Roman" w:cs="Times New Roman"/>
          <w:sz w:val="24"/>
          <w:szCs w:val="24"/>
        </w:rPr>
        <w:t xml:space="preserve">work in exploring and developing solutions for </w:t>
      </w:r>
      <w:r w:rsidR="0081302A" w:rsidRPr="003676D3">
        <w:rPr>
          <w:rFonts w:ascii="Times New Roman" w:hAnsi="Times New Roman" w:cs="Times New Roman"/>
          <w:sz w:val="24"/>
          <w:szCs w:val="24"/>
        </w:rPr>
        <w:t>the future</w:t>
      </w:r>
      <w:r w:rsidR="00906555" w:rsidRPr="003676D3">
        <w:rPr>
          <w:rFonts w:ascii="Times New Roman" w:hAnsi="Times New Roman" w:cs="Times New Roman"/>
          <w:sz w:val="24"/>
          <w:szCs w:val="24"/>
        </w:rPr>
        <w:t xml:space="preserve"> power grid.</w:t>
      </w:r>
    </w:p>
    <w:p w14:paraId="1CEF3526" w14:textId="36FE7782" w:rsidR="00204553" w:rsidRPr="003676D3" w:rsidRDefault="006140C0" w:rsidP="003676D3">
      <w:pPr>
        <w:pStyle w:val="Heading1"/>
        <w:spacing w:line="276" w:lineRule="auto"/>
        <w:jc w:val="both"/>
        <w:rPr>
          <w:sz w:val="28"/>
          <w:szCs w:val="28"/>
        </w:rPr>
      </w:pPr>
      <w:r w:rsidRPr="003676D3">
        <w:rPr>
          <w:sz w:val="28"/>
          <w:szCs w:val="28"/>
        </w:rPr>
        <w:t xml:space="preserve">7. </w:t>
      </w:r>
      <w:r w:rsidR="00204553" w:rsidRPr="003676D3">
        <w:rPr>
          <w:sz w:val="28"/>
          <w:szCs w:val="28"/>
        </w:rPr>
        <w:t>Future</w:t>
      </w:r>
      <w:r w:rsidR="00540A3F" w:rsidRPr="003676D3">
        <w:rPr>
          <w:sz w:val="28"/>
          <w:szCs w:val="28"/>
        </w:rPr>
        <w:t xml:space="preserve"> Research</w:t>
      </w:r>
      <w:r w:rsidR="00204553" w:rsidRPr="003676D3">
        <w:rPr>
          <w:sz w:val="28"/>
          <w:szCs w:val="28"/>
        </w:rPr>
        <w:t xml:space="preserve"> Direction</w:t>
      </w:r>
    </w:p>
    <w:p w14:paraId="315218ED" w14:textId="626C94AD" w:rsidR="00910AA2" w:rsidRPr="003676D3" w:rsidRDefault="00910AA2"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The transition into a grid reliant on transactive demand signals has quite a few problems. One such issue is the retail tariffs. Retail tariffs these days have various elements such as the costs incurred during energy generation, cost of energy transmission and distribution, cost of operating electricity markets, and costs incurred during the operations of negotiation parties involved in retailing. In most cases, retail tariffs also include the costs incurred for other purposes such as </w:t>
      </w:r>
      <w:r w:rsidR="009B79FF" w:rsidRPr="003676D3">
        <w:rPr>
          <w:rFonts w:ascii="Times New Roman" w:hAnsi="Times New Roman" w:cs="Times New Roman"/>
          <w:sz w:val="24"/>
          <w:szCs w:val="24"/>
        </w:rPr>
        <w:t xml:space="preserve">cost of federal regulations, </w:t>
      </w:r>
      <w:r w:rsidRPr="003676D3">
        <w:rPr>
          <w:rFonts w:ascii="Times New Roman" w:hAnsi="Times New Roman" w:cs="Times New Roman"/>
          <w:sz w:val="24"/>
          <w:szCs w:val="24"/>
        </w:rPr>
        <w:t>green energy incentive programs and various other forms of energy efficiency programs. Moving towards a tariff unaffected by transactive demand signals would pose challenges due to the legal and regulatory constraints present in the changing economic ground realities of energy consumption and production.</w:t>
      </w:r>
    </w:p>
    <w:p w14:paraId="61A5439B" w14:textId="00A00B78" w:rsidR="00540A3F" w:rsidRPr="003676D3" w:rsidRDefault="00CE3AB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SSGs are largely </w:t>
      </w:r>
      <w:r w:rsidR="002006E2" w:rsidRPr="003676D3">
        <w:rPr>
          <w:rFonts w:ascii="Times New Roman" w:hAnsi="Times New Roman" w:cs="Times New Roman"/>
          <w:sz w:val="24"/>
          <w:szCs w:val="24"/>
        </w:rPr>
        <w:t>interconnected,</w:t>
      </w:r>
      <w:r w:rsidRPr="003676D3">
        <w:rPr>
          <w:rFonts w:ascii="Times New Roman" w:hAnsi="Times New Roman" w:cs="Times New Roman"/>
          <w:sz w:val="24"/>
          <w:szCs w:val="24"/>
        </w:rPr>
        <w:t xml:space="preserve"> and even </w:t>
      </w:r>
      <w:r w:rsidR="00D925FE" w:rsidRPr="003676D3">
        <w:rPr>
          <w:rFonts w:ascii="Times New Roman" w:hAnsi="Times New Roman" w:cs="Times New Roman"/>
          <w:sz w:val="24"/>
          <w:szCs w:val="24"/>
        </w:rPr>
        <w:t>minor</w:t>
      </w:r>
      <w:r w:rsidRPr="003676D3">
        <w:rPr>
          <w:rFonts w:ascii="Times New Roman" w:hAnsi="Times New Roman" w:cs="Times New Roman"/>
          <w:sz w:val="24"/>
          <w:szCs w:val="24"/>
        </w:rPr>
        <w:t xml:space="preserve"> load varia</w:t>
      </w:r>
      <w:r w:rsidR="00D925FE" w:rsidRPr="003676D3">
        <w:rPr>
          <w:rFonts w:ascii="Times New Roman" w:hAnsi="Times New Roman" w:cs="Times New Roman"/>
          <w:sz w:val="24"/>
          <w:szCs w:val="24"/>
        </w:rPr>
        <w:t>tion</w:t>
      </w:r>
      <w:r w:rsidRPr="003676D3">
        <w:rPr>
          <w:rFonts w:ascii="Times New Roman" w:hAnsi="Times New Roman" w:cs="Times New Roman"/>
          <w:sz w:val="24"/>
          <w:szCs w:val="24"/>
        </w:rPr>
        <w:t xml:space="preserve"> could make a huge impact on system stability. Th</w:t>
      </w:r>
      <w:r w:rsidR="00D76519" w:rsidRPr="003676D3">
        <w:rPr>
          <w:rFonts w:ascii="Times New Roman" w:hAnsi="Times New Roman" w:cs="Times New Roman"/>
          <w:sz w:val="24"/>
          <w:szCs w:val="24"/>
        </w:rPr>
        <w:t>is load varia</w:t>
      </w:r>
      <w:r w:rsidR="00D925FE" w:rsidRPr="003676D3">
        <w:rPr>
          <w:rFonts w:ascii="Times New Roman" w:hAnsi="Times New Roman" w:cs="Times New Roman"/>
          <w:sz w:val="24"/>
          <w:szCs w:val="24"/>
        </w:rPr>
        <w:t>tion</w:t>
      </w:r>
      <w:r w:rsidR="00D76519" w:rsidRPr="003676D3">
        <w:rPr>
          <w:rFonts w:ascii="Times New Roman" w:hAnsi="Times New Roman" w:cs="Times New Roman"/>
          <w:sz w:val="24"/>
          <w:szCs w:val="24"/>
        </w:rPr>
        <w:t xml:space="preserve"> </w:t>
      </w:r>
      <w:r w:rsidR="00D925FE" w:rsidRPr="003676D3">
        <w:rPr>
          <w:rFonts w:ascii="Times New Roman" w:hAnsi="Times New Roman" w:cs="Times New Roman"/>
          <w:sz w:val="24"/>
          <w:szCs w:val="24"/>
        </w:rPr>
        <w:t xml:space="preserve">can </w:t>
      </w:r>
      <w:r w:rsidR="00D76519" w:rsidRPr="003676D3">
        <w:rPr>
          <w:rFonts w:ascii="Times New Roman" w:hAnsi="Times New Roman" w:cs="Times New Roman"/>
          <w:sz w:val="24"/>
          <w:szCs w:val="24"/>
        </w:rPr>
        <w:t xml:space="preserve">create the </w:t>
      </w:r>
      <w:r w:rsidRPr="003676D3">
        <w:rPr>
          <w:rFonts w:ascii="Times New Roman" w:hAnsi="Times New Roman" w:cs="Times New Roman"/>
          <w:sz w:val="24"/>
          <w:szCs w:val="24"/>
        </w:rPr>
        <w:t>voltage fluctuations</w:t>
      </w:r>
      <w:r w:rsidR="00D76519" w:rsidRPr="003676D3">
        <w:rPr>
          <w:rFonts w:ascii="Times New Roman" w:hAnsi="Times New Roman" w:cs="Times New Roman"/>
          <w:sz w:val="24"/>
          <w:szCs w:val="24"/>
        </w:rPr>
        <w:t xml:space="preserve"> and frequency</w:t>
      </w:r>
      <w:r w:rsidRPr="003676D3">
        <w:rPr>
          <w:rFonts w:ascii="Times New Roman" w:hAnsi="Times New Roman" w:cs="Times New Roman"/>
          <w:sz w:val="24"/>
          <w:szCs w:val="24"/>
        </w:rPr>
        <w:t xml:space="preserve"> in the </w:t>
      </w:r>
      <w:r w:rsidR="00D925FE" w:rsidRPr="003676D3">
        <w:rPr>
          <w:rFonts w:ascii="Times New Roman" w:hAnsi="Times New Roman" w:cs="Times New Roman"/>
          <w:sz w:val="24"/>
          <w:szCs w:val="24"/>
        </w:rPr>
        <w:t xml:space="preserve">whole </w:t>
      </w:r>
      <w:r w:rsidRPr="003676D3">
        <w:rPr>
          <w:rFonts w:ascii="Times New Roman" w:hAnsi="Times New Roman" w:cs="Times New Roman"/>
          <w:sz w:val="24"/>
          <w:szCs w:val="24"/>
        </w:rPr>
        <w:t xml:space="preserve">system. Moreover, </w:t>
      </w:r>
      <w:r w:rsidR="00D925FE" w:rsidRPr="003676D3">
        <w:rPr>
          <w:rFonts w:ascii="Times New Roman" w:hAnsi="Times New Roman" w:cs="Times New Roman"/>
          <w:sz w:val="24"/>
          <w:szCs w:val="24"/>
        </w:rPr>
        <w:t xml:space="preserve">in case of load fluctuation, the </w:t>
      </w:r>
      <w:r w:rsidRPr="003676D3">
        <w:rPr>
          <w:rFonts w:ascii="Times New Roman" w:hAnsi="Times New Roman" w:cs="Times New Roman"/>
          <w:sz w:val="24"/>
          <w:szCs w:val="24"/>
        </w:rPr>
        <w:t xml:space="preserve">incorporation of abundant inverter fed </w:t>
      </w:r>
      <w:r w:rsidR="00D925FE" w:rsidRPr="003676D3">
        <w:rPr>
          <w:rFonts w:ascii="Times New Roman" w:hAnsi="Times New Roman" w:cs="Times New Roman"/>
          <w:sz w:val="24"/>
          <w:szCs w:val="24"/>
        </w:rPr>
        <w:t>DG</w:t>
      </w:r>
      <w:r w:rsidRPr="003676D3">
        <w:rPr>
          <w:rFonts w:ascii="Times New Roman" w:hAnsi="Times New Roman" w:cs="Times New Roman"/>
          <w:sz w:val="24"/>
          <w:szCs w:val="24"/>
        </w:rPr>
        <w:t xml:space="preserve"> reduces the inertia of the system. Hence, the need is to devise a decoupled control strategy inclusive of inertial dynamics of the system for both voltage and frequency deviations. A study </w:t>
      </w:r>
      <w:r w:rsidRPr="003676D3">
        <w:rPr>
          <w:rFonts w:ascii="Times New Roman" w:hAnsi="Times New Roman" w:cs="Times New Roman"/>
          <w:sz w:val="24"/>
          <w:szCs w:val="24"/>
        </w:rPr>
        <w:lastRenderedPageBreak/>
        <w:t>should be done on the inclusion of non-linear devices in sophisticated inertial system in super smart grid.</w:t>
      </w:r>
      <w:r w:rsidR="00D925FE" w:rsidRPr="003676D3">
        <w:rPr>
          <w:rFonts w:ascii="Times New Roman" w:hAnsi="Times New Roman" w:cs="Times New Roman"/>
          <w:sz w:val="24"/>
          <w:szCs w:val="24"/>
        </w:rPr>
        <w:t xml:space="preserve"> R</w:t>
      </w:r>
      <w:r w:rsidR="006F37A0" w:rsidRPr="003676D3">
        <w:rPr>
          <w:rFonts w:ascii="Times New Roman" w:hAnsi="Times New Roman" w:cs="Times New Roman"/>
          <w:sz w:val="24"/>
          <w:szCs w:val="24"/>
        </w:rPr>
        <w:t xml:space="preserve">eliability concerns </w:t>
      </w:r>
      <w:r w:rsidR="00D925FE" w:rsidRPr="003676D3">
        <w:rPr>
          <w:rFonts w:ascii="Times New Roman" w:hAnsi="Times New Roman" w:cs="Times New Roman"/>
          <w:sz w:val="24"/>
          <w:szCs w:val="24"/>
        </w:rPr>
        <w:t>of</w:t>
      </w:r>
      <w:r w:rsidR="006F37A0" w:rsidRPr="003676D3">
        <w:rPr>
          <w:rFonts w:ascii="Times New Roman" w:hAnsi="Times New Roman" w:cs="Times New Roman"/>
          <w:sz w:val="24"/>
          <w:szCs w:val="24"/>
        </w:rPr>
        <w:t xml:space="preserve"> Renewable Energy Resources (RERs) </w:t>
      </w:r>
      <w:r w:rsidR="00D925FE" w:rsidRPr="003676D3">
        <w:rPr>
          <w:rFonts w:ascii="Times New Roman" w:hAnsi="Times New Roman" w:cs="Times New Roman"/>
          <w:sz w:val="24"/>
          <w:szCs w:val="24"/>
        </w:rPr>
        <w:t>should be addressed. T</w:t>
      </w:r>
      <w:r w:rsidR="006F37A0" w:rsidRPr="003676D3">
        <w:rPr>
          <w:rFonts w:ascii="Times New Roman" w:hAnsi="Times New Roman" w:cs="Times New Roman"/>
          <w:sz w:val="24"/>
          <w:szCs w:val="24"/>
        </w:rPr>
        <w:t xml:space="preserve">he unpredictable discrepancies between demand and generation </w:t>
      </w:r>
      <w:r w:rsidR="006C0EE1" w:rsidRPr="003676D3">
        <w:rPr>
          <w:rFonts w:ascii="Times New Roman" w:hAnsi="Times New Roman" w:cs="Times New Roman"/>
          <w:sz w:val="24"/>
          <w:szCs w:val="24"/>
        </w:rPr>
        <w:t>arise</w:t>
      </w:r>
      <w:r w:rsidR="006F37A0" w:rsidRPr="003676D3">
        <w:rPr>
          <w:rFonts w:ascii="Times New Roman" w:hAnsi="Times New Roman" w:cs="Times New Roman"/>
          <w:sz w:val="24"/>
          <w:szCs w:val="24"/>
        </w:rPr>
        <w:t xml:space="preserve"> challenges in Sustainable Smart Grids (SSGs). Achieving load flow equilibrium and transient stability becomes particularly complex</w:t>
      </w:r>
      <w:r w:rsidR="002D2D18" w:rsidRPr="003676D3">
        <w:rPr>
          <w:rFonts w:ascii="Times New Roman" w:hAnsi="Times New Roman" w:cs="Times New Roman"/>
          <w:sz w:val="24"/>
          <w:szCs w:val="24"/>
        </w:rPr>
        <w:t xml:space="preserve"> in SSG. It happens</w:t>
      </w:r>
      <w:r w:rsidR="006F37A0" w:rsidRPr="003676D3">
        <w:rPr>
          <w:rFonts w:ascii="Times New Roman" w:hAnsi="Times New Roman" w:cs="Times New Roman"/>
          <w:sz w:val="24"/>
          <w:szCs w:val="24"/>
        </w:rPr>
        <w:t xml:space="preserve"> especially in scenarios </w:t>
      </w:r>
      <w:r w:rsidR="002D2D18" w:rsidRPr="003676D3">
        <w:rPr>
          <w:rFonts w:ascii="Times New Roman" w:hAnsi="Times New Roman" w:cs="Times New Roman"/>
          <w:sz w:val="24"/>
          <w:szCs w:val="24"/>
        </w:rPr>
        <w:t>when</w:t>
      </w:r>
      <w:r w:rsidR="006F37A0" w:rsidRPr="003676D3">
        <w:rPr>
          <w:rFonts w:ascii="Times New Roman" w:hAnsi="Times New Roman" w:cs="Times New Roman"/>
          <w:sz w:val="24"/>
          <w:szCs w:val="24"/>
        </w:rPr>
        <w:t xml:space="preserve"> unexpected outages </w:t>
      </w:r>
      <w:r w:rsidR="002D2D18" w:rsidRPr="003676D3">
        <w:rPr>
          <w:rFonts w:ascii="Times New Roman" w:hAnsi="Times New Roman" w:cs="Times New Roman"/>
          <w:sz w:val="24"/>
          <w:szCs w:val="24"/>
        </w:rPr>
        <w:t xml:space="preserve">happen </w:t>
      </w:r>
      <w:r w:rsidR="006F37A0" w:rsidRPr="003676D3">
        <w:rPr>
          <w:rFonts w:ascii="Times New Roman" w:hAnsi="Times New Roman" w:cs="Times New Roman"/>
          <w:sz w:val="24"/>
          <w:szCs w:val="24"/>
        </w:rPr>
        <w:t xml:space="preserve">such as three-phase faults (L-L-L), which </w:t>
      </w:r>
      <w:r w:rsidR="002D2D18" w:rsidRPr="003676D3">
        <w:rPr>
          <w:rFonts w:ascii="Times New Roman" w:hAnsi="Times New Roman" w:cs="Times New Roman"/>
          <w:sz w:val="24"/>
          <w:szCs w:val="24"/>
        </w:rPr>
        <w:t>makes</w:t>
      </w:r>
      <w:r w:rsidR="006F37A0" w:rsidRPr="003676D3">
        <w:rPr>
          <w:rFonts w:ascii="Times New Roman" w:hAnsi="Times New Roman" w:cs="Times New Roman"/>
          <w:sz w:val="24"/>
          <w:szCs w:val="24"/>
        </w:rPr>
        <w:t xml:space="preserve"> power quality disturbances</w:t>
      </w:r>
      <w:r w:rsidR="00F6280D" w:rsidRPr="003676D3">
        <w:rPr>
          <w:rFonts w:ascii="Times New Roman" w:hAnsi="Times New Roman" w:cs="Times New Roman"/>
          <w:sz w:val="24"/>
          <w:szCs w:val="24"/>
        </w:rPr>
        <w:t xml:space="preserve"> </w:t>
      </w:r>
      <w:r w:rsidR="00F6280D" w:rsidRPr="003676D3">
        <w:rPr>
          <w:rFonts w:ascii="Times New Roman" w:hAnsi="Times New Roman" w:cs="Times New Roman"/>
          <w:sz w:val="24"/>
          <w:szCs w:val="24"/>
        </w:rPr>
        <w:fldChar w:fldCharType="begin" w:fldLock="1"/>
      </w:r>
      <w:r w:rsidR="00F6280D" w:rsidRPr="003676D3">
        <w:rPr>
          <w:rFonts w:ascii="Times New Roman" w:hAnsi="Times New Roman" w:cs="Times New Roman"/>
          <w:sz w:val="24"/>
          <w:szCs w:val="24"/>
        </w:rPr>
        <w:instrText>ADDIN CSL_CITATION {"citationItems":[{"id":"ITEM-1","itemData":{"DOI":"10.1109/ACCESS.2023.3296152","ISSN":"21693536","abstract":"For a utility company to reduce CO2} emissions along with managing load demands, it must strive for a 100 percent renewable electrical power generation. Europe takes initiatives to achieve this goal by developing a super smart grid (SSG) based on renewable energy resources (RERs) by 2050. The SSG is based on two exclusive alternatives: wide area and decentralized power generation using large number of RERs. Before developing such SSG, there is a need to address the critical issues associated with RERs, i.e., load flow balancing and transients stability. Considering a reliability issue involved with RERs and the random deviations between demand response and generation response patterns, load flow balancing and transient stability become challenging research issues in SSGs. These technical issues are also considered to be more challenging, if an unexpected outage in the form of an occurrence of three phase (L-L-L) faults (TPF) arises in SSGs, due to power quality disturbances. To address this problem, load flow balancing probabilistic modeling is performed in this research paper in order to formulate the complexity of randomness between generation and demand response patterns through transmission network planning (TNP) in the form of a super smart node (SSN) transmission network infrastructure. Moreover, a further optimization in SSN transmission network has been done with the addition of a cooperative control strategies in terms of an integrating vehicle to grid (V2G) technology in SSN transmission network in order to achieve further enhancement in load flow balancing and transient stability in SSGs. Furthermore, as SSGs power infrastructure is based on different clusters, therefore in order to accommodate various clusters for load flow balancing, a continuous spinning reserve (CSRs) probabilistic modeling has also been performed in this paper in terms of its integration in SSN transmission network. Considering above probabilistic analysis, future contingencies are easily predictable, before any kind of disruptive changes arises in a SSGs due an occurrence of a TPF. Moreover, from simulation results as performed in this paper, we can easily verified that our proposed probabilistic algorithm of load flow balancing and transients stability outperforms existing literature work and can also achieved near optimal performance, even for a broad range of variations in load and also in case of an arising of significant power quality disturbances in SSGs due to an…","author":[{"dropping-particle":"","family":"Adnan","given":"Muhammad","non-dropping-particle":"","parse-names":false,"suffix":""},{"dropping-particle":"","family":"Ghadi","given":"Yazeed","non-dropping-particle":"","parse-names":false,"suffix":""},{"dropping-particle":"","family":"Ahmed","given":"Ijaz","non-dropping-particle":"","parse-names":false,"suffix":""},{"dropping-particle":"","family":"Ali","given":"Mansoor","non-dropping-particle":"","parse-names":false,"suffix":""}],"container-title":"IEEE Access","id":"ITEM-1","issued":{"date-parts":[["2023"]]},"page":"77163-77227","publisher":"Institute of Electrical and Electronics Engineers Inc.","title":"Transmission Network Planning in Super Smart Grids: A Survey","type":"article-journal","volume":"11"},"uris":["http://www.mendeley.com/documents/?uuid=6b737631-ef04-3da7-b746-afcb11316fa1"]}],"mendeley":{"formattedCitation":"[28]","plainTextFormattedCitation":"[28]","previouslyFormattedCitation":"[28]"},"properties":{"noteIndex":0},"schema":"https://github.com/citation-style-language/schema/raw/master/csl-citation.json"}</w:instrText>
      </w:r>
      <w:r w:rsidR="00F6280D" w:rsidRPr="003676D3">
        <w:rPr>
          <w:rFonts w:ascii="Times New Roman" w:hAnsi="Times New Roman" w:cs="Times New Roman"/>
          <w:sz w:val="24"/>
          <w:szCs w:val="24"/>
        </w:rPr>
        <w:fldChar w:fldCharType="separate"/>
      </w:r>
      <w:r w:rsidR="00F6280D" w:rsidRPr="003676D3">
        <w:rPr>
          <w:rFonts w:ascii="Times New Roman" w:hAnsi="Times New Roman" w:cs="Times New Roman"/>
          <w:noProof/>
          <w:sz w:val="24"/>
          <w:szCs w:val="24"/>
        </w:rPr>
        <w:t>[28]</w:t>
      </w:r>
      <w:r w:rsidR="00F6280D" w:rsidRPr="003676D3">
        <w:rPr>
          <w:rFonts w:ascii="Times New Roman" w:hAnsi="Times New Roman" w:cs="Times New Roman"/>
          <w:sz w:val="24"/>
          <w:szCs w:val="24"/>
        </w:rPr>
        <w:fldChar w:fldCharType="end"/>
      </w:r>
      <w:r w:rsidR="006F37A0" w:rsidRPr="003676D3">
        <w:rPr>
          <w:rFonts w:ascii="Times New Roman" w:hAnsi="Times New Roman" w:cs="Times New Roman"/>
          <w:sz w:val="24"/>
          <w:szCs w:val="24"/>
        </w:rPr>
        <w:t xml:space="preserve">. </w:t>
      </w:r>
    </w:p>
    <w:p w14:paraId="65912728" w14:textId="141F4F22" w:rsidR="00926883" w:rsidRPr="003676D3" w:rsidRDefault="000C3976"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The proliferation of the metaverse also poses potential issues relevant to the enforcement of jurisdiction when doing cross-border commercial transactions, the lack of regulation of the activities occurring and the protection of consumers operating in the virtual sphere. These are critical issues that policymakers must prioritize in order to enable the regulation and enforcement of business activity and establish the relevant legal frameworks required to govern conflict resolution in regard to virtual assets</w:t>
      </w:r>
      <w:r w:rsidR="00926883" w:rsidRPr="003676D3">
        <w:rPr>
          <w:rFonts w:ascii="Times New Roman" w:hAnsi="Times New Roman" w:cs="Times New Roman"/>
          <w:sz w:val="24"/>
          <w:szCs w:val="24"/>
        </w:rPr>
        <w:t>. It i</w:t>
      </w:r>
      <w:r w:rsidR="00532943" w:rsidRPr="003676D3">
        <w:rPr>
          <w:rFonts w:ascii="Times New Roman" w:hAnsi="Times New Roman" w:cs="Times New Roman"/>
          <w:sz w:val="24"/>
          <w:szCs w:val="24"/>
        </w:rPr>
        <w:t xml:space="preserve">s imperative for all stakeholders to carefully deliberate </w:t>
      </w:r>
      <w:r w:rsidR="00F6280D" w:rsidRPr="003676D3">
        <w:rPr>
          <w:rFonts w:ascii="Times New Roman" w:hAnsi="Times New Roman" w:cs="Times New Roman"/>
          <w:sz w:val="24"/>
          <w:szCs w:val="24"/>
        </w:rPr>
        <w:t>on these issues moving forward.</w:t>
      </w:r>
    </w:p>
    <w:p w14:paraId="25341F30" w14:textId="5E012AB5" w:rsidR="00645477" w:rsidRPr="003676D3" w:rsidRDefault="00F628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As SSGs</w:t>
      </w:r>
      <w:r w:rsidR="00B308EE" w:rsidRPr="003676D3">
        <w:rPr>
          <w:rFonts w:ascii="Times New Roman" w:hAnsi="Times New Roman" w:cs="Times New Roman"/>
          <w:sz w:val="24"/>
          <w:szCs w:val="24"/>
        </w:rPr>
        <w:t xml:space="preserve"> rely on the in</w:t>
      </w:r>
      <w:r w:rsidR="00A8492C" w:rsidRPr="003676D3">
        <w:rPr>
          <w:rFonts w:ascii="Times New Roman" w:hAnsi="Times New Roman" w:cs="Times New Roman"/>
          <w:sz w:val="24"/>
          <w:szCs w:val="24"/>
        </w:rPr>
        <w:t>corporation</w:t>
      </w:r>
      <w:r w:rsidR="00B308EE" w:rsidRPr="003676D3">
        <w:rPr>
          <w:rFonts w:ascii="Times New Roman" w:hAnsi="Times New Roman" w:cs="Times New Roman"/>
          <w:sz w:val="24"/>
          <w:szCs w:val="24"/>
        </w:rPr>
        <w:t xml:space="preserve"> of various technologies such as HVAC,</w:t>
      </w:r>
      <w:r w:rsidR="005B0EA0" w:rsidRPr="003676D3">
        <w:rPr>
          <w:rFonts w:ascii="Times New Roman" w:hAnsi="Times New Roman" w:cs="Times New Roman"/>
          <w:sz w:val="24"/>
          <w:szCs w:val="24"/>
        </w:rPr>
        <w:t xml:space="preserve"> FACTS devices and HVDC</w:t>
      </w:r>
      <w:r w:rsidR="00B308EE" w:rsidRPr="003676D3">
        <w:rPr>
          <w:rFonts w:ascii="Times New Roman" w:hAnsi="Times New Roman" w:cs="Times New Roman"/>
          <w:sz w:val="24"/>
          <w:szCs w:val="24"/>
        </w:rPr>
        <w:t xml:space="preserve"> etc</w:t>
      </w:r>
      <w:r w:rsidRPr="003676D3">
        <w:rPr>
          <w:rFonts w:ascii="Times New Roman" w:hAnsi="Times New Roman" w:cs="Times New Roman"/>
          <w:sz w:val="24"/>
          <w:szCs w:val="24"/>
        </w:rPr>
        <w:t xml:space="preserve">. </w:t>
      </w:r>
      <w:r w:rsidRPr="003676D3">
        <w:rPr>
          <w:rFonts w:ascii="Times New Roman" w:hAnsi="Times New Roman" w:cs="Times New Roman"/>
          <w:sz w:val="24"/>
          <w:szCs w:val="24"/>
        </w:rPr>
        <w:fldChar w:fldCharType="begin" w:fldLock="1"/>
      </w:r>
      <w:r w:rsidR="00C312C2" w:rsidRPr="003676D3">
        <w:rPr>
          <w:rFonts w:ascii="Times New Roman" w:hAnsi="Times New Roman" w:cs="Times New Roman"/>
          <w:sz w:val="24"/>
          <w:szCs w:val="24"/>
        </w:rPr>
        <w:instrText>ADDIN CSL_CITATION {"citationItems":[{"id":"ITEM-1","itemData":{"DOI":"10.1109/PES.2011.6039346","ISBN":"9781457710018","ISSN":"19449925","abstract":"Innovative solutions with HVDC (High Voltage Direct Current) and FACTS (Flexible AC Transmission Systems) have the potential to cope with the system planning and operational challenges of global climate developments and the call for changes in the way electricity is supplied. New power electronic technologies with self-commutated converters make advanced technical features possible, such as independent control of active and reactive power, and the capability to supply weak or passive networks. As part of the overall planning considerations, this paper presents the fundamental system planning, modeling and operational challenges of connecting large wind farms (both onshore and offshore) via long transmission systems, as well as the practical applications of traditional and new power electronic technologies. © 2011 IEEE.","author":[{"dropping-particle":"","family":"Feltes","given":"J. W.","non-dropping-particle":"","parse-names":false,"suffix":""},{"dropping-particle":"","family":"Gemmell","given":"B. D.","non-dropping-particle":"","parse-names":false,"suffix":""},{"dropping-particle":"","family":"Retzmann","given":"D.","non-dropping-particle":"","parse-names":false,"suffix":""}],"container-title":"IEEE Power and Energy Society General Meeting","id":"ITEM-1","issued":{"date-parts":[["2011"]]},"title":"From smart grid to super grid: Solutions with HVDC and FACTS for grid access of renewable energy sources","type":"article-journal"},"uris":["http://www.mendeley.com/documents/?uuid=337df912-2141-32b3-8081-0e29d78eaa88"]}],"mendeley":{"formattedCitation":"[234]","plainTextFormattedCitation":"[234]","previouslyFormattedCitation":"[234]"},"properties":{"noteIndex":0},"schema":"https://github.com/citation-style-language/schema/raw/master/csl-citation.json"}</w:instrText>
      </w:r>
      <w:r w:rsidRPr="003676D3">
        <w:rPr>
          <w:rFonts w:ascii="Times New Roman" w:hAnsi="Times New Roman" w:cs="Times New Roman"/>
          <w:sz w:val="24"/>
          <w:szCs w:val="24"/>
        </w:rPr>
        <w:fldChar w:fldCharType="separate"/>
      </w:r>
      <w:r w:rsidR="00C312C2" w:rsidRPr="003676D3">
        <w:rPr>
          <w:rFonts w:ascii="Times New Roman" w:hAnsi="Times New Roman" w:cs="Times New Roman"/>
          <w:noProof/>
          <w:sz w:val="24"/>
          <w:szCs w:val="24"/>
        </w:rPr>
        <w:t>[234]</w:t>
      </w:r>
      <w:r w:rsidRPr="003676D3">
        <w:rPr>
          <w:rFonts w:ascii="Times New Roman" w:hAnsi="Times New Roman" w:cs="Times New Roman"/>
          <w:sz w:val="24"/>
          <w:szCs w:val="24"/>
        </w:rPr>
        <w:fldChar w:fldCharType="end"/>
      </w:r>
      <w:r w:rsidR="00B308EE" w:rsidRPr="003676D3">
        <w:rPr>
          <w:rFonts w:ascii="Times New Roman" w:hAnsi="Times New Roman" w:cs="Times New Roman"/>
          <w:sz w:val="24"/>
          <w:szCs w:val="24"/>
        </w:rPr>
        <w:t xml:space="preserve">, </w:t>
      </w:r>
      <w:r w:rsidR="00A8492C" w:rsidRPr="003676D3">
        <w:rPr>
          <w:rFonts w:ascii="Times New Roman" w:hAnsi="Times New Roman" w:cs="Times New Roman"/>
          <w:sz w:val="24"/>
          <w:szCs w:val="24"/>
        </w:rPr>
        <w:t xml:space="preserve">their </w:t>
      </w:r>
      <w:r w:rsidR="00B308EE" w:rsidRPr="003676D3">
        <w:rPr>
          <w:rFonts w:ascii="Times New Roman" w:hAnsi="Times New Roman" w:cs="Times New Roman"/>
          <w:sz w:val="24"/>
          <w:szCs w:val="24"/>
        </w:rPr>
        <w:t xml:space="preserve">interoperability </w:t>
      </w:r>
      <w:r w:rsidR="00A8492C" w:rsidRPr="003676D3">
        <w:rPr>
          <w:rFonts w:ascii="Times New Roman" w:hAnsi="Times New Roman" w:cs="Times New Roman"/>
          <w:sz w:val="24"/>
          <w:szCs w:val="24"/>
        </w:rPr>
        <w:t>is a</w:t>
      </w:r>
      <w:r w:rsidR="00B308EE" w:rsidRPr="003676D3">
        <w:rPr>
          <w:rFonts w:ascii="Times New Roman" w:hAnsi="Times New Roman" w:cs="Times New Roman"/>
          <w:sz w:val="24"/>
          <w:szCs w:val="24"/>
        </w:rPr>
        <w:t xml:space="preserve"> significant research challenge. </w:t>
      </w:r>
      <w:r w:rsidR="00972BF0" w:rsidRPr="003676D3">
        <w:rPr>
          <w:rFonts w:ascii="Times New Roman" w:hAnsi="Times New Roman" w:cs="Times New Roman"/>
          <w:sz w:val="24"/>
          <w:szCs w:val="24"/>
        </w:rPr>
        <w:t>Offering the power infrastructure that SSGs need requires tackling the heterogeneity of the many components which are interconnected with multiple standards and technologies.</w:t>
      </w:r>
      <w:r w:rsidR="004A3099" w:rsidRPr="003676D3">
        <w:rPr>
          <w:rFonts w:ascii="Times New Roman" w:hAnsi="Times New Roman" w:cs="Times New Roman"/>
          <w:sz w:val="24"/>
          <w:szCs w:val="24"/>
        </w:rPr>
        <w:t xml:space="preserve"> The literature is void of optimal grid operation in event of energy trading in a SSG environment when multiple nodes are involved. Also, the evolution of energy markets in SSG should be studied in detail for real time price signalling, energy volatility and consumer behaviour.</w:t>
      </w:r>
    </w:p>
    <w:p w14:paraId="18BF46BC" w14:textId="06E8D0E8" w:rsidR="00B308EE" w:rsidRPr="003676D3" w:rsidRDefault="00F44B4B"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In order to be able to implement, operate and control SSG transactive energy systems, a suitable legislative framework has to be created. Market participants would need to have boundaries of privacy and data integrity, energy transaction mechanisms, contracts with customer participants, rules of market price clearing that would be public. </w:t>
      </w:r>
      <w:r w:rsidR="007E257C" w:rsidRPr="003676D3">
        <w:rPr>
          <w:rFonts w:ascii="Times New Roman" w:hAnsi="Times New Roman" w:cs="Times New Roman"/>
          <w:sz w:val="24"/>
          <w:szCs w:val="24"/>
        </w:rPr>
        <w:t>The behaviour</w:t>
      </w:r>
      <w:r w:rsidRPr="003676D3">
        <w:rPr>
          <w:rFonts w:ascii="Times New Roman" w:hAnsi="Times New Roman" w:cs="Times New Roman"/>
          <w:sz w:val="24"/>
          <w:szCs w:val="24"/>
        </w:rPr>
        <w:t xml:space="preserve"> of transactive energy systems should be more than just their real time balancing, but rather day-ahead optimisation and ancillary services like frequency control and voltage control. </w:t>
      </w:r>
      <w:r w:rsidR="00B308EE" w:rsidRPr="003676D3">
        <w:rPr>
          <w:rFonts w:ascii="Times New Roman" w:hAnsi="Times New Roman" w:cs="Times New Roman"/>
          <w:sz w:val="24"/>
          <w:szCs w:val="24"/>
        </w:rPr>
        <w:t>Additionally, attention is focused on implementing cooperative control strategies and security protocols within the SSGs power infrastructure.</w:t>
      </w:r>
      <w:r w:rsidR="00112021" w:rsidRPr="003676D3">
        <w:rPr>
          <w:rFonts w:ascii="Times New Roman" w:hAnsi="Times New Roman" w:cs="Times New Roman"/>
          <w:sz w:val="24"/>
          <w:szCs w:val="24"/>
        </w:rPr>
        <w:t xml:space="preserve"> Optimal deployment of information and communication infrastructure, considering investment and maintenance costs, bandwidth, and coverage, is crucial for efficient energy transactions and data sharing</w:t>
      </w:r>
    </w:p>
    <w:p w14:paraId="211A8D48" w14:textId="7C705910" w:rsidR="00847F5A" w:rsidRPr="003676D3" w:rsidRDefault="00847F5A"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Considerable research is currently underway to advance smart grid technologies. However, numerous opportunities exist for future exploration across various domains within the smart grid field. </w:t>
      </w:r>
      <w:r w:rsidR="00215127" w:rsidRPr="003676D3">
        <w:rPr>
          <w:rFonts w:ascii="Times New Roman" w:hAnsi="Times New Roman" w:cs="Times New Roman"/>
          <w:sz w:val="24"/>
          <w:szCs w:val="24"/>
        </w:rPr>
        <w:t>These include algorithms for forecasting, power flow optimization, communication protocols, micro-grid integration, demand and energy management systems, interoperability standards, economic aspects, scalability, data security, and above all, the automation of electricity generation, transmission and distribution systems.</w:t>
      </w:r>
    </w:p>
    <w:p w14:paraId="20152C95" w14:textId="578B25C9" w:rsidR="00132774" w:rsidRPr="003676D3" w:rsidRDefault="006140C0"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Additionally, defining interoperability standards for various distributed ledger technologies and enhancing network security with strong cryptographic measures are vi</w:t>
      </w:r>
      <w:r w:rsidR="005B0EA0" w:rsidRPr="003676D3">
        <w:rPr>
          <w:rFonts w:ascii="Times New Roman" w:hAnsi="Times New Roman" w:cs="Times New Roman"/>
          <w:sz w:val="24"/>
          <w:szCs w:val="24"/>
        </w:rPr>
        <w:t xml:space="preserve">tal to ensuring </w:t>
      </w:r>
      <w:r w:rsidRPr="003676D3">
        <w:rPr>
          <w:rFonts w:ascii="Times New Roman" w:hAnsi="Times New Roman" w:cs="Times New Roman"/>
          <w:sz w:val="24"/>
          <w:szCs w:val="24"/>
        </w:rPr>
        <w:t>customer privacy,</w:t>
      </w:r>
      <w:r w:rsidR="005B0EA0" w:rsidRPr="003676D3">
        <w:rPr>
          <w:rFonts w:ascii="Times New Roman" w:hAnsi="Times New Roman" w:cs="Times New Roman"/>
          <w:sz w:val="24"/>
          <w:szCs w:val="24"/>
        </w:rPr>
        <w:t xml:space="preserve"> data integrity</w:t>
      </w:r>
      <w:r w:rsidRPr="003676D3">
        <w:rPr>
          <w:rFonts w:ascii="Times New Roman" w:hAnsi="Times New Roman" w:cs="Times New Roman"/>
          <w:sz w:val="24"/>
          <w:szCs w:val="24"/>
        </w:rPr>
        <w:t xml:space="preserve"> and protection against </w:t>
      </w:r>
      <w:r w:rsidR="004B1918" w:rsidRPr="003676D3">
        <w:rPr>
          <w:rFonts w:ascii="Times New Roman" w:hAnsi="Times New Roman" w:cs="Times New Roman"/>
          <w:sz w:val="24"/>
          <w:szCs w:val="24"/>
        </w:rPr>
        <w:t>cyber-attacks</w:t>
      </w:r>
      <w:r w:rsidRPr="003676D3">
        <w:rPr>
          <w:rFonts w:ascii="Times New Roman" w:hAnsi="Times New Roman" w:cs="Times New Roman"/>
          <w:sz w:val="24"/>
          <w:szCs w:val="24"/>
        </w:rPr>
        <w:t xml:space="preserve">. These recommendations will support the transition from conventional power systems to decentralized </w:t>
      </w:r>
      <w:r w:rsidR="005B0EA0" w:rsidRPr="003676D3">
        <w:rPr>
          <w:rFonts w:ascii="Times New Roman" w:hAnsi="Times New Roman" w:cs="Times New Roman"/>
          <w:sz w:val="24"/>
          <w:szCs w:val="24"/>
        </w:rPr>
        <w:t xml:space="preserve">smart grids and </w:t>
      </w:r>
      <w:r w:rsidR="005B0EA0" w:rsidRPr="003676D3">
        <w:rPr>
          <w:rFonts w:ascii="Times New Roman" w:hAnsi="Times New Roman" w:cs="Times New Roman"/>
          <w:sz w:val="24"/>
          <w:szCs w:val="24"/>
        </w:rPr>
        <w:lastRenderedPageBreak/>
        <w:t>then all the way to super smart grid</w:t>
      </w:r>
      <w:r w:rsidRPr="003676D3">
        <w:rPr>
          <w:rFonts w:ascii="Times New Roman" w:hAnsi="Times New Roman" w:cs="Times New Roman"/>
          <w:sz w:val="24"/>
          <w:szCs w:val="24"/>
        </w:rPr>
        <w:t>, improving scalability, resilience, reliability, and sustainability.</w:t>
      </w:r>
    </w:p>
    <w:p w14:paraId="49DCB7F3" w14:textId="27AFC397" w:rsidR="00820DC7" w:rsidRPr="003676D3" w:rsidRDefault="00370893" w:rsidP="003676D3">
      <w:pPr>
        <w:pStyle w:val="Heading1"/>
        <w:spacing w:line="276" w:lineRule="auto"/>
        <w:jc w:val="both"/>
        <w:rPr>
          <w:sz w:val="24"/>
          <w:szCs w:val="24"/>
        </w:rPr>
      </w:pPr>
      <w:r w:rsidRPr="003676D3">
        <w:rPr>
          <w:sz w:val="24"/>
          <w:szCs w:val="24"/>
        </w:rPr>
        <w:t>Conclusion</w:t>
      </w:r>
    </w:p>
    <w:p w14:paraId="43797272" w14:textId="6D70280F" w:rsidR="00C1402C" w:rsidRPr="003676D3" w:rsidRDefault="00C1402C" w:rsidP="003676D3">
      <w:pPr>
        <w:pStyle w:val="NormalWeb"/>
        <w:spacing w:line="276" w:lineRule="auto"/>
        <w:jc w:val="both"/>
      </w:pPr>
      <w:r w:rsidRPr="003676D3">
        <w:t xml:space="preserve">This study contributes to the acceleration </w:t>
      </w:r>
      <w:r w:rsidR="00A86A12" w:rsidRPr="003676D3">
        <w:t xml:space="preserve">of </w:t>
      </w:r>
      <w:r w:rsidRPr="003676D3">
        <w:t>the developmen</w:t>
      </w:r>
      <w:r w:rsidR="00A86A12" w:rsidRPr="003676D3">
        <w:t>t of super smart grids by employing</w:t>
      </w:r>
      <w:r w:rsidRPr="003676D3">
        <w:t xml:space="preserve"> a new approach and </w:t>
      </w:r>
      <w:r w:rsidR="005B0EA0" w:rsidRPr="003676D3">
        <w:t>exploratory</w:t>
      </w:r>
      <w:r w:rsidRPr="003676D3">
        <w:t xml:space="preserve"> super smart grid innovation from the perspectives of policy and governance. The study’s findings can assist policymakers in developing unified strategies to address previous shortcomings in policies aimed at fostering the t</w:t>
      </w:r>
      <w:r w:rsidR="00F6280D" w:rsidRPr="003676D3">
        <w:t>ransition to super smart grids.</w:t>
      </w:r>
      <w:r w:rsidR="007D1796" w:rsidRPr="003676D3">
        <w:t xml:space="preserve"> The </w:t>
      </w:r>
      <w:r w:rsidR="00CD1B25" w:rsidRPr="003676D3">
        <w:t>qualitative analysis constitutes an important part of this review, especially wh</w:t>
      </w:r>
      <w:r w:rsidR="0025700A" w:rsidRPr="003676D3">
        <w:t>ile</w:t>
      </w:r>
      <w:r w:rsidR="00CD1B25" w:rsidRPr="003676D3">
        <w:t xml:space="preserve"> assessing </w:t>
      </w:r>
      <w:r w:rsidR="0025700A" w:rsidRPr="003676D3">
        <w:t xml:space="preserve">the </w:t>
      </w:r>
      <w:r w:rsidR="00CD1B25" w:rsidRPr="003676D3">
        <w:t xml:space="preserve">regulatory frameworks and policies across Europe. This analysis </w:t>
      </w:r>
      <w:r w:rsidR="008E2CC7" w:rsidRPr="003676D3">
        <w:t>investigates</w:t>
      </w:r>
      <w:r w:rsidR="00CD1B25" w:rsidRPr="003676D3">
        <w:t xml:space="preserve"> the </w:t>
      </w:r>
      <w:r w:rsidR="008E2CC7" w:rsidRPr="003676D3">
        <w:t>effects</w:t>
      </w:r>
      <w:r w:rsidR="00CD1B25" w:rsidRPr="003676D3">
        <w:t xml:space="preserve"> of market liberalization, the influence of </w:t>
      </w:r>
      <w:r w:rsidR="008E2CC7" w:rsidRPr="003676D3">
        <w:t>metaverse</w:t>
      </w:r>
      <w:r w:rsidR="004666ED" w:rsidRPr="003676D3">
        <w:t xml:space="preserve"> and </w:t>
      </w:r>
      <w:r w:rsidR="00CD1B25" w:rsidRPr="003676D3">
        <w:t>blockchain technologies on decentralized energy transactions</w:t>
      </w:r>
      <w:r w:rsidR="004666ED" w:rsidRPr="003676D3">
        <w:t>. It also gives insight on</w:t>
      </w:r>
      <w:r w:rsidR="00CD1B25" w:rsidRPr="003676D3">
        <w:t xml:space="preserve"> how 5G and IoT technologies assist in super smart grid operations. The paper also examines the socio-economic consequences of these transitions, as well as their implications for the process of policy formulation</w:t>
      </w:r>
      <w:r w:rsidR="00B022C8" w:rsidRPr="003676D3">
        <w:t xml:space="preserve"> </w:t>
      </w:r>
      <w:r w:rsidR="004B1918" w:rsidRPr="003676D3">
        <w:t>through stakeholder</w:t>
      </w:r>
      <w:r w:rsidR="00CD1B25" w:rsidRPr="003676D3">
        <w:t xml:space="preserve"> engagement.</w:t>
      </w:r>
    </w:p>
    <w:p w14:paraId="3EB188B1" w14:textId="294989AE" w:rsidR="00C3294E" w:rsidRPr="003676D3" w:rsidRDefault="00F6280D" w:rsidP="003676D3">
      <w:pPr>
        <w:spacing w:line="276" w:lineRule="auto"/>
        <w:jc w:val="both"/>
        <w:rPr>
          <w:rFonts w:ascii="Times New Roman" w:hAnsi="Times New Roman" w:cs="Times New Roman"/>
          <w:sz w:val="24"/>
          <w:szCs w:val="24"/>
        </w:rPr>
      </w:pPr>
      <w:r w:rsidRPr="003676D3">
        <w:rPr>
          <w:rFonts w:ascii="Times New Roman" w:hAnsi="Times New Roman" w:cs="Times New Roman"/>
          <w:sz w:val="24"/>
          <w:szCs w:val="24"/>
        </w:rPr>
        <w:t xml:space="preserve">Energy transactions in super smart grids </w:t>
      </w:r>
      <w:r w:rsidR="007D1796" w:rsidRPr="003676D3">
        <w:rPr>
          <w:rFonts w:ascii="Times New Roman" w:hAnsi="Times New Roman" w:cs="Times New Roman"/>
          <w:sz w:val="24"/>
          <w:szCs w:val="24"/>
        </w:rPr>
        <w:t>permit</w:t>
      </w:r>
      <w:r w:rsidRPr="003676D3">
        <w:rPr>
          <w:rFonts w:ascii="Times New Roman" w:hAnsi="Times New Roman" w:cs="Times New Roman"/>
          <w:sz w:val="24"/>
          <w:szCs w:val="24"/>
        </w:rPr>
        <w:t xml:space="preserve"> dynamic pricing</w:t>
      </w:r>
      <w:r w:rsidR="00B022C8" w:rsidRPr="003676D3">
        <w:rPr>
          <w:rFonts w:ascii="Times New Roman" w:hAnsi="Times New Roman" w:cs="Times New Roman"/>
          <w:sz w:val="24"/>
          <w:szCs w:val="24"/>
        </w:rPr>
        <w:t xml:space="preserve"> which</w:t>
      </w:r>
      <w:r w:rsidRPr="003676D3">
        <w:rPr>
          <w:rFonts w:ascii="Times New Roman" w:hAnsi="Times New Roman" w:cs="Times New Roman"/>
          <w:sz w:val="24"/>
          <w:szCs w:val="24"/>
        </w:rPr>
        <w:t xml:space="preserve"> </w:t>
      </w:r>
      <w:r w:rsidR="004658A8" w:rsidRPr="003676D3">
        <w:rPr>
          <w:rFonts w:ascii="Times New Roman" w:hAnsi="Times New Roman" w:cs="Times New Roman"/>
          <w:sz w:val="24"/>
          <w:szCs w:val="24"/>
        </w:rPr>
        <w:t>allow</w:t>
      </w:r>
      <w:r w:rsidR="00B022C8" w:rsidRPr="003676D3">
        <w:rPr>
          <w:rFonts w:ascii="Times New Roman" w:hAnsi="Times New Roman" w:cs="Times New Roman"/>
          <w:sz w:val="24"/>
          <w:szCs w:val="24"/>
        </w:rPr>
        <w:t>s</w:t>
      </w:r>
      <w:r w:rsidR="004658A8" w:rsidRPr="003676D3">
        <w:rPr>
          <w:rFonts w:ascii="Times New Roman" w:hAnsi="Times New Roman" w:cs="Times New Roman"/>
          <w:sz w:val="24"/>
          <w:szCs w:val="24"/>
        </w:rPr>
        <w:t xml:space="preserve"> consumers to adjust their energy consumption in order to balance supply and demand</w:t>
      </w:r>
      <w:r w:rsidRPr="003676D3">
        <w:rPr>
          <w:rFonts w:ascii="Times New Roman" w:hAnsi="Times New Roman" w:cs="Times New Roman"/>
          <w:sz w:val="24"/>
          <w:szCs w:val="24"/>
        </w:rPr>
        <w:t xml:space="preserve">. </w:t>
      </w:r>
      <w:r w:rsidR="00C3294E" w:rsidRPr="003676D3">
        <w:rPr>
          <w:rFonts w:ascii="Times New Roman" w:hAnsi="Times New Roman" w:cs="Times New Roman"/>
          <w:sz w:val="24"/>
          <w:szCs w:val="24"/>
        </w:rPr>
        <w:t>They enable distributed generation and p2p trading, improve grid performance through distribution management systems, and facilitate integration of renewables by flattening their peaks. They also improve the security of energy supply with the use of microgrids, support decarbonisation by minimising resource wastage and enable electric cars to be used as mobile batteries.</w:t>
      </w:r>
    </w:p>
    <w:p w14:paraId="317CC5B8" w14:textId="3749CEE5" w:rsidR="00C312C2" w:rsidRPr="003676D3" w:rsidRDefault="00C1402C" w:rsidP="000D4F6A">
      <w:pPr>
        <w:spacing w:line="276" w:lineRule="auto"/>
        <w:jc w:val="both"/>
        <w:rPr>
          <w:rFonts w:ascii="Times New Roman" w:eastAsia="Times New Roman" w:hAnsi="Times New Roman" w:cs="Times New Roman"/>
          <w:sz w:val="24"/>
          <w:szCs w:val="24"/>
          <w:lang w:eastAsia="en-GB"/>
        </w:rPr>
      </w:pPr>
      <w:r w:rsidRPr="003676D3">
        <w:rPr>
          <w:rFonts w:ascii="Times New Roman" w:eastAsia="Times New Roman" w:hAnsi="Times New Roman" w:cs="Times New Roman"/>
          <w:sz w:val="24"/>
          <w:szCs w:val="24"/>
          <w:lang w:eastAsia="en-GB"/>
        </w:rPr>
        <w:t>Finally, the paper conducts a thorough technological assessment, evaluating solutions such as AI for predictive analytics</w:t>
      </w:r>
      <w:r w:rsidR="00F6280D" w:rsidRPr="003676D3">
        <w:rPr>
          <w:rFonts w:ascii="Times New Roman" w:eastAsia="Times New Roman" w:hAnsi="Times New Roman" w:cs="Times New Roman"/>
          <w:sz w:val="24"/>
          <w:szCs w:val="24"/>
          <w:lang w:eastAsia="en-GB"/>
        </w:rPr>
        <w:t xml:space="preserve"> </w:t>
      </w:r>
      <w:r w:rsidRPr="003676D3">
        <w:rPr>
          <w:rFonts w:ascii="Times New Roman" w:eastAsia="Times New Roman" w:hAnsi="Times New Roman" w:cs="Times New Roman"/>
          <w:sz w:val="24"/>
          <w:szCs w:val="24"/>
          <w:lang w:eastAsia="en-GB"/>
        </w:rPr>
        <w:t xml:space="preserve">and the application of the metaverse for simulating and optimizing energy systems. </w:t>
      </w:r>
      <w:r w:rsidR="00C2295E" w:rsidRPr="003676D3">
        <w:rPr>
          <w:rFonts w:ascii="Times New Roman" w:eastAsia="Times New Roman" w:hAnsi="Times New Roman" w:cs="Times New Roman"/>
          <w:sz w:val="24"/>
          <w:szCs w:val="24"/>
          <w:lang w:eastAsia="en-GB"/>
        </w:rPr>
        <w:t xml:space="preserve">This review </w:t>
      </w:r>
      <w:r w:rsidR="00585793" w:rsidRPr="003676D3">
        <w:rPr>
          <w:rFonts w:ascii="Times New Roman" w:eastAsia="Times New Roman" w:hAnsi="Times New Roman" w:cs="Times New Roman"/>
          <w:sz w:val="24"/>
          <w:szCs w:val="24"/>
          <w:lang w:eastAsia="en-GB"/>
        </w:rPr>
        <w:t xml:space="preserve">has </w:t>
      </w:r>
      <w:r w:rsidR="00CD3EC5" w:rsidRPr="003676D3">
        <w:rPr>
          <w:rFonts w:ascii="Times New Roman" w:eastAsia="Times New Roman" w:hAnsi="Times New Roman" w:cs="Times New Roman"/>
          <w:sz w:val="24"/>
          <w:szCs w:val="24"/>
          <w:lang w:eastAsia="en-GB"/>
        </w:rPr>
        <w:t xml:space="preserve">multi-faceted approach and </w:t>
      </w:r>
      <w:r w:rsidR="00C2295E" w:rsidRPr="003676D3">
        <w:rPr>
          <w:rFonts w:ascii="Times New Roman" w:eastAsia="Times New Roman" w:hAnsi="Times New Roman" w:cs="Times New Roman"/>
          <w:sz w:val="24"/>
          <w:szCs w:val="24"/>
          <w:lang w:eastAsia="en-GB"/>
        </w:rPr>
        <w:t>covers the possible opportunities as well as the problems which these technologies encounter in achieving better grid management, safety and strength. In this comprehensive approach, the research seeks to integrate all insights, helping to understand the current contemplation and possible outcomes of moving towards super smart grids in Europe, while reinforcing the importance of technology, regulatory and economy interdependencies.</w:t>
      </w:r>
    </w:p>
    <w:p w14:paraId="49D9588B" w14:textId="757FF393" w:rsidR="000B698A" w:rsidRPr="003676D3" w:rsidRDefault="000B698A" w:rsidP="003676D3">
      <w:pPr>
        <w:pStyle w:val="Heading1"/>
        <w:spacing w:line="276" w:lineRule="auto"/>
        <w:jc w:val="both"/>
      </w:pPr>
      <w:r w:rsidRPr="003676D3">
        <w:rPr>
          <w:sz w:val="28"/>
          <w:szCs w:val="28"/>
        </w:rPr>
        <w:t>References</w:t>
      </w:r>
    </w:p>
    <w:p w14:paraId="4D582851" w14:textId="06453956" w:rsidR="00C312C2" w:rsidRPr="003676D3" w:rsidRDefault="000B698A"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eastAsia="Times New Roman" w:hAnsi="Times New Roman" w:cs="Times New Roman"/>
          <w:sz w:val="24"/>
          <w:szCs w:val="24"/>
          <w:lang w:eastAsia="en-GB"/>
        </w:rPr>
        <w:fldChar w:fldCharType="begin" w:fldLock="1"/>
      </w:r>
      <w:r w:rsidRPr="003676D3">
        <w:rPr>
          <w:rFonts w:ascii="Times New Roman" w:eastAsia="Times New Roman" w:hAnsi="Times New Roman" w:cs="Times New Roman"/>
          <w:sz w:val="24"/>
          <w:szCs w:val="24"/>
          <w:lang w:eastAsia="en-GB"/>
        </w:rPr>
        <w:instrText xml:space="preserve">ADDIN Mendeley Bibliography CSL_BIBLIOGRAPHY </w:instrText>
      </w:r>
      <w:r w:rsidRPr="003676D3">
        <w:rPr>
          <w:rFonts w:ascii="Times New Roman" w:eastAsia="Times New Roman" w:hAnsi="Times New Roman" w:cs="Times New Roman"/>
          <w:sz w:val="24"/>
          <w:szCs w:val="24"/>
          <w:lang w:eastAsia="en-GB"/>
        </w:rPr>
        <w:fldChar w:fldCharType="separate"/>
      </w:r>
      <w:r w:rsidR="00C312C2" w:rsidRPr="003676D3">
        <w:rPr>
          <w:rFonts w:ascii="Times New Roman" w:hAnsi="Times New Roman" w:cs="Times New Roman"/>
          <w:noProof/>
          <w:sz w:val="20"/>
          <w:szCs w:val="24"/>
        </w:rPr>
        <w:t>[1]</w:t>
      </w:r>
      <w:r w:rsidR="00C312C2" w:rsidRPr="003676D3">
        <w:rPr>
          <w:rFonts w:ascii="Times New Roman" w:hAnsi="Times New Roman" w:cs="Times New Roman"/>
          <w:noProof/>
          <w:sz w:val="20"/>
          <w:szCs w:val="24"/>
        </w:rPr>
        <w:tab/>
        <w:t>Amin U, Hossain MJ, Tushar W, Mahmud K. Energy Trading in Local Electricity Market with Renewables - A Contract Theoretic Approach. IEEE Trans Ind Informatics 2021;17:3717–30. https://doi.org/10.1109/TII.2020.3018123.</w:t>
      </w:r>
    </w:p>
    <w:p w14:paraId="4A0F7B1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w:t>
      </w:r>
      <w:r w:rsidRPr="003676D3">
        <w:rPr>
          <w:rFonts w:ascii="Times New Roman" w:hAnsi="Times New Roman" w:cs="Times New Roman"/>
          <w:noProof/>
          <w:sz w:val="20"/>
          <w:szCs w:val="24"/>
        </w:rPr>
        <w:tab/>
        <w:t>Wilson C, Tyfield D. Critical perspectives on disruptive innovation and energy transformation. Energy Res Soc Sci 2018;37:211–5. https://doi.org/10.1016/J.ERSS.2017.10.032.</w:t>
      </w:r>
    </w:p>
    <w:p w14:paraId="4EF164F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w:t>
      </w:r>
      <w:r w:rsidRPr="003676D3">
        <w:rPr>
          <w:rFonts w:ascii="Times New Roman" w:hAnsi="Times New Roman" w:cs="Times New Roman"/>
          <w:noProof/>
          <w:sz w:val="20"/>
          <w:szCs w:val="24"/>
        </w:rPr>
        <w:tab/>
        <w:t>Sun S, Dong M, Liang B. Distributed Real-Time Power Balancing in Renewable-Integrated Power Grids With Storage and Flexible Loads. IEEE Trans Smart Grid 2016;7:2337–49. https://doi.org/10.1109/TSG.2015.2445794.</w:t>
      </w:r>
    </w:p>
    <w:p w14:paraId="1DBB222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w:t>
      </w:r>
      <w:r w:rsidRPr="003676D3">
        <w:rPr>
          <w:rFonts w:ascii="Times New Roman" w:hAnsi="Times New Roman" w:cs="Times New Roman"/>
          <w:noProof/>
          <w:sz w:val="20"/>
          <w:szCs w:val="24"/>
        </w:rPr>
        <w:tab/>
        <w:t>Bajaj M, Singh AK. Grid integrated renewable DG systems: A review of power quality challenges and state‐of‐the‐art mitigation techniques. Int J Energy Res 2020;44:26–69. https://doi.org/10.1002/ER.4847.</w:t>
      </w:r>
    </w:p>
    <w:p w14:paraId="2F195A5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lastRenderedPageBreak/>
        <w:t>[5]</w:t>
      </w:r>
      <w:r w:rsidRPr="003676D3">
        <w:rPr>
          <w:rFonts w:ascii="Times New Roman" w:hAnsi="Times New Roman" w:cs="Times New Roman"/>
          <w:noProof/>
          <w:sz w:val="20"/>
          <w:szCs w:val="24"/>
        </w:rPr>
        <w:tab/>
        <w:t>Xiaohu Z. Carbon Trading Based Low-Carbon Economic Dispatching for Power Grid Integrated With Wind Power System. Power Syst Technol 2013.</w:t>
      </w:r>
    </w:p>
    <w:p w14:paraId="7AAC0D0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w:t>
      </w:r>
      <w:r w:rsidRPr="003676D3">
        <w:rPr>
          <w:rFonts w:ascii="Times New Roman" w:hAnsi="Times New Roman" w:cs="Times New Roman"/>
          <w:noProof/>
          <w:sz w:val="20"/>
          <w:szCs w:val="24"/>
        </w:rPr>
        <w:tab/>
        <w:t>Gerbaulet C, Von Hirschhausen C, Kemfert C, Lorenz C, Gei PY. Scenarios for decarbonizing the European electricity sector. 2017 14th Int Conf Eur Energy Mark 2017. https://doi.org/10.1109/EEM.2017.7982017.</w:t>
      </w:r>
    </w:p>
    <w:p w14:paraId="357CB9A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w:t>
      </w:r>
      <w:r w:rsidRPr="003676D3">
        <w:rPr>
          <w:rFonts w:ascii="Times New Roman" w:hAnsi="Times New Roman" w:cs="Times New Roman"/>
          <w:noProof/>
          <w:sz w:val="20"/>
          <w:szCs w:val="24"/>
        </w:rPr>
        <w:tab/>
        <w:t>Zappa W, Junginger M, van den Broek M. Is a 100% renewable European power system feasible by 2050? Appl Energy 2019;233–234:1027–50. https://doi.org/10.1016/J.APENERGY.2018.08.109.</w:t>
      </w:r>
    </w:p>
    <w:p w14:paraId="0CEC370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w:t>
      </w:r>
      <w:r w:rsidRPr="003676D3">
        <w:rPr>
          <w:rFonts w:ascii="Times New Roman" w:hAnsi="Times New Roman" w:cs="Times New Roman"/>
          <w:noProof/>
          <w:sz w:val="20"/>
          <w:szCs w:val="24"/>
        </w:rPr>
        <w:tab/>
        <w:t>Nair NKC, Zhang L. SmartGrid: Future networks for New Zealand power systems incorporating distributed generation. Energy Policy 2009;37:3418–27. https://doi.org/10.1016/J.ENPOL.2009.03.025.</w:t>
      </w:r>
    </w:p>
    <w:p w14:paraId="5D07FA2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w:t>
      </w:r>
      <w:r w:rsidRPr="003676D3">
        <w:rPr>
          <w:rFonts w:ascii="Times New Roman" w:hAnsi="Times New Roman" w:cs="Times New Roman"/>
          <w:noProof/>
          <w:sz w:val="20"/>
          <w:szCs w:val="24"/>
        </w:rPr>
        <w:tab/>
        <w:t>Yiwe Z. Direction of Research and Innovation in the Development of European Power Grid. Power Syst Clean Energy 2014.</w:t>
      </w:r>
    </w:p>
    <w:p w14:paraId="1615B37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w:t>
      </w:r>
      <w:r w:rsidRPr="003676D3">
        <w:rPr>
          <w:rFonts w:ascii="Times New Roman" w:hAnsi="Times New Roman" w:cs="Times New Roman"/>
          <w:noProof/>
          <w:sz w:val="20"/>
          <w:szCs w:val="24"/>
        </w:rPr>
        <w:tab/>
        <w:t>Basit MA, Dilshad S, Badar R, Sami ur Rehman SM. Limitations, challenges, and solution approaches in grid‐connected renewable energy systems. Int J Energy Res 2020;44:4132–62. https://doi.org/10.1002/ER.5033.</w:t>
      </w:r>
    </w:p>
    <w:p w14:paraId="5992C6A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w:t>
      </w:r>
      <w:r w:rsidRPr="003676D3">
        <w:rPr>
          <w:rFonts w:ascii="Times New Roman" w:hAnsi="Times New Roman" w:cs="Times New Roman"/>
          <w:noProof/>
          <w:sz w:val="20"/>
          <w:szCs w:val="24"/>
        </w:rPr>
        <w:tab/>
        <w:t>Christopher AV, Rex S, Kumar.J A. Smart grid challenges and signal processing based solutions - A Literature survey. Int J Eng Trends Technol 2016;37:189–96. https://doi.org/10.14445/22315381/IJETT-V37P232.</w:t>
      </w:r>
    </w:p>
    <w:p w14:paraId="6EDAE5A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w:t>
      </w:r>
      <w:r w:rsidRPr="003676D3">
        <w:rPr>
          <w:rFonts w:ascii="Times New Roman" w:hAnsi="Times New Roman" w:cs="Times New Roman"/>
          <w:noProof/>
          <w:sz w:val="20"/>
          <w:szCs w:val="24"/>
        </w:rPr>
        <w:tab/>
        <w:t>Amani AM, Jalili M. Power Grids as Complex Networks: Resilience and Reliability Analysis. IEEE Access 2021;9:119010–31. https://doi.org/10.1109/ACCESS.2021.3107492.</w:t>
      </w:r>
    </w:p>
    <w:p w14:paraId="5EA834D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w:t>
      </w:r>
      <w:r w:rsidRPr="003676D3">
        <w:rPr>
          <w:rFonts w:ascii="Times New Roman" w:hAnsi="Times New Roman" w:cs="Times New Roman"/>
          <w:noProof/>
          <w:sz w:val="20"/>
          <w:szCs w:val="24"/>
        </w:rPr>
        <w:tab/>
        <w:t>Battaglini A, Komendantova N, Brtnik P, Patt A. Perception of barriers for expansion of electricity grids in the European Union. Energy Policy 2012;47:254–9. https://doi.org/10.1016/J.ENPOL.2012.04.065.</w:t>
      </w:r>
    </w:p>
    <w:p w14:paraId="760016E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w:t>
      </w:r>
      <w:r w:rsidRPr="003676D3">
        <w:rPr>
          <w:rFonts w:ascii="Times New Roman" w:hAnsi="Times New Roman" w:cs="Times New Roman"/>
          <w:noProof/>
          <w:sz w:val="20"/>
          <w:szCs w:val="24"/>
        </w:rPr>
        <w:tab/>
        <w:t>Kolokotsa D. The role of smart grids in the building sector. Energy Build 2016;116:703–8. https://doi.org/10.1016/J.ENBUILD.2015.12.033.</w:t>
      </w:r>
    </w:p>
    <w:p w14:paraId="7C7BDDA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w:t>
      </w:r>
      <w:r w:rsidRPr="003676D3">
        <w:rPr>
          <w:rFonts w:ascii="Times New Roman" w:hAnsi="Times New Roman" w:cs="Times New Roman"/>
          <w:noProof/>
          <w:sz w:val="20"/>
          <w:szCs w:val="24"/>
        </w:rPr>
        <w:tab/>
        <w:t>Salvadori F, Gehrke CS, De Oliveira AC, De Campos M, Sausen PS. Smart Grid Infrastructure Using a Hybrid Network Architecture. IEEE Trans Smart Grid 2013;4:1630–9. https://doi.org/10.1109/TSG.2013.2265264.</w:t>
      </w:r>
    </w:p>
    <w:p w14:paraId="36F451E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w:t>
      </w:r>
      <w:r w:rsidRPr="003676D3">
        <w:rPr>
          <w:rFonts w:ascii="Times New Roman" w:hAnsi="Times New Roman" w:cs="Times New Roman"/>
          <w:noProof/>
          <w:sz w:val="20"/>
          <w:szCs w:val="24"/>
        </w:rPr>
        <w:tab/>
        <w:t>Yu X, Xue Y. Smart Grids: A Cyber–Physical Systems Perspective. Proc IEEE 2016;104:1058–70. https://doi.org/10.1109/JPROC.2015.2503119.</w:t>
      </w:r>
    </w:p>
    <w:p w14:paraId="55F7B25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w:t>
      </w:r>
      <w:r w:rsidRPr="003676D3">
        <w:rPr>
          <w:rFonts w:ascii="Times New Roman" w:hAnsi="Times New Roman" w:cs="Times New Roman"/>
          <w:noProof/>
          <w:sz w:val="20"/>
          <w:szCs w:val="24"/>
        </w:rPr>
        <w:tab/>
        <w:t>Dileep G. A survey on smart grid technologies and applications. Renew Energy 2020;146:2589–625. https://doi.org/10.1016/J.RENENE.2019.08.092.</w:t>
      </w:r>
    </w:p>
    <w:p w14:paraId="1A82554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w:t>
      </w:r>
      <w:r w:rsidRPr="003676D3">
        <w:rPr>
          <w:rFonts w:ascii="Times New Roman" w:hAnsi="Times New Roman" w:cs="Times New Roman"/>
          <w:noProof/>
          <w:sz w:val="20"/>
          <w:szCs w:val="24"/>
        </w:rPr>
        <w:tab/>
        <w:t>Norouzi F, Hoppe T, Kamp LM, Manktelow C, Bauer P. Diagnosis of the implementation of smart grid innovation in The Netherlands and corrective actions. Renew Sustain Energy Rev 2023;175:113185. https://doi.org/10.1016/J.RSER.2023.113185.</w:t>
      </w:r>
    </w:p>
    <w:p w14:paraId="150E672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w:t>
      </w:r>
      <w:r w:rsidRPr="003676D3">
        <w:rPr>
          <w:rFonts w:ascii="Times New Roman" w:hAnsi="Times New Roman" w:cs="Times New Roman"/>
          <w:noProof/>
          <w:sz w:val="20"/>
          <w:szCs w:val="24"/>
        </w:rPr>
        <w:tab/>
        <w:t>Pereira GI, Specht JM, Silva PP, Madlener R. Technology, business model, and market design adaptation toward smart electricity distribution: Insights for policy making. Energy Policy 2018;121:426–40. https://doi.org/10.1016/j.enpol.2018.06.018.</w:t>
      </w:r>
    </w:p>
    <w:p w14:paraId="6498EFC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w:t>
      </w:r>
      <w:r w:rsidRPr="003676D3">
        <w:rPr>
          <w:rFonts w:ascii="Times New Roman" w:hAnsi="Times New Roman" w:cs="Times New Roman"/>
          <w:noProof/>
          <w:sz w:val="20"/>
          <w:szCs w:val="24"/>
        </w:rPr>
        <w:tab/>
        <w:t>Shomali A, Pinkse J. The consequences of smart grids for the business model of electricity firms. J Clean Prod 2016;112:3830–41. https://doi.org/10.1016/J.JCLEPRO.2015.07.078.</w:t>
      </w:r>
    </w:p>
    <w:p w14:paraId="5A339B9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w:t>
      </w:r>
      <w:r w:rsidRPr="003676D3">
        <w:rPr>
          <w:rFonts w:ascii="Times New Roman" w:hAnsi="Times New Roman" w:cs="Times New Roman"/>
          <w:noProof/>
          <w:sz w:val="20"/>
          <w:szCs w:val="24"/>
        </w:rPr>
        <w:tab/>
        <w:t>Gui EM, Diesendorf M, MacGill I. Distributed energy infrastructure paradigm: Community microgrids in a new institutional economics context. Renew Sustain Energy Rev 2017;72:1355–65. https://doi.org/10.1016/j.rser.2016.10.047.</w:t>
      </w:r>
    </w:p>
    <w:p w14:paraId="08E55BE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w:t>
      </w:r>
      <w:r w:rsidRPr="003676D3">
        <w:rPr>
          <w:rFonts w:ascii="Times New Roman" w:hAnsi="Times New Roman" w:cs="Times New Roman"/>
          <w:noProof/>
          <w:sz w:val="20"/>
          <w:szCs w:val="24"/>
        </w:rPr>
        <w:tab/>
        <w:t>Lindberg MB, Markard J, Andersen AD. Policies, actors and sustainability transition pathways: A study of the EU’s energy policy mix. Res Policy 2019;48:103668. https://doi.org/10.1016/J.RESPOL.2018.09.003.</w:t>
      </w:r>
    </w:p>
    <w:p w14:paraId="6202A70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[23]</w:t>
      </w:r>
      <w:r w:rsidRPr="003676D3">
        <w:rPr>
          <w:rFonts w:ascii="Times New Roman" w:hAnsi="Times New Roman" w:cs="Times New Roman"/>
          <w:noProof/>
          <w:sz w:val="20"/>
          <w:szCs w:val="24"/>
        </w:rPr>
        <w:tab/>
        <w:t xml:space="preserve">Panda DK, Das S. Smart grid architecture model for control, optimization and data analytics of future power networks with more renewable energy. J Clean Prod 2021;301:126877. </w:t>
      </w:r>
      <w:r w:rsidRPr="003676D3">
        <w:rPr>
          <w:rFonts w:ascii="Times New Roman" w:hAnsi="Times New Roman" w:cs="Times New Roman"/>
          <w:noProof/>
          <w:sz w:val="20"/>
          <w:szCs w:val="24"/>
        </w:rPr>
        <w:lastRenderedPageBreak/>
        <w:t>https://doi.org/10.1016/J.JCLEPRO.2021.126877.</w:t>
      </w:r>
    </w:p>
    <w:p w14:paraId="1ACE545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[24]</w:t>
      </w:r>
      <w:r w:rsidRPr="003676D3">
        <w:rPr>
          <w:rFonts w:ascii="Times New Roman" w:hAnsi="Times New Roman" w:cs="Times New Roman"/>
          <w:noProof/>
          <w:sz w:val="20"/>
          <w:szCs w:val="24"/>
        </w:rPr>
        <w:tab/>
        <w:t>Bhattacharya S, Chengoden R, Srivastava G, Alazab M, Javed AR, Victor N, et al. Incentive Mechanisms for Smart Grid: State of the Art, Challenges, Open Issues, Future Directions. Big Data Cogn Comput 2022, Vol 6, Page 47 2022;6:47. https://doi.org/10.3390/BDCC6020047.</w:t>
      </w:r>
    </w:p>
    <w:p w14:paraId="788577A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[25]</w:t>
      </w:r>
      <w:r w:rsidRPr="003676D3">
        <w:rPr>
          <w:rFonts w:ascii="Times New Roman" w:hAnsi="Times New Roman" w:cs="Times New Roman"/>
          <w:noProof/>
          <w:sz w:val="20"/>
          <w:szCs w:val="24"/>
        </w:rPr>
        <w:tab/>
        <w:t>Yaqoob I, Salah K, Jayaraman R, Omar M. Metaverse applications in smart cities: Enabling technologies, opportunities, challenges, and future directions. Internet of Things 2023;23:100884. https://doi.org/10.1016/J.IOT.2023.100884.</w:t>
      </w:r>
    </w:p>
    <w:p w14:paraId="334CEFE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[26]</w:t>
      </w:r>
      <w:r w:rsidRPr="003676D3">
        <w:rPr>
          <w:rFonts w:ascii="Times New Roman" w:hAnsi="Times New Roman" w:cs="Times New Roman"/>
          <w:noProof/>
          <w:sz w:val="20"/>
          <w:szCs w:val="24"/>
        </w:rPr>
        <w:tab/>
        <w:t>Majeed Butt O, Zulqarnain M, Majeed Butt T. Recent advancement in smart grid technology: Future prospects in the electrical power network. Ain Shams Eng J 2021;12:687–95. https://doi.org/10.1016/J.ASEJ.2020.05.004.</w:t>
      </w:r>
    </w:p>
    <w:p w14:paraId="299D4D6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[27]</w:t>
      </w:r>
      <w:r w:rsidRPr="003676D3">
        <w:rPr>
          <w:rFonts w:ascii="Times New Roman" w:hAnsi="Times New Roman" w:cs="Times New Roman"/>
          <w:noProof/>
          <w:sz w:val="20"/>
          <w:szCs w:val="24"/>
        </w:rPr>
        <w:tab/>
        <w:t>Zia MF, Benbouzid M, Elbouchikhi E, Muyeen SM, Techato K, Guerrero JM. Microgrid transactive energy: Review, architectures, distributed ledger technologies, and market analysis. IEEE Access 2020;8:19410–32. https://doi.org/10.1109/ACCESS.2020.2968402.</w:t>
      </w:r>
    </w:p>
    <w:p w14:paraId="12AF87B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[28]</w:t>
      </w:r>
      <w:r w:rsidRPr="003676D3">
        <w:rPr>
          <w:rFonts w:ascii="Times New Roman" w:hAnsi="Times New Roman" w:cs="Times New Roman"/>
          <w:noProof/>
          <w:sz w:val="20"/>
          <w:szCs w:val="24"/>
        </w:rPr>
        <w:tab/>
        <w:t>Adnan M, Ghadi Y, Ahmed I, Ali M. Transmission Network Planning in Super Smart Grids: A Survey. IEEE Access 2023;11:77163–227. https://doi.org/10.1109/ACCESS.2023.3296152.</w:t>
      </w:r>
    </w:p>
    <w:p w14:paraId="72F657C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[29]</w:t>
      </w:r>
      <w:r w:rsidRPr="003676D3">
        <w:rPr>
          <w:rFonts w:ascii="Times New Roman" w:hAnsi="Times New Roman" w:cs="Times New Roman"/>
          <w:noProof/>
          <w:sz w:val="20"/>
          <w:szCs w:val="24"/>
        </w:rPr>
        <w:tab/>
        <w:t>The European Green Deal - European Commission n.d. https://commission.europa.eu/strategy-and-policy/priorities-2019-2024/european-green-deal_en (accessed May 26, 2024).</w:t>
      </w:r>
    </w:p>
    <w:p w14:paraId="6F91BD5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[30]</w:t>
      </w:r>
      <w:r w:rsidRPr="003676D3">
        <w:rPr>
          <w:rFonts w:ascii="Times New Roman" w:hAnsi="Times New Roman" w:cs="Times New Roman"/>
          <w:noProof/>
          <w:sz w:val="20"/>
          <w:szCs w:val="24"/>
        </w:rPr>
        <w:tab/>
        <w:t>An EU Wind Power Action Plan to keep wind power a European success story - European Commission n.d. https://commission.europa.eu/news/eu-wind-power-action-plan-keep-wind-power-european-success-story-2023-10-24_en (accessed May 26, 2024).</w:t>
      </w:r>
    </w:p>
    <w:p w14:paraId="451982D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[31]</w:t>
      </w:r>
      <w:r w:rsidRPr="003676D3">
        <w:rPr>
          <w:rFonts w:ascii="Times New Roman" w:hAnsi="Times New Roman" w:cs="Times New Roman"/>
          <w:noProof/>
          <w:sz w:val="20"/>
          <w:szCs w:val="24"/>
        </w:rPr>
        <w:tab/>
        <w:t>Vela Almeida D, Kolinjivadi V, Ferrando T, Roy B, Herrera H, Vecchione Gonçalves M, et al. The “Greening” of Empire: The European Green Deal as the EU first agenda. Polit Geogr 2023;105:102925. https://doi.org/10.1016/J.POLGEO.2023.102925.</w:t>
      </w:r>
    </w:p>
    <w:p w14:paraId="7EBDD3B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[32]</w:t>
      </w:r>
      <w:r w:rsidRPr="003676D3">
        <w:rPr>
          <w:rFonts w:ascii="Times New Roman" w:hAnsi="Times New Roman" w:cs="Times New Roman"/>
          <w:noProof/>
          <w:sz w:val="20"/>
          <w:szCs w:val="24"/>
        </w:rPr>
        <w:tab/>
        <w:t>ENTSO-E’s Recommendations for the Announced EU Grid Action Plan n.d. https://www.entsoe.eu/news/2023/11/16/entso-es-recommendations-for-the-announced-eu-grid-action-plan/ (accessed May 26, 2024).</w:t>
      </w:r>
    </w:p>
    <w:p w14:paraId="536FEA3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[33]</w:t>
      </w:r>
      <w:r w:rsidRPr="003676D3">
        <w:rPr>
          <w:rFonts w:ascii="Times New Roman" w:hAnsi="Times New Roman" w:cs="Times New Roman"/>
          <w:noProof/>
          <w:sz w:val="20"/>
          <w:szCs w:val="24"/>
        </w:rPr>
        <w:tab/>
        <w:t>Boie I, Fernandes C, Frías P, Klobasa M. Efficient strategies for the integration of renewable energy into future energy infrastructures in Europe – An analysis based on transnational modeling and case studies for nine European regions. Energy Policy 2014;67:170–85. https://doi.org/10.1016/J.ENPOL.2013.11.014.</w:t>
      </w:r>
    </w:p>
    <w:p w14:paraId="077A59E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[34]</w:t>
      </w:r>
      <w:r w:rsidRPr="003676D3">
        <w:rPr>
          <w:rFonts w:ascii="Times New Roman" w:hAnsi="Times New Roman" w:cs="Times New Roman"/>
          <w:noProof/>
          <w:sz w:val="20"/>
          <w:szCs w:val="24"/>
        </w:rPr>
        <w:tab/>
        <w:t>European Comission. Questions and Answers on the EU Action Plan for Grids. 2023.</w:t>
      </w:r>
    </w:p>
    <w:p w14:paraId="7BD8367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[35]</w:t>
      </w:r>
      <w:r w:rsidRPr="003676D3">
        <w:rPr>
          <w:rFonts w:ascii="Times New Roman" w:hAnsi="Times New Roman" w:cs="Times New Roman"/>
          <w:noProof/>
          <w:sz w:val="20"/>
          <w:szCs w:val="24"/>
        </w:rPr>
        <w:tab/>
        <w:t>Commission E. Actions to accelerate the roll-out of electricity grids. 2023.</w:t>
      </w:r>
    </w:p>
    <w:p w14:paraId="30AEE9A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[36]</w:t>
      </w:r>
      <w:r w:rsidRPr="003676D3">
        <w:rPr>
          <w:rFonts w:ascii="Times New Roman" w:hAnsi="Times New Roman" w:cs="Times New Roman"/>
          <w:noProof/>
          <w:sz w:val="20"/>
          <w:szCs w:val="24"/>
        </w:rPr>
        <w:tab/>
        <w:t>Immediate actions for the European wind power industry n.d. https://ec.europa.eu/commission/presscorner/detail/e%2Bn/ip_23_5185 (accessed May 26, 2024).</w:t>
      </w:r>
    </w:p>
    <w:p w14:paraId="41472EF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[37]</w:t>
      </w:r>
      <w:r w:rsidRPr="003676D3">
        <w:rPr>
          <w:rFonts w:ascii="Times New Roman" w:hAnsi="Times New Roman" w:cs="Times New Roman"/>
          <w:noProof/>
          <w:sz w:val="20"/>
          <w:szCs w:val="24"/>
        </w:rPr>
        <w:tab/>
        <w:t>EU Commission announces electricity grid action plan | Reuters n.d. https://www.reuters.com/business/energy/eu-commission-announces-electricity-grid-action-plan-2023-11-28/ (accessed May 31, 2024).</w:t>
      </w:r>
    </w:p>
    <w:p w14:paraId="62E2B95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[38]</w:t>
      </w:r>
      <w:r w:rsidRPr="003676D3">
        <w:rPr>
          <w:rFonts w:ascii="Times New Roman" w:hAnsi="Times New Roman" w:cs="Times New Roman"/>
          <w:noProof/>
          <w:sz w:val="20"/>
          <w:szCs w:val="24"/>
        </w:rPr>
        <w:tab/>
        <w:t>EU Grid Action Plan will help renewables, but urgent action needed on excessive connection queues | WindEurope n.d. https://windeurope.org/newsroom/press-releases/eu-grid-action-plan-will-help-renewables-but-urgent-action-needed-on-excessive-connection-queues/ (accessed May 31, 2024).</w:t>
      </w:r>
    </w:p>
    <w:p w14:paraId="2EEDFEA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[39]</w:t>
      </w:r>
      <w:r w:rsidRPr="003676D3">
        <w:rPr>
          <w:rFonts w:ascii="Times New Roman" w:hAnsi="Times New Roman" w:cs="Times New Roman"/>
          <w:noProof/>
          <w:sz w:val="20"/>
          <w:szCs w:val="24"/>
        </w:rPr>
        <w:tab/>
        <w:t>Child M, Kemfert C, Bogdanov D, Breyer C. Flexible electricity generation, grid exchange and storage for the transition to a 100% renewable energy system in Europe. Renew Energy 2019;139:80–101. https://doi.org/10.1016/J.RENENE.2019.02.077.</w:t>
      </w:r>
    </w:p>
    <w:p w14:paraId="7B4E11C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[40]</w:t>
      </w:r>
      <w:r w:rsidRPr="003676D3">
        <w:rPr>
          <w:rFonts w:ascii="Times New Roman" w:hAnsi="Times New Roman" w:cs="Times New Roman"/>
          <w:noProof/>
          <w:sz w:val="20"/>
          <w:szCs w:val="24"/>
        </w:rPr>
        <w:tab/>
        <w:t>Agrell PJ, Bogetoft P, Mikkers M. Smart-grid Investments, Regulation and Organization. Energy Policy 2013;52:656–66. https://doi.org/10.1016/J.ENPOL.2012.10.026.</w:t>
      </w:r>
    </w:p>
    <w:p w14:paraId="7D0D987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[41]</w:t>
      </w:r>
      <w:r w:rsidRPr="003676D3">
        <w:rPr>
          <w:rFonts w:ascii="Times New Roman" w:hAnsi="Times New Roman" w:cs="Times New Roman"/>
          <w:noProof/>
          <w:sz w:val="20"/>
          <w:szCs w:val="24"/>
        </w:rPr>
        <w:tab/>
        <w:t xml:space="preserve">Shaukat N, Ali SM, Mehmood CA, Khan B, Jawad M, Farid U, et al. A survey on consumers </w:t>
      </w:r>
      <w:r w:rsidRPr="003676D3">
        <w:rPr>
          <w:rFonts w:ascii="Times New Roman" w:hAnsi="Times New Roman" w:cs="Times New Roman"/>
          <w:noProof/>
          <w:sz w:val="20"/>
          <w:szCs w:val="24"/>
        </w:rPr>
        <w:lastRenderedPageBreak/>
        <w:t>empowerment, communication technologies, and renewable generation penetration within Smart Grid. Renew Sustain Energy Rev 2018;81:1453–75. https://doi.org/10.1016/J.RSER.2017.05.208.</w:t>
      </w:r>
    </w:p>
    <w:p w14:paraId="0DA034C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[42]</w:t>
      </w:r>
      <w:r w:rsidRPr="003676D3">
        <w:rPr>
          <w:rFonts w:ascii="Times New Roman" w:hAnsi="Times New Roman" w:cs="Times New Roman"/>
          <w:noProof/>
          <w:sz w:val="20"/>
          <w:szCs w:val="24"/>
        </w:rPr>
        <w:tab/>
        <w:t>Salkuti SR. Challenges, issues and opportunities for the development of smart grid. Int J Electr Comput Eng 2020;10:1179–86. https://doi.org/10.11591/IJECE.V10I2.PP1179-1186.</w:t>
      </w:r>
    </w:p>
    <w:p w14:paraId="56166F4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[43]</w:t>
      </w:r>
      <w:r w:rsidRPr="003676D3">
        <w:rPr>
          <w:rFonts w:ascii="Times New Roman" w:hAnsi="Times New Roman" w:cs="Times New Roman"/>
          <w:noProof/>
          <w:sz w:val="20"/>
          <w:szCs w:val="24"/>
        </w:rPr>
        <w:tab/>
        <w:t>González LP, Fensel A, Berbís JMG, Popa A, Seco A de A. A Survey on Energy Efficiency in Smart Homes and Smart Grids. Energies 2021;14. https://doi.org/10.3390/EN14217273.</w:t>
      </w:r>
    </w:p>
    <w:p w14:paraId="35B778E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[44]</w:t>
      </w:r>
      <w:r w:rsidRPr="003676D3">
        <w:rPr>
          <w:rFonts w:ascii="Times New Roman" w:hAnsi="Times New Roman" w:cs="Times New Roman"/>
          <w:noProof/>
          <w:sz w:val="20"/>
          <w:szCs w:val="24"/>
        </w:rPr>
        <w:tab/>
        <w:t>Ponce-Jara MA, Ruiz E, Gil R, Sancristóbal E, Pérez-Molina C, Castro M. Smart Grid: Assessment of the past and present in developed and developing countries. Energy Strateg Rev 2017;18:38–52. https://doi.org/10.1016/J.ESR.2017.09.011.</w:t>
      </w:r>
    </w:p>
    <w:p w14:paraId="5AA59FF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[45]</w:t>
      </w:r>
      <w:r w:rsidRPr="003676D3">
        <w:rPr>
          <w:rFonts w:ascii="Times New Roman" w:hAnsi="Times New Roman" w:cs="Times New Roman"/>
          <w:noProof/>
          <w:sz w:val="20"/>
          <w:szCs w:val="24"/>
        </w:rPr>
        <w:tab/>
        <w:t>IqtiyaniIlham N, Hasanuzzaman M, Hosenuzzaman M. European smart grid prospects, policies, and challenges. Renew Sustain Energy Rev 2017;67:776–90. https://doi.org/10.1016/J.RSER.2016.09.014.</w:t>
      </w:r>
    </w:p>
    <w:p w14:paraId="1EF6981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[46]</w:t>
      </w:r>
      <w:r w:rsidRPr="003676D3">
        <w:rPr>
          <w:rFonts w:ascii="Times New Roman" w:hAnsi="Times New Roman" w:cs="Times New Roman"/>
          <w:noProof/>
          <w:sz w:val="20"/>
          <w:szCs w:val="24"/>
        </w:rPr>
        <w:tab/>
        <w:t>Union PO of the E. European SmartGrids Technology Platform : vision and strategy for Europe’s electricity networks of the future. 2006.</w:t>
      </w:r>
    </w:p>
    <w:p w14:paraId="7536015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[47]</w:t>
      </w:r>
      <w:r w:rsidRPr="003676D3">
        <w:rPr>
          <w:rFonts w:ascii="Times New Roman" w:hAnsi="Times New Roman" w:cs="Times New Roman"/>
          <w:noProof/>
          <w:sz w:val="20"/>
          <w:szCs w:val="24"/>
        </w:rPr>
        <w:tab/>
        <w:t>Vigurs C, Maidment C, Fell M, Shipworth D. Customer Privacy Concerns as a Barrier to Sharing Data about Energy Use in Smart Local Energy Systems: A Rapid Realist Review. Energies 2021;14. https://doi.org/10.3390/EN14051285.</w:t>
      </w:r>
    </w:p>
    <w:p w14:paraId="33DDABD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[48]</w:t>
      </w:r>
      <w:r w:rsidRPr="003676D3">
        <w:rPr>
          <w:rFonts w:ascii="Times New Roman" w:hAnsi="Times New Roman" w:cs="Times New Roman"/>
          <w:noProof/>
          <w:sz w:val="20"/>
          <w:szCs w:val="24"/>
        </w:rPr>
        <w:tab/>
        <w:t>Mrabet Z El, Kaabouch N, Ghazi H El, Ghazi H El. Cyber-security in smart grid: Survey and challenges. ArXiv 2018;abs/1809.02609:469–82. https://doi.org/10.1016/J.COMPELECENG.2018.01.015.</w:t>
      </w:r>
    </w:p>
    <w:p w14:paraId="5A17078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[49]</w:t>
      </w:r>
      <w:r w:rsidRPr="003676D3">
        <w:rPr>
          <w:rFonts w:ascii="Times New Roman" w:hAnsi="Times New Roman" w:cs="Times New Roman"/>
          <w:noProof/>
          <w:sz w:val="20"/>
          <w:szCs w:val="24"/>
        </w:rPr>
        <w:tab/>
        <w:t>Ardito L, Procaccianti G, Menga G, Morisio M. Smart Grid Technologies in Europe: An Overview. Energies 2013, Vol 6, Pages 251-281 2013;6:251–81. https://doi.org/10.3390/EN6010251.</w:t>
      </w:r>
    </w:p>
    <w:p w14:paraId="4089133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[50]</w:t>
      </w:r>
      <w:r w:rsidRPr="003676D3">
        <w:rPr>
          <w:rFonts w:ascii="Times New Roman" w:hAnsi="Times New Roman" w:cs="Times New Roman"/>
          <w:noProof/>
          <w:sz w:val="20"/>
          <w:szCs w:val="24"/>
        </w:rPr>
        <w:tab/>
        <w:t>Rodríguez RA, Becker S, Andresen GB, Heide D, Greiner M. Transmission needs across a fully renewable European power system. Renew Energy 2014;63:467–76. https://doi.org/10.1016/J.RENENE.2013.10.005.</w:t>
      </w:r>
    </w:p>
    <w:p w14:paraId="65B24BB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[51]</w:t>
      </w:r>
      <w:r w:rsidRPr="003676D3">
        <w:rPr>
          <w:rFonts w:ascii="Times New Roman" w:hAnsi="Times New Roman" w:cs="Times New Roman"/>
          <w:noProof/>
          <w:sz w:val="20"/>
          <w:szCs w:val="24"/>
        </w:rPr>
        <w:tab/>
        <w:t>Smart Grids and Supergrids. Lect Notes Energy 2013;3:335–52. https://doi.org/10.1007/978-1-4471-4385-7_16.</w:t>
      </w:r>
    </w:p>
    <w:p w14:paraId="0410850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[52]</w:t>
      </w:r>
      <w:r w:rsidRPr="003676D3">
        <w:rPr>
          <w:rFonts w:ascii="Times New Roman" w:hAnsi="Times New Roman" w:cs="Times New Roman"/>
          <w:noProof/>
          <w:sz w:val="20"/>
          <w:szCs w:val="24"/>
        </w:rPr>
        <w:tab/>
        <w:t>Ohanu CP, Rufai SA, Oluchi UC. A comprehensive review of recent developments in smart grid through renewable energy resources integration. Heliyon 2024;10. https://doi.org/10.1016/j.heliyon.2024.e25705.</w:t>
      </w:r>
    </w:p>
    <w:p w14:paraId="08CD131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[53]</w:t>
      </w:r>
      <w:r w:rsidRPr="003676D3">
        <w:rPr>
          <w:rFonts w:ascii="Times New Roman" w:hAnsi="Times New Roman" w:cs="Times New Roman"/>
          <w:noProof/>
          <w:sz w:val="20"/>
          <w:szCs w:val="24"/>
        </w:rPr>
        <w:tab/>
        <w:t>Kataray T, Nitesh B, Yarram B, Sinha S, Cuce E, Shaik S, et al. Integration of smart grid with renewable energy sources: Opportunities and challenges – A comprehensive review. Sustain Energy Technol Assessments 2023;58. https://doi.org/10.1016/j.seta.2023.103363.</w:t>
      </w:r>
    </w:p>
    <w:p w14:paraId="3E61811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[54]</w:t>
      </w:r>
      <w:r w:rsidRPr="003676D3">
        <w:rPr>
          <w:rFonts w:ascii="Times New Roman" w:hAnsi="Times New Roman" w:cs="Times New Roman"/>
          <w:noProof/>
          <w:sz w:val="20"/>
          <w:szCs w:val="24"/>
        </w:rPr>
        <w:tab/>
        <w:t>Babatunde OM, Munda JL, Hamam Y. Power system flexibility: A review. Energy Reports 2020;6:101–6. https://doi.org/10.1016/J.EGYR.2019.11.048.</w:t>
      </w:r>
    </w:p>
    <w:p w14:paraId="3DA22A3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[55]</w:t>
      </w:r>
      <w:r w:rsidRPr="003676D3">
        <w:rPr>
          <w:rFonts w:ascii="Times New Roman" w:hAnsi="Times New Roman" w:cs="Times New Roman"/>
          <w:noProof/>
          <w:sz w:val="20"/>
          <w:szCs w:val="24"/>
        </w:rPr>
        <w:tab/>
        <w:t>Ghorbani MJ, Choudhry MA, Feliachi A. A multiagent design for power distribution systems automation. IEEE Trans Smart Grid 2015;7:329–39.</w:t>
      </w:r>
    </w:p>
    <w:p w14:paraId="113B730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[56]</w:t>
      </w:r>
      <w:r w:rsidRPr="003676D3">
        <w:rPr>
          <w:rFonts w:ascii="Times New Roman" w:hAnsi="Times New Roman" w:cs="Times New Roman"/>
          <w:noProof/>
          <w:sz w:val="20"/>
          <w:szCs w:val="24"/>
        </w:rPr>
        <w:tab/>
        <w:t>Yu C, Zhang M, Ren F, Tan G. Multiagent learning of coordination in loosely coupled multiagent systems. IEEE Trans Cybern 2015;45:2853–67.</w:t>
      </w:r>
    </w:p>
    <w:p w14:paraId="30B8999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[57]</w:t>
      </w:r>
      <w:r w:rsidRPr="003676D3">
        <w:rPr>
          <w:rFonts w:ascii="Times New Roman" w:hAnsi="Times New Roman" w:cs="Times New Roman"/>
          <w:noProof/>
          <w:sz w:val="20"/>
          <w:szCs w:val="24"/>
        </w:rPr>
        <w:tab/>
        <w:t>Kalyaev IA, Dyachenko AA, Usachev LZ, Kapustyan SG. Multiagent Management of Smart Internet Production. 2018 Glob. Smart Ind. Conf., IEEE; 2018, p. 1–8.</w:t>
      </w:r>
    </w:p>
    <w:p w14:paraId="34E97C6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[58]</w:t>
      </w:r>
      <w:r w:rsidRPr="003676D3">
        <w:rPr>
          <w:rFonts w:ascii="Times New Roman" w:hAnsi="Times New Roman" w:cs="Times New Roman"/>
          <w:noProof/>
          <w:sz w:val="20"/>
          <w:szCs w:val="24"/>
        </w:rPr>
        <w:tab/>
        <w:t>Li C, Savaghebi M, Vasquez JC, Guerrero JM. Multiagent based distributed control for operation cost minimization of droop controlled AC microgrid using incremental cost consensus. 2015 17th Eur. Conf. Power Electron. Appl. (EPE’15 ECCE-Europe), IEEE; 2015, p. 1–9.</w:t>
      </w:r>
    </w:p>
    <w:p w14:paraId="7C56D5A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[59]</w:t>
      </w:r>
      <w:r w:rsidRPr="003676D3">
        <w:rPr>
          <w:rFonts w:ascii="Times New Roman" w:hAnsi="Times New Roman" w:cs="Times New Roman"/>
          <w:noProof/>
          <w:sz w:val="20"/>
          <w:szCs w:val="24"/>
        </w:rPr>
        <w:tab/>
        <w:t>Wang Y, Ai X, Tan Z, Yan L, Liu S. Interactive dispatch modes and bidding strategy of multiple virtual power plants based on demand response and game theory. IEEE Trans Smart Grid 2015;7:510–9.</w:t>
      </w:r>
    </w:p>
    <w:p w14:paraId="2A5078F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[60]</w:t>
      </w:r>
      <w:r w:rsidRPr="003676D3">
        <w:rPr>
          <w:rFonts w:ascii="Times New Roman" w:hAnsi="Times New Roman" w:cs="Times New Roman"/>
          <w:noProof/>
          <w:sz w:val="20"/>
          <w:szCs w:val="24"/>
        </w:rPr>
        <w:tab/>
        <w:t>Nagata T, Okamoto K. Electric power interchange between micro-grids by using multi-agent approach. 2014 IEEE Int. Conf. Autom. Sci. Eng., IEEE; 2014, p. 50–5.</w:t>
      </w:r>
    </w:p>
    <w:p w14:paraId="6C3E304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lastRenderedPageBreak/>
        <w:t>[61]</w:t>
      </w:r>
      <w:r w:rsidRPr="003676D3">
        <w:rPr>
          <w:rFonts w:ascii="Times New Roman" w:hAnsi="Times New Roman" w:cs="Times New Roman"/>
          <w:noProof/>
          <w:sz w:val="20"/>
          <w:szCs w:val="24"/>
        </w:rPr>
        <w:tab/>
        <w:t>Hernández L, Baladron C, Aguiar JM, Carro B, Sanchez-Esguevillas A, Lloret J, et al. A multi-agent system architecture for smart grid management and forecasting of energy demand in virtual power plants. IEEE Commun Mag 2013;51:106–13.</w:t>
      </w:r>
    </w:p>
    <w:p w14:paraId="28CF716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[62]</w:t>
      </w:r>
      <w:r w:rsidRPr="003676D3">
        <w:rPr>
          <w:rFonts w:ascii="Times New Roman" w:hAnsi="Times New Roman" w:cs="Times New Roman"/>
          <w:noProof/>
          <w:sz w:val="20"/>
          <w:szCs w:val="24"/>
        </w:rPr>
        <w:tab/>
        <w:t>Esfahani MM, Hariri A, Mohammed OA. A multiagent-based game-theoretic and optimization approach for market operation of multimicrogrid systems. IEEE Trans Ind Informatics 2018;15:280–92.</w:t>
      </w:r>
    </w:p>
    <w:p w14:paraId="393F6E3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[63]</w:t>
      </w:r>
      <w:r w:rsidRPr="003676D3">
        <w:rPr>
          <w:rFonts w:ascii="Times New Roman" w:hAnsi="Times New Roman" w:cs="Times New Roman"/>
          <w:noProof/>
          <w:sz w:val="20"/>
          <w:szCs w:val="24"/>
        </w:rPr>
        <w:tab/>
        <w:t>Samadi P, Mohsenian-Rad A-H, Schober R, Wong VWS, Jatskevich J. Optimal real-time pricing algorithm based on utility maximization for smart grid. IeeexploreIeeeOrgP Samadi, AH Mohsenian-Rad, R Schober, VWS Wong, J Jatskevich2010 First IEEE Int Conf Smart Grid Commun 2010•ieeexploreIeeeOrg n.d.</w:t>
      </w:r>
    </w:p>
    <w:p w14:paraId="5173107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[64]</w:t>
      </w:r>
      <w:r w:rsidRPr="003676D3">
        <w:rPr>
          <w:rFonts w:ascii="Times New Roman" w:hAnsi="Times New Roman" w:cs="Times New Roman"/>
          <w:noProof/>
          <w:sz w:val="20"/>
          <w:szCs w:val="24"/>
        </w:rPr>
        <w:tab/>
        <w:t>Peik-Herfeh M, Seifi H, Sheikh-El-Eslami MK. Decision making of a virtual power plant under uncertainties for bidding in a day-ahead market using point estimate method. Int J Electr Power Energy Syst 2013;44:88–98.</w:t>
      </w:r>
    </w:p>
    <w:p w14:paraId="464C583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[65]</w:t>
      </w:r>
      <w:r w:rsidRPr="003676D3">
        <w:rPr>
          <w:rFonts w:ascii="Times New Roman" w:hAnsi="Times New Roman" w:cs="Times New Roman"/>
          <w:noProof/>
          <w:sz w:val="20"/>
          <w:szCs w:val="24"/>
        </w:rPr>
        <w:tab/>
        <w:t>Adhikaree A, Makani H, Yun J, Qiao W, Kim T. Internet of Things-enabled multiagent system for residential DC microgrids. 2017 IEEE Int. Conf. Electro Inf. Technol., IEEE; 2017, p. 100–4.</w:t>
      </w:r>
    </w:p>
    <w:p w14:paraId="79E0F06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[66]</w:t>
      </w:r>
      <w:r w:rsidRPr="003676D3">
        <w:rPr>
          <w:rFonts w:ascii="Times New Roman" w:hAnsi="Times New Roman" w:cs="Times New Roman"/>
          <w:noProof/>
          <w:sz w:val="20"/>
          <w:szCs w:val="24"/>
        </w:rPr>
        <w:tab/>
        <w:t>Elmitwally A, Elsaid M, Elgamal M, Chen Z. A fuzzy-multiagent service restoration scheme for distribution system with distributed generation. IEEE Trans Sustain Energy 2015;6:810–21.</w:t>
      </w:r>
    </w:p>
    <w:p w14:paraId="4574532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[67]</w:t>
      </w:r>
      <w:r w:rsidRPr="003676D3">
        <w:rPr>
          <w:rFonts w:ascii="Times New Roman" w:hAnsi="Times New Roman" w:cs="Times New Roman"/>
          <w:noProof/>
          <w:sz w:val="20"/>
          <w:szCs w:val="24"/>
        </w:rPr>
        <w:tab/>
        <w:t>Amina M, Kodogiannis VS. Load forecasting using fuzzy wavelet neural networks. IEEE Int Conf Fuzzy Syst 2011:1033–40. https://doi.org/10.1109/FUZZY.2011.6007492.</w:t>
      </w:r>
    </w:p>
    <w:p w14:paraId="1AA6B2A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[68]</w:t>
      </w:r>
      <w:r w:rsidRPr="003676D3">
        <w:rPr>
          <w:rFonts w:ascii="Times New Roman" w:hAnsi="Times New Roman" w:cs="Times New Roman"/>
          <w:noProof/>
          <w:sz w:val="20"/>
          <w:szCs w:val="24"/>
        </w:rPr>
        <w:tab/>
        <w:t>Motamedi A, Zareipour H, Rosehart WD. Electricity price and demand forecasting in smart grids. IEEE Trans Smart Grid 2012;3:664–74. https://doi.org/10.1109/TSG.2011.2171046.</w:t>
      </w:r>
    </w:p>
    <w:p w14:paraId="0820359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[69]</w:t>
      </w:r>
      <w:r w:rsidRPr="003676D3">
        <w:rPr>
          <w:rFonts w:ascii="Times New Roman" w:hAnsi="Times New Roman" w:cs="Times New Roman"/>
          <w:noProof/>
          <w:sz w:val="20"/>
          <w:szCs w:val="24"/>
        </w:rPr>
        <w:tab/>
        <w:t>Warmer C, Kok K, Karnouskos S, Weidlich A, Nestle D, Selzam P, et al. Web services for integration of smart houses in the smart grid 2009.</w:t>
      </w:r>
    </w:p>
    <w:p w14:paraId="56B5A16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[70]</w:t>
      </w:r>
      <w:r w:rsidRPr="003676D3">
        <w:rPr>
          <w:rFonts w:ascii="Times New Roman" w:hAnsi="Times New Roman" w:cs="Times New Roman"/>
          <w:noProof/>
          <w:sz w:val="20"/>
          <w:szCs w:val="24"/>
        </w:rPr>
        <w:tab/>
        <w:t>Tabors RD, Parker G, Caramanis MC. Development of the smart grid: Missing elements in the policy process. Proc Annu Hawaii Int Conf Syst Sci 2010. https://doi.org/10.1109/HICSS.2010.148.</w:t>
      </w:r>
    </w:p>
    <w:p w14:paraId="10FEA0D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[71]</w:t>
      </w:r>
      <w:r w:rsidRPr="003676D3">
        <w:rPr>
          <w:rFonts w:ascii="Times New Roman" w:hAnsi="Times New Roman" w:cs="Times New Roman"/>
          <w:noProof/>
          <w:sz w:val="20"/>
          <w:szCs w:val="24"/>
        </w:rPr>
        <w:tab/>
        <w:t>Grijalva S, Tariq MU. Prosumer-based smart grid architecture enables a flat, sustainable electricity industry. IEEE PES Innov Smart Grid Technol Conf 2011. https://doi.org/10.1109/ISGT.2011.5759167.</w:t>
      </w:r>
    </w:p>
    <w:p w14:paraId="136C8A6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[72]</w:t>
      </w:r>
      <w:r w:rsidRPr="003676D3">
        <w:rPr>
          <w:rFonts w:ascii="Times New Roman" w:hAnsi="Times New Roman" w:cs="Times New Roman"/>
          <w:noProof/>
          <w:sz w:val="20"/>
          <w:szCs w:val="24"/>
        </w:rPr>
        <w:tab/>
        <w:t>Ringelstein J, Nestle D. APPLICATION OF BIDIRECTIONAL ENERGY MANAGEMENT INTERFACES FOR DISTRIBUTION GRID SERVICES. IET Conf Publ 2009. https://doi.org/10.1049/CP.2009.0990.</w:t>
      </w:r>
    </w:p>
    <w:p w14:paraId="460683C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[73]</w:t>
      </w:r>
      <w:r w:rsidRPr="003676D3">
        <w:rPr>
          <w:rFonts w:ascii="Times New Roman" w:hAnsi="Times New Roman" w:cs="Times New Roman"/>
          <w:noProof/>
          <w:sz w:val="20"/>
          <w:szCs w:val="24"/>
        </w:rPr>
        <w:tab/>
        <w:t>VASILJEVSKA J, GANGALE F, COVRIG L, MENGOLINI AM. Smart Grids and Beyond – An EU research and innovation perspective n.d. https://doi.org/10.2760/705655.</w:t>
      </w:r>
    </w:p>
    <w:p w14:paraId="02F98A5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[74]</w:t>
      </w:r>
      <w:r w:rsidRPr="003676D3">
        <w:rPr>
          <w:rFonts w:ascii="Times New Roman" w:hAnsi="Times New Roman" w:cs="Times New Roman"/>
          <w:noProof/>
          <w:sz w:val="20"/>
          <w:szCs w:val="24"/>
        </w:rPr>
        <w:tab/>
        <w:t>International Renewable Energy Agency IRENA. Renewable Capacity Statistics 2021. 2021.</w:t>
      </w:r>
    </w:p>
    <w:p w14:paraId="3A3DBFF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[75]</w:t>
      </w:r>
      <w:r w:rsidRPr="003676D3">
        <w:rPr>
          <w:rFonts w:ascii="Times New Roman" w:hAnsi="Times New Roman" w:cs="Times New Roman"/>
          <w:noProof/>
          <w:sz w:val="20"/>
          <w:szCs w:val="24"/>
        </w:rPr>
        <w:tab/>
        <w:t>Global EV Outlook 2021 – Analysis - IEA n.d. https://www.iea.org/reports/global-ev-outlook-2021 (accessed May 27, 2024).</w:t>
      </w:r>
    </w:p>
    <w:p w14:paraId="6DF9563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[76]</w:t>
      </w:r>
      <w:r w:rsidRPr="003676D3">
        <w:rPr>
          <w:rFonts w:ascii="Times New Roman" w:hAnsi="Times New Roman" w:cs="Times New Roman"/>
          <w:noProof/>
          <w:sz w:val="20"/>
          <w:szCs w:val="24"/>
        </w:rPr>
        <w:tab/>
        <w:t>Renewable Energy Agency I. INNOVATION LANDSCAPE FOR A RENEWABLE-POWERED FUTURE: SOLUTIONS TO INTEGRATE VARIABLE RENEWABLES 2019.</w:t>
      </w:r>
    </w:p>
    <w:p w14:paraId="116C9E4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[77]</w:t>
      </w:r>
      <w:r w:rsidRPr="003676D3">
        <w:rPr>
          <w:rFonts w:ascii="Times New Roman" w:hAnsi="Times New Roman" w:cs="Times New Roman"/>
          <w:noProof/>
          <w:sz w:val="20"/>
          <w:szCs w:val="24"/>
        </w:rPr>
        <w:tab/>
        <w:t>Annual patents filed in sustainable energy, 2021 n.d. https://ourworldindata.org/grapher/patents-for-renewables-by-country (accessed May 27, 2024).</w:t>
      </w:r>
    </w:p>
    <w:p w14:paraId="0EFFA7E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[78]</w:t>
      </w:r>
      <w:r w:rsidRPr="003676D3">
        <w:rPr>
          <w:rFonts w:ascii="Times New Roman" w:hAnsi="Times New Roman" w:cs="Times New Roman"/>
          <w:noProof/>
          <w:sz w:val="20"/>
          <w:szCs w:val="24"/>
        </w:rPr>
        <w:tab/>
        <w:t>GANGALE F, VASILJEVSKA J, COVRIG C-F, MENGOLINI AM, FULLI G. Smart grid projects outlook 2017: facts, figures and trends in Europe n.d. https://doi.org/10.2760/15583.</w:t>
      </w:r>
    </w:p>
    <w:p w14:paraId="00D8708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[79]</w:t>
      </w:r>
      <w:r w:rsidRPr="003676D3">
        <w:rPr>
          <w:rFonts w:ascii="Times New Roman" w:hAnsi="Times New Roman" w:cs="Times New Roman"/>
          <w:noProof/>
          <w:sz w:val="20"/>
          <w:szCs w:val="24"/>
        </w:rPr>
        <w:tab/>
        <w:t>de Sépibus J. The Integration of Electricity from Renewable Energy Sources in the European Union Electricity Market – The case for “Smart Grids.” Sépibus, Joëlle (July 2013) Integr Electr from Renew Energy Sources Eur Union Electr Mark – Case “Smart Grids” (NCCR Trade Work Pap 38) 2013. https://doi.org/10.7892/BORIS.49795.</w:t>
      </w:r>
    </w:p>
    <w:p w14:paraId="0A60D1D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[80]</w:t>
      </w:r>
      <w:r w:rsidRPr="003676D3">
        <w:rPr>
          <w:rFonts w:ascii="Times New Roman" w:hAnsi="Times New Roman" w:cs="Times New Roman"/>
          <w:noProof/>
          <w:sz w:val="20"/>
          <w:szCs w:val="24"/>
        </w:rPr>
        <w:tab/>
        <w:t xml:space="preserve">Encarnação BC da. A Smart Future? The EU Digital Agenda Between Broadband, the Grid and Energy </w:t>
      </w:r>
      <w:r w:rsidRPr="003676D3">
        <w:rPr>
          <w:rFonts w:ascii="Times New Roman" w:hAnsi="Times New Roman" w:cs="Times New Roman"/>
          <w:noProof/>
          <w:sz w:val="20"/>
          <w:szCs w:val="24"/>
        </w:rPr>
        <w:lastRenderedPageBreak/>
        <w:t>Efficiency 2013. https://doi.org/10.7892/BORIS.49795.</w:t>
      </w:r>
    </w:p>
    <w:p w14:paraId="3F5E074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[81]</w:t>
      </w:r>
      <w:r w:rsidRPr="003676D3">
        <w:rPr>
          <w:rFonts w:ascii="Times New Roman" w:hAnsi="Times New Roman" w:cs="Times New Roman"/>
          <w:noProof/>
          <w:sz w:val="20"/>
          <w:szCs w:val="24"/>
        </w:rPr>
        <w:tab/>
        <w:t>Alsuwian T, Basit A, Amin AA, Adnan M, Ali M. An Optimal Control Approach for Enhancing Transients Stability and Resilience in Super Smart Grids. Electron 2022, Vol 11, Page 3236 2022;11:3236. https://doi.org/10.3390/ELECTRONICS11193236.</w:t>
      </w:r>
    </w:p>
    <w:p w14:paraId="154B328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[82]</w:t>
      </w:r>
      <w:r w:rsidRPr="003676D3">
        <w:rPr>
          <w:rFonts w:ascii="Times New Roman" w:hAnsi="Times New Roman" w:cs="Times New Roman"/>
          <w:noProof/>
          <w:sz w:val="20"/>
          <w:szCs w:val="24"/>
        </w:rPr>
        <w:tab/>
        <w:t>Cecati C, Citro C, Siano P. Combined Operations of Renewable Energy Systems and Responsive Demand in a Smart Grid. IEEE Trans Sustain Energy 2011;2:468–76. https://doi.org/10.1109/TSTE.2011.2161624.</w:t>
      </w:r>
    </w:p>
    <w:p w14:paraId="00DD8E6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[83]</w:t>
      </w:r>
      <w:r w:rsidRPr="003676D3">
        <w:rPr>
          <w:rFonts w:ascii="Times New Roman" w:hAnsi="Times New Roman" w:cs="Times New Roman"/>
          <w:noProof/>
          <w:sz w:val="20"/>
          <w:szCs w:val="24"/>
        </w:rPr>
        <w:tab/>
        <w:t>Mnatsakanyan A, Kennedy SW. A novel demand response model with an application for a virtual power plant. IEEE Trans Smart Grid 2014;6:230–7.</w:t>
      </w:r>
    </w:p>
    <w:p w14:paraId="4EADC65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[84]</w:t>
      </w:r>
      <w:r w:rsidRPr="003676D3">
        <w:rPr>
          <w:rFonts w:ascii="Times New Roman" w:hAnsi="Times New Roman" w:cs="Times New Roman"/>
          <w:noProof/>
          <w:sz w:val="20"/>
          <w:szCs w:val="24"/>
        </w:rPr>
        <w:tab/>
        <w:t>Gelazanskas L, Gamage KAA. Demand side management in smart grid: A review and proposals for future direction. Sustain Cities Soc 2014;11:22–30. https://doi.org/10.1016/j.scs.2013.11.001.</w:t>
      </w:r>
    </w:p>
    <w:p w14:paraId="7B9EA9C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[85]</w:t>
      </w:r>
      <w:r w:rsidRPr="003676D3">
        <w:rPr>
          <w:rFonts w:ascii="Times New Roman" w:hAnsi="Times New Roman" w:cs="Times New Roman"/>
          <w:noProof/>
          <w:sz w:val="20"/>
          <w:szCs w:val="24"/>
        </w:rPr>
        <w:tab/>
        <w:t>Alzahrani A, Ferdowsi M, Shamsi P, Dagli CH. Modeling and Simulation of Microgrid. Procedia Comput Sci 2017;114:392–400. https://doi.org/10.1016/j.procs.2017.09.053.</w:t>
      </w:r>
    </w:p>
    <w:p w14:paraId="10E543F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[86]</w:t>
      </w:r>
      <w:r w:rsidRPr="003676D3">
        <w:rPr>
          <w:rFonts w:ascii="Times New Roman" w:hAnsi="Times New Roman" w:cs="Times New Roman"/>
          <w:noProof/>
          <w:sz w:val="20"/>
          <w:szCs w:val="24"/>
        </w:rPr>
        <w:tab/>
        <w:t>Porsinger T, Janik P, Leonowicz Z, Gono R. Modelling and optimization in microgrids. Energies 2017;10:1–22. https://doi.org/10.3390/en10040523.</w:t>
      </w:r>
    </w:p>
    <w:p w14:paraId="466D259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[87]</w:t>
      </w:r>
      <w:r w:rsidRPr="003676D3">
        <w:rPr>
          <w:rFonts w:ascii="Times New Roman" w:hAnsi="Times New Roman" w:cs="Times New Roman"/>
          <w:noProof/>
          <w:sz w:val="20"/>
          <w:szCs w:val="24"/>
        </w:rPr>
        <w:tab/>
        <w:t>Cortes CA, Contreras SF, Shahidehpour M. Microgrid topology planning for enhancing the reliability of active distribution networks. IEEE Trans Smart Grid 2018;9:6369–77.</w:t>
      </w:r>
    </w:p>
    <w:p w14:paraId="6447B09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[88]</w:t>
      </w:r>
      <w:r w:rsidRPr="003676D3">
        <w:rPr>
          <w:rFonts w:ascii="Times New Roman" w:hAnsi="Times New Roman" w:cs="Times New Roman"/>
          <w:noProof/>
          <w:sz w:val="20"/>
          <w:szCs w:val="24"/>
        </w:rPr>
        <w:tab/>
        <w:t>Bie Z, Zhang P, Li G, Hua B, Meehan M, Wang X. Reliability evaluation of active distribution systems including microgrids. IEEE Trans Power Syst 2012;27:2342–50.</w:t>
      </w:r>
    </w:p>
    <w:p w14:paraId="2D4DE36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[89]</w:t>
      </w:r>
      <w:r w:rsidRPr="003676D3">
        <w:rPr>
          <w:rFonts w:ascii="Times New Roman" w:hAnsi="Times New Roman" w:cs="Times New Roman"/>
          <w:noProof/>
          <w:sz w:val="20"/>
          <w:szCs w:val="24"/>
        </w:rPr>
        <w:tab/>
        <w:t>Arefifar SA, Yasser A-RM, El-Fouly THM. Optimum microgrid design for enhancing reliability and supply-security. IEEE Trans Smart Grid 2013;4:1567–75.</w:t>
      </w:r>
    </w:p>
    <w:p w14:paraId="2018A9E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[90]</w:t>
      </w:r>
      <w:r w:rsidRPr="003676D3">
        <w:rPr>
          <w:rFonts w:ascii="Times New Roman" w:hAnsi="Times New Roman" w:cs="Times New Roman"/>
          <w:noProof/>
          <w:sz w:val="20"/>
          <w:szCs w:val="24"/>
        </w:rPr>
        <w:tab/>
        <w:t>Fang X, Misra S, Xue G, Yang D. Smart grid - The new and improved power grid: A survey. IEEE Commun Surv Tutorials 2012;14:944–80. https://doi.org/10.1109/SURV.2011.101911.00087.</w:t>
      </w:r>
    </w:p>
    <w:p w14:paraId="6D3AB61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[91]</w:t>
      </w:r>
      <w:r w:rsidRPr="003676D3">
        <w:rPr>
          <w:rFonts w:ascii="Times New Roman" w:hAnsi="Times New Roman" w:cs="Times New Roman"/>
          <w:noProof/>
          <w:sz w:val="20"/>
          <w:szCs w:val="24"/>
        </w:rPr>
        <w:tab/>
        <w:t>Xu G, Yu W, Griffith D, Golmie N, Moulema P. Toward Integrating Distributed Energy Resources and Storage Devices in Smart Grid. IEEE Internet Things J 2017;4:192–204. https://doi.org/10.1109/JIOT.2016.2640563.</w:t>
      </w:r>
    </w:p>
    <w:p w14:paraId="006892E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[92]</w:t>
      </w:r>
      <w:r w:rsidRPr="003676D3">
        <w:rPr>
          <w:rFonts w:ascii="Times New Roman" w:hAnsi="Times New Roman" w:cs="Times New Roman"/>
          <w:noProof/>
          <w:sz w:val="20"/>
          <w:szCs w:val="24"/>
        </w:rPr>
        <w:tab/>
        <w:t>Keyhani A. Design of smart power grid renewable energy systems. John Wiley &amp; Sons; 2016.</w:t>
      </w:r>
    </w:p>
    <w:p w14:paraId="46D7ABC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[93]</w:t>
      </w:r>
      <w:r w:rsidRPr="003676D3">
        <w:rPr>
          <w:rFonts w:ascii="Times New Roman" w:hAnsi="Times New Roman" w:cs="Times New Roman"/>
          <w:noProof/>
          <w:sz w:val="20"/>
          <w:szCs w:val="24"/>
        </w:rPr>
        <w:tab/>
        <w:t>Morais H, Sousa T, Faria P, Vale Z. Reactive power management strategies in future smart grids. 2013 IEEE Power Energy Soc. Gen. Meet., IEEE; 2013, p. 1–5.</w:t>
      </w:r>
    </w:p>
    <w:p w14:paraId="5AE5328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[94]</w:t>
      </w:r>
      <w:r w:rsidRPr="003676D3">
        <w:rPr>
          <w:rFonts w:ascii="Times New Roman" w:hAnsi="Times New Roman" w:cs="Times New Roman"/>
          <w:noProof/>
          <w:sz w:val="20"/>
          <w:szCs w:val="24"/>
        </w:rPr>
        <w:tab/>
        <w:t>Yu X, Cecati C, Dillon T, Simes MG. The new frontier of smart grids. IEEE Ind Electron Mag 2011;5:49–63. https://doi.org/10.1109/MIE.2011.942176.</w:t>
      </w:r>
    </w:p>
    <w:p w14:paraId="25CF5ED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[95]</w:t>
      </w:r>
      <w:r w:rsidRPr="003676D3">
        <w:rPr>
          <w:rFonts w:ascii="Times New Roman" w:hAnsi="Times New Roman" w:cs="Times New Roman"/>
          <w:noProof/>
          <w:sz w:val="20"/>
          <w:szCs w:val="24"/>
        </w:rPr>
        <w:tab/>
        <w:t>Jurado S, Nebot À, Mugica F, Avellana N. Hybrid methodologies for electricity load forecasting: Entropy-based feature selection with machine learning and soft computing techniques. Energy 2015;86:276–91. https://doi.org/10.1016/J.ENERGY.2015.04.039.</w:t>
      </w:r>
    </w:p>
    <w:p w14:paraId="1F76787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[96]</w:t>
      </w:r>
      <w:r w:rsidRPr="003676D3">
        <w:rPr>
          <w:rFonts w:ascii="Times New Roman" w:hAnsi="Times New Roman" w:cs="Times New Roman"/>
          <w:noProof/>
          <w:sz w:val="20"/>
          <w:szCs w:val="24"/>
        </w:rPr>
        <w:tab/>
        <w:t>Ludynia A. Smart Grids in the Process of Building a Competitive Economy and Energy Security in Europe. Found Manag 2012;4:37–50. https://doi.org/10.2478/FMAN-2013-0009.</w:t>
      </w:r>
    </w:p>
    <w:p w14:paraId="1EF8013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[97]</w:t>
      </w:r>
      <w:r w:rsidRPr="003676D3">
        <w:rPr>
          <w:rFonts w:ascii="Times New Roman" w:hAnsi="Times New Roman" w:cs="Times New Roman"/>
          <w:noProof/>
          <w:sz w:val="20"/>
          <w:szCs w:val="24"/>
        </w:rPr>
        <w:tab/>
        <w:t>Ricci EC. An Integrated Assessment of Super &amp; Smart Grids. SSRN Electron J 2013. https://doi.org/10.2139/SSRN.2340415.</w:t>
      </w:r>
    </w:p>
    <w:p w14:paraId="2B5447B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[98]</w:t>
      </w:r>
      <w:r w:rsidRPr="003676D3">
        <w:rPr>
          <w:rFonts w:ascii="Times New Roman" w:hAnsi="Times New Roman" w:cs="Times New Roman"/>
          <w:noProof/>
          <w:sz w:val="20"/>
          <w:szCs w:val="24"/>
        </w:rPr>
        <w:tab/>
        <w:t>Guo L, Shi X, Zhou Y, Cao J. A Distributed Algorithm for Optimal Energy Management With Network-Independent Stepsize. Int Conf Inf Softw Technol 2023:424–31. https://doi.org/10.1109/ICIST59754.2023.10367147.</w:t>
      </w:r>
    </w:p>
    <w:p w14:paraId="5B5121E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[99]</w:t>
      </w:r>
      <w:r w:rsidRPr="003676D3">
        <w:rPr>
          <w:rFonts w:ascii="Times New Roman" w:hAnsi="Times New Roman" w:cs="Times New Roman"/>
          <w:noProof/>
          <w:sz w:val="20"/>
          <w:szCs w:val="24"/>
        </w:rPr>
        <w:tab/>
        <w:t>Aitzhan NZ, Svetinovic D. Security and Privacy in Decentralized Energy Trading Through Multi-Signatures, Blockchain and Anonymous Messaging Streams. IEEE Trans Dependable Secur Comput 2018;15:840–52. https://doi.org/10.1109/TDSC.2016.2616861.</w:t>
      </w:r>
    </w:p>
    <w:p w14:paraId="528EB1F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[100]</w:t>
      </w:r>
      <w:r w:rsidRPr="003676D3">
        <w:rPr>
          <w:rFonts w:ascii="Times New Roman" w:hAnsi="Times New Roman" w:cs="Times New Roman"/>
          <w:noProof/>
          <w:sz w:val="20"/>
          <w:szCs w:val="24"/>
        </w:rPr>
        <w:tab/>
        <w:t xml:space="preserve">Santos-Alamillos FJ, Brayshaw DJ, Methven J, Thomaidis NS, Ruiz-Arias JA, Pozo-Vázquez D. </w:t>
      </w:r>
      <w:r w:rsidRPr="003676D3">
        <w:rPr>
          <w:rFonts w:ascii="Times New Roman" w:hAnsi="Times New Roman" w:cs="Times New Roman"/>
          <w:noProof/>
          <w:sz w:val="20"/>
          <w:szCs w:val="24"/>
        </w:rPr>
        <w:lastRenderedPageBreak/>
        <w:t>Exploring the meteorological potential for planning a high performance European electricity super-grid: optimal power capacity distribution among countries. Environ Res Lett 2017;12:114030. https://doi.org/10.1088/1748-9326/AA8F18.</w:t>
      </w:r>
    </w:p>
    <w:p w14:paraId="474E7E7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[101]</w:t>
      </w:r>
      <w:r w:rsidRPr="003676D3">
        <w:rPr>
          <w:rFonts w:ascii="Times New Roman" w:hAnsi="Times New Roman" w:cs="Times New Roman"/>
          <w:noProof/>
          <w:sz w:val="20"/>
          <w:szCs w:val="24"/>
        </w:rPr>
        <w:tab/>
        <w:t>IEC SRD 63200 - SGAM basics - SyC Smart Energy n.d. https://syc-se.iec.ch/deliveries/sgam-basics/ (accessed May 27, 2024).</w:t>
      </w:r>
    </w:p>
    <w:p w14:paraId="295763D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[102]</w:t>
      </w:r>
      <w:r w:rsidRPr="003676D3">
        <w:rPr>
          <w:rFonts w:ascii="Times New Roman" w:hAnsi="Times New Roman" w:cs="Times New Roman"/>
          <w:noProof/>
          <w:sz w:val="20"/>
          <w:szCs w:val="24"/>
        </w:rPr>
        <w:tab/>
        <w:t>Uslar M, Rohjans S, Neureiter C, Andrén FP, Velasquez J, Steinbrink C, et al. Applying the Smart Grid Architecture Model for Designing and Validating System-of-Systems in the Power and Energy Domain: A European Perspective. Energies 2019, Vol 12, Page 258 2019;12:258. https://doi.org/10.3390/EN12020258.</w:t>
      </w:r>
    </w:p>
    <w:p w14:paraId="189F090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[103]</w:t>
      </w:r>
      <w:r w:rsidRPr="003676D3">
        <w:rPr>
          <w:rFonts w:ascii="Times New Roman" w:hAnsi="Times New Roman" w:cs="Times New Roman"/>
          <w:noProof/>
          <w:sz w:val="20"/>
          <w:szCs w:val="24"/>
        </w:rPr>
        <w:tab/>
        <w:t>Simoes MG, Roche R, Kyriakides E, Suryanarayanan S, Blunier B, McBee KD, et al. A comparison of smart grid technologies and progresses in Europe and the U.S. IEEE Trans Ind Appl 2012;48:1154–62. https://doi.org/10.1109/TIA.2012.2199730.</w:t>
      </w:r>
    </w:p>
    <w:p w14:paraId="282B038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[104]</w:t>
      </w:r>
      <w:r w:rsidRPr="003676D3">
        <w:rPr>
          <w:rFonts w:ascii="Times New Roman" w:hAnsi="Times New Roman" w:cs="Times New Roman"/>
          <w:noProof/>
          <w:sz w:val="20"/>
          <w:szCs w:val="24"/>
        </w:rPr>
        <w:tab/>
        <w:t>Ron Melton and Jason Fuller. Transactive energy: Envisioning the future. 2016.</w:t>
      </w:r>
    </w:p>
    <w:p w14:paraId="15340B2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[105]</w:t>
      </w:r>
      <w:r w:rsidRPr="003676D3">
        <w:rPr>
          <w:rFonts w:ascii="Times New Roman" w:hAnsi="Times New Roman" w:cs="Times New Roman"/>
          <w:noProof/>
          <w:sz w:val="20"/>
          <w:szCs w:val="24"/>
        </w:rPr>
        <w:tab/>
        <w:t>Safak Bayram I, Shakir MZ, Abdallah M, Member S, Qaraqe K. A Survey on Energy Trading in Smart Grid 2014.</w:t>
      </w:r>
    </w:p>
    <w:p w14:paraId="089D4D6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[106]</w:t>
      </w:r>
      <w:r w:rsidRPr="003676D3">
        <w:rPr>
          <w:rFonts w:ascii="Times New Roman" w:hAnsi="Times New Roman" w:cs="Times New Roman"/>
          <w:noProof/>
          <w:sz w:val="20"/>
          <w:szCs w:val="24"/>
        </w:rPr>
        <w:tab/>
        <w:t>Shabanzadeh M, Sheikh-El-Eslami MK, Haghifam MR. Risk-based medium-term trading strategy for a virtual power plant with first-order stochastic dominance constraints. IET Gener Transm Distrib 2017. https://doi.org/10.1049/iet-gtd.2016.1072.</w:t>
      </w:r>
    </w:p>
    <w:p w14:paraId="15AE7D8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[107]</w:t>
      </w:r>
      <w:r w:rsidRPr="003676D3">
        <w:rPr>
          <w:rFonts w:ascii="Times New Roman" w:hAnsi="Times New Roman" w:cs="Times New Roman"/>
          <w:noProof/>
          <w:sz w:val="20"/>
          <w:szCs w:val="24"/>
        </w:rPr>
        <w:tab/>
        <w:t>Chen S, Liu CC. From demand response to transactive energy: state of the art. J Mod Power Syst Clean Energy 2017;5:10–9. https://doi.org/10.1007/S40565-016-0256-X/TABLES/2.</w:t>
      </w:r>
    </w:p>
    <w:p w14:paraId="6211434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[108]</w:t>
      </w:r>
      <w:r w:rsidRPr="003676D3">
        <w:rPr>
          <w:rFonts w:ascii="Times New Roman" w:hAnsi="Times New Roman" w:cs="Times New Roman"/>
          <w:noProof/>
          <w:sz w:val="20"/>
          <w:szCs w:val="24"/>
        </w:rPr>
        <w:tab/>
        <w:t>Huang Q, Amin W, Umer K, Gooi HB, Eddy FYS, Afzal M, et al. A review of transactive energy systems: Concept and implementation. Energy Reports 2021;7:7804–24. https://doi.org/10.1016/J.EGYR.2021.05.037.</w:t>
      </w:r>
    </w:p>
    <w:p w14:paraId="4B4E17D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[109]</w:t>
      </w:r>
      <w:r w:rsidRPr="003676D3">
        <w:rPr>
          <w:rFonts w:ascii="Times New Roman" w:hAnsi="Times New Roman" w:cs="Times New Roman"/>
          <w:noProof/>
          <w:sz w:val="20"/>
          <w:szCs w:val="24"/>
        </w:rPr>
        <w:tab/>
        <w:t>Laszka A, Eisele S, Dubey A, Karsai G, Kvaternik K. TRANSAX: A Blockchain-Based Decentralized Forward-Trading Energy Exchanged for Transactive Microgrids. Proc Int Conf Parallel Distrib Syst - ICPADS 2018;2018-December:918–27. https://doi.org/10.1109/PADSW.2018.8645001.</w:t>
      </w:r>
    </w:p>
    <w:p w14:paraId="0DF4626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[110]</w:t>
      </w:r>
      <w:r w:rsidRPr="003676D3">
        <w:rPr>
          <w:rFonts w:ascii="Times New Roman" w:hAnsi="Times New Roman" w:cs="Times New Roman"/>
          <w:noProof/>
          <w:sz w:val="20"/>
          <w:szCs w:val="24"/>
        </w:rPr>
        <w:tab/>
        <w:t>Yahaya AS, Javaid N, Javed MU, Shafiq M, Khan WZ, Aalsalem MY. Blockchain-Based Energy Trading and Load Balancing Using Contract Theory and Reputation in a Smart Community. IEEE Access 2020;8:222168–86. https://doi.org/10.1109/ACCESS.2020.3041931.</w:t>
      </w:r>
    </w:p>
    <w:p w14:paraId="7370BD9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[111]</w:t>
      </w:r>
      <w:r w:rsidRPr="003676D3">
        <w:rPr>
          <w:rFonts w:ascii="Times New Roman" w:hAnsi="Times New Roman" w:cs="Times New Roman"/>
          <w:noProof/>
          <w:sz w:val="20"/>
          <w:szCs w:val="24"/>
        </w:rPr>
        <w:tab/>
        <w:t>Masaud TM, Warner J, El-Saadany EF. A Blockchain-Enabled Decentralized Energy Trading Mechanism for Islanded Networked Microgrids. IEEE Access 2020;8:211291–302. https://doi.org/10.1109/ACCESS.2020.3038824.</w:t>
      </w:r>
    </w:p>
    <w:p w14:paraId="472673C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[112]</w:t>
      </w:r>
      <w:r w:rsidRPr="003676D3">
        <w:rPr>
          <w:rFonts w:ascii="Times New Roman" w:hAnsi="Times New Roman" w:cs="Times New Roman"/>
          <w:noProof/>
          <w:sz w:val="20"/>
          <w:szCs w:val="24"/>
        </w:rPr>
        <w:tab/>
        <w:t>Ahl A, Yarime M, Tanaka K, Sagawa D. Review of blockchain-based distributed energy: Implications for institutional development. Renew Sustain Energy Rev 2019;107:200–11. https://doi.org/10.1016/J.RSER.2019.03.002.</w:t>
      </w:r>
    </w:p>
    <w:p w14:paraId="29350B1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[113]</w:t>
      </w:r>
      <w:r w:rsidRPr="003676D3">
        <w:rPr>
          <w:rFonts w:ascii="Times New Roman" w:hAnsi="Times New Roman" w:cs="Times New Roman"/>
          <w:noProof/>
          <w:sz w:val="20"/>
          <w:szCs w:val="24"/>
        </w:rPr>
        <w:tab/>
        <w:t>Phadke A, Antonio Medrano F, Brahmbhatt J, Ustymenko S. A Framework for an Optimized Smart Energy System. 2022 Int Symp Electr Electron Inf Eng 2022:240–6. https://doi.org/10.1109/ISEEIE55684.2022.00049.</w:t>
      </w:r>
    </w:p>
    <w:p w14:paraId="72F72AB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[114]</w:t>
      </w:r>
      <w:r w:rsidRPr="003676D3">
        <w:rPr>
          <w:rFonts w:ascii="Times New Roman" w:hAnsi="Times New Roman" w:cs="Times New Roman"/>
          <w:noProof/>
          <w:sz w:val="20"/>
          <w:szCs w:val="24"/>
        </w:rPr>
        <w:tab/>
        <w:t>UNFCCC. ME SOLshare: Peer-to-Peer Smart Village Grids | Bangladesh. United Nations Framew Conv Clim Chang 2020.</w:t>
      </w:r>
    </w:p>
    <w:p w14:paraId="0F2FE6D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[115]</w:t>
      </w:r>
      <w:r w:rsidRPr="003676D3">
        <w:rPr>
          <w:rFonts w:ascii="Times New Roman" w:hAnsi="Times New Roman" w:cs="Times New Roman"/>
          <w:noProof/>
          <w:sz w:val="20"/>
          <w:szCs w:val="24"/>
        </w:rPr>
        <w:tab/>
        <w:t>Rehman S, Khan B, Arif J, Ullah Z, Aljuhani AJ, Alhindi A, et al. Bi-Directional Mutual Energy Trade between Smart Grid and Energy Districts Using Renewable Energy Credits. Sensors (Basel) 2021;21. https://doi.org/10.3390/S21093088.</w:t>
      </w:r>
    </w:p>
    <w:p w14:paraId="3BB7668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[116]</w:t>
      </w:r>
      <w:r w:rsidRPr="003676D3">
        <w:rPr>
          <w:rFonts w:ascii="Times New Roman" w:hAnsi="Times New Roman" w:cs="Times New Roman"/>
          <w:noProof/>
          <w:sz w:val="20"/>
          <w:szCs w:val="24"/>
        </w:rPr>
        <w:tab/>
        <w:t>Shabanzadeh M, Sheikh-El-Eslami MK, Haghifam MR. An interactive cooperation model for neighboring virtual power plants. Appl Energy 2017. https://doi.org/10.1016/j.apenergy.2017.05.066.</w:t>
      </w:r>
    </w:p>
    <w:p w14:paraId="05E5FBA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[117]</w:t>
      </w:r>
      <w:r w:rsidRPr="003676D3">
        <w:rPr>
          <w:rFonts w:ascii="Times New Roman" w:hAnsi="Times New Roman" w:cs="Times New Roman"/>
          <w:noProof/>
          <w:sz w:val="20"/>
          <w:szCs w:val="24"/>
        </w:rPr>
        <w:tab/>
        <w:t xml:space="preserve">Eisele S, Eghtesad T, Campanelli K, Agrawal P, Laszka A, Dubey A. Safe and private forward-trading </w:t>
      </w:r>
      <w:r w:rsidRPr="003676D3">
        <w:rPr>
          <w:rFonts w:ascii="Times New Roman" w:hAnsi="Times New Roman" w:cs="Times New Roman"/>
          <w:noProof/>
          <w:sz w:val="20"/>
          <w:szCs w:val="24"/>
        </w:rPr>
        <w:lastRenderedPageBreak/>
        <w:t>platform for transactive microgrids. ACM Trans Cyber-Physical Syst 2021;5. https://doi.org/10.1145/3403711.</w:t>
      </w:r>
    </w:p>
    <w:p w14:paraId="62F3F3A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[118]</w:t>
      </w:r>
      <w:r w:rsidRPr="003676D3">
        <w:rPr>
          <w:rFonts w:ascii="Times New Roman" w:hAnsi="Times New Roman" w:cs="Times New Roman"/>
          <w:noProof/>
          <w:sz w:val="20"/>
          <w:szCs w:val="24"/>
        </w:rPr>
        <w:tab/>
        <w:t>Siano P, De Marco G, Rolan A, Loia V. A Survey and Evaluation of the Potentials of Distributed Ledger Technology for Peer-to-Peer Transactive Energy Exchanges in Local Energy Markets. IEEE Syst J 2019;13:3454–66. https://doi.org/10.1109/JSYST.2019.2903172.</w:t>
      </w:r>
    </w:p>
    <w:p w14:paraId="43D6700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[119]</w:t>
      </w:r>
      <w:r w:rsidRPr="003676D3">
        <w:rPr>
          <w:rFonts w:ascii="Times New Roman" w:hAnsi="Times New Roman" w:cs="Times New Roman"/>
          <w:noProof/>
          <w:sz w:val="20"/>
          <w:szCs w:val="24"/>
        </w:rPr>
        <w:tab/>
        <w:t>Gupta N, Prusty BR, Alrumayh O, Almutairi A, Alharbi T. The Role of Transactive Energy in the Future Energy Industry: A Critical Review. Energies 2022, Vol 15, Page 8047 2022;15:8047. https://doi.org/10.3390/EN15218047.</w:t>
      </w:r>
    </w:p>
    <w:p w14:paraId="1493D49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[120]</w:t>
      </w:r>
      <w:r w:rsidRPr="003676D3">
        <w:rPr>
          <w:rFonts w:ascii="Times New Roman" w:hAnsi="Times New Roman" w:cs="Times New Roman"/>
          <w:noProof/>
          <w:sz w:val="20"/>
          <w:szCs w:val="24"/>
        </w:rPr>
        <w:tab/>
        <w:t>Zomorodi Moghadam A, Javidi MH. Designing a two-stage transactive energy system for future distribution networks in the presence of prosumers’ P2P transactions. Electr Power Syst Res 2022;211:108202. https://doi.org/10.1016/J.EPSR.2022.108202.</w:t>
      </w:r>
    </w:p>
    <w:p w14:paraId="06508DB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[121]</w:t>
      </w:r>
      <w:r w:rsidRPr="003676D3">
        <w:rPr>
          <w:rFonts w:ascii="Times New Roman" w:hAnsi="Times New Roman" w:cs="Times New Roman"/>
          <w:noProof/>
          <w:sz w:val="20"/>
          <w:szCs w:val="24"/>
        </w:rPr>
        <w:tab/>
        <w:t>Negro SO, Alkemade F, Hekkert MP. Why does renewable energy diffuse so slowly? A review of innovation system problems. Renew Sustain Energy Rev 2012;16:3836–46. https://doi.org/10.1016/J.RSER.2012.03.043.</w:t>
      </w:r>
    </w:p>
    <w:p w14:paraId="5B59509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[122]</w:t>
      </w:r>
      <w:r w:rsidRPr="003676D3">
        <w:rPr>
          <w:rFonts w:ascii="Times New Roman" w:hAnsi="Times New Roman" w:cs="Times New Roman"/>
          <w:noProof/>
          <w:sz w:val="20"/>
          <w:szCs w:val="24"/>
        </w:rPr>
        <w:tab/>
        <w:t>Wieczorek AJ, Hekkert MP. Systemic instruments for systemic innovation problems: a framework for policy makers and innovation scholars. Sci Public Policy 2012;39:74–87. https://doi.org/10.1093/SCIPOL/SCR008.</w:t>
      </w:r>
    </w:p>
    <w:p w14:paraId="0C748F2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[123]</w:t>
      </w:r>
      <w:r w:rsidRPr="003676D3">
        <w:rPr>
          <w:rFonts w:ascii="Times New Roman" w:hAnsi="Times New Roman" w:cs="Times New Roman"/>
          <w:noProof/>
          <w:sz w:val="20"/>
          <w:szCs w:val="24"/>
        </w:rPr>
        <w:tab/>
        <w:t>Shafie-khah M, Moghaddam MP, Sheikh-El-Eslami MK, Rahmani-Andebili M. Modeling of interactions between market regulations and behavior of plug-in electric vehicle aggregators in a virtual power market environment. Energy 2012;40:139–50.</w:t>
      </w:r>
    </w:p>
    <w:p w14:paraId="6EA4F27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[124]</w:t>
      </w:r>
      <w:r w:rsidRPr="003676D3">
        <w:rPr>
          <w:rFonts w:ascii="Times New Roman" w:hAnsi="Times New Roman" w:cs="Times New Roman"/>
          <w:noProof/>
          <w:sz w:val="20"/>
          <w:szCs w:val="24"/>
        </w:rPr>
        <w:tab/>
        <w:t>Pütz S, Kruse J, Witthaut D, Hagenmeyer V, Schäfer B. Regulatory Changes in German and Austrian Power Systems Explored with Explainable Artificial Intelligence. E-Energy 2023 Companion - Proc 14th ACM Int Conf Futur Energy Syst 2023:26–31. https://doi.org/10.1145/3599733.3600247.</w:t>
      </w:r>
    </w:p>
    <w:p w14:paraId="48F749A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[125]</w:t>
      </w:r>
      <w:r w:rsidRPr="003676D3">
        <w:rPr>
          <w:rFonts w:ascii="Times New Roman" w:hAnsi="Times New Roman" w:cs="Times New Roman"/>
          <w:noProof/>
          <w:sz w:val="20"/>
          <w:szCs w:val="24"/>
        </w:rPr>
        <w:tab/>
        <w:t>Kruse J, Schäfer B, Witthaut D. Revealing drivers and risks for power grid frequency stability with explainable AI. Patterns 2021;2. https://doi.org/10.1016/J.PATTER.2021.100365.</w:t>
      </w:r>
    </w:p>
    <w:p w14:paraId="51D2486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[126]</w:t>
      </w:r>
      <w:r w:rsidRPr="003676D3">
        <w:rPr>
          <w:rFonts w:ascii="Times New Roman" w:hAnsi="Times New Roman" w:cs="Times New Roman"/>
          <w:noProof/>
          <w:sz w:val="20"/>
          <w:szCs w:val="24"/>
        </w:rPr>
        <w:tab/>
        <w:t>Ehrhart KM, Ocker F. Design and regulation of balancing power auctions: an integrated market model approach. J Regul Econ 2021;60:55–73. https://doi.org/10.1007/S11149-021-09430-7.</w:t>
      </w:r>
    </w:p>
    <w:p w14:paraId="0B2FF64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[127]</w:t>
      </w:r>
      <w:r w:rsidRPr="003676D3">
        <w:rPr>
          <w:rFonts w:ascii="Times New Roman" w:hAnsi="Times New Roman" w:cs="Times New Roman"/>
          <w:noProof/>
          <w:sz w:val="20"/>
          <w:szCs w:val="24"/>
        </w:rPr>
        <w:tab/>
        <w:t>Eicke A, Ruhnau O, Hirth L. Electricity balancing as a market equilibrium: An instrument-based estimation of supply and demand for imbalance energy. Energy Econ 2021;102. https://doi.org/10.1016/J.ENECO.2021.105455.</w:t>
      </w:r>
    </w:p>
    <w:p w14:paraId="4A08B6D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[128]</w:t>
      </w:r>
      <w:r w:rsidRPr="003676D3">
        <w:rPr>
          <w:rFonts w:ascii="Times New Roman" w:hAnsi="Times New Roman" w:cs="Times New Roman"/>
          <w:noProof/>
          <w:sz w:val="20"/>
          <w:szCs w:val="24"/>
        </w:rPr>
        <w:tab/>
        <w:t>Schittekatte T, Meeus L, Jamasb T, Llorca M. Regulatory experimentation in energy: Three pioneer countries and lessons for the green transition. Energy Policy 2021;156:112382. https://doi.org/10.1016/J.ENPOL.2021.112382.</w:t>
      </w:r>
    </w:p>
    <w:p w14:paraId="4B5C6D1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[129]</w:t>
      </w:r>
      <w:r w:rsidRPr="003676D3">
        <w:rPr>
          <w:rFonts w:ascii="Times New Roman" w:hAnsi="Times New Roman" w:cs="Times New Roman"/>
          <w:noProof/>
          <w:sz w:val="20"/>
          <w:szCs w:val="24"/>
        </w:rPr>
        <w:tab/>
        <w:t>Jamasb T;, Llorca M;, Meeus L;, Schittekatte T. Energy Network Innovation for Green Transition Economic Issues and Regulatory Options n.d. https://doi.org/10.22439/csei.pb.008.</w:t>
      </w:r>
    </w:p>
    <w:p w14:paraId="33D2E52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[130]</w:t>
      </w:r>
      <w:r w:rsidRPr="003676D3">
        <w:rPr>
          <w:rFonts w:ascii="Times New Roman" w:hAnsi="Times New Roman" w:cs="Times New Roman"/>
          <w:noProof/>
          <w:sz w:val="20"/>
          <w:szCs w:val="24"/>
        </w:rPr>
        <w:tab/>
        <w:t>Union PO of the E. Support schemes for renewable energy n.d. https://energy.ec.europa.eu/topics/renewable-energy/financing/support-schemes-renewable-energy_en (accessed May 31, 2024).</w:t>
      </w:r>
    </w:p>
    <w:p w14:paraId="3CADC70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[131]</w:t>
      </w:r>
      <w:r w:rsidRPr="003676D3">
        <w:rPr>
          <w:rFonts w:ascii="Times New Roman" w:hAnsi="Times New Roman" w:cs="Times New Roman"/>
          <w:noProof/>
          <w:sz w:val="20"/>
          <w:szCs w:val="24"/>
        </w:rPr>
        <w:tab/>
        <w:t>Union PO of the E. European Commission guidance for the design of renewables support schemes [SWD(2013) 439] - European Commission 2024. https://energy.ec.europa.eu/publications/european-commission-guidance-design-renewables-support-schemes-swd2013-439_en (accessed May 31, 2024).</w:t>
      </w:r>
    </w:p>
    <w:p w14:paraId="71BA65A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[132]</w:t>
      </w:r>
      <w:r w:rsidRPr="003676D3">
        <w:rPr>
          <w:rFonts w:ascii="Times New Roman" w:hAnsi="Times New Roman" w:cs="Times New Roman"/>
          <w:noProof/>
          <w:sz w:val="20"/>
          <w:szCs w:val="24"/>
        </w:rPr>
        <w:tab/>
        <w:t>United Nations. Urban Energy | UN-Habitat n.d. https://unhabitat.org/topic/urban-energy (accessed May 27, 2024).</w:t>
      </w:r>
    </w:p>
    <w:p w14:paraId="16D9FA3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[133]</w:t>
      </w:r>
      <w:r w:rsidRPr="003676D3">
        <w:rPr>
          <w:rFonts w:ascii="Times New Roman" w:hAnsi="Times New Roman" w:cs="Times New Roman"/>
          <w:noProof/>
          <w:sz w:val="20"/>
          <w:szCs w:val="24"/>
        </w:rPr>
        <w:tab/>
        <w:t>Salam A. Internet of things in sustainable energy systems. Internet of Things, 2020, p. 183–216. https://doi.org/10.1007/978-3-030-35291-2_6.</w:t>
      </w:r>
    </w:p>
    <w:p w14:paraId="43615F0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[134]</w:t>
      </w:r>
      <w:r w:rsidRPr="003676D3">
        <w:rPr>
          <w:rFonts w:ascii="Times New Roman" w:hAnsi="Times New Roman" w:cs="Times New Roman"/>
          <w:noProof/>
          <w:sz w:val="20"/>
          <w:szCs w:val="24"/>
        </w:rPr>
        <w:tab/>
        <w:t xml:space="preserve">Hossein Motlagh N, Mohammadrezaei M, Hunt J, Zakeri B. Internet of Things (IoT) and the Energy </w:t>
      </w:r>
      <w:r w:rsidRPr="003676D3">
        <w:rPr>
          <w:rFonts w:ascii="Times New Roman" w:hAnsi="Times New Roman" w:cs="Times New Roman"/>
          <w:noProof/>
          <w:sz w:val="20"/>
          <w:szCs w:val="24"/>
        </w:rPr>
        <w:lastRenderedPageBreak/>
        <w:t>Sector. Energies 2020;13:494. https://doi.org/10.3390/en13020494.</w:t>
      </w:r>
    </w:p>
    <w:p w14:paraId="0986A4B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[135]</w:t>
      </w:r>
      <w:r w:rsidRPr="003676D3">
        <w:rPr>
          <w:rFonts w:ascii="Times New Roman" w:hAnsi="Times New Roman" w:cs="Times New Roman"/>
          <w:noProof/>
          <w:sz w:val="20"/>
          <w:szCs w:val="24"/>
        </w:rPr>
        <w:tab/>
        <w:t>Ren J, Wang Z, Luo Z, Liu F. Smart Grid and Electric Power Informatization. J. Phys. Conf. Ser., IOP Publishing; 2019. https://doi.org/10.1088/1742-6596/1187/2/022017.</w:t>
      </w:r>
    </w:p>
    <w:p w14:paraId="0D6919C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[136]</w:t>
      </w:r>
      <w:r w:rsidRPr="003676D3">
        <w:rPr>
          <w:rFonts w:ascii="Times New Roman" w:hAnsi="Times New Roman" w:cs="Times New Roman"/>
          <w:noProof/>
          <w:sz w:val="20"/>
          <w:szCs w:val="24"/>
        </w:rPr>
        <w:tab/>
        <w:t>Silva BN, Khan M, Han K. Towards sustainable smart cities: A review of trends, architectures, components, and open challenges in smart cities. Sustain Cities Soc 2018;38:697–713. https://doi.org/10.1016/J.SCS.2018.01.053.</w:t>
      </w:r>
    </w:p>
    <w:p w14:paraId="140DD9D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[137]</w:t>
      </w:r>
      <w:r w:rsidRPr="003676D3">
        <w:rPr>
          <w:rFonts w:ascii="Times New Roman" w:hAnsi="Times New Roman" w:cs="Times New Roman"/>
          <w:noProof/>
          <w:sz w:val="20"/>
          <w:szCs w:val="24"/>
        </w:rPr>
        <w:tab/>
        <w:t>What role does the metaverse play in the future of energy? - Good New Energy n.d. https://goodnewenergy.enagas.es/en/innovative/what-paper-does-the-metaverse-occupy-in-the-future-of-the-energy/ (accessed May 20, 2024).</w:t>
      </w:r>
    </w:p>
    <w:p w14:paraId="726A764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[138]</w:t>
      </w:r>
      <w:r w:rsidRPr="003676D3">
        <w:rPr>
          <w:rFonts w:ascii="Times New Roman" w:hAnsi="Times New Roman" w:cs="Times New Roman"/>
          <w:noProof/>
          <w:sz w:val="20"/>
          <w:szCs w:val="24"/>
        </w:rPr>
        <w:tab/>
        <w:t>Xu M, Ng WC, Yang W, Lim B, Kang J, Xiong Z, et al. A full dive into realizing the edge-enabled metaverse: Visions, enabling technologies, and challenges. IeeexploreIeeeOrgM Xu, WC Ng, WYB Lim, J Kang, Z Xiong, D Niyato, Q Yang, X Shen, C MiaoIEEE Commun Surv Tutorials, 2022•ieeexploreIeeeOrg n.d.</w:t>
      </w:r>
    </w:p>
    <w:p w14:paraId="7947661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[139]</w:t>
      </w:r>
      <w:r w:rsidRPr="003676D3">
        <w:rPr>
          <w:rFonts w:ascii="Times New Roman" w:hAnsi="Times New Roman" w:cs="Times New Roman"/>
          <w:noProof/>
          <w:sz w:val="20"/>
          <w:szCs w:val="24"/>
        </w:rPr>
        <w:tab/>
        <w:t>The next economy: creating new ways to shop, work, and play - Fast Company n.d. https://www.fastcompany.com/90771640/the-next-economy-creating-new-ways-to-shop-work-and-play (accessed May 20, 2024).</w:t>
      </w:r>
    </w:p>
    <w:p w14:paraId="43246F7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[140]</w:t>
      </w:r>
      <w:r w:rsidRPr="003676D3">
        <w:rPr>
          <w:rFonts w:ascii="Times New Roman" w:hAnsi="Times New Roman" w:cs="Times New Roman"/>
          <w:noProof/>
          <w:sz w:val="20"/>
          <w:szCs w:val="24"/>
        </w:rPr>
        <w:tab/>
        <w:t>Virtual power plants: Metaverse for the power sector - Opinion News | The Financial Express n.d. https://www.financialexpress.com/opinion/virtual-power-plants-metaverse-for-the-power-sector/2511907/ (accessed May 20, 2024).</w:t>
      </w:r>
    </w:p>
    <w:p w14:paraId="67D55D2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[141]</w:t>
      </w:r>
      <w:r w:rsidRPr="003676D3">
        <w:rPr>
          <w:rFonts w:ascii="Times New Roman" w:hAnsi="Times New Roman" w:cs="Times New Roman"/>
          <w:noProof/>
          <w:sz w:val="20"/>
          <w:szCs w:val="24"/>
        </w:rPr>
        <w:tab/>
        <w:t>Wang Y, Su Z, Zhang N, Xing R, Liu D, Luan TH, et al. A Survey on Metaverse: Fundamentals, Security, and Privacy. IEEE Commun Surv Tutorials 2023;25:319–52. https://doi.org/10.1109/COMST.2022.3202047.</w:t>
      </w:r>
    </w:p>
    <w:p w14:paraId="7F64A0F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[142]</w:t>
      </w:r>
      <w:r w:rsidRPr="003676D3">
        <w:rPr>
          <w:rFonts w:ascii="Times New Roman" w:hAnsi="Times New Roman" w:cs="Times New Roman"/>
          <w:noProof/>
          <w:sz w:val="20"/>
          <w:szCs w:val="24"/>
        </w:rPr>
        <w:tab/>
        <w:t>Sparkes M. What is a metaverse. New Sci 2021;251:18. https://doi.org/10.1016/S0262-4079(21)01450-0.</w:t>
      </w:r>
    </w:p>
    <w:p w14:paraId="527F720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[143]</w:t>
      </w:r>
      <w:r w:rsidRPr="003676D3">
        <w:rPr>
          <w:rFonts w:ascii="Times New Roman" w:hAnsi="Times New Roman" w:cs="Times New Roman"/>
          <w:noProof/>
          <w:sz w:val="20"/>
          <w:szCs w:val="24"/>
        </w:rPr>
        <w:tab/>
        <w:t>Mckinsey. Value creation in the metaverse | McKinsey n.d. https://www.mckinsey.com/capabilities/growth-marketing-and-sales/our-insights/value-creation-in-the-Metaverse (accessed May 20, 2024).</w:t>
      </w:r>
    </w:p>
    <w:p w14:paraId="7E474C9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[144]</w:t>
      </w:r>
      <w:r w:rsidRPr="003676D3">
        <w:rPr>
          <w:rFonts w:ascii="Times New Roman" w:hAnsi="Times New Roman" w:cs="Times New Roman"/>
          <w:noProof/>
          <w:sz w:val="20"/>
          <w:szCs w:val="24"/>
        </w:rPr>
        <w:tab/>
        <w:t>Allam Z, Sharifi A, Bibri SE, Jones DS, Krogstie J. The Metaverse as a Virtual Form of Smart Cities: Opportunities and Challenges for Environmental, Economic, and Social Sustainability in Urban Futures. Smart Cities 2022, Vol 5, Pages 771-801 2022;5:771–801. https://doi.org/10.3390/SMARTCITIES5030040.</w:t>
      </w:r>
    </w:p>
    <w:p w14:paraId="10521DF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[145]</w:t>
      </w:r>
      <w:r w:rsidRPr="003676D3">
        <w:rPr>
          <w:rFonts w:ascii="Times New Roman" w:hAnsi="Times New Roman" w:cs="Times New Roman"/>
          <w:noProof/>
          <w:sz w:val="20"/>
          <w:szCs w:val="24"/>
        </w:rPr>
        <w:tab/>
        <w:t>Vidal-Tomás D. The illusion of the metaverse and meta-economy. Int Rev Financ Anal 2023;86:102560. https://doi.org/10.1016/J.IRFA.2023.102560.</w:t>
      </w:r>
    </w:p>
    <w:p w14:paraId="39544FC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[146]</w:t>
      </w:r>
      <w:r w:rsidRPr="003676D3">
        <w:rPr>
          <w:rFonts w:ascii="Times New Roman" w:hAnsi="Times New Roman" w:cs="Times New Roman"/>
          <w:noProof/>
          <w:sz w:val="20"/>
          <w:szCs w:val="24"/>
        </w:rPr>
        <w:tab/>
        <w:t>POLONA C, André MT, Maria N. Metaverse: Opportunities, risks and policy implications 2022.</w:t>
      </w:r>
    </w:p>
    <w:p w14:paraId="7285E80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[147]</w:t>
      </w:r>
      <w:r w:rsidRPr="003676D3">
        <w:rPr>
          <w:rFonts w:ascii="Times New Roman" w:hAnsi="Times New Roman" w:cs="Times New Roman"/>
          <w:noProof/>
          <w:sz w:val="20"/>
          <w:szCs w:val="24"/>
        </w:rPr>
        <w:tab/>
        <w:t>Zainab HE, Bawanay NZ. Digital Twin, Metaverse and Smart Cities in a Race to the Future. 2023 24th Int Arab Conf Inf Technol ACIT 2023 2023. https://doi.org/10.1109/ACIT58888.2023.10453803.</w:t>
      </w:r>
    </w:p>
    <w:p w14:paraId="162320B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[148]</w:t>
      </w:r>
      <w:r w:rsidRPr="003676D3">
        <w:rPr>
          <w:rFonts w:ascii="Times New Roman" w:hAnsi="Times New Roman" w:cs="Times New Roman"/>
          <w:noProof/>
          <w:sz w:val="20"/>
          <w:szCs w:val="24"/>
        </w:rPr>
        <w:tab/>
        <w:t>Liu Y, Shen Y, Guo C, Tian Y, Wang X, Zhu Y, et al. MetaSensing in Metaverses: See There, Be There, and Know There. IEEE Intell Syst 2022;37:7–12. https://doi.org/10.1109/MIS.2022.3221844.</w:t>
      </w:r>
    </w:p>
    <w:p w14:paraId="5CAC0EE2"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[149]</w:t>
      </w:r>
      <w:r w:rsidRPr="003676D3">
        <w:rPr>
          <w:rFonts w:ascii="Times New Roman" w:hAnsi="Times New Roman" w:cs="Times New Roman"/>
          <w:noProof/>
          <w:sz w:val="20"/>
          <w:szCs w:val="24"/>
        </w:rPr>
        <w:tab/>
        <w:t>Smart Cities – Cities of the Future | Microsoft Industry n.d. https://www.microsoft.com/en-us/industry/government/resources/smart-cities (accessed May 20, 2024).</w:t>
      </w:r>
    </w:p>
    <w:p w14:paraId="4FC3E99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[150]</w:t>
      </w:r>
      <w:r w:rsidRPr="003676D3">
        <w:rPr>
          <w:rFonts w:ascii="Times New Roman" w:hAnsi="Times New Roman" w:cs="Times New Roman"/>
          <w:noProof/>
          <w:sz w:val="20"/>
          <w:szCs w:val="24"/>
        </w:rPr>
        <w:tab/>
        <w:t>Lv Z, Xie S, Li Y, Shamim Hossain M, El Saddik A. Building the metaverse using digital twins at all scales,states, and relations. Virtual Real Intell Hardw 2022;4:459–70. https://doi.org/10.1016/J.VRIH.2022.06.005.</w:t>
      </w:r>
    </w:p>
    <w:p w14:paraId="29E5188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[151]</w:t>
      </w:r>
      <w:r w:rsidRPr="003676D3">
        <w:rPr>
          <w:rFonts w:ascii="Times New Roman" w:hAnsi="Times New Roman" w:cs="Times New Roman"/>
          <w:noProof/>
          <w:sz w:val="20"/>
          <w:szCs w:val="24"/>
        </w:rPr>
        <w:tab/>
        <w:t>Virtual smart cities using Metaverse, digital twins - Bizness Transform n.d. https://www.biznesstransform.com/virtual-smart-cities-using-metaverse-digital-twins/ (accessed May 13, 2024).</w:t>
      </w:r>
    </w:p>
    <w:p w14:paraId="54E9CDC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lastRenderedPageBreak/>
        <w:t>[152]</w:t>
      </w:r>
      <w:r w:rsidRPr="003676D3">
        <w:rPr>
          <w:rFonts w:ascii="Times New Roman" w:hAnsi="Times New Roman" w:cs="Times New Roman"/>
          <w:noProof/>
          <w:sz w:val="20"/>
          <w:szCs w:val="24"/>
        </w:rPr>
        <w:tab/>
        <w:t>Angelidou M. Smart cities: A conjuncture of four forces. Cities 2015;47:95–106. https://doi.org/10.1016/J.CITIES.2015.05.004.</w:t>
      </w:r>
    </w:p>
    <w:p w14:paraId="2887242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[153]</w:t>
      </w:r>
      <w:r w:rsidRPr="003676D3">
        <w:rPr>
          <w:rFonts w:ascii="Times New Roman" w:hAnsi="Times New Roman" w:cs="Times New Roman"/>
          <w:noProof/>
          <w:sz w:val="20"/>
          <w:szCs w:val="24"/>
        </w:rPr>
        <w:tab/>
        <w:t>Huynh-The T, Pham QV, Pham XQ, Nguyen TT, Han Z, Kim DS. Artificial intelligence for the metaverse: A survey. Eng Appl Artif Intell 2023;117:105581. https://doi.org/10.1016/J.ENGAPPAI.2022.105581.</w:t>
      </w:r>
    </w:p>
    <w:p w14:paraId="6381D69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[154]</w:t>
      </w:r>
      <w:r w:rsidRPr="003676D3">
        <w:rPr>
          <w:rFonts w:ascii="Times New Roman" w:hAnsi="Times New Roman" w:cs="Times New Roman"/>
          <w:noProof/>
          <w:sz w:val="20"/>
          <w:szCs w:val="24"/>
        </w:rPr>
        <w:tab/>
        <w:t>The Role of AI in Shaping the Metaverse · Neil Sahota n.d. https://www.neilsahota.com/the-role-of-ai-in-shaping-the-metaverse/ (accessed May 13, 2024).</w:t>
      </w:r>
    </w:p>
    <w:p w14:paraId="0713099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[155]</w:t>
      </w:r>
      <w:r w:rsidRPr="003676D3">
        <w:rPr>
          <w:rFonts w:ascii="Times New Roman" w:hAnsi="Times New Roman" w:cs="Times New Roman"/>
          <w:noProof/>
          <w:sz w:val="20"/>
          <w:szCs w:val="24"/>
        </w:rPr>
        <w:tab/>
        <w:t>AI: The driving force behind the metaverse? - ITU n.d. https://www.itu.int/hub/2022/06/ai-driving-force-metaverse/ (accessed May 13, 2024).</w:t>
      </w:r>
    </w:p>
    <w:p w14:paraId="0063EDC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[156]</w:t>
      </w:r>
      <w:r w:rsidRPr="003676D3">
        <w:rPr>
          <w:rFonts w:ascii="Times New Roman" w:hAnsi="Times New Roman" w:cs="Times New Roman"/>
          <w:noProof/>
          <w:sz w:val="20"/>
          <w:szCs w:val="24"/>
        </w:rPr>
        <w:tab/>
        <w:t>Yang H, Zhong W De, Chen C, Alphones A, Xie X. Deep-reinforcement-learning-based energy-efficient resource management for social and cognitive internet of things. IEEE Internet Things J 2020;7:5677–89. https://doi.org/10.1109/JIOT.2020.2980586.</w:t>
      </w:r>
    </w:p>
    <w:p w14:paraId="14A5B1C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[157]</w:t>
      </w:r>
      <w:r w:rsidRPr="003676D3">
        <w:rPr>
          <w:rFonts w:ascii="Times New Roman" w:hAnsi="Times New Roman" w:cs="Times New Roman"/>
          <w:noProof/>
          <w:sz w:val="20"/>
          <w:szCs w:val="24"/>
        </w:rPr>
        <w:tab/>
        <w:t>Merten M, Rücker F, Schoeneberger I, Sauer DU. Automatic frequency restoration reserve market prediction: Methodology and comparison of various approaches. Appl Energy 2020;268. https://doi.org/10.1016/J.APENERGY.2020.114978.</w:t>
      </w:r>
    </w:p>
    <w:p w14:paraId="33A2DC6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[158]</w:t>
      </w:r>
      <w:r w:rsidRPr="003676D3">
        <w:rPr>
          <w:rFonts w:ascii="Times New Roman" w:hAnsi="Times New Roman" w:cs="Times New Roman"/>
          <w:noProof/>
          <w:sz w:val="20"/>
          <w:szCs w:val="24"/>
        </w:rPr>
        <w:tab/>
        <w:t>Lago J, Marcjasz G, De Schutter B, Weron R. Forecasting day-ahead electricity prices: A review of state-of-the-art algorithms, best practices and an open-access benchmark. Appl Energy 2020;293. https://doi.org/10.1016/J.APENERGY.2021.116983.</w:t>
      </w:r>
    </w:p>
    <w:p w14:paraId="09EDC52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[159]</w:t>
      </w:r>
      <w:r w:rsidRPr="003676D3">
        <w:rPr>
          <w:rFonts w:ascii="Times New Roman" w:hAnsi="Times New Roman" w:cs="Times New Roman"/>
          <w:noProof/>
          <w:sz w:val="20"/>
          <w:szCs w:val="24"/>
        </w:rPr>
        <w:tab/>
        <w:t>Yang W, Sun S, Hao Y, Wang S. A novel machine learning-based electricity price forecasting model based on optimal model selection strategy. Energy 2022;238. https://doi.org/10.1016/J.ENERGY.2021.121989.</w:t>
      </w:r>
    </w:p>
    <w:p w14:paraId="01B1002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[160]</w:t>
      </w:r>
      <w:r w:rsidRPr="003676D3">
        <w:rPr>
          <w:rFonts w:ascii="Times New Roman" w:hAnsi="Times New Roman" w:cs="Times New Roman"/>
          <w:noProof/>
          <w:sz w:val="20"/>
          <w:szCs w:val="24"/>
        </w:rPr>
        <w:tab/>
        <w:t>Barredo Arrieta A, Díaz-Rodríguez N, Del Ser J, Bennetot A, Tabik S, Barbado A, et al. Explainable Artificial Intelligence (XAI): Concepts, Taxonomies, Opportunities and Challenges toward Responsible AI. Inf Fusion 2019;58:82–115. https://doi.org/10.1016/J.INFFUS.2019.12.012.</w:t>
      </w:r>
    </w:p>
    <w:p w14:paraId="7E6068C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[161]</w:t>
      </w:r>
      <w:r w:rsidRPr="003676D3">
        <w:rPr>
          <w:rFonts w:ascii="Times New Roman" w:hAnsi="Times New Roman" w:cs="Times New Roman"/>
          <w:noProof/>
          <w:sz w:val="20"/>
          <w:szCs w:val="24"/>
        </w:rPr>
        <w:tab/>
        <w:t>Trebbien J, Gorjão LR, Praktiknjo A, Schäfer B, Witthaut D. Understanding electricity prices beyond the merit order principle using explainable AI. Energy AI 2022. https://doi.org/10.48550/ARXIV.2212.04805.</w:t>
      </w:r>
    </w:p>
    <w:p w14:paraId="539FACF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[162]</w:t>
      </w:r>
      <w:r w:rsidRPr="003676D3">
        <w:rPr>
          <w:rFonts w:ascii="Times New Roman" w:hAnsi="Times New Roman" w:cs="Times New Roman"/>
          <w:noProof/>
          <w:sz w:val="20"/>
          <w:szCs w:val="24"/>
        </w:rPr>
        <w:tab/>
        <w:t>Sun Z, Feng J, Yin L, Zhang Z, … RL-, Continua M&amp;, et al. Fed-DFE: A Decentralized Function Encryption-Based Privacy-Preserving Scheme for Federated Learning. CdnTechscienceCnZ Sun, J Feng, L Yin, Z Zhang, R Li, Y Hu, C NaComputers, Mater Contin 2022•cdnTechscienceCn n.d. https://doi.org/10.32604/cmc.2022.022290.</w:t>
      </w:r>
    </w:p>
    <w:p w14:paraId="2FBBBCC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[163]</w:t>
      </w:r>
      <w:r w:rsidRPr="003676D3">
        <w:rPr>
          <w:rFonts w:ascii="Times New Roman" w:hAnsi="Times New Roman" w:cs="Times New Roman"/>
          <w:noProof/>
          <w:sz w:val="20"/>
          <w:szCs w:val="24"/>
        </w:rPr>
        <w:tab/>
        <w:t>Su Z, Wang Y, Luan TH, Zhang N, Li F, Chen T, et al. Secure and Efficient Federated Learning for Smart Grid with Edge-Cloud Collaboration. IEEE Trans Ind Informatics 2022;18:1333–44. https://doi.org/10.1109/TII.2021.3095506.</w:t>
      </w:r>
    </w:p>
    <w:p w14:paraId="5045DC7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[164]</w:t>
      </w:r>
      <w:r w:rsidRPr="003676D3">
        <w:rPr>
          <w:rFonts w:ascii="Times New Roman" w:hAnsi="Times New Roman" w:cs="Times New Roman"/>
          <w:noProof/>
          <w:sz w:val="20"/>
          <w:szCs w:val="24"/>
        </w:rPr>
        <w:tab/>
        <w:t>Boudko S, Abie H, Nigussie E, WINSYS RS-, 2021  undefined. Towards Federated Learning-based Collaborative Adaptive Cybersecurity for Multi-microgrids. ScitepressOrgS Boudko, H Abie, E Nigussie, R SavolaWINSYS, 2021•scitepressOrg n.d. https://doi.org/10.5220/0010580700830090.</w:t>
      </w:r>
    </w:p>
    <w:p w14:paraId="232851B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[165]</w:t>
      </w:r>
      <w:r w:rsidRPr="003676D3">
        <w:rPr>
          <w:rFonts w:ascii="Times New Roman" w:hAnsi="Times New Roman" w:cs="Times New Roman"/>
          <w:noProof/>
          <w:sz w:val="20"/>
          <w:szCs w:val="24"/>
        </w:rPr>
        <w:tab/>
        <w:t>Al Nuaimi E, Al Neyadi H, Mohamed N, Al-Jaroodi J. Applications of big data to smart cities. J Internet Serv Appl 2015;6:1–15. https://doi.org/10.1186/S13174-015-0041-5/FIGURES/3.</w:t>
      </w:r>
    </w:p>
    <w:p w14:paraId="5CD4D7E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[166]</w:t>
      </w:r>
      <w:r w:rsidRPr="003676D3">
        <w:rPr>
          <w:rFonts w:ascii="Times New Roman" w:hAnsi="Times New Roman" w:cs="Times New Roman"/>
          <w:noProof/>
          <w:sz w:val="20"/>
          <w:szCs w:val="24"/>
        </w:rPr>
        <w:tab/>
        <w:t>Yin J, Sharma P, Gorton I, Akyol B. Large-scale data challenges in future power grids. Proc - 2013 IEEE 7th Int Symp Serv Syst Eng SOSE 2013 2013:324–8. https://doi.org/10.1109/SOSE.2013.71.</w:t>
      </w:r>
    </w:p>
    <w:p w14:paraId="6C6C097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[167]</w:t>
      </w:r>
      <w:r w:rsidRPr="003676D3">
        <w:rPr>
          <w:rFonts w:ascii="Times New Roman" w:hAnsi="Times New Roman" w:cs="Times New Roman"/>
          <w:noProof/>
          <w:sz w:val="20"/>
          <w:szCs w:val="24"/>
        </w:rPr>
        <w:tab/>
        <w:t>Grid Modernization and the Smart Grid | Department of Energy n.d. https://www.energy.gov/oe/grid-modernization-and-smart-grid (accessed May 26, 2024).</w:t>
      </w:r>
    </w:p>
    <w:p w14:paraId="07B3214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[168]</w:t>
      </w:r>
      <w:r w:rsidRPr="003676D3">
        <w:rPr>
          <w:rFonts w:ascii="Times New Roman" w:hAnsi="Times New Roman" w:cs="Times New Roman"/>
          <w:noProof/>
          <w:sz w:val="20"/>
          <w:szCs w:val="24"/>
        </w:rPr>
        <w:tab/>
        <w:t>Mohamed N, Al-Jaroodi J. Real-time big data analytics: Applications and challenges. Proc 2014 Int Conf High Perform Comput Simulation, HPCS 2014 2014:305–10. https://doi.org/10.1109/HPCSIM.2014.6903700.</w:t>
      </w:r>
    </w:p>
    <w:p w14:paraId="7E11342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lastRenderedPageBreak/>
        <w:t>[169]</w:t>
      </w:r>
      <w:r w:rsidRPr="003676D3">
        <w:rPr>
          <w:rFonts w:ascii="Times New Roman" w:hAnsi="Times New Roman" w:cs="Times New Roman"/>
          <w:noProof/>
          <w:sz w:val="20"/>
          <w:szCs w:val="24"/>
        </w:rPr>
        <w:tab/>
        <w:t>Indium. Role of IoT in Metaverse n.d. https://www.indiumsoftware.com/blog/ (accessed May 13, 2024).</w:t>
      </w:r>
    </w:p>
    <w:p w14:paraId="750AAA4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[170]</w:t>
      </w:r>
      <w:r w:rsidRPr="003676D3">
        <w:rPr>
          <w:rFonts w:ascii="Times New Roman" w:hAnsi="Times New Roman" w:cs="Times New Roman"/>
          <w:noProof/>
          <w:sz w:val="20"/>
          <w:szCs w:val="24"/>
        </w:rPr>
        <w:tab/>
        <w:t>5 key technologies that power the Metaverse - Excellarate n.d. https://www.encora.com/insights/5-key-technologies-that-power-the-metaverse?excellarate-is-now-encora (accessed May 13, 2024).</w:t>
      </w:r>
    </w:p>
    <w:p w14:paraId="3534998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[171]</w:t>
      </w:r>
      <w:r w:rsidRPr="003676D3">
        <w:rPr>
          <w:rFonts w:ascii="Times New Roman" w:hAnsi="Times New Roman" w:cs="Times New Roman"/>
          <w:noProof/>
          <w:sz w:val="20"/>
          <w:szCs w:val="24"/>
        </w:rPr>
        <w:tab/>
        <w:t>Network Requirements for the Metaverse, Are We Ready? | iceConnect n.d. https://www.iceconnect.com/blog/it-support/metaverse-network-requirements/ (accessed May 20, 2024).</w:t>
      </w:r>
    </w:p>
    <w:p w14:paraId="3DF1A6A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[172]</w:t>
      </w:r>
      <w:r w:rsidRPr="003676D3">
        <w:rPr>
          <w:rFonts w:ascii="Times New Roman" w:hAnsi="Times New Roman" w:cs="Times New Roman"/>
          <w:noProof/>
          <w:sz w:val="20"/>
          <w:szCs w:val="24"/>
        </w:rPr>
        <w:tab/>
        <w:t>Chukwuemeka CM, Uchechi MI, Obinna CO, Modesta E, Chimezie UB, Nnamdi AI. Optimizing the Sustainability of Renewable Energy: A Review on the Impart of Internet of Things. Asian J Res Comput Sci 2020. https://doi.org/10.9734/ajrcos/2020/v5i430147.</w:t>
      </w:r>
    </w:p>
    <w:p w14:paraId="7A92543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[173]</w:t>
      </w:r>
      <w:r w:rsidRPr="003676D3">
        <w:rPr>
          <w:rFonts w:ascii="Times New Roman" w:hAnsi="Times New Roman" w:cs="Times New Roman"/>
          <w:noProof/>
          <w:sz w:val="20"/>
          <w:szCs w:val="24"/>
        </w:rPr>
        <w:tab/>
        <w:t>Ciavarella S, Joo J, Smart SS-IT on, 2016  undefined. Managing contingencies in smart grids via the internet of things. IeeexploreIeeeOrgS Ciavarella, JY Joo, S SilvestriIEEE Trans Smart Grid, 2016•ieeexploreIeeeOrg n.d.</w:t>
      </w:r>
    </w:p>
    <w:p w14:paraId="5AB69BA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[174]</w:t>
      </w:r>
      <w:r w:rsidRPr="003676D3">
        <w:rPr>
          <w:rFonts w:ascii="Times New Roman" w:hAnsi="Times New Roman" w:cs="Times New Roman"/>
          <w:noProof/>
          <w:sz w:val="20"/>
          <w:szCs w:val="24"/>
        </w:rPr>
        <w:tab/>
        <w:t>Haider H, See O, Energy WE-R and S, 2016  undefined. A review of residential demand response of smart grid. ElsevierHT Haider, OH See, W ElmenreichRenewable Sustain Energy Rev 2016•Elsevier n.d.</w:t>
      </w:r>
    </w:p>
    <w:p w14:paraId="2A7D1F8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[175]</w:t>
      </w:r>
      <w:r w:rsidRPr="003676D3">
        <w:rPr>
          <w:rFonts w:ascii="Times New Roman" w:hAnsi="Times New Roman" w:cs="Times New Roman"/>
          <w:noProof/>
          <w:sz w:val="20"/>
          <w:szCs w:val="24"/>
        </w:rPr>
        <w:tab/>
        <w:t>Science CB-PC, 2014  undefined. Security issues and challenges for the IoT-based smart grid. ElsevierC BekaraProcedia Comput Sci 2014•Elsevier n.d.</w:t>
      </w:r>
    </w:p>
    <w:p w14:paraId="1D2EF55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[176]</w:t>
      </w:r>
      <w:r w:rsidRPr="003676D3">
        <w:rPr>
          <w:rFonts w:ascii="Times New Roman" w:hAnsi="Times New Roman" w:cs="Times New Roman"/>
          <w:noProof/>
          <w:sz w:val="20"/>
          <w:szCs w:val="24"/>
        </w:rPr>
        <w:tab/>
        <w:t>Andoni M, Robu V, Flynn D, Abram S, Geach D, Jenkins D, et al. Blockchain technology in the energy sector: A systematic review of challenges and opportunities 2018. https://doi.org/10.1016/j.rser.2018.10.014.</w:t>
      </w:r>
    </w:p>
    <w:p w14:paraId="2D8754D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[177]</w:t>
      </w:r>
      <w:r w:rsidRPr="003676D3">
        <w:rPr>
          <w:rFonts w:ascii="Times New Roman" w:hAnsi="Times New Roman" w:cs="Times New Roman"/>
          <w:noProof/>
          <w:sz w:val="20"/>
          <w:szCs w:val="24"/>
        </w:rPr>
        <w:tab/>
        <w:t>Shi F, Ning H, Zhang X, Li R, Tian Q, Zhang S, et al. A new technology perspective of the Metaverse: Its essence, framework and challenges. Digit Commun Networks 2023. https://doi.org/10.1016/J.DCAN.2023.02.017.</w:t>
      </w:r>
    </w:p>
    <w:p w14:paraId="3BCE791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[178]</w:t>
      </w:r>
      <w:r w:rsidRPr="003676D3">
        <w:rPr>
          <w:rFonts w:ascii="Times New Roman" w:hAnsi="Times New Roman" w:cs="Times New Roman"/>
          <w:noProof/>
          <w:sz w:val="20"/>
          <w:szCs w:val="24"/>
        </w:rPr>
        <w:tab/>
        <w:t>Huynh-The T, Gadekallu TR, Wang W, Yenduri G, Ranaweera P, Pham QV, et al. Blockchain for the metaverse: A Review. Futur Gener Comput Syst 2023;143:401–19. https://doi.org/10.1016/J.FUTURE.2023.02.008.</w:t>
      </w:r>
    </w:p>
    <w:p w14:paraId="7B08886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[179]</w:t>
      </w:r>
      <w:r w:rsidRPr="003676D3">
        <w:rPr>
          <w:rFonts w:ascii="Times New Roman" w:hAnsi="Times New Roman" w:cs="Times New Roman"/>
          <w:noProof/>
          <w:sz w:val="20"/>
          <w:szCs w:val="24"/>
        </w:rPr>
        <w:tab/>
        <w:t>Ryu J, Son S, Lee J, Park Y, Park Y. Design of Secure Mutual Authentication Scheme for Metaverse Environments Using Blockchain. IEEE Access 2022;10:98944–58. https://doi.org/10.1109/ACCESS.2022.3206457.</w:t>
      </w:r>
    </w:p>
    <w:p w14:paraId="1164B1F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[180]</w:t>
      </w:r>
      <w:r w:rsidRPr="003676D3">
        <w:rPr>
          <w:rFonts w:ascii="Times New Roman" w:hAnsi="Times New Roman" w:cs="Times New Roman"/>
          <w:noProof/>
          <w:sz w:val="20"/>
          <w:szCs w:val="24"/>
        </w:rPr>
        <w:tab/>
        <w:t>Chen J, Xiao H, Hu M, Chen CM. A blockchain-based signature exchange protocol for metaverse. Futur Gener Comput Syst 2023;142:237–47. https://doi.org/10.1016/J.FUTURE.2022.12.031.</w:t>
      </w:r>
    </w:p>
    <w:p w14:paraId="5F0C9B4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[181]</w:t>
      </w:r>
      <w:r w:rsidRPr="003676D3">
        <w:rPr>
          <w:rFonts w:ascii="Times New Roman" w:hAnsi="Times New Roman" w:cs="Times New Roman"/>
          <w:noProof/>
          <w:sz w:val="20"/>
          <w:szCs w:val="24"/>
        </w:rPr>
        <w:tab/>
        <w:t>Maksymyuk T, Gazda J, Bugár G, … VG-I, 2022  undefined. Blockchain-empowered service management for the decentralized metaverse of things. IeeexploreIeeeOrgT Maksymyuk, J Gazda, G Bugár, V Gazda, M Liyanage, M DohlerIEEE Access, 2022•ieeexploreIeeeOrg n.d.</w:t>
      </w:r>
    </w:p>
    <w:p w14:paraId="01AD323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[182]</w:t>
      </w:r>
      <w:r w:rsidRPr="003676D3">
        <w:rPr>
          <w:rFonts w:ascii="Times New Roman" w:hAnsi="Times New Roman" w:cs="Times New Roman"/>
          <w:noProof/>
          <w:sz w:val="20"/>
          <w:szCs w:val="24"/>
        </w:rPr>
        <w:tab/>
        <w:t>Vidal-Tomás D. The new crypto niche: NFTs, play-to-earn, and metaverse tokens. Financ Res Lett 2022;47:102742. https://doi.org/10.1016/J.FRL.2022.102742.</w:t>
      </w:r>
    </w:p>
    <w:p w14:paraId="6C6BDF1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[183]</w:t>
      </w:r>
      <w:r w:rsidRPr="003676D3">
        <w:rPr>
          <w:rFonts w:ascii="Times New Roman" w:hAnsi="Times New Roman" w:cs="Times New Roman"/>
          <w:noProof/>
          <w:sz w:val="20"/>
          <w:szCs w:val="24"/>
        </w:rPr>
        <w:tab/>
        <w:t>Jeon H, Youn H, Ko S, the TK-A in, 2022  undefined. Blockchain and AI Meet in the Metaverse. BooksGoogleComHJ Jeon, HC Youn, SM Ko, TH KimAdvances Converg Blockchain Artif Intell 2022•booksGoogleCom n.d.</w:t>
      </w:r>
    </w:p>
    <w:p w14:paraId="0159516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[184]</w:t>
      </w:r>
      <w:r w:rsidRPr="003676D3">
        <w:rPr>
          <w:rFonts w:ascii="Times New Roman" w:hAnsi="Times New Roman" w:cs="Times New Roman"/>
          <w:noProof/>
          <w:sz w:val="20"/>
          <w:szCs w:val="24"/>
        </w:rPr>
        <w:tab/>
        <w:t>Kuru K. MetaOmniCity: Toward Immersive Urban Metaverse Cyberspaces Using Smart City Digital Twins. IEEE Access 2023;11:43844–68. https://doi.org/10.1109/ACCESS.2023.3272890.</w:t>
      </w:r>
    </w:p>
    <w:p w14:paraId="5A952FF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[185]</w:t>
      </w:r>
      <w:r w:rsidRPr="003676D3">
        <w:rPr>
          <w:rFonts w:ascii="Times New Roman" w:hAnsi="Times New Roman" w:cs="Times New Roman"/>
          <w:noProof/>
          <w:sz w:val="20"/>
          <w:szCs w:val="24"/>
        </w:rPr>
        <w:tab/>
        <w:t>Wang S, Taha AF, Wang J, Kvaternik K, Hahn A. Energy Crowdsourcing and Peer-to-Peer Energy Trading in Blockchain-Enabled Smart Grids. IEEE Trans Syst Man, Cybern Syst 2019;49:1612–23. https://doi.org/10.1109/TSMC.2019.2916565.</w:t>
      </w:r>
    </w:p>
    <w:p w14:paraId="285D01A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[186]</w:t>
      </w:r>
      <w:r w:rsidRPr="003676D3">
        <w:rPr>
          <w:rFonts w:ascii="Times New Roman" w:hAnsi="Times New Roman" w:cs="Times New Roman"/>
          <w:noProof/>
          <w:sz w:val="20"/>
          <w:szCs w:val="24"/>
        </w:rPr>
        <w:tab/>
        <w:t>Lu J, Wu S, Cheng H, Xiang Z. Smart contract for distributed energy trading in virtual power plants based on blockchain. Comput Intell 2021;37:1445–55. https://doi.org/10.1111/COIN.12388.</w:t>
      </w:r>
    </w:p>
    <w:p w14:paraId="13142A9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[187]</w:t>
      </w:r>
      <w:r w:rsidRPr="003676D3">
        <w:rPr>
          <w:rFonts w:ascii="Times New Roman" w:hAnsi="Times New Roman" w:cs="Times New Roman"/>
          <w:noProof/>
          <w:sz w:val="20"/>
          <w:szCs w:val="24"/>
        </w:rPr>
        <w:tab/>
        <w:t xml:space="preserve">Kolenc M, Nemček P, Gutschi C, Suljanović N, Zajc M. Performance evaluation of a virtual power plant communication system providing ancillary services. Electr Power Syst Res 2017. </w:t>
      </w:r>
      <w:r w:rsidRPr="003676D3">
        <w:rPr>
          <w:rFonts w:ascii="Times New Roman" w:hAnsi="Times New Roman" w:cs="Times New Roman"/>
          <w:noProof/>
          <w:sz w:val="20"/>
          <w:szCs w:val="24"/>
        </w:rPr>
        <w:lastRenderedPageBreak/>
        <w:t>https://doi.org/10.1016/j.epsr.2017.04.010.</w:t>
      </w:r>
    </w:p>
    <w:p w14:paraId="07B2F06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[188]</w:t>
      </w:r>
      <w:r w:rsidRPr="003676D3">
        <w:rPr>
          <w:rFonts w:ascii="Times New Roman" w:hAnsi="Times New Roman" w:cs="Times New Roman"/>
          <w:noProof/>
          <w:sz w:val="20"/>
          <w:szCs w:val="24"/>
        </w:rPr>
        <w:tab/>
        <w:t>Ferrag MA, Maglaras LA, Janicke H, Jiang J, Shu L. A systematic review of data protection and privacy preservation schemes for smart grid communications. Sustain Cities Soc 2018;38:806–35. https://doi.org/10.1016/J.SCS.2017.12.041.</w:t>
      </w:r>
    </w:p>
    <w:p w14:paraId="76BD311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[189]</w:t>
      </w:r>
      <w:r w:rsidRPr="003676D3">
        <w:rPr>
          <w:rFonts w:ascii="Times New Roman" w:hAnsi="Times New Roman" w:cs="Times New Roman"/>
          <w:noProof/>
          <w:sz w:val="20"/>
          <w:szCs w:val="24"/>
        </w:rPr>
        <w:tab/>
        <w:t>Wang W, Hoang DT, Hu P, Xiong Z, Niyato D, Wang P, et al. A Survey on Consensus Mechanisms and Mining Strategy Management in Blockchain Networks. IEEE Access 2018;7:22328–70. https://doi.org/10.1109/ACCESS.2019.2896108.</w:t>
      </w:r>
    </w:p>
    <w:p w14:paraId="5311873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[190]</w:t>
      </w:r>
      <w:r w:rsidRPr="003676D3">
        <w:rPr>
          <w:rFonts w:ascii="Times New Roman" w:hAnsi="Times New Roman" w:cs="Times New Roman"/>
          <w:noProof/>
          <w:sz w:val="20"/>
          <w:szCs w:val="24"/>
        </w:rPr>
        <w:tab/>
        <w:t>Hossain E, Khan I, Un-Noor F, Sikander SS, Sunny MSH. Application of Big Data and Machine Learning in Smart Grid, and Associated Security Concerns: A Review. IEEE Access 2019;7:13960–88. https://doi.org/10.1109/ACCESS.2019.2894819.</w:t>
      </w:r>
    </w:p>
    <w:p w14:paraId="627C270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[191]</w:t>
      </w:r>
      <w:r w:rsidRPr="003676D3">
        <w:rPr>
          <w:rFonts w:ascii="Times New Roman" w:hAnsi="Times New Roman" w:cs="Times New Roman"/>
          <w:noProof/>
          <w:sz w:val="20"/>
          <w:szCs w:val="24"/>
        </w:rPr>
        <w:tab/>
        <w:t>Alladi T, Chamola V, Rodrigues JJPC, Kozlov SA. Blockchain in Smart Grids: A Review on Different Use Cases. Sensors 2019, Vol 19, Page 4862 2019;19:4862. https://doi.org/10.3390/S19224862.</w:t>
      </w:r>
    </w:p>
    <w:p w14:paraId="4FF3567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[192]</w:t>
      </w:r>
      <w:r w:rsidRPr="003676D3">
        <w:rPr>
          <w:rFonts w:ascii="Times New Roman" w:hAnsi="Times New Roman" w:cs="Times New Roman"/>
          <w:noProof/>
          <w:sz w:val="20"/>
          <w:szCs w:val="24"/>
        </w:rPr>
        <w:tab/>
        <w:t>Tightiz L, Yang H. A Comprehensive Review on IoT Protocols’ Features in Smart Grid Communication. Energies 2020, Vol 13, Page 2762 2020;13:2762. https://doi.org/10.3390/EN13112762.</w:t>
      </w:r>
    </w:p>
    <w:p w14:paraId="454A1D2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[193]</w:t>
      </w:r>
      <w:r w:rsidRPr="003676D3">
        <w:rPr>
          <w:rFonts w:ascii="Times New Roman" w:hAnsi="Times New Roman" w:cs="Times New Roman"/>
          <w:noProof/>
          <w:sz w:val="20"/>
          <w:szCs w:val="24"/>
        </w:rPr>
        <w:tab/>
        <w:t>Zhang H, Liu B, Wu H. Smart Grid Cyber-Physical Attack and Defense: A Review. IEEE Access 2021;9:29641–59. https://doi.org/10.1109/ACCESS.2021.3058628.</w:t>
      </w:r>
    </w:p>
    <w:p w14:paraId="474C506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[194]</w:t>
      </w:r>
      <w:r w:rsidRPr="003676D3">
        <w:rPr>
          <w:rFonts w:ascii="Times New Roman" w:hAnsi="Times New Roman" w:cs="Times New Roman"/>
          <w:noProof/>
          <w:sz w:val="20"/>
          <w:szCs w:val="24"/>
        </w:rPr>
        <w:tab/>
        <w:t>Colmenares-Quintero RF, Quiroga-Parra DJ, Rojas N, Stansfield KE, Colmenares-Quintero JC. Big Data analytics in Smart Grids for renewable energy networks: Systematic review of information and communication technology tools. Cogent Eng 2021;8. https://doi.org/10.1080/23311916.2021.1935410.</w:t>
      </w:r>
    </w:p>
    <w:p w14:paraId="55B5825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[195]</w:t>
      </w:r>
      <w:r w:rsidRPr="003676D3">
        <w:rPr>
          <w:rFonts w:ascii="Times New Roman" w:hAnsi="Times New Roman" w:cs="Times New Roman"/>
          <w:noProof/>
          <w:sz w:val="20"/>
          <w:szCs w:val="24"/>
        </w:rPr>
        <w:tab/>
        <w:t>Hojckova K, Ahlborg H, Sandén BA. A global super-grid: sociotechnical drivers and barriers. Energy Sustain Soc 2022;12:1–16. https://doi.org/10.1186/S13705-022-00368-Y/FIGURES/2.</w:t>
      </w:r>
    </w:p>
    <w:p w14:paraId="2F5543C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[196]</w:t>
      </w:r>
      <w:r w:rsidRPr="003676D3">
        <w:rPr>
          <w:rFonts w:ascii="Times New Roman" w:hAnsi="Times New Roman" w:cs="Times New Roman"/>
          <w:noProof/>
          <w:sz w:val="20"/>
          <w:szCs w:val="24"/>
        </w:rPr>
        <w:tab/>
        <w:t>De Felice F, De Luca C, Chiara S Di, Petrillo A. Physical and digital worlds: implications and opportunities of the metaverse. Procedia Comput Sci 2023;217:1744–54. https://doi.org/10.1016/J.PROCS.2022.12.374.</w:t>
      </w:r>
    </w:p>
    <w:p w14:paraId="751607C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[197]</w:t>
      </w:r>
      <w:r w:rsidRPr="003676D3">
        <w:rPr>
          <w:rFonts w:ascii="Times New Roman" w:hAnsi="Times New Roman" w:cs="Times New Roman"/>
          <w:noProof/>
          <w:sz w:val="20"/>
          <w:szCs w:val="24"/>
        </w:rPr>
        <w:tab/>
        <w:t>Sifat MMH, Choudhury SM, Das SK, Ahamed MH, Muyeen SM, Hasan MM, et al. Towards electric digital twin grid: Technology and framework review. Energy AI 2023;11:100213. https://doi.org/10.1016/J.EGYAI.2022.100213.</w:t>
      </w:r>
    </w:p>
    <w:p w14:paraId="6935390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[198]</w:t>
      </w:r>
      <w:r w:rsidRPr="003676D3">
        <w:rPr>
          <w:rFonts w:ascii="Times New Roman" w:hAnsi="Times New Roman" w:cs="Times New Roman"/>
          <w:noProof/>
          <w:sz w:val="20"/>
          <w:szCs w:val="24"/>
        </w:rPr>
        <w:tab/>
        <w:t>Kasture S, Maurya S, Verma R, Pathak N, Joshi P, Rakesh N. Green Cloud Computing for the Metaverse: Powering the Future of the Internet with Renewable Energy 2024:1–6. https://doi.org/10.1109/ICRITO61523.2024.10522167.</w:t>
      </w:r>
    </w:p>
    <w:p w14:paraId="39D8C1C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[199]</w:t>
      </w:r>
      <w:r w:rsidRPr="003676D3">
        <w:rPr>
          <w:rFonts w:ascii="Times New Roman" w:hAnsi="Times New Roman" w:cs="Times New Roman"/>
          <w:noProof/>
          <w:sz w:val="20"/>
          <w:szCs w:val="24"/>
        </w:rPr>
        <w:tab/>
        <w:t>Ruland KC, Sassmannshausen J, Waedt K, Zivic N. Smart Grid Security – ein Überblick über Standards und Richtlinien. Elektrotechnik Und Informationstechnik 2017;134:19–25. https://doi.org/10.1007/S00502-017-0472-8/METRICS.</w:t>
      </w:r>
    </w:p>
    <w:p w14:paraId="4B8F47D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[200]</w:t>
      </w:r>
      <w:r w:rsidRPr="003676D3">
        <w:rPr>
          <w:rFonts w:ascii="Times New Roman" w:hAnsi="Times New Roman" w:cs="Times New Roman"/>
          <w:noProof/>
          <w:sz w:val="20"/>
          <w:szCs w:val="24"/>
        </w:rPr>
        <w:tab/>
        <w:t>Langer L, Skopik F, Smith P, Kammerstetter M. From old to new: Assessing cybersecurity risks for an evolving smart grid. Comput Secur 2016;62:165–76. https://doi.org/10.1016/J.COSE.2016.07.008.</w:t>
      </w:r>
    </w:p>
    <w:p w14:paraId="52C3B45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[201]</w:t>
      </w:r>
      <w:r w:rsidRPr="003676D3">
        <w:rPr>
          <w:rFonts w:ascii="Times New Roman" w:hAnsi="Times New Roman" w:cs="Times New Roman"/>
          <w:noProof/>
          <w:sz w:val="20"/>
          <w:szCs w:val="24"/>
        </w:rPr>
        <w:tab/>
        <w:t>Leszczyna R. Cybersecurity and privacy in standards for smart grids – A comprehensive survey. Comput Stand Interfaces 2018;56:62–73. https://doi.org/10.1016/J.CSI.2017.09.005.</w:t>
      </w:r>
    </w:p>
    <w:p w14:paraId="38EA07A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[202]</w:t>
      </w:r>
      <w:r w:rsidRPr="003676D3">
        <w:rPr>
          <w:rFonts w:ascii="Times New Roman" w:hAnsi="Times New Roman" w:cs="Times New Roman"/>
          <w:noProof/>
          <w:sz w:val="20"/>
          <w:szCs w:val="24"/>
        </w:rPr>
        <w:tab/>
        <w:t>Neureiter C, Engel D, Trefke J, Santodomingo R, Rohjans S, Uslar M. Towards consistent smart grid architecture tool support: From use cases to visualization. IEEE PES Innov Smart Grid Technol Conf Eur 2015;2015-January. https://doi.org/10.1109/ISGTEUROPE.2014.7028834.</w:t>
      </w:r>
    </w:p>
    <w:p w14:paraId="0535802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[203]</w:t>
      </w:r>
      <w:r w:rsidRPr="003676D3">
        <w:rPr>
          <w:rFonts w:ascii="Times New Roman" w:hAnsi="Times New Roman" w:cs="Times New Roman"/>
          <w:noProof/>
          <w:sz w:val="20"/>
          <w:szCs w:val="24"/>
        </w:rPr>
        <w:tab/>
        <w:t>Wang W, Lu Z. Cyber security in the Smart Grid: Survey and challenges. Comput Networks 2013;57:1344–71. https://doi.org/10.1016/J.COMNET.2012.12.017.</w:t>
      </w:r>
    </w:p>
    <w:p w14:paraId="7081CE6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[204]</w:t>
      </w:r>
      <w:r w:rsidRPr="003676D3">
        <w:rPr>
          <w:rFonts w:ascii="Times New Roman" w:hAnsi="Times New Roman" w:cs="Times New Roman"/>
          <w:noProof/>
          <w:sz w:val="20"/>
          <w:szCs w:val="24"/>
        </w:rPr>
        <w:tab/>
        <w:t>Hahn A, Govindarasu M. Cyber attack exposure evaluation framework for the smart grid. IEEE Trans Smart Grid 2011;2:835–43. https://doi.org/10.1109/TSG.2011.2163829.</w:t>
      </w:r>
    </w:p>
    <w:p w14:paraId="3ED9144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[205]</w:t>
      </w:r>
      <w:r w:rsidRPr="003676D3">
        <w:rPr>
          <w:rFonts w:ascii="Times New Roman" w:hAnsi="Times New Roman" w:cs="Times New Roman"/>
          <w:noProof/>
          <w:sz w:val="20"/>
          <w:szCs w:val="24"/>
        </w:rPr>
        <w:tab/>
        <w:t xml:space="preserve">Batista NC, Melício R, Mendes VMF. Services enabler architecture for smart grid and smart living services providers under industry 4.0. Energy Build 2017;141:16–27. </w:t>
      </w:r>
      <w:r w:rsidRPr="003676D3">
        <w:rPr>
          <w:rFonts w:ascii="Times New Roman" w:hAnsi="Times New Roman" w:cs="Times New Roman"/>
          <w:noProof/>
          <w:sz w:val="20"/>
          <w:szCs w:val="24"/>
        </w:rPr>
        <w:lastRenderedPageBreak/>
        <w:t>https://doi.org/10.1016/J.ENBUILD.2017.02.039.</w:t>
      </w:r>
    </w:p>
    <w:p w14:paraId="28EB91D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[206]</w:t>
      </w:r>
      <w:r w:rsidRPr="003676D3">
        <w:rPr>
          <w:rFonts w:ascii="Times New Roman" w:hAnsi="Times New Roman" w:cs="Times New Roman"/>
          <w:noProof/>
          <w:sz w:val="20"/>
          <w:szCs w:val="24"/>
        </w:rPr>
        <w:tab/>
        <w:t>Sridhar S, Hahn A, Govindarasu M. Cyber-physical system security for the electric power grid. Proc IEEE 2012;100:210–24. https://doi.org/10.1109/JPROC.2011.2165269.</w:t>
      </w:r>
    </w:p>
    <w:p w14:paraId="7046480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[207]</w:t>
      </w:r>
      <w:r w:rsidRPr="003676D3">
        <w:rPr>
          <w:rFonts w:ascii="Times New Roman" w:hAnsi="Times New Roman" w:cs="Times New Roman"/>
          <w:noProof/>
          <w:sz w:val="20"/>
          <w:szCs w:val="24"/>
        </w:rPr>
        <w:tab/>
        <w:t>Fu Y, Li C, Yu FR, Luan TH, Zhao P, Liu S. A Survey of Blockchain and Intelligent Networking for the Metaverse. IEEE Internet Things J 2023;10:3587–610. https://doi.org/10.1109/JIOT.2022.3222521.</w:t>
      </w:r>
    </w:p>
    <w:p w14:paraId="534648D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[208]</w:t>
      </w:r>
      <w:r w:rsidRPr="003676D3">
        <w:rPr>
          <w:rFonts w:ascii="Times New Roman" w:hAnsi="Times New Roman" w:cs="Times New Roman"/>
          <w:noProof/>
          <w:sz w:val="20"/>
          <w:szCs w:val="24"/>
        </w:rPr>
        <w:tab/>
        <w:t>Al-Ghaili AM, Kasim H, Al-Hada NM, Hassan Z Bin, Othman M, Tharik JH, et al. A Review of Metaverse’s Definitions, Architecture, Applications, Challenges, Issues, Solutions, and Future Trends. IEEE Access 2022;10:125835–66. https://doi.org/10.1109/ACCESS.2022.3225638.</w:t>
      </w:r>
    </w:p>
    <w:p w14:paraId="4A64B27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[209]</w:t>
      </w:r>
      <w:r w:rsidRPr="003676D3">
        <w:rPr>
          <w:rFonts w:ascii="Times New Roman" w:hAnsi="Times New Roman" w:cs="Times New Roman"/>
          <w:noProof/>
          <w:sz w:val="20"/>
          <w:szCs w:val="24"/>
        </w:rPr>
        <w:tab/>
        <w:t>Jaimini U, Zhang T, Computing GB-II, 2022  undefined. iMetaverseKG: Industrial Metaverse Knowledge Graph to Promote Interoperability in Design and Engineering Applications. IeeexploreIeeeOrgU Jaimini, T Zhang, GO Brikis, A ShethIEEE Internet Comput 2022•ieeexploreIeeeOrg n.d.</w:t>
      </w:r>
    </w:p>
    <w:p w14:paraId="141FB46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[210]</w:t>
      </w:r>
      <w:r w:rsidRPr="003676D3">
        <w:rPr>
          <w:rFonts w:ascii="Times New Roman" w:hAnsi="Times New Roman" w:cs="Times New Roman"/>
          <w:noProof/>
          <w:sz w:val="20"/>
          <w:szCs w:val="24"/>
        </w:rPr>
        <w:tab/>
        <w:t>Interoperability in the Metaverse | World Economic Forum n.d. https://www.weforum.org/publications/interoperability-in-the-metaverse/ (accessed May 31, 2024).</w:t>
      </w:r>
    </w:p>
    <w:p w14:paraId="1F58DB91"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[211]</w:t>
      </w:r>
      <w:r w:rsidRPr="003676D3">
        <w:rPr>
          <w:rFonts w:ascii="Times New Roman" w:hAnsi="Times New Roman" w:cs="Times New Roman"/>
          <w:noProof/>
          <w:sz w:val="20"/>
          <w:szCs w:val="24"/>
        </w:rPr>
        <w:tab/>
        <w:t>The metaverse and communication service providers | Nokia n.d. https://www.nokia.com/blog/the-metaverse-and-communication-service-providers/ (accessed May 20, 2024).</w:t>
      </w:r>
    </w:p>
    <w:p w14:paraId="2EEBFEB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[212]</w:t>
      </w:r>
      <w:r w:rsidRPr="003676D3">
        <w:rPr>
          <w:rFonts w:ascii="Times New Roman" w:hAnsi="Times New Roman" w:cs="Times New Roman"/>
          <w:noProof/>
          <w:sz w:val="20"/>
          <w:szCs w:val="24"/>
        </w:rPr>
        <w:tab/>
        <w:t>Oleksy T, Wnuk A, Piskorska M. Migration to the metaverse and its predictors: Attachment to virtual places and metaverse-related threat. Comput Human Behav 2023;141:107642. https://doi.org/10.1016/J.CHB.2022.107642.</w:t>
      </w:r>
    </w:p>
    <w:p w14:paraId="2E97F020"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[213]</w:t>
      </w:r>
      <w:r w:rsidRPr="003676D3">
        <w:rPr>
          <w:rFonts w:ascii="Times New Roman" w:hAnsi="Times New Roman" w:cs="Times New Roman"/>
          <w:noProof/>
          <w:sz w:val="20"/>
          <w:szCs w:val="24"/>
        </w:rPr>
        <w:tab/>
        <w:t>Kuo SY, Tseng FH, Chou YH. Metaverse intrusion detection of wormhole attacks based on a novel statistical mechanism. Futur Gener Comput Syst 2023;143:179–90. https://doi.org/10.1016/J.FUTURE.2023.01.017.</w:t>
      </w:r>
    </w:p>
    <w:p w14:paraId="15E3CB34"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[214]</w:t>
      </w:r>
      <w:r w:rsidRPr="003676D3">
        <w:rPr>
          <w:rFonts w:ascii="Times New Roman" w:hAnsi="Times New Roman" w:cs="Times New Roman"/>
          <w:noProof/>
          <w:sz w:val="20"/>
          <w:szCs w:val="24"/>
        </w:rPr>
        <w:tab/>
        <w:t>Qamar S, Anwar Z, Afzal M. A systematic threat analysis and defense strategies for the metaverse and extended reality systems. Comput Secur 2023;128:103127. https://doi.org/10.1016/J.COSE.2023.103127.</w:t>
      </w:r>
    </w:p>
    <w:p w14:paraId="5EF7399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[215]</w:t>
      </w:r>
      <w:r w:rsidRPr="003676D3">
        <w:rPr>
          <w:rFonts w:ascii="Times New Roman" w:hAnsi="Times New Roman" w:cs="Times New Roman"/>
          <w:noProof/>
          <w:sz w:val="20"/>
          <w:szCs w:val="24"/>
        </w:rPr>
        <w:tab/>
        <w:t>Data Management For The Metaverse – ACM SIGMOD Blog n.d. https://wp.sigmod.org/?p=3481 (accessed May 20, 2024).</w:t>
      </w:r>
    </w:p>
    <w:p w14:paraId="4D6A574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[216]</w:t>
      </w:r>
      <w:r w:rsidRPr="003676D3">
        <w:rPr>
          <w:rFonts w:ascii="Times New Roman" w:hAnsi="Times New Roman" w:cs="Times New Roman"/>
          <w:noProof/>
          <w:sz w:val="20"/>
          <w:szCs w:val="24"/>
        </w:rPr>
        <w:tab/>
        <w:t>No country has jurisdiction over the metaverse (yet) | BSA Middle East Law Firm n.d. https://bsabh.com/knowledge-hub/news/no-country-has-jurisdiction-over-the-metaverse-yet (accessed May 20, 2024).</w:t>
      </w:r>
    </w:p>
    <w:p w14:paraId="03A3732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[217]</w:t>
      </w:r>
      <w:r w:rsidRPr="003676D3">
        <w:rPr>
          <w:rFonts w:ascii="Times New Roman" w:hAnsi="Times New Roman" w:cs="Times New Roman"/>
          <w:noProof/>
          <w:sz w:val="20"/>
          <w:szCs w:val="24"/>
        </w:rPr>
        <w:tab/>
        <w:t>Chen Z, Gan W, Wu J, Lin H, Chen CM. Metaverse for smart cities: A survey. Internet Things Cyber-Physical Syst 2024;4:203–16. https://doi.org/10.1016/J.IOTCPS.2023.12.002.</w:t>
      </w:r>
    </w:p>
    <w:p w14:paraId="3085344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[218]</w:t>
      </w:r>
      <w:r w:rsidRPr="003676D3">
        <w:rPr>
          <w:rFonts w:ascii="Times New Roman" w:hAnsi="Times New Roman" w:cs="Times New Roman"/>
          <w:noProof/>
          <w:sz w:val="20"/>
          <w:szCs w:val="24"/>
        </w:rPr>
        <w:tab/>
        <w:t>Ometov A, Bezzateev S, Mäkitalo N, Andreev S, Mikkonen T, Koucheryavy Y. Multi-factor authentication: A survey. Cryptography 2018;2:1–31. https://doi.org/10.3390/CRYPTOGRAPHY2010001.</w:t>
      </w:r>
    </w:p>
    <w:p w14:paraId="013429FF"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[219]</w:t>
      </w:r>
      <w:r w:rsidRPr="003676D3">
        <w:rPr>
          <w:rFonts w:ascii="Times New Roman" w:hAnsi="Times New Roman" w:cs="Times New Roman"/>
          <w:noProof/>
          <w:sz w:val="20"/>
          <w:szCs w:val="24"/>
        </w:rPr>
        <w:tab/>
        <w:t>Petsas T, Tsirantonakis G, … EA-P of the, 2015  undefined. Two-factor authentication: is the world ready? Quantifying 2FA adoption. DlAcmOrgT Petsas, G Tsirantonakis, E Athanasopoulos, S IoannidisProceedings Eighth Eur Work Syst Secur 2015•dlAcmOrg 2015. https://doi.org/10.1145/2751323.2751327.</w:t>
      </w:r>
    </w:p>
    <w:p w14:paraId="493BBBB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[220]</w:t>
      </w:r>
      <w:r w:rsidRPr="003676D3">
        <w:rPr>
          <w:rFonts w:ascii="Times New Roman" w:hAnsi="Times New Roman" w:cs="Times New Roman"/>
          <w:noProof/>
          <w:sz w:val="20"/>
          <w:szCs w:val="24"/>
        </w:rPr>
        <w:tab/>
        <w:t>Wang D, He D, Wang P, on CC-IT, 2014  undefined. Anonymous two-factor authentication in distributed systems: Certain goals are beyond attainment. IeeexploreIeeeOrgD Wang, D He, P Wang, CH ChuIEEE Trans Dependable Secur Comput 2014•ieeexploreIeeeOrg 2014;12:428–42. https://doi.org/10.1109/TDSC.2014.2355850.</w:t>
      </w:r>
    </w:p>
    <w:p w14:paraId="139CDEB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[221]</w:t>
      </w:r>
      <w:r w:rsidRPr="003676D3">
        <w:rPr>
          <w:rFonts w:ascii="Times New Roman" w:hAnsi="Times New Roman" w:cs="Times New Roman"/>
          <w:noProof/>
          <w:sz w:val="20"/>
          <w:szCs w:val="24"/>
        </w:rPr>
        <w:tab/>
        <w:t>Lee L-H, Braud T, Zhou P, Wang L, Xu D, Lin Z, et al. All One Needs to Know about Metaverse: A Complete Survey on Technological Singularity, Virtual Ecosystem, and Research Agenda 2021.</w:t>
      </w:r>
    </w:p>
    <w:p w14:paraId="04187D6E"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[222]</w:t>
      </w:r>
      <w:r w:rsidRPr="003676D3">
        <w:rPr>
          <w:rFonts w:ascii="Times New Roman" w:hAnsi="Times New Roman" w:cs="Times New Roman"/>
          <w:noProof/>
          <w:sz w:val="20"/>
          <w:szCs w:val="24"/>
        </w:rPr>
        <w:tab/>
        <w:t>Zhang X, Huang X, Yin H, Huang J, Chai S, Xing B, et al. LLAKEP: A Low-Latency Authentication and Key Exchange Protocol for Energy Internet of Things in the Metaverse Era. Math 2022, Vol 10, Page 2545 2022;10:2545. https://doi.org/10.3390/MATH10142545.</w:t>
      </w:r>
    </w:p>
    <w:p w14:paraId="3A9096DD"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lastRenderedPageBreak/>
        <w:t>[223]</w:t>
      </w:r>
      <w:r w:rsidRPr="003676D3">
        <w:rPr>
          <w:rFonts w:ascii="Times New Roman" w:hAnsi="Times New Roman" w:cs="Times New Roman"/>
          <w:noProof/>
          <w:sz w:val="20"/>
          <w:szCs w:val="24"/>
        </w:rPr>
        <w:tab/>
        <w:t>Connor PM, Axon CJ, Xenias D, Balta-Ozkan N. Sources of risk and uncertainty in UK smart grid deployment: An expert stakeholder analysis. Energy 2018;161:1–9. https://doi.org/10.1016/J.ENERGY.2018.07.115.</w:t>
      </w:r>
    </w:p>
    <w:p w14:paraId="57F87513"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[224]</w:t>
      </w:r>
      <w:r w:rsidRPr="003676D3">
        <w:rPr>
          <w:rFonts w:ascii="Times New Roman" w:hAnsi="Times New Roman" w:cs="Times New Roman"/>
          <w:noProof/>
          <w:sz w:val="20"/>
          <w:szCs w:val="24"/>
        </w:rPr>
        <w:tab/>
        <w:t>Vaccaro A, Pisica I, Lai LL, Zobaa AF. A review of enabling methodologies for information processing in smart grids. Int J Electr Power Energy Syst 2019;107:516–22. https://doi.org/10.1016/J.IJEPES.2018.11.034.</w:t>
      </w:r>
    </w:p>
    <w:p w14:paraId="71B03D1B"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[225]</w:t>
      </w:r>
      <w:r w:rsidRPr="003676D3">
        <w:rPr>
          <w:rFonts w:ascii="Times New Roman" w:hAnsi="Times New Roman" w:cs="Times New Roman"/>
          <w:noProof/>
          <w:sz w:val="20"/>
          <w:szCs w:val="24"/>
        </w:rPr>
        <w:tab/>
        <w:t>Hu J, Vasilakos A V. Energy Big Data Analytics and Security: Challenges and Opportunities. IEEE Trans Smart Grid 2016;7:2423–36. https://doi.org/10.1109/TSG.2016.2563461.</w:t>
      </w:r>
    </w:p>
    <w:p w14:paraId="11252188"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[226]</w:t>
      </w:r>
      <w:r w:rsidRPr="003676D3">
        <w:rPr>
          <w:rFonts w:ascii="Times New Roman" w:hAnsi="Times New Roman" w:cs="Times New Roman"/>
          <w:noProof/>
          <w:sz w:val="20"/>
          <w:szCs w:val="24"/>
        </w:rPr>
        <w:tab/>
        <w:t>Tu C, He X, Shuai Z, Energy FJ-R and S, 2017  undefined. Big data issues in smart grid–A review. ElsevierC Tu, X He, Z Shuai, F JiangRenewable Sustain Energy Rev 2017•Elsevier 2017;79:1099–107. https://doi.org/10.1016/j.rser.2017.05.134.</w:t>
      </w:r>
    </w:p>
    <w:p w14:paraId="58842776"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[227]</w:t>
      </w:r>
      <w:r w:rsidRPr="003676D3">
        <w:rPr>
          <w:rFonts w:ascii="Times New Roman" w:hAnsi="Times New Roman" w:cs="Times New Roman"/>
          <w:noProof/>
          <w:sz w:val="20"/>
          <w:szCs w:val="24"/>
        </w:rPr>
        <w:tab/>
        <w:t>Dalipi F, … SY-C on FI of T, 2016  undefined. Security and privacy considerations for iot application on smart grids: Survey and research challenges. IeeexploreIeeeOrgF Dalipi, SY Yayilgan2016 IEEE 4th Int Conf Futur Internet of, 2016•ieeexploreIeeeOrg n.d.</w:t>
      </w:r>
    </w:p>
    <w:p w14:paraId="60EAB787"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[228]</w:t>
      </w:r>
      <w:r w:rsidRPr="003676D3">
        <w:rPr>
          <w:rFonts w:ascii="Times New Roman" w:hAnsi="Times New Roman" w:cs="Times New Roman"/>
          <w:noProof/>
          <w:sz w:val="20"/>
          <w:szCs w:val="24"/>
        </w:rPr>
        <w:tab/>
        <w:t>Shen H, Zhang M, Information JS-IT on, 2017  undefined. Efficient privacy-preserving cube-data aggregation scheme for smart grids. IeeexploreIeeeOrgH Shen, M Zhang, J ShenIEEE Trans Inf Forensics Secur 2017•ieeexploreIeeeOrg 2017;12:1369. https://doi.org/10.1109/TIFS.2017.2656475.</w:t>
      </w:r>
    </w:p>
    <w:p w14:paraId="278F91D5"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[229]</w:t>
      </w:r>
      <w:r w:rsidRPr="003676D3">
        <w:rPr>
          <w:rFonts w:ascii="Times New Roman" w:hAnsi="Times New Roman" w:cs="Times New Roman"/>
          <w:noProof/>
          <w:sz w:val="20"/>
          <w:szCs w:val="24"/>
        </w:rPr>
        <w:tab/>
        <w:t>Tahir M, Khan A, Hameed A, Masoom Alam M, Alam M, Khurram Khan M, et al. Towards a set aggregation-based data integrity scheme for smart grids. SpringerM Tahir, A Khan, A Hameed, M Alam, MK Khan, F JabeenAnnals Telecommun 2017•Springer 2017;72:551–61. https://doi.org/10.1007/s12243-017-0602-7.</w:t>
      </w:r>
    </w:p>
    <w:p w14:paraId="49DA5F6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[230]</w:t>
      </w:r>
      <w:r w:rsidRPr="003676D3">
        <w:rPr>
          <w:rFonts w:ascii="Times New Roman" w:hAnsi="Times New Roman" w:cs="Times New Roman"/>
          <w:noProof/>
          <w:sz w:val="20"/>
          <w:szCs w:val="24"/>
        </w:rPr>
        <w:tab/>
        <w:t>Khan MW, Zeeshan M, Farid A, Usman M. QoS-aware traffic scheduling framework in cognitive radio based smart grids using multi-objective optimization of latency and throughput. Ad Hoc Networks 2020;97. https://doi.org/10.1016/J.ADHOC.2019.102020.</w:t>
      </w:r>
    </w:p>
    <w:p w14:paraId="598B207A"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[231]</w:t>
      </w:r>
      <w:r w:rsidRPr="003676D3">
        <w:rPr>
          <w:rFonts w:ascii="Times New Roman" w:hAnsi="Times New Roman" w:cs="Times New Roman"/>
          <w:noProof/>
          <w:sz w:val="20"/>
          <w:szCs w:val="24"/>
        </w:rPr>
        <w:tab/>
        <w:t>Wan Yen S, Morris S, Ezra MAG, Jun Huat T. Effect of smart meter data collection frequency in an early detection of shorter-duration voltage anomalies in smart grids. Int J Electr Power Energy Syst 2019;109:1–8. https://doi.org/10.1016/J.IJEPES.2019.01.039.</w:t>
      </w:r>
    </w:p>
    <w:p w14:paraId="4969C049"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[232]</w:t>
      </w:r>
      <w:r w:rsidRPr="003676D3">
        <w:rPr>
          <w:rFonts w:ascii="Times New Roman" w:hAnsi="Times New Roman" w:cs="Times New Roman"/>
          <w:noProof/>
          <w:sz w:val="20"/>
          <w:szCs w:val="24"/>
        </w:rPr>
        <w:tab/>
        <w:t>Zhao J, Zhou X, Li Y, Qian L. Optimizing Utility-Energy Efficiency for the Metaverse over Wireless Networks under Physical Layer Security. Proc Twenty-Fourth Int Symp Theory, Algorithmic Found Protoc Des Mob Networks Mob Comput 2023;23:250–9. https://doi.org/10.1145/3565287.3610271.</w:t>
      </w:r>
    </w:p>
    <w:p w14:paraId="790293C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szCs w:val="24"/>
        </w:rPr>
      </w:pPr>
      <w:r w:rsidRPr="003676D3">
        <w:rPr>
          <w:rFonts w:ascii="Times New Roman" w:hAnsi="Times New Roman" w:cs="Times New Roman"/>
          <w:noProof/>
          <w:sz w:val="20"/>
          <w:szCs w:val="24"/>
        </w:rPr>
        <w:t>[233]</w:t>
      </w:r>
      <w:r w:rsidRPr="003676D3">
        <w:rPr>
          <w:rFonts w:ascii="Times New Roman" w:hAnsi="Times New Roman" w:cs="Times New Roman"/>
          <w:noProof/>
          <w:sz w:val="20"/>
          <w:szCs w:val="24"/>
        </w:rPr>
        <w:tab/>
        <w:t>Zhang S, Lim WYB, Ng WC, Xiong Z, Niyato D, Shen X, et al. Towards Green Metaverse Networking Technologies, Advancements and Future Directions. ArXiv n.d.;abs/2211.03057. https://doi.org/10.48550/ARXIV.2211.03057.</w:t>
      </w:r>
    </w:p>
    <w:p w14:paraId="72ECECCC" w14:textId="77777777" w:rsidR="00C312C2" w:rsidRPr="003676D3" w:rsidRDefault="00C312C2" w:rsidP="003676D3">
      <w:pPr>
        <w:widowControl w:val="0"/>
        <w:autoSpaceDE w:val="0"/>
        <w:autoSpaceDN w:val="0"/>
        <w:adjustRightInd w:val="0"/>
        <w:spacing w:before="100" w:after="100" w:line="276" w:lineRule="auto"/>
        <w:ind w:left="640" w:hanging="640"/>
        <w:jc w:val="both"/>
        <w:rPr>
          <w:rFonts w:ascii="Times New Roman" w:hAnsi="Times New Roman" w:cs="Times New Roman"/>
          <w:noProof/>
          <w:sz w:val="20"/>
        </w:rPr>
      </w:pPr>
      <w:r w:rsidRPr="003676D3">
        <w:rPr>
          <w:rFonts w:ascii="Times New Roman" w:hAnsi="Times New Roman" w:cs="Times New Roman"/>
          <w:noProof/>
          <w:sz w:val="20"/>
          <w:szCs w:val="24"/>
        </w:rPr>
        <w:t>[234]</w:t>
      </w:r>
      <w:r w:rsidRPr="003676D3">
        <w:rPr>
          <w:rFonts w:ascii="Times New Roman" w:hAnsi="Times New Roman" w:cs="Times New Roman"/>
          <w:noProof/>
          <w:sz w:val="20"/>
          <w:szCs w:val="24"/>
        </w:rPr>
        <w:tab/>
        <w:t>Feltes JW, Gemmell BD, Retzmann D. From smart grid to super grid: Solutions with HVDC and FACTS for grid access of renewable energy sources. IEEE Power Energy Soc Gen Meet 2011. https://doi.org/10.1109/PES.2011.6039346.</w:t>
      </w:r>
    </w:p>
    <w:p w14:paraId="72C0C68A" w14:textId="517F4C3D" w:rsidR="00F6280D" w:rsidRPr="003676D3" w:rsidRDefault="000B698A" w:rsidP="003676D3">
      <w:pPr>
        <w:spacing w:before="100" w:beforeAutospacing="1" w:after="100" w:afterAutospacing="1" w:line="276" w:lineRule="auto"/>
        <w:jc w:val="both"/>
        <w:rPr>
          <w:rFonts w:ascii="Times New Roman" w:eastAsia="Times New Roman" w:hAnsi="Times New Roman" w:cs="Times New Roman"/>
          <w:sz w:val="24"/>
          <w:szCs w:val="24"/>
          <w:lang w:eastAsia="en-GB"/>
        </w:rPr>
      </w:pPr>
      <w:r w:rsidRPr="003676D3">
        <w:rPr>
          <w:rFonts w:ascii="Times New Roman" w:eastAsia="Times New Roman" w:hAnsi="Times New Roman" w:cs="Times New Roman"/>
          <w:sz w:val="24"/>
          <w:szCs w:val="24"/>
          <w:lang w:eastAsia="en-GB"/>
        </w:rPr>
        <w:fldChar w:fldCharType="end"/>
      </w:r>
    </w:p>
    <w:sectPr w:rsidR="00F6280D" w:rsidRPr="003676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 SIL">
    <w:charset w:val="00"/>
    <w:family w:val="auto"/>
    <w:pitch w:val="variable"/>
    <w:sig w:usb0="A00002FF" w:usb1="5200E1FF" w:usb2="02000029"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52418"/>
    <w:multiLevelType w:val="multilevel"/>
    <w:tmpl w:val="ECE2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C0DC7"/>
    <w:multiLevelType w:val="multilevel"/>
    <w:tmpl w:val="7E6E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67A29"/>
    <w:multiLevelType w:val="hybridMultilevel"/>
    <w:tmpl w:val="BC2A1B6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32591E"/>
    <w:multiLevelType w:val="multilevel"/>
    <w:tmpl w:val="47CA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9062291">
    <w:abstractNumId w:val="2"/>
  </w:num>
  <w:num w:numId="2" w16cid:durableId="1653830697">
    <w:abstractNumId w:val="1"/>
  </w:num>
  <w:num w:numId="3" w16cid:durableId="478422306">
    <w:abstractNumId w:val="3"/>
  </w:num>
  <w:num w:numId="4" w16cid:durableId="2137284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C42"/>
    <w:rsid w:val="00010FA7"/>
    <w:rsid w:val="000117E2"/>
    <w:rsid w:val="000128C6"/>
    <w:rsid w:val="00014F88"/>
    <w:rsid w:val="00031B50"/>
    <w:rsid w:val="00063128"/>
    <w:rsid w:val="00084F2D"/>
    <w:rsid w:val="00094C6B"/>
    <w:rsid w:val="000A625F"/>
    <w:rsid w:val="000B4329"/>
    <w:rsid w:val="000B698A"/>
    <w:rsid w:val="000C3976"/>
    <w:rsid w:val="000D2AF9"/>
    <w:rsid w:val="000D4F6A"/>
    <w:rsid w:val="000E1E44"/>
    <w:rsid w:val="000E2E14"/>
    <w:rsid w:val="000F345D"/>
    <w:rsid w:val="000F566C"/>
    <w:rsid w:val="000F72A6"/>
    <w:rsid w:val="00112021"/>
    <w:rsid w:val="001159D3"/>
    <w:rsid w:val="00115C7C"/>
    <w:rsid w:val="00116D42"/>
    <w:rsid w:val="00124498"/>
    <w:rsid w:val="00132774"/>
    <w:rsid w:val="0013551F"/>
    <w:rsid w:val="00136F81"/>
    <w:rsid w:val="00154005"/>
    <w:rsid w:val="00191B7D"/>
    <w:rsid w:val="00194683"/>
    <w:rsid w:val="001A1FD1"/>
    <w:rsid w:val="001A3314"/>
    <w:rsid w:val="001B0655"/>
    <w:rsid w:val="001B2B30"/>
    <w:rsid w:val="001C1047"/>
    <w:rsid w:val="001C43F6"/>
    <w:rsid w:val="001C72F0"/>
    <w:rsid w:val="001D24E5"/>
    <w:rsid w:val="001D3358"/>
    <w:rsid w:val="001D6C16"/>
    <w:rsid w:val="001E4225"/>
    <w:rsid w:val="001F368F"/>
    <w:rsid w:val="001F3859"/>
    <w:rsid w:val="001F6C3B"/>
    <w:rsid w:val="001F73AA"/>
    <w:rsid w:val="002006E2"/>
    <w:rsid w:val="002021FB"/>
    <w:rsid w:val="00203295"/>
    <w:rsid w:val="00204553"/>
    <w:rsid w:val="002065B7"/>
    <w:rsid w:val="0020701D"/>
    <w:rsid w:val="00212972"/>
    <w:rsid w:val="00213C51"/>
    <w:rsid w:val="00215127"/>
    <w:rsid w:val="002431D5"/>
    <w:rsid w:val="002469AE"/>
    <w:rsid w:val="00247091"/>
    <w:rsid w:val="0025124C"/>
    <w:rsid w:val="0025700A"/>
    <w:rsid w:val="00263862"/>
    <w:rsid w:val="00264D90"/>
    <w:rsid w:val="00271976"/>
    <w:rsid w:val="00273E87"/>
    <w:rsid w:val="00277732"/>
    <w:rsid w:val="00290CD3"/>
    <w:rsid w:val="002A3CCA"/>
    <w:rsid w:val="002A7177"/>
    <w:rsid w:val="002B3FEA"/>
    <w:rsid w:val="002B500E"/>
    <w:rsid w:val="002C2F33"/>
    <w:rsid w:val="002C502A"/>
    <w:rsid w:val="002D078A"/>
    <w:rsid w:val="002D2AB0"/>
    <w:rsid w:val="002D2D18"/>
    <w:rsid w:val="002E27BC"/>
    <w:rsid w:val="002E3991"/>
    <w:rsid w:val="002E7150"/>
    <w:rsid w:val="00306F95"/>
    <w:rsid w:val="00312D27"/>
    <w:rsid w:val="0036426F"/>
    <w:rsid w:val="003676D3"/>
    <w:rsid w:val="00370893"/>
    <w:rsid w:val="003725D5"/>
    <w:rsid w:val="00374E65"/>
    <w:rsid w:val="00391C26"/>
    <w:rsid w:val="00392332"/>
    <w:rsid w:val="00394175"/>
    <w:rsid w:val="00396778"/>
    <w:rsid w:val="003972F8"/>
    <w:rsid w:val="00397923"/>
    <w:rsid w:val="003A3E12"/>
    <w:rsid w:val="003A3F44"/>
    <w:rsid w:val="003A6D00"/>
    <w:rsid w:val="003B3E2E"/>
    <w:rsid w:val="003B6A5E"/>
    <w:rsid w:val="003B6E51"/>
    <w:rsid w:val="003C1117"/>
    <w:rsid w:val="003C42E4"/>
    <w:rsid w:val="003D155C"/>
    <w:rsid w:val="003D7C42"/>
    <w:rsid w:val="003E3F7F"/>
    <w:rsid w:val="003E60B6"/>
    <w:rsid w:val="003F10B0"/>
    <w:rsid w:val="003F2161"/>
    <w:rsid w:val="003F3758"/>
    <w:rsid w:val="003F705A"/>
    <w:rsid w:val="00401836"/>
    <w:rsid w:val="00402291"/>
    <w:rsid w:val="004039BC"/>
    <w:rsid w:val="00410C91"/>
    <w:rsid w:val="00412050"/>
    <w:rsid w:val="00416F82"/>
    <w:rsid w:val="0042604B"/>
    <w:rsid w:val="004311FD"/>
    <w:rsid w:val="004334E7"/>
    <w:rsid w:val="0044433A"/>
    <w:rsid w:val="00463AE9"/>
    <w:rsid w:val="004658A8"/>
    <w:rsid w:val="004666ED"/>
    <w:rsid w:val="00467564"/>
    <w:rsid w:val="0048335E"/>
    <w:rsid w:val="00484832"/>
    <w:rsid w:val="0049516E"/>
    <w:rsid w:val="004A15C3"/>
    <w:rsid w:val="004A3099"/>
    <w:rsid w:val="004B1918"/>
    <w:rsid w:val="004B4472"/>
    <w:rsid w:val="004C03B2"/>
    <w:rsid w:val="004C3AFC"/>
    <w:rsid w:val="004C6214"/>
    <w:rsid w:val="004C7490"/>
    <w:rsid w:val="004D2481"/>
    <w:rsid w:val="004D3404"/>
    <w:rsid w:val="004D391F"/>
    <w:rsid w:val="004D5C0E"/>
    <w:rsid w:val="004E60A3"/>
    <w:rsid w:val="004F1909"/>
    <w:rsid w:val="004F3BF9"/>
    <w:rsid w:val="004F4B0D"/>
    <w:rsid w:val="005032FB"/>
    <w:rsid w:val="005100F2"/>
    <w:rsid w:val="00515563"/>
    <w:rsid w:val="005321B4"/>
    <w:rsid w:val="00532943"/>
    <w:rsid w:val="00533EFA"/>
    <w:rsid w:val="00534673"/>
    <w:rsid w:val="00540A3F"/>
    <w:rsid w:val="00540AED"/>
    <w:rsid w:val="005418F0"/>
    <w:rsid w:val="00546C26"/>
    <w:rsid w:val="00546E52"/>
    <w:rsid w:val="00555017"/>
    <w:rsid w:val="00560079"/>
    <w:rsid w:val="00572084"/>
    <w:rsid w:val="005775B1"/>
    <w:rsid w:val="00585793"/>
    <w:rsid w:val="0058724B"/>
    <w:rsid w:val="0059174B"/>
    <w:rsid w:val="00594E60"/>
    <w:rsid w:val="005979C0"/>
    <w:rsid w:val="005A7176"/>
    <w:rsid w:val="005B0EA0"/>
    <w:rsid w:val="005D1AA4"/>
    <w:rsid w:val="005E2E9B"/>
    <w:rsid w:val="005E3DB3"/>
    <w:rsid w:val="005E4980"/>
    <w:rsid w:val="005F07A5"/>
    <w:rsid w:val="005F75B8"/>
    <w:rsid w:val="00606264"/>
    <w:rsid w:val="006140C0"/>
    <w:rsid w:val="00616FF6"/>
    <w:rsid w:val="00620BEE"/>
    <w:rsid w:val="00624232"/>
    <w:rsid w:val="00624D3A"/>
    <w:rsid w:val="0062682E"/>
    <w:rsid w:val="006326DB"/>
    <w:rsid w:val="00636FE7"/>
    <w:rsid w:val="00637133"/>
    <w:rsid w:val="0063796A"/>
    <w:rsid w:val="00644D33"/>
    <w:rsid w:val="00645477"/>
    <w:rsid w:val="00646382"/>
    <w:rsid w:val="0065459A"/>
    <w:rsid w:val="006628AC"/>
    <w:rsid w:val="006750D2"/>
    <w:rsid w:val="0067737A"/>
    <w:rsid w:val="00682E21"/>
    <w:rsid w:val="006907A2"/>
    <w:rsid w:val="006A6F94"/>
    <w:rsid w:val="006A7299"/>
    <w:rsid w:val="006C0EE1"/>
    <w:rsid w:val="006C31FB"/>
    <w:rsid w:val="006D62F8"/>
    <w:rsid w:val="006D6D2E"/>
    <w:rsid w:val="006E12B0"/>
    <w:rsid w:val="006E1DBB"/>
    <w:rsid w:val="006E6D67"/>
    <w:rsid w:val="006F37A0"/>
    <w:rsid w:val="00705F21"/>
    <w:rsid w:val="00724DEC"/>
    <w:rsid w:val="00724E60"/>
    <w:rsid w:val="007345F4"/>
    <w:rsid w:val="00747DDB"/>
    <w:rsid w:val="0075169D"/>
    <w:rsid w:val="0075375C"/>
    <w:rsid w:val="00754013"/>
    <w:rsid w:val="00756351"/>
    <w:rsid w:val="00763330"/>
    <w:rsid w:val="007644A4"/>
    <w:rsid w:val="00764C60"/>
    <w:rsid w:val="00765BD2"/>
    <w:rsid w:val="0078669F"/>
    <w:rsid w:val="00787F42"/>
    <w:rsid w:val="00790A3B"/>
    <w:rsid w:val="0079227B"/>
    <w:rsid w:val="007C4B47"/>
    <w:rsid w:val="007C7973"/>
    <w:rsid w:val="007D1796"/>
    <w:rsid w:val="007D65CB"/>
    <w:rsid w:val="007E257C"/>
    <w:rsid w:val="00803383"/>
    <w:rsid w:val="0080479B"/>
    <w:rsid w:val="008065B6"/>
    <w:rsid w:val="0081302A"/>
    <w:rsid w:val="00820DC7"/>
    <w:rsid w:val="00821E90"/>
    <w:rsid w:val="0082783E"/>
    <w:rsid w:val="008356FD"/>
    <w:rsid w:val="00836A62"/>
    <w:rsid w:val="00836FE5"/>
    <w:rsid w:val="0084199D"/>
    <w:rsid w:val="00842807"/>
    <w:rsid w:val="00845D6E"/>
    <w:rsid w:val="008473C5"/>
    <w:rsid w:val="00847F5A"/>
    <w:rsid w:val="0085289C"/>
    <w:rsid w:val="008538EA"/>
    <w:rsid w:val="00871B92"/>
    <w:rsid w:val="00886C5A"/>
    <w:rsid w:val="00892BF8"/>
    <w:rsid w:val="00895F20"/>
    <w:rsid w:val="00896CD2"/>
    <w:rsid w:val="008C530B"/>
    <w:rsid w:val="008D1E2C"/>
    <w:rsid w:val="008D411B"/>
    <w:rsid w:val="008D5D6E"/>
    <w:rsid w:val="008E0274"/>
    <w:rsid w:val="008E2CC7"/>
    <w:rsid w:val="008E3C66"/>
    <w:rsid w:val="008E437B"/>
    <w:rsid w:val="008E7079"/>
    <w:rsid w:val="008F200C"/>
    <w:rsid w:val="008F63AC"/>
    <w:rsid w:val="008F63C1"/>
    <w:rsid w:val="0090025B"/>
    <w:rsid w:val="00900F10"/>
    <w:rsid w:val="00906555"/>
    <w:rsid w:val="00907D92"/>
    <w:rsid w:val="00910AA2"/>
    <w:rsid w:val="009122EE"/>
    <w:rsid w:val="0092012F"/>
    <w:rsid w:val="009248F7"/>
    <w:rsid w:val="00926883"/>
    <w:rsid w:val="00940258"/>
    <w:rsid w:val="00944A26"/>
    <w:rsid w:val="009573AC"/>
    <w:rsid w:val="00970A38"/>
    <w:rsid w:val="00971EC8"/>
    <w:rsid w:val="00972BF0"/>
    <w:rsid w:val="009837FA"/>
    <w:rsid w:val="00983CE6"/>
    <w:rsid w:val="0098538F"/>
    <w:rsid w:val="00993A45"/>
    <w:rsid w:val="00996978"/>
    <w:rsid w:val="009A0FCC"/>
    <w:rsid w:val="009B79FF"/>
    <w:rsid w:val="009D0E7D"/>
    <w:rsid w:val="009E094F"/>
    <w:rsid w:val="00A10F90"/>
    <w:rsid w:val="00A320EA"/>
    <w:rsid w:val="00A33A51"/>
    <w:rsid w:val="00A41422"/>
    <w:rsid w:val="00A415BF"/>
    <w:rsid w:val="00A556F5"/>
    <w:rsid w:val="00A705BC"/>
    <w:rsid w:val="00A715A2"/>
    <w:rsid w:val="00A75C9F"/>
    <w:rsid w:val="00A8492C"/>
    <w:rsid w:val="00A86A12"/>
    <w:rsid w:val="00A875CF"/>
    <w:rsid w:val="00A95DD0"/>
    <w:rsid w:val="00A9612E"/>
    <w:rsid w:val="00AA2AD6"/>
    <w:rsid w:val="00AA55C8"/>
    <w:rsid w:val="00AA5672"/>
    <w:rsid w:val="00AB7383"/>
    <w:rsid w:val="00AC16AF"/>
    <w:rsid w:val="00AE5338"/>
    <w:rsid w:val="00AE5731"/>
    <w:rsid w:val="00AE616E"/>
    <w:rsid w:val="00AF7C09"/>
    <w:rsid w:val="00B022C8"/>
    <w:rsid w:val="00B06EBA"/>
    <w:rsid w:val="00B17738"/>
    <w:rsid w:val="00B25B0B"/>
    <w:rsid w:val="00B308EE"/>
    <w:rsid w:val="00B34A38"/>
    <w:rsid w:val="00B53658"/>
    <w:rsid w:val="00B53DCE"/>
    <w:rsid w:val="00B55F4F"/>
    <w:rsid w:val="00B64064"/>
    <w:rsid w:val="00B74F95"/>
    <w:rsid w:val="00B75CD2"/>
    <w:rsid w:val="00B76FB3"/>
    <w:rsid w:val="00BA2B35"/>
    <w:rsid w:val="00BA4352"/>
    <w:rsid w:val="00BB6CD6"/>
    <w:rsid w:val="00BE2F97"/>
    <w:rsid w:val="00C01A4B"/>
    <w:rsid w:val="00C1402C"/>
    <w:rsid w:val="00C149BC"/>
    <w:rsid w:val="00C2295E"/>
    <w:rsid w:val="00C25A8C"/>
    <w:rsid w:val="00C312C2"/>
    <w:rsid w:val="00C3294E"/>
    <w:rsid w:val="00C3384E"/>
    <w:rsid w:val="00C3521D"/>
    <w:rsid w:val="00C6439B"/>
    <w:rsid w:val="00C81155"/>
    <w:rsid w:val="00C943BE"/>
    <w:rsid w:val="00C97DFA"/>
    <w:rsid w:val="00CA6EB0"/>
    <w:rsid w:val="00CC49AF"/>
    <w:rsid w:val="00CC5458"/>
    <w:rsid w:val="00CD1B25"/>
    <w:rsid w:val="00CD3EC5"/>
    <w:rsid w:val="00CD7701"/>
    <w:rsid w:val="00CE3ABA"/>
    <w:rsid w:val="00CE6578"/>
    <w:rsid w:val="00CF0477"/>
    <w:rsid w:val="00D01B4B"/>
    <w:rsid w:val="00D20DB7"/>
    <w:rsid w:val="00D2297B"/>
    <w:rsid w:val="00D26EA3"/>
    <w:rsid w:val="00D27EB7"/>
    <w:rsid w:val="00D33CAB"/>
    <w:rsid w:val="00D36763"/>
    <w:rsid w:val="00D42231"/>
    <w:rsid w:val="00D76519"/>
    <w:rsid w:val="00D77A74"/>
    <w:rsid w:val="00D925FE"/>
    <w:rsid w:val="00DA6D8E"/>
    <w:rsid w:val="00DA79DF"/>
    <w:rsid w:val="00DB03C6"/>
    <w:rsid w:val="00DB4A86"/>
    <w:rsid w:val="00DC3D82"/>
    <w:rsid w:val="00DC4CC0"/>
    <w:rsid w:val="00DD0FB4"/>
    <w:rsid w:val="00DF217F"/>
    <w:rsid w:val="00E00505"/>
    <w:rsid w:val="00E02AA5"/>
    <w:rsid w:val="00E13228"/>
    <w:rsid w:val="00E16FDA"/>
    <w:rsid w:val="00E1734C"/>
    <w:rsid w:val="00E35DE7"/>
    <w:rsid w:val="00E434A8"/>
    <w:rsid w:val="00E44652"/>
    <w:rsid w:val="00E5698E"/>
    <w:rsid w:val="00E6130F"/>
    <w:rsid w:val="00E7634E"/>
    <w:rsid w:val="00EA0FF6"/>
    <w:rsid w:val="00EB2B54"/>
    <w:rsid w:val="00EB2F53"/>
    <w:rsid w:val="00EB5C74"/>
    <w:rsid w:val="00EB65AE"/>
    <w:rsid w:val="00EC029C"/>
    <w:rsid w:val="00EC0D66"/>
    <w:rsid w:val="00ED5CE9"/>
    <w:rsid w:val="00EE6812"/>
    <w:rsid w:val="00EE7B24"/>
    <w:rsid w:val="00EF6E48"/>
    <w:rsid w:val="00F00AF1"/>
    <w:rsid w:val="00F10D5E"/>
    <w:rsid w:val="00F11DF5"/>
    <w:rsid w:val="00F236A3"/>
    <w:rsid w:val="00F24BFF"/>
    <w:rsid w:val="00F25854"/>
    <w:rsid w:val="00F31851"/>
    <w:rsid w:val="00F423F9"/>
    <w:rsid w:val="00F442D5"/>
    <w:rsid w:val="00F44B4B"/>
    <w:rsid w:val="00F44C32"/>
    <w:rsid w:val="00F6263C"/>
    <w:rsid w:val="00F6280D"/>
    <w:rsid w:val="00F70BE1"/>
    <w:rsid w:val="00F80674"/>
    <w:rsid w:val="00F86D67"/>
    <w:rsid w:val="00F90B76"/>
    <w:rsid w:val="00F95736"/>
    <w:rsid w:val="00F96771"/>
    <w:rsid w:val="00FA4AC4"/>
    <w:rsid w:val="00FB1CA5"/>
    <w:rsid w:val="00FB400D"/>
    <w:rsid w:val="00FD60C6"/>
    <w:rsid w:val="00FE1F3B"/>
    <w:rsid w:val="00FE26D6"/>
    <w:rsid w:val="00FE67FE"/>
    <w:rsid w:val="00FE7E55"/>
    <w:rsid w:val="00FF5E10"/>
    <w:rsid w:val="00FF68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8AA0C"/>
  <w15:chartTrackingRefBased/>
  <w15:docId w15:val="{E8E0F971-1FA4-4FCC-9F62-CF9B05B5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0A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E65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21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59A"/>
    <w:pPr>
      <w:ind w:left="720"/>
      <w:contextualSpacing/>
    </w:pPr>
  </w:style>
  <w:style w:type="table" w:styleId="TableGrid">
    <w:name w:val="Table Grid"/>
    <w:basedOn w:val="TableNormal"/>
    <w:uiPriority w:val="39"/>
    <w:rsid w:val="00790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63AC"/>
    <w:rPr>
      <w:sz w:val="16"/>
      <w:szCs w:val="16"/>
    </w:rPr>
  </w:style>
  <w:style w:type="paragraph" w:styleId="CommentText">
    <w:name w:val="annotation text"/>
    <w:basedOn w:val="Normal"/>
    <w:link w:val="CommentTextChar"/>
    <w:uiPriority w:val="99"/>
    <w:semiHidden/>
    <w:unhideWhenUsed/>
    <w:rsid w:val="008F63AC"/>
    <w:pPr>
      <w:spacing w:line="240" w:lineRule="auto"/>
    </w:pPr>
    <w:rPr>
      <w:sz w:val="20"/>
      <w:szCs w:val="20"/>
    </w:rPr>
  </w:style>
  <w:style w:type="character" w:customStyle="1" w:styleId="CommentTextChar">
    <w:name w:val="Comment Text Char"/>
    <w:basedOn w:val="DefaultParagraphFont"/>
    <w:link w:val="CommentText"/>
    <w:uiPriority w:val="99"/>
    <w:semiHidden/>
    <w:rsid w:val="008F63AC"/>
    <w:rPr>
      <w:sz w:val="20"/>
      <w:szCs w:val="20"/>
    </w:rPr>
  </w:style>
  <w:style w:type="paragraph" w:styleId="CommentSubject">
    <w:name w:val="annotation subject"/>
    <w:basedOn w:val="CommentText"/>
    <w:next w:val="CommentText"/>
    <w:link w:val="CommentSubjectChar"/>
    <w:uiPriority w:val="99"/>
    <w:semiHidden/>
    <w:unhideWhenUsed/>
    <w:rsid w:val="008F63AC"/>
    <w:rPr>
      <w:b/>
      <w:bCs/>
    </w:rPr>
  </w:style>
  <w:style w:type="character" w:customStyle="1" w:styleId="CommentSubjectChar">
    <w:name w:val="Comment Subject Char"/>
    <w:basedOn w:val="CommentTextChar"/>
    <w:link w:val="CommentSubject"/>
    <w:uiPriority w:val="99"/>
    <w:semiHidden/>
    <w:rsid w:val="008F63AC"/>
    <w:rPr>
      <w:b/>
      <w:bCs/>
      <w:sz w:val="20"/>
      <w:szCs w:val="20"/>
    </w:rPr>
  </w:style>
  <w:style w:type="paragraph" w:styleId="BalloonText">
    <w:name w:val="Balloon Text"/>
    <w:basedOn w:val="Normal"/>
    <w:link w:val="BalloonTextChar"/>
    <w:uiPriority w:val="99"/>
    <w:semiHidden/>
    <w:unhideWhenUsed/>
    <w:rsid w:val="008F6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3AC"/>
    <w:rPr>
      <w:rFonts w:ascii="Segoe UI" w:hAnsi="Segoe UI" w:cs="Segoe UI"/>
      <w:sz w:val="18"/>
      <w:szCs w:val="18"/>
    </w:rPr>
  </w:style>
  <w:style w:type="paragraph" w:customStyle="1" w:styleId="Default">
    <w:name w:val="Default"/>
    <w:rsid w:val="008F63AC"/>
    <w:pPr>
      <w:autoSpaceDE w:val="0"/>
      <w:autoSpaceDN w:val="0"/>
      <w:adjustRightInd w:val="0"/>
      <w:spacing w:after="0" w:line="240" w:lineRule="auto"/>
    </w:pPr>
    <w:rPr>
      <w:rFonts w:ascii="Charis SIL" w:hAnsi="Charis SIL" w:cs="Charis SIL"/>
      <w:color w:val="000000"/>
      <w:sz w:val="24"/>
      <w:szCs w:val="24"/>
    </w:rPr>
  </w:style>
  <w:style w:type="character" w:customStyle="1" w:styleId="Heading1Char">
    <w:name w:val="Heading 1 Char"/>
    <w:basedOn w:val="DefaultParagraphFont"/>
    <w:link w:val="Heading1"/>
    <w:uiPriority w:val="9"/>
    <w:rsid w:val="00540A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40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6130F"/>
    <w:rPr>
      <w:i/>
      <w:iCs/>
    </w:rPr>
  </w:style>
  <w:style w:type="character" w:styleId="Hyperlink">
    <w:name w:val="Hyperlink"/>
    <w:basedOn w:val="DefaultParagraphFont"/>
    <w:uiPriority w:val="99"/>
    <w:unhideWhenUsed/>
    <w:rsid w:val="00E6130F"/>
    <w:rPr>
      <w:color w:val="0000FF"/>
      <w:u w:val="single"/>
    </w:rPr>
  </w:style>
  <w:style w:type="character" w:customStyle="1" w:styleId="inlineblock">
    <w:name w:val="inlineblock"/>
    <w:basedOn w:val="DefaultParagraphFont"/>
    <w:rsid w:val="003F705A"/>
  </w:style>
  <w:style w:type="character" w:customStyle="1" w:styleId="html-italic">
    <w:name w:val="html-italic"/>
    <w:basedOn w:val="DefaultParagraphFont"/>
    <w:rsid w:val="00BB6CD6"/>
  </w:style>
  <w:style w:type="character" w:customStyle="1" w:styleId="title-text">
    <w:name w:val="title-text"/>
    <w:basedOn w:val="DefaultParagraphFont"/>
    <w:rsid w:val="00534673"/>
  </w:style>
  <w:style w:type="character" w:customStyle="1" w:styleId="reference">
    <w:name w:val="reference"/>
    <w:basedOn w:val="DefaultParagraphFont"/>
    <w:rsid w:val="00D33CAB"/>
  </w:style>
  <w:style w:type="character" w:customStyle="1" w:styleId="anchor-text">
    <w:name w:val="anchor-text"/>
    <w:basedOn w:val="DefaultParagraphFont"/>
    <w:rsid w:val="00D33CAB"/>
  </w:style>
  <w:style w:type="character" w:customStyle="1" w:styleId="label">
    <w:name w:val="label"/>
    <w:basedOn w:val="DefaultParagraphFont"/>
    <w:rsid w:val="00D33CAB"/>
  </w:style>
  <w:style w:type="character" w:customStyle="1" w:styleId="sr-only">
    <w:name w:val="sr-only"/>
    <w:basedOn w:val="DefaultParagraphFont"/>
    <w:rsid w:val="00394175"/>
  </w:style>
  <w:style w:type="character" w:customStyle="1" w:styleId="Heading2Char">
    <w:name w:val="Heading 2 Char"/>
    <w:basedOn w:val="DefaultParagraphFont"/>
    <w:link w:val="Heading2"/>
    <w:uiPriority w:val="9"/>
    <w:rsid w:val="00CE6578"/>
    <w:rPr>
      <w:rFonts w:asciiTheme="majorHAnsi" w:eastAsiaTheme="majorEastAsia" w:hAnsiTheme="majorHAnsi" w:cstheme="majorBidi"/>
      <w:color w:val="2E74B5" w:themeColor="accent1" w:themeShade="BF"/>
      <w:sz w:val="26"/>
      <w:szCs w:val="26"/>
    </w:rPr>
  </w:style>
  <w:style w:type="character" w:customStyle="1" w:styleId="inline-flex">
    <w:name w:val="inline-flex"/>
    <w:basedOn w:val="DefaultParagraphFont"/>
    <w:rsid w:val="0062682E"/>
  </w:style>
  <w:style w:type="paragraph" w:customStyle="1" w:styleId="text-green-800">
    <w:name w:val="text-green-800"/>
    <w:basedOn w:val="Normal"/>
    <w:rsid w:val="006268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gray-400">
    <w:name w:val="text-gray-400"/>
    <w:basedOn w:val="Normal"/>
    <w:rsid w:val="006268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r-2">
    <w:name w:val="mr-2"/>
    <w:basedOn w:val="Normal"/>
    <w:rsid w:val="006268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F217F"/>
    <w:rPr>
      <w:rFonts w:asciiTheme="majorHAnsi" w:eastAsiaTheme="majorEastAsia" w:hAnsiTheme="majorHAnsi" w:cstheme="majorBidi"/>
      <w:color w:val="1F4D78" w:themeColor="accent1" w:themeShade="7F"/>
      <w:sz w:val="24"/>
      <w:szCs w:val="24"/>
    </w:rPr>
  </w:style>
  <w:style w:type="character" w:customStyle="1" w:styleId="gspdot">
    <w:name w:val="gs_pdot"/>
    <w:basedOn w:val="DefaultParagraphFont"/>
    <w:rsid w:val="00DF217F"/>
  </w:style>
  <w:style w:type="character" w:customStyle="1" w:styleId="gsctg2">
    <w:name w:val="gs_ctg2"/>
    <w:basedOn w:val="DefaultParagraphFont"/>
    <w:rsid w:val="00F31851"/>
  </w:style>
  <w:style w:type="paragraph" w:styleId="Subtitle">
    <w:name w:val="Subtitle"/>
    <w:basedOn w:val="Normal"/>
    <w:next w:val="Normal"/>
    <w:link w:val="SubtitleChar"/>
    <w:uiPriority w:val="11"/>
    <w:qFormat/>
    <w:rsid w:val="003708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893"/>
    <w:rPr>
      <w:rFonts w:eastAsiaTheme="minorEastAsia"/>
      <w:color w:val="5A5A5A" w:themeColor="text1" w:themeTint="A5"/>
      <w:spacing w:val="15"/>
    </w:rPr>
  </w:style>
  <w:style w:type="paragraph" w:styleId="Title">
    <w:name w:val="Title"/>
    <w:basedOn w:val="Normal"/>
    <w:next w:val="Normal"/>
    <w:link w:val="TitleChar"/>
    <w:uiPriority w:val="10"/>
    <w:qFormat/>
    <w:rsid w:val="008E43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37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6C31FB"/>
    <w:pPr>
      <w:spacing w:after="200" w:line="240" w:lineRule="auto"/>
    </w:pPr>
    <w:rPr>
      <w:i/>
      <w:iCs/>
      <w:color w:val="44546A" w:themeColor="text2"/>
      <w:sz w:val="18"/>
      <w:szCs w:val="18"/>
    </w:rPr>
  </w:style>
  <w:style w:type="paragraph" w:styleId="NoSpacing">
    <w:name w:val="No Spacing"/>
    <w:uiPriority w:val="1"/>
    <w:qFormat/>
    <w:rsid w:val="006326DB"/>
    <w:pPr>
      <w:spacing w:after="0" w:line="240" w:lineRule="auto"/>
    </w:pPr>
  </w:style>
  <w:style w:type="table" w:styleId="GridTable4-Accent5">
    <w:name w:val="Grid Table 4 Accent 5"/>
    <w:basedOn w:val="TableNormal"/>
    <w:uiPriority w:val="49"/>
    <w:rsid w:val="00CC49A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CC49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1703">
      <w:bodyDiv w:val="1"/>
      <w:marLeft w:val="0"/>
      <w:marRight w:val="0"/>
      <w:marTop w:val="0"/>
      <w:marBottom w:val="0"/>
      <w:divBdr>
        <w:top w:val="none" w:sz="0" w:space="0" w:color="auto"/>
        <w:left w:val="none" w:sz="0" w:space="0" w:color="auto"/>
        <w:bottom w:val="none" w:sz="0" w:space="0" w:color="auto"/>
        <w:right w:val="none" w:sz="0" w:space="0" w:color="auto"/>
      </w:divBdr>
    </w:div>
    <w:div w:id="7220407">
      <w:bodyDiv w:val="1"/>
      <w:marLeft w:val="0"/>
      <w:marRight w:val="0"/>
      <w:marTop w:val="0"/>
      <w:marBottom w:val="0"/>
      <w:divBdr>
        <w:top w:val="none" w:sz="0" w:space="0" w:color="auto"/>
        <w:left w:val="none" w:sz="0" w:space="0" w:color="auto"/>
        <w:bottom w:val="none" w:sz="0" w:space="0" w:color="auto"/>
        <w:right w:val="none" w:sz="0" w:space="0" w:color="auto"/>
      </w:divBdr>
      <w:divsChild>
        <w:div w:id="799881837">
          <w:marLeft w:val="0"/>
          <w:marRight w:val="0"/>
          <w:marTop w:val="0"/>
          <w:marBottom w:val="0"/>
          <w:divBdr>
            <w:top w:val="none" w:sz="0" w:space="0" w:color="auto"/>
            <w:left w:val="none" w:sz="0" w:space="0" w:color="auto"/>
            <w:bottom w:val="none" w:sz="0" w:space="0" w:color="auto"/>
            <w:right w:val="none" w:sz="0" w:space="0" w:color="auto"/>
          </w:divBdr>
          <w:divsChild>
            <w:div w:id="1330519303">
              <w:marLeft w:val="0"/>
              <w:marRight w:val="0"/>
              <w:marTop w:val="0"/>
              <w:marBottom w:val="0"/>
              <w:divBdr>
                <w:top w:val="none" w:sz="0" w:space="0" w:color="auto"/>
                <w:left w:val="none" w:sz="0" w:space="0" w:color="auto"/>
                <w:bottom w:val="none" w:sz="0" w:space="0" w:color="auto"/>
                <w:right w:val="none" w:sz="0" w:space="0" w:color="auto"/>
              </w:divBdr>
            </w:div>
          </w:divsChild>
        </w:div>
        <w:div w:id="2065324162">
          <w:marLeft w:val="0"/>
          <w:marRight w:val="0"/>
          <w:marTop w:val="0"/>
          <w:marBottom w:val="0"/>
          <w:divBdr>
            <w:top w:val="none" w:sz="0" w:space="0" w:color="auto"/>
            <w:left w:val="none" w:sz="0" w:space="0" w:color="auto"/>
            <w:bottom w:val="none" w:sz="0" w:space="0" w:color="auto"/>
            <w:right w:val="none" w:sz="0" w:space="0" w:color="auto"/>
          </w:divBdr>
        </w:div>
        <w:div w:id="330062974">
          <w:marLeft w:val="0"/>
          <w:marRight w:val="0"/>
          <w:marTop w:val="0"/>
          <w:marBottom w:val="0"/>
          <w:divBdr>
            <w:top w:val="none" w:sz="0" w:space="0" w:color="auto"/>
            <w:left w:val="none" w:sz="0" w:space="0" w:color="auto"/>
            <w:bottom w:val="none" w:sz="0" w:space="0" w:color="auto"/>
            <w:right w:val="none" w:sz="0" w:space="0" w:color="auto"/>
          </w:divBdr>
        </w:div>
      </w:divsChild>
    </w:div>
    <w:div w:id="8652482">
      <w:bodyDiv w:val="1"/>
      <w:marLeft w:val="0"/>
      <w:marRight w:val="0"/>
      <w:marTop w:val="0"/>
      <w:marBottom w:val="0"/>
      <w:divBdr>
        <w:top w:val="none" w:sz="0" w:space="0" w:color="auto"/>
        <w:left w:val="none" w:sz="0" w:space="0" w:color="auto"/>
        <w:bottom w:val="none" w:sz="0" w:space="0" w:color="auto"/>
        <w:right w:val="none" w:sz="0" w:space="0" w:color="auto"/>
      </w:divBdr>
    </w:div>
    <w:div w:id="20283031">
      <w:bodyDiv w:val="1"/>
      <w:marLeft w:val="0"/>
      <w:marRight w:val="0"/>
      <w:marTop w:val="0"/>
      <w:marBottom w:val="0"/>
      <w:divBdr>
        <w:top w:val="none" w:sz="0" w:space="0" w:color="auto"/>
        <w:left w:val="none" w:sz="0" w:space="0" w:color="auto"/>
        <w:bottom w:val="none" w:sz="0" w:space="0" w:color="auto"/>
        <w:right w:val="none" w:sz="0" w:space="0" w:color="auto"/>
      </w:divBdr>
    </w:div>
    <w:div w:id="40596862">
      <w:bodyDiv w:val="1"/>
      <w:marLeft w:val="0"/>
      <w:marRight w:val="0"/>
      <w:marTop w:val="0"/>
      <w:marBottom w:val="0"/>
      <w:divBdr>
        <w:top w:val="none" w:sz="0" w:space="0" w:color="auto"/>
        <w:left w:val="none" w:sz="0" w:space="0" w:color="auto"/>
        <w:bottom w:val="none" w:sz="0" w:space="0" w:color="auto"/>
        <w:right w:val="none" w:sz="0" w:space="0" w:color="auto"/>
      </w:divBdr>
      <w:divsChild>
        <w:div w:id="265424253">
          <w:marLeft w:val="0"/>
          <w:marRight w:val="0"/>
          <w:marTop w:val="0"/>
          <w:marBottom w:val="0"/>
          <w:divBdr>
            <w:top w:val="none" w:sz="0" w:space="0" w:color="auto"/>
            <w:left w:val="none" w:sz="0" w:space="0" w:color="auto"/>
            <w:bottom w:val="none" w:sz="0" w:space="0" w:color="auto"/>
            <w:right w:val="none" w:sz="0" w:space="0" w:color="auto"/>
          </w:divBdr>
          <w:divsChild>
            <w:div w:id="1439762496">
              <w:marLeft w:val="0"/>
              <w:marRight w:val="0"/>
              <w:marTop w:val="0"/>
              <w:marBottom w:val="0"/>
              <w:divBdr>
                <w:top w:val="none" w:sz="0" w:space="0" w:color="auto"/>
                <w:left w:val="none" w:sz="0" w:space="0" w:color="auto"/>
                <w:bottom w:val="none" w:sz="0" w:space="0" w:color="auto"/>
                <w:right w:val="none" w:sz="0" w:space="0" w:color="auto"/>
              </w:divBdr>
            </w:div>
          </w:divsChild>
        </w:div>
        <w:div w:id="1931697363">
          <w:marLeft w:val="0"/>
          <w:marRight w:val="0"/>
          <w:marTop w:val="0"/>
          <w:marBottom w:val="0"/>
          <w:divBdr>
            <w:top w:val="none" w:sz="0" w:space="0" w:color="auto"/>
            <w:left w:val="none" w:sz="0" w:space="0" w:color="auto"/>
            <w:bottom w:val="none" w:sz="0" w:space="0" w:color="auto"/>
            <w:right w:val="none" w:sz="0" w:space="0" w:color="auto"/>
          </w:divBdr>
        </w:div>
        <w:div w:id="618294376">
          <w:marLeft w:val="0"/>
          <w:marRight w:val="0"/>
          <w:marTop w:val="0"/>
          <w:marBottom w:val="0"/>
          <w:divBdr>
            <w:top w:val="none" w:sz="0" w:space="0" w:color="auto"/>
            <w:left w:val="none" w:sz="0" w:space="0" w:color="auto"/>
            <w:bottom w:val="none" w:sz="0" w:space="0" w:color="auto"/>
            <w:right w:val="none" w:sz="0" w:space="0" w:color="auto"/>
          </w:divBdr>
        </w:div>
      </w:divsChild>
    </w:div>
    <w:div w:id="44108648">
      <w:bodyDiv w:val="1"/>
      <w:marLeft w:val="0"/>
      <w:marRight w:val="0"/>
      <w:marTop w:val="0"/>
      <w:marBottom w:val="0"/>
      <w:divBdr>
        <w:top w:val="none" w:sz="0" w:space="0" w:color="auto"/>
        <w:left w:val="none" w:sz="0" w:space="0" w:color="auto"/>
        <w:bottom w:val="none" w:sz="0" w:space="0" w:color="auto"/>
        <w:right w:val="none" w:sz="0" w:space="0" w:color="auto"/>
      </w:divBdr>
      <w:divsChild>
        <w:div w:id="1088113966">
          <w:marLeft w:val="0"/>
          <w:marRight w:val="0"/>
          <w:marTop w:val="0"/>
          <w:marBottom w:val="0"/>
          <w:divBdr>
            <w:top w:val="none" w:sz="0" w:space="0" w:color="auto"/>
            <w:left w:val="none" w:sz="0" w:space="0" w:color="auto"/>
            <w:bottom w:val="none" w:sz="0" w:space="0" w:color="auto"/>
            <w:right w:val="none" w:sz="0" w:space="0" w:color="auto"/>
          </w:divBdr>
          <w:divsChild>
            <w:div w:id="1769109529">
              <w:marLeft w:val="0"/>
              <w:marRight w:val="0"/>
              <w:marTop w:val="0"/>
              <w:marBottom w:val="0"/>
              <w:divBdr>
                <w:top w:val="none" w:sz="0" w:space="0" w:color="auto"/>
                <w:left w:val="none" w:sz="0" w:space="0" w:color="auto"/>
                <w:bottom w:val="none" w:sz="0" w:space="0" w:color="auto"/>
                <w:right w:val="none" w:sz="0" w:space="0" w:color="auto"/>
              </w:divBdr>
            </w:div>
            <w:div w:id="3271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3755">
      <w:bodyDiv w:val="1"/>
      <w:marLeft w:val="0"/>
      <w:marRight w:val="0"/>
      <w:marTop w:val="0"/>
      <w:marBottom w:val="0"/>
      <w:divBdr>
        <w:top w:val="none" w:sz="0" w:space="0" w:color="auto"/>
        <w:left w:val="none" w:sz="0" w:space="0" w:color="auto"/>
        <w:bottom w:val="none" w:sz="0" w:space="0" w:color="auto"/>
        <w:right w:val="none" w:sz="0" w:space="0" w:color="auto"/>
      </w:divBdr>
    </w:div>
    <w:div w:id="61608703">
      <w:bodyDiv w:val="1"/>
      <w:marLeft w:val="0"/>
      <w:marRight w:val="0"/>
      <w:marTop w:val="0"/>
      <w:marBottom w:val="0"/>
      <w:divBdr>
        <w:top w:val="none" w:sz="0" w:space="0" w:color="auto"/>
        <w:left w:val="none" w:sz="0" w:space="0" w:color="auto"/>
        <w:bottom w:val="none" w:sz="0" w:space="0" w:color="auto"/>
        <w:right w:val="none" w:sz="0" w:space="0" w:color="auto"/>
      </w:divBdr>
    </w:div>
    <w:div w:id="82383224">
      <w:bodyDiv w:val="1"/>
      <w:marLeft w:val="0"/>
      <w:marRight w:val="0"/>
      <w:marTop w:val="0"/>
      <w:marBottom w:val="0"/>
      <w:divBdr>
        <w:top w:val="none" w:sz="0" w:space="0" w:color="auto"/>
        <w:left w:val="none" w:sz="0" w:space="0" w:color="auto"/>
        <w:bottom w:val="none" w:sz="0" w:space="0" w:color="auto"/>
        <w:right w:val="none" w:sz="0" w:space="0" w:color="auto"/>
      </w:divBdr>
      <w:divsChild>
        <w:div w:id="1456168820">
          <w:marLeft w:val="0"/>
          <w:marRight w:val="0"/>
          <w:marTop w:val="0"/>
          <w:marBottom w:val="0"/>
          <w:divBdr>
            <w:top w:val="none" w:sz="0" w:space="0" w:color="auto"/>
            <w:left w:val="none" w:sz="0" w:space="0" w:color="auto"/>
            <w:bottom w:val="none" w:sz="0" w:space="0" w:color="auto"/>
            <w:right w:val="none" w:sz="0" w:space="0" w:color="auto"/>
          </w:divBdr>
          <w:divsChild>
            <w:div w:id="1314333157">
              <w:marLeft w:val="0"/>
              <w:marRight w:val="0"/>
              <w:marTop w:val="0"/>
              <w:marBottom w:val="0"/>
              <w:divBdr>
                <w:top w:val="none" w:sz="0" w:space="0" w:color="auto"/>
                <w:left w:val="none" w:sz="0" w:space="0" w:color="auto"/>
                <w:bottom w:val="none" w:sz="0" w:space="0" w:color="auto"/>
                <w:right w:val="none" w:sz="0" w:space="0" w:color="auto"/>
              </w:divBdr>
            </w:div>
          </w:divsChild>
        </w:div>
        <w:div w:id="189492289">
          <w:marLeft w:val="0"/>
          <w:marRight w:val="0"/>
          <w:marTop w:val="0"/>
          <w:marBottom w:val="0"/>
          <w:divBdr>
            <w:top w:val="none" w:sz="0" w:space="0" w:color="auto"/>
            <w:left w:val="none" w:sz="0" w:space="0" w:color="auto"/>
            <w:bottom w:val="none" w:sz="0" w:space="0" w:color="auto"/>
            <w:right w:val="none" w:sz="0" w:space="0" w:color="auto"/>
          </w:divBdr>
        </w:div>
        <w:div w:id="437604498">
          <w:marLeft w:val="0"/>
          <w:marRight w:val="0"/>
          <w:marTop w:val="0"/>
          <w:marBottom w:val="0"/>
          <w:divBdr>
            <w:top w:val="none" w:sz="0" w:space="0" w:color="auto"/>
            <w:left w:val="none" w:sz="0" w:space="0" w:color="auto"/>
            <w:bottom w:val="none" w:sz="0" w:space="0" w:color="auto"/>
            <w:right w:val="none" w:sz="0" w:space="0" w:color="auto"/>
          </w:divBdr>
        </w:div>
      </w:divsChild>
    </w:div>
    <w:div w:id="83958240">
      <w:bodyDiv w:val="1"/>
      <w:marLeft w:val="0"/>
      <w:marRight w:val="0"/>
      <w:marTop w:val="0"/>
      <w:marBottom w:val="0"/>
      <w:divBdr>
        <w:top w:val="none" w:sz="0" w:space="0" w:color="auto"/>
        <w:left w:val="none" w:sz="0" w:space="0" w:color="auto"/>
        <w:bottom w:val="none" w:sz="0" w:space="0" w:color="auto"/>
        <w:right w:val="none" w:sz="0" w:space="0" w:color="auto"/>
      </w:divBdr>
    </w:div>
    <w:div w:id="84770782">
      <w:bodyDiv w:val="1"/>
      <w:marLeft w:val="0"/>
      <w:marRight w:val="0"/>
      <w:marTop w:val="0"/>
      <w:marBottom w:val="0"/>
      <w:divBdr>
        <w:top w:val="none" w:sz="0" w:space="0" w:color="auto"/>
        <w:left w:val="none" w:sz="0" w:space="0" w:color="auto"/>
        <w:bottom w:val="none" w:sz="0" w:space="0" w:color="auto"/>
        <w:right w:val="none" w:sz="0" w:space="0" w:color="auto"/>
      </w:divBdr>
      <w:divsChild>
        <w:div w:id="2134129204">
          <w:marLeft w:val="0"/>
          <w:marRight w:val="0"/>
          <w:marTop w:val="0"/>
          <w:marBottom w:val="0"/>
          <w:divBdr>
            <w:top w:val="none" w:sz="0" w:space="0" w:color="auto"/>
            <w:left w:val="none" w:sz="0" w:space="0" w:color="auto"/>
            <w:bottom w:val="none" w:sz="0" w:space="0" w:color="auto"/>
            <w:right w:val="none" w:sz="0" w:space="0" w:color="auto"/>
          </w:divBdr>
          <w:divsChild>
            <w:div w:id="1885755938">
              <w:marLeft w:val="0"/>
              <w:marRight w:val="0"/>
              <w:marTop w:val="0"/>
              <w:marBottom w:val="0"/>
              <w:divBdr>
                <w:top w:val="none" w:sz="0" w:space="0" w:color="auto"/>
                <w:left w:val="none" w:sz="0" w:space="0" w:color="auto"/>
                <w:bottom w:val="none" w:sz="0" w:space="0" w:color="auto"/>
                <w:right w:val="none" w:sz="0" w:space="0" w:color="auto"/>
              </w:divBdr>
            </w:div>
          </w:divsChild>
        </w:div>
        <w:div w:id="152793881">
          <w:marLeft w:val="0"/>
          <w:marRight w:val="0"/>
          <w:marTop w:val="0"/>
          <w:marBottom w:val="0"/>
          <w:divBdr>
            <w:top w:val="none" w:sz="0" w:space="0" w:color="auto"/>
            <w:left w:val="none" w:sz="0" w:space="0" w:color="auto"/>
            <w:bottom w:val="none" w:sz="0" w:space="0" w:color="auto"/>
            <w:right w:val="none" w:sz="0" w:space="0" w:color="auto"/>
          </w:divBdr>
        </w:div>
        <w:div w:id="725640446">
          <w:marLeft w:val="0"/>
          <w:marRight w:val="0"/>
          <w:marTop w:val="0"/>
          <w:marBottom w:val="0"/>
          <w:divBdr>
            <w:top w:val="none" w:sz="0" w:space="0" w:color="auto"/>
            <w:left w:val="none" w:sz="0" w:space="0" w:color="auto"/>
            <w:bottom w:val="none" w:sz="0" w:space="0" w:color="auto"/>
            <w:right w:val="none" w:sz="0" w:space="0" w:color="auto"/>
          </w:divBdr>
        </w:div>
      </w:divsChild>
    </w:div>
    <w:div w:id="84890160">
      <w:bodyDiv w:val="1"/>
      <w:marLeft w:val="0"/>
      <w:marRight w:val="0"/>
      <w:marTop w:val="0"/>
      <w:marBottom w:val="0"/>
      <w:divBdr>
        <w:top w:val="none" w:sz="0" w:space="0" w:color="auto"/>
        <w:left w:val="none" w:sz="0" w:space="0" w:color="auto"/>
        <w:bottom w:val="none" w:sz="0" w:space="0" w:color="auto"/>
        <w:right w:val="none" w:sz="0" w:space="0" w:color="auto"/>
      </w:divBdr>
    </w:div>
    <w:div w:id="86730285">
      <w:bodyDiv w:val="1"/>
      <w:marLeft w:val="0"/>
      <w:marRight w:val="0"/>
      <w:marTop w:val="0"/>
      <w:marBottom w:val="0"/>
      <w:divBdr>
        <w:top w:val="none" w:sz="0" w:space="0" w:color="auto"/>
        <w:left w:val="none" w:sz="0" w:space="0" w:color="auto"/>
        <w:bottom w:val="none" w:sz="0" w:space="0" w:color="auto"/>
        <w:right w:val="none" w:sz="0" w:space="0" w:color="auto"/>
      </w:divBdr>
      <w:divsChild>
        <w:div w:id="1782411522">
          <w:marLeft w:val="0"/>
          <w:marRight w:val="0"/>
          <w:marTop w:val="0"/>
          <w:marBottom w:val="0"/>
          <w:divBdr>
            <w:top w:val="none" w:sz="0" w:space="0" w:color="auto"/>
            <w:left w:val="none" w:sz="0" w:space="0" w:color="auto"/>
            <w:bottom w:val="none" w:sz="0" w:space="0" w:color="auto"/>
            <w:right w:val="none" w:sz="0" w:space="0" w:color="auto"/>
          </w:divBdr>
          <w:divsChild>
            <w:div w:id="1286547204">
              <w:marLeft w:val="0"/>
              <w:marRight w:val="0"/>
              <w:marTop w:val="0"/>
              <w:marBottom w:val="0"/>
              <w:divBdr>
                <w:top w:val="none" w:sz="0" w:space="0" w:color="auto"/>
                <w:left w:val="none" w:sz="0" w:space="0" w:color="auto"/>
                <w:bottom w:val="none" w:sz="0" w:space="0" w:color="auto"/>
                <w:right w:val="none" w:sz="0" w:space="0" w:color="auto"/>
              </w:divBdr>
              <w:divsChild>
                <w:div w:id="7754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sChild>
        <w:div w:id="1901866538">
          <w:marLeft w:val="0"/>
          <w:marRight w:val="0"/>
          <w:marTop w:val="0"/>
          <w:marBottom w:val="0"/>
          <w:divBdr>
            <w:top w:val="none" w:sz="0" w:space="0" w:color="auto"/>
            <w:left w:val="none" w:sz="0" w:space="0" w:color="auto"/>
            <w:bottom w:val="none" w:sz="0" w:space="0" w:color="auto"/>
            <w:right w:val="none" w:sz="0" w:space="0" w:color="auto"/>
          </w:divBdr>
          <w:divsChild>
            <w:div w:id="663360751">
              <w:marLeft w:val="0"/>
              <w:marRight w:val="0"/>
              <w:marTop w:val="0"/>
              <w:marBottom w:val="0"/>
              <w:divBdr>
                <w:top w:val="none" w:sz="0" w:space="0" w:color="auto"/>
                <w:left w:val="none" w:sz="0" w:space="0" w:color="auto"/>
                <w:bottom w:val="none" w:sz="0" w:space="0" w:color="auto"/>
                <w:right w:val="none" w:sz="0" w:space="0" w:color="auto"/>
              </w:divBdr>
            </w:div>
            <w:div w:id="418596828">
              <w:marLeft w:val="0"/>
              <w:marRight w:val="0"/>
              <w:marTop w:val="0"/>
              <w:marBottom w:val="0"/>
              <w:divBdr>
                <w:top w:val="none" w:sz="0" w:space="0" w:color="auto"/>
                <w:left w:val="none" w:sz="0" w:space="0" w:color="auto"/>
                <w:bottom w:val="none" w:sz="0" w:space="0" w:color="auto"/>
                <w:right w:val="none" w:sz="0" w:space="0" w:color="auto"/>
              </w:divBdr>
            </w:div>
          </w:divsChild>
        </w:div>
        <w:div w:id="486243807">
          <w:marLeft w:val="0"/>
          <w:marRight w:val="0"/>
          <w:marTop w:val="0"/>
          <w:marBottom w:val="0"/>
          <w:divBdr>
            <w:top w:val="none" w:sz="0" w:space="0" w:color="auto"/>
            <w:left w:val="none" w:sz="0" w:space="0" w:color="auto"/>
            <w:bottom w:val="none" w:sz="0" w:space="0" w:color="auto"/>
            <w:right w:val="none" w:sz="0" w:space="0" w:color="auto"/>
          </w:divBdr>
        </w:div>
      </w:divsChild>
    </w:div>
    <w:div w:id="134572632">
      <w:bodyDiv w:val="1"/>
      <w:marLeft w:val="0"/>
      <w:marRight w:val="0"/>
      <w:marTop w:val="0"/>
      <w:marBottom w:val="0"/>
      <w:divBdr>
        <w:top w:val="none" w:sz="0" w:space="0" w:color="auto"/>
        <w:left w:val="none" w:sz="0" w:space="0" w:color="auto"/>
        <w:bottom w:val="none" w:sz="0" w:space="0" w:color="auto"/>
        <w:right w:val="none" w:sz="0" w:space="0" w:color="auto"/>
      </w:divBdr>
    </w:div>
    <w:div w:id="136344915">
      <w:bodyDiv w:val="1"/>
      <w:marLeft w:val="0"/>
      <w:marRight w:val="0"/>
      <w:marTop w:val="0"/>
      <w:marBottom w:val="0"/>
      <w:divBdr>
        <w:top w:val="none" w:sz="0" w:space="0" w:color="auto"/>
        <w:left w:val="none" w:sz="0" w:space="0" w:color="auto"/>
        <w:bottom w:val="none" w:sz="0" w:space="0" w:color="auto"/>
        <w:right w:val="none" w:sz="0" w:space="0" w:color="auto"/>
      </w:divBdr>
    </w:div>
    <w:div w:id="142893486">
      <w:bodyDiv w:val="1"/>
      <w:marLeft w:val="0"/>
      <w:marRight w:val="0"/>
      <w:marTop w:val="0"/>
      <w:marBottom w:val="0"/>
      <w:divBdr>
        <w:top w:val="none" w:sz="0" w:space="0" w:color="auto"/>
        <w:left w:val="none" w:sz="0" w:space="0" w:color="auto"/>
        <w:bottom w:val="none" w:sz="0" w:space="0" w:color="auto"/>
        <w:right w:val="none" w:sz="0" w:space="0" w:color="auto"/>
      </w:divBdr>
    </w:div>
    <w:div w:id="148715041">
      <w:bodyDiv w:val="1"/>
      <w:marLeft w:val="0"/>
      <w:marRight w:val="0"/>
      <w:marTop w:val="0"/>
      <w:marBottom w:val="0"/>
      <w:divBdr>
        <w:top w:val="none" w:sz="0" w:space="0" w:color="auto"/>
        <w:left w:val="none" w:sz="0" w:space="0" w:color="auto"/>
        <w:bottom w:val="none" w:sz="0" w:space="0" w:color="auto"/>
        <w:right w:val="none" w:sz="0" w:space="0" w:color="auto"/>
      </w:divBdr>
    </w:div>
    <w:div w:id="150609542">
      <w:bodyDiv w:val="1"/>
      <w:marLeft w:val="0"/>
      <w:marRight w:val="0"/>
      <w:marTop w:val="0"/>
      <w:marBottom w:val="0"/>
      <w:divBdr>
        <w:top w:val="none" w:sz="0" w:space="0" w:color="auto"/>
        <w:left w:val="none" w:sz="0" w:space="0" w:color="auto"/>
        <w:bottom w:val="none" w:sz="0" w:space="0" w:color="auto"/>
        <w:right w:val="none" w:sz="0" w:space="0" w:color="auto"/>
      </w:divBdr>
    </w:div>
    <w:div w:id="163328294">
      <w:bodyDiv w:val="1"/>
      <w:marLeft w:val="0"/>
      <w:marRight w:val="0"/>
      <w:marTop w:val="0"/>
      <w:marBottom w:val="0"/>
      <w:divBdr>
        <w:top w:val="none" w:sz="0" w:space="0" w:color="auto"/>
        <w:left w:val="none" w:sz="0" w:space="0" w:color="auto"/>
        <w:bottom w:val="none" w:sz="0" w:space="0" w:color="auto"/>
        <w:right w:val="none" w:sz="0" w:space="0" w:color="auto"/>
      </w:divBdr>
    </w:div>
    <w:div w:id="192233925">
      <w:bodyDiv w:val="1"/>
      <w:marLeft w:val="0"/>
      <w:marRight w:val="0"/>
      <w:marTop w:val="0"/>
      <w:marBottom w:val="0"/>
      <w:divBdr>
        <w:top w:val="none" w:sz="0" w:space="0" w:color="auto"/>
        <w:left w:val="none" w:sz="0" w:space="0" w:color="auto"/>
        <w:bottom w:val="none" w:sz="0" w:space="0" w:color="auto"/>
        <w:right w:val="none" w:sz="0" w:space="0" w:color="auto"/>
      </w:divBdr>
    </w:div>
    <w:div w:id="208953674">
      <w:bodyDiv w:val="1"/>
      <w:marLeft w:val="0"/>
      <w:marRight w:val="0"/>
      <w:marTop w:val="0"/>
      <w:marBottom w:val="0"/>
      <w:divBdr>
        <w:top w:val="none" w:sz="0" w:space="0" w:color="auto"/>
        <w:left w:val="none" w:sz="0" w:space="0" w:color="auto"/>
        <w:bottom w:val="none" w:sz="0" w:space="0" w:color="auto"/>
        <w:right w:val="none" w:sz="0" w:space="0" w:color="auto"/>
      </w:divBdr>
      <w:divsChild>
        <w:div w:id="2134253911">
          <w:marLeft w:val="0"/>
          <w:marRight w:val="0"/>
          <w:marTop w:val="0"/>
          <w:marBottom w:val="0"/>
          <w:divBdr>
            <w:top w:val="none" w:sz="0" w:space="0" w:color="auto"/>
            <w:left w:val="none" w:sz="0" w:space="0" w:color="auto"/>
            <w:bottom w:val="none" w:sz="0" w:space="0" w:color="auto"/>
            <w:right w:val="none" w:sz="0" w:space="0" w:color="auto"/>
          </w:divBdr>
          <w:divsChild>
            <w:div w:id="9244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1404">
      <w:bodyDiv w:val="1"/>
      <w:marLeft w:val="0"/>
      <w:marRight w:val="0"/>
      <w:marTop w:val="0"/>
      <w:marBottom w:val="0"/>
      <w:divBdr>
        <w:top w:val="none" w:sz="0" w:space="0" w:color="auto"/>
        <w:left w:val="none" w:sz="0" w:space="0" w:color="auto"/>
        <w:bottom w:val="none" w:sz="0" w:space="0" w:color="auto"/>
        <w:right w:val="none" w:sz="0" w:space="0" w:color="auto"/>
      </w:divBdr>
    </w:div>
    <w:div w:id="244650225">
      <w:bodyDiv w:val="1"/>
      <w:marLeft w:val="0"/>
      <w:marRight w:val="0"/>
      <w:marTop w:val="0"/>
      <w:marBottom w:val="0"/>
      <w:divBdr>
        <w:top w:val="none" w:sz="0" w:space="0" w:color="auto"/>
        <w:left w:val="none" w:sz="0" w:space="0" w:color="auto"/>
        <w:bottom w:val="none" w:sz="0" w:space="0" w:color="auto"/>
        <w:right w:val="none" w:sz="0" w:space="0" w:color="auto"/>
      </w:divBdr>
      <w:divsChild>
        <w:div w:id="275528949">
          <w:marLeft w:val="0"/>
          <w:marRight w:val="0"/>
          <w:marTop w:val="0"/>
          <w:marBottom w:val="0"/>
          <w:divBdr>
            <w:top w:val="none" w:sz="0" w:space="0" w:color="auto"/>
            <w:left w:val="none" w:sz="0" w:space="0" w:color="auto"/>
            <w:bottom w:val="none" w:sz="0" w:space="0" w:color="auto"/>
            <w:right w:val="none" w:sz="0" w:space="0" w:color="auto"/>
          </w:divBdr>
          <w:divsChild>
            <w:div w:id="934903700">
              <w:marLeft w:val="0"/>
              <w:marRight w:val="0"/>
              <w:marTop w:val="0"/>
              <w:marBottom w:val="0"/>
              <w:divBdr>
                <w:top w:val="none" w:sz="0" w:space="0" w:color="auto"/>
                <w:left w:val="none" w:sz="0" w:space="0" w:color="auto"/>
                <w:bottom w:val="none" w:sz="0" w:space="0" w:color="auto"/>
                <w:right w:val="none" w:sz="0" w:space="0" w:color="auto"/>
              </w:divBdr>
            </w:div>
          </w:divsChild>
        </w:div>
        <w:div w:id="424693586">
          <w:marLeft w:val="0"/>
          <w:marRight w:val="0"/>
          <w:marTop w:val="0"/>
          <w:marBottom w:val="0"/>
          <w:divBdr>
            <w:top w:val="none" w:sz="0" w:space="0" w:color="auto"/>
            <w:left w:val="none" w:sz="0" w:space="0" w:color="auto"/>
            <w:bottom w:val="none" w:sz="0" w:space="0" w:color="auto"/>
            <w:right w:val="none" w:sz="0" w:space="0" w:color="auto"/>
          </w:divBdr>
        </w:div>
        <w:div w:id="436755379">
          <w:marLeft w:val="0"/>
          <w:marRight w:val="0"/>
          <w:marTop w:val="0"/>
          <w:marBottom w:val="0"/>
          <w:divBdr>
            <w:top w:val="none" w:sz="0" w:space="0" w:color="auto"/>
            <w:left w:val="none" w:sz="0" w:space="0" w:color="auto"/>
            <w:bottom w:val="none" w:sz="0" w:space="0" w:color="auto"/>
            <w:right w:val="none" w:sz="0" w:space="0" w:color="auto"/>
          </w:divBdr>
        </w:div>
      </w:divsChild>
    </w:div>
    <w:div w:id="253167391">
      <w:bodyDiv w:val="1"/>
      <w:marLeft w:val="0"/>
      <w:marRight w:val="0"/>
      <w:marTop w:val="0"/>
      <w:marBottom w:val="0"/>
      <w:divBdr>
        <w:top w:val="none" w:sz="0" w:space="0" w:color="auto"/>
        <w:left w:val="none" w:sz="0" w:space="0" w:color="auto"/>
        <w:bottom w:val="none" w:sz="0" w:space="0" w:color="auto"/>
        <w:right w:val="none" w:sz="0" w:space="0" w:color="auto"/>
      </w:divBdr>
    </w:div>
    <w:div w:id="269551180">
      <w:bodyDiv w:val="1"/>
      <w:marLeft w:val="0"/>
      <w:marRight w:val="0"/>
      <w:marTop w:val="0"/>
      <w:marBottom w:val="0"/>
      <w:divBdr>
        <w:top w:val="none" w:sz="0" w:space="0" w:color="auto"/>
        <w:left w:val="none" w:sz="0" w:space="0" w:color="auto"/>
        <w:bottom w:val="none" w:sz="0" w:space="0" w:color="auto"/>
        <w:right w:val="none" w:sz="0" w:space="0" w:color="auto"/>
      </w:divBdr>
      <w:divsChild>
        <w:div w:id="2098750503">
          <w:marLeft w:val="0"/>
          <w:marRight w:val="0"/>
          <w:marTop w:val="0"/>
          <w:marBottom w:val="0"/>
          <w:divBdr>
            <w:top w:val="none" w:sz="0" w:space="0" w:color="auto"/>
            <w:left w:val="none" w:sz="0" w:space="0" w:color="auto"/>
            <w:bottom w:val="none" w:sz="0" w:space="0" w:color="auto"/>
            <w:right w:val="none" w:sz="0" w:space="0" w:color="auto"/>
          </w:divBdr>
        </w:div>
        <w:div w:id="1831216838">
          <w:marLeft w:val="0"/>
          <w:marRight w:val="0"/>
          <w:marTop w:val="0"/>
          <w:marBottom w:val="0"/>
          <w:divBdr>
            <w:top w:val="none" w:sz="0" w:space="0" w:color="auto"/>
            <w:left w:val="none" w:sz="0" w:space="0" w:color="auto"/>
            <w:bottom w:val="none" w:sz="0" w:space="0" w:color="auto"/>
            <w:right w:val="none" w:sz="0" w:space="0" w:color="auto"/>
          </w:divBdr>
          <w:divsChild>
            <w:div w:id="1686715069">
              <w:marLeft w:val="0"/>
              <w:marRight w:val="0"/>
              <w:marTop w:val="0"/>
              <w:marBottom w:val="0"/>
              <w:divBdr>
                <w:top w:val="none" w:sz="0" w:space="0" w:color="auto"/>
                <w:left w:val="none" w:sz="0" w:space="0" w:color="auto"/>
                <w:bottom w:val="none" w:sz="0" w:space="0" w:color="auto"/>
                <w:right w:val="none" w:sz="0" w:space="0" w:color="auto"/>
              </w:divBdr>
              <w:divsChild>
                <w:div w:id="2013484754">
                  <w:marLeft w:val="0"/>
                  <w:marRight w:val="0"/>
                  <w:marTop w:val="0"/>
                  <w:marBottom w:val="0"/>
                  <w:divBdr>
                    <w:top w:val="none" w:sz="0" w:space="0" w:color="auto"/>
                    <w:left w:val="none" w:sz="0" w:space="0" w:color="auto"/>
                    <w:bottom w:val="none" w:sz="0" w:space="0" w:color="auto"/>
                    <w:right w:val="none" w:sz="0" w:space="0" w:color="auto"/>
                  </w:divBdr>
                  <w:divsChild>
                    <w:div w:id="14909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36831">
      <w:bodyDiv w:val="1"/>
      <w:marLeft w:val="0"/>
      <w:marRight w:val="0"/>
      <w:marTop w:val="0"/>
      <w:marBottom w:val="0"/>
      <w:divBdr>
        <w:top w:val="none" w:sz="0" w:space="0" w:color="auto"/>
        <w:left w:val="none" w:sz="0" w:space="0" w:color="auto"/>
        <w:bottom w:val="none" w:sz="0" w:space="0" w:color="auto"/>
        <w:right w:val="none" w:sz="0" w:space="0" w:color="auto"/>
      </w:divBdr>
    </w:div>
    <w:div w:id="272783516">
      <w:bodyDiv w:val="1"/>
      <w:marLeft w:val="0"/>
      <w:marRight w:val="0"/>
      <w:marTop w:val="0"/>
      <w:marBottom w:val="0"/>
      <w:divBdr>
        <w:top w:val="none" w:sz="0" w:space="0" w:color="auto"/>
        <w:left w:val="none" w:sz="0" w:space="0" w:color="auto"/>
        <w:bottom w:val="none" w:sz="0" w:space="0" w:color="auto"/>
        <w:right w:val="none" w:sz="0" w:space="0" w:color="auto"/>
      </w:divBdr>
    </w:div>
    <w:div w:id="274335389">
      <w:bodyDiv w:val="1"/>
      <w:marLeft w:val="0"/>
      <w:marRight w:val="0"/>
      <w:marTop w:val="0"/>
      <w:marBottom w:val="0"/>
      <w:divBdr>
        <w:top w:val="none" w:sz="0" w:space="0" w:color="auto"/>
        <w:left w:val="none" w:sz="0" w:space="0" w:color="auto"/>
        <w:bottom w:val="none" w:sz="0" w:space="0" w:color="auto"/>
        <w:right w:val="none" w:sz="0" w:space="0" w:color="auto"/>
      </w:divBdr>
    </w:div>
    <w:div w:id="278224986">
      <w:bodyDiv w:val="1"/>
      <w:marLeft w:val="0"/>
      <w:marRight w:val="0"/>
      <w:marTop w:val="0"/>
      <w:marBottom w:val="0"/>
      <w:divBdr>
        <w:top w:val="none" w:sz="0" w:space="0" w:color="auto"/>
        <w:left w:val="none" w:sz="0" w:space="0" w:color="auto"/>
        <w:bottom w:val="none" w:sz="0" w:space="0" w:color="auto"/>
        <w:right w:val="none" w:sz="0" w:space="0" w:color="auto"/>
      </w:divBdr>
    </w:div>
    <w:div w:id="289164365">
      <w:bodyDiv w:val="1"/>
      <w:marLeft w:val="0"/>
      <w:marRight w:val="0"/>
      <w:marTop w:val="0"/>
      <w:marBottom w:val="0"/>
      <w:divBdr>
        <w:top w:val="none" w:sz="0" w:space="0" w:color="auto"/>
        <w:left w:val="none" w:sz="0" w:space="0" w:color="auto"/>
        <w:bottom w:val="none" w:sz="0" w:space="0" w:color="auto"/>
        <w:right w:val="none" w:sz="0" w:space="0" w:color="auto"/>
      </w:divBdr>
      <w:divsChild>
        <w:div w:id="317079984">
          <w:marLeft w:val="0"/>
          <w:marRight w:val="0"/>
          <w:marTop w:val="0"/>
          <w:marBottom w:val="0"/>
          <w:divBdr>
            <w:top w:val="none" w:sz="0" w:space="0" w:color="auto"/>
            <w:left w:val="none" w:sz="0" w:space="0" w:color="auto"/>
            <w:bottom w:val="none" w:sz="0" w:space="0" w:color="auto"/>
            <w:right w:val="none" w:sz="0" w:space="0" w:color="auto"/>
          </w:divBdr>
          <w:divsChild>
            <w:div w:id="472137053">
              <w:marLeft w:val="0"/>
              <w:marRight w:val="0"/>
              <w:marTop w:val="0"/>
              <w:marBottom w:val="0"/>
              <w:divBdr>
                <w:top w:val="none" w:sz="0" w:space="0" w:color="auto"/>
                <w:left w:val="none" w:sz="0" w:space="0" w:color="auto"/>
                <w:bottom w:val="none" w:sz="0" w:space="0" w:color="auto"/>
                <w:right w:val="none" w:sz="0" w:space="0" w:color="auto"/>
              </w:divBdr>
            </w:div>
            <w:div w:id="6746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45221">
      <w:bodyDiv w:val="1"/>
      <w:marLeft w:val="0"/>
      <w:marRight w:val="0"/>
      <w:marTop w:val="0"/>
      <w:marBottom w:val="0"/>
      <w:divBdr>
        <w:top w:val="none" w:sz="0" w:space="0" w:color="auto"/>
        <w:left w:val="none" w:sz="0" w:space="0" w:color="auto"/>
        <w:bottom w:val="none" w:sz="0" w:space="0" w:color="auto"/>
        <w:right w:val="none" w:sz="0" w:space="0" w:color="auto"/>
      </w:divBdr>
    </w:div>
    <w:div w:id="314604433">
      <w:bodyDiv w:val="1"/>
      <w:marLeft w:val="0"/>
      <w:marRight w:val="0"/>
      <w:marTop w:val="0"/>
      <w:marBottom w:val="0"/>
      <w:divBdr>
        <w:top w:val="none" w:sz="0" w:space="0" w:color="auto"/>
        <w:left w:val="none" w:sz="0" w:space="0" w:color="auto"/>
        <w:bottom w:val="none" w:sz="0" w:space="0" w:color="auto"/>
        <w:right w:val="none" w:sz="0" w:space="0" w:color="auto"/>
      </w:divBdr>
    </w:div>
    <w:div w:id="315649776">
      <w:bodyDiv w:val="1"/>
      <w:marLeft w:val="0"/>
      <w:marRight w:val="0"/>
      <w:marTop w:val="0"/>
      <w:marBottom w:val="0"/>
      <w:divBdr>
        <w:top w:val="none" w:sz="0" w:space="0" w:color="auto"/>
        <w:left w:val="none" w:sz="0" w:space="0" w:color="auto"/>
        <w:bottom w:val="none" w:sz="0" w:space="0" w:color="auto"/>
        <w:right w:val="none" w:sz="0" w:space="0" w:color="auto"/>
      </w:divBdr>
    </w:div>
    <w:div w:id="322856891">
      <w:bodyDiv w:val="1"/>
      <w:marLeft w:val="0"/>
      <w:marRight w:val="0"/>
      <w:marTop w:val="0"/>
      <w:marBottom w:val="0"/>
      <w:divBdr>
        <w:top w:val="none" w:sz="0" w:space="0" w:color="auto"/>
        <w:left w:val="none" w:sz="0" w:space="0" w:color="auto"/>
        <w:bottom w:val="none" w:sz="0" w:space="0" w:color="auto"/>
        <w:right w:val="none" w:sz="0" w:space="0" w:color="auto"/>
      </w:divBdr>
    </w:div>
    <w:div w:id="342636914">
      <w:bodyDiv w:val="1"/>
      <w:marLeft w:val="0"/>
      <w:marRight w:val="0"/>
      <w:marTop w:val="0"/>
      <w:marBottom w:val="0"/>
      <w:divBdr>
        <w:top w:val="none" w:sz="0" w:space="0" w:color="auto"/>
        <w:left w:val="none" w:sz="0" w:space="0" w:color="auto"/>
        <w:bottom w:val="none" w:sz="0" w:space="0" w:color="auto"/>
        <w:right w:val="none" w:sz="0" w:space="0" w:color="auto"/>
      </w:divBdr>
    </w:div>
    <w:div w:id="344014419">
      <w:bodyDiv w:val="1"/>
      <w:marLeft w:val="0"/>
      <w:marRight w:val="0"/>
      <w:marTop w:val="0"/>
      <w:marBottom w:val="0"/>
      <w:divBdr>
        <w:top w:val="none" w:sz="0" w:space="0" w:color="auto"/>
        <w:left w:val="none" w:sz="0" w:space="0" w:color="auto"/>
        <w:bottom w:val="none" w:sz="0" w:space="0" w:color="auto"/>
        <w:right w:val="none" w:sz="0" w:space="0" w:color="auto"/>
      </w:divBdr>
      <w:divsChild>
        <w:div w:id="1102995103">
          <w:marLeft w:val="0"/>
          <w:marRight w:val="0"/>
          <w:marTop w:val="0"/>
          <w:marBottom w:val="0"/>
          <w:divBdr>
            <w:top w:val="none" w:sz="0" w:space="0" w:color="auto"/>
            <w:left w:val="none" w:sz="0" w:space="0" w:color="auto"/>
            <w:bottom w:val="none" w:sz="0" w:space="0" w:color="auto"/>
            <w:right w:val="none" w:sz="0" w:space="0" w:color="auto"/>
          </w:divBdr>
          <w:divsChild>
            <w:div w:id="1791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6727">
      <w:bodyDiv w:val="1"/>
      <w:marLeft w:val="0"/>
      <w:marRight w:val="0"/>
      <w:marTop w:val="0"/>
      <w:marBottom w:val="0"/>
      <w:divBdr>
        <w:top w:val="none" w:sz="0" w:space="0" w:color="auto"/>
        <w:left w:val="none" w:sz="0" w:space="0" w:color="auto"/>
        <w:bottom w:val="none" w:sz="0" w:space="0" w:color="auto"/>
        <w:right w:val="none" w:sz="0" w:space="0" w:color="auto"/>
      </w:divBdr>
      <w:divsChild>
        <w:div w:id="1012872649">
          <w:marLeft w:val="0"/>
          <w:marRight w:val="0"/>
          <w:marTop w:val="0"/>
          <w:marBottom w:val="0"/>
          <w:divBdr>
            <w:top w:val="none" w:sz="0" w:space="0" w:color="auto"/>
            <w:left w:val="none" w:sz="0" w:space="0" w:color="auto"/>
            <w:bottom w:val="none" w:sz="0" w:space="0" w:color="auto"/>
            <w:right w:val="none" w:sz="0" w:space="0" w:color="auto"/>
          </w:divBdr>
          <w:divsChild>
            <w:div w:id="1699157515">
              <w:marLeft w:val="0"/>
              <w:marRight w:val="0"/>
              <w:marTop w:val="0"/>
              <w:marBottom w:val="0"/>
              <w:divBdr>
                <w:top w:val="none" w:sz="0" w:space="0" w:color="auto"/>
                <w:left w:val="none" w:sz="0" w:space="0" w:color="auto"/>
                <w:bottom w:val="none" w:sz="0" w:space="0" w:color="auto"/>
                <w:right w:val="none" w:sz="0" w:space="0" w:color="auto"/>
              </w:divBdr>
            </w:div>
          </w:divsChild>
        </w:div>
        <w:div w:id="2048488593">
          <w:marLeft w:val="0"/>
          <w:marRight w:val="0"/>
          <w:marTop w:val="0"/>
          <w:marBottom w:val="0"/>
          <w:divBdr>
            <w:top w:val="none" w:sz="0" w:space="0" w:color="auto"/>
            <w:left w:val="none" w:sz="0" w:space="0" w:color="auto"/>
            <w:bottom w:val="none" w:sz="0" w:space="0" w:color="auto"/>
            <w:right w:val="none" w:sz="0" w:space="0" w:color="auto"/>
          </w:divBdr>
        </w:div>
      </w:divsChild>
    </w:div>
    <w:div w:id="403528436">
      <w:bodyDiv w:val="1"/>
      <w:marLeft w:val="0"/>
      <w:marRight w:val="0"/>
      <w:marTop w:val="0"/>
      <w:marBottom w:val="0"/>
      <w:divBdr>
        <w:top w:val="none" w:sz="0" w:space="0" w:color="auto"/>
        <w:left w:val="none" w:sz="0" w:space="0" w:color="auto"/>
        <w:bottom w:val="none" w:sz="0" w:space="0" w:color="auto"/>
        <w:right w:val="none" w:sz="0" w:space="0" w:color="auto"/>
      </w:divBdr>
      <w:divsChild>
        <w:div w:id="531461833">
          <w:marLeft w:val="0"/>
          <w:marRight w:val="0"/>
          <w:marTop w:val="0"/>
          <w:marBottom w:val="0"/>
          <w:divBdr>
            <w:top w:val="none" w:sz="0" w:space="0" w:color="auto"/>
            <w:left w:val="none" w:sz="0" w:space="0" w:color="auto"/>
            <w:bottom w:val="none" w:sz="0" w:space="0" w:color="auto"/>
            <w:right w:val="none" w:sz="0" w:space="0" w:color="auto"/>
          </w:divBdr>
          <w:divsChild>
            <w:div w:id="1024357143">
              <w:marLeft w:val="0"/>
              <w:marRight w:val="0"/>
              <w:marTop w:val="0"/>
              <w:marBottom w:val="0"/>
              <w:divBdr>
                <w:top w:val="none" w:sz="0" w:space="0" w:color="auto"/>
                <w:left w:val="none" w:sz="0" w:space="0" w:color="auto"/>
                <w:bottom w:val="none" w:sz="0" w:space="0" w:color="auto"/>
                <w:right w:val="none" w:sz="0" w:space="0" w:color="auto"/>
              </w:divBdr>
            </w:div>
            <w:div w:id="1422918704">
              <w:marLeft w:val="0"/>
              <w:marRight w:val="0"/>
              <w:marTop w:val="0"/>
              <w:marBottom w:val="0"/>
              <w:divBdr>
                <w:top w:val="none" w:sz="0" w:space="0" w:color="auto"/>
                <w:left w:val="none" w:sz="0" w:space="0" w:color="auto"/>
                <w:bottom w:val="none" w:sz="0" w:space="0" w:color="auto"/>
                <w:right w:val="none" w:sz="0" w:space="0" w:color="auto"/>
              </w:divBdr>
            </w:div>
          </w:divsChild>
        </w:div>
        <w:div w:id="483594131">
          <w:marLeft w:val="0"/>
          <w:marRight w:val="0"/>
          <w:marTop w:val="0"/>
          <w:marBottom w:val="0"/>
          <w:divBdr>
            <w:top w:val="none" w:sz="0" w:space="0" w:color="auto"/>
            <w:left w:val="none" w:sz="0" w:space="0" w:color="auto"/>
            <w:bottom w:val="none" w:sz="0" w:space="0" w:color="auto"/>
            <w:right w:val="none" w:sz="0" w:space="0" w:color="auto"/>
          </w:divBdr>
        </w:div>
      </w:divsChild>
    </w:div>
    <w:div w:id="403649502">
      <w:bodyDiv w:val="1"/>
      <w:marLeft w:val="0"/>
      <w:marRight w:val="0"/>
      <w:marTop w:val="0"/>
      <w:marBottom w:val="0"/>
      <w:divBdr>
        <w:top w:val="none" w:sz="0" w:space="0" w:color="auto"/>
        <w:left w:val="none" w:sz="0" w:space="0" w:color="auto"/>
        <w:bottom w:val="none" w:sz="0" w:space="0" w:color="auto"/>
        <w:right w:val="none" w:sz="0" w:space="0" w:color="auto"/>
      </w:divBdr>
    </w:div>
    <w:div w:id="441995999">
      <w:bodyDiv w:val="1"/>
      <w:marLeft w:val="0"/>
      <w:marRight w:val="0"/>
      <w:marTop w:val="0"/>
      <w:marBottom w:val="0"/>
      <w:divBdr>
        <w:top w:val="none" w:sz="0" w:space="0" w:color="auto"/>
        <w:left w:val="none" w:sz="0" w:space="0" w:color="auto"/>
        <w:bottom w:val="none" w:sz="0" w:space="0" w:color="auto"/>
        <w:right w:val="none" w:sz="0" w:space="0" w:color="auto"/>
      </w:divBdr>
      <w:divsChild>
        <w:div w:id="1315715698">
          <w:marLeft w:val="0"/>
          <w:marRight w:val="0"/>
          <w:marTop w:val="0"/>
          <w:marBottom w:val="0"/>
          <w:divBdr>
            <w:top w:val="none" w:sz="0" w:space="0" w:color="auto"/>
            <w:left w:val="none" w:sz="0" w:space="0" w:color="auto"/>
            <w:bottom w:val="none" w:sz="0" w:space="0" w:color="auto"/>
            <w:right w:val="none" w:sz="0" w:space="0" w:color="auto"/>
          </w:divBdr>
          <w:divsChild>
            <w:div w:id="1327635033">
              <w:marLeft w:val="0"/>
              <w:marRight w:val="0"/>
              <w:marTop w:val="0"/>
              <w:marBottom w:val="0"/>
              <w:divBdr>
                <w:top w:val="none" w:sz="0" w:space="0" w:color="auto"/>
                <w:left w:val="none" w:sz="0" w:space="0" w:color="auto"/>
                <w:bottom w:val="none" w:sz="0" w:space="0" w:color="auto"/>
                <w:right w:val="none" w:sz="0" w:space="0" w:color="auto"/>
              </w:divBdr>
            </w:div>
            <w:div w:id="1342969586">
              <w:marLeft w:val="0"/>
              <w:marRight w:val="0"/>
              <w:marTop w:val="0"/>
              <w:marBottom w:val="0"/>
              <w:divBdr>
                <w:top w:val="none" w:sz="0" w:space="0" w:color="auto"/>
                <w:left w:val="none" w:sz="0" w:space="0" w:color="auto"/>
                <w:bottom w:val="none" w:sz="0" w:space="0" w:color="auto"/>
                <w:right w:val="none" w:sz="0" w:space="0" w:color="auto"/>
              </w:divBdr>
            </w:div>
          </w:divsChild>
        </w:div>
        <w:div w:id="996958746">
          <w:marLeft w:val="0"/>
          <w:marRight w:val="0"/>
          <w:marTop w:val="0"/>
          <w:marBottom w:val="0"/>
          <w:divBdr>
            <w:top w:val="none" w:sz="0" w:space="0" w:color="auto"/>
            <w:left w:val="none" w:sz="0" w:space="0" w:color="auto"/>
            <w:bottom w:val="none" w:sz="0" w:space="0" w:color="auto"/>
            <w:right w:val="none" w:sz="0" w:space="0" w:color="auto"/>
          </w:divBdr>
        </w:div>
      </w:divsChild>
    </w:div>
    <w:div w:id="449202585">
      <w:bodyDiv w:val="1"/>
      <w:marLeft w:val="0"/>
      <w:marRight w:val="0"/>
      <w:marTop w:val="0"/>
      <w:marBottom w:val="0"/>
      <w:divBdr>
        <w:top w:val="none" w:sz="0" w:space="0" w:color="auto"/>
        <w:left w:val="none" w:sz="0" w:space="0" w:color="auto"/>
        <w:bottom w:val="none" w:sz="0" w:space="0" w:color="auto"/>
        <w:right w:val="none" w:sz="0" w:space="0" w:color="auto"/>
      </w:divBdr>
    </w:div>
    <w:div w:id="461462484">
      <w:bodyDiv w:val="1"/>
      <w:marLeft w:val="0"/>
      <w:marRight w:val="0"/>
      <w:marTop w:val="0"/>
      <w:marBottom w:val="0"/>
      <w:divBdr>
        <w:top w:val="none" w:sz="0" w:space="0" w:color="auto"/>
        <w:left w:val="none" w:sz="0" w:space="0" w:color="auto"/>
        <w:bottom w:val="none" w:sz="0" w:space="0" w:color="auto"/>
        <w:right w:val="none" w:sz="0" w:space="0" w:color="auto"/>
      </w:divBdr>
    </w:div>
    <w:div w:id="462357099">
      <w:bodyDiv w:val="1"/>
      <w:marLeft w:val="0"/>
      <w:marRight w:val="0"/>
      <w:marTop w:val="0"/>
      <w:marBottom w:val="0"/>
      <w:divBdr>
        <w:top w:val="none" w:sz="0" w:space="0" w:color="auto"/>
        <w:left w:val="none" w:sz="0" w:space="0" w:color="auto"/>
        <w:bottom w:val="none" w:sz="0" w:space="0" w:color="auto"/>
        <w:right w:val="none" w:sz="0" w:space="0" w:color="auto"/>
      </w:divBdr>
    </w:div>
    <w:div w:id="481505090">
      <w:bodyDiv w:val="1"/>
      <w:marLeft w:val="0"/>
      <w:marRight w:val="0"/>
      <w:marTop w:val="0"/>
      <w:marBottom w:val="0"/>
      <w:divBdr>
        <w:top w:val="none" w:sz="0" w:space="0" w:color="auto"/>
        <w:left w:val="none" w:sz="0" w:space="0" w:color="auto"/>
        <w:bottom w:val="none" w:sz="0" w:space="0" w:color="auto"/>
        <w:right w:val="none" w:sz="0" w:space="0" w:color="auto"/>
      </w:divBdr>
      <w:divsChild>
        <w:div w:id="576524472">
          <w:marLeft w:val="0"/>
          <w:marRight w:val="0"/>
          <w:marTop w:val="0"/>
          <w:marBottom w:val="0"/>
          <w:divBdr>
            <w:top w:val="none" w:sz="0" w:space="0" w:color="auto"/>
            <w:left w:val="none" w:sz="0" w:space="0" w:color="auto"/>
            <w:bottom w:val="none" w:sz="0" w:space="0" w:color="auto"/>
            <w:right w:val="none" w:sz="0" w:space="0" w:color="auto"/>
          </w:divBdr>
          <w:divsChild>
            <w:div w:id="1828009552">
              <w:marLeft w:val="0"/>
              <w:marRight w:val="0"/>
              <w:marTop w:val="0"/>
              <w:marBottom w:val="0"/>
              <w:divBdr>
                <w:top w:val="none" w:sz="0" w:space="0" w:color="auto"/>
                <w:left w:val="none" w:sz="0" w:space="0" w:color="auto"/>
                <w:bottom w:val="none" w:sz="0" w:space="0" w:color="auto"/>
                <w:right w:val="none" w:sz="0" w:space="0" w:color="auto"/>
              </w:divBdr>
            </w:div>
          </w:divsChild>
        </w:div>
        <w:div w:id="1803768971">
          <w:marLeft w:val="0"/>
          <w:marRight w:val="0"/>
          <w:marTop w:val="0"/>
          <w:marBottom w:val="0"/>
          <w:divBdr>
            <w:top w:val="none" w:sz="0" w:space="0" w:color="auto"/>
            <w:left w:val="none" w:sz="0" w:space="0" w:color="auto"/>
            <w:bottom w:val="none" w:sz="0" w:space="0" w:color="auto"/>
            <w:right w:val="none" w:sz="0" w:space="0" w:color="auto"/>
          </w:divBdr>
        </w:div>
        <w:div w:id="168642762">
          <w:marLeft w:val="0"/>
          <w:marRight w:val="0"/>
          <w:marTop w:val="0"/>
          <w:marBottom w:val="0"/>
          <w:divBdr>
            <w:top w:val="none" w:sz="0" w:space="0" w:color="auto"/>
            <w:left w:val="none" w:sz="0" w:space="0" w:color="auto"/>
            <w:bottom w:val="none" w:sz="0" w:space="0" w:color="auto"/>
            <w:right w:val="none" w:sz="0" w:space="0" w:color="auto"/>
          </w:divBdr>
        </w:div>
      </w:divsChild>
    </w:div>
    <w:div w:id="482695390">
      <w:bodyDiv w:val="1"/>
      <w:marLeft w:val="0"/>
      <w:marRight w:val="0"/>
      <w:marTop w:val="0"/>
      <w:marBottom w:val="0"/>
      <w:divBdr>
        <w:top w:val="none" w:sz="0" w:space="0" w:color="auto"/>
        <w:left w:val="none" w:sz="0" w:space="0" w:color="auto"/>
        <w:bottom w:val="none" w:sz="0" w:space="0" w:color="auto"/>
        <w:right w:val="none" w:sz="0" w:space="0" w:color="auto"/>
      </w:divBdr>
    </w:div>
    <w:div w:id="482965618">
      <w:bodyDiv w:val="1"/>
      <w:marLeft w:val="0"/>
      <w:marRight w:val="0"/>
      <w:marTop w:val="0"/>
      <w:marBottom w:val="0"/>
      <w:divBdr>
        <w:top w:val="none" w:sz="0" w:space="0" w:color="auto"/>
        <w:left w:val="none" w:sz="0" w:space="0" w:color="auto"/>
        <w:bottom w:val="none" w:sz="0" w:space="0" w:color="auto"/>
        <w:right w:val="none" w:sz="0" w:space="0" w:color="auto"/>
      </w:divBdr>
    </w:div>
    <w:div w:id="557938843">
      <w:bodyDiv w:val="1"/>
      <w:marLeft w:val="0"/>
      <w:marRight w:val="0"/>
      <w:marTop w:val="0"/>
      <w:marBottom w:val="0"/>
      <w:divBdr>
        <w:top w:val="none" w:sz="0" w:space="0" w:color="auto"/>
        <w:left w:val="none" w:sz="0" w:space="0" w:color="auto"/>
        <w:bottom w:val="none" w:sz="0" w:space="0" w:color="auto"/>
        <w:right w:val="none" w:sz="0" w:space="0" w:color="auto"/>
      </w:divBdr>
    </w:div>
    <w:div w:id="558202319">
      <w:bodyDiv w:val="1"/>
      <w:marLeft w:val="0"/>
      <w:marRight w:val="0"/>
      <w:marTop w:val="0"/>
      <w:marBottom w:val="0"/>
      <w:divBdr>
        <w:top w:val="none" w:sz="0" w:space="0" w:color="auto"/>
        <w:left w:val="none" w:sz="0" w:space="0" w:color="auto"/>
        <w:bottom w:val="none" w:sz="0" w:space="0" w:color="auto"/>
        <w:right w:val="none" w:sz="0" w:space="0" w:color="auto"/>
      </w:divBdr>
      <w:divsChild>
        <w:div w:id="73747982">
          <w:marLeft w:val="0"/>
          <w:marRight w:val="0"/>
          <w:marTop w:val="0"/>
          <w:marBottom w:val="0"/>
          <w:divBdr>
            <w:top w:val="none" w:sz="0" w:space="0" w:color="auto"/>
            <w:left w:val="none" w:sz="0" w:space="0" w:color="auto"/>
            <w:bottom w:val="none" w:sz="0" w:space="0" w:color="auto"/>
            <w:right w:val="none" w:sz="0" w:space="0" w:color="auto"/>
          </w:divBdr>
          <w:divsChild>
            <w:div w:id="1441878829">
              <w:marLeft w:val="0"/>
              <w:marRight w:val="0"/>
              <w:marTop w:val="0"/>
              <w:marBottom w:val="0"/>
              <w:divBdr>
                <w:top w:val="none" w:sz="0" w:space="0" w:color="auto"/>
                <w:left w:val="none" w:sz="0" w:space="0" w:color="auto"/>
                <w:bottom w:val="none" w:sz="0" w:space="0" w:color="auto"/>
                <w:right w:val="none" w:sz="0" w:space="0" w:color="auto"/>
              </w:divBdr>
            </w:div>
          </w:divsChild>
        </w:div>
        <w:div w:id="183449254">
          <w:marLeft w:val="0"/>
          <w:marRight w:val="0"/>
          <w:marTop w:val="0"/>
          <w:marBottom w:val="0"/>
          <w:divBdr>
            <w:top w:val="none" w:sz="0" w:space="0" w:color="auto"/>
            <w:left w:val="none" w:sz="0" w:space="0" w:color="auto"/>
            <w:bottom w:val="none" w:sz="0" w:space="0" w:color="auto"/>
            <w:right w:val="none" w:sz="0" w:space="0" w:color="auto"/>
          </w:divBdr>
        </w:div>
        <w:div w:id="296953182">
          <w:marLeft w:val="0"/>
          <w:marRight w:val="0"/>
          <w:marTop w:val="0"/>
          <w:marBottom w:val="0"/>
          <w:divBdr>
            <w:top w:val="none" w:sz="0" w:space="0" w:color="auto"/>
            <w:left w:val="none" w:sz="0" w:space="0" w:color="auto"/>
            <w:bottom w:val="none" w:sz="0" w:space="0" w:color="auto"/>
            <w:right w:val="none" w:sz="0" w:space="0" w:color="auto"/>
          </w:divBdr>
        </w:div>
      </w:divsChild>
    </w:div>
    <w:div w:id="558369794">
      <w:bodyDiv w:val="1"/>
      <w:marLeft w:val="0"/>
      <w:marRight w:val="0"/>
      <w:marTop w:val="0"/>
      <w:marBottom w:val="0"/>
      <w:divBdr>
        <w:top w:val="none" w:sz="0" w:space="0" w:color="auto"/>
        <w:left w:val="none" w:sz="0" w:space="0" w:color="auto"/>
        <w:bottom w:val="none" w:sz="0" w:space="0" w:color="auto"/>
        <w:right w:val="none" w:sz="0" w:space="0" w:color="auto"/>
      </w:divBdr>
    </w:div>
    <w:div w:id="576521275">
      <w:bodyDiv w:val="1"/>
      <w:marLeft w:val="0"/>
      <w:marRight w:val="0"/>
      <w:marTop w:val="0"/>
      <w:marBottom w:val="0"/>
      <w:divBdr>
        <w:top w:val="none" w:sz="0" w:space="0" w:color="auto"/>
        <w:left w:val="none" w:sz="0" w:space="0" w:color="auto"/>
        <w:bottom w:val="none" w:sz="0" w:space="0" w:color="auto"/>
        <w:right w:val="none" w:sz="0" w:space="0" w:color="auto"/>
      </w:divBdr>
    </w:div>
    <w:div w:id="597106861">
      <w:bodyDiv w:val="1"/>
      <w:marLeft w:val="0"/>
      <w:marRight w:val="0"/>
      <w:marTop w:val="0"/>
      <w:marBottom w:val="0"/>
      <w:divBdr>
        <w:top w:val="none" w:sz="0" w:space="0" w:color="auto"/>
        <w:left w:val="none" w:sz="0" w:space="0" w:color="auto"/>
        <w:bottom w:val="none" w:sz="0" w:space="0" w:color="auto"/>
        <w:right w:val="none" w:sz="0" w:space="0" w:color="auto"/>
      </w:divBdr>
    </w:div>
    <w:div w:id="673529409">
      <w:bodyDiv w:val="1"/>
      <w:marLeft w:val="0"/>
      <w:marRight w:val="0"/>
      <w:marTop w:val="0"/>
      <w:marBottom w:val="0"/>
      <w:divBdr>
        <w:top w:val="none" w:sz="0" w:space="0" w:color="auto"/>
        <w:left w:val="none" w:sz="0" w:space="0" w:color="auto"/>
        <w:bottom w:val="none" w:sz="0" w:space="0" w:color="auto"/>
        <w:right w:val="none" w:sz="0" w:space="0" w:color="auto"/>
      </w:divBdr>
    </w:div>
    <w:div w:id="678123603">
      <w:bodyDiv w:val="1"/>
      <w:marLeft w:val="0"/>
      <w:marRight w:val="0"/>
      <w:marTop w:val="0"/>
      <w:marBottom w:val="0"/>
      <w:divBdr>
        <w:top w:val="none" w:sz="0" w:space="0" w:color="auto"/>
        <w:left w:val="none" w:sz="0" w:space="0" w:color="auto"/>
        <w:bottom w:val="none" w:sz="0" w:space="0" w:color="auto"/>
        <w:right w:val="none" w:sz="0" w:space="0" w:color="auto"/>
      </w:divBdr>
    </w:div>
    <w:div w:id="686904504">
      <w:bodyDiv w:val="1"/>
      <w:marLeft w:val="0"/>
      <w:marRight w:val="0"/>
      <w:marTop w:val="0"/>
      <w:marBottom w:val="0"/>
      <w:divBdr>
        <w:top w:val="none" w:sz="0" w:space="0" w:color="auto"/>
        <w:left w:val="none" w:sz="0" w:space="0" w:color="auto"/>
        <w:bottom w:val="none" w:sz="0" w:space="0" w:color="auto"/>
        <w:right w:val="none" w:sz="0" w:space="0" w:color="auto"/>
      </w:divBdr>
    </w:div>
    <w:div w:id="695498775">
      <w:bodyDiv w:val="1"/>
      <w:marLeft w:val="0"/>
      <w:marRight w:val="0"/>
      <w:marTop w:val="0"/>
      <w:marBottom w:val="0"/>
      <w:divBdr>
        <w:top w:val="none" w:sz="0" w:space="0" w:color="auto"/>
        <w:left w:val="none" w:sz="0" w:space="0" w:color="auto"/>
        <w:bottom w:val="none" w:sz="0" w:space="0" w:color="auto"/>
        <w:right w:val="none" w:sz="0" w:space="0" w:color="auto"/>
      </w:divBdr>
    </w:div>
    <w:div w:id="701980955">
      <w:bodyDiv w:val="1"/>
      <w:marLeft w:val="0"/>
      <w:marRight w:val="0"/>
      <w:marTop w:val="0"/>
      <w:marBottom w:val="0"/>
      <w:divBdr>
        <w:top w:val="none" w:sz="0" w:space="0" w:color="auto"/>
        <w:left w:val="none" w:sz="0" w:space="0" w:color="auto"/>
        <w:bottom w:val="none" w:sz="0" w:space="0" w:color="auto"/>
        <w:right w:val="none" w:sz="0" w:space="0" w:color="auto"/>
      </w:divBdr>
      <w:divsChild>
        <w:div w:id="490872802">
          <w:marLeft w:val="0"/>
          <w:marRight w:val="0"/>
          <w:marTop w:val="0"/>
          <w:marBottom w:val="0"/>
          <w:divBdr>
            <w:top w:val="none" w:sz="0" w:space="0" w:color="auto"/>
            <w:left w:val="none" w:sz="0" w:space="0" w:color="auto"/>
            <w:bottom w:val="none" w:sz="0" w:space="0" w:color="auto"/>
            <w:right w:val="none" w:sz="0" w:space="0" w:color="auto"/>
          </w:divBdr>
          <w:divsChild>
            <w:div w:id="1205674771">
              <w:marLeft w:val="0"/>
              <w:marRight w:val="0"/>
              <w:marTop w:val="0"/>
              <w:marBottom w:val="0"/>
              <w:divBdr>
                <w:top w:val="none" w:sz="0" w:space="0" w:color="auto"/>
                <w:left w:val="none" w:sz="0" w:space="0" w:color="auto"/>
                <w:bottom w:val="none" w:sz="0" w:space="0" w:color="auto"/>
                <w:right w:val="none" w:sz="0" w:space="0" w:color="auto"/>
              </w:divBdr>
            </w:div>
          </w:divsChild>
        </w:div>
        <w:div w:id="850922747">
          <w:marLeft w:val="0"/>
          <w:marRight w:val="0"/>
          <w:marTop w:val="0"/>
          <w:marBottom w:val="0"/>
          <w:divBdr>
            <w:top w:val="none" w:sz="0" w:space="0" w:color="auto"/>
            <w:left w:val="none" w:sz="0" w:space="0" w:color="auto"/>
            <w:bottom w:val="none" w:sz="0" w:space="0" w:color="auto"/>
            <w:right w:val="none" w:sz="0" w:space="0" w:color="auto"/>
          </w:divBdr>
        </w:div>
        <w:div w:id="1925842809">
          <w:marLeft w:val="0"/>
          <w:marRight w:val="0"/>
          <w:marTop w:val="0"/>
          <w:marBottom w:val="0"/>
          <w:divBdr>
            <w:top w:val="none" w:sz="0" w:space="0" w:color="auto"/>
            <w:left w:val="none" w:sz="0" w:space="0" w:color="auto"/>
            <w:bottom w:val="none" w:sz="0" w:space="0" w:color="auto"/>
            <w:right w:val="none" w:sz="0" w:space="0" w:color="auto"/>
          </w:divBdr>
        </w:div>
      </w:divsChild>
    </w:div>
    <w:div w:id="706175336">
      <w:bodyDiv w:val="1"/>
      <w:marLeft w:val="0"/>
      <w:marRight w:val="0"/>
      <w:marTop w:val="0"/>
      <w:marBottom w:val="0"/>
      <w:divBdr>
        <w:top w:val="none" w:sz="0" w:space="0" w:color="auto"/>
        <w:left w:val="none" w:sz="0" w:space="0" w:color="auto"/>
        <w:bottom w:val="none" w:sz="0" w:space="0" w:color="auto"/>
        <w:right w:val="none" w:sz="0" w:space="0" w:color="auto"/>
      </w:divBdr>
    </w:div>
    <w:div w:id="718209236">
      <w:bodyDiv w:val="1"/>
      <w:marLeft w:val="0"/>
      <w:marRight w:val="0"/>
      <w:marTop w:val="0"/>
      <w:marBottom w:val="0"/>
      <w:divBdr>
        <w:top w:val="none" w:sz="0" w:space="0" w:color="auto"/>
        <w:left w:val="none" w:sz="0" w:space="0" w:color="auto"/>
        <w:bottom w:val="none" w:sz="0" w:space="0" w:color="auto"/>
        <w:right w:val="none" w:sz="0" w:space="0" w:color="auto"/>
      </w:divBdr>
      <w:divsChild>
        <w:div w:id="1952467512">
          <w:marLeft w:val="0"/>
          <w:marRight w:val="0"/>
          <w:marTop w:val="0"/>
          <w:marBottom w:val="0"/>
          <w:divBdr>
            <w:top w:val="none" w:sz="0" w:space="0" w:color="auto"/>
            <w:left w:val="none" w:sz="0" w:space="0" w:color="auto"/>
            <w:bottom w:val="none" w:sz="0" w:space="0" w:color="auto"/>
            <w:right w:val="none" w:sz="0" w:space="0" w:color="auto"/>
          </w:divBdr>
          <w:divsChild>
            <w:div w:id="175850444">
              <w:marLeft w:val="0"/>
              <w:marRight w:val="0"/>
              <w:marTop w:val="0"/>
              <w:marBottom w:val="0"/>
              <w:divBdr>
                <w:top w:val="none" w:sz="0" w:space="0" w:color="auto"/>
                <w:left w:val="none" w:sz="0" w:space="0" w:color="auto"/>
                <w:bottom w:val="none" w:sz="0" w:space="0" w:color="auto"/>
                <w:right w:val="none" w:sz="0" w:space="0" w:color="auto"/>
              </w:divBdr>
            </w:div>
            <w:div w:id="335882536">
              <w:marLeft w:val="0"/>
              <w:marRight w:val="0"/>
              <w:marTop w:val="0"/>
              <w:marBottom w:val="0"/>
              <w:divBdr>
                <w:top w:val="none" w:sz="0" w:space="0" w:color="auto"/>
                <w:left w:val="none" w:sz="0" w:space="0" w:color="auto"/>
                <w:bottom w:val="none" w:sz="0" w:space="0" w:color="auto"/>
                <w:right w:val="none" w:sz="0" w:space="0" w:color="auto"/>
              </w:divBdr>
            </w:div>
          </w:divsChild>
        </w:div>
        <w:div w:id="1441416738">
          <w:marLeft w:val="0"/>
          <w:marRight w:val="0"/>
          <w:marTop w:val="0"/>
          <w:marBottom w:val="0"/>
          <w:divBdr>
            <w:top w:val="none" w:sz="0" w:space="0" w:color="auto"/>
            <w:left w:val="none" w:sz="0" w:space="0" w:color="auto"/>
            <w:bottom w:val="none" w:sz="0" w:space="0" w:color="auto"/>
            <w:right w:val="none" w:sz="0" w:space="0" w:color="auto"/>
          </w:divBdr>
        </w:div>
      </w:divsChild>
    </w:div>
    <w:div w:id="731581695">
      <w:bodyDiv w:val="1"/>
      <w:marLeft w:val="0"/>
      <w:marRight w:val="0"/>
      <w:marTop w:val="0"/>
      <w:marBottom w:val="0"/>
      <w:divBdr>
        <w:top w:val="none" w:sz="0" w:space="0" w:color="auto"/>
        <w:left w:val="none" w:sz="0" w:space="0" w:color="auto"/>
        <w:bottom w:val="none" w:sz="0" w:space="0" w:color="auto"/>
        <w:right w:val="none" w:sz="0" w:space="0" w:color="auto"/>
      </w:divBdr>
      <w:divsChild>
        <w:div w:id="516698957">
          <w:marLeft w:val="0"/>
          <w:marRight w:val="0"/>
          <w:marTop w:val="0"/>
          <w:marBottom w:val="0"/>
          <w:divBdr>
            <w:top w:val="none" w:sz="0" w:space="0" w:color="auto"/>
            <w:left w:val="none" w:sz="0" w:space="0" w:color="auto"/>
            <w:bottom w:val="none" w:sz="0" w:space="0" w:color="auto"/>
            <w:right w:val="none" w:sz="0" w:space="0" w:color="auto"/>
          </w:divBdr>
          <w:divsChild>
            <w:div w:id="301925645">
              <w:marLeft w:val="0"/>
              <w:marRight w:val="0"/>
              <w:marTop w:val="0"/>
              <w:marBottom w:val="0"/>
              <w:divBdr>
                <w:top w:val="none" w:sz="0" w:space="0" w:color="auto"/>
                <w:left w:val="none" w:sz="0" w:space="0" w:color="auto"/>
                <w:bottom w:val="none" w:sz="0" w:space="0" w:color="auto"/>
                <w:right w:val="none" w:sz="0" w:space="0" w:color="auto"/>
              </w:divBdr>
            </w:div>
            <w:div w:id="12751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5111">
      <w:bodyDiv w:val="1"/>
      <w:marLeft w:val="0"/>
      <w:marRight w:val="0"/>
      <w:marTop w:val="0"/>
      <w:marBottom w:val="0"/>
      <w:divBdr>
        <w:top w:val="none" w:sz="0" w:space="0" w:color="auto"/>
        <w:left w:val="none" w:sz="0" w:space="0" w:color="auto"/>
        <w:bottom w:val="none" w:sz="0" w:space="0" w:color="auto"/>
        <w:right w:val="none" w:sz="0" w:space="0" w:color="auto"/>
      </w:divBdr>
      <w:divsChild>
        <w:div w:id="1558516374">
          <w:marLeft w:val="0"/>
          <w:marRight w:val="0"/>
          <w:marTop w:val="0"/>
          <w:marBottom w:val="0"/>
          <w:divBdr>
            <w:top w:val="none" w:sz="0" w:space="0" w:color="auto"/>
            <w:left w:val="none" w:sz="0" w:space="0" w:color="auto"/>
            <w:bottom w:val="none" w:sz="0" w:space="0" w:color="auto"/>
            <w:right w:val="none" w:sz="0" w:space="0" w:color="auto"/>
          </w:divBdr>
          <w:divsChild>
            <w:div w:id="1248685810">
              <w:marLeft w:val="0"/>
              <w:marRight w:val="0"/>
              <w:marTop w:val="0"/>
              <w:marBottom w:val="0"/>
              <w:divBdr>
                <w:top w:val="none" w:sz="0" w:space="0" w:color="auto"/>
                <w:left w:val="none" w:sz="0" w:space="0" w:color="auto"/>
                <w:bottom w:val="none" w:sz="0" w:space="0" w:color="auto"/>
                <w:right w:val="none" w:sz="0" w:space="0" w:color="auto"/>
              </w:divBdr>
            </w:div>
          </w:divsChild>
        </w:div>
        <w:div w:id="347562969">
          <w:marLeft w:val="0"/>
          <w:marRight w:val="0"/>
          <w:marTop w:val="0"/>
          <w:marBottom w:val="0"/>
          <w:divBdr>
            <w:top w:val="none" w:sz="0" w:space="0" w:color="auto"/>
            <w:left w:val="none" w:sz="0" w:space="0" w:color="auto"/>
            <w:bottom w:val="none" w:sz="0" w:space="0" w:color="auto"/>
            <w:right w:val="none" w:sz="0" w:space="0" w:color="auto"/>
          </w:divBdr>
        </w:div>
      </w:divsChild>
    </w:div>
    <w:div w:id="803502856">
      <w:bodyDiv w:val="1"/>
      <w:marLeft w:val="0"/>
      <w:marRight w:val="0"/>
      <w:marTop w:val="0"/>
      <w:marBottom w:val="0"/>
      <w:divBdr>
        <w:top w:val="none" w:sz="0" w:space="0" w:color="auto"/>
        <w:left w:val="none" w:sz="0" w:space="0" w:color="auto"/>
        <w:bottom w:val="none" w:sz="0" w:space="0" w:color="auto"/>
        <w:right w:val="none" w:sz="0" w:space="0" w:color="auto"/>
      </w:divBdr>
      <w:divsChild>
        <w:div w:id="1453281668">
          <w:marLeft w:val="0"/>
          <w:marRight w:val="0"/>
          <w:marTop w:val="0"/>
          <w:marBottom w:val="0"/>
          <w:divBdr>
            <w:top w:val="none" w:sz="0" w:space="0" w:color="auto"/>
            <w:left w:val="none" w:sz="0" w:space="0" w:color="auto"/>
            <w:bottom w:val="none" w:sz="0" w:space="0" w:color="auto"/>
            <w:right w:val="none" w:sz="0" w:space="0" w:color="auto"/>
          </w:divBdr>
          <w:divsChild>
            <w:div w:id="210651350">
              <w:marLeft w:val="0"/>
              <w:marRight w:val="0"/>
              <w:marTop w:val="0"/>
              <w:marBottom w:val="0"/>
              <w:divBdr>
                <w:top w:val="none" w:sz="0" w:space="0" w:color="auto"/>
                <w:left w:val="none" w:sz="0" w:space="0" w:color="auto"/>
                <w:bottom w:val="none" w:sz="0" w:space="0" w:color="auto"/>
                <w:right w:val="none" w:sz="0" w:space="0" w:color="auto"/>
              </w:divBdr>
            </w:div>
          </w:divsChild>
        </w:div>
        <w:div w:id="1226840701">
          <w:marLeft w:val="0"/>
          <w:marRight w:val="0"/>
          <w:marTop w:val="0"/>
          <w:marBottom w:val="0"/>
          <w:divBdr>
            <w:top w:val="none" w:sz="0" w:space="0" w:color="auto"/>
            <w:left w:val="none" w:sz="0" w:space="0" w:color="auto"/>
            <w:bottom w:val="none" w:sz="0" w:space="0" w:color="auto"/>
            <w:right w:val="none" w:sz="0" w:space="0" w:color="auto"/>
          </w:divBdr>
        </w:div>
      </w:divsChild>
    </w:div>
    <w:div w:id="820269596">
      <w:bodyDiv w:val="1"/>
      <w:marLeft w:val="0"/>
      <w:marRight w:val="0"/>
      <w:marTop w:val="0"/>
      <w:marBottom w:val="0"/>
      <w:divBdr>
        <w:top w:val="none" w:sz="0" w:space="0" w:color="auto"/>
        <w:left w:val="none" w:sz="0" w:space="0" w:color="auto"/>
        <w:bottom w:val="none" w:sz="0" w:space="0" w:color="auto"/>
        <w:right w:val="none" w:sz="0" w:space="0" w:color="auto"/>
      </w:divBdr>
      <w:divsChild>
        <w:div w:id="20211423">
          <w:marLeft w:val="0"/>
          <w:marRight w:val="0"/>
          <w:marTop w:val="0"/>
          <w:marBottom w:val="0"/>
          <w:divBdr>
            <w:top w:val="none" w:sz="0" w:space="0" w:color="auto"/>
            <w:left w:val="none" w:sz="0" w:space="0" w:color="auto"/>
            <w:bottom w:val="none" w:sz="0" w:space="0" w:color="auto"/>
            <w:right w:val="none" w:sz="0" w:space="0" w:color="auto"/>
          </w:divBdr>
        </w:div>
      </w:divsChild>
    </w:div>
    <w:div w:id="828062704">
      <w:bodyDiv w:val="1"/>
      <w:marLeft w:val="0"/>
      <w:marRight w:val="0"/>
      <w:marTop w:val="0"/>
      <w:marBottom w:val="0"/>
      <w:divBdr>
        <w:top w:val="none" w:sz="0" w:space="0" w:color="auto"/>
        <w:left w:val="none" w:sz="0" w:space="0" w:color="auto"/>
        <w:bottom w:val="none" w:sz="0" w:space="0" w:color="auto"/>
        <w:right w:val="none" w:sz="0" w:space="0" w:color="auto"/>
      </w:divBdr>
      <w:divsChild>
        <w:div w:id="537088238">
          <w:marLeft w:val="0"/>
          <w:marRight w:val="0"/>
          <w:marTop w:val="0"/>
          <w:marBottom w:val="0"/>
          <w:divBdr>
            <w:top w:val="none" w:sz="0" w:space="0" w:color="auto"/>
            <w:left w:val="none" w:sz="0" w:space="0" w:color="auto"/>
            <w:bottom w:val="none" w:sz="0" w:space="0" w:color="auto"/>
            <w:right w:val="none" w:sz="0" w:space="0" w:color="auto"/>
          </w:divBdr>
        </w:div>
        <w:div w:id="1191065572">
          <w:marLeft w:val="0"/>
          <w:marRight w:val="0"/>
          <w:marTop w:val="0"/>
          <w:marBottom w:val="0"/>
          <w:divBdr>
            <w:top w:val="none" w:sz="0" w:space="0" w:color="auto"/>
            <w:left w:val="none" w:sz="0" w:space="0" w:color="auto"/>
            <w:bottom w:val="none" w:sz="0" w:space="0" w:color="auto"/>
            <w:right w:val="none" w:sz="0" w:space="0" w:color="auto"/>
          </w:divBdr>
          <w:divsChild>
            <w:div w:id="1062798732">
              <w:marLeft w:val="0"/>
              <w:marRight w:val="0"/>
              <w:marTop w:val="0"/>
              <w:marBottom w:val="0"/>
              <w:divBdr>
                <w:top w:val="none" w:sz="0" w:space="0" w:color="auto"/>
                <w:left w:val="none" w:sz="0" w:space="0" w:color="auto"/>
                <w:bottom w:val="none" w:sz="0" w:space="0" w:color="auto"/>
                <w:right w:val="none" w:sz="0" w:space="0" w:color="auto"/>
              </w:divBdr>
              <w:divsChild>
                <w:div w:id="7603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9883">
      <w:bodyDiv w:val="1"/>
      <w:marLeft w:val="0"/>
      <w:marRight w:val="0"/>
      <w:marTop w:val="0"/>
      <w:marBottom w:val="0"/>
      <w:divBdr>
        <w:top w:val="none" w:sz="0" w:space="0" w:color="auto"/>
        <w:left w:val="none" w:sz="0" w:space="0" w:color="auto"/>
        <w:bottom w:val="none" w:sz="0" w:space="0" w:color="auto"/>
        <w:right w:val="none" w:sz="0" w:space="0" w:color="auto"/>
      </w:divBdr>
    </w:div>
    <w:div w:id="846947892">
      <w:bodyDiv w:val="1"/>
      <w:marLeft w:val="0"/>
      <w:marRight w:val="0"/>
      <w:marTop w:val="0"/>
      <w:marBottom w:val="0"/>
      <w:divBdr>
        <w:top w:val="none" w:sz="0" w:space="0" w:color="auto"/>
        <w:left w:val="none" w:sz="0" w:space="0" w:color="auto"/>
        <w:bottom w:val="none" w:sz="0" w:space="0" w:color="auto"/>
        <w:right w:val="none" w:sz="0" w:space="0" w:color="auto"/>
      </w:divBdr>
      <w:divsChild>
        <w:div w:id="2068456932">
          <w:marLeft w:val="0"/>
          <w:marRight w:val="0"/>
          <w:marTop w:val="0"/>
          <w:marBottom w:val="0"/>
          <w:divBdr>
            <w:top w:val="none" w:sz="0" w:space="0" w:color="auto"/>
            <w:left w:val="none" w:sz="0" w:space="0" w:color="auto"/>
            <w:bottom w:val="none" w:sz="0" w:space="0" w:color="auto"/>
            <w:right w:val="none" w:sz="0" w:space="0" w:color="auto"/>
          </w:divBdr>
          <w:divsChild>
            <w:div w:id="131481486">
              <w:marLeft w:val="0"/>
              <w:marRight w:val="0"/>
              <w:marTop w:val="0"/>
              <w:marBottom w:val="0"/>
              <w:divBdr>
                <w:top w:val="none" w:sz="0" w:space="0" w:color="auto"/>
                <w:left w:val="none" w:sz="0" w:space="0" w:color="auto"/>
                <w:bottom w:val="none" w:sz="0" w:space="0" w:color="auto"/>
                <w:right w:val="none" w:sz="0" w:space="0" w:color="auto"/>
              </w:divBdr>
            </w:div>
            <w:div w:id="13674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9214">
      <w:bodyDiv w:val="1"/>
      <w:marLeft w:val="0"/>
      <w:marRight w:val="0"/>
      <w:marTop w:val="0"/>
      <w:marBottom w:val="0"/>
      <w:divBdr>
        <w:top w:val="none" w:sz="0" w:space="0" w:color="auto"/>
        <w:left w:val="none" w:sz="0" w:space="0" w:color="auto"/>
        <w:bottom w:val="none" w:sz="0" w:space="0" w:color="auto"/>
        <w:right w:val="none" w:sz="0" w:space="0" w:color="auto"/>
      </w:divBdr>
    </w:div>
    <w:div w:id="866331372">
      <w:bodyDiv w:val="1"/>
      <w:marLeft w:val="0"/>
      <w:marRight w:val="0"/>
      <w:marTop w:val="0"/>
      <w:marBottom w:val="0"/>
      <w:divBdr>
        <w:top w:val="none" w:sz="0" w:space="0" w:color="auto"/>
        <w:left w:val="none" w:sz="0" w:space="0" w:color="auto"/>
        <w:bottom w:val="none" w:sz="0" w:space="0" w:color="auto"/>
        <w:right w:val="none" w:sz="0" w:space="0" w:color="auto"/>
      </w:divBdr>
    </w:div>
    <w:div w:id="875968045">
      <w:bodyDiv w:val="1"/>
      <w:marLeft w:val="0"/>
      <w:marRight w:val="0"/>
      <w:marTop w:val="0"/>
      <w:marBottom w:val="0"/>
      <w:divBdr>
        <w:top w:val="none" w:sz="0" w:space="0" w:color="auto"/>
        <w:left w:val="none" w:sz="0" w:space="0" w:color="auto"/>
        <w:bottom w:val="none" w:sz="0" w:space="0" w:color="auto"/>
        <w:right w:val="none" w:sz="0" w:space="0" w:color="auto"/>
      </w:divBdr>
    </w:div>
    <w:div w:id="881163892">
      <w:bodyDiv w:val="1"/>
      <w:marLeft w:val="0"/>
      <w:marRight w:val="0"/>
      <w:marTop w:val="0"/>
      <w:marBottom w:val="0"/>
      <w:divBdr>
        <w:top w:val="none" w:sz="0" w:space="0" w:color="auto"/>
        <w:left w:val="none" w:sz="0" w:space="0" w:color="auto"/>
        <w:bottom w:val="none" w:sz="0" w:space="0" w:color="auto"/>
        <w:right w:val="none" w:sz="0" w:space="0" w:color="auto"/>
      </w:divBdr>
    </w:div>
    <w:div w:id="891189078">
      <w:bodyDiv w:val="1"/>
      <w:marLeft w:val="0"/>
      <w:marRight w:val="0"/>
      <w:marTop w:val="0"/>
      <w:marBottom w:val="0"/>
      <w:divBdr>
        <w:top w:val="none" w:sz="0" w:space="0" w:color="auto"/>
        <w:left w:val="none" w:sz="0" w:space="0" w:color="auto"/>
        <w:bottom w:val="none" w:sz="0" w:space="0" w:color="auto"/>
        <w:right w:val="none" w:sz="0" w:space="0" w:color="auto"/>
      </w:divBdr>
    </w:div>
    <w:div w:id="920023952">
      <w:bodyDiv w:val="1"/>
      <w:marLeft w:val="0"/>
      <w:marRight w:val="0"/>
      <w:marTop w:val="0"/>
      <w:marBottom w:val="0"/>
      <w:divBdr>
        <w:top w:val="none" w:sz="0" w:space="0" w:color="auto"/>
        <w:left w:val="none" w:sz="0" w:space="0" w:color="auto"/>
        <w:bottom w:val="none" w:sz="0" w:space="0" w:color="auto"/>
        <w:right w:val="none" w:sz="0" w:space="0" w:color="auto"/>
      </w:divBdr>
    </w:div>
    <w:div w:id="929434833">
      <w:bodyDiv w:val="1"/>
      <w:marLeft w:val="0"/>
      <w:marRight w:val="0"/>
      <w:marTop w:val="0"/>
      <w:marBottom w:val="0"/>
      <w:divBdr>
        <w:top w:val="none" w:sz="0" w:space="0" w:color="auto"/>
        <w:left w:val="none" w:sz="0" w:space="0" w:color="auto"/>
        <w:bottom w:val="none" w:sz="0" w:space="0" w:color="auto"/>
        <w:right w:val="none" w:sz="0" w:space="0" w:color="auto"/>
      </w:divBdr>
      <w:divsChild>
        <w:div w:id="1473866709">
          <w:marLeft w:val="0"/>
          <w:marRight w:val="0"/>
          <w:marTop w:val="0"/>
          <w:marBottom w:val="0"/>
          <w:divBdr>
            <w:top w:val="none" w:sz="0" w:space="0" w:color="auto"/>
            <w:left w:val="none" w:sz="0" w:space="0" w:color="auto"/>
            <w:bottom w:val="none" w:sz="0" w:space="0" w:color="auto"/>
            <w:right w:val="none" w:sz="0" w:space="0" w:color="auto"/>
          </w:divBdr>
          <w:divsChild>
            <w:div w:id="1743720008">
              <w:marLeft w:val="0"/>
              <w:marRight w:val="0"/>
              <w:marTop w:val="0"/>
              <w:marBottom w:val="0"/>
              <w:divBdr>
                <w:top w:val="none" w:sz="0" w:space="0" w:color="auto"/>
                <w:left w:val="none" w:sz="0" w:space="0" w:color="auto"/>
                <w:bottom w:val="none" w:sz="0" w:space="0" w:color="auto"/>
                <w:right w:val="none" w:sz="0" w:space="0" w:color="auto"/>
              </w:divBdr>
            </w:div>
            <w:div w:id="1939680918">
              <w:marLeft w:val="0"/>
              <w:marRight w:val="0"/>
              <w:marTop w:val="0"/>
              <w:marBottom w:val="0"/>
              <w:divBdr>
                <w:top w:val="none" w:sz="0" w:space="0" w:color="auto"/>
                <w:left w:val="none" w:sz="0" w:space="0" w:color="auto"/>
                <w:bottom w:val="none" w:sz="0" w:space="0" w:color="auto"/>
                <w:right w:val="none" w:sz="0" w:space="0" w:color="auto"/>
              </w:divBdr>
            </w:div>
          </w:divsChild>
        </w:div>
        <w:div w:id="2039701434">
          <w:marLeft w:val="0"/>
          <w:marRight w:val="0"/>
          <w:marTop w:val="0"/>
          <w:marBottom w:val="0"/>
          <w:divBdr>
            <w:top w:val="none" w:sz="0" w:space="0" w:color="auto"/>
            <w:left w:val="none" w:sz="0" w:space="0" w:color="auto"/>
            <w:bottom w:val="none" w:sz="0" w:space="0" w:color="auto"/>
            <w:right w:val="none" w:sz="0" w:space="0" w:color="auto"/>
          </w:divBdr>
        </w:div>
        <w:div w:id="58983150">
          <w:marLeft w:val="0"/>
          <w:marRight w:val="0"/>
          <w:marTop w:val="0"/>
          <w:marBottom w:val="0"/>
          <w:divBdr>
            <w:top w:val="none" w:sz="0" w:space="0" w:color="auto"/>
            <w:left w:val="none" w:sz="0" w:space="0" w:color="auto"/>
            <w:bottom w:val="none" w:sz="0" w:space="0" w:color="auto"/>
            <w:right w:val="none" w:sz="0" w:space="0" w:color="auto"/>
          </w:divBdr>
        </w:div>
        <w:div w:id="1852645537">
          <w:marLeft w:val="0"/>
          <w:marRight w:val="0"/>
          <w:marTop w:val="0"/>
          <w:marBottom w:val="0"/>
          <w:divBdr>
            <w:top w:val="none" w:sz="0" w:space="0" w:color="auto"/>
            <w:left w:val="none" w:sz="0" w:space="0" w:color="auto"/>
            <w:bottom w:val="none" w:sz="0" w:space="0" w:color="auto"/>
            <w:right w:val="none" w:sz="0" w:space="0" w:color="auto"/>
          </w:divBdr>
          <w:divsChild>
            <w:div w:id="1775244406">
              <w:marLeft w:val="0"/>
              <w:marRight w:val="0"/>
              <w:marTop w:val="0"/>
              <w:marBottom w:val="0"/>
              <w:divBdr>
                <w:top w:val="none" w:sz="0" w:space="0" w:color="auto"/>
                <w:left w:val="none" w:sz="0" w:space="0" w:color="auto"/>
                <w:bottom w:val="none" w:sz="0" w:space="0" w:color="auto"/>
                <w:right w:val="none" w:sz="0" w:space="0" w:color="auto"/>
              </w:divBdr>
            </w:div>
          </w:divsChild>
        </w:div>
        <w:div w:id="1441486494">
          <w:marLeft w:val="0"/>
          <w:marRight w:val="0"/>
          <w:marTop w:val="0"/>
          <w:marBottom w:val="0"/>
          <w:divBdr>
            <w:top w:val="none" w:sz="0" w:space="0" w:color="auto"/>
            <w:left w:val="none" w:sz="0" w:space="0" w:color="auto"/>
            <w:bottom w:val="none" w:sz="0" w:space="0" w:color="auto"/>
            <w:right w:val="none" w:sz="0" w:space="0" w:color="auto"/>
          </w:divBdr>
        </w:div>
        <w:div w:id="260459872">
          <w:marLeft w:val="0"/>
          <w:marRight w:val="0"/>
          <w:marTop w:val="0"/>
          <w:marBottom w:val="0"/>
          <w:divBdr>
            <w:top w:val="none" w:sz="0" w:space="0" w:color="auto"/>
            <w:left w:val="none" w:sz="0" w:space="0" w:color="auto"/>
            <w:bottom w:val="none" w:sz="0" w:space="0" w:color="auto"/>
            <w:right w:val="none" w:sz="0" w:space="0" w:color="auto"/>
          </w:divBdr>
        </w:div>
        <w:div w:id="141898299">
          <w:marLeft w:val="0"/>
          <w:marRight w:val="0"/>
          <w:marTop w:val="0"/>
          <w:marBottom w:val="0"/>
          <w:divBdr>
            <w:top w:val="none" w:sz="0" w:space="0" w:color="auto"/>
            <w:left w:val="none" w:sz="0" w:space="0" w:color="auto"/>
            <w:bottom w:val="none" w:sz="0" w:space="0" w:color="auto"/>
            <w:right w:val="none" w:sz="0" w:space="0" w:color="auto"/>
          </w:divBdr>
        </w:div>
        <w:div w:id="224224256">
          <w:marLeft w:val="0"/>
          <w:marRight w:val="0"/>
          <w:marTop w:val="0"/>
          <w:marBottom w:val="0"/>
          <w:divBdr>
            <w:top w:val="none" w:sz="0" w:space="0" w:color="auto"/>
            <w:left w:val="none" w:sz="0" w:space="0" w:color="auto"/>
            <w:bottom w:val="none" w:sz="0" w:space="0" w:color="auto"/>
            <w:right w:val="none" w:sz="0" w:space="0" w:color="auto"/>
          </w:divBdr>
        </w:div>
        <w:div w:id="683703833">
          <w:marLeft w:val="0"/>
          <w:marRight w:val="0"/>
          <w:marTop w:val="0"/>
          <w:marBottom w:val="0"/>
          <w:divBdr>
            <w:top w:val="none" w:sz="0" w:space="0" w:color="auto"/>
            <w:left w:val="none" w:sz="0" w:space="0" w:color="auto"/>
            <w:bottom w:val="none" w:sz="0" w:space="0" w:color="auto"/>
            <w:right w:val="none" w:sz="0" w:space="0" w:color="auto"/>
          </w:divBdr>
          <w:divsChild>
            <w:div w:id="2019848560">
              <w:marLeft w:val="0"/>
              <w:marRight w:val="0"/>
              <w:marTop w:val="0"/>
              <w:marBottom w:val="0"/>
              <w:divBdr>
                <w:top w:val="none" w:sz="0" w:space="0" w:color="auto"/>
                <w:left w:val="none" w:sz="0" w:space="0" w:color="auto"/>
                <w:bottom w:val="none" w:sz="0" w:space="0" w:color="auto"/>
                <w:right w:val="none" w:sz="0" w:space="0" w:color="auto"/>
              </w:divBdr>
            </w:div>
            <w:div w:id="2075397579">
              <w:marLeft w:val="0"/>
              <w:marRight w:val="0"/>
              <w:marTop w:val="0"/>
              <w:marBottom w:val="0"/>
              <w:divBdr>
                <w:top w:val="none" w:sz="0" w:space="0" w:color="auto"/>
                <w:left w:val="none" w:sz="0" w:space="0" w:color="auto"/>
                <w:bottom w:val="none" w:sz="0" w:space="0" w:color="auto"/>
                <w:right w:val="none" w:sz="0" w:space="0" w:color="auto"/>
              </w:divBdr>
            </w:div>
          </w:divsChild>
        </w:div>
        <w:div w:id="556479108">
          <w:marLeft w:val="0"/>
          <w:marRight w:val="0"/>
          <w:marTop w:val="0"/>
          <w:marBottom w:val="0"/>
          <w:divBdr>
            <w:top w:val="none" w:sz="0" w:space="0" w:color="auto"/>
            <w:left w:val="none" w:sz="0" w:space="0" w:color="auto"/>
            <w:bottom w:val="none" w:sz="0" w:space="0" w:color="auto"/>
            <w:right w:val="none" w:sz="0" w:space="0" w:color="auto"/>
          </w:divBdr>
        </w:div>
        <w:div w:id="306205715">
          <w:marLeft w:val="0"/>
          <w:marRight w:val="0"/>
          <w:marTop w:val="0"/>
          <w:marBottom w:val="0"/>
          <w:divBdr>
            <w:top w:val="none" w:sz="0" w:space="0" w:color="auto"/>
            <w:left w:val="none" w:sz="0" w:space="0" w:color="auto"/>
            <w:bottom w:val="none" w:sz="0" w:space="0" w:color="auto"/>
            <w:right w:val="none" w:sz="0" w:space="0" w:color="auto"/>
          </w:divBdr>
        </w:div>
        <w:div w:id="2085300441">
          <w:marLeft w:val="0"/>
          <w:marRight w:val="0"/>
          <w:marTop w:val="0"/>
          <w:marBottom w:val="0"/>
          <w:divBdr>
            <w:top w:val="none" w:sz="0" w:space="0" w:color="auto"/>
            <w:left w:val="none" w:sz="0" w:space="0" w:color="auto"/>
            <w:bottom w:val="none" w:sz="0" w:space="0" w:color="auto"/>
            <w:right w:val="none" w:sz="0" w:space="0" w:color="auto"/>
          </w:divBdr>
          <w:divsChild>
            <w:div w:id="126628924">
              <w:marLeft w:val="0"/>
              <w:marRight w:val="0"/>
              <w:marTop w:val="0"/>
              <w:marBottom w:val="0"/>
              <w:divBdr>
                <w:top w:val="none" w:sz="0" w:space="0" w:color="auto"/>
                <w:left w:val="none" w:sz="0" w:space="0" w:color="auto"/>
                <w:bottom w:val="none" w:sz="0" w:space="0" w:color="auto"/>
                <w:right w:val="none" w:sz="0" w:space="0" w:color="auto"/>
              </w:divBdr>
            </w:div>
            <w:div w:id="72704040">
              <w:marLeft w:val="0"/>
              <w:marRight w:val="0"/>
              <w:marTop w:val="0"/>
              <w:marBottom w:val="0"/>
              <w:divBdr>
                <w:top w:val="none" w:sz="0" w:space="0" w:color="auto"/>
                <w:left w:val="none" w:sz="0" w:space="0" w:color="auto"/>
                <w:bottom w:val="none" w:sz="0" w:space="0" w:color="auto"/>
                <w:right w:val="none" w:sz="0" w:space="0" w:color="auto"/>
              </w:divBdr>
            </w:div>
          </w:divsChild>
        </w:div>
        <w:div w:id="548762990">
          <w:marLeft w:val="0"/>
          <w:marRight w:val="0"/>
          <w:marTop w:val="0"/>
          <w:marBottom w:val="0"/>
          <w:divBdr>
            <w:top w:val="none" w:sz="0" w:space="0" w:color="auto"/>
            <w:left w:val="none" w:sz="0" w:space="0" w:color="auto"/>
            <w:bottom w:val="none" w:sz="0" w:space="0" w:color="auto"/>
            <w:right w:val="none" w:sz="0" w:space="0" w:color="auto"/>
          </w:divBdr>
        </w:div>
      </w:divsChild>
    </w:div>
    <w:div w:id="951088283">
      <w:bodyDiv w:val="1"/>
      <w:marLeft w:val="0"/>
      <w:marRight w:val="0"/>
      <w:marTop w:val="0"/>
      <w:marBottom w:val="0"/>
      <w:divBdr>
        <w:top w:val="none" w:sz="0" w:space="0" w:color="auto"/>
        <w:left w:val="none" w:sz="0" w:space="0" w:color="auto"/>
        <w:bottom w:val="none" w:sz="0" w:space="0" w:color="auto"/>
        <w:right w:val="none" w:sz="0" w:space="0" w:color="auto"/>
      </w:divBdr>
    </w:div>
    <w:div w:id="956252516">
      <w:bodyDiv w:val="1"/>
      <w:marLeft w:val="0"/>
      <w:marRight w:val="0"/>
      <w:marTop w:val="0"/>
      <w:marBottom w:val="0"/>
      <w:divBdr>
        <w:top w:val="none" w:sz="0" w:space="0" w:color="auto"/>
        <w:left w:val="none" w:sz="0" w:space="0" w:color="auto"/>
        <w:bottom w:val="none" w:sz="0" w:space="0" w:color="auto"/>
        <w:right w:val="none" w:sz="0" w:space="0" w:color="auto"/>
      </w:divBdr>
    </w:div>
    <w:div w:id="962345543">
      <w:bodyDiv w:val="1"/>
      <w:marLeft w:val="0"/>
      <w:marRight w:val="0"/>
      <w:marTop w:val="0"/>
      <w:marBottom w:val="0"/>
      <w:divBdr>
        <w:top w:val="none" w:sz="0" w:space="0" w:color="auto"/>
        <w:left w:val="none" w:sz="0" w:space="0" w:color="auto"/>
        <w:bottom w:val="none" w:sz="0" w:space="0" w:color="auto"/>
        <w:right w:val="none" w:sz="0" w:space="0" w:color="auto"/>
      </w:divBdr>
      <w:divsChild>
        <w:div w:id="183255925">
          <w:marLeft w:val="0"/>
          <w:marRight w:val="0"/>
          <w:marTop w:val="0"/>
          <w:marBottom w:val="0"/>
          <w:divBdr>
            <w:top w:val="none" w:sz="0" w:space="0" w:color="auto"/>
            <w:left w:val="none" w:sz="0" w:space="0" w:color="auto"/>
            <w:bottom w:val="none" w:sz="0" w:space="0" w:color="auto"/>
            <w:right w:val="none" w:sz="0" w:space="0" w:color="auto"/>
          </w:divBdr>
          <w:divsChild>
            <w:div w:id="26369501">
              <w:marLeft w:val="0"/>
              <w:marRight w:val="0"/>
              <w:marTop w:val="0"/>
              <w:marBottom w:val="0"/>
              <w:divBdr>
                <w:top w:val="none" w:sz="0" w:space="0" w:color="auto"/>
                <w:left w:val="none" w:sz="0" w:space="0" w:color="auto"/>
                <w:bottom w:val="none" w:sz="0" w:space="0" w:color="auto"/>
                <w:right w:val="none" w:sz="0" w:space="0" w:color="auto"/>
              </w:divBdr>
            </w:div>
          </w:divsChild>
        </w:div>
        <w:div w:id="1872691645">
          <w:marLeft w:val="0"/>
          <w:marRight w:val="0"/>
          <w:marTop w:val="0"/>
          <w:marBottom w:val="0"/>
          <w:divBdr>
            <w:top w:val="none" w:sz="0" w:space="0" w:color="auto"/>
            <w:left w:val="none" w:sz="0" w:space="0" w:color="auto"/>
            <w:bottom w:val="none" w:sz="0" w:space="0" w:color="auto"/>
            <w:right w:val="none" w:sz="0" w:space="0" w:color="auto"/>
          </w:divBdr>
        </w:div>
      </w:divsChild>
    </w:div>
    <w:div w:id="962661530">
      <w:bodyDiv w:val="1"/>
      <w:marLeft w:val="0"/>
      <w:marRight w:val="0"/>
      <w:marTop w:val="0"/>
      <w:marBottom w:val="0"/>
      <w:divBdr>
        <w:top w:val="none" w:sz="0" w:space="0" w:color="auto"/>
        <w:left w:val="none" w:sz="0" w:space="0" w:color="auto"/>
        <w:bottom w:val="none" w:sz="0" w:space="0" w:color="auto"/>
        <w:right w:val="none" w:sz="0" w:space="0" w:color="auto"/>
      </w:divBdr>
      <w:divsChild>
        <w:div w:id="1216307509">
          <w:marLeft w:val="0"/>
          <w:marRight w:val="0"/>
          <w:marTop w:val="0"/>
          <w:marBottom w:val="0"/>
          <w:divBdr>
            <w:top w:val="none" w:sz="0" w:space="0" w:color="auto"/>
            <w:left w:val="none" w:sz="0" w:space="0" w:color="auto"/>
            <w:bottom w:val="none" w:sz="0" w:space="0" w:color="auto"/>
            <w:right w:val="none" w:sz="0" w:space="0" w:color="auto"/>
          </w:divBdr>
          <w:divsChild>
            <w:div w:id="1154562921">
              <w:marLeft w:val="0"/>
              <w:marRight w:val="0"/>
              <w:marTop w:val="0"/>
              <w:marBottom w:val="0"/>
              <w:divBdr>
                <w:top w:val="none" w:sz="0" w:space="0" w:color="auto"/>
                <w:left w:val="none" w:sz="0" w:space="0" w:color="auto"/>
                <w:bottom w:val="none" w:sz="0" w:space="0" w:color="auto"/>
                <w:right w:val="none" w:sz="0" w:space="0" w:color="auto"/>
              </w:divBdr>
            </w:div>
          </w:divsChild>
        </w:div>
        <w:div w:id="1236891471">
          <w:marLeft w:val="0"/>
          <w:marRight w:val="0"/>
          <w:marTop w:val="0"/>
          <w:marBottom w:val="0"/>
          <w:divBdr>
            <w:top w:val="none" w:sz="0" w:space="0" w:color="auto"/>
            <w:left w:val="none" w:sz="0" w:space="0" w:color="auto"/>
            <w:bottom w:val="none" w:sz="0" w:space="0" w:color="auto"/>
            <w:right w:val="none" w:sz="0" w:space="0" w:color="auto"/>
          </w:divBdr>
        </w:div>
      </w:divsChild>
    </w:div>
    <w:div w:id="975649314">
      <w:bodyDiv w:val="1"/>
      <w:marLeft w:val="0"/>
      <w:marRight w:val="0"/>
      <w:marTop w:val="0"/>
      <w:marBottom w:val="0"/>
      <w:divBdr>
        <w:top w:val="none" w:sz="0" w:space="0" w:color="auto"/>
        <w:left w:val="none" w:sz="0" w:space="0" w:color="auto"/>
        <w:bottom w:val="none" w:sz="0" w:space="0" w:color="auto"/>
        <w:right w:val="none" w:sz="0" w:space="0" w:color="auto"/>
      </w:divBdr>
    </w:div>
    <w:div w:id="1004668679">
      <w:bodyDiv w:val="1"/>
      <w:marLeft w:val="0"/>
      <w:marRight w:val="0"/>
      <w:marTop w:val="0"/>
      <w:marBottom w:val="0"/>
      <w:divBdr>
        <w:top w:val="none" w:sz="0" w:space="0" w:color="auto"/>
        <w:left w:val="none" w:sz="0" w:space="0" w:color="auto"/>
        <w:bottom w:val="none" w:sz="0" w:space="0" w:color="auto"/>
        <w:right w:val="none" w:sz="0" w:space="0" w:color="auto"/>
      </w:divBdr>
    </w:div>
    <w:div w:id="1010990389">
      <w:bodyDiv w:val="1"/>
      <w:marLeft w:val="0"/>
      <w:marRight w:val="0"/>
      <w:marTop w:val="0"/>
      <w:marBottom w:val="0"/>
      <w:divBdr>
        <w:top w:val="none" w:sz="0" w:space="0" w:color="auto"/>
        <w:left w:val="none" w:sz="0" w:space="0" w:color="auto"/>
        <w:bottom w:val="none" w:sz="0" w:space="0" w:color="auto"/>
        <w:right w:val="none" w:sz="0" w:space="0" w:color="auto"/>
      </w:divBdr>
      <w:divsChild>
        <w:div w:id="1302425698">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none" w:sz="0" w:space="0" w:color="auto"/>
                <w:left w:val="none" w:sz="0" w:space="0" w:color="auto"/>
                <w:bottom w:val="none" w:sz="0" w:space="0" w:color="auto"/>
                <w:right w:val="none" w:sz="0" w:space="0" w:color="auto"/>
              </w:divBdr>
            </w:div>
            <w:div w:id="74325523">
              <w:marLeft w:val="0"/>
              <w:marRight w:val="0"/>
              <w:marTop w:val="0"/>
              <w:marBottom w:val="0"/>
              <w:divBdr>
                <w:top w:val="none" w:sz="0" w:space="0" w:color="auto"/>
                <w:left w:val="none" w:sz="0" w:space="0" w:color="auto"/>
                <w:bottom w:val="none" w:sz="0" w:space="0" w:color="auto"/>
                <w:right w:val="none" w:sz="0" w:space="0" w:color="auto"/>
              </w:divBdr>
            </w:div>
          </w:divsChild>
        </w:div>
        <w:div w:id="110175107">
          <w:marLeft w:val="0"/>
          <w:marRight w:val="0"/>
          <w:marTop w:val="0"/>
          <w:marBottom w:val="0"/>
          <w:divBdr>
            <w:top w:val="none" w:sz="0" w:space="0" w:color="auto"/>
            <w:left w:val="none" w:sz="0" w:space="0" w:color="auto"/>
            <w:bottom w:val="none" w:sz="0" w:space="0" w:color="auto"/>
            <w:right w:val="none" w:sz="0" w:space="0" w:color="auto"/>
          </w:divBdr>
        </w:div>
        <w:div w:id="568542393">
          <w:marLeft w:val="0"/>
          <w:marRight w:val="0"/>
          <w:marTop w:val="0"/>
          <w:marBottom w:val="0"/>
          <w:divBdr>
            <w:top w:val="none" w:sz="0" w:space="0" w:color="auto"/>
            <w:left w:val="none" w:sz="0" w:space="0" w:color="auto"/>
            <w:bottom w:val="none" w:sz="0" w:space="0" w:color="auto"/>
            <w:right w:val="none" w:sz="0" w:space="0" w:color="auto"/>
          </w:divBdr>
          <w:divsChild>
            <w:div w:id="1632905369">
              <w:marLeft w:val="0"/>
              <w:marRight w:val="0"/>
              <w:marTop w:val="0"/>
              <w:marBottom w:val="0"/>
              <w:divBdr>
                <w:top w:val="none" w:sz="0" w:space="0" w:color="auto"/>
                <w:left w:val="none" w:sz="0" w:space="0" w:color="auto"/>
                <w:bottom w:val="none" w:sz="0" w:space="0" w:color="auto"/>
                <w:right w:val="none" w:sz="0" w:space="0" w:color="auto"/>
              </w:divBdr>
            </w:div>
            <w:div w:id="17196310">
              <w:marLeft w:val="0"/>
              <w:marRight w:val="0"/>
              <w:marTop w:val="0"/>
              <w:marBottom w:val="0"/>
              <w:divBdr>
                <w:top w:val="none" w:sz="0" w:space="0" w:color="auto"/>
                <w:left w:val="none" w:sz="0" w:space="0" w:color="auto"/>
                <w:bottom w:val="none" w:sz="0" w:space="0" w:color="auto"/>
                <w:right w:val="none" w:sz="0" w:space="0" w:color="auto"/>
              </w:divBdr>
            </w:div>
          </w:divsChild>
        </w:div>
        <w:div w:id="116339188">
          <w:marLeft w:val="0"/>
          <w:marRight w:val="0"/>
          <w:marTop w:val="0"/>
          <w:marBottom w:val="0"/>
          <w:divBdr>
            <w:top w:val="none" w:sz="0" w:space="0" w:color="auto"/>
            <w:left w:val="none" w:sz="0" w:space="0" w:color="auto"/>
            <w:bottom w:val="none" w:sz="0" w:space="0" w:color="auto"/>
            <w:right w:val="none" w:sz="0" w:space="0" w:color="auto"/>
          </w:divBdr>
        </w:div>
        <w:div w:id="1720204174">
          <w:marLeft w:val="0"/>
          <w:marRight w:val="0"/>
          <w:marTop w:val="0"/>
          <w:marBottom w:val="0"/>
          <w:divBdr>
            <w:top w:val="none" w:sz="0" w:space="0" w:color="auto"/>
            <w:left w:val="none" w:sz="0" w:space="0" w:color="auto"/>
            <w:bottom w:val="none" w:sz="0" w:space="0" w:color="auto"/>
            <w:right w:val="none" w:sz="0" w:space="0" w:color="auto"/>
          </w:divBdr>
          <w:divsChild>
            <w:div w:id="1633555620">
              <w:marLeft w:val="0"/>
              <w:marRight w:val="0"/>
              <w:marTop w:val="0"/>
              <w:marBottom w:val="0"/>
              <w:divBdr>
                <w:top w:val="none" w:sz="0" w:space="0" w:color="auto"/>
                <w:left w:val="none" w:sz="0" w:space="0" w:color="auto"/>
                <w:bottom w:val="none" w:sz="0" w:space="0" w:color="auto"/>
                <w:right w:val="none" w:sz="0" w:space="0" w:color="auto"/>
              </w:divBdr>
            </w:div>
            <w:div w:id="1473524142">
              <w:marLeft w:val="0"/>
              <w:marRight w:val="0"/>
              <w:marTop w:val="0"/>
              <w:marBottom w:val="0"/>
              <w:divBdr>
                <w:top w:val="none" w:sz="0" w:space="0" w:color="auto"/>
                <w:left w:val="none" w:sz="0" w:space="0" w:color="auto"/>
                <w:bottom w:val="none" w:sz="0" w:space="0" w:color="auto"/>
                <w:right w:val="none" w:sz="0" w:space="0" w:color="auto"/>
              </w:divBdr>
            </w:div>
          </w:divsChild>
        </w:div>
        <w:div w:id="1537615671">
          <w:marLeft w:val="0"/>
          <w:marRight w:val="0"/>
          <w:marTop w:val="0"/>
          <w:marBottom w:val="0"/>
          <w:divBdr>
            <w:top w:val="none" w:sz="0" w:space="0" w:color="auto"/>
            <w:left w:val="none" w:sz="0" w:space="0" w:color="auto"/>
            <w:bottom w:val="none" w:sz="0" w:space="0" w:color="auto"/>
            <w:right w:val="none" w:sz="0" w:space="0" w:color="auto"/>
          </w:divBdr>
        </w:div>
        <w:div w:id="973483706">
          <w:marLeft w:val="0"/>
          <w:marRight w:val="0"/>
          <w:marTop w:val="0"/>
          <w:marBottom w:val="0"/>
          <w:divBdr>
            <w:top w:val="none" w:sz="0" w:space="0" w:color="auto"/>
            <w:left w:val="none" w:sz="0" w:space="0" w:color="auto"/>
            <w:bottom w:val="none" w:sz="0" w:space="0" w:color="auto"/>
            <w:right w:val="none" w:sz="0" w:space="0" w:color="auto"/>
          </w:divBdr>
          <w:divsChild>
            <w:div w:id="1789353048">
              <w:marLeft w:val="0"/>
              <w:marRight w:val="0"/>
              <w:marTop w:val="0"/>
              <w:marBottom w:val="0"/>
              <w:divBdr>
                <w:top w:val="none" w:sz="0" w:space="0" w:color="auto"/>
                <w:left w:val="none" w:sz="0" w:space="0" w:color="auto"/>
                <w:bottom w:val="none" w:sz="0" w:space="0" w:color="auto"/>
                <w:right w:val="none" w:sz="0" w:space="0" w:color="auto"/>
              </w:divBdr>
            </w:div>
            <w:div w:id="11526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2541">
      <w:bodyDiv w:val="1"/>
      <w:marLeft w:val="0"/>
      <w:marRight w:val="0"/>
      <w:marTop w:val="0"/>
      <w:marBottom w:val="0"/>
      <w:divBdr>
        <w:top w:val="none" w:sz="0" w:space="0" w:color="auto"/>
        <w:left w:val="none" w:sz="0" w:space="0" w:color="auto"/>
        <w:bottom w:val="none" w:sz="0" w:space="0" w:color="auto"/>
        <w:right w:val="none" w:sz="0" w:space="0" w:color="auto"/>
      </w:divBdr>
      <w:divsChild>
        <w:div w:id="346030221">
          <w:marLeft w:val="0"/>
          <w:marRight w:val="0"/>
          <w:marTop w:val="0"/>
          <w:marBottom w:val="0"/>
          <w:divBdr>
            <w:top w:val="none" w:sz="0" w:space="0" w:color="auto"/>
            <w:left w:val="none" w:sz="0" w:space="0" w:color="auto"/>
            <w:bottom w:val="none" w:sz="0" w:space="0" w:color="auto"/>
            <w:right w:val="none" w:sz="0" w:space="0" w:color="auto"/>
          </w:divBdr>
          <w:divsChild>
            <w:div w:id="930315041">
              <w:marLeft w:val="0"/>
              <w:marRight w:val="0"/>
              <w:marTop w:val="0"/>
              <w:marBottom w:val="0"/>
              <w:divBdr>
                <w:top w:val="none" w:sz="0" w:space="0" w:color="auto"/>
                <w:left w:val="none" w:sz="0" w:space="0" w:color="auto"/>
                <w:bottom w:val="none" w:sz="0" w:space="0" w:color="auto"/>
                <w:right w:val="none" w:sz="0" w:space="0" w:color="auto"/>
              </w:divBdr>
            </w:div>
            <w:div w:id="1057778966">
              <w:marLeft w:val="0"/>
              <w:marRight w:val="0"/>
              <w:marTop w:val="0"/>
              <w:marBottom w:val="0"/>
              <w:divBdr>
                <w:top w:val="none" w:sz="0" w:space="0" w:color="auto"/>
                <w:left w:val="none" w:sz="0" w:space="0" w:color="auto"/>
                <w:bottom w:val="none" w:sz="0" w:space="0" w:color="auto"/>
                <w:right w:val="none" w:sz="0" w:space="0" w:color="auto"/>
              </w:divBdr>
            </w:div>
          </w:divsChild>
        </w:div>
        <w:div w:id="494878212">
          <w:marLeft w:val="0"/>
          <w:marRight w:val="0"/>
          <w:marTop w:val="0"/>
          <w:marBottom w:val="0"/>
          <w:divBdr>
            <w:top w:val="none" w:sz="0" w:space="0" w:color="auto"/>
            <w:left w:val="none" w:sz="0" w:space="0" w:color="auto"/>
            <w:bottom w:val="none" w:sz="0" w:space="0" w:color="auto"/>
            <w:right w:val="none" w:sz="0" w:space="0" w:color="auto"/>
          </w:divBdr>
        </w:div>
      </w:divsChild>
    </w:div>
    <w:div w:id="1030689362">
      <w:bodyDiv w:val="1"/>
      <w:marLeft w:val="0"/>
      <w:marRight w:val="0"/>
      <w:marTop w:val="0"/>
      <w:marBottom w:val="0"/>
      <w:divBdr>
        <w:top w:val="none" w:sz="0" w:space="0" w:color="auto"/>
        <w:left w:val="none" w:sz="0" w:space="0" w:color="auto"/>
        <w:bottom w:val="none" w:sz="0" w:space="0" w:color="auto"/>
        <w:right w:val="none" w:sz="0" w:space="0" w:color="auto"/>
      </w:divBdr>
      <w:divsChild>
        <w:div w:id="1149058737">
          <w:marLeft w:val="0"/>
          <w:marRight w:val="0"/>
          <w:marTop w:val="0"/>
          <w:marBottom w:val="0"/>
          <w:divBdr>
            <w:top w:val="none" w:sz="0" w:space="0" w:color="auto"/>
            <w:left w:val="none" w:sz="0" w:space="0" w:color="auto"/>
            <w:bottom w:val="none" w:sz="0" w:space="0" w:color="auto"/>
            <w:right w:val="none" w:sz="0" w:space="0" w:color="auto"/>
          </w:divBdr>
          <w:divsChild>
            <w:div w:id="378742621">
              <w:marLeft w:val="0"/>
              <w:marRight w:val="0"/>
              <w:marTop w:val="0"/>
              <w:marBottom w:val="0"/>
              <w:divBdr>
                <w:top w:val="none" w:sz="0" w:space="0" w:color="auto"/>
                <w:left w:val="none" w:sz="0" w:space="0" w:color="auto"/>
                <w:bottom w:val="none" w:sz="0" w:space="0" w:color="auto"/>
                <w:right w:val="none" w:sz="0" w:space="0" w:color="auto"/>
              </w:divBdr>
            </w:div>
            <w:div w:id="493570979">
              <w:marLeft w:val="0"/>
              <w:marRight w:val="0"/>
              <w:marTop w:val="0"/>
              <w:marBottom w:val="0"/>
              <w:divBdr>
                <w:top w:val="none" w:sz="0" w:space="0" w:color="auto"/>
                <w:left w:val="none" w:sz="0" w:space="0" w:color="auto"/>
                <w:bottom w:val="none" w:sz="0" w:space="0" w:color="auto"/>
                <w:right w:val="none" w:sz="0" w:space="0" w:color="auto"/>
              </w:divBdr>
            </w:div>
          </w:divsChild>
        </w:div>
        <w:div w:id="464351972">
          <w:marLeft w:val="0"/>
          <w:marRight w:val="0"/>
          <w:marTop w:val="0"/>
          <w:marBottom w:val="0"/>
          <w:divBdr>
            <w:top w:val="none" w:sz="0" w:space="0" w:color="auto"/>
            <w:left w:val="none" w:sz="0" w:space="0" w:color="auto"/>
            <w:bottom w:val="none" w:sz="0" w:space="0" w:color="auto"/>
            <w:right w:val="none" w:sz="0" w:space="0" w:color="auto"/>
          </w:divBdr>
        </w:div>
      </w:divsChild>
    </w:div>
    <w:div w:id="1043021204">
      <w:bodyDiv w:val="1"/>
      <w:marLeft w:val="0"/>
      <w:marRight w:val="0"/>
      <w:marTop w:val="0"/>
      <w:marBottom w:val="0"/>
      <w:divBdr>
        <w:top w:val="none" w:sz="0" w:space="0" w:color="auto"/>
        <w:left w:val="none" w:sz="0" w:space="0" w:color="auto"/>
        <w:bottom w:val="none" w:sz="0" w:space="0" w:color="auto"/>
        <w:right w:val="none" w:sz="0" w:space="0" w:color="auto"/>
      </w:divBdr>
    </w:div>
    <w:div w:id="1061439071">
      <w:bodyDiv w:val="1"/>
      <w:marLeft w:val="0"/>
      <w:marRight w:val="0"/>
      <w:marTop w:val="0"/>
      <w:marBottom w:val="0"/>
      <w:divBdr>
        <w:top w:val="none" w:sz="0" w:space="0" w:color="auto"/>
        <w:left w:val="none" w:sz="0" w:space="0" w:color="auto"/>
        <w:bottom w:val="none" w:sz="0" w:space="0" w:color="auto"/>
        <w:right w:val="none" w:sz="0" w:space="0" w:color="auto"/>
      </w:divBdr>
    </w:div>
    <w:div w:id="1081876425">
      <w:bodyDiv w:val="1"/>
      <w:marLeft w:val="0"/>
      <w:marRight w:val="0"/>
      <w:marTop w:val="0"/>
      <w:marBottom w:val="0"/>
      <w:divBdr>
        <w:top w:val="none" w:sz="0" w:space="0" w:color="auto"/>
        <w:left w:val="none" w:sz="0" w:space="0" w:color="auto"/>
        <w:bottom w:val="none" w:sz="0" w:space="0" w:color="auto"/>
        <w:right w:val="none" w:sz="0" w:space="0" w:color="auto"/>
      </w:divBdr>
    </w:div>
    <w:div w:id="1090466072">
      <w:bodyDiv w:val="1"/>
      <w:marLeft w:val="0"/>
      <w:marRight w:val="0"/>
      <w:marTop w:val="0"/>
      <w:marBottom w:val="0"/>
      <w:divBdr>
        <w:top w:val="none" w:sz="0" w:space="0" w:color="auto"/>
        <w:left w:val="none" w:sz="0" w:space="0" w:color="auto"/>
        <w:bottom w:val="none" w:sz="0" w:space="0" w:color="auto"/>
        <w:right w:val="none" w:sz="0" w:space="0" w:color="auto"/>
      </w:divBdr>
      <w:divsChild>
        <w:div w:id="941646069">
          <w:marLeft w:val="0"/>
          <w:marRight w:val="0"/>
          <w:marTop w:val="0"/>
          <w:marBottom w:val="0"/>
          <w:divBdr>
            <w:top w:val="none" w:sz="0" w:space="0" w:color="auto"/>
            <w:left w:val="none" w:sz="0" w:space="0" w:color="auto"/>
            <w:bottom w:val="none" w:sz="0" w:space="0" w:color="auto"/>
            <w:right w:val="none" w:sz="0" w:space="0" w:color="auto"/>
          </w:divBdr>
          <w:divsChild>
            <w:div w:id="2125804312">
              <w:marLeft w:val="0"/>
              <w:marRight w:val="0"/>
              <w:marTop w:val="0"/>
              <w:marBottom w:val="0"/>
              <w:divBdr>
                <w:top w:val="none" w:sz="0" w:space="0" w:color="auto"/>
                <w:left w:val="none" w:sz="0" w:space="0" w:color="auto"/>
                <w:bottom w:val="none" w:sz="0" w:space="0" w:color="auto"/>
                <w:right w:val="none" w:sz="0" w:space="0" w:color="auto"/>
              </w:divBdr>
            </w:div>
          </w:divsChild>
        </w:div>
        <w:div w:id="884373094">
          <w:marLeft w:val="0"/>
          <w:marRight w:val="0"/>
          <w:marTop w:val="0"/>
          <w:marBottom w:val="0"/>
          <w:divBdr>
            <w:top w:val="none" w:sz="0" w:space="0" w:color="auto"/>
            <w:left w:val="none" w:sz="0" w:space="0" w:color="auto"/>
            <w:bottom w:val="none" w:sz="0" w:space="0" w:color="auto"/>
            <w:right w:val="none" w:sz="0" w:space="0" w:color="auto"/>
          </w:divBdr>
        </w:div>
      </w:divsChild>
    </w:div>
    <w:div w:id="1096292525">
      <w:bodyDiv w:val="1"/>
      <w:marLeft w:val="0"/>
      <w:marRight w:val="0"/>
      <w:marTop w:val="0"/>
      <w:marBottom w:val="0"/>
      <w:divBdr>
        <w:top w:val="none" w:sz="0" w:space="0" w:color="auto"/>
        <w:left w:val="none" w:sz="0" w:space="0" w:color="auto"/>
        <w:bottom w:val="none" w:sz="0" w:space="0" w:color="auto"/>
        <w:right w:val="none" w:sz="0" w:space="0" w:color="auto"/>
      </w:divBdr>
    </w:div>
    <w:div w:id="1115977772">
      <w:bodyDiv w:val="1"/>
      <w:marLeft w:val="0"/>
      <w:marRight w:val="0"/>
      <w:marTop w:val="0"/>
      <w:marBottom w:val="0"/>
      <w:divBdr>
        <w:top w:val="none" w:sz="0" w:space="0" w:color="auto"/>
        <w:left w:val="none" w:sz="0" w:space="0" w:color="auto"/>
        <w:bottom w:val="none" w:sz="0" w:space="0" w:color="auto"/>
        <w:right w:val="none" w:sz="0" w:space="0" w:color="auto"/>
      </w:divBdr>
    </w:div>
    <w:div w:id="1116170096">
      <w:bodyDiv w:val="1"/>
      <w:marLeft w:val="0"/>
      <w:marRight w:val="0"/>
      <w:marTop w:val="0"/>
      <w:marBottom w:val="0"/>
      <w:divBdr>
        <w:top w:val="none" w:sz="0" w:space="0" w:color="auto"/>
        <w:left w:val="none" w:sz="0" w:space="0" w:color="auto"/>
        <w:bottom w:val="none" w:sz="0" w:space="0" w:color="auto"/>
        <w:right w:val="none" w:sz="0" w:space="0" w:color="auto"/>
      </w:divBdr>
      <w:divsChild>
        <w:div w:id="1178620261">
          <w:marLeft w:val="0"/>
          <w:marRight w:val="0"/>
          <w:marTop w:val="0"/>
          <w:marBottom w:val="0"/>
          <w:divBdr>
            <w:top w:val="none" w:sz="0" w:space="0" w:color="auto"/>
            <w:left w:val="none" w:sz="0" w:space="0" w:color="auto"/>
            <w:bottom w:val="none" w:sz="0" w:space="0" w:color="auto"/>
            <w:right w:val="none" w:sz="0" w:space="0" w:color="auto"/>
          </w:divBdr>
          <w:divsChild>
            <w:div w:id="943804382">
              <w:marLeft w:val="0"/>
              <w:marRight w:val="0"/>
              <w:marTop w:val="0"/>
              <w:marBottom w:val="0"/>
              <w:divBdr>
                <w:top w:val="none" w:sz="0" w:space="0" w:color="auto"/>
                <w:left w:val="none" w:sz="0" w:space="0" w:color="auto"/>
                <w:bottom w:val="none" w:sz="0" w:space="0" w:color="auto"/>
                <w:right w:val="none" w:sz="0" w:space="0" w:color="auto"/>
              </w:divBdr>
            </w:div>
            <w:div w:id="3046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39196">
      <w:bodyDiv w:val="1"/>
      <w:marLeft w:val="0"/>
      <w:marRight w:val="0"/>
      <w:marTop w:val="0"/>
      <w:marBottom w:val="0"/>
      <w:divBdr>
        <w:top w:val="none" w:sz="0" w:space="0" w:color="auto"/>
        <w:left w:val="none" w:sz="0" w:space="0" w:color="auto"/>
        <w:bottom w:val="none" w:sz="0" w:space="0" w:color="auto"/>
        <w:right w:val="none" w:sz="0" w:space="0" w:color="auto"/>
      </w:divBdr>
      <w:divsChild>
        <w:div w:id="735325413">
          <w:marLeft w:val="0"/>
          <w:marRight w:val="0"/>
          <w:marTop w:val="0"/>
          <w:marBottom w:val="0"/>
          <w:divBdr>
            <w:top w:val="none" w:sz="0" w:space="0" w:color="auto"/>
            <w:left w:val="none" w:sz="0" w:space="0" w:color="auto"/>
            <w:bottom w:val="none" w:sz="0" w:space="0" w:color="auto"/>
            <w:right w:val="none" w:sz="0" w:space="0" w:color="auto"/>
          </w:divBdr>
          <w:divsChild>
            <w:div w:id="1237936854">
              <w:marLeft w:val="0"/>
              <w:marRight w:val="0"/>
              <w:marTop w:val="0"/>
              <w:marBottom w:val="0"/>
              <w:divBdr>
                <w:top w:val="none" w:sz="0" w:space="0" w:color="auto"/>
                <w:left w:val="none" w:sz="0" w:space="0" w:color="auto"/>
                <w:bottom w:val="none" w:sz="0" w:space="0" w:color="auto"/>
                <w:right w:val="none" w:sz="0" w:space="0" w:color="auto"/>
              </w:divBdr>
            </w:div>
          </w:divsChild>
        </w:div>
        <w:div w:id="1560356571">
          <w:marLeft w:val="0"/>
          <w:marRight w:val="0"/>
          <w:marTop w:val="0"/>
          <w:marBottom w:val="0"/>
          <w:divBdr>
            <w:top w:val="none" w:sz="0" w:space="0" w:color="auto"/>
            <w:left w:val="none" w:sz="0" w:space="0" w:color="auto"/>
            <w:bottom w:val="none" w:sz="0" w:space="0" w:color="auto"/>
            <w:right w:val="none" w:sz="0" w:space="0" w:color="auto"/>
          </w:divBdr>
        </w:div>
        <w:div w:id="755980770">
          <w:marLeft w:val="0"/>
          <w:marRight w:val="0"/>
          <w:marTop w:val="0"/>
          <w:marBottom w:val="0"/>
          <w:divBdr>
            <w:top w:val="none" w:sz="0" w:space="0" w:color="auto"/>
            <w:left w:val="none" w:sz="0" w:space="0" w:color="auto"/>
            <w:bottom w:val="none" w:sz="0" w:space="0" w:color="auto"/>
            <w:right w:val="none" w:sz="0" w:space="0" w:color="auto"/>
          </w:divBdr>
        </w:div>
      </w:divsChild>
    </w:div>
    <w:div w:id="1187594593">
      <w:bodyDiv w:val="1"/>
      <w:marLeft w:val="0"/>
      <w:marRight w:val="0"/>
      <w:marTop w:val="0"/>
      <w:marBottom w:val="0"/>
      <w:divBdr>
        <w:top w:val="none" w:sz="0" w:space="0" w:color="auto"/>
        <w:left w:val="none" w:sz="0" w:space="0" w:color="auto"/>
        <w:bottom w:val="none" w:sz="0" w:space="0" w:color="auto"/>
        <w:right w:val="none" w:sz="0" w:space="0" w:color="auto"/>
      </w:divBdr>
      <w:divsChild>
        <w:div w:id="1193155434">
          <w:marLeft w:val="0"/>
          <w:marRight w:val="0"/>
          <w:marTop w:val="0"/>
          <w:marBottom w:val="0"/>
          <w:divBdr>
            <w:top w:val="none" w:sz="0" w:space="0" w:color="auto"/>
            <w:left w:val="none" w:sz="0" w:space="0" w:color="auto"/>
            <w:bottom w:val="none" w:sz="0" w:space="0" w:color="auto"/>
            <w:right w:val="none" w:sz="0" w:space="0" w:color="auto"/>
          </w:divBdr>
          <w:divsChild>
            <w:div w:id="9563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178">
      <w:bodyDiv w:val="1"/>
      <w:marLeft w:val="0"/>
      <w:marRight w:val="0"/>
      <w:marTop w:val="0"/>
      <w:marBottom w:val="0"/>
      <w:divBdr>
        <w:top w:val="none" w:sz="0" w:space="0" w:color="auto"/>
        <w:left w:val="none" w:sz="0" w:space="0" w:color="auto"/>
        <w:bottom w:val="none" w:sz="0" w:space="0" w:color="auto"/>
        <w:right w:val="none" w:sz="0" w:space="0" w:color="auto"/>
      </w:divBdr>
    </w:div>
    <w:div w:id="1212496099">
      <w:bodyDiv w:val="1"/>
      <w:marLeft w:val="0"/>
      <w:marRight w:val="0"/>
      <w:marTop w:val="0"/>
      <w:marBottom w:val="0"/>
      <w:divBdr>
        <w:top w:val="none" w:sz="0" w:space="0" w:color="auto"/>
        <w:left w:val="none" w:sz="0" w:space="0" w:color="auto"/>
        <w:bottom w:val="none" w:sz="0" w:space="0" w:color="auto"/>
        <w:right w:val="none" w:sz="0" w:space="0" w:color="auto"/>
      </w:divBdr>
    </w:div>
    <w:div w:id="1235317218">
      <w:bodyDiv w:val="1"/>
      <w:marLeft w:val="0"/>
      <w:marRight w:val="0"/>
      <w:marTop w:val="0"/>
      <w:marBottom w:val="0"/>
      <w:divBdr>
        <w:top w:val="none" w:sz="0" w:space="0" w:color="auto"/>
        <w:left w:val="none" w:sz="0" w:space="0" w:color="auto"/>
        <w:bottom w:val="none" w:sz="0" w:space="0" w:color="auto"/>
        <w:right w:val="none" w:sz="0" w:space="0" w:color="auto"/>
      </w:divBdr>
    </w:div>
    <w:div w:id="1266693640">
      <w:bodyDiv w:val="1"/>
      <w:marLeft w:val="0"/>
      <w:marRight w:val="0"/>
      <w:marTop w:val="0"/>
      <w:marBottom w:val="0"/>
      <w:divBdr>
        <w:top w:val="none" w:sz="0" w:space="0" w:color="auto"/>
        <w:left w:val="none" w:sz="0" w:space="0" w:color="auto"/>
        <w:bottom w:val="none" w:sz="0" w:space="0" w:color="auto"/>
        <w:right w:val="none" w:sz="0" w:space="0" w:color="auto"/>
      </w:divBdr>
    </w:div>
    <w:div w:id="1270311050">
      <w:bodyDiv w:val="1"/>
      <w:marLeft w:val="0"/>
      <w:marRight w:val="0"/>
      <w:marTop w:val="0"/>
      <w:marBottom w:val="0"/>
      <w:divBdr>
        <w:top w:val="none" w:sz="0" w:space="0" w:color="auto"/>
        <w:left w:val="none" w:sz="0" w:space="0" w:color="auto"/>
        <w:bottom w:val="none" w:sz="0" w:space="0" w:color="auto"/>
        <w:right w:val="none" w:sz="0" w:space="0" w:color="auto"/>
      </w:divBdr>
    </w:div>
    <w:div w:id="1297220520">
      <w:bodyDiv w:val="1"/>
      <w:marLeft w:val="0"/>
      <w:marRight w:val="0"/>
      <w:marTop w:val="0"/>
      <w:marBottom w:val="0"/>
      <w:divBdr>
        <w:top w:val="none" w:sz="0" w:space="0" w:color="auto"/>
        <w:left w:val="none" w:sz="0" w:space="0" w:color="auto"/>
        <w:bottom w:val="none" w:sz="0" w:space="0" w:color="auto"/>
        <w:right w:val="none" w:sz="0" w:space="0" w:color="auto"/>
      </w:divBdr>
    </w:div>
    <w:div w:id="1298492000">
      <w:bodyDiv w:val="1"/>
      <w:marLeft w:val="0"/>
      <w:marRight w:val="0"/>
      <w:marTop w:val="0"/>
      <w:marBottom w:val="0"/>
      <w:divBdr>
        <w:top w:val="none" w:sz="0" w:space="0" w:color="auto"/>
        <w:left w:val="none" w:sz="0" w:space="0" w:color="auto"/>
        <w:bottom w:val="none" w:sz="0" w:space="0" w:color="auto"/>
        <w:right w:val="none" w:sz="0" w:space="0" w:color="auto"/>
      </w:divBdr>
      <w:divsChild>
        <w:div w:id="173691167">
          <w:marLeft w:val="0"/>
          <w:marRight w:val="0"/>
          <w:marTop w:val="0"/>
          <w:marBottom w:val="0"/>
          <w:divBdr>
            <w:top w:val="none" w:sz="0" w:space="0" w:color="auto"/>
            <w:left w:val="none" w:sz="0" w:space="0" w:color="auto"/>
            <w:bottom w:val="none" w:sz="0" w:space="0" w:color="auto"/>
            <w:right w:val="none" w:sz="0" w:space="0" w:color="auto"/>
          </w:divBdr>
          <w:divsChild>
            <w:div w:id="795417615">
              <w:marLeft w:val="0"/>
              <w:marRight w:val="0"/>
              <w:marTop w:val="0"/>
              <w:marBottom w:val="0"/>
              <w:divBdr>
                <w:top w:val="none" w:sz="0" w:space="0" w:color="auto"/>
                <w:left w:val="none" w:sz="0" w:space="0" w:color="auto"/>
                <w:bottom w:val="none" w:sz="0" w:space="0" w:color="auto"/>
                <w:right w:val="none" w:sz="0" w:space="0" w:color="auto"/>
              </w:divBdr>
            </w:div>
          </w:divsChild>
        </w:div>
        <w:div w:id="666786849">
          <w:marLeft w:val="0"/>
          <w:marRight w:val="0"/>
          <w:marTop w:val="0"/>
          <w:marBottom w:val="0"/>
          <w:divBdr>
            <w:top w:val="none" w:sz="0" w:space="0" w:color="auto"/>
            <w:left w:val="none" w:sz="0" w:space="0" w:color="auto"/>
            <w:bottom w:val="none" w:sz="0" w:space="0" w:color="auto"/>
            <w:right w:val="none" w:sz="0" w:space="0" w:color="auto"/>
          </w:divBdr>
        </w:div>
        <w:div w:id="172769930">
          <w:marLeft w:val="0"/>
          <w:marRight w:val="0"/>
          <w:marTop w:val="0"/>
          <w:marBottom w:val="0"/>
          <w:divBdr>
            <w:top w:val="none" w:sz="0" w:space="0" w:color="auto"/>
            <w:left w:val="none" w:sz="0" w:space="0" w:color="auto"/>
            <w:bottom w:val="none" w:sz="0" w:space="0" w:color="auto"/>
            <w:right w:val="none" w:sz="0" w:space="0" w:color="auto"/>
          </w:divBdr>
        </w:div>
      </w:divsChild>
    </w:div>
    <w:div w:id="1300501322">
      <w:bodyDiv w:val="1"/>
      <w:marLeft w:val="0"/>
      <w:marRight w:val="0"/>
      <w:marTop w:val="0"/>
      <w:marBottom w:val="0"/>
      <w:divBdr>
        <w:top w:val="none" w:sz="0" w:space="0" w:color="auto"/>
        <w:left w:val="none" w:sz="0" w:space="0" w:color="auto"/>
        <w:bottom w:val="none" w:sz="0" w:space="0" w:color="auto"/>
        <w:right w:val="none" w:sz="0" w:space="0" w:color="auto"/>
      </w:divBdr>
    </w:div>
    <w:div w:id="1301839024">
      <w:bodyDiv w:val="1"/>
      <w:marLeft w:val="0"/>
      <w:marRight w:val="0"/>
      <w:marTop w:val="0"/>
      <w:marBottom w:val="0"/>
      <w:divBdr>
        <w:top w:val="none" w:sz="0" w:space="0" w:color="auto"/>
        <w:left w:val="none" w:sz="0" w:space="0" w:color="auto"/>
        <w:bottom w:val="none" w:sz="0" w:space="0" w:color="auto"/>
        <w:right w:val="none" w:sz="0" w:space="0" w:color="auto"/>
      </w:divBdr>
      <w:divsChild>
        <w:div w:id="2050102849">
          <w:marLeft w:val="0"/>
          <w:marRight w:val="0"/>
          <w:marTop w:val="0"/>
          <w:marBottom w:val="0"/>
          <w:divBdr>
            <w:top w:val="none" w:sz="0" w:space="0" w:color="auto"/>
            <w:left w:val="none" w:sz="0" w:space="0" w:color="auto"/>
            <w:bottom w:val="none" w:sz="0" w:space="0" w:color="auto"/>
            <w:right w:val="none" w:sz="0" w:space="0" w:color="auto"/>
          </w:divBdr>
          <w:divsChild>
            <w:div w:id="1582060566">
              <w:marLeft w:val="0"/>
              <w:marRight w:val="0"/>
              <w:marTop w:val="0"/>
              <w:marBottom w:val="0"/>
              <w:divBdr>
                <w:top w:val="none" w:sz="0" w:space="0" w:color="auto"/>
                <w:left w:val="none" w:sz="0" w:space="0" w:color="auto"/>
                <w:bottom w:val="none" w:sz="0" w:space="0" w:color="auto"/>
                <w:right w:val="none" w:sz="0" w:space="0" w:color="auto"/>
              </w:divBdr>
            </w:div>
          </w:divsChild>
        </w:div>
        <w:div w:id="1238788201">
          <w:marLeft w:val="0"/>
          <w:marRight w:val="0"/>
          <w:marTop w:val="0"/>
          <w:marBottom w:val="0"/>
          <w:divBdr>
            <w:top w:val="none" w:sz="0" w:space="0" w:color="auto"/>
            <w:left w:val="none" w:sz="0" w:space="0" w:color="auto"/>
            <w:bottom w:val="none" w:sz="0" w:space="0" w:color="auto"/>
            <w:right w:val="none" w:sz="0" w:space="0" w:color="auto"/>
          </w:divBdr>
        </w:div>
        <w:div w:id="571087562">
          <w:marLeft w:val="0"/>
          <w:marRight w:val="0"/>
          <w:marTop w:val="0"/>
          <w:marBottom w:val="0"/>
          <w:divBdr>
            <w:top w:val="none" w:sz="0" w:space="0" w:color="auto"/>
            <w:left w:val="none" w:sz="0" w:space="0" w:color="auto"/>
            <w:bottom w:val="none" w:sz="0" w:space="0" w:color="auto"/>
            <w:right w:val="none" w:sz="0" w:space="0" w:color="auto"/>
          </w:divBdr>
        </w:div>
      </w:divsChild>
    </w:div>
    <w:div w:id="1304313930">
      <w:bodyDiv w:val="1"/>
      <w:marLeft w:val="0"/>
      <w:marRight w:val="0"/>
      <w:marTop w:val="0"/>
      <w:marBottom w:val="0"/>
      <w:divBdr>
        <w:top w:val="none" w:sz="0" w:space="0" w:color="auto"/>
        <w:left w:val="none" w:sz="0" w:space="0" w:color="auto"/>
        <w:bottom w:val="none" w:sz="0" w:space="0" w:color="auto"/>
        <w:right w:val="none" w:sz="0" w:space="0" w:color="auto"/>
      </w:divBdr>
    </w:div>
    <w:div w:id="1310402933">
      <w:bodyDiv w:val="1"/>
      <w:marLeft w:val="0"/>
      <w:marRight w:val="0"/>
      <w:marTop w:val="0"/>
      <w:marBottom w:val="0"/>
      <w:divBdr>
        <w:top w:val="none" w:sz="0" w:space="0" w:color="auto"/>
        <w:left w:val="none" w:sz="0" w:space="0" w:color="auto"/>
        <w:bottom w:val="none" w:sz="0" w:space="0" w:color="auto"/>
        <w:right w:val="none" w:sz="0" w:space="0" w:color="auto"/>
      </w:divBdr>
    </w:div>
    <w:div w:id="1310477625">
      <w:bodyDiv w:val="1"/>
      <w:marLeft w:val="0"/>
      <w:marRight w:val="0"/>
      <w:marTop w:val="0"/>
      <w:marBottom w:val="0"/>
      <w:divBdr>
        <w:top w:val="none" w:sz="0" w:space="0" w:color="auto"/>
        <w:left w:val="none" w:sz="0" w:space="0" w:color="auto"/>
        <w:bottom w:val="none" w:sz="0" w:space="0" w:color="auto"/>
        <w:right w:val="none" w:sz="0" w:space="0" w:color="auto"/>
      </w:divBdr>
      <w:divsChild>
        <w:div w:id="1076903425">
          <w:marLeft w:val="0"/>
          <w:marRight w:val="0"/>
          <w:marTop w:val="0"/>
          <w:marBottom w:val="0"/>
          <w:divBdr>
            <w:top w:val="none" w:sz="0" w:space="0" w:color="auto"/>
            <w:left w:val="none" w:sz="0" w:space="0" w:color="auto"/>
            <w:bottom w:val="none" w:sz="0" w:space="0" w:color="auto"/>
            <w:right w:val="none" w:sz="0" w:space="0" w:color="auto"/>
          </w:divBdr>
          <w:divsChild>
            <w:div w:id="297340774">
              <w:marLeft w:val="0"/>
              <w:marRight w:val="0"/>
              <w:marTop w:val="0"/>
              <w:marBottom w:val="0"/>
              <w:divBdr>
                <w:top w:val="none" w:sz="0" w:space="0" w:color="auto"/>
                <w:left w:val="none" w:sz="0" w:space="0" w:color="auto"/>
                <w:bottom w:val="none" w:sz="0" w:space="0" w:color="auto"/>
                <w:right w:val="none" w:sz="0" w:space="0" w:color="auto"/>
              </w:divBdr>
              <w:divsChild>
                <w:div w:id="1639260580">
                  <w:marLeft w:val="0"/>
                  <w:marRight w:val="0"/>
                  <w:marTop w:val="0"/>
                  <w:marBottom w:val="0"/>
                  <w:divBdr>
                    <w:top w:val="none" w:sz="0" w:space="0" w:color="auto"/>
                    <w:left w:val="none" w:sz="0" w:space="0" w:color="auto"/>
                    <w:bottom w:val="none" w:sz="0" w:space="0" w:color="auto"/>
                    <w:right w:val="none" w:sz="0" w:space="0" w:color="auto"/>
                  </w:divBdr>
                  <w:divsChild>
                    <w:div w:id="8984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2777">
      <w:bodyDiv w:val="1"/>
      <w:marLeft w:val="0"/>
      <w:marRight w:val="0"/>
      <w:marTop w:val="0"/>
      <w:marBottom w:val="0"/>
      <w:divBdr>
        <w:top w:val="none" w:sz="0" w:space="0" w:color="auto"/>
        <w:left w:val="none" w:sz="0" w:space="0" w:color="auto"/>
        <w:bottom w:val="none" w:sz="0" w:space="0" w:color="auto"/>
        <w:right w:val="none" w:sz="0" w:space="0" w:color="auto"/>
      </w:divBdr>
    </w:div>
    <w:div w:id="1351562698">
      <w:bodyDiv w:val="1"/>
      <w:marLeft w:val="0"/>
      <w:marRight w:val="0"/>
      <w:marTop w:val="0"/>
      <w:marBottom w:val="0"/>
      <w:divBdr>
        <w:top w:val="none" w:sz="0" w:space="0" w:color="auto"/>
        <w:left w:val="none" w:sz="0" w:space="0" w:color="auto"/>
        <w:bottom w:val="none" w:sz="0" w:space="0" w:color="auto"/>
        <w:right w:val="none" w:sz="0" w:space="0" w:color="auto"/>
      </w:divBdr>
    </w:div>
    <w:div w:id="1354266633">
      <w:bodyDiv w:val="1"/>
      <w:marLeft w:val="0"/>
      <w:marRight w:val="0"/>
      <w:marTop w:val="0"/>
      <w:marBottom w:val="0"/>
      <w:divBdr>
        <w:top w:val="none" w:sz="0" w:space="0" w:color="auto"/>
        <w:left w:val="none" w:sz="0" w:space="0" w:color="auto"/>
        <w:bottom w:val="none" w:sz="0" w:space="0" w:color="auto"/>
        <w:right w:val="none" w:sz="0" w:space="0" w:color="auto"/>
      </w:divBdr>
      <w:divsChild>
        <w:div w:id="663359618">
          <w:marLeft w:val="0"/>
          <w:marRight w:val="0"/>
          <w:marTop w:val="0"/>
          <w:marBottom w:val="0"/>
          <w:divBdr>
            <w:top w:val="none" w:sz="0" w:space="0" w:color="auto"/>
            <w:left w:val="none" w:sz="0" w:space="0" w:color="auto"/>
            <w:bottom w:val="none" w:sz="0" w:space="0" w:color="auto"/>
            <w:right w:val="none" w:sz="0" w:space="0" w:color="auto"/>
          </w:divBdr>
          <w:divsChild>
            <w:div w:id="1647007918">
              <w:marLeft w:val="0"/>
              <w:marRight w:val="0"/>
              <w:marTop w:val="0"/>
              <w:marBottom w:val="0"/>
              <w:divBdr>
                <w:top w:val="none" w:sz="0" w:space="0" w:color="auto"/>
                <w:left w:val="none" w:sz="0" w:space="0" w:color="auto"/>
                <w:bottom w:val="none" w:sz="0" w:space="0" w:color="auto"/>
                <w:right w:val="none" w:sz="0" w:space="0" w:color="auto"/>
              </w:divBdr>
              <w:divsChild>
                <w:div w:id="18610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5962">
      <w:bodyDiv w:val="1"/>
      <w:marLeft w:val="0"/>
      <w:marRight w:val="0"/>
      <w:marTop w:val="0"/>
      <w:marBottom w:val="0"/>
      <w:divBdr>
        <w:top w:val="none" w:sz="0" w:space="0" w:color="auto"/>
        <w:left w:val="none" w:sz="0" w:space="0" w:color="auto"/>
        <w:bottom w:val="none" w:sz="0" w:space="0" w:color="auto"/>
        <w:right w:val="none" w:sz="0" w:space="0" w:color="auto"/>
      </w:divBdr>
    </w:div>
    <w:div w:id="1366633963">
      <w:bodyDiv w:val="1"/>
      <w:marLeft w:val="0"/>
      <w:marRight w:val="0"/>
      <w:marTop w:val="0"/>
      <w:marBottom w:val="0"/>
      <w:divBdr>
        <w:top w:val="none" w:sz="0" w:space="0" w:color="auto"/>
        <w:left w:val="none" w:sz="0" w:space="0" w:color="auto"/>
        <w:bottom w:val="none" w:sz="0" w:space="0" w:color="auto"/>
        <w:right w:val="none" w:sz="0" w:space="0" w:color="auto"/>
      </w:divBdr>
    </w:div>
    <w:div w:id="1369375615">
      <w:bodyDiv w:val="1"/>
      <w:marLeft w:val="0"/>
      <w:marRight w:val="0"/>
      <w:marTop w:val="0"/>
      <w:marBottom w:val="0"/>
      <w:divBdr>
        <w:top w:val="none" w:sz="0" w:space="0" w:color="auto"/>
        <w:left w:val="none" w:sz="0" w:space="0" w:color="auto"/>
        <w:bottom w:val="none" w:sz="0" w:space="0" w:color="auto"/>
        <w:right w:val="none" w:sz="0" w:space="0" w:color="auto"/>
      </w:divBdr>
      <w:divsChild>
        <w:div w:id="813254277">
          <w:marLeft w:val="0"/>
          <w:marRight w:val="0"/>
          <w:marTop w:val="0"/>
          <w:marBottom w:val="0"/>
          <w:divBdr>
            <w:top w:val="none" w:sz="0" w:space="0" w:color="auto"/>
            <w:left w:val="none" w:sz="0" w:space="0" w:color="auto"/>
            <w:bottom w:val="none" w:sz="0" w:space="0" w:color="auto"/>
            <w:right w:val="none" w:sz="0" w:space="0" w:color="auto"/>
          </w:divBdr>
          <w:divsChild>
            <w:div w:id="508757874">
              <w:marLeft w:val="0"/>
              <w:marRight w:val="0"/>
              <w:marTop w:val="0"/>
              <w:marBottom w:val="0"/>
              <w:divBdr>
                <w:top w:val="none" w:sz="0" w:space="0" w:color="auto"/>
                <w:left w:val="none" w:sz="0" w:space="0" w:color="auto"/>
                <w:bottom w:val="none" w:sz="0" w:space="0" w:color="auto"/>
                <w:right w:val="none" w:sz="0" w:space="0" w:color="auto"/>
              </w:divBdr>
            </w:div>
          </w:divsChild>
        </w:div>
        <w:div w:id="1759715582">
          <w:marLeft w:val="0"/>
          <w:marRight w:val="0"/>
          <w:marTop w:val="0"/>
          <w:marBottom w:val="0"/>
          <w:divBdr>
            <w:top w:val="none" w:sz="0" w:space="0" w:color="auto"/>
            <w:left w:val="none" w:sz="0" w:space="0" w:color="auto"/>
            <w:bottom w:val="none" w:sz="0" w:space="0" w:color="auto"/>
            <w:right w:val="none" w:sz="0" w:space="0" w:color="auto"/>
          </w:divBdr>
          <w:divsChild>
            <w:div w:id="680164644">
              <w:marLeft w:val="0"/>
              <w:marRight w:val="0"/>
              <w:marTop w:val="0"/>
              <w:marBottom w:val="0"/>
              <w:divBdr>
                <w:top w:val="none" w:sz="0" w:space="0" w:color="auto"/>
                <w:left w:val="none" w:sz="0" w:space="0" w:color="auto"/>
                <w:bottom w:val="none" w:sz="0" w:space="0" w:color="auto"/>
                <w:right w:val="none" w:sz="0" w:space="0" w:color="auto"/>
              </w:divBdr>
              <w:divsChild>
                <w:div w:id="1896968745">
                  <w:marLeft w:val="0"/>
                  <w:marRight w:val="0"/>
                  <w:marTop w:val="0"/>
                  <w:marBottom w:val="0"/>
                  <w:divBdr>
                    <w:top w:val="none" w:sz="0" w:space="0" w:color="auto"/>
                    <w:left w:val="none" w:sz="0" w:space="0" w:color="auto"/>
                    <w:bottom w:val="none" w:sz="0" w:space="0" w:color="auto"/>
                    <w:right w:val="none" w:sz="0" w:space="0" w:color="auto"/>
                  </w:divBdr>
                  <w:divsChild>
                    <w:div w:id="76559733">
                      <w:marLeft w:val="0"/>
                      <w:marRight w:val="0"/>
                      <w:marTop w:val="0"/>
                      <w:marBottom w:val="0"/>
                      <w:divBdr>
                        <w:top w:val="none" w:sz="0" w:space="0" w:color="auto"/>
                        <w:left w:val="none" w:sz="0" w:space="0" w:color="auto"/>
                        <w:bottom w:val="none" w:sz="0" w:space="0" w:color="auto"/>
                        <w:right w:val="none" w:sz="0" w:space="0" w:color="auto"/>
                      </w:divBdr>
                      <w:divsChild>
                        <w:div w:id="2109621701">
                          <w:marLeft w:val="0"/>
                          <w:marRight w:val="0"/>
                          <w:marTop w:val="0"/>
                          <w:marBottom w:val="0"/>
                          <w:divBdr>
                            <w:top w:val="none" w:sz="0" w:space="0" w:color="auto"/>
                            <w:left w:val="none" w:sz="0" w:space="0" w:color="auto"/>
                            <w:bottom w:val="none" w:sz="0" w:space="0" w:color="auto"/>
                            <w:right w:val="none" w:sz="0" w:space="0" w:color="auto"/>
                          </w:divBdr>
                          <w:divsChild>
                            <w:div w:id="2060012082">
                              <w:marLeft w:val="0"/>
                              <w:marRight w:val="0"/>
                              <w:marTop w:val="0"/>
                              <w:marBottom w:val="0"/>
                              <w:divBdr>
                                <w:top w:val="none" w:sz="0" w:space="0" w:color="auto"/>
                                <w:left w:val="none" w:sz="0" w:space="0" w:color="auto"/>
                                <w:bottom w:val="none" w:sz="0" w:space="0" w:color="auto"/>
                                <w:right w:val="none" w:sz="0" w:space="0" w:color="auto"/>
                              </w:divBdr>
                              <w:divsChild>
                                <w:div w:id="19484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688804">
      <w:bodyDiv w:val="1"/>
      <w:marLeft w:val="0"/>
      <w:marRight w:val="0"/>
      <w:marTop w:val="0"/>
      <w:marBottom w:val="0"/>
      <w:divBdr>
        <w:top w:val="none" w:sz="0" w:space="0" w:color="auto"/>
        <w:left w:val="none" w:sz="0" w:space="0" w:color="auto"/>
        <w:bottom w:val="none" w:sz="0" w:space="0" w:color="auto"/>
        <w:right w:val="none" w:sz="0" w:space="0" w:color="auto"/>
      </w:divBdr>
    </w:div>
    <w:div w:id="1385568819">
      <w:bodyDiv w:val="1"/>
      <w:marLeft w:val="0"/>
      <w:marRight w:val="0"/>
      <w:marTop w:val="0"/>
      <w:marBottom w:val="0"/>
      <w:divBdr>
        <w:top w:val="none" w:sz="0" w:space="0" w:color="auto"/>
        <w:left w:val="none" w:sz="0" w:space="0" w:color="auto"/>
        <w:bottom w:val="none" w:sz="0" w:space="0" w:color="auto"/>
        <w:right w:val="none" w:sz="0" w:space="0" w:color="auto"/>
      </w:divBdr>
      <w:divsChild>
        <w:div w:id="1466510291">
          <w:marLeft w:val="0"/>
          <w:marRight w:val="0"/>
          <w:marTop w:val="0"/>
          <w:marBottom w:val="0"/>
          <w:divBdr>
            <w:top w:val="none" w:sz="0" w:space="0" w:color="auto"/>
            <w:left w:val="none" w:sz="0" w:space="0" w:color="auto"/>
            <w:bottom w:val="none" w:sz="0" w:space="0" w:color="auto"/>
            <w:right w:val="none" w:sz="0" w:space="0" w:color="auto"/>
          </w:divBdr>
          <w:divsChild>
            <w:div w:id="1847553975">
              <w:marLeft w:val="0"/>
              <w:marRight w:val="0"/>
              <w:marTop w:val="0"/>
              <w:marBottom w:val="0"/>
              <w:divBdr>
                <w:top w:val="none" w:sz="0" w:space="0" w:color="auto"/>
                <w:left w:val="none" w:sz="0" w:space="0" w:color="auto"/>
                <w:bottom w:val="none" w:sz="0" w:space="0" w:color="auto"/>
                <w:right w:val="none" w:sz="0" w:space="0" w:color="auto"/>
              </w:divBdr>
              <w:divsChild>
                <w:div w:id="13495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9709">
      <w:bodyDiv w:val="1"/>
      <w:marLeft w:val="0"/>
      <w:marRight w:val="0"/>
      <w:marTop w:val="0"/>
      <w:marBottom w:val="0"/>
      <w:divBdr>
        <w:top w:val="none" w:sz="0" w:space="0" w:color="auto"/>
        <w:left w:val="none" w:sz="0" w:space="0" w:color="auto"/>
        <w:bottom w:val="none" w:sz="0" w:space="0" w:color="auto"/>
        <w:right w:val="none" w:sz="0" w:space="0" w:color="auto"/>
      </w:divBdr>
    </w:div>
    <w:div w:id="1395003053">
      <w:bodyDiv w:val="1"/>
      <w:marLeft w:val="0"/>
      <w:marRight w:val="0"/>
      <w:marTop w:val="0"/>
      <w:marBottom w:val="0"/>
      <w:divBdr>
        <w:top w:val="none" w:sz="0" w:space="0" w:color="auto"/>
        <w:left w:val="none" w:sz="0" w:space="0" w:color="auto"/>
        <w:bottom w:val="none" w:sz="0" w:space="0" w:color="auto"/>
        <w:right w:val="none" w:sz="0" w:space="0" w:color="auto"/>
      </w:divBdr>
      <w:divsChild>
        <w:div w:id="518735446">
          <w:marLeft w:val="0"/>
          <w:marRight w:val="0"/>
          <w:marTop w:val="0"/>
          <w:marBottom w:val="0"/>
          <w:divBdr>
            <w:top w:val="none" w:sz="0" w:space="0" w:color="auto"/>
            <w:left w:val="none" w:sz="0" w:space="0" w:color="auto"/>
            <w:bottom w:val="none" w:sz="0" w:space="0" w:color="auto"/>
            <w:right w:val="none" w:sz="0" w:space="0" w:color="auto"/>
          </w:divBdr>
        </w:div>
        <w:div w:id="1604723271">
          <w:marLeft w:val="0"/>
          <w:marRight w:val="0"/>
          <w:marTop w:val="0"/>
          <w:marBottom w:val="0"/>
          <w:divBdr>
            <w:top w:val="none" w:sz="0" w:space="0" w:color="auto"/>
            <w:left w:val="none" w:sz="0" w:space="0" w:color="auto"/>
            <w:bottom w:val="none" w:sz="0" w:space="0" w:color="auto"/>
            <w:right w:val="none" w:sz="0" w:space="0" w:color="auto"/>
          </w:divBdr>
        </w:div>
        <w:div w:id="42607694">
          <w:marLeft w:val="0"/>
          <w:marRight w:val="0"/>
          <w:marTop w:val="0"/>
          <w:marBottom w:val="0"/>
          <w:divBdr>
            <w:top w:val="none" w:sz="0" w:space="0" w:color="auto"/>
            <w:left w:val="none" w:sz="0" w:space="0" w:color="auto"/>
            <w:bottom w:val="none" w:sz="0" w:space="0" w:color="auto"/>
            <w:right w:val="none" w:sz="0" w:space="0" w:color="auto"/>
          </w:divBdr>
        </w:div>
      </w:divsChild>
    </w:div>
    <w:div w:id="1404059294">
      <w:bodyDiv w:val="1"/>
      <w:marLeft w:val="0"/>
      <w:marRight w:val="0"/>
      <w:marTop w:val="0"/>
      <w:marBottom w:val="0"/>
      <w:divBdr>
        <w:top w:val="none" w:sz="0" w:space="0" w:color="auto"/>
        <w:left w:val="none" w:sz="0" w:space="0" w:color="auto"/>
        <w:bottom w:val="none" w:sz="0" w:space="0" w:color="auto"/>
        <w:right w:val="none" w:sz="0" w:space="0" w:color="auto"/>
      </w:divBdr>
      <w:divsChild>
        <w:div w:id="1093473010">
          <w:marLeft w:val="0"/>
          <w:marRight w:val="0"/>
          <w:marTop w:val="0"/>
          <w:marBottom w:val="0"/>
          <w:divBdr>
            <w:top w:val="none" w:sz="0" w:space="0" w:color="auto"/>
            <w:left w:val="none" w:sz="0" w:space="0" w:color="auto"/>
            <w:bottom w:val="none" w:sz="0" w:space="0" w:color="auto"/>
            <w:right w:val="none" w:sz="0" w:space="0" w:color="auto"/>
          </w:divBdr>
          <w:divsChild>
            <w:div w:id="13730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9225">
      <w:bodyDiv w:val="1"/>
      <w:marLeft w:val="0"/>
      <w:marRight w:val="0"/>
      <w:marTop w:val="0"/>
      <w:marBottom w:val="0"/>
      <w:divBdr>
        <w:top w:val="none" w:sz="0" w:space="0" w:color="auto"/>
        <w:left w:val="none" w:sz="0" w:space="0" w:color="auto"/>
        <w:bottom w:val="none" w:sz="0" w:space="0" w:color="auto"/>
        <w:right w:val="none" w:sz="0" w:space="0" w:color="auto"/>
      </w:divBdr>
    </w:div>
    <w:div w:id="1425106635">
      <w:bodyDiv w:val="1"/>
      <w:marLeft w:val="0"/>
      <w:marRight w:val="0"/>
      <w:marTop w:val="0"/>
      <w:marBottom w:val="0"/>
      <w:divBdr>
        <w:top w:val="none" w:sz="0" w:space="0" w:color="auto"/>
        <w:left w:val="none" w:sz="0" w:space="0" w:color="auto"/>
        <w:bottom w:val="none" w:sz="0" w:space="0" w:color="auto"/>
        <w:right w:val="none" w:sz="0" w:space="0" w:color="auto"/>
      </w:divBdr>
    </w:div>
    <w:div w:id="1449818151">
      <w:bodyDiv w:val="1"/>
      <w:marLeft w:val="0"/>
      <w:marRight w:val="0"/>
      <w:marTop w:val="0"/>
      <w:marBottom w:val="0"/>
      <w:divBdr>
        <w:top w:val="none" w:sz="0" w:space="0" w:color="auto"/>
        <w:left w:val="none" w:sz="0" w:space="0" w:color="auto"/>
        <w:bottom w:val="none" w:sz="0" w:space="0" w:color="auto"/>
        <w:right w:val="none" w:sz="0" w:space="0" w:color="auto"/>
      </w:divBdr>
    </w:div>
    <w:div w:id="1480923695">
      <w:bodyDiv w:val="1"/>
      <w:marLeft w:val="0"/>
      <w:marRight w:val="0"/>
      <w:marTop w:val="0"/>
      <w:marBottom w:val="0"/>
      <w:divBdr>
        <w:top w:val="none" w:sz="0" w:space="0" w:color="auto"/>
        <w:left w:val="none" w:sz="0" w:space="0" w:color="auto"/>
        <w:bottom w:val="none" w:sz="0" w:space="0" w:color="auto"/>
        <w:right w:val="none" w:sz="0" w:space="0" w:color="auto"/>
      </w:divBdr>
      <w:divsChild>
        <w:div w:id="1234269901">
          <w:marLeft w:val="0"/>
          <w:marRight w:val="0"/>
          <w:marTop w:val="0"/>
          <w:marBottom w:val="0"/>
          <w:divBdr>
            <w:top w:val="none" w:sz="0" w:space="0" w:color="auto"/>
            <w:left w:val="none" w:sz="0" w:space="0" w:color="auto"/>
            <w:bottom w:val="none" w:sz="0" w:space="0" w:color="auto"/>
            <w:right w:val="none" w:sz="0" w:space="0" w:color="auto"/>
          </w:divBdr>
          <w:divsChild>
            <w:div w:id="709959991">
              <w:marLeft w:val="0"/>
              <w:marRight w:val="0"/>
              <w:marTop w:val="0"/>
              <w:marBottom w:val="0"/>
              <w:divBdr>
                <w:top w:val="none" w:sz="0" w:space="0" w:color="auto"/>
                <w:left w:val="none" w:sz="0" w:space="0" w:color="auto"/>
                <w:bottom w:val="none" w:sz="0" w:space="0" w:color="auto"/>
                <w:right w:val="none" w:sz="0" w:space="0" w:color="auto"/>
              </w:divBdr>
            </w:div>
          </w:divsChild>
        </w:div>
        <w:div w:id="992223750">
          <w:marLeft w:val="0"/>
          <w:marRight w:val="0"/>
          <w:marTop w:val="0"/>
          <w:marBottom w:val="0"/>
          <w:divBdr>
            <w:top w:val="none" w:sz="0" w:space="0" w:color="auto"/>
            <w:left w:val="none" w:sz="0" w:space="0" w:color="auto"/>
            <w:bottom w:val="none" w:sz="0" w:space="0" w:color="auto"/>
            <w:right w:val="none" w:sz="0" w:space="0" w:color="auto"/>
          </w:divBdr>
        </w:div>
      </w:divsChild>
    </w:div>
    <w:div w:id="1524978544">
      <w:bodyDiv w:val="1"/>
      <w:marLeft w:val="0"/>
      <w:marRight w:val="0"/>
      <w:marTop w:val="0"/>
      <w:marBottom w:val="0"/>
      <w:divBdr>
        <w:top w:val="none" w:sz="0" w:space="0" w:color="auto"/>
        <w:left w:val="none" w:sz="0" w:space="0" w:color="auto"/>
        <w:bottom w:val="none" w:sz="0" w:space="0" w:color="auto"/>
        <w:right w:val="none" w:sz="0" w:space="0" w:color="auto"/>
      </w:divBdr>
      <w:divsChild>
        <w:div w:id="29107999">
          <w:marLeft w:val="0"/>
          <w:marRight w:val="0"/>
          <w:marTop w:val="0"/>
          <w:marBottom w:val="0"/>
          <w:divBdr>
            <w:top w:val="none" w:sz="0" w:space="0" w:color="auto"/>
            <w:left w:val="none" w:sz="0" w:space="0" w:color="auto"/>
            <w:bottom w:val="none" w:sz="0" w:space="0" w:color="auto"/>
            <w:right w:val="none" w:sz="0" w:space="0" w:color="auto"/>
          </w:divBdr>
          <w:divsChild>
            <w:div w:id="1268809281">
              <w:marLeft w:val="0"/>
              <w:marRight w:val="0"/>
              <w:marTop w:val="0"/>
              <w:marBottom w:val="0"/>
              <w:divBdr>
                <w:top w:val="none" w:sz="0" w:space="0" w:color="auto"/>
                <w:left w:val="none" w:sz="0" w:space="0" w:color="auto"/>
                <w:bottom w:val="none" w:sz="0" w:space="0" w:color="auto"/>
                <w:right w:val="none" w:sz="0" w:space="0" w:color="auto"/>
              </w:divBdr>
            </w:div>
            <w:div w:id="674848291">
              <w:marLeft w:val="0"/>
              <w:marRight w:val="0"/>
              <w:marTop w:val="0"/>
              <w:marBottom w:val="0"/>
              <w:divBdr>
                <w:top w:val="none" w:sz="0" w:space="0" w:color="auto"/>
                <w:left w:val="none" w:sz="0" w:space="0" w:color="auto"/>
                <w:bottom w:val="none" w:sz="0" w:space="0" w:color="auto"/>
                <w:right w:val="none" w:sz="0" w:space="0" w:color="auto"/>
              </w:divBdr>
            </w:div>
          </w:divsChild>
        </w:div>
        <w:div w:id="1936401933">
          <w:marLeft w:val="0"/>
          <w:marRight w:val="0"/>
          <w:marTop w:val="0"/>
          <w:marBottom w:val="0"/>
          <w:divBdr>
            <w:top w:val="none" w:sz="0" w:space="0" w:color="auto"/>
            <w:left w:val="none" w:sz="0" w:space="0" w:color="auto"/>
            <w:bottom w:val="none" w:sz="0" w:space="0" w:color="auto"/>
            <w:right w:val="none" w:sz="0" w:space="0" w:color="auto"/>
          </w:divBdr>
        </w:div>
      </w:divsChild>
    </w:div>
    <w:div w:id="1574851699">
      <w:bodyDiv w:val="1"/>
      <w:marLeft w:val="0"/>
      <w:marRight w:val="0"/>
      <w:marTop w:val="0"/>
      <w:marBottom w:val="0"/>
      <w:divBdr>
        <w:top w:val="none" w:sz="0" w:space="0" w:color="auto"/>
        <w:left w:val="none" w:sz="0" w:space="0" w:color="auto"/>
        <w:bottom w:val="none" w:sz="0" w:space="0" w:color="auto"/>
        <w:right w:val="none" w:sz="0" w:space="0" w:color="auto"/>
      </w:divBdr>
      <w:divsChild>
        <w:div w:id="527060144">
          <w:marLeft w:val="0"/>
          <w:marRight w:val="0"/>
          <w:marTop w:val="0"/>
          <w:marBottom w:val="0"/>
          <w:divBdr>
            <w:top w:val="none" w:sz="0" w:space="0" w:color="auto"/>
            <w:left w:val="none" w:sz="0" w:space="0" w:color="auto"/>
            <w:bottom w:val="none" w:sz="0" w:space="0" w:color="auto"/>
            <w:right w:val="none" w:sz="0" w:space="0" w:color="auto"/>
          </w:divBdr>
        </w:div>
      </w:divsChild>
    </w:div>
    <w:div w:id="1580142081">
      <w:bodyDiv w:val="1"/>
      <w:marLeft w:val="0"/>
      <w:marRight w:val="0"/>
      <w:marTop w:val="0"/>
      <w:marBottom w:val="0"/>
      <w:divBdr>
        <w:top w:val="none" w:sz="0" w:space="0" w:color="auto"/>
        <w:left w:val="none" w:sz="0" w:space="0" w:color="auto"/>
        <w:bottom w:val="none" w:sz="0" w:space="0" w:color="auto"/>
        <w:right w:val="none" w:sz="0" w:space="0" w:color="auto"/>
      </w:divBdr>
    </w:div>
    <w:div w:id="1605460937">
      <w:bodyDiv w:val="1"/>
      <w:marLeft w:val="0"/>
      <w:marRight w:val="0"/>
      <w:marTop w:val="0"/>
      <w:marBottom w:val="0"/>
      <w:divBdr>
        <w:top w:val="none" w:sz="0" w:space="0" w:color="auto"/>
        <w:left w:val="none" w:sz="0" w:space="0" w:color="auto"/>
        <w:bottom w:val="none" w:sz="0" w:space="0" w:color="auto"/>
        <w:right w:val="none" w:sz="0" w:space="0" w:color="auto"/>
      </w:divBdr>
    </w:div>
    <w:div w:id="1610699996">
      <w:bodyDiv w:val="1"/>
      <w:marLeft w:val="0"/>
      <w:marRight w:val="0"/>
      <w:marTop w:val="0"/>
      <w:marBottom w:val="0"/>
      <w:divBdr>
        <w:top w:val="none" w:sz="0" w:space="0" w:color="auto"/>
        <w:left w:val="none" w:sz="0" w:space="0" w:color="auto"/>
        <w:bottom w:val="none" w:sz="0" w:space="0" w:color="auto"/>
        <w:right w:val="none" w:sz="0" w:space="0" w:color="auto"/>
      </w:divBdr>
    </w:div>
    <w:div w:id="1624380302">
      <w:bodyDiv w:val="1"/>
      <w:marLeft w:val="0"/>
      <w:marRight w:val="0"/>
      <w:marTop w:val="0"/>
      <w:marBottom w:val="0"/>
      <w:divBdr>
        <w:top w:val="none" w:sz="0" w:space="0" w:color="auto"/>
        <w:left w:val="none" w:sz="0" w:space="0" w:color="auto"/>
        <w:bottom w:val="none" w:sz="0" w:space="0" w:color="auto"/>
        <w:right w:val="none" w:sz="0" w:space="0" w:color="auto"/>
      </w:divBdr>
      <w:divsChild>
        <w:div w:id="1990747386">
          <w:marLeft w:val="0"/>
          <w:marRight w:val="0"/>
          <w:marTop w:val="0"/>
          <w:marBottom w:val="0"/>
          <w:divBdr>
            <w:top w:val="none" w:sz="0" w:space="0" w:color="auto"/>
            <w:left w:val="none" w:sz="0" w:space="0" w:color="auto"/>
            <w:bottom w:val="none" w:sz="0" w:space="0" w:color="auto"/>
            <w:right w:val="none" w:sz="0" w:space="0" w:color="auto"/>
          </w:divBdr>
          <w:divsChild>
            <w:div w:id="14828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9864">
      <w:bodyDiv w:val="1"/>
      <w:marLeft w:val="0"/>
      <w:marRight w:val="0"/>
      <w:marTop w:val="0"/>
      <w:marBottom w:val="0"/>
      <w:divBdr>
        <w:top w:val="none" w:sz="0" w:space="0" w:color="auto"/>
        <w:left w:val="none" w:sz="0" w:space="0" w:color="auto"/>
        <w:bottom w:val="none" w:sz="0" w:space="0" w:color="auto"/>
        <w:right w:val="none" w:sz="0" w:space="0" w:color="auto"/>
      </w:divBdr>
    </w:div>
    <w:div w:id="1634479383">
      <w:bodyDiv w:val="1"/>
      <w:marLeft w:val="0"/>
      <w:marRight w:val="0"/>
      <w:marTop w:val="0"/>
      <w:marBottom w:val="0"/>
      <w:divBdr>
        <w:top w:val="none" w:sz="0" w:space="0" w:color="auto"/>
        <w:left w:val="none" w:sz="0" w:space="0" w:color="auto"/>
        <w:bottom w:val="none" w:sz="0" w:space="0" w:color="auto"/>
        <w:right w:val="none" w:sz="0" w:space="0" w:color="auto"/>
      </w:divBdr>
    </w:div>
    <w:div w:id="1655720152">
      <w:bodyDiv w:val="1"/>
      <w:marLeft w:val="0"/>
      <w:marRight w:val="0"/>
      <w:marTop w:val="0"/>
      <w:marBottom w:val="0"/>
      <w:divBdr>
        <w:top w:val="none" w:sz="0" w:space="0" w:color="auto"/>
        <w:left w:val="none" w:sz="0" w:space="0" w:color="auto"/>
        <w:bottom w:val="none" w:sz="0" w:space="0" w:color="auto"/>
        <w:right w:val="none" w:sz="0" w:space="0" w:color="auto"/>
      </w:divBdr>
    </w:div>
    <w:div w:id="1667367035">
      <w:bodyDiv w:val="1"/>
      <w:marLeft w:val="0"/>
      <w:marRight w:val="0"/>
      <w:marTop w:val="0"/>
      <w:marBottom w:val="0"/>
      <w:divBdr>
        <w:top w:val="none" w:sz="0" w:space="0" w:color="auto"/>
        <w:left w:val="none" w:sz="0" w:space="0" w:color="auto"/>
        <w:bottom w:val="none" w:sz="0" w:space="0" w:color="auto"/>
        <w:right w:val="none" w:sz="0" w:space="0" w:color="auto"/>
      </w:divBdr>
    </w:div>
    <w:div w:id="1668944374">
      <w:bodyDiv w:val="1"/>
      <w:marLeft w:val="0"/>
      <w:marRight w:val="0"/>
      <w:marTop w:val="0"/>
      <w:marBottom w:val="0"/>
      <w:divBdr>
        <w:top w:val="none" w:sz="0" w:space="0" w:color="auto"/>
        <w:left w:val="none" w:sz="0" w:space="0" w:color="auto"/>
        <w:bottom w:val="none" w:sz="0" w:space="0" w:color="auto"/>
        <w:right w:val="none" w:sz="0" w:space="0" w:color="auto"/>
      </w:divBdr>
    </w:div>
    <w:div w:id="1679187715">
      <w:bodyDiv w:val="1"/>
      <w:marLeft w:val="0"/>
      <w:marRight w:val="0"/>
      <w:marTop w:val="0"/>
      <w:marBottom w:val="0"/>
      <w:divBdr>
        <w:top w:val="none" w:sz="0" w:space="0" w:color="auto"/>
        <w:left w:val="none" w:sz="0" w:space="0" w:color="auto"/>
        <w:bottom w:val="none" w:sz="0" w:space="0" w:color="auto"/>
        <w:right w:val="none" w:sz="0" w:space="0" w:color="auto"/>
      </w:divBdr>
    </w:div>
    <w:div w:id="1685329179">
      <w:bodyDiv w:val="1"/>
      <w:marLeft w:val="0"/>
      <w:marRight w:val="0"/>
      <w:marTop w:val="0"/>
      <w:marBottom w:val="0"/>
      <w:divBdr>
        <w:top w:val="none" w:sz="0" w:space="0" w:color="auto"/>
        <w:left w:val="none" w:sz="0" w:space="0" w:color="auto"/>
        <w:bottom w:val="none" w:sz="0" w:space="0" w:color="auto"/>
        <w:right w:val="none" w:sz="0" w:space="0" w:color="auto"/>
      </w:divBdr>
      <w:divsChild>
        <w:div w:id="613824035">
          <w:marLeft w:val="0"/>
          <w:marRight w:val="0"/>
          <w:marTop w:val="0"/>
          <w:marBottom w:val="0"/>
          <w:divBdr>
            <w:top w:val="none" w:sz="0" w:space="0" w:color="auto"/>
            <w:left w:val="none" w:sz="0" w:space="0" w:color="auto"/>
            <w:bottom w:val="none" w:sz="0" w:space="0" w:color="auto"/>
            <w:right w:val="none" w:sz="0" w:space="0" w:color="auto"/>
          </w:divBdr>
          <w:divsChild>
            <w:div w:id="884831775">
              <w:marLeft w:val="0"/>
              <w:marRight w:val="0"/>
              <w:marTop w:val="0"/>
              <w:marBottom w:val="0"/>
              <w:divBdr>
                <w:top w:val="none" w:sz="0" w:space="0" w:color="auto"/>
                <w:left w:val="none" w:sz="0" w:space="0" w:color="auto"/>
                <w:bottom w:val="none" w:sz="0" w:space="0" w:color="auto"/>
                <w:right w:val="none" w:sz="0" w:space="0" w:color="auto"/>
              </w:divBdr>
            </w:div>
          </w:divsChild>
        </w:div>
        <w:div w:id="1831285214">
          <w:marLeft w:val="0"/>
          <w:marRight w:val="0"/>
          <w:marTop w:val="0"/>
          <w:marBottom w:val="0"/>
          <w:divBdr>
            <w:top w:val="none" w:sz="0" w:space="0" w:color="auto"/>
            <w:left w:val="none" w:sz="0" w:space="0" w:color="auto"/>
            <w:bottom w:val="none" w:sz="0" w:space="0" w:color="auto"/>
            <w:right w:val="none" w:sz="0" w:space="0" w:color="auto"/>
          </w:divBdr>
        </w:div>
        <w:div w:id="475338099">
          <w:marLeft w:val="0"/>
          <w:marRight w:val="0"/>
          <w:marTop w:val="0"/>
          <w:marBottom w:val="0"/>
          <w:divBdr>
            <w:top w:val="none" w:sz="0" w:space="0" w:color="auto"/>
            <w:left w:val="none" w:sz="0" w:space="0" w:color="auto"/>
            <w:bottom w:val="none" w:sz="0" w:space="0" w:color="auto"/>
            <w:right w:val="none" w:sz="0" w:space="0" w:color="auto"/>
          </w:divBdr>
        </w:div>
      </w:divsChild>
    </w:div>
    <w:div w:id="1686708279">
      <w:bodyDiv w:val="1"/>
      <w:marLeft w:val="0"/>
      <w:marRight w:val="0"/>
      <w:marTop w:val="0"/>
      <w:marBottom w:val="0"/>
      <w:divBdr>
        <w:top w:val="none" w:sz="0" w:space="0" w:color="auto"/>
        <w:left w:val="none" w:sz="0" w:space="0" w:color="auto"/>
        <w:bottom w:val="none" w:sz="0" w:space="0" w:color="auto"/>
        <w:right w:val="none" w:sz="0" w:space="0" w:color="auto"/>
      </w:divBdr>
      <w:divsChild>
        <w:div w:id="1429884943">
          <w:marLeft w:val="0"/>
          <w:marRight w:val="0"/>
          <w:marTop w:val="0"/>
          <w:marBottom w:val="0"/>
          <w:divBdr>
            <w:top w:val="none" w:sz="0" w:space="0" w:color="auto"/>
            <w:left w:val="none" w:sz="0" w:space="0" w:color="auto"/>
            <w:bottom w:val="none" w:sz="0" w:space="0" w:color="auto"/>
            <w:right w:val="none" w:sz="0" w:space="0" w:color="auto"/>
          </w:divBdr>
          <w:divsChild>
            <w:div w:id="921986628">
              <w:marLeft w:val="0"/>
              <w:marRight w:val="0"/>
              <w:marTop w:val="0"/>
              <w:marBottom w:val="0"/>
              <w:divBdr>
                <w:top w:val="none" w:sz="0" w:space="0" w:color="auto"/>
                <w:left w:val="none" w:sz="0" w:space="0" w:color="auto"/>
                <w:bottom w:val="none" w:sz="0" w:space="0" w:color="auto"/>
                <w:right w:val="none" w:sz="0" w:space="0" w:color="auto"/>
              </w:divBdr>
              <w:divsChild>
                <w:div w:id="5684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4904">
      <w:bodyDiv w:val="1"/>
      <w:marLeft w:val="0"/>
      <w:marRight w:val="0"/>
      <w:marTop w:val="0"/>
      <w:marBottom w:val="0"/>
      <w:divBdr>
        <w:top w:val="none" w:sz="0" w:space="0" w:color="auto"/>
        <w:left w:val="none" w:sz="0" w:space="0" w:color="auto"/>
        <w:bottom w:val="none" w:sz="0" w:space="0" w:color="auto"/>
        <w:right w:val="none" w:sz="0" w:space="0" w:color="auto"/>
      </w:divBdr>
    </w:div>
    <w:div w:id="1733431871">
      <w:bodyDiv w:val="1"/>
      <w:marLeft w:val="0"/>
      <w:marRight w:val="0"/>
      <w:marTop w:val="0"/>
      <w:marBottom w:val="0"/>
      <w:divBdr>
        <w:top w:val="none" w:sz="0" w:space="0" w:color="auto"/>
        <w:left w:val="none" w:sz="0" w:space="0" w:color="auto"/>
        <w:bottom w:val="none" w:sz="0" w:space="0" w:color="auto"/>
        <w:right w:val="none" w:sz="0" w:space="0" w:color="auto"/>
      </w:divBdr>
    </w:div>
    <w:div w:id="1736734101">
      <w:bodyDiv w:val="1"/>
      <w:marLeft w:val="0"/>
      <w:marRight w:val="0"/>
      <w:marTop w:val="0"/>
      <w:marBottom w:val="0"/>
      <w:divBdr>
        <w:top w:val="none" w:sz="0" w:space="0" w:color="auto"/>
        <w:left w:val="none" w:sz="0" w:space="0" w:color="auto"/>
        <w:bottom w:val="none" w:sz="0" w:space="0" w:color="auto"/>
        <w:right w:val="none" w:sz="0" w:space="0" w:color="auto"/>
      </w:divBdr>
    </w:div>
    <w:div w:id="1750468941">
      <w:bodyDiv w:val="1"/>
      <w:marLeft w:val="0"/>
      <w:marRight w:val="0"/>
      <w:marTop w:val="0"/>
      <w:marBottom w:val="0"/>
      <w:divBdr>
        <w:top w:val="none" w:sz="0" w:space="0" w:color="auto"/>
        <w:left w:val="none" w:sz="0" w:space="0" w:color="auto"/>
        <w:bottom w:val="none" w:sz="0" w:space="0" w:color="auto"/>
        <w:right w:val="none" w:sz="0" w:space="0" w:color="auto"/>
      </w:divBdr>
    </w:div>
    <w:div w:id="1765883479">
      <w:bodyDiv w:val="1"/>
      <w:marLeft w:val="0"/>
      <w:marRight w:val="0"/>
      <w:marTop w:val="0"/>
      <w:marBottom w:val="0"/>
      <w:divBdr>
        <w:top w:val="none" w:sz="0" w:space="0" w:color="auto"/>
        <w:left w:val="none" w:sz="0" w:space="0" w:color="auto"/>
        <w:bottom w:val="none" w:sz="0" w:space="0" w:color="auto"/>
        <w:right w:val="none" w:sz="0" w:space="0" w:color="auto"/>
      </w:divBdr>
      <w:divsChild>
        <w:div w:id="553345807">
          <w:marLeft w:val="0"/>
          <w:marRight w:val="0"/>
          <w:marTop w:val="0"/>
          <w:marBottom w:val="0"/>
          <w:divBdr>
            <w:top w:val="none" w:sz="0" w:space="0" w:color="auto"/>
            <w:left w:val="none" w:sz="0" w:space="0" w:color="auto"/>
            <w:bottom w:val="none" w:sz="0" w:space="0" w:color="auto"/>
            <w:right w:val="none" w:sz="0" w:space="0" w:color="auto"/>
          </w:divBdr>
        </w:div>
      </w:divsChild>
    </w:div>
    <w:div w:id="1777095666">
      <w:bodyDiv w:val="1"/>
      <w:marLeft w:val="0"/>
      <w:marRight w:val="0"/>
      <w:marTop w:val="0"/>
      <w:marBottom w:val="0"/>
      <w:divBdr>
        <w:top w:val="none" w:sz="0" w:space="0" w:color="auto"/>
        <w:left w:val="none" w:sz="0" w:space="0" w:color="auto"/>
        <w:bottom w:val="none" w:sz="0" w:space="0" w:color="auto"/>
        <w:right w:val="none" w:sz="0" w:space="0" w:color="auto"/>
      </w:divBdr>
      <w:divsChild>
        <w:div w:id="1610772287">
          <w:marLeft w:val="0"/>
          <w:marRight w:val="0"/>
          <w:marTop w:val="0"/>
          <w:marBottom w:val="0"/>
          <w:divBdr>
            <w:top w:val="none" w:sz="0" w:space="0" w:color="auto"/>
            <w:left w:val="none" w:sz="0" w:space="0" w:color="auto"/>
            <w:bottom w:val="none" w:sz="0" w:space="0" w:color="auto"/>
            <w:right w:val="none" w:sz="0" w:space="0" w:color="auto"/>
          </w:divBdr>
        </w:div>
      </w:divsChild>
    </w:div>
    <w:div w:id="1780448682">
      <w:bodyDiv w:val="1"/>
      <w:marLeft w:val="0"/>
      <w:marRight w:val="0"/>
      <w:marTop w:val="0"/>
      <w:marBottom w:val="0"/>
      <w:divBdr>
        <w:top w:val="none" w:sz="0" w:space="0" w:color="auto"/>
        <w:left w:val="none" w:sz="0" w:space="0" w:color="auto"/>
        <w:bottom w:val="none" w:sz="0" w:space="0" w:color="auto"/>
        <w:right w:val="none" w:sz="0" w:space="0" w:color="auto"/>
      </w:divBdr>
    </w:div>
    <w:div w:id="1782526382">
      <w:bodyDiv w:val="1"/>
      <w:marLeft w:val="0"/>
      <w:marRight w:val="0"/>
      <w:marTop w:val="0"/>
      <w:marBottom w:val="0"/>
      <w:divBdr>
        <w:top w:val="none" w:sz="0" w:space="0" w:color="auto"/>
        <w:left w:val="none" w:sz="0" w:space="0" w:color="auto"/>
        <w:bottom w:val="none" w:sz="0" w:space="0" w:color="auto"/>
        <w:right w:val="none" w:sz="0" w:space="0" w:color="auto"/>
      </w:divBdr>
    </w:div>
    <w:div w:id="1784112388">
      <w:bodyDiv w:val="1"/>
      <w:marLeft w:val="0"/>
      <w:marRight w:val="0"/>
      <w:marTop w:val="0"/>
      <w:marBottom w:val="0"/>
      <w:divBdr>
        <w:top w:val="none" w:sz="0" w:space="0" w:color="auto"/>
        <w:left w:val="none" w:sz="0" w:space="0" w:color="auto"/>
        <w:bottom w:val="none" w:sz="0" w:space="0" w:color="auto"/>
        <w:right w:val="none" w:sz="0" w:space="0" w:color="auto"/>
      </w:divBdr>
    </w:div>
    <w:div w:id="1791629150">
      <w:bodyDiv w:val="1"/>
      <w:marLeft w:val="0"/>
      <w:marRight w:val="0"/>
      <w:marTop w:val="0"/>
      <w:marBottom w:val="0"/>
      <w:divBdr>
        <w:top w:val="none" w:sz="0" w:space="0" w:color="auto"/>
        <w:left w:val="none" w:sz="0" w:space="0" w:color="auto"/>
        <w:bottom w:val="none" w:sz="0" w:space="0" w:color="auto"/>
        <w:right w:val="none" w:sz="0" w:space="0" w:color="auto"/>
      </w:divBdr>
    </w:div>
    <w:div w:id="1851943127">
      <w:bodyDiv w:val="1"/>
      <w:marLeft w:val="0"/>
      <w:marRight w:val="0"/>
      <w:marTop w:val="0"/>
      <w:marBottom w:val="0"/>
      <w:divBdr>
        <w:top w:val="none" w:sz="0" w:space="0" w:color="auto"/>
        <w:left w:val="none" w:sz="0" w:space="0" w:color="auto"/>
        <w:bottom w:val="none" w:sz="0" w:space="0" w:color="auto"/>
        <w:right w:val="none" w:sz="0" w:space="0" w:color="auto"/>
      </w:divBdr>
    </w:div>
    <w:div w:id="1858881641">
      <w:bodyDiv w:val="1"/>
      <w:marLeft w:val="0"/>
      <w:marRight w:val="0"/>
      <w:marTop w:val="0"/>
      <w:marBottom w:val="0"/>
      <w:divBdr>
        <w:top w:val="none" w:sz="0" w:space="0" w:color="auto"/>
        <w:left w:val="none" w:sz="0" w:space="0" w:color="auto"/>
        <w:bottom w:val="none" w:sz="0" w:space="0" w:color="auto"/>
        <w:right w:val="none" w:sz="0" w:space="0" w:color="auto"/>
      </w:divBdr>
    </w:div>
    <w:div w:id="1873613556">
      <w:bodyDiv w:val="1"/>
      <w:marLeft w:val="0"/>
      <w:marRight w:val="0"/>
      <w:marTop w:val="0"/>
      <w:marBottom w:val="0"/>
      <w:divBdr>
        <w:top w:val="none" w:sz="0" w:space="0" w:color="auto"/>
        <w:left w:val="none" w:sz="0" w:space="0" w:color="auto"/>
        <w:bottom w:val="none" w:sz="0" w:space="0" w:color="auto"/>
        <w:right w:val="none" w:sz="0" w:space="0" w:color="auto"/>
      </w:divBdr>
    </w:div>
    <w:div w:id="1885293569">
      <w:bodyDiv w:val="1"/>
      <w:marLeft w:val="0"/>
      <w:marRight w:val="0"/>
      <w:marTop w:val="0"/>
      <w:marBottom w:val="0"/>
      <w:divBdr>
        <w:top w:val="none" w:sz="0" w:space="0" w:color="auto"/>
        <w:left w:val="none" w:sz="0" w:space="0" w:color="auto"/>
        <w:bottom w:val="none" w:sz="0" w:space="0" w:color="auto"/>
        <w:right w:val="none" w:sz="0" w:space="0" w:color="auto"/>
      </w:divBdr>
    </w:div>
    <w:div w:id="1888294222">
      <w:bodyDiv w:val="1"/>
      <w:marLeft w:val="0"/>
      <w:marRight w:val="0"/>
      <w:marTop w:val="0"/>
      <w:marBottom w:val="0"/>
      <w:divBdr>
        <w:top w:val="none" w:sz="0" w:space="0" w:color="auto"/>
        <w:left w:val="none" w:sz="0" w:space="0" w:color="auto"/>
        <w:bottom w:val="none" w:sz="0" w:space="0" w:color="auto"/>
        <w:right w:val="none" w:sz="0" w:space="0" w:color="auto"/>
      </w:divBdr>
    </w:div>
    <w:div w:id="1897158364">
      <w:bodyDiv w:val="1"/>
      <w:marLeft w:val="0"/>
      <w:marRight w:val="0"/>
      <w:marTop w:val="0"/>
      <w:marBottom w:val="0"/>
      <w:divBdr>
        <w:top w:val="none" w:sz="0" w:space="0" w:color="auto"/>
        <w:left w:val="none" w:sz="0" w:space="0" w:color="auto"/>
        <w:bottom w:val="none" w:sz="0" w:space="0" w:color="auto"/>
        <w:right w:val="none" w:sz="0" w:space="0" w:color="auto"/>
      </w:divBdr>
    </w:div>
    <w:div w:id="1906838830">
      <w:bodyDiv w:val="1"/>
      <w:marLeft w:val="0"/>
      <w:marRight w:val="0"/>
      <w:marTop w:val="0"/>
      <w:marBottom w:val="0"/>
      <w:divBdr>
        <w:top w:val="none" w:sz="0" w:space="0" w:color="auto"/>
        <w:left w:val="none" w:sz="0" w:space="0" w:color="auto"/>
        <w:bottom w:val="none" w:sz="0" w:space="0" w:color="auto"/>
        <w:right w:val="none" w:sz="0" w:space="0" w:color="auto"/>
      </w:divBdr>
      <w:divsChild>
        <w:div w:id="556671872">
          <w:marLeft w:val="0"/>
          <w:marRight w:val="0"/>
          <w:marTop w:val="0"/>
          <w:marBottom w:val="0"/>
          <w:divBdr>
            <w:top w:val="none" w:sz="0" w:space="0" w:color="auto"/>
            <w:left w:val="none" w:sz="0" w:space="0" w:color="auto"/>
            <w:bottom w:val="none" w:sz="0" w:space="0" w:color="auto"/>
            <w:right w:val="none" w:sz="0" w:space="0" w:color="auto"/>
          </w:divBdr>
          <w:divsChild>
            <w:div w:id="756827335">
              <w:marLeft w:val="0"/>
              <w:marRight w:val="0"/>
              <w:marTop w:val="0"/>
              <w:marBottom w:val="0"/>
              <w:divBdr>
                <w:top w:val="none" w:sz="0" w:space="0" w:color="auto"/>
                <w:left w:val="none" w:sz="0" w:space="0" w:color="auto"/>
                <w:bottom w:val="none" w:sz="0" w:space="0" w:color="auto"/>
                <w:right w:val="none" w:sz="0" w:space="0" w:color="auto"/>
              </w:divBdr>
              <w:divsChild>
                <w:div w:id="21058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8864">
      <w:bodyDiv w:val="1"/>
      <w:marLeft w:val="0"/>
      <w:marRight w:val="0"/>
      <w:marTop w:val="0"/>
      <w:marBottom w:val="0"/>
      <w:divBdr>
        <w:top w:val="none" w:sz="0" w:space="0" w:color="auto"/>
        <w:left w:val="none" w:sz="0" w:space="0" w:color="auto"/>
        <w:bottom w:val="none" w:sz="0" w:space="0" w:color="auto"/>
        <w:right w:val="none" w:sz="0" w:space="0" w:color="auto"/>
      </w:divBdr>
    </w:div>
    <w:div w:id="1922716111">
      <w:bodyDiv w:val="1"/>
      <w:marLeft w:val="0"/>
      <w:marRight w:val="0"/>
      <w:marTop w:val="0"/>
      <w:marBottom w:val="0"/>
      <w:divBdr>
        <w:top w:val="none" w:sz="0" w:space="0" w:color="auto"/>
        <w:left w:val="none" w:sz="0" w:space="0" w:color="auto"/>
        <w:bottom w:val="none" w:sz="0" w:space="0" w:color="auto"/>
        <w:right w:val="none" w:sz="0" w:space="0" w:color="auto"/>
      </w:divBdr>
    </w:div>
    <w:div w:id="1930385699">
      <w:bodyDiv w:val="1"/>
      <w:marLeft w:val="0"/>
      <w:marRight w:val="0"/>
      <w:marTop w:val="0"/>
      <w:marBottom w:val="0"/>
      <w:divBdr>
        <w:top w:val="none" w:sz="0" w:space="0" w:color="auto"/>
        <w:left w:val="none" w:sz="0" w:space="0" w:color="auto"/>
        <w:bottom w:val="none" w:sz="0" w:space="0" w:color="auto"/>
        <w:right w:val="none" w:sz="0" w:space="0" w:color="auto"/>
      </w:divBdr>
      <w:divsChild>
        <w:div w:id="1167938465">
          <w:marLeft w:val="0"/>
          <w:marRight w:val="0"/>
          <w:marTop w:val="0"/>
          <w:marBottom w:val="0"/>
          <w:divBdr>
            <w:top w:val="none" w:sz="0" w:space="0" w:color="auto"/>
            <w:left w:val="none" w:sz="0" w:space="0" w:color="auto"/>
            <w:bottom w:val="none" w:sz="0" w:space="0" w:color="auto"/>
            <w:right w:val="none" w:sz="0" w:space="0" w:color="auto"/>
          </w:divBdr>
          <w:divsChild>
            <w:div w:id="1714883316">
              <w:marLeft w:val="0"/>
              <w:marRight w:val="0"/>
              <w:marTop w:val="0"/>
              <w:marBottom w:val="0"/>
              <w:divBdr>
                <w:top w:val="none" w:sz="0" w:space="0" w:color="auto"/>
                <w:left w:val="none" w:sz="0" w:space="0" w:color="auto"/>
                <w:bottom w:val="none" w:sz="0" w:space="0" w:color="auto"/>
                <w:right w:val="none" w:sz="0" w:space="0" w:color="auto"/>
              </w:divBdr>
            </w:div>
          </w:divsChild>
        </w:div>
        <w:div w:id="1496804595">
          <w:marLeft w:val="0"/>
          <w:marRight w:val="0"/>
          <w:marTop w:val="0"/>
          <w:marBottom w:val="0"/>
          <w:divBdr>
            <w:top w:val="none" w:sz="0" w:space="0" w:color="auto"/>
            <w:left w:val="none" w:sz="0" w:space="0" w:color="auto"/>
            <w:bottom w:val="none" w:sz="0" w:space="0" w:color="auto"/>
            <w:right w:val="none" w:sz="0" w:space="0" w:color="auto"/>
          </w:divBdr>
        </w:div>
        <w:div w:id="1567645992">
          <w:marLeft w:val="0"/>
          <w:marRight w:val="0"/>
          <w:marTop w:val="0"/>
          <w:marBottom w:val="0"/>
          <w:divBdr>
            <w:top w:val="none" w:sz="0" w:space="0" w:color="auto"/>
            <w:left w:val="none" w:sz="0" w:space="0" w:color="auto"/>
            <w:bottom w:val="none" w:sz="0" w:space="0" w:color="auto"/>
            <w:right w:val="none" w:sz="0" w:space="0" w:color="auto"/>
          </w:divBdr>
        </w:div>
      </w:divsChild>
    </w:div>
    <w:div w:id="1945140917">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115857">
      <w:bodyDiv w:val="1"/>
      <w:marLeft w:val="0"/>
      <w:marRight w:val="0"/>
      <w:marTop w:val="0"/>
      <w:marBottom w:val="0"/>
      <w:divBdr>
        <w:top w:val="none" w:sz="0" w:space="0" w:color="auto"/>
        <w:left w:val="none" w:sz="0" w:space="0" w:color="auto"/>
        <w:bottom w:val="none" w:sz="0" w:space="0" w:color="auto"/>
        <w:right w:val="none" w:sz="0" w:space="0" w:color="auto"/>
      </w:divBdr>
    </w:div>
    <w:div w:id="2030258878">
      <w:bodyDiv w:val="1"/>
      <w:marLeft w:val="0"/>
      <w:marRight w:val="0"/>
      <w:marTop w:val="0"/>
      <w:marBottom w:val="0"/>
      <w:divBdr>
        <w:top w:val="none" w:sz="0" w:space="0" w:color="auto"/>
        <w:left w:val="none" w:sz="0" w:space="0" w:color="auto"/>
        <w:bottom w:val="none" w:sz="0" w:space="0" w:color="auto"/>
        <w:right w:val="none" w:sz="0" w:space="0" w:color="auto"/>
      </w:divBdr>
    </w:div>
    <w:div w:id="2031177509">
      <w:bodyDiv w:val="1"/>
      <w:marLeft w:val="0"/>
      <w:marRight w:val="0"/>
      <w:marTop w:val="0"/>
      <w:marBottom w:val="0"/>
      <w:divBdr>
        <w:top w:val="none" w:sz="0" w:space="0" w:color="auto"/>
        <w:left w:val="none" w:sz="0" w:space="0" w:color="auto"/>
        <w:bottom w:val="none" w:sz="0" w:space="0" w:color="auto"/>
        <w:right w:val="none" w:sz="0" w:space="0" w:color="auto"/>
      </w:divBdr>
    </w:div>
    <w:div w:id="2050764476">
      <w:bodyDiv w:val="1"/>
      <w:marLeft w:val="0"/>
      <w:marRight w:val="0"/>
      <w:marTop w:val="0"/>
      <w:marBottom w:val="0"/>
      <w:divBdr>
        <w:top w:val="none" w:sz="0" w:space="0" w:color="auto"/>
        <w:left w:val="none" w:sz="0" w:space="0" w:color="auto"/>
        <w:bottom w:val="none" w:sz="0" w:space="0" w:color="auto"/>
        <w:right w:val="none" w:sz="0" w:space="0" w:color="auto"/>
      </w:divBdr>
    </w:div>
    <w:div w:id="2059283328">
      <w:bodyDiv w:val="1"/>
      <w:marLeft w:val="0"/>
      <w:marRight w:val="0"/>
      <w:marTop w:val="0"/>
      <w:marBottom w:val="0"/>
      <w:divBdr>
        <w:top w:val="none" w:sz="0" w:space="0" w:color="auto"/>
        <w:left w:val="none" w:sz="0" w:space="0" w:color="auto"/>
        <w:bottom w:val="none" w:sz="0" w:space="0" w:color="auto"/>
        <w:right w:val="none" w:sz="0" w:space="0" w:color="auto"/>
      </w:divBdr>
    </w:div>
    <w:div w:id="2067295874">
      <w:bodyDiv w:val="1"/>
      <w:marLeft w:val="0"/>
      <w:marRight w:val="0"/>
      <w:marTop w:val="0"/>
      <w:marBottom w:val="0"/>
      <w:divBdr>
        <w:top w:val="none" w:sz="0" w:space="0" w:color="auto"/>
        <w:left w:val="none" w:sz="0" w:space="0" w:color="auto"/>
        <w:bottom w:val="none" w:sz="0" w:space="0" w:color="auto"/>
        <w:right w:val="none" w:sz="0" w:space="0" w:color="auto"/>
      </w:divBdr>
    </w:div>
    <w:div w:id="2081633772">
      <w:bodyDiv w:val="1"/>
      <w:marLeft w:val="0"/>
      <w:marRight w:val="0"/>
      <w:marTop w:val="0"/>
      <w:marBottom w:val="0"/>
      <w:divBdr>
        <w:top w:val="none" w:sz="0" w:space="0" w:color="auto"/>
        <w:left w:val="none" w:sz="0" w:space="0" w:color="auto"/>
        <w:bottom w:val="none" w:sz="0" w:space="0" w:color="auto"/>
        <w:right w:val="none" w:sz="0" w:space="0" w:color="auto"/>
      </w:divBdr>
    </w:div>
    <w:div w:id="2089766703">
      <w:bodyDiv w:val="1"/>
      <w:marLeft w:val="0"/>
      <w:marRight w:val="0"/>
      <w:marTop w:val="0"/>
      <w:marBottom w:val="0"/>
      <w:divBdr>
        <w:top w:val="none" w:sz="0" w:space="0" w:color="auto"/>
        <w:left w:val="none" w:sz="0" w:space="0" w:color="auto"/>
        <w:bottom w:val="none" w:sz="0" w:space="0" w:color="auto"/>
        <w:right w:val="none" w:sz="0" w:space="0" w:color="auto"/>
      </w:divBdr>
    </w:div>
    <w:div w:id="2094736323">
      <w:bodyDiv w:val="1"/>
      <w:marLeft w:val="0"/>
      <w:marRight w:val="0"/>
      <w:marTop w:val="0"/>
      <w:marBottom w:val="0"/>
      <w:divBdr>
        <w:top w:val="none" w:sz="0" w:space="0" w:color="auto"/>
        <w:left w:val="none" w:sz="0" w:space="0" w:color="auto"/>
        <w:bottom w:val="none" w:sz="0" w:space="0" w:color="auto"/>
        <w:right w:val="none" w:sz="0" w:space="0" w:color="auto"/>
      </w:divBdr>
    </w:div>
    <w:div w:id="2101481089">
      <w:bodyDiv w:val="1"/>
      <w:marLeft w:val="0"/>
      <w:marRight w:val="0"/>
      <w:marTop w:val="0"/>
      <w:marBottom w:val="0"/>
      <w:divBdr>
        <w:top w:val="none" w:sz="0" w:space="0" w:color="auto"/>
        <w:left w:val="none" w:sz="0" w:space="0" w:color="auto"/>
        <w:bottom w:val="none" w:sz="0" w:space="0" w:color="auto"/>
        <w:right w:val="none" w:sz="0" w:space="0" w:color="auto"/>
      </w:divBdr>
      <w:divsChild>
        <w:div w:id="257105219">
          <w:marLeft w:val="0"/>
          <w:marRight w:val="0"/>
          <w:marTop w:val="0"/>
          <w:marBottom w:val="0"/>
          <w:divBdr>
            <w:top w:val="none" w:sz="0" w:space="0" w:color="auto"/>
            <w:left w:val="none" w:sz="0" w:space="0" w:color="auto"/>
            <w:bottom w:val="none" w:sz="0" w:space="0" w:color="auto"/>
            <w:right w:val="none" w:sz="0" w:space="0" w:color="auto"/>
          </w:divBdr>
          <w:divsChild>
            <w:div w:id="1636447042">
              <w:marLeft w:val="0"/>
              <w:marRight w:val="0"/>
              <w:marTop w:val="0"/>
              <w:marBottom w:val="0"/>
              <w:divBdr>
                <w:top w:val="none" w:sz="0" w:space="0" w:color="auto"/>
                <w:left w:val="none" w:sz="0" w:space="0" w:color="auto"/>
                <w:bottom w:val="none" w:sz="0" w:space="0" w:color="auto"/>
                <w:right w:val="none" w:sz="0" w:space="0" w:color="auto"/>
              </w:divBdr>
            </w:div>
          </w:divsChild>
        </w:div>
        <w:div w:id="1222054883">
          <w:marLeft w:val="0"/>
          <w:marRight w:val="0"/>
          <w:marTop w:val="0"/>
          <w:marBottom w:val="0"/>
          <w:divBdr>
            <w:top w:val="none" w:sz="0" w:space="0" w:color="auto"/>
            <w:left w:val="none" w:sz="0" w:space="0" w:color="auto"/>
            <w:bottom w:val="none" w:sz="0" w:space="0" w:color="auto"/>
            <w:right w:val="none" w:sz="0" w:space="0" w:color="auto"/>
          </w:divBdr>
          <w:divsChild>
            <w:div w:id="1649165909">
              <w:marLeft w:val="0"/>
              <w:marRight w:val="0"/>
              <w:marTop w:val="0"/>
              <w:marBottom w:val="0"/>
              <w:divBdr>
                <w:top w:val="none" w:sz="0" w:space="0" w:color="auto"/>
                <w:left w:val="none" w:sz="0" w:space="0" w:color="auto"/>
                <w:bottom w:val="none" w:sz="0" w:space="0" w:color="auto"/>
                <w:right w:val="none" w:sz="0" w:space="0" w:color="auto"/>
              </w:divBdr>
              <w:divsChild>
                <w:div w:id="163479146">
                  <w:marLeft w:val="0"/>
                  <w:marRight w:val="0"/>
                  <w:marTop w:val="0"/>
                  <w:marBottom w:val="0"/>
                  <w:divBdr>
                    <w:top w:val="none" w:sz="0" w:space="0" w:color="auto"/>
                    <w:left w:val="none" w:sz="0" w:space="0" w:color="auto"/>
                    <w:bottom w:val="none" w:sz="0" w:space="0" w:color="auto"/>
                    <w:right w:val="none" w:sz="0" w:space="0" w:color="auto"/>
                  </w:divBdr>
                  <w:divsChild>
                    <w:div w:id="1493763252">
                      <w:marLeft w:val="0"/>
                      <w:marRight w:val="0"/>
                      <w:marTop w:val="0"/>
                      <w:marBottom w:val="0"/>
                      <w:divBdr>
                        <w:top w:val="none" w:sz="0" w:space="0" w:color="auto"/>
                        <w:left w:val="none" w:sz="0" w:space="0" w:color="auto"/>
                        <w:bottom w:val="none" w:sz="0" w:space="0" w:color="auto"/>
                        <w:right w:val="none" w:sz="0" w:space="0" w:color="auto"/>
                      </w:divBdr>
                      <w:divsChild>
                        <w:div w:id="3578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855108">
      <w:bodyDiv w:val="1"/>
      <w:marLeft w:val="0"/>
      <w:marRight w:val="0"/>
      <w:marTop w:val="0"/>
      <w:marBottom w:val="0"/>
      <w:divBdr>
        <w:top w:val="none" w:sz="0" w:space="0" w:color="auto"/>
        <w:left w:val="none" w:sz="0" w:space="0" w:color="auto"/>
        <w:bottom w:val="none" w:sz="0" w:space="0" w:color="auto"/>
        <w:right w:val="none" w:sz="0" w:space="0" w:color="auto"/>
      </w:divBdr>
    </w:div>
    <w:div w:id="2116553283">
      <w:bodyDiv w:val="1"/>
      <w:marLeft w:val="0"/>
      <w:marRight w:val="0"/>
      <w:marTop w:val="0"/>
      <w:marBottom w:val="0"/>
      <w:divBdr>
        <w:top w:val="none" w:sz="0" w:space="0" w:color="auto"/>
        <w:left w:val="none" w:sz="0" w:space="0" w:color="auto"/>
        <w:bottom w:val="none" w:sz="0" w:space="0" w:color="auto"/>
        <w:right w:val="none" w:sz="0" w:space="0" w:color="auto"/>
      </w:divBdr>
    </w:div>
    <w:div w:id="2126997376">
      <w:bodyDiv w:val="1"/>
      <w:marLeft w:val="0"/>
      <w:marRight w:val="0"/>
      <w:marTop w:val="0"/>
      <w:marBottom w:val="0"/>
      <w:divBdr>
        <w:top w:val="none" w:sz="0" w:space="0" w:color="auto"/>
        <w:left w:val="none" w:sz="0" w:space="0" w:color="auto"/>
        <w:bottom w:val="none" w:sz="0" w:space="0" w:color="auto"/>
        <w:right w:val="none" w:sz="0" w:space="0" w:color="auto"/>
      </w:divBdr>
      <w:divsChild>
        <w:div w:id="1575507013">
          <w:marLeft w:val="0"/>
          <w:marRight w:val="0"/>
          <w:marTop w:val="0"/>
          <w:marBottom w:val="0"/>
          <w:divBdr>
            <w:top w:val="none" w:sz="0" w:space="0" w:color="auto"/>
            <w:left w:val="none" w:sz="0" w:space="0" w:color="auto"/>
            <w:bottom w:val="none" w:sz="0" w:space="0" w:color="auto"/>
            <w:right w:val="none" w:sz="0" w:space="0" w:color="auto"/>
          </w:divBdr>
          <w:divsChild>
            <w:div w:id="1884977226">
              <w:marLeft w:val="0"/>
              <w:marRight w:val="0"/>
              <w:marTop w:val="0"/>
              <w:marBottom w:val="0"/>
              <w:divBdr>
                <w:top w:val="none" w:sz="0" w:space="0" w:color="auto"/>
                <w:left w:val="none" w:sz="0" w:space="0" w:color="auto"/>
                <w:bottom w:val="none" w:sz="0" w:space="0" w:color="auto"/>
                <w:right w:val="none" w:sz="0" w:space="0" w:color="auto"/>
              </w:divBdr>
            </w:div>
          </w:divsChild>
        </w:div>
        <w:div w:id="2060321240">
          <w:marLeft w:val="0"/>
          <w:marRight w:val="0"/>
          <w:marTop w:val="0"/>
          <w:marBottom w:val="0"/>
          <w:divBdr>
            <w:top w:val="none" w:sz="0" w:space="0" w:color="auto"/>
            <w:left w:val="none" w:sz="0" w:space="0" w:color="auto"/>
            <w:bottom w:val="none" w:sz="0" w:space="0" w:color="auto"/>
            <w:right w:val="none" w:sz="0" w:space="0" w:color="auto"/>
          </w:divBdr>
        </w:div>
        <w:div w:id="1204364744">
          <w:marLeft w:val="0"/>
          <w:marRight w:val="0"/>
          <w:marTop w:val="0"/>
          <w:marBottom w:val="0"/>
          <w:divBdr>
            <w:top w:val="none" w:sz="0" w:space="0" w:color="auto"/>
            <w:left w:val="none" w:sz="0" w:space="0" w:color="auto"/>
            <w:bottom w:val="none" w:sz="0" w:space="0" w:color="auto"/>
            <w:right w:val="none" w:sz="0" w:space="0" w:color="auto"/>
          </w:divBdr>
        </w:div>
      </w:divsChild>
    </w:div>
    <w:div w:id="2127580556">
      <w:bodyDiv w:val="1"/>
      <w:marLeft w:val="0"/>
      <w:marRight w:val="0"/>
      <w:marTop w:val="0"/>
      <w:marBottom w:val="0"/>
      <w:divBdr>
        <w:top w:val="none" w:sz="0" w:space="0" w:color="auto"/>
        <w:left w:val="none" w:sz="0" w:space="0" w:color="auto"/>
        <w:bottom w:val="none" w:sz="0" w:space="0" w:color="auto"/>
        <w:right w:val="none" w:sz="0" w:space="0" w:color="auto"/>
      </w:divBdr>
    </w:div>
    <w:div w:id="2145660699">
      <w:bodyDiv w:val="1"/>
      <w:marLeft w:val="0"/>
      <w:marRight w:val="0"/>
      <w:marTop w:val="0"/>
      <w:marBottom w:val="0"/>
      <w:divBdr>
        <w:top w:val="none" w:sz="0" w:space="0" w:color="auto"/>
        <w:left w:val="none" w:sz="0" w:space="0" w:color="auto"/>
        <w:bottom w:val="none" w:sz="0" w:space="0" w:color="auto"/>
        <w:right w:val="none" w:sz="0" w:space="0" w:color="auto"/>
      </w:divBdr>
    </w:div>
    <w:div w:id="2146655220">
      <w:bodyDiv w:val="1"/>
      <w:marLeft w:val="0"/>
      <w:marRight w:val="0"/>
      <w:marTop w:val="0"/>
      <w:marBottom w:val="0"/>
      <w:divBdr>
        <w:top w:val="none" w:sz="0" w:space="0" w:color="auto"/>
        <w:left w:val="none" w:sz="0" w:space="0" w:color="auto"/>
        <w:bottom w:val="none" w:sz="0" w:space="0" w:color="auto"/>
        <w:right w:val="none" w:sz="0" w:space="0" w:color="auto"/>
      </w:divBdr>
      <w:divsChild>
        <w:div w:id="1632519116">
          <w:marLeft w:val="0"/>
          <w:marRight w:val="0"/>
          <w:marTop w:val="0"/>
          <w:marBottom w:val="0"/>
          <w:divBdr>
            <w:top w:val="none" w:sz="0" w:space="0" w:color="auto"/>
            <w:left w:val="none" w:sz="0" w:space="0" w:color="auto"/>
            <w:bottom w:val="none" w:sz="0" w:space="0" w:color="auto"/>
            <w:right w:val="none" w:sz="0" w:space="0" w:color="auto"/>
          </w:divBdr>
          <w:divsChild>
            <w:div w:id="1013066814">
              <w:marLeft w:val="0"/>
              <w:marRight w:val="0"/>
              <w:marTop w:val="0"/>
              <w:marBottom w:val="0"/>
              <w:divBdr>
                <w:top w:val="none" w:sz="0" w:space="0" w:color="auto"/>
                <w:left w:val="none" w:sz="0" w:space="0" w:color="auto"/>
                <w:bottom w:val="none" w:sz="0" w:space="0" w:color="auto"/>
                <w:right w:val="none" w:sz="0" w:space="0" w:color="auto"/>
              </w:divBdr>
            </w:div>
          </w:divsChild>
        </w:div>
        <w:div w:id="171846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nan@nu.edu.pk" TargetMode="External"/><Relationship Id="rId13" Type="http://schemas.openxmlformats.org/officeDocument/2006/relationships/image" Target="media/image2.gif"/><Relationship Id="rId18" Type="http://schemas.microsoft.com/office/2007/relationships/diagramDrawing" Target="diagrams/drawing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10.PNG"/><Relationship Id="rId7" Type="http://schemas.openxmlformats.org/officeDocument/2006/relationships/hyperlink" Target="mailto:adil.zulfiqar@nu.edu.pk" TargetMode="Externa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hyperlink" Target="mailto:herman.zahid@gmail.com" TargetMode="External"/><Relationship Id="rId11" Type="http://schemas.openxmlformats.org/officeDocument/2006/relationships/hyperlink" Target="mailto:m.adnan@nu.edu.pk" TargetMode="External"/><Relationship Id="rId24" Type="http://schemas.microsoft.com/office/2007/relationships/diagramDrawing" Target="diagrams/drawing2.xm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theme" Target="theme/theme1.xml"/><Relationship Id="rId10" Type="http://schemas.openxmlformats.org/officeDocument/2006/relationships/hyperlink" Target="mailto:salahedingasim@sustech.edu" TargetMode="External"/><Relationship Id="rId19" Type="http://schemas.openxmlformats.org/officeDocument/2006/relationships/image" Target="media/image6.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Iqbal.sajid@nu.edu.pk" TargetMode="Externa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yperlink" Target="https://www.sciencedirect.com/topics/computer-science/resource-allocation" TargetMode="Externa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CE320-D107-4EFB-9D9D-78FAA885DF57}" type="doc">
      <dgm:prSet loTypeId="urn:microsoft.com/office/officeart/2011/layout/RadialPictureList" loCatId="officeonline" qsTypeId="urn:microsoft.com/office/officeart/2005/8/quickstyle/simple1" qsCatId="simple" csTypeId="urn:microsoft.com/office/officeart/2005/8/colors/accent1_2" csCatId="accent1" phldr="1"/>
      <dgm:spPr/>
      <dgm:t>
        <a:bodyPr/>
        <a:lstStyle/>
        <a:p>
          <a:endParaRPr lang="en-US"/>
        </a:p>
      </dgm:t>
    </dgm:pt>
    <dgm:pt modelId="{2D4F5FAC-CFF1-47AB-B4B3-F011C5007BB5}">
      <dgm:prSet phldrT="[Text]" custT="1"/>
      <dgm:spPr/>
      <dgm:t>
        <a:bodyPr/>
        <a:lstStyle/>
        <a:p>
          <a:r>
            <a:rPr lang="en-US" sz="1800">
              <a:solidFill>
                <a:sysClr val="windowText" lastClr="000000"/>
              </a:solidFill>
            </a:rPr>
            <a:t>Super Smart Grid</a:t>
          </a:r>
        </a:p>
      </dgm:t>
    </dgm:pt>
    <dgm:pt modelId="{8BF458F3-6E11-40D2-8E91-B35F90D62C58}" type="parTrans" cxnId="{FCFE1C2C-7C48-4BC5-B313-A464D0EC7DCD}">
      <dgm:prSet/>
      <dgm:spPr/>
      <dgm:t>
        <a:bodyPr/>
        <a:lstStyle/>
        <a:p>
          <a:endParaRPr lang="en-US" sz="2000"/>
        </a:p>
      </dgm:t>
    </dgm:pt>
    <dgm:pt modelId="{3CC3F358-87CB-4805-872C-E4A7870A63B1}" type="sibTrans" cxnId="{FCFE1C2C-7C48-4BC5-B313-A464D0EC7DCD}">
      <dgm:prSet/>
      <dgm:spPr/>
      <dgm:t>
        <a:bodyPr/>
        <a:lstStyle/>
        <a:p>
          <a:endParaRPr lang="en-US" sz="2000"/>
        </a:p>
      </dgm:t>
    </dgm:pt>
    <dgm:pt modelId="{4BDFBE51-E64B-4025-8743-202D45915636}">
      <dgm:prSet phldrT="[Text]" custT="1"/>
      <dgm:spPr/>
      <dgm:t>
        <a:bodyPr/>
        <a:lstStyle/>
        <a:p>
          <a:r>
            <a:rPr lang="en-US" sz="1050"/>
            <a:t>Wide Area Network</a:t>
          </a:r>
        </a:p>
      </dgm:t>
    </dgm:pt>
    <dgm:pt modelId="{A1AA218D-9B35-4227-A0D8-E0751B83166E}" type="parTrans" cxnId="{15A634D0-C657-4C4E-990C-8459E816A3BD}">
      <dgm:prSet/>
      <dgm:spPr/>
      <dgm:t>
        <a:bodyPr/>
        <a:lstStyle/>
        <a:p>
          <a:endParaRPr lang="en-US" sz="2000"/>
        </a:p>
      </dgm:t>
    </dgm:pt>
    <dgm:pt modelId="{E722FD72-71BC-4533-BAE9-2710B9E8CEE1}" type="sibTrans" cxnId="{15A634D0-C657-4C4E-990C-8459E816A3BD}">
      <dgm:prSet/>
      <dgm:spPr/>
      <dgm:t>
        <a:bodyPr/>
        <a:lstStyle/>
        <a:p>
          <a:endParaRPr lang="en-US" sz="2000"/>
        </a:p>
      </dgm:t>
    </dgm:pt>
    <dgm:pt modelId="{11EB806E-65A4-405F-8E5B-19FE3852A0AE}">
      <dgm:prSet phldrT="[Text]" custT="1"/>
      <dgm:spPr/>
      <dgm:t>
        <a:bodyPr/>
        <a:lstStyle/>
        <a:p>
          <a:r>
            <a:rPr lang="en-US" sz="1050"/>
            <a:t>Advanced Automation</a:t>
          </a:r>
        </a:p>
      </dgm:t>
    </dgm:pt>
    <dgm:pt modelId="{70AE104F-7F12-46F0-BD6C-BE47593BA4A4}" type="parTrans" cxnId="{1555691D-BB70-45A2-96A0-0203EC34F291}">
      <dgm:prSet/>
      <dgm:spPr/>
      <dgm:t>
        <a:bodyPr/>
        <a:lstStyle/>
        <a:p>
          <a:endParaRPr lang="en-US" sz="2000"/>
        </a:p>
      </dgm:t>
    </dgm:pt>
    <dgm:pt modelId="{47C096E9-F8D1-45DD-9938-0F7B1676F50D}" type="sibTrans" cxnId="{1555691D-BB70-45A2-96A0-0203EC34F291}">
      <dgm:prSet/>
      <dgm:spPr/>
      <dgm:t>
        <a:bodyPr/>
        <a:lstStyle/>
        <a:p>
          <a:endParaRPr lang="en-US" sz="2000"/>
        </a:p>
      </dgm:t>
    </dgm:pt>
    <dgm:pt modelId="{8439DD55-63E2-40EB-AE6B-67E0304B906C}">
      <dgm:prSet phldrT="[Text]" custT="1"/>
      <dgm:spPr/>
      <dgm:t>
        <a:bodyPr/>
        <a:lstStyle/>
        <a:p>
          <a:r>
            <a:rPr lang="en-US" sz="1050"/>
            <a:t>Super Computation</a:t>
          </a:r>
        </a:p>
      </dgm:t>
    </dgm:pt>
    <dgm:pt modelId="{8F2518F1-7D0C-481C-ADA6-23BE9CCCA9DB}" type="parTrans" cxnId="{1C272C0B-A0ED-4E48-AFD2-9E7EBF212B95}">
      <dgm:prSet/>
      <dgm:spPr/>
      <dgm:t>
        <a:bodyPr/>
        <a:lstStyle/>
        <a:p>
          <a:endParaRPr lang="en-US" sz="2000"/>
        </a:p>
      </dgm:t>
    </dgm:pt>
    <dgm:pt modelId="{1BF93A93-7CF0-4A85-8BA4-2ECDA785A279}" type="sibTrans" cxnId="{1C272C0B-A0ED-4E48-AFD2-9E7EBF212B95}">
      <dgm:prSet/>
      <dgm:spPr/>
      <dgm:t>
        <a:bodyPr/>
        <a:lstStyle/>
        <a:p>
          <a:endParaRPr lang="en-US" sz="2000"/>
        </a:p>
      </dgm:t>
    </dgm:pt>
    <dgm:pt modelId="{B4215B41-A193-4F7E-BF0C-1C231B2BFA07}" type="pres">
      <dgm:prSet presAssocID="{CA9CE320-D107-4EFB-9D9D-78FAA885DF57}" presName="Name0" presStyleCnt="0">
        <dgm:presLayoutVars>
          <dgm:chMax val="1"/>
          <dgm:chPref val="1"/>
          <dgm:dir/>
          <dgm:resizeHandles/>
        </dgm:presLayoutVars>
      </dgm:prSet>
      <dgm:spPr/>
    </dgm:pt>
    <dgm:pt modelId="{34B98279-9F5C-4B83-922E-653551910DAA}" type="pres">
      <dgm:prSet presAssocID="{2D4F5FAC-CFF1-47AB-B4B3-F011C5007BB5}" presName="Parent" presStyleLbl="node1" presStyleIdx="0" presStyleCnt="2">
        <dgm:presLayoutVars>
          <dgm:chMax val="4"/>
          <dgm:chPref val="3"/>
        </dgm:presLayoutVars>
      </dgm:prSet>
      <dgm:spPr/>
    </dgm:pt>
    <dgm:pt modelId="{49CA762A-3883-42E5-AE32-BFD62E55ED7A}" type="pres">
      <dgm:prSet presAssocID="{4BDFBE51-E64B-4025-8743-202D45915636}" presName="Accent" presStyleLbl="node1" presStyleIdx="1" presStyleCnt="2"/>
      <dgm:spPr/>
    </dgm:pt>
    <dgm:pt modelId="{91845AFB-B6FD-4408-9339-0009EC3099CD}" type="pres">
      <dgm:prSet presAssocID="{4BDFBE51-E64B-4025-8743-202D45915636}" presName="Image1"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7D010D4-18CE-4806-BAC3-58E3F5A4A0EF}" type="pres">
      <dgm:prSet presAssocID="{4BDFBE51-E64B-4025-8743-202D45915636}" presName="Child1" presStyleLbl="revTx" presStyleIdx="0" presStyleCnt="3">
        <dgm:presLayoutVars>
          <dgm:chMax val="0"/>
          <dgm:chPref val="0"/>
          <dgm:bulletEnabled val="1"/>
        </dgm:presLayoutVars>
      </dgm:prSet>
      <dgm:spPr/>
    </dgm:pt>
    <dgm:pt modelId="{9DDFBABF-52BB-4FD9-8958-8E7A8F281984}" type="pres">
      <dgm:prSet presAssocID="{11EB806E-65A4-405F-8E5B-19FE3852A0AE}" presName="Image2" presStyleCnt="0"/>
      <dgm:spPr/>
    </dgm:pt>
    <dgm:pt modelId="{737823C8-CB57-4AAD-85D3-73100F0ED530}" type="pres">
      <dgm:prSet presAssocID="{11EB806E-65A4-405F-8E5B-19FE3852A0AE}"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C505D9AE-799A-44D4-A637-3FE6BE0EAF8C}" type="pres">
      <dgm:prSet presAssocID="{11EB806E-65A4-405F-8E5B-19FE3852A0AE}" presName="Child2" presStyleLbl="revTx" presStyleIdx="1" presStyleCnt="3">
        <dgm:presLayoutVars>
          <dgm:chMax val="0"/>
          <dgm:chPref val="0"/>
          <dgm:bulletEnabled val="1"/>
        </dgm:presLayoutVars>
      </dgm:prSet>
      <dgm:spPr/>
    </dgm:pt>
    <dgm:pt modelId="{6BF72A9F-4B38-445D-8E83-4D165C585DE6}" type="pres">
      <dgm:prSet presAssocID="{8439DD55-63E2-40EB-AE6B-67E0304B906C}" presName="Image3" presStyleCnt="0"/>
      <dgm:spPr/>
    </dgm:pt>
    <dgm:pt modelId="{32A096A9-16A8-4929-9587-E2D3FA82DD27}" type="pres">
      <dgm:prSet presAssocID="{8439DD55-63E2-40EB-AE6B-67E0304B906C}"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dgm:spPr>
    </dgm:pt>
    <dgm:pt modelId="{3FFB5F1E-F730-4C03-903D-4B5A9B1768FB}" type="pres">
      <dgm:prSet presAssocID="{8439DD55-63E2-40EB-AE6B-67E0304B906C}" presName="Child3" presStyleLbl="revTx" presStyleIdx="2" presStyleCnt="3">
        <dgm:presLayoutVars>
          <dgm:chMax val="0"/>
          <dgm:chPref val="0"/>
          <dgm:bulletEnabled val="1"/>
        </dgm:presLayoutVars>
      </dgm:prSet>
      <dgm:spPr/>
    </dgm:pt>
  </dgm:ptLst>
  <dgm:cxnLst>
    <dgm:cxn modelId="{1C272C0B-A0ED-4E48-AFD2-9E7EBF212B95}" srcId="{2D4F5FAC-CFF1-47AB-B4B3-F011C5007BB5}" destId="{8439DD55-63E2-40EB-AE6B-67E0304B906C}" srcOrd="2" destOrd="0" parTransId="{8F2518F1-7D0C-481C-ADA6-23BE9CCCA9DB}" sibTransId="{1BF93A93-7CF0-4A85-8BA4-2ECDA785A279}"/>
    <dgm:cxn modelId="{1555691D-BB70-45A2-96A0-0203EC34F291}" srcId="{2D4F5FAC-CFF1-47AB-B4B3-F011C5007BB5}" destId="{11EB806E-65A4-405F-8E5B-19FE3852A0AE}" srcOrd="1" destOrd="0" parTransId="{70AE104F-7F12-46F0-BD6C-BE47593BA4A4}" sibTransId="{47C096E9-F8D1-45DD-9938-0F7B1676F50D}"/>
    <dgm:cxn modelId="{FCFE1C2C-7C48-4BC5-B313-A464D0EC7DCD}" srcId="{CA9CE320-D107-4EFB-9D9D-78FAA885DF57}" destId="{2D4F5FAC-CFF1-47AB-B4B3-F011C5007BB5}" srcOrd="0" destOrd="0" parTransId="{8BF458F3-6E11-40D2-8E91-B35F90D62C58}" sibTransId="{3CC3F358-87CB-4805-872C-E4A7870A63B1}"/>
    <dgm:cxn modelId="{F53EBE76-C979-4BD7-B198-A9766FD9C6F7}" type="presOf" srcId="{4BDFBE51-E64B-4025-8743-202D45915636}" destId="{37D010D4-18CE-4806-BAC3-58E3F5A4A0EF}" srcOrd="0" destOrd="0" presId="urn:microsoft.com/office/officeart/2011/layout/RadialPictureList"/>
    <dgm:cxn modelId="{72DAD07B-CE4B-4652-AB6D-81B6CC5DEDF7}" type="presOf" srcId="{11EB806E-65A4-405F-8E5B-19FE3852A0AE}" destId="{C505D9AE-799A-44D4-A637-3FE6BE0EAF8C}" srcOrd="0" destOrd="0" presId="urn:microsoft.com/office/officeart/2011/layout/RadialPictureList"/>
    <dgm:cxn modelId="{7FF970B6-FDDE-4274-8D72-3752B8B51DB3}" type="presOf" srcId="{2D4F5FAC-CFF1-47AB-B4B3-F011C5007BB5}" destId="{34B98279-9F5C-4B83-922E-653551910DAA}" srcOrd="0" destOrd="0" presId="urn:microsoft.com/office/officeart/2011/layout/RadialPictureList"/>
    <dgm:cxn modelId="{F636A6C3-B02B-448E-8D34-20B3F50B65A3}" type="presOf" srcId="{8439DD55-63E2-40EB-AE6B-67E0304B906C}" destId="{3FFB5F1E-F730-4C03-903D-4B5A9B1768FB}" srcOrd="0" destOrd="0" presId="urn:microsoft.com/office/officeart/2011/layout/RadialPictureList"/>
    <dgm:cxn modelId="{15A634D0-C657-4C4E-990C-8459E816A3BD}" srcId="{2D4F5FAC-CFF1-47AB-B4B3-F011C5007BB5}" destId="{4BDFBE51-E64B-4025-8743-202D45915636}" srcOrd="0" destOrd="0" parTransId="{A1AA218D-9B35-4227-A0D8-E0751B83166E}" sibTransId="{E722FD72-71BC-4533-BAE9-2710B9E8CEE1}"/>
    <dgm:cxn modelId="{41E68DED-0CE4-4CC0-825D-A16FCBB20929}" type="presOf" srcId="{CA9CE320-D107-4EFB-9D9D-78FAA885DF57}" destId="{B4215B41-A193-4F7E-BF0C-1C231B2BFA07}" srcOrd="0" destOrd="0" presId="urn:microsoft.com/office/officeart/2011/layout/RadialPictureList"/>
    <dgm:cxn modelId="{E279DA37-0468-4B6C-8ED2-DB2796B96EAD}" type="presParOf" srcId="{B4215B41-A193-4F7E-BF0C-1C231B2BFA07}" destId="{34B98279-9F5C-4B83-922E-653551910DAA}" srcOrd="0" destOrd="0" presId="urn:microsoft.com/office/officeart/2011/layout/RadialPictureList"/>
    <dgm:cxn modelId="{A66DEE49-6F42-46BC-895B-B5B0F5332B05}" type="presParOf" srcId="{B4215B41-A193-4F7E-BF0C-1C231B2BFA07}" destId="{49CA762A-3883-42E5-AE32-BFD62E55ED7A}" srcOrd="1" destOrd="0" presId="urn:microsoft.com/office/officeart/2011/layout/RadialPictureList"/>
    <dgm:cxn modelId="{64131D63-EE4C-4496-BF9F-2E952B061AB2}" type="presParOf" srcId="{B4215B41-A193-4F7E-BF0C-1C231B2BFA07}" destId="{91845AFB-B6FD-4408-9339-0009EC3099CD}" srcOrd="2" destOrd="0" presId="urn:microsoft.com/office/officeart/2011/layout/RadialPictureList"/>
    <dgm:cxn modelId="{293BAF0A-CA8D-46DB-ACF2-9FBF87D86ADA}" type="presParOf" srcId="{B4215B41-A193-4F7E-BF0C-1C231B2BFA07}" destId="{37D010D4-18CE-4806-BAC3-58E3F5A4A0EF}" srcOrd="3" destOrd="0" presId="urn:microsoft.com/office/officeart/2011/layout/RadialPictureList"/>
    <dgm:cxn modelId="{EF9095FE-F8C7-4321-B90C-491CEC5BCC21}" type="presParOf" srcId="{B4215B41-A193-4F7E-BF0C-1C231B2BFA07}" destId="{9DDFBABF-52BB-4FD9-8958-8E7A8F281984}" srcOrd="4" destOrd="0" presId="urn:microsoft.com/office/officeart/2011/layout/RadialPictureList"/>
    <dgm:cxn modelId="{0A02D93B-DD24-45CD-BB66-9E7624C9EC2D}" type="presParOf" srcId="{9DDFBABF-52BB-4FD9-8958-8E7A8F281984}" destId="{737823C8-CB57-4AAD-85D3-73100F0ED530}" srcOrd="0" destOrd="0" presId="urn:microsoft.com/office/officeart/2011/layout/RadialPictureList"/>
    <dgm:cxn modelId="{A6F97D39-88D9-4C34-B409-88FC02C672ED}" type="presParOf" srcId="{B4215B41-A193-4F7E-BF0C-1C231B2BFA07}" destId="{C505D9AE-799A-44D4-A637-3FE6BE0EAF8C}" srcOrd="5" destOrd="0" presId="urn:microsoft.com/office/officeart/2011/layout/RadialPictureList"/>
    <dgm:cxn modelId="{A9DB5C82-5A47-4513-829D-4D6C0824B700}" type="presParOf" srcId="{B4215B41-A193-4F7E-BF0C-1C231B2BFA07}" destId="{6BF72A9F-4B38-445D-8E83-4D165C585DE6}" srcOrd="6" destOrd="0" presId="urn:microsoft.com/office/officeart/2011/layout/RadialPictureList"/>
    <dgm:cxn modelId="{3961A0D4-1F1F-4BFE-85A7-B709D7A3C816}" type="presParOf" srcId="{6BF72A9F-4B38-445D-8E83-4D165C585DE6}" destId="{32A096A9-16A8-4929-9587-E2D3FA82DD27}" srcOrd="0" destOrd="0" presId="urn:microsoft.com/office/officeart/2011/layout/RadialPictureList"/>
    <dgm:cxn modelId="{348B1427-0C2C-463B-8105-F93290B86797}" type="presParOf" srcId="{B4215B41-A193-4F7E-BF0C-1C231B2BFA07}" destId="{3FFB5F1E-F730-4C03-903D-4B5A9B1768FB}" srcOrd="7" destOrd="0" presId="urn:microsoft.com/office/officeart/2011/layout/RadialPicture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5658EE-6F08-498C-A090-3D139177EAA7}" type="doc">
      <dgm:prSet loTypeId="urn:microsoft.com/office/officeart/2011/layout/HexagonRadial" loCatId="cycle" qsTypeId="urn:microsoft.com/office/officeart/2005/8/quickstyle/simple3" qsCatId="simple" csTypeId="urn:microsoft.com/office/officeart/2005/8/colors/colorful1" csCatId="colorful" phldr="1"/>
      <dgm:spPr/>
      <dgm:t>
        <a:bodyPr/>
        <a:lstStyle/>
        <a:p>
          <a:endParaRPr lang="en-US"/>
        </a:p>
      </dgm:t>
    </dgm:pt>
    <dgm:pt modelId="{2E33ACBA-F8E9-4A42-94DA-EDF3C047435C}">
      <dgm:prSet phldrT="[Text]" custT="1"/>
      <dgm:spPr/>
      <dgm:t>
        <a:bodyPr/>
        <a:lstStyle/>
        <a:p>
          <a:r>
            <a:rPr lang="en-US" sz="1000"/>
            <a:t>Transactive Energy</a:t>
          </a:r>
        </a:p>
      </dgm:t>
    </dgm:pt>
    <dgm:pt modelId="{38C34373-8814-4453-968C-3FC2233C1543}" type="parTrans" cxnId="{173BA0B6-377C-4041-915B-13AF2618B2C4}">
      <dgm:prSet/>
      <dgm:spPr/>
      <dgm:t>
        <a:bodyPr/>
        <a:lstStyle/>
        <a:p>
          <a:endParaRPr lang="en-US" sz="2400">
            <a:solidFill>
              <a:sysClr val="windowText" lastClr="000000"/>
            </a:solidFill>
          </a:endParaRPr>
        </a:p>
      </dgm:t>
    </dgm:pt>
    <dgm:pt modelId="{413669BB-BF61-46DA-81ED-DF8887CF3B87}" type="sibTrans" cxnId="{173BA0B6-377C-4041-915B-13AF2618B2C4}">
      <dgm:prSet/>
      <dgm:spPr/>
      <dgm:t>
        <a:bodyPr/>
        <a:lstStyle/>
        <a:p>
          <a:endParaRPr lang="en-US" sz="2400">
            <a:solidFill>
              <a:sysClr val="windowText" lastClr="000000"/>
            </a:solidFill>
          </a:endParaRPr>
        </a:p>
      </dgm:t>
    </dgm:pt>
    <dgm:pt modelId="{005618EA-7D29-450A-8263-39E956D82841}">
      <dgm:prSet phldrT="[Text]" custT="1"/>
      <dgm:spPr/>
      <dgm:t>
        <a:bodyPr/>
        <a:lstStyle/>
        <a:p>
          <a:r>
            <a:rPr lang="en-US" sz="1000"/>
            <a:t>Grid Control Strategies</a:t>
          </a:r>
        </a:p>
      </dgm:t>
    </dgm:pt>
    <dgm:pt modelId="{BF494CB8-1E25-4BE7-9576-2DB8EE22686A}" type="parTrans" cxnId="{E37F9C28-9342-4374-9374-7C4CD811C53F}">
      <dgm:prSet/>
      <dgm:spPr/>
      <dgm:t>
        <a:bodyPr/>
        <a:lstStyle/>
        <a:p>
          <a:endParaRPr lang="en-US" sz="2400">
            <a:solidFill>
              <a:sysClr val="windowText" lastClr="000000"/>
            </a:solidFill>
          </a:endParaRPr>
        </a:p>
      </dgm:t>
    </dgm:pt>
    <dgm:pt modelId="{E90E9B12-AB35-41F9-9701-F3C9EF9966F8}" type="sibTrans" cxnId="{E37F9C28-9342-4374-9374-7C4CD811C53F}">
      <dgm:prSet/>
      <dgm:spPr/>
      <dgm:t>
        <a:bodyPr/>
        <a:lstStyle/>
        <a:p>
          <a:endParaRPr lang="en-US" sz="2400">
            <a:solidFill>
              <a:sysClr val="windowText" lastClr="000000"/>
            </a:solidFill>
          </a:endParaRPr>
        </a:p>
      </dgm:t>
    </dgm:pt>
    <dgm:pt modelId="{6D1C785B-0FD8-4CEA-9211-DD959C9FAEAC}">
      <dgm:prSet phldrT="[Text]" custT="1"/>
      <dgm:spPr/>
      <dgm:t>
        <a:bodyPr/>
        <a:lstStyle/>
        <a:p>
          <a:r>
            <a:rPr lang="en-US" sz="1000"/>
            <a:t>Regulatory Framework</a:t>
          </a:r>
        </a:p>
      </dgm:t>
    </dgm:pt>
    <dgm:pt modelId="{0F500F85-8752-4CD5-8518-AEBFCDF3F919}" type="parTrans" cxnId="{BDB0E47D-3CAC-4E2A-8A6E-86578AAFD60A}">
      <dgm:prSet/>
      <dgm:spPr/>
      <dgm:t>
        <a:bodyPr/>
        <a:lstStyle/>
        <a:p>
          <a:endParaRPr lang="en-US" sz="2400">
            <a:solidFill>
              <a:sysClr val="windowText" lastClr="000000"/>
            </a:solidFill>
          </a:endParaRPr>
        </a:p>
      </dgm:t>
    </dgm:pt>
    <dgm:pt modelId="{C723FBCB-4B8B-470B-9B98-B783491CC198}" type="sibTrans" cxnId="{BDB0E47D-3CAC-4E2A-8A6E-86578AAFD60A}">
      <dgm:prSet/>
      <dgm:spPr/>
      <dgm:t>
        <a:bodyPr/>
        <a:lstStyle/>
        <a:p>
          <a:endParaRPr lang="en-US" sz="2400">
            <a:solidFill>
              <a:sysClr val="windowText" lastClr="000000"/>
            </a:solidFill>
          </a:endParaRPr>
        </a:p>
      </dgm:t>
    </dgm:pt>
    <dgm:pt modelId="{A93BAF3D-E594-408B-B802-D62EA3190B6F}">
      <dgm:prSet phldrT="[Text]" custT="1"/>
      <dgm:spPr/>
      <dgm:t>
        <a:bodyPr/>
        <a:lstStyle/>
        <a:p>
          <a:r>
            <a:rPr lang="en-US" sz="1000"/>
            <a:t>Robust Smart Grid Technologies</a:t>
          </a:r>
        </a:p>
      </dgm:t>
    </dgm:pt>
    <dgm:pt modelId="{6FB2759A-EEDC-4298-A10B-E0DE7DAF83AF}" type="parTrans" cxnId="{6D2246ED-8F39-4C58-ACD1-831EBC179858}">
      <dgm:prSet/>
      <dgm:spPr/>
      <dgm:t>
        <a:bodyPr/>
        <a:lstStyle/>
        <a:p>
          <a:endParaRPr lang="en-US" sz="2400">
            <a:solidFill>
              <a:sysClr val="windowText" lastClr="000000"/>
            </a:solidFill>
          </a:endParaRPr>
        </a:p>
      </dgm:t>
    </dgm:pt>
    <dgm:pt modelId="{C900BF91-D86C-4513-9C20-E72DA25B9DFA}" type="sibTrans" cxnId="{6D2246ED-8F39-4C58-ACD1-831EBC179858}">
      <dgm:prSet/>
      <dgm:spPr/>
      <dgm:t>
        <a:bodyPr/>
        <a:lstStyle/>
        <a:p>
          <a:endParaRPr lang="en-US" sz="2400">
            <a:solidFill>
              <a:sysClr val="windowText" lastClr="000000"/>
            </a:solidFill>
          </a:endParaRPr>
        </a:p>
      </dgm:t>
    </dgm:pt>
    <dgm:pt modelId="{ABDD4A28-8511-410C-8AC2-A926670DF6C7}">
      <dgm:prSet phldrT="[Text]" custT="1"/>
      <dgm:spPr/>
      <dgm:t>
        <a:bodyPr/>
        <a:lstStyle/>
        <a:p>
          <a:r>
            <a:rPr lang="en-US" sz="1000"/>
            <a:t>Real Time Pricing strategy</a:t>
          </a:r>
        </a:p>
      </dgm:t>
    </dgm:pt>
    <dgm:pt modelId="{8EAF9E40-5506-4514-9FCB-3F47486E90AB}" type="parTrans" cxnId="{DE08D71B-5654-4231-8394-B12772ABB348}">
      <dgm:prSet/>
      <dgm:spPr/>
      <dgm:t>
        <a:bodyPr/>
        <a:lstStyle/>
        <a:p>
          <a:endParaRPr lang="en-US" sz="2400">
            <a:solidFill>
              <a:sysClr val="windowText" lastClr="000000"/>
            </a:solidFill>
          </a:endParaRPr>
        </a:p>
      </dgm:t>
    </dgm:pt>
    <dgm:pt modelId="{6960BD79-441C-427B-9BCF-A9211C1F7A89}" type="sibTrans" cxnId="{DE08D71B-5654-4231-8394-B12772ABB348}">
      <dgm:prSet/>
      <dgm:spPr/>
      <dgm:t>
        <a:bodyPr/>
        <a:lstStyle/>
        <a:p>
          <a:endParaRPr lang="en-US" sz="2400">
            <a:solidFill>
              <a:sysClr val="windowText" lastClr="000000"/>
            </a:solidFill>
          </a:endParaRPr>
        </a:p>
      </dgm:t>
    </dgm:pt>
    <dgm:pt modelId="{DE20B14F-A46E-4C72-A70C-D9EAC62047FB}">
      <dgm:prSet phldrT="[Text]" custT="1"/>
      <dgm:spPr/>
      <dgm:t>
        <a:bodyPr/>
        <a:lstStyle/>
        <a:p>
          <a:r>
            <a:rPr lang="en-US" sz="1000"/>
            <a:t>Dynamic Energy Balance</a:t>
          </a:r>
        </a:p>
      </dgm:t>
    </dgm:pt>
    <dgm:pt modelId="{8C4271E0-B1B4-42F1-9EA9-54FB321F4807}" type="parTrans" cxnId="{5A746A8D-3BC4-49B7-98FB-083CC15122C1}">
      <dgm:prSet/>
      <dgm:spPr/>
      <dgm:t>
        <a:bodyPr/>
        <a:lstStyle/>
        <a:p>
          <a:endParaRPr lang="en-US" sz="2400">
            <a:solidFill>
              <a:sysClr val="windowText" lastClr="000000"/>
            </a:solidFill>
          </a:endParaRPr>
        </a:p>
      </dgm:t>
    </dgm:pt>
    <dgm:pt modelId="{FA617A50-4E09-4808-A07B-4B59B4222B18}" type="sibTrans" cxnId="{5A746A8D-3BC4-49B7-98FB-083CC15122C1}">
      <dgm:prSet/>
      <dgm:spPr/>
      <dgm:t>
        <a:bodyPr/>
        <a:lstStyle/>
        <a:p>
          <a:endParaRPr lang="en-US" sz="2400">
            <a:solidFill>
              <a:sysClr val="windowText" lastClr="000000"/>
            </a:solidFill>
          </a:endParaRPr>
        </a:p>
      </dgm:t>
    </dgm:pt>
    <dgm:pt modelId="{61510219-0B3E-4290-8938-9FA4139F149E}">
      <dgm:prSet phldrT="[Text]" custT="1"/>
      <dgm:spPr/>
      <dgm:t>
        <a:bodyPr/>
        <a:lstStyle/>
        <a:p>
          <a:r>
            <a:rPr lang="en-US" sz="1000"/>
            <a:t>Transparent Energy  Market and Business Models</a:t>
          </a:r>
        </a:p>
      </dgm:t>
    </dgm:pt>
    <dgm:pt modelId="{2EC79B6F-16B6-4DB2-AB4C-4CD46D462523}" type="parTrans" cxnId="{133BE968-5B4D-40F9-AEB8-BD1FB4684D45}">
      <dgm:prSet/>
      <dgm:spPr/>
      <dgm:t>
        <a:bodyPr/>
        <a:lstStyle/>
        <a:p>
          <a:endParaRPr lang="en-US" sz="2400">
            <a:solidFill>
              <a:sysClr val="windowText" lastClr="000000"/>
            </a:solidFill>
          </a:endParaRPr>
        </a:p>
      </dgm:t>
    </dgm:pt>
    <dgm:pt modelId="{FDF70AE6-D066-4513-9B09-0229DE41D18F}" type="sibTrans" cxnId="{133BE968-5B4D-40F9-AEB8-BD1FB4684D45}">
      <dgm:prSet/>
      <dgm:spPr/>
      <dgm:t>
        <a:bodyPr/>
        <a:lstStyle/>
        <a:p>
          <a:endParaRPr lang="en-US" sz="2400">
            <a:solidFill>
              <a:sysClr val="windowText" lastClr="000000"/>
            </a:solidFill>
          </a:endParaRPr>
        </a:p>
      </dgm:t>
    </dgm:pt>
    <dgm:pt modelId="{DC877B0C-CDEE-4BC8-A1A7-EA1485A286E0}" type="pres">
      <dgm:prSet presAssocID="{8B5658EE-6F08-498C-A090-3D139177EAA7}" presName="Name0" presStyleCnt="0">
        <dgm:presLayoutVars>
          <dgm:chMax val="1"/>
          <dgm:chPref val="1"/>
          <dgm:dir/>
          <dgm:animOne val="branch"/>
          <dgm:animLvl val="lvl"/>
        </dgm:presLayoutVars>
      </dgm:prSet>
      <dgm:spPr/>
    </dgm:pt>
    <dgm:pt modelId="{5169CAF8-B9EB-4B00-AC64-DE304A73A70E}" type="pres">
      <dgm:prSet presAssocID="{2E33ACBA-F8E9-4A42-94DA-EDF3C047435C}" presName="Parent" presStyleLbl="node0" presStyleIdx="0" presStyleCnt="1">
        <dgm:presLayoutVars>
          <dgm:chMax val="6"/>
          <dgm:chPref val="6"/>
        </dgm:presLayoutVars>
      </dgm:prSet>
      <dgm:spPr/>
    </dgm:pt>
    <dgm:pt modelId="{E93A81D3-6BAD-421F-B128-1FC7B073B8EC}" type="pres">
      <dgm:prSet presAssocID="{005618EA-7D29-450A-8263-39E956D82841}" presName="Accent1" presStyleCnt="0"/>
      <dgm:spPr/>
    </dgm:pt>
    <dgm:pt modelId="{EE03E45E-EA6D-4CE8-9841-46ECD0E91F27}" type="pres">
      <dgm:prSet presAssocID="{005618EA-7D29-450A-8263-39E956D82841}" presName="Accent" presStyleLbl="bgShp" presStyleIdx="0" presStyleCnt="6"/>
      <dgm:spPr/>
    </dgm:pt>
    <dgm:pt modelId="{C34E9726-FE8E-4D43-80F0-5087D4632E9E}" type="pres">
      <dgm:prSet presAssocID="{005618EA-7D29-450A-8263-39E956D82841}" presName="Child1" presStyleLbl="node1" presStyleIdx="0" presStyleCnt="6">
        <dgm:presLayoutVars>
          <dgm:chMax val="0"/>
          <dgm:chPref val="0"/>
          <dgm:bulletEnabled val="1"/>
        </dgm:presLayoutVars>
      </dgm:prSet>
      <dgm:spPr/>
    </dgm:pt>
    <dgm:pt modelId="{28178AC5-20C2-405E-BC70-CB05A55E661A}" type="pres">
      <dgm:prSet presAssocID="{6D1C785B-0FD8-4CEA-9211-DD959C9FAEAC}" presName="Accent2" presStyleCnt="0"/>
      <dgm:spPr/>
    </dgm:pt>
    <dgm:pt modelId="{E166C18B-7727-4E27-BF72-5ADB7D853BC8}" type="pres">
      <dgm:prSet presAssocID="{6D1C785B-0FD8-4CEA-9211-DD959C9FAEAC}" presName="Accent" presStyleLbl="bgShp" presStyleIdx="1" presStyleCnt="6"/>
      <dgm:spPr/>
    </dgm:pt>
    <dgm:pt modelId="{1AA7CC76-4A3A-4798-962A-3DDECA80B7C9}" type="pres">
      <dgm:prSet presAssocID="{6D1C785B-0FD8-4CEA-9211-DD959C9FAEAC}" presName="Child2" presStyleLbl="node1" presStyleIdx="1" presStyleCnt="6">
        <dgm:presLayoutVars>
          <dgm:chMax val="0"/>
          <dgm:chPref val="0"/>
          <dgm:bulletEnabled val="1"/>
        </dgm:presLayoutVars>
      </dgm:prSet>
      <dgm:spPr/>
    </dgm:pt>
    <dgm:pt modelId="{7526983A-AA95-4949-A8A8-36F715A4223D}" type="pres">
      <dgm:prSet presAssocID="{A93BAF3D-E594-408B-B802-D62EA3190B6F}" presName="Accent3" presStyleCnt="0"/>
      <dgm:spPr/>
    </dgm:pt>
    <dgm:pt modelId="{BD135302-CC9D-4D88-8987-18CA569C9268}" type="pres">
      <dgm:prSet presAssocID="{A93BAF3D-E594-408B-B802-D62EA3190B6F}" presName="Accent" presStyleLbl="bgShp" presStyleIdx="2" presStyleCnt="6"/>
      <dgm:spPr/>
    </dgm:pt>
    <dgm:pt modelId="{C54149E9-DED2-4072-A289-3CDD9689C0AA}" type="pres">
      <dgm:prSet presAssocID="{A93BAF3D-E594-408B-B802-D62EA3190B6F}" presName="Child3" presStyleLbl="node1" presStyleIdx="2" presStyleCnt="6">
        <dgm:presLayoutVars>
          <dgm:chMax val="0"/>
          <dgm:chPref val="0"/>
          <dgm:bulletEnabled val="1"/>
        </dgm:presLayoutVars>
      </dgm:prSet>
      <dgm:spPr/>
    </dgm:pt>
    <dgm:pt modelId="{C692E891-3FB7-4007-8E67-74CA0E415995}" type="pres">
      <dgm:prSet presAssocID="{ABDD4A28-8511-410C-8AC2-A926670DF6C7}" presName="Accent4" presStyleCnt="0"/>
      <dgm:spPr/>
    </dgm:pt>
    <dgm:pt modelId="{EC8264B4-4F04-4052-8797-02557A878EE9}" type="pres">
      <dgm:prSet presAssocID="{ABDD4A28-8511-410C-8AC2-A926670DF6C7}" presName="Accent" presStyleLbl="bgShp" presStyleIdx="3" presStyleCnt="6"/>
      <dgm:spPr/>
    </dgm:pt>
    <dgm:pt modelId="{4C0604EF-A9BE-448D-8708-31E396F8D9BB}" type="pres">
      <dgm:prSet presAssocID="{ABDD4A28-8511-410C-8AC2-A926670DF6C7}" presName="Child4" presStyleLbl="node1" presStyleIdx="3" presStyleCnt="6">
        <dgm:presLayoutVars>
          <dgm:chMax val="0"/>
          <dgm:chPref val="0"/>
          <dgm:bulletEnabled val="1"/>
        </dgm:presLayoutVars>
      </dgm:prSet>
      <dgm:spPr/>
    </dgm:pt>
    <dgm:pt modelId="{9975C633-ABD7-4B4B-AA64-5B34C2EEA53C}" type="pres">
      <dgm:prSet presAssocID="{DE20B14F-A46E-4C72-A70C-D9EAC62047FB}" presName="Accent5" presStyleCnt="0"/>
      <dgm:spPr/>
    </dgm:pt>
    <dgm:pt modelId="{3DC8C56F-BC89-4A80-AA34-13B5850A5437}" type="pres">
      <dgm:prSet presAssocID="{DE20B14F-A46E-4C72-A70C-D9EAC62047FB}" presName="Accent" presStyleLbl="bgShp" presStyleIdx="4" presStyleCnt="6"/>
      <dgm:spPr/>
    </dgm:pt>
    <dgm:pt modelId="{7D370742-5468-40BD-8A80-BEDC069A6D91}" type="pres">
      <dgm:prSet presAssocID="{DE20B14F-A46E-4C72-A70C-D9EAC62047FB}" presName="Child5" presStyleLbl="node1" presStyleIdx="4" presStyleCnt="6">
        <dgm:presLayoutVars>
          <dgm:chMax val="0"/>
          <dgm:chPref val="0"/>
          <dgm:bulletEnabled val="1"/>
        </dgm:presLayoutVars>
      </dgm:prSet>
      <dgm:spPr/>
    </dgm:pt>
    <dgm:pt modelId="{99462D83-6E95-4743-865C-18553BE1EBCB}" type="pres">
      <dgm:prSet presAssocID="{61510219-0B3E-4290-8938-9FA4139F149E}" presName="Accent6" presStyleCnt="0"/>
      <dgm:spPr/>
    </dgm:pt>
    <dgm:pt modelId="{7FD3FDD7-7999-4C9C-B25B-0CCD7E533563}" type="pres">
      <dgm:prSet presAssocID="{61510219-0B3E-4290-8938-9FA4139F149E}" presName="Accent" presStyleLbl="bgShp" presStyleIdx="5" presStyleCnt="6"/>
      <dgm:spPr/>
    </dgm:pt>
    <dgm:pt modelId="{423D8C4B-59DC-41A2-8462-C748F8AD7B6B}" type="pres">
      <dgm:prSet presAssocID="{61510219-0B3E-4290-8938-9FA4139F149E}" presName="Child6" presStyleLbl="node1" presStyleIdx="5" presStyleCnt="6">
        <dgm:presLayoutVars>
          <dgm:chMax val="0"/>
          <dgm:chPref val="0"/>
          <dgm:bulletEnabled val="1"/>
        </dgm:presLayoutVars>
      </dgm:prSet>
      <dgm:spPr/>
    </dgm:pt>
  </dgm:ptLst>
  <dgm:cxnLst>
    <dgm:cxn modelId="{25652011-8AE6-4861-9585-E5F847167FF8}" type="presOf" srcId="{6D1C785B-0FD8-4CEA-9211-DD959C9FAEAC}" destId="{1AA7CC76-4A3A-4798-962A-3DDECA80B7C9}" srcOrd="0" destOrd="0" presId="urn:microsoft.com/office/officeart/2011/layout/HexagonRadial"/>
    <dgm:cxn modelId="{DE08D71B-5654-4231-8394-B12772ABB348}" srcId="{2E33ACBA-F8E9-4A42-94DA-EDF3C047435C}" destId="{ABDD4A28-8511-410C-8AC2-A926670DF6C7}" srcOrd="3" destOrd="0" parTransId="{8EAF9E40-5506-4514-9FCB-3F47486E90AB}" sibTransId="{6960BD79-441C-427B-9BCF-A9211C1F7A89}"/>
    <dgm:cxn modelId="{6000281E-CDBE-4E7D-B0C5-F2F6822EADE5}" type="presOf" srcId="{005618EA-7D29-450A-8263-39E956D82841}" destId="{C34E9726-FE8E-4D43-80F0-5087D4632E9E}" srcOrd="0" destOrd="0" presId="urn:microsoft.com/office/officeart/2011/layout/HexagonRadial"/>
    <dgm:cxn modelId="{E37F9C28-9342-4374-9374-7C4CD811C53F}" srcId="{2E33ACBA-F8E9-4A42-94DA-EDF3C047435C}" destId="{005618EA-7D29-450A-8263-39E956D82841}" srcOrd="0" destOrd="0" parTransId="{BF494CB8-1E25-4BE7-9576-2DB8EE22686A}" sibTransId="{E90E9B12-AB35-41F9-9701-F3C9EF9966F8}"/>
    <dgm:cxn modelId="{C1A09B30-7FD9-41F3-A12A-95085C291C4B}" type="presOf" srcId="{61510219-0B3E-4290-8938-9FA4139F149E}" destId="{423D8C4B-59DC-41A2-8462-C748F8AD7B6B}" srcOrd="0" destOrd="0" presId="urn:microsoft.com/office/officeart/2011/layout/HexagonRadial"/>
    <dgm:cxn modelId="{6B93E03B-A25C-43ED-88C7-A3AD566C456D}" type="presOf" srcId="{ABDD4A28-8511-410C-8AC2-A926670DF6C7}" destId="{4C0604EF-A9BE-448D-8708-31E396F8D9BB}" srcOrd="0" destOrd="0" presId="urn:microsoft.com/office/officeart/2011/layout/HexagonRadial"/>
    <dgm:cxn modelId="{3312AA3D-14E3-4E9C-83F2-6C54AE5383FC}" type="presOf" srcId="{DE20B14F-A46E-4C72-A70C-D9EAC62047FB}" destId="{7D370742-5468-40BD-8A80-BEDC069A6D91}" srcOrd="0" destOrd="0" presId="urn:microsoft.com/office/officeart/2011/layout/HexagonRadial"/>
    <dgm:cxn modelId="{133BE968-5B4D-40F9-AEB8-BD1FB4684D45}" srcId="{2E33ACBA-F8E9-4A42-94DA-EDF3C047435C}" destId="{61510219-0B3E-4290-8938-9FA4139F149E}" srcOrd="5" destOrd="0" parTransId="{2EC79B6F-16B6-4DB2-AB4C-4CD46D462523}" sibTransId="{FDF70AE6-D066-4513-9B09-0229DE41D18F}"/>
    <dgm:cxn modelId="{AC235551-0FDB-4C03-B78E-85D0DC4F3018}" type="presOf" srcId="{8B5658EE-6F08-498C-A090-3D139177EAA7}" destId="{DC877B0C-CDEE-4BC8-A1A7-EA1485A286E0}" srcOrd="0" destOrd="0" presId="urn:microsoft.com/office/officeart/2011/layout/HexagonRadial"/>
    <dgm:cxn modelId="{BDB0E47D-3CAC-4E2A-8A6E-86578AAFD60A}" srcId="{2E33ACBA-F8E9-4A42-94DA-EDF3C047435C}" destId="{6D1C785B-0FD8-4CEA-9211-DD959C9FAEAC}" srcOrd="1" destOrd="0" parTransId="{0F500F85-8752-4CD5-8518-AEBFCDF3F919}" sibTransId="{C723FBCB-4B8B-470B-9B98-B783491CC198}"/>
    <dgm:cxn modelId="{5A746A8D-3BC4-49B7-98FB-083CC15122C1}" srcId="{2E33ACBA-F8E9-4A42-94DA-EDF3C047435C}" destId="{DE20B14F-A46E-4C72-A70C-D9EAC62047FB}" srcOrd="4" destOrd="0" parTransId="{8C4271E0-B1B4-42F1-9EA9-54FB321F4807}" sibTransId="{FA617A50-4E09-4808-A07B-4B59B4222B18}"/>
    <dgm:cxn modelId="{28B5D999-B6D4-41B7-B7DF-FA09E1F6A285}" type="presOf" srcId="{2E33ACBA-F8E9-4A42-94DA-EDF3C047435C}" destId="{5169CAF8-B9EB-4B00-AC64-DE304A73A70E}" srcOrd="0" destOrd="0" presId="urn:microsoft.com/office/officeart/2011/layout/HexagonRadial"/>
    <dgm:cxn modelId="{173BA0B6-377C-4041-915B-13AF2618B2C4}" srcId="{8B5658EE-6F08-498C-A090-3D139177EAA7}" destId="{2E33ACBA-F8E9-4A42-94DA-EDF3C047435C}" srcOrd="0" destOrd="0" parTransId="{38C34373-8814-4453-968C-3FC2233C1543}" sibTransId="{413669BB-BF61-46DA-81ED-DF8887CF3B87}"/>
    <dgm:cxn modelId="{6D2246ED-8F39-4C58-ACD1-831EBC179858}" srcId="{2E33ACBA-F8E9-4A42-94DA-EDF3C047435C}" destId="{A93BAF3D-E594-408B-B802-D62EA3190B6F}" srcOrd="2" destOrd="0" parTransId="{6FB2759A-EEDC-4298-A10B-E0DE7DAF83AF}" sibTransId="{C900BF91-D86C-4513-9C20-E72DA25B9DFA}"/>
    <dgm:cxn modelId="{1E3706F4-29E0-490E-898E-8D86DC9FAC9C}" type="presOf" srcId="{A93BAF3D-E594-408B-B802-D62EA3190B6F}" destId="{C54149E9-DED2-4072-A289-3CDD9689C0AA}" srcOrd="0" destOrd="0" presId="urn:microsoft.com/office/officeart/2011/layout/HexagonRadial"/>
    <dgm:cxn modelId="{5F7BA2B8-2372-4B7C-AB1B-7DBA5FD54B39}" type="presParOf" srcId="{DC877B0C-CDEE-4BC8-A1A7-EA1485A286E0}" destId="{5169CAF8-B9EB-4B00-AC64-DE304A73A70E}" srcOrd="0" destOrd="0" presId="urn:microsoft.com/office/officeart/2011/layout/HexagonRadial"/>
    <dgm:cxn modelId="{5E10BC8E-6DCA-4AD3-9A82-3104067A8ECC}" type="presParOf" srcId="{DC877B0C-CDEE-4BC8-A1A7-EA1485A286E0}" destId="{E93A81D3-6BAD-421F-B128-1FC7B073B8EC}" srcOrd="1" destOrd="0" presId="urn:microsoft.com/office/officeart/2011/layout/HexagonRadial"/>
    <dgm:cxn modelId="{A18E8CDC-D70E-4B1C-91D5-B2BF6D4E315E}" type="presParOf" srcId="{E93A81D3-6BAD-421F-B128-1FC7B073B8EC}" destId="{EE03E45E-EA6D-4CE8-9841-46ECD0E91F27}" srcOrd="0" destOrd="0" presId="urn:microsoft.com/office/officeart/2011/layout/HexagonRadial"/>
    <dgm:cxn modelId="{F42CCE9D-9293-42A9-B936-6DCEF205B52C}" type="presParOf" srcId="{DC877B0C-CDEE-4BC8-A1A7-EA1485A286E0}" destId="{C34E9726-FE8E-4D43-80F0-5087D4632E9E}" srcOrd="2" destOrd="0" presId="urn:microsoft.com/office/officeart/2011/layout/HexagonRadial"/>
    <dgm:cxn modelId="{E2D6B8D1-668E-4702-9CD8-B10093BAC2CC}" type="presParOf" srcId="{DC877B0C-CDEE-4BC8-A1A7-EA1485A286E0}" destId="{28178AC5-20C2-405E-BC70-CB05A55E661A}" srcOrd="3" destOrd="0" presId="urn:microsoft.com/office/officeart/2011/layout/HexagonRadial"/>
    <dgm:cxn modelId="{A8B8FE97-65B8-4E77-8E1B-DD51F2DB8DCB}" type="presParOf" srcId="{28178AC5-20C2-405E-BC70-CB05A55E661A}" destId="{E166C18B-7727-4E27-BF72-5ADB7D853BC8}" srcOrd="0" destOrd="0" presId="urn:microsoft.com/office/officeart/2011/layout/HexagonRadial"/>
    <dgm:cxn modelId="{91AF85C5-F9D8-4B91-B24D-25AF69D49E9C}" type="presParOf" srcId="{DC877B0C-CDEE-4BC8-A1A7-EA1485A286E0}" destId="{1AA7CC76-4A3A-4798-962A-3DDECA80B7C9}" srcOrd="4" destOrd="0" presId="urn:microsoft.com/office/officeart/2011/layout/HexagonRadial"/>
    <dgm:cxn modelId="{BE3EB150-9182-43A1-9F1C-462CDF91FE02}" type="presParOf" srcId="{DC877B0C-CDEE-4BC8-A1A7-EA1485A286E0}" destId="{7526983A-AA95-4949-A8A8-36F715A4223D}" srcOrd="5" destOrd="0" presId="urn:microsoft.com/office/officeart/2011/layout/HexagonRadial"/>
    <dgm:cxn modelId="{A14915CF-691F-4A3F-961E-9E8CF85932B9}" type="presParOf" srcId="{7526983A-AA95-4949-A8A8-36F715A4223D}" destId="{BD135302-CC9D-4D88-8987-18CA569C9268}" srcOrd="0" destOrd="0" presId="urn:microsoft.com/office/officeart/2011/layout/HexagonRadial"/>
    <dgm:cxn modelId="{3BABAD69-4ECB-4672-9968-4A51BEF81227}" type="presParOf" srcId="{DC877B0C-CDEE-4BC8-A1A7-EA1485A286E0}" destId="{C54149E9-DED2-4072-A289-3CDD9689C0AA}" srcOrd="6" destOrd="0" presId="urn:microsoft.com/office/officeart/2011/layout/HexagonRadial"/>
    <dgm:cxn modelId="{9A1DCB5D-4166-4BC2-8B38-1D201E237728}" type="presParOf" srcId="{DC877B0C-CDEE-4BC8-A1A7-EA1485A286E0}" destId="{C692E891-3FB7-4007-8E67-74CA0E415995}" srcOrd="7" destOrd="0" presId="urn:microsoft.com/office/officeart/2011/layout/HexagonRadial"/>
    <dgm:cxn modelId="{0D9EA58C-9903-4622-B238-A4567DAF8160}" type="presParOf" srcId="{C692E891-3FB7-4007-8E67-74CA0E415995}" destId="{EC8264B4-4F04-4052-8797-02557A878EE9}" srcOrd="0" destOrd="0" presId="urn:microsoft.com/office/officeart/2011/layout/HexagonRadial"/>
    <dgm:cxn modelId="{69BE7694-0AC1-4ADA-9C8E-0B8987091839}" type="presParOf" srcId="{DC877B0C-CDEE-4BC8-A1A7-EA1485A286E0}" destId="{4C0604EF-A9BE-448D-8708-31E396F8D9BB}" srcOrd="8" destOrd="0" presId="urn:microsoft.com/office/officeart/2011/layout/HexagonRadial"/>
    <dgm:cxn modelId="{CA3A52CA-B384-4BC0-8767-EBB5CAE64D97}" type="presParOf" srcId="{DC877B0C-CDEE-4BC8-A1A7-EA1485A286E0}" destId="{9975C633-ABD7-4B4B-AA64-5B34C2EEA53C}" srcOrd="9" destOrd="0" presId="urn:microsoft.com/office/officeart/2011/layout/HexagonRadial"/>
    <dgm:cxn modelId="{3DA6F662-62CF-4C85-8089-FA1CAA11DB13}" type="presParOf" srcId="{9975C633-ABD7-4B4B-AA64-5B34C2EEA53C}" destId="{3DC8C56F-BC89-4A80-AA34-13B5850A5437}" srcOrd="0" destOrd="0" presId="urn:microsoft.com/office/officeart/2011/layout/HexagonRadial"/>
    <dgm:cxn modelId="{E3B59BAC-B44A-466E-8C5D-69775EA2A8F0}" type="presParOf" srcId="{DC877B0C-CDEE-4BC8-A1A7-EA1485A286E0}" destId="{7D370742-5468-40BD-8A80-BEDC069A6D91}" srcOrd="10" destOrd="0" presId="urn:microsoft.com/office/officeart/2011/layout/HexagonRadial"/>
    <dgm:cxn modelId="{7844D5E5-3D51-4DD5-BC7B-02D74EFB67A3}" type="presParOf" srcId="{DC877B0C-CDEE-4BC8-A1A7-EA1485A286E0}" destId="{99462D83-6E95-4743-865C-18553BE1EBCB}" srcOrd="11" destOrd="0" presId="urn:microsoft.com/office/officeart/2011/layout/HexagonRadial"/>
    <dgm:cxn modelId="{A6D8BC91-37FA-4292-A4C1-8C407AF20A66}" type="presParOf" srcId="{99462D83-6E95-4743-865C-18553BE1EBCB}" destId="{7FD3FDD7-7999-4C9C-B25B-0CCD7E533563}" srcOrd="0" destOrd="0" presId="urn:microsoft.com/office/officeart/2011/layout/HexagonRadial"/>
    <dgm:cxn modelId="{A2B8169B-0C69-4683-A056-58363B9D2AAA}" type="presParOf" srcId="{DC877B0C-CDEE-4BC8-A1A7-EA1485A286E0}" destId="{423D8C4B-59DC-41A2-8462-C748F8AD7B6B}" srcOrd="12" destOrd="0" presId="urn:microsoft.com/office/officeart/2011/layout/HexagonRadial"/>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878FBF-F3DD-4B27-B06F-55B8E67503C9}" type="doc">
      <dgm:prSet loTypeId="urn:microsoft.com/office/officeart/2011/layout/TabList" loCatId="list" qsTypeId="urn:microsoft.com/office/officeart/2005/8/quickstyle/simple1" qsCatId="simple" csTypeId="urn:microsoft.com/office/officeart/2005/8/colors/colorful1" csCatId="colorful" phldr="1"/>
      <dgm:spPr/>
      <dgm:t>
        <a:bodyPr/>
        <a:lstStyle/>
        <a:p>
          <a:endParaRPr lang="en-US"/>
        </a:p>
      </dgm:t>
    </dgm:pt>
    <dgm:pt modelId="{721658FF-E368-43D1-ADA7-550CEAED92F6}">
      <dgm:prSet phldrT="[Text]" custT="1"/>
      <dgm:spPr/>
      <dgm:t>
        <a:bodyPr/>
        <a:lstStyle/>
        <a:p>
          <a:pPr algn="ctr"/>
          <a:r>
            <a:rPr lang="en-US" sz="1000">
              <a:latin typeface="Times New Roman" panose="02020603050405020304" pitchFamily="18" charset="0"/>
              <a:cs typeface="Times New Roman" panose="02020603050405020304" pitchFamily="18" charset="0"/>
            </a:rPr>
            <a:t>Harmonizing Execution Efforts</a:t>
          </a:r>
        </a:p>
      </dgm:t>
    </dgm:pt>
    <dgm:pt modelId="{A7B3E771-B63D-4261-95E8-D12F882A616F}" type="parTrans" cxnId="{E31A4F99-6038-4D96-8930-95C654792656}">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A876720E-239D-4E0A-8A8B-8D2701A19F39}" type="sibTrans" cxnId="{E31A4F99-6038-4D96-8930-95C654792656}">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87292C9D-7FBB-44A7-BBFE-E5E82200D295}">
      <dgm:prSet phldrT="[Text]" custT="1"/>
      <dgm:spPr/>
      <dgm:t>
        <a:bodyPr/>
        <a:lstStyle/>
        <a:p>
          <a:pPr algn="ctr"/>
          <a:r>
            <a:rPr lang="en-US" sz="1000">
              <a:latin typeface="Times New Roman" panose="02020603050405020304" pitchFamily="18" charset="0"/>
              <a:cs typeface="Times New Roman" panose="02020603050405020304" pitchFamily="18" charset="0"/>
            </a:rPr>
            <a:t>Enhance Recognition of Digital Solutions</a:t>
          </a:r>
        </a:p>
      </dgm:t>
    </dgm:pt>
    <dgm:pt modelId="{59AD1396-FEEF-4880-A79D-0126D42B146A}" type="parTrans" cxnId="{495F83F6-356B-498C-AD54-8F377F8AA260}">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83F5AD62-236E-4279-B658-3A2788B666C4}" type="sibTrans" cxnId="{495F83F6-356B-498C-AD54-8F377F8AA260}">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CF4BB3AA-2ED7-49AE-B0E7-56B1E9605842}">
      <dgm:prSet phldrT="[Text]" custT="1"/>
      <dgm:spPr/>
      <dgm:t>
        <a:bodyPr/>
        <a:lstStyle/>
        <a:p>
          <a:pPr algn="ctr"/>
          <a:r>
            <a:rPr lang="en-US" sz="1000">
              <a:latin typeface="Times New Roman" panose="02020603050405020304" pitchFamily="18" charset="0"/>
              <a:cs typeface="Times New Roman" panose="02020603050405020304" pitchFamily="18" charset="0"/>
            </a:rPr>
            <a:t>Embed Resilience and Security in Electricity Policies</a:t>
          </a:r>
        </a:p>
      </dgm:t>
    </dgm:pt>
    <dgm:pt modelId="{D8ACA022-6FFB-4A87-8AF2-37A79ED150D8}" type="parTrans" cxnId="{4EC394CB-AB0B-452E-A7CD-9AB69D222268}">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D2D81936-1D66-4EDB-AF42-FB3A98CBA128}" type="sibTrans" cxnId="{4EC394CB-AB0B-452E-A7CD-9AB69D222268}">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AD0B2600-A32E-4C1E-B58A-C1C056783DCD}">
      <dgm:prSet phldrT="[Text]" custT="1"/>
      <dgm:spPr/>
      <dgm:t>
        <a:bodyPr/>
        <a:lstStyle/>
        <a:p>
          <a:pPr algn="ctr"/>
          <a:r>
            <a:rPr lang="en-US" sz="1000">
              <a:latin typeface="Times New Roman" panose="02020603050405020304" pitchFamily="18" charset="0"/>
              <a:cs typeface="Times New Roman" panose="02020603050405020304" pitchFamily="18" charset="0"/>
            </a:rPr>
            <a:t>Monitor, Share and support Digitalization Progress</a:t>
          </a:r>
        </a:p>
      </dgm:t>
    </dgm:pt>
    <dgm:pt modelId="{8B75D909-F77E-448B-9C12-571B86E09242}" type="parTrans" cxnId="{7E39205A-E140-49A5-BF93-371B83A50B0B}">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A89FF5AB-986A-41D8-B3B5-99707F978359}" type="sibTrans" cxnId="{7E39205A-E140-49A5-BF93-371B83A50B0B}">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6DA77713-228B-4961-BC9D-B712207E84E4}">
      <dgm:prSet custT="1"/>
      <dgm:spPr/>
      <dgm:t>
        <a:bodyPr/>
        <a:lstStyle/>
        <a:p>
          <a:pPr algn="ctr"/>
          <a:r>
            <a:rPr lang="en-US" sz="1000">
              <a:latin typeface="Times New Roman" panose="02020603050405020304" pitchFamily="18" charset="0"/>
              <a:cs typeface="Times New Roman" panose="02020603050405020304" pitchFamily="18" charset="0"/>
            </a:rPr>
            <a:t>Forging a Unified Vision: Advancing Planning into the Modern Era</a:t>
          </a:r>
        </a:p>
      </dgm:t>
    </dgm:pt>
    <dgm:pt modelId="{D1275468-B1E3-434E-8019-0D73257E6038}" type="parTrans" cxnId="{DE66B9EC-AA5D-4A15-B9B6-352BF740D1B0}">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586EB76A-9D37-4236-922B-B96210826253}" type="sibTrans" cxnId="{DE66B9EC-AA5D-4A15-B9B6-352BF740D1B0}">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FFF4EFE4-476F-45EE-B821-A663C4BC5DF9}">
      <dgm:prSet custT="1"/>
      <dgm:spPr/>
      <dgm:t>
        <a:bodyPr/>
        <a:lstStyle/>
        <a:p>
          <a:pPr algn="ctr"/>
          <a:r>
            <a:rPr lang="en-GB" sz="1000">
              <a:latin typeface="Times New Roman" panose="02020603050405020304" pitchFamily="18" charset="0"/>
              <a:cs typeface="Times New Roman" panose="02020603050405020304" pitchFamily="18" charset="0"/>
            </a:rPr>
            <a:t> Digital grid technologies for national priorities like grid upgrades and decarbonization.</a:t>
          </a:r>
        </a:p>
        <a:p>
          <a:pPr algn="ctr"/>
          <a:r>
            <a:rPr lang="en-GB" sz="1000">
              <a:latin typeface="Times New Roman" panose="02020603050405020304" pitchFamily="18" charset="0"/>
              <a:cs typeface="Times New Roman" panose="02020603050405020304" pitchFamily="18" charset="0"/>
            </a:rPr>
            <a:t>Upgrade policies to support investments in digital capabilities and system efficiency.</a:t>
          </a:r>
        </a:p>
        <a:p>
          <a:pPr algn="ctr"/>
          <a:r>
            <a:rPr lang="en-GB" sz="1000">
              <a:latin typeface="Times New Roman" panose="02020603050405020304" pitchFamily="18" charset="0"/>
              <a:cs typeface="Times New Roman" panose="02020603050405020304" pitchFamily="18" charset="0"/>
            </a:rPr>
            <a:t>Promote integrated planning considering to align investments across stakeholders.</a:t>
          </a:r>
          <a:endParaRPr lang="en-US" sz="1000">
            <a:latin typeface="Times New Roman" panose="02020603050405020304" pitchFamily="18" charset="0"/>
            <a:cs typeface="Times New Roman" panose="02020603050405020304" pitchFamily="18" charset="0"/>
          </a:endParaRPr>
        </a:p>
      </dgm:t>
    </dgm:pt>
    <dgm:pt modelId="{E7B92EF8-752D-49E0-BF65-8CA94E383B39}" type="parTrans" cxnId="{835B8636-6491-4D08-9936-AF3CAEABF141}">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F3A10EAA-39B2-4D52-AB41-5988B84D682D}" type="sibTrans" cxnId="{835B8636-6491-4D08-9936-AF3CAEABF141}">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6AAD54E4-B615-4496-ACAE-8A3D7AB8E0B6}">
      <dgm:prSet custT="1"/>
      <dgm:spPr/>
      <dgm:t>
        <a:bodyPr/>
        <a:lstStyle/>
        <a:p>
          <a:pPr algn="ctr"/>
          <a:r>
            <a:rPr lang="en-GB" sz="1000">
              <a:latin typeface="Times New Roman" panose="02020603050405020304" pitchFamily="18" charset="0"/>
              <a:cs typeface="Times New Roman" panose="02020603050405020304" pitchFamily="18" charset="0"/>
            </a:rPr>
            <a:t>Foster intergovernmental coordination for energy, digital, and economic sectors.</a:t>
          </a:r>
        </a:p>
        <a:p>
          <a:pPr algn="ctr"/>
          <a:r>
            <a:rPr lang="en-GB" sz="1000">
              <a:latin typeface="Times New Roman" panose="02020603050405020304" pitchFamily="18" charset="0"/>
              <a:cs typeface="Times New Roman" panose="02020603050405020304" pitchFamily="18" charset="0"/>
            </a:rPr>
            <a:t>Support digital transformation in energy policies through large-scale projects</a:t>
          </a:r>
        </a:p>
        <a:p>
          <a:pPr algn="ctr"/>
          <a:r>
            <a:rPr lang="en-GB" sz="1000">
              <a:latin typeface="Times New Roman" panose="02020603050405020304" pitchFamily="18" charset="0"/>
              <a:cs typeface="Times New Roman" panose="02020603050405020304" pitchFamily="18" charset="0"/>
            </a:rPr>
            <a:t>Govern power system planning to ensure socio-economic benefits</a:t>
          </a:r>
        </a:p>
        <a:p>
          <a:pPr algn="ctr"/>
          <a:r>
            <a:rPr lang="en-GB" sz="1000">
              <a:latin typeface="Times New Roman" panose="02020603050405020304" pitchFamily="18" charset="0"/>
              <a:cs typeface="Times New Roman" panose="02020603050405020304" pitchFamily="18" charset="0"/>
            </a:rPr>
            <a:t> Skill development for smart grid employment.</a:t>
          </a:r>
          <a:endParaRPr lang="en-US" sz="1000">
            <a:latin typeface="Times New Roman" panose="02020603050405020304" pitchFamily="18" charset="0"/>
            <a:cs typeface="Times New Roman" panose="02020603050405020304" pitchFamily="18" charset="0"/>
          </a:endParaRPr>
        </a:p>
      </dgm:t>
    </dgm:pt>
    <dgm:pt modelId="{208A7F4E-307A-488A-BE15-EB833E87DF8A}" type="parTrans" cxnId="{F4367712-5040-463C-A2BD-690407EEDFD5}">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6E973C21-AB5B-4A4F-9CD7-7C3145AEB3E0}" type="sibTrans" cxnId="{F4367712-5040-463C-A2BD-690407EEDFD5}">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769AF000-3D98-455B-A34A-2548FB7BE37A}">
      <dgm:prSet custT="1"/>
      <dgm:spPr/>
      <dgm:t>
        <a:bodyPr/>
        <a:lstStyle/>
        <a:p>
          <a:pPr algn="ctr"/>
          <a:r>
            <a:rPr lang="en-GB" sz="1000">
              <a:latin typeface="Times New Roman" panose="02020603050405020304" pitchFamily="18" charset="0"/>
              <a:cs typeface="Times New Roman" panose="02020603050405020304" pitchFamily="18" charset="0"/>
            </a:rPr>
            <a:t>Introduce policies incentivizing and de-risking digitalization investments.</a:t>
          </a:r>
        </a:p>
        <a:p>
          <a:pPr algn="ctr"/>
          <a:r>
            <a:rPr lang="en-GB" sz="1000">
              <a:latin typeface="Times New Roman" panose="02020603050405020304" pitchFamily="18" charset="0"/>
              <a:cs typeface="Times New Roman" panose="02020603050405020304" pitchFamily="18" charset="0"/>
            </a:rPr>
            <a:t>Adopt performance-based regulations that aligns with clean energy goals.</a:t>
          </a:r>
        </a:p>
        <a:p>
          <a:pPr algn="ctr"/>
          <a:r>
            <a:rPr lang="en-GB" sz="1000">
              <a:latin typeface="Times New Roman" panose="02020603050405020304" pitchFamily="18" charset="0"/>
              <a:cs typeface="Times New Roman" panose="02020603050405020304" pitchFamily="18" charset="0"/>
            </a:rPr>
            <a:t>Embed electricity value into policies, guiding efficient digitalization integration in grids.</a:t>
          </a:r>
          <a:endParaRPr lang="en-US" sz="1000">
            <a:latin typeface="Times New Roman" panose="02020603050405020304" pitchFamily="18" charset="0"/>
            <a:cs typeface="Times New Roman" panose="02020603050405020304" pitchFamily="18" charset="0"/>
          </a:endParaRPr>
        </a:p>
      </dgm:t>
    </dgm:pt>
    <dgm:pt modelId="{9DBFD3E7-8EAD-43D6-A803-34F73639548F}" type="parTrans" cxnId="{D4BD64F9-CDE6-47DF-985D-82DCE04AC74E}">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AD2490FD-46B6-497A-9922-C399FE5E8E7E}" type="sibTrans" cxnId="{D4BD64F9-CDE6-47DF-985D-82DCE04AC74E}">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6A0AA617-75F7-4228-A0C2-8B16B9C7911C}">
      <dgm:prSet custT="1"/>
      <dgm:spPr/>
      <dgm:t>
        <a:bodyPr/>
        <a:lstStyle/>
        <a:p>
          <a:pPr algn="ctr"/>
          <a:r>
            <a:rPr lang="en-GB" sz="1000">
              <a:latin typeface="Times New Roman" panose="02020603050405020304" pitchFamily="18" charset="0"/>
              <a:cs typeface="Times New Roman" panose="02020603050405020304" pitchFamily="18" charset="0"/>
            </a:rPr>
            <a:t>Strengthen power system resilience amidst climate change.</a:t>
          </a:r>
        </a:p>
        <a:p>
          <a:pPr algn="ctr"/>
          <a:r>
            <a:rPr lang="en-GB" sz="1000">
              <a:latin typeface="Times New Roman" panose="02020603050405020304" pitchFamily="18" charset="0"/>
              <a:cs typeface="Times New Roman" panose="02020603050405020304" pitchFamily="18" charset="0"/>
            </a:rPr>
            <a:t>Integrate resilience and through long-term energy planning.</a:t>
          </a:r>
        </a:p>
        <a:p>
          <a:pPr algn="ctr"/>
          <a:r>
            <a:rPr lang="en-GB" sz="1000">
              <a:latin typeface="Times New Roman" panose="02020603050405020304" pitchFamily="18" charset="0"/>
              <a:cs typeface="Times New Roman" panose="02020603050405020304" pitchFamily="18" charset="0"/>
            </a:rPr>
            <a:t> Cyber resilience in regulations to boost digitalization investment and manage  risks.</a:t>
          </a:r>
          <a:endParaRPr lang="en-US" sz="1000">
            <a:latin typeface="Times New Roman" panose="02020603050405020304" pitchFamily="18" charset="0"/>
            <a:cs typeface="Times New Roman" panose="02020603050405020304" pitchFamily="18" charset="0"/>
          </a:endParaRPr>
        </a:p>
      </dgm:t>
    </dgm:pt>
    <dgm:pt modelId="{36C5B456-3EE1-4A9A-BD15-10B566D07248}" type="parTrans" cxnId="{CE335A8C-E504-4CD5-8641-8AF9820C9892}">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0B41A496-C9E4-4377-88B6-0C7A142B753F}" type="sibTrans" cxnId="{CE335A8C-E504-4CD5-8641-8AF9820C9892}">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0E595D56-23B0-4378-A5DE-E9DFE7356912}">
      <dgm:prSet custT="1"/>
      <dgm:spPr/>
      <dgm:t>
        <a:bodyPr/>
        <a:lstStyle/>
        <a:p>
          <a:pPr algn="ctr"/>
          <a:r>
            <a:rPr lang="en-GB" sz="1000">
              <a:latin typeface="Times New Roman" panose="02020603050405020304" pitchFamily="18" charset="0"/>
              <a:cs typeface="Times New Roman" panose="02020603050405020304" pitchFamily="18" charset="0"/>
            </a:rPr>
            <a:t>Foster a data-driven culture in the public and private sector to keep track of progress.</a:t>
          </a:r>
        </a:p>
        <a:p>
          <a:pPr algn="ctr"/>
          <a:r>
            <a:rPr lang="en-GB" sz="1000">
              <a:latin typeface="Times New Roman" panose="02020603050405020304" pitchFamily="18" charset="0"/>
              <a:cs typeface="Times New Roman" panose="02020603050405020304" pitchFamily="18" charset="0"/>
            </a:rPr>
            <a:t>Enhance policy implementation through iterative monitoring of transition strategies.</a:t>
          </a:r>
        </a:p>
        <a:p>
          <a:pPr algn="ctr"/>
          <a:r>
            <a:rPr lang="en-GB" sz="1000">
              <a:latin typeface="Times New Roman" panose="02020603050405020304" pitchFamily="18" charset="0"/>
              <a:cs typeface="Times New Roman" panose="02020603050405020304" pitchFamily="18" charset="0"/>
            </a:rPr>
            <a:t>Promote international collaboration and knowledge sharing to accelerate progress and de-risk future digitalization investments.</a:t>
          </a:r>
          <a:endParaRPr lang="en-US" sz="1000">
            <a:latin typeface="Times New Roman" panose="02020603050405020304" pitchFamily="18" charset="0"/>
            <a:cs typeface="Times New Roman" panose="02020603050405020304" pitchFamily="18" charset="0"/>
          </a:endParaRPr>
        </a:p>
      </dgm:t>
    </dgm:pt>
    <dgm:pt modelId="{487828C4-05E5-4025-BA4B-F3D8F25F3261}" type="parTrans" cxnId="{C7550EAB-192C-4D7D-A66E-2CE0884F8C55}">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3EC762CC-9483-47EF-B8EB-5ABDE6B1BACC}" type="sibTrans" cxnId="{C7550EAB-192C-4D7D-A66E-2CE0884F8C55}">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6DE07344-E09D-41C1-A0F7-8862F10BB59E}" type="pres">
      <dgm:prSet presAssocID="{E2878FBF-F3DD-4B27-B06F-55B8E67503C9}" presName="Name0" presStyleCnt="0">
        <dgm:presLayoutVars>
          <dgm:chMax/>
          <dgm:chPref val="3"/>
          <dgm:dir/>
          <dgm:animOne val="branch"/>
          <dgm:animLvl val="lvl"/>
        </dgm:presLayoutVars>
      </dgm:prSet>
      <dgm:spPr/>
    </dgm:pt>
    <dgm:pt modelId="{A2ECFC52-6090-4528-BDD2-38013BA310EA}" type="pres">
      <dgm:prSet presAssocID="{721658FF-E368-43D1-ADA7-550CEAED92F6}" presName="composite" presStyleCnt="0"/>
      <dgm:spPr/>
    </dgm:pt>
    <dgm:pt modelId="{34FDBE18-C88B-4DF7-A83A-C47277635425}" type="pres">
      <dgm:prSet presAssocID="{721658FF-E368-43D1-ADA7-550CEAED92F6}" presName="FirstChild" presStyleLbl="revTx" presStyleIdx="0" presStyleCnt="5">
        <dgm:presLayoutVars>
          <dgm:chMax val="0"/>
          <dgm:chPref val="0"/>
          <dgm:bulletEnabled val="1"/>
        </dgm:presLayoutVars>
      </dgm:prSet>
      <dgm:spPr/>
    </dgm:pt>
    <dgm:pt modelId="{C5DFABD4-7E95-488A-883F-EACFC440529D}" type="pres">
      <dgm:prSet presAssocID="{721658FF-E368-43D1-ADA7-550CEAED92F6}" presName="Parent" presStyleLbl="alignNode1" presStyleIdx="0" presStyleCnt="5">
        <dgm:presLayoutVars>
          <dgm:chMax val="3"/>
          <dgm:chPref val="3"/>
          <dgm:bulletEnabled val="1"/>
        </dgm:presLayoutVars>
      </dgm:prSet>
      <dgm:spPr/>
    </dgm:pt>
    <dgm:pt modelId="{5E13A337-DB16-4B39-9439-F218042A30E4}" type="pres">
      <dgm:prSet presAssocID="{721658FF-E368-43D1-ADA7-550CEAED92F6}" presName="Accent" presStyleLbl="parChTrans1D1" presStyleIdx="0" presStyleCnt="5"/>
      <dgm:spPr/>
    </dgm:pt>
    <dgm:pt modelId="{43DCABDE-8755-4D7F-B458-B9F5A853E30F}" type="pres">
      <dgm:prSet presAssocID="{A876720E-239D-4E0A-8A8B-8D2701A19F39}" presName="sibTrans" presStyleCnt="0"/>
      <dgm:spPr/>
    </dgm:pt>
    <dgm:pt modelId="{91F39D2C-59C4-411F-A7C4-3BD25159754F}" type="pres">
      <dgm:prSet presAssocID="{6DA77713-228B-4961-BC9D-B712207E84E4}" presName="composite" presStyleCnt="0"/>
      <dgm:spPr/>
    </dgm:pt>
    <dgm:pt modelId="{2636D47A-0623-45D7-BA16-5BA95EDF05C1}" type="pres">
      <dgm:prSet presAssocID="{6DA77713-228B-4961-BC9D-B712207E84E4}" presName="FirstChild" presStyleLbl="revTx" presStyleIdx="1" presStyleCnt="5">
        <dgm:presLayoutVars>
          <dgm:chMax val="0"/>
          <dgm:chPref val="0"/>
          <dgm:bulletEnabled val="1"/>
        </dgm:presLayoutVars>
      </dgm:prSet>
      <dgm:spPr/>
    </dgm:pt>
    <dgm:pt modelId="{94208F6F-EE27-4F8F-A834-C902D392CFDD}" type="pres">
      <dgm:prSet presAssocID="{6DA77713-228B-4961-BC9D-B712207E84E4}" presName="Parent" presStyleLbl="alignNode1" presStyleIdx="1" presStyleCnt="5">
        <dgm:presLayoutVars>
          <dgm:chMax val="3"/>
          <dgm:chPref val="3"/>
          <dgm:bulletEnabled val="1"/>
        </dgm:presLayoutVars>
      </dgm:prSet>
      <dgm:spPr/>
    </dgm:pt>
    <dgm:pt modelId="{3310E8DA-203D-4D78-8D21-E37F215087E8}" type="pres">
      <dgm:prSet presAssocID="{6DA77713-228B-4961-BC9D-B712207E84E4}" presName="Accent" presStyleLbl="parChTrans1D1" presStyleIdx="1" presStyleCnt="5"/>
      <dgm:spPr/>
    </dgm:pt>
    <dgm:pt modelId="{0C2D4F15-685B-4CF0-95AA-88D6D2363FB6}" type="pres">
      <dgm:prSet presAssocID="{586EB76A-9D37-4236-922B-B96210826253}" presName="sibTrans" presStyleCnt="0"/>
      <dgm:spPr/>
    </dgm:pt>
    <dgm:pt modelId="{90FAF4BB-C0D9-41E4-8A71-F8EEED497527}" type="pres">
      <dgm:prSet presAssocID="{87292C9D-7FBB-44A7-BBFE-E5E82200D295}" presName="composite" presStyleCnt="0"/>
      <dgm:spPr/>
    </dgm:pt>
    <dgm:pt modelId="{C2208B52-AF57-476C-908E-DE6431360530}" type="pres">
      <dgm:prSet presAssocID="{87292C9D-7FBB-44A7-BBFE-E5E82200D295}" presName="FirstChild" presStyleLbl="revTx" presStyleIdx="2" presStyleCnt="5">
        <dgm:presLayoutVars>
          <dgm:chMax val="0"/>
          <dgm:chPref val="0"/>
          <dgm:bulletEnabled val="1"/>
        </dgm:presLayoutVars>
      </dgm:prSet>
      <dgm:spPr/>
    </dgm:pt>
    <dgm:pt modelId="{CB036C44-956A-4E05-813B-E29A581DCEF6}" type="pres">
      <dgm:prSet presAssocID="{87292C9D-7FBB-44A7-BBFE-E5E82200D295}" presName="Parent" presStyleLbl="alignNode1" presStyleIdx="2" presStyleCnt="5">
        <dgm:presLayoutVars>
          <dgm:chMax val="3"/>
          <dgm:chPref val="3"/>
          <dgm:bulletEnabled val="1"/>
        </dgm:presLayoutVars>
      </dgm:prSet>
      <dgm:spPr/>
    </dgm:pt>
    <dgm:pt modelId="{66623E9E-FD3D-4181-AB7F-87327DE58B67}" type="pres">
      <dgm:prSet presAssocID="{87292C9D-7FBB-44A7-BBFE-E5E82200D295}" presName="Accent" presStyleLbl="parChTrans1D1" presStyleIdx="2" presStyleCnt="5"/>
      <dgm:spPr/>
    </dgm:pt>
    <dgm:pt modelId="{E119B2FA-D973-44C9-A3A3-836AEEA3D617}" type="pres">
      <dgm:prSet presAssocID="{83F5AD62-236E-4279-B658-3A2788B666C4}" presName="sibTrans" presStyleCnt="0"/>
      <dgm:spPr/>
    </dgm:pt>
    <dgm:pt modelId="{477D8332-EF4A-4830-8037-65945EB9CCD1}" type="pres">
      <dgm:prSet presAssocID="{CF4BB3AA-2ED7-49AE-B0E7-56B1E9605842}" presName="composite" presStyleCnt="0"/>
      <dgm:spPr/>
    </dgm:pt>
    <dgm:pt modelId="{51AA1DD4-267F-4134-B5CD-CD784A626EBC}" type="pres">
      <dgm:prSet presAssocID="{CF4BB3AA-2ED7-49AE-B0E7-56B1E9605842}" presName="FirstChild" presStyleLbl="revTx" presStyleIdx="3" presStyleCnt="5">
        <dgm:presLayoutVars>
          <dgm:chMax val="0"/>
          <dgm:chPref val="0"/>
          <dgm:bulletEnabled val="1"/>
        </dgm:presLayoutVars>
      </dgm:prSet>
      <dgm:spPr/>
    </dgm:pt>
    <dgm:pt modelId="{0D9F5B8A-46DC-4D8B-B3F6-3E44C337E3AF}" type="pres">
      <dgm:prSet presAssocID="{CF4BB3AA-2ED7-49AE-B0E7-56B1E9605842}" presName="Parent" presStyleLbl="alignNode1" presStyleIdx="3" presStyleCnt="5">
        <dgm:presLayoutVars>
          <dgm:chMax val="3"/>
          <dgm:chPref val="3"/>
          <dgm:bulletEnabled val="1"/>
        </dgm:presLayoutVars>
      </dgm:prSet>
      <dgm:spPr/>
    </dgm:pt>
    <dgm:pt modelId="{C0EF774A-B4C7-4751-94E7-B5BC524BB42C}" type="pres">
      <dgm:prSet presAssocID="{CF4BB3AA-2ED7-49AE-B0E7-56B1E9605842}" presName="Accent" presStyleLbl="parChTrans1D1" presStyleIdx="3" presStyleCnt="5"/>
      <dgm:spPr/>
    </dgm:pt>
    <dgm:pt modelId="{00CEC7C3-9B6D-4829-97E9-C50855167559}" type="pres">
      <dgm:prSet presAssocID="{D2D81936-1D66-4EDB-AF42-FB3A98CBA128}" presName="sibTrans" presStyleCnt="0"/>
      <dgm:spPr/>
    </dgm:pt>
    <dgm:pt modelId="{75280967-B319-4A0C-8539-01F5D95A8CF0}" type="pres">
      <dgm:prSet presAssocID="{AD0B2600-A32E-4C1E-B58A-C1C056783DCD}" presName="composite" presStyleCnt="0"/>
      <dgm:spPr/>
    </dgm:pt>
    <dgm:pt modelId="{3E877086-DB20-4472-8979-C26E8F321F5D}" type="pres">
      <dgm:prSet presAssocID="{AD0B2600-A32E-4C1E-B58A-C1C056783DCD}" presName="FirstChild" presStyleLbl="revTx" presStyleIdx="4" presStyleCnt="5">
        <dgm:presLayoutVars>
          <dgm:chMax val="0"/>
          <dgm:chPref val="0"/>
          <dgm:bulletEnabled val="1"/>
        </dgm:presLayoutVars>
      </dgm:prSet>
      <dgm:spPr/>
    </dgm:pt>
    <dgm:pt modelId="{17C45847-CA18-4258-B833-C062085B154A}" type="pres">
      <dgm:prSet presAssocID="{AD0B2600-A32E-4C1E-B58A-C1C056783DCD}" presName="Parent" presStyleLbl="alignNode1" presStyleIdx="4" presStyleCnt="5">
        <dgm:presLayoutVars>
          <dgm:chMax val="3"/>
          <dgm:chPref val="3"/>
          <dgm:bulletEnabled val="1"/>
        </dgm:presLayoutVars>
      </dgm:prSet>
      <dgm:spPr/>
    </dgm:pt>
    <dgm:pt modelId="{05E7A5DD-D489-4207-8919-74F224B53C57}" type="pres">
      <dgm:prSet presAssocID="{AD0B2600-A32E-4C1E-B58A-C1C056783DCD}" presName="Accent" presStyleLbl="parChTrans1D1" presStyleIdx="4" presStyleCnt="5"/>
      <dgm:spPr/>
    </dgm:pt>
  </dgm:ptLst>
  <dgm:cxnLst>
    <dgm:cxn modelId="{F4367712-5040-463C-A2BD-690407EEDFD5}" srcId="{721658FF-E368-43D1-ADA7-550CEAED92F6}" destId="{6AAD54E4-B615-4496-ACAE-8A3D7AB8E0B6}" srcOrd="0" destOrd="0" parTransId="{208A7F4E-307A-488A-BE15-EB833E87DF8A}" sibTransId="{6E973C21-AB5B-4A4F-9CD7-7C3145AEB3E0}"/>
    <dgm:cxn modelId="{6D3A3728-2631-4A13-8C35-068106D5A411}" type="presOf" srcId="{769AF000-3D98-455B-A34A-2548FB7BE37A}" destId="{C2208B52-AF57-476C-908E-DE6431360530}" srcOrd="0" destOrd="0" presId="urn:microsoft.com/office/officeart/2011/layout/TabList"/>
    <dgm:cxn modelId="{835B8636-6491-4D08-9936-AF3CAEABF141}" srcId="{6DA77713-228B-4961-BC9D-B712207E84E4}" destId="{FFF4EFE4-476F-45EE-B821-A663C4BC5DF9}" srcOrd="0" destOrd="0" parTransId="{E7B92EF8-752D-49E0-BF65-8CA94E383B39}" sibTransId="{F3A10EAA-39B2-4D52-AB41-5988B84D682D}"/>
    <dgm:cxn modelId="{DF5B5A3A-F3FA-4327-8CEB-66769D76CEAE}" type="presOf" srcId="{6A0AA617-75F7-4228-A0C2-8B16B9C7911C}" destId="{51AA1DD4-267F-4134-B5CD-CD784A626EBC}" srcOrd="0" destOrd="0" presId="urn:microsoft.com/office/officeart/2011/layout/TabList"/>
    <dgm:cxn modelId="{780C763D-60BE-4A0D-8E0B-2AE1B258D869}" type="presOf" srcId="{AD0B2600-A32E-4C1E-B58A-C1C056783DCD}" destId="{17C45847-CA18-4258-B833-C062085B154A}" srcOrd="0" destOrd="0" presId="urn:microsoft.com/office/officeart/2011/layout/TabList"/>
    <dgm:cxn modelId="{4B5D7566-754D-49C5-B242-A6DDA97FB1CB}" type="presOf" srcId="{CF4BB3AA-2ED7-49AE-B0E7-56B1E9605842}" destId="{0D9F5B8A-46DC-4D8B-B3F6-3E44C337E3AF}" srcOrd="0" destOrd="0" presId="urn:microsoft.com/office/officeart/2011/layout/TabList"/>
    <dgm:cxn modelId="{D605564E-1489-4663-8B61-A35C4B76554F}" type="presOf" srcId="{FFF4EFE4-476F-45EE-B821-A663C4BC5DF9}" destId="{2636D47A-0623-45D7-BA16-5BA95EDF05C1}" srcOrd="0" destOrd="0" presId="urn:microsoft.com/office/officeart/2011/layout/TabList"/>
    <dgm:cxn modelId="{EC5FF352-E1DD-4587-A84B-1705E7186CC9}" type="presOf" srcId="{6AAD54E4-B615-4496-ACAE-8A3D7AB8E0B6}" destId="{34FDBE18-C88B-4DF7-A83A-C47277635425}" srcOrd="0" destOrd="0" presId="urn:microsoft.com/office/officeart/2011/layout/TabList"/>
    <dgm:cxn modelId="{7E39205A-E140-49A5-BF93-371B83A50B0B}" srcId="{E2878FBF-F3DD-4B27-B06F-55B8E67503C9}" destId="{AD0B2600-A32E-4C1E-B58A-C1C056783DCD}" srcOrd="4" destOrd="0" parTransId="{8B75D909-F77E-448B-9C12-571B86E09242}" sibTransId="{A89FF5AB-986A-41D8-B3B5-99707F978359}"/>
    <dgm:cxn modelId="{A3CAE785-48F2-441A-9F7D-F9FE237AD7F6}" type="presOf" srcId="{87292C9D-7FBB-44A7-BBFE-E5E82200D295}" destId="{CB036C44-956A-4E05-813B-E29A581DCEF6}" srcOrd="0" destOrd="0" presId="urn:microsoft.com/office/officeart/2011/layout/TabList"/>
    <dgm:cxn modelId="{2957C389-A9F1-4A44-B93C-F7D164EC9192}" type="presOf" srcId="{721658FF-E368-43D1-ADA7-550CEAED92F6}" destId="{C5DFABD4-7E95-488A-883F-EACFC440529D}" srcOrd="0" destOrd="0" presId="urn:microsoft.com/office/officeart/2011/layout/TabList"/>
    <dgm:cxn modelId="{CE335A8C-E504-4CD5-8641-8AF9820C9892}" srcId="{CF4BB3AA-2ED7-49AE-B0E7-56B1E9605842}" destId="{6A0AA617-75F7-4228-A0C2-8B16B9C7911C}" srcOrd="0" destOrd="0" parTransId="{36C5B456-3EE1-4A9A-BD15-10B566D07248}" sibTransId="{0B41A496-C9E4-4377-88B6-0C7A142B753F}"/>
    <dgm:cxn modelId="{E31A4F99-6038-4D96-8930-95C654792656}" srcId="{E2878FBF-F3DD-4B27-B06F-55B8E67503C9}" destId="{721658FF-E368-43D1-ADA7-550CEAED92F6}" srcOrd="0" destOrd="0" parTransId="{A7B3E771-B63D-4261-95E8-D12F882A616F}" sibTransId="{A876720E-239D-4E0A-8A8B-8D2701A19F39}"/>
    <dgm:cxn modelId="{C7550EAB-192C-4D7D-A66E-2CE0884F8C55}" srcId="{AD0B2600-A32E-4C1E-B58A-C1C056783DCD}" destId="{0E595D56-23B0-4378-A5DE-E9DFE7356912}" srcOrd="0" destOrd="0" parTransId="{487828C4-05E5-4025-BA4B-F3D8F25F3261}" sibTransId="{3EC762CC-9483-47EF-B8EB-5ABDE6B1BACC}"/>
    <dgm:cxn modelId="{E47243BD-3027-4ABE-AFB8-7495C8209BF1}" type="presOf" srcId="{6DA77713-228B-4961-BC9D-B712207E84E4}" destId="{94208F6F-EE27-4F8F-A834-C902D392CFDD}" srcOrd="0" destOrd="0" presId="urn:microsoft.com/office/officeart/2011/layout/TabList"/>
    <dgm:cxn modelId="{1A06DACA-BEA4-40AC-AF13-34555AC8EF6D}" type="presOf" srcId="{0E595D56-23B0-4378-A5DE-E9DFE7356912}" destId="{3E877086-DB20-4472-8979-C26E8F321F5D}" srcOrd="0" destOrd="0" presId="urn:microsoft.com/office/officeart/2011/layout/TabList"/>
    <dgm:cxn modelId="{4EC394CB-AB0B-452E-A7CD-9AB69D222268}" srcId="{E2878FBF-F3DD-4B27-B06F-55B8E67503C9}" destId="{CF4BB3AA-2ED7-49AE-B0E7-56B1E9605842}" srcOrd="3" destOrd="0" parTransId="{D8ACA022-6FFB-4A87-8AF2-37A79ED150D8}" sibTransId="{D2D81936-1D66-4EDB-AF42-FB3A98CBA128}"/>
    <dgm:cxn modelId="{DE66B9EC-AA5D-4A15-B9B6-352BF740D1B0}" srcId="{E2878FBF-F3DD-4B27-B06F-55B8E67503C9}" destId="{6DA77713-228B-4961-BC9D-B712207E84E4}" srcOrd="1" destOrd="0" parTransId="{D1275468-B1E3-434E-8019-0D73257E6038}" sibTransId="{586EB76A-9D37-4236-922B-B96210826253}"/>
    <dgm:cxn modelId="{3E1418F0-53D7-40DA-A3DA-12F391F69CB4}" type="presOf" srcId="{E2878FBF-F3DD-4B27-B06F-55B8E67503C9}" destId="{6DE07344-E09D-41C1-A0F7-8862F10BB59E}" srcOrd="0" destOrd="0" presId="urn:microsoft.com/office/officeart/2011/layout/TabList"/>
    <dgm:cxn modelId="{495F83F6-356B-498C-AD54-8F377F8AA260}" srcId="{E2878FBF-F3DD-4B27-B06F-55B8E67503C9}" destId="{87292C9D-7FBB-44A7-BBFE-E5E82200D295}" srcOrd="2" destOrd="0" parTransId="{59AD1396-FEEF-4880-A79D-0126D42B146A}" sibTransId="{83F5AD62-236E-4279-B658-3A2788B666C4}"/>
    <dgm:cxn modelId="{D4BD64F9-CDE6-47DF-985D-82DCE04AC74E}" srcId="{87292C9D-7FBB-44A7-BBFE-E5E82200D295}" destId="{769AF000-3D98-455B-A34A-2548FB7BE37A}" srcOrd="0" destOrd="0" parTransId="{9DBFD3E7-8EAD-43D6-A803-34F73639548F}" sibTransId="{AD2490FD-46B6-497A-9922-C399FE5E8E7E}"/>
    <dgm:cxn modelId="{23A98A9F-363C-48AE-A8AF-C0405E428AD2}" type="presParOf" srcId="{6DE07344-E09D-41C1-A0F7-8862F10BB59E}" destId="{A2ECFC52-6090-4528-BDD2-38013BA310EA}" srcOrd="0" destOrd="0" presId="urn:microsoft.com/office/officeart/2011/layout/TabList"/>
    <dgm:cxn modelId="{A0F0FE29-4A4D-4955-A67F-2B2CCDF61452}" type="presParOf" srcId="{A2ECFC52-6090-4528-BDD2-38013BA310EA}" destId="{34FDBE18-C88B-4DF7-A83A-C47277635425}" srcOrd="0" destOrd="0" presId="urn:microsoft.com/office/officeart/2011/layout/TabList"/>
    <dgm:cxn modelId="{E8A5C62E-F7FA-4FA1-BA2D-85EA24DBFE69}" type="presParOf" srcId="{A2ECFC52-6090-4528-BDD2-38013BA310EA}" destId="{C5DFABD4-7E95-488A-883F-EACFC440529D}" srcOrd="1" destOrd="0" presId="urn:microsoft.com/office/officeart/2011/layout/TabList"/>
    <dgm:cxn modelId="{48A8766E-8990-4373-9EAD-9E3825FB4E4D}" type="presParOf" srcId="{A2ECFC52-6090-4528-BDD2-38013BA310EA}" destId="{5E13A337-DB16-4B39-9439-F218042A30E4}" srcOrd="2" destOrd="0" presId="urn:microsoft.com/office/officeart/2011/layout/TabList"/>
    <dgm:cxn modelId="{E6361066-42AE-4183-B74D-2A644BA4F2BE}" type="presParOf" srcId="{6DE07344-E09D-41C1-A0F7-8862F10BB59E}" destId="{43DCABDE-8755-4D7F-B458-B9F5A853E30F}" srcOrd="1" destOrd="0" presId="urn:microsoft.com/office/officeart/2011/layout/TabList"/>
    <dgm:cxn modelId="{A15B53E5-3D37-4DA6-A599-81F691B74B53}" type="presParOf" srcId="{6DE07344-E09D-41C1-A0F7-8862F10BB59E}" destId="{91F39D2C-59C4-411F-A7C4-3BD25159754F}" srcOrd="2" destOrd="0" presId="urn:microsoft.com/office/officeart/2011/layout/TabList"/>
    <dgm:cxn modelId="{AA8CC698-E5A5-4B17-AF91-8AC7DF68C0C4}" type="presParOf" srcId="{91F39D2C-59C4-411F-A7C4-3BD25159754F}" destId="{2636D47A-0623-45D7-BA16-5BA95EDF05C1}" srcOrd="0" destOrd="0" presId="urn:microsoft.com/office/officeart/2011/layout/TabList"/>
    <dgm:cxn modelId="{E679534F-0AFD-4930-89B8-471F87BACE36}" type="presParOf" srcId="{91F39D2C-59C4-411F-A7C4-3BD25159754F}" destId="{94208F6F-EE27-4F8F-A834-C902D392CFDD}" srcOrd="1" destOrd="0" presId="urn:microsoft.com/office/officeart/2011/layout/TabList"/>
    <dgm:cxn modelId="{8FB61796-8A50-40AA-B88E-F10C4E615521}" type="presParOf" srcId="{91F39D2C-59C4-411F-A7C4-3BD25159754F}" destId="{3310E8DA-203D-4D78-8D21-E37F215087E8}" srcOrd="2" destOrd="0" presId="urn:microsoft.com/office/officeart/2011/layout/TabList"/>
    <dgm:cxn modelId="{DAD300D0-AE17-4D9E-94A6-96DEADD13608}" type="presParOf" srcId="{6DE07344-E09D-41C1-A0F7-8862F10BB59E}" destId="{0C2D4F15-685B-4CF0-95AA-88D6D2363FB6}" srcOrd="3" destOrd="0" presId="urn:microsoft.com/office/officeart/2011/layout/TabList"/>
    <dgm:cxn modelId="{83770244-2818-41E0-A341-1C1A96CCCF56}" type="presParOf" srcId="{6DE07344-E09D-41C1-A0F7-8862F10BB59E}" destId="{90FAF4BB-C0D9-41E4-8A71-F8EEED497527}" srcOrd="4" destOrd="0" presId="urn:microsoft.com/office/officeart/2011/layout/TabList"/>
    <dgm:cxn modelId="{B37DC1D3-A040-4FE9-A3D5-0CB4B99D03D6}" type="presParOf" srcId="{90FAF4BB-C0D9-41E4-8A71-F8EEED497527}" destId="{C2208B52-AF57-476C-908E-DE6431360530}" srcOrd="0" destOrd="0" presId="urn:microsoft.com/office/officeart/2011/layout/TabList"/>
    <dgm:cxn modelId="{946C2478-7DED-4568-938B-8ACBD500C22D}" type="presParOf" srcId="{90FAF4BB-C0D9-41E4-8A71-F8EEED497527}" destId="{CB036C44-956A-4E05-813B-E29A581DCEF6}" srcOrd="1" destOrd="0" presId="urn:microsoft.com/office/officeart/2011/layout/TabList"/>
    <dgm:cxn modelId="{45CA6795-6780-4CB2-8A0A-38F21DDB999D}" type="presParOf" srcId="{90FAF4BB-C0D9-41E4-8A71-F8EEED497527}" destId="{66623E9E-FD3D-4181-AB7F-87327DE58B67}" srcOrd="2" destOrd="0" presId="urn:microsoft.com/office/officeart/2011/layout/TabList"/>
    <dgm:cxn modelId="{AA1540B9-ACD8-4CB3-AB7F-8417754E16B1}" type="presParOf" srcId="{6DE07344-E09D-41C1-A0F7-8862F10BB59E}" destId="{E119B2FA-D973-44C9-A3A3-836AEEA3D617}" srcOrd="5" destOrd="0" presId="urn:microsoft.com/office/officeart/2011/layout/TabList"/>
    <dgm:cxn modelId="{1DBE16C7-7AC1-494F-8B62-217BE9F29F56}" type="presParOf" srcId="{6DE07344-E09D-41C1-A0F7-8862F10BB59E}" destId="{477D8332-EF4A-4830-8037-65945EB9CCD1}" srcOrd="6" destOrd="0" presId="urn:microsoft.com/office/officeart/2011/layout/TabList"/>
    <dgm:cxn modelId="{F4641514-2346-4273-B74F-56EAD1652D39}" type="presParOf" srcId="{477D8332-EF4A-4830-8037-65945EB9CCD1}" destId="{51AA1DD4-267F-4134-B5CD-CD784A626EBC}" srcOrd="0" destOrd="0" presId="urn:microsoft.com/office/officeart/2011/layout/TabList"/>
    <dgm:cxn modelId="{0260621F-7E31-4BF8-88BC-B9CC1986D5A6}" type="presParOf" srcId="{477D8332-EF4A-4830-8037-65945EB9CCD1}" destId="{0D9F5B8A-46DC-4D8B-B3F6-3E44C337E3AF}" srcOrd="1" destOrd="0" presId="urn:microsoft.com/office/officeart/2011/layout/TabList"/>
    <dgm:cxn modelId="{DA2C8ADF-4546-473F-95D6-9EEB64305440}" type="presParOf" srcId="{477D8332-EF4A-4830-8037-65945EB9CCD1}" destId="{C0EF774A-B4C7-4751-94E7-B5BC524BB42C}" srcOrd="2" destOrd="0" presId="urn:microsoft.com/office/officeart/2011/layout/TabList"/>
    <dgm:cxn modelId="{3EDD9371-0C5B-4813-BBA2-E4C64193C7C7}" type="presParOf" srcId="{6DE07344-E09D-41C1-A0F7-8862F10BB59E}" destId="{00CEC7C3-9B6D-4829-97E9-C50855167559}" srcOrd="7" destOrd="0" presId="urn:microsoft.com/office/officeart/2011/layout/TabList"/>
    <dgm:cxn modelId="{464B069E-C95E-43CA-BA04-98BD24F0ECAE}" type="presParOf" srcId="{6DE07344-E09D-41C1-A0F7-8862F10BB59E}" destId="{75280967-B319-4A0C-8539-01F5D95A8CF0}" srcOrd="8" destOrd="0" presId="urn:microsoft.com/office/officeart/2011/layout/TabList"/>
    <dgm:cxn modelId="{D67FD8BB-9DAC-4B2A-8F97-C3DB4B4279F5}" type="presParOf" srcId="{75280967-B319-4A0C-8539-01F5D95A8CF0}" destId="{3E877086-DB20-4472-8979-C26E8F321F5D}" srcOrd="0" destOrd="0" presId="urn:microsoft.com/office/officeart/2011/layout/TabList"/>
    <dgm:cxn modelId="{51E1E87D-757D-4FEA-A425-FC06E981F572}" type="presParOf" srcId="{75280967-B319-4A0C-8539-01F5D95A8CF0}" destId="{17C45847-CA18-4258-B833-C062085B154A}" srcOrd="1" destOrd="0" presId="urn:microsoft.com/office/officeart/2011/layout/TabList"/>
    <dgm:cxn modelId="{7143E507-2B89-4D89-9FA2-A414D83BF165}" type="presParOf" srcId="{75280967-B319-4A0C-8539-01F5D95A8CF0}" destId="{05E7A5DD-D489-4207-8919-74F224B53C57}" srcOrd="2" destOrd="0" presId="urn:microsoft.com/office/officeart/2011/layout/TabList"/>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98279-9F5C-4B83-922E-653551910DAA}">
      <dsp:nvSpPr>
        <dsp:cNvPr id="0" name=""/>
        <dsp:cNvSpPr/>
      </dsp:nvSpPr>
      <dsp:spPr>
        <a:xfrm>
          <a:off x="1181472" y="587233"/>
          <a:ext cx="1056124" cy="1056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Super Smart Grid</a:t>
          </a:r>
        </a:p>
      </dsp:txBody>
      <dsp:txXfrm>
        <a:off x="1336138" y="741906"/>
        <a:ext cx="746792" cy="746830"/>
      </dsp:txXfrm>
    </dsp:sp>
    <dsp:sp modelId="{49CA762A-3883-42E5-AE32-BFD62E55ED7A}">
      <dsp:nvSpPr>
        <dsp:cNvPr id="0" name=""/>
        <dsp:cNvSpPr/>
      </dsp:nvSpPr>
      <dsp:spPr>
        <a:xfrm>
          <a:off x="636844" y="0"/>
          <a:ext cx="2128972" cy="2219325"/>
        </a:xfrm>
        <a:prstGeom prst="blockArc">
          <a:avLst>
            <a:gd name="adj1" fmla="val 17527788"/>
            <a:gd name="adj2" fmla="val 4119114"/>
            <a:gd name="adj3" fmla="val 57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845AFB-B6FD-4408-9339-0009EC3099CD}">
      <dsp:nvSpPr>
        <dsp:cNvPr id="0" name=""/>
        <dsp:cNvSpPr/>
      </dsp:nvSpPr>
      <dsp:spPr>
        <a:xfrm>
          <a:off x="2204465" y="187089"/>
          <a:ext cx="565769" cy="56592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D010D4-18CE-4806-BAC3-58E3F5A4A0EF}">
      <dsp:nvSpPr>
        <dsp:cNvPr id="0" name=""/>
        <dsp:cNvSpPr/>
      </dsp:nvSpPr>
      <dsp:spPr>
        <a:xfrm>
          <a:off x="2813148" y="196188"/>
          <a:ext cx="757304" cy="547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66725">
            <a:lnSpc>
              <a:spcPct val="90000"/>
            </a:lnSpc>
            <a:spcBef>
              <a:spcPct val="0"/>
            </a:spcBef>
            <a:spcAft>
              <a:spcPct val="10000"/>
            </a:spcAft>
            <a:buNone/>
          </a:pPr>
          <a:r>
            <a:rPr lang="en-US" sz="1050" kern="1200"/>
            <a:t>Wide Area Network</a:t>
          </a:r>
        </a:p>
      </dsp:txBody>
      <dsp:txXfrm>
        <a:off x="2813148" y="196188"/>
        <a:ext cx="757304" cy="547729"/>
      </dsp:txXfrm>
    </dsp:sp>
    <dsp:sp modelId="{737823C8-CB57-4AAD-85D3-73100F0ED530}">
      <dsp:nvSpPr>
        <dsp:cNvPr id="0" name=""/>
        <dsp:cNvSpPr/>
      </dsp:nvSpPr>
      <dsp:spPr>
        <a:xfrm>
          <a:off x="2423136" y="830915"/>
          <a:ext cx="565769" cy="56592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05D9AE-799A-44D4-A637-3FE6BE0EAF8C}">
      <dsp:nvSpPr>
        <dsp:cNvPr id="0" name=""/>
        <dsp:cNvSpPr/>
      </dsp:nvSpPr>
      <dsp:spPr>
        <a:xfrm>
          <a:off x="3034975" y="838904"/>
          <a:ext cx="757304" cy="547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66725">
            <a:lnSpc>
              <a:spcPct val="90000"/>
            </a:lnSpc>
            <a:spcBef>
              <a:spcPct val="0"/>
            </a:spcBef>
            <a:spcAft>
              <a:spcPct val="10000"/>
            </a:spcAft>
            <a:buNone/>
          </a:pPr>
          <a:r>
            <a:rPr lang="en-US" sz="1050" kern="1200"/>
            <a:t>Advanced Automation</a:t>
          </a:r>
        </a:p>
      </dsp:txBody>
      <dsp:txXfrm>
        <a:off x="3034975" y="838904"/>
        <a:ext cx="757304" cy="547729"/>
      </dsp:txXfrm>
    </dsp:sp>
    <dsp:sp modelId="{32A096A9-16A8-4929-9587-E2D3FA82DD27}">
      <dsp:nvSpPr>
        <dsp:cNvPr id="0" name=""/>
        <dsp:cNvSpPr/>
      </dsp:nvSpPr>
      <dsp:spPr>
        <a:xfrm>
          <a:off x="2204465" y="1483840"/>
          <a:ext cx="565769" cy="5659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FB5F1E-F730-4C03-903D-4B5A9B1768FB}">
      <dsp:nvSpPr>
        <dsp:cNvPr id="0" name=""/>
        <dsp:cNvSpPr/>
      </dsp:nvSpPr>
      <dsp:spPr>
        <a:xfrm>
          <a:off x="2813148" y="1495381"/>
          <a:ext cx="757304" cy="547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66725">
            <a:lnSpc>
              <a:spcPct val="90000"/>
            </a:lnSpc>
            <a:spcBef>
              <a:spcPct val="0"/>
            </a:spcBef>
            <a:spcAft>
              <a:spcPct val="10000"/>
            </a:spcAft>
            <a:buNone/>
          </a:pPr>
          <a:r>
            <a:rPr lang="en-US" sz="1050" kern="1200"/>
            <a:t>Super Computation</a:t>
          </a:r>
        </a:p>
      </dsp:txBody>
      <dsp:txXfrm>
        <a:off x="2813148" y="1495381"/>
        <a:ext cx="757304" cy="547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9CAF8-B9EB-4B00-AC64-DE304A73A70E}">
      <dsp:nvSpPr>
        <dsp:cNvPr id="0" name=""/>
        <dsp:cNvSpPr/>
      </dsp:nvSpPr>
      <dsp:spPr>
        <a:xfrm>
          <a:off x="2086903" y="1032449"/>
          <a:ext cx="1312287" cy="1135181"/>
        </a:xfrm>
        <a:prstGeom prst="hexagon">
          <a:avLst>
            <a:gd name="adj" fmla="val 2857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Transactive Energy</a:t>
          </a:r>
        </a:p>
      </dsp:txBody>
      <dsp:txXfrm>
        <a:off x="2304367" y="1220564"/>
        <a:ext cx="877359" cy="758951"/>
      </dsp:txXfrm>
    </dsp:sp>
    <dsp:sp modelId="{E166C18B-7727-4E27-BF72-5ADB7D853BC8}">
      <dsp:nvSpPr>
        <dsp:cNvPr id="0" name=""/>
        <dsp:cNvSpPr/>
      </dsp:nvSpPr>
      <dsp:spPr>
        <a:xfrm>
          <a:off x="2908647" y="489341"/>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C34E9726-FE8E-4D43-80F0-5087D4632E9E}">
      <dsp:nvSpPr>
        <dsp:cNvPr id="0" name=""/>
        <dsp:cNvSpPr/>
      </dsp:nvSpPr>
      <dsp:spPr>
        <a:xfrm>
          <a:off x="2207784" y="0"/>
          <a:ext cx="1075410" cy="930356"/>
        </a:xfrm>
        <a:prstGeom prst="hexagon">
          <a:avLst>
            <a:gd name="adj" fmla="val 28570"/>
            <a:gd name="vf" fmla="val 11547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Grid Control Strategies</a:t>
          </a:r>
        </a:p>
      </dsp:txBody>
      <dsp:txXfrm>
        <a:off x="2386002" y="154180"/>
        <a:ext cx="718974" cy="621996"/>
      </dsp:txXfrm>
    </dsp:sp>
    <dsp:sp modelId="{BD135302-CC9D-4D88-8987-18CA569C9268}">
      <dsp:nvSpPr>
        <dsp:cNvPr id="0" name=""/>
        <dsp:cNvSpPr/>
      </dsp:nvSpPr>
      <dsp:spPr>
        <a:xfrm>
          <a:off x="3486493" y="1286880"/>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1AA7CC76-4A3A-4798-962A-3DDECA80B7C9}">
      <dsp:nvSpPr>
        <dsp:cNvPr id="0" name=""/>
        <dsp:cNvSpPr/>
      </dsp:nvSpPr>
      <dsp:spPr>
        <a:xfrm>
          <a:off x="3194060" y="572231"/>
          <a:ext cx="1075410" cy="930356"/>
        </a:xfrm>
        <a:prstGeom prst="hexagon">
          <a:avLst>
            <a:gd name="adj" fmla="val 28570"/>
            <a:gd name="vf" fmla="val 11547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Regulatory Framework</a:t>
          </a:r>
        </a:p>
      </dsp:txBody>
      <dsp:txXfrm>
        <a:off x="3372278" y="726411"/>
        <a:ext cx="718974" cy="621996"/>
      </dsp:txXfrm>
    </dsp:sp>
    <dsp:sp modelId="{EC8264B4-4F04-4052-8797-02557A878EE9}">
      <dsp:nvSpPr>
        <dsp:cNvPr id="0" name=""/>
        <dsp:cNvSpPr/>
      </dsp:nvSpPr>
      <dsp:spPr>
        <a:xfrm>
          <a:off x="3085084" y="2187153"/>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C54149E9-DED2-4072-A289-3CDD9689C0AA}">
      <dsp:nvSpPr>
        <dsp:cNvPr id="0" name=""/>
        <dsp:cNvSpPr/>
      </dsp:nvSpPr>
      <dsp:spPr>
        <a:xfrm>
          <a:off x="3194060" y="1697172"/>
          <a:ext cx="1075410" cy="930356"/>
        </a:xfrm>
        <a:prstGeom prst="hexagon">
          <a:avLst>
            <a:gd name="adj" fmla="val 28570"/>
            <a:gd name="vf" fmla="val 11547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Robust Smart Grid Technologies</a:t>
          </a:r>
        </a:p>
      </dsp:txBody>
      <dsp:txXfrm>
        <a:off x="3372278" y="1851352"/>
        <a:ext cx="718974" cy="621996"/>
      </dsp:txXfrm>
    </dsp:sp>
    <dsp:sp modelId="{3DC8C56F-BC89-4A80-AA34-13B5850A5437}">
      <dsp:nvSpPr>
        <dsp:cNvPr id="0" name=""/>
        <dsp:cNvSpPr/>
      </dsp:nvSpPr>
      <dsp:spPr>
        <a:xfrm>
          <a:off x="2089345" y="228060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4C0604EF-A9BE-448D-8708-31E396F8D9BB}">
      <dsp:nvSpPr>
        <dsp:cNvPr id="0" name=""/>
        <dsp:cNvSpPr/>
      </dsp:nvSpPr>
      <dsp:spPr>
        <a:xfrm>
          <a:off x="2207784" y="2270043"/>
          <a:ext cx="1075410" cy="930356"/>
        </a:xfrm>
        <a:prstGeom prst="hexagon">
          <a:avLst>
            <a:gd name="adj" fmla="val 28570"/>
            <a:gd name="vf" fmla="val 11547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Real Time Pricing strategy</a:t>
          </a:r>
        </a:p>
      </dsp:txBody>
      <dsp:txXfrm>
        <a:off x="2386002" y="2424223"/>
        <a:ext cx="718974" cy="621996"/>
      </dsp:txXfrm>
    </dsp:sp>
    <dsp:sp modelId="{7FD3FDD7-7999-4C9C-B25B-0CCD7E533563}">
      <dsp:nvSpPr>
        <dsp:cNvPr id="0" name=""/>
        <dsp:cNvSpPr/>
      </dsp:nvSpPr>
      <dsp:spPr>
        <a:xfrm>
          <a:off x="1502036" y="148338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7D370742-5468-40BD-8A80-BEDC069A6D91}">
      <dsp:nvSpPr>
        <dsp:cNvPr id="0" name=""/>
        <dsp:cNvSpPr/>
      </dsp:nvSpPr>
      <dsp:spPr>
        <a:xfrm>
          <a:off x="1216929" y="1697812"/>
          <a:ext cx="1075410" cy="930356"/>
        </a:xfrm>
        <a:prstGeom prst="hexagon">
          <a:avLst>
            <a:gd name="adj" fmla="val 28570"/>
            <a:gd name="vf" fmla="val 11547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Dynamic Energy Balance</a:t>
          </a:r>
        </a:p>
      </dsp:txBody>
      <dsp:txXfrm>
        <a:off x="1395147" y="1851992"/>
        <a:ext cx="718974" cy="621996"/>
      </dsp:txXfrm>
    </dsp:sp>
    <dsp:sp modelId="{423D8C4B-59DC-41A2-8462-C748F8AD7B6B}">
      <dsp:nvSpPr>
        <dsp:cNvPr id="0" name=""/>
        <dsp:cNvSpPr/>
      </dsp:nvSpPr>
      <dsp:spPr>
        <a:xfrm>
          <a:off x="1216929" y="570951"/>
          <a:ext cx="1075410" cy="930356"/>
        </a:xfrm>
        <a:prstGeom prst="hexagon">
          <a:avLst>
            <a:gd name="adj" fmla="val 28570"/>
            <a:gd name="vf" fmla="val 11547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Transparent Energy  Market and Business Models</a:t>
          </a:r>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7A5DD-D489-4207-8919-74F224B53C57}">
      <dsp:nvSpPr>
        <dsp:cNvPr id="0" name=""/>
        <dsp:cNvSpPr/>
      </dsp:nvSpPr>
      <dsp:spPr>
        <a:xfrm>
          <a:off x="0" y="5073266"/>
          <a:ext cx="573405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F774A-B4C7-4751-94E7-B5BC524BB42C}">
      <dsp:nvSpPr>
        <dsp:cNvPr id="0" name=""/>
        <dsp:cNvSpPr/>
      </dsp:nvSpPr>
      <dsp:spPr>
        <a:xfrm>
          <a:off x="0" y="4049575"/>
          <a:ext cx="573405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23E9E-FD3D-4181-AB7F-87327DE58B67}">
      <dsp:nvSpPr>
        <dsp:cNvPr id="0" name=""/>
        <dsp:cNvSpPr/>
      </dsp:nvSpPr>
      <dsp:spPr>
        <a:xfrm>
          <a:off x="0" y="3025884"/>
          <a:ext cx="573405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0E8DA-203D-4D78-8D21-E37F215087E8}">
      <dsp:nvSpPr>
        <dsp:cNvPr id="0" name=""/>
        <dsp:cNvSpPr/>
      </dsp:nvSpPr>
      <dsp:spPr>
        <a:xfrm>
          <a:off x="0" y="2002193"/>
          <a:ext cx="573405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13A337-DB16-4B39-9439-F218042A30E4}">
      <dsp:nvSpPr>
        <dsp:cNvPr id="0" name=""/>
        <dsp:cNvSpPr/>
      </dsp:nvSpPr>
      <dsp:spPr>
        <a:xfrm>
          <a:off x="0" y="978502"/>
          <a:ext cx="573405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DBE18-C88B-4DF7-A83A-C47277635425}">
      <dsp:nvSpPr>
        <dsp:cNvPr id="0" name=""/>
        <dsp:cNvSpPr/>
      </dsp:nvSpPr>
      <dsp:spPr>
        <a:xfrm>
          <a:off x="1490852" y="3558"/>
          <a:ext cx="4243197" cy="974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Foster intergovernmental coordination for energy, digital, and economic sectors.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Support digital transformation in energy policies through large-scale projects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Govern power system planning to ensure socio-economic benefits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 Skill development for smart grid employment.</a:t>
          </a:r>
          <a:endParaRPr lang="en-US" sz="1000" kern="1200">
            <a:latin typeface="Times New Roman" panose="02020603050405020304" pitchFamily="18" charset="0"/>
            <a:cs typeface="Times New Roman" panose="02020603050405020304" pitchFamily="18" charset="0"/>
          </a:endParaRPr>
        </a:p>
      </dsp:txBody>
      <dsp:txXfrm>
        <a:off x="1490852" y="3558"/>
        <a:ext cx="4243197" cy="974943"/>
      </dsp:txXfrm>
    </dsp:sp>
    <dsp:sp modelId="{C5DFABD4-7E95-488A-883F-EACFC440529D}">
      <dsp:nvSpPr>
        <dsp:cNvPr id="0" name=""/>
        <dsp:cNvSpPr/>
      </dsp:nvSpPr>
      <dsp:spPr>
        <a:xfrm>
          <a:off x="0" y="3558"/>
          <a:ext cx="1490853" cy="974943"/>
        </a:xfrm>
        <a:prstGeom prst="round2SameRect">
          <a:avLst>
            <a:gd name="adj1" fmla="val 16670"/>
            <a:gd name="adj2" fmla="val 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Harmonizing Execution Efforts</a:t>
          </a:r>
        </a:p>
      </dsp:txBody>
      <dsp:txXfrm>
        <a:off x="47601" y="51159"/>
        <a:ext cx="1395651" cy="927342"/>
      </dsp:txXfrm>
    </dsp:sp>
    <dsp:sp modelId="{2636D47A-0623-45D7-BA16-5BA95EDF05C1}">
      <dsp:nvSpPr>
        <dsp:cNvPr id="0" name=""/>
        <dsp:cNvSpPr/>
      </dsp:nvSpPr>
      <dsp:spPr>
        <a:xfrm>
          <a:off x="1490852" y="1027249"/>
          <a:ext cx="4243197" cy="974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 Digital grid technologies for national priorities like grid upgrades and decarbonization.</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Upgrade policies to support investments in digital capabilities and system efficiency.</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Promote integrated planning considering to align investments across stakeholders.</a:t>
          </a:r>
          <a:endParaRPr lang="en-US" sz="1000" kern="1200">
            <a:latin typeface="Times New Roman" panose="02020603050405020304" pitchFamily="18" charset="0"/>
            <a:cs typeface="Times New Roman" panose="02020603050405020304" pitchFamily="18" charset="0"/>
          </a:endParaRPr>
        </a:p>
      </dsp:txBody>
      <dsp:txXfrm>
        <a:off x="1490852" y="1027249"/>
        <a:ext cx="4243197" cy="974943"/>
      </dsp:txXfrm>
    </dsp:sp>
    <dsp:sp modelId="{94208F6F-EE27-4F8F-A834-C902D392CFDD}">
      <dsp:nvSpPr>
        <dsp:cNvPr id="0" name=""/>
        <dsp:cNvSpPr/>
      </dsp:nvSpPr>
      <dsp:spPr>
        <a:xfrm>
          <a:off x="0" y="1027249"/>
          <a:ext cx="1490853" cy="974943"/>
        </a:xfrm>
        <a:prstGeom prst="round2SameRect">
          <a:avLst>
            <a:gd name="adj1" fmla="val 16670"/>
            <a:gd name="adj2" fmla="val 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Forging a Unified Vision: Advancing Planning into the Modern Era</a:t>
          </a:r>
        </a:p>
      </dsp:txBody>
      <dsp:txXfrm>
        <a:off x="47601" y="1074850"/>
        <a:ext cx="1395651" cy="927342"/>
      </dsp:txXfrm>
    </dsp:sp>
    <dsp:sp modelId="{C2208B52-AF57-476C-908E-DE6431360530}">
      <dsp:nvSpPr>
        <dsp:cNvPr id="0" name=""/>
        <dsp:cNvSpPr/>
      </dsp:nvSpPr>
      <dsp:spPr>
        <a:xfrm>
          <a:off x="1490852" y="2050940"/>
          <a:ext cx="4243197" cy="974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Introduce policies incentivizing and de-risking digitalization investments.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Adopt performance-based regulations that aligns with clean energy goals.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Embed electricity value into policies, guiding efficient digitalization integration in grids.</a:t>
          </a:r>
          <a:endParaRPr lang="en-US" sz="1000" kern="1200">
            <a:latin typeface="Times New Roman" panose="02020603050405020304" pitchFamily="18" charset="0"/>
            <a:cs typeface="Times New Roman" panose="02020603050405020304" pitchFamily="18" charset="0"/>
          </a:endParaRPr>
        </a:p>
      </dsp:txBody>
      <dsp:txXfrm>
        <a:off x="1490852" y="2050940"/>
        <a:ext cx="4243197" cy="974943"/>
      </dsp:txXfrm>
    </dsp:sp>
    <dsp:sp modelId="{CB036C44-956A-4E05-813B-E29A581DCEF6}">
      <dsp:nvSpPr>
        <dsp:cNvPr id="0" name=""/>
        <dsp:cNvSpPr/>
      </dsp:nvSpPr>
      <dsp:spPr>
        <a:xfrm>
          <a:off x="0" y="2050940"/>
          <a:ext cx="1490853" cy="974943"/>
        </a:xfrm>
        <a:prstGeom prst="round2SameRect">
          <a:avLst>
            <a:gd name="adj1" fmla="val 16670"/>
            <a:gd name="adj2" fmla="val 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Enhance Recognition of Digital Solutions</a:t>
          </a:r>
        </a:p>
      </dsp:txBody>
      <dsp:txXfrm>
        <a:off x="47601" y="2098541"/>
        <a:ext cx="1395651" cy="927342"/>
      </dsp:txXfrm>
    </dsp:sp>
    <dsp:sp modelId="{51AA1DD4-267F-4134-B5CD-CD784A626EBC}">
      <dsp:nvSpPr>
        <dsp:cNvPr id="0" name=""/>
        <dsp:cNvSpPr/>
      </dsp:nvSpPr>
      <dsp:spPr>
        <a:xfrm>
          <a:off x="1490852" y="3074631"/>
          <a:ext cx="4243197" cy="974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Strengthen power system resilience amidst climate change.</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Integrate resilience and through long-term energy planning.</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 Cyber resilience in regulations to boost digitalization investment and manage  risks.</a:t>
          </a:r>
          <a:endParaRPr lang="en-US" sz="1000" kern="1200">
            <a:latin typeface="Times New Roman" panose="02020603050405020304" pitchFamily="18" charset="0"/>
            <a:cs typeface="Times New Roman" panose="02020603050405020304" pitchFamily="18" charset="0"/>
          </a:endParaRPr>
        </a:p>
      </dsp:txBody>
      <dsp:txXfrm>
        <a:off x="1490852" y="3074631"/>
        <a:ext cx="4243197" cy="974943"/>
      </dsp:txXfrm>
    </dsp:sp>
    <dsp:sp modelId="{0D9F5B8A-46DC-4D8B-B3F6-3E44C337E3AF}">
      <dsp:nvSpPr>
        <dsp:cNvPr id="0" name=""/>
        <dsp:cNvSpPr/>
      </dsp:nvSpPr>
      <dsp:spPr>
        <a:xfrm>
          <a:off x="0" y="3074631"/>
          <a:ext cx="1490853" cy="974943"/>
        </a:xfrm>
        <a:prstGeom prst="round2SameRect">
          <a:avLst>
            <a:gd name="adj1" fmla="val 16670"/>
            <a:gd name="adj2" fmla="val 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Embed Resilience and Security in Electricity Policies</a:t>
          </a:r>
        </a:p>
      </dsp:txBody>
      <dsp:txXfrm>
        <a:off x="47601" y="3122232"/>
        <a:ext cx="1395651" cy="927342"/>
      </dsp:txXfrm>
    </dsp:sp>
    <dsp:sp modelId="{3E877086-DB20-4472-8979-C26E8F321F5D}">
      <dsp:nvSpPr>
        <dsp:cNvPr id="0" name=""/>
        <dsp:cNvSpPr/>
      </dsp:nvSpPr>
      <dsp:spPr>
        <a:xfrm>
          <a:off x="1490852" y="4098322"/>
          <a:ext cx="4243197" cy="974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Foster a data-driven culture in the public and private sector to keep track of progress.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Enhance policy implementation through iterative monitoring of transition strategies.</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Promote international collaboration and knowledge sharing to accelerate progress and de-risk future digitalization investments.</a:t>
          </a:r>
          <a:endParaRPr lang="en-US" sz="1000" kern="1200">
            <a:latin typeface="Times New Roman" panose="02020603050405020304" pitchFamily="18" charset="0"/>
            <a:cs typeface="Times New Roman" panose="02020603050405020304" pitchFamily="18" charset="0"/>
          </a:endParaRPr>
        </a:p>
      </dsp:txBody>
      <dsp:txXfrm>
        <a:off x="1490852" y="4098322"/>
        <a:ext cx="4243197" cy="974943"/>
      </dsp:txXfrm>
    </dsp:sp>
    <dsp:sp modelId="{17C45847-CA18-4258-B833-C062085B154A}">
      <dsp:nvSpPr>
        <dsp:cNvPr id="0" name=""/>
        <dsp:cNvSpPr/>
      </dsp:nvSpPr>
      <dsp:spPr>
        <a:xfrm>
          <a:off x="0" y="4098322"/>
          <a:ext cx="1490853" cy="974943"/>
        </a:xfrm>
        <a:prstGeom prst="round2SameRect">
          <a:avLst>
            <a:gd name="adj1" fmla="val 16670"/>
            <a:gd name="adj2" fmla="val 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Monitor, Share and support Digitalization Progress</a:t>
          </a:r>
        </a:p>
      </dsp:txBody>
      <dsp:txXfrm>
        <a:off x="47601" y="4145923"/>
        <a:ext cx="1395651" cy="927342"/>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A65037-5A79-4663-9AE5-4260DED8423E}">
  <we:reference id="wa200005740" version="1.0.0.0" store="en-US" storeType="OMEX"/>
  <we:alternateReferences>
    <we:reference id="wa200005740" version="1.0.0.0" store="WA20000574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496BF45-2FEE-4335-B348-53A6E1DA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106565</Words>
  <Characters>607426</Characters>
  <Application>Microsoft Office Word</Application>
  <DocSecurity>0</DocSecurity>
  <Lines>5061</Lines>
  <Paragraphs>1425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Zahid</dc:creator>
  <cp:keywords/>
  <dc:description/>
  <cp:lastModifiedBy>Muhammad Sajid Iqbal</cp:lastModifiedBy>
  <cp:revision>4</cp:revision>
  <cp:lastPrinted>2024-06-05T08:20:00Z</cp:lastPrinted>
  <dcterms:created xsi:type="dcterms:W3CDTF">2024-12-12T04:44:00Z</dcterms:created>
  <dcterms:modified xsi:type="dcterms:W3CDTF">2024-12-12T07:53:00Z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http://www.zotero.org/styles/energy-policy</vt:lpwstr>
  </property>
  <property fmtid="{D5CDD505-2E9C-101B-9397-08002B2CF9AE}" pid="9" name="Mendeley Recent Style Name 3_1">
    <vt:lpwstr>Energy Policy</vt:lpwstr>
  </property>
  <property fmtid="{D5CDD505-2E9C-101B-9397-08002B2CF9AE}" pid="10" name="Mendeley Recent Style Id 4_1">
    <vt:lpwstr>http://www.zotero.org/styles/energy-reports</vt:lpwstr>
  </property>
  <property fmtid="{D5CDD505-2E9C-101B-9397-08002B2CF9AE}" pid="11" name="Mendeley Recent Style Name 4_1">
    <vt:lpwstr>Energy Reports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http://www.zotero.org/styles/multidisciplinary-digital-publishing-institute</vt:lpwstr>
  </property>
  <property fmtid="{D5CDD505-2E9C-101B-9397-08002B2CF9AE}" pid="17" name="Mendeley Recent Style Name 7_1">
    <vt:lpwstr>Multidisciplinary Digital Publishing Institute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http://www.zotero.org/styles/sustainable-energy-technologies-and-assessments</vt:lpwstr>
  </property>
  <property fmtid="{D5CDD505-2E9C-101B-9397-08002B2CF9AE}" pid="21" name="Mendeley Recent Style Name 9_1">
    <vt:lpwstr>Sustainable Energy Technologies and Assessments</vt:lpwstr>
  </property>
  <property fmtid="{D5CDD505-2E9C-101B-9397-08002B2CF9AE}" pid="22" name="Mendeley Document_1">
    <vt:lpwstr>True</vt:lpwstr>
  </property>
  <property fmtid="{D5CDD505-2E9C-101B-9397-08002B2CF9AE}" pid="23" name="Mendeley Citation Style_1">
    <vt:lpwstr>http://www.zotero.org/styles/sustainable-energy-technologies-and-assessments</vt:lpwstr>
  </property>
  <property fmtid="{D5CDD505-2E9C-101B-9397-08002B2CF9AE}" pid="24" name="Mendeley Unique User Id_1">
    <vt:lpwstr>5278ce66-3b0c-38a4-9000-b6af7c72c3fa</vt:lpwstr>
  </property>
</Properties>
</file>