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C3027A" w14:textId="5C587298" w:rsidR="00130883" w:rsidRPr="00872636" w:rsidRDefault="00A6297B" w:rsidP="00C525D8">
      <w:pPr>
        <w:pStyle w:val="Heading1"/>
        <w:spacing w:before="0" w:after="240" w:line="48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b/>
          <w:bCs/>
          <w:color w:val="auto"/>
          <w:sz w:val="24"/>
          <w:szCs w:val="24"/>
        </w:rPr>
        <w:t xml:space="preserve">Data in brief: </w:t>
      </w:r>
      <w:r w:rsidR="00130883" w:rsidRPr="00872636">
        <w:rPr>
          <w:rFonts w:ascii="Times New Roman" w:eastAsia="Times New Roman" w:hAnsi="Times New Roman" w:cs="Times New Roman"/>
          <w:b/>
          <w:bCs/>
          <w:color w:val="auto"/>
          <w:sz w:val="24"/>
          <w:szCs w:val="24"/>
        </w:rPr>
        <w:t xml:space="preserve">Energy performance evaluation of alternative energy vectors for subsonic intercontinental </w:t>
      </w:r>
      <w:r w:rsidR="007534D7" w:rsidRPr="00872636">
        <w:rPr>
          <w:rFonts w:ascii="Times New Roman" w:eastAsia="Times New Roman" w:hAnsi="Times New Roman" w:cs="Times New Roman"/>
          <w:b/>
          <w:bCs/>
          <w:color w:val="auto"/>
          <w:sz w:val="24"/>
          <w:szCs w:val="24"/>
        </w:rPr>
        <w:t xml:space="preserve">tube-wing </w:t>
      </w:r>
      <w:r w:rsidR="00130883" w:rsidRPr="00872636">
        <w:rPr>
          <w:rFonts w:ascii="Times New Roman" w:eastAsia="Times New Roman" w:hAnsi="Times New Roman" w:cs="Times New Roman"/>
          <w:b/>
          <w:bCs/>
          <w:color w:val="auto"/>
          <w:sz w:val="24"/>
          <w:szCs w:val="24"/>
        </w:rPr>
        <w:t>aircraft</w:t>
      </w:r>
    </w:p>
    <w:p w14:paraId="5AD83FD8" w14:textId="48407976" w:rsidR="00104A2A" w:rsidRPr="00872636" w:rsidRDefault="00104A2A" w:rsidP="00C525D8">
      <w:pPr>
        <w:pStyle w:val="Heading1"/>
        <w:spacing w:before="0" w:after="240" w:line="480" w:lineRule="auto"/>
        <w:rPr>
          <w:rFonts w:ascii="Times New Roman" w:eastAsia="Times New Roman" w:hAnsi="Times New Roman" w:cs="Times New Roman"/>
          <w:b/>
          <w:bCs/>
          <w:color w:val="auto"/>
          <w:sz w:val="24"/>
          <w:szCs w:val="24"/>
          <w:bdr w:val="none" w:sz="0" w:space="0" w:color="auto" w:frame="1"/>
          <w:lang w:eastAsia="en-GB"/>
        </w:rPr>
      </w:pPr>
      <w:r w:rsidRPr="00872636">
        <w:rPr>
          <w:rFonts w:ascii="Times New Roman" w:eastAsia="Times New Roman" w:hAnsi="Times New Roman" w:cs="Times New Roman"/>
          <w:b/>
          <w:bCs/>
          <w:color w:val="auto"/>
          <w:sz w:val="24"/>
          <w:szCs w:val="24"/>
          <w:bdr w:val="none" w:sz="0" w:space="0" w:color="auto" w:frame="1"/>
          <w:lang w:eastAsia="en-GB"/>
        </w:rPr>
        <w:t xml:space="preserve">Supplementary </w:t>
      </w:r>
      <w:r w:rsidR="00ED2837">
        <w:rPr>
          <w:rFonts w:ascii="Times New Roman" w:eastAsia="Times New Roman" w:hAnsi="Times New Roman" w:cs="Times New Roman"/>
          <w:b/>
          <w:bCs/>
          <w:color w:val="auto"/>
          <w:sz w:val="24"/>
          <w:szCs w:val="24"/>
          <w:bdr w:val="none" w:sz="0" w:space="0" w:color="auto" w:frame="1"/>
          <w:lang w:eastAsia="en-GB"/>
        </w:rPr>
        <w:t>I</w:t>
      </w:r>
      <w:r w:rsidRPr="00872636">
        <w:rPr>
          <w:rFonts w:ascii="Times New Roman" w:eastAsia="Times New Roman" w:hAnsi="Times New Roman" w:cs="Times New Roman"/>
          <w:b/>
          <w:bCs/>
          <w:color w:val="auto"/>
          <w:sz w:val="24"/>
          <w:szCs w:val="24"/>
          <w:bdr w:val="none" w:sz="0" w:space="0" w:color="auto" w:frame="1"/>
          <w:lang w:eastAsia="en-GB"/>
        </w:rPr>
        <w:t>nformation</w:t>
      </w:r>
      <w:r w:rsidR="0017130D" w:rsidRPr="00872636">
        <w:rPr>
          <w:rFonts w:ascii="Times New Roman" w:eastAsia="Times New Roman" w:hAnsi="Times New Roman" w:cs="Times New Roman"/>
          <w:b/>
          <w:bCs/>
          <w:color w:val="auto"/>
          <w:sz w:val="24"/>
          <w:szCs w:val="24"/>
          <w:bdr w:val="none" w:sz="0" w:space="0" w:color="auto" w:frame="1"/>
          <w:lang w:eastAsia="en-GB"/>
        </w:rPr>
        <w:t xml:space="preserve"> (SI)</w:t>
      </w:r>
    </w:p>
    <w:p w14:paraId="76A9BAAB" w14:textId="77777777" w:rsidR="00F43CA1" w:rsidRPr="00872636" w:rsidRDefault="00F43CA1" w:rsidP="00C525D8">
      <w:pPr>
        <w:shd w:val="clear" w:color="auto" w:fill="FFFFFF"/>
        <w:spacing w:line="480" w:lineRule="auto"/>
        <w:rPr>
          <w:rFonts w:ascii="Times New Roman" w:eastAsia="Times New Roman" w:hAnsi="Times New Roman" w:cs="Times New Roman"/>
          <w:iCs/>
          <w:sz w:val="24"/>
          <w:szCs w:val="24"/>
        </w:rPr>
      </w:pPr>
      <w:r w:rsidRPr="00872636">
        <w:rPr>
          <w:rFonts w:ascii="Times New Roman" w:eastAsia="Times New Roman" w:hAnsi="Times New Roman" w:cs="Times New Roman"/>
          <w:sz w:val="24"/>
          <w:szCs w:val="24"/>
        </w:rPr>
        <w:t xml:space="preserve">Swapnil S. Jagtap </w:t>
      </w:r>
      <w:r w:rsidRPr="00872636">
        <w:rPr>
          <w:rFonts w:ascii="Times New Roman" w:eastAsia="Times New Roman" w:hAnsi="Times New Roman" w:cs="Times New Roman"/>
          <w:sz w:val="24"/>
          <w:szCs w:val="24"/>
          <w:vertAlign w:val="superscript"/>
        </w:rPr>
        <w:t>a</w:t>
      </w:r>
      <w:r w:rsidRPr="00872636">
        <w:rPr>
          <w:rFonts w:ascii="Times New Roman" w:eastAsia="Times New Roman" w:hAnsi="Times New Roman" w:cs="Times New Roman"/>
          <w:sz w:val="24"/>
          <w:szCs w:val="24"/>
        </w:rPr>
        <w:t xml:space="preserve">, Peter R.N. Childs </w:t>
      </w:r>
      <w:r w:rsidRPr="00872636">
        <w:rPr>
          <w:rFonts w:ascii="Times New Roman" w:eastAsia="Times New Roman" w:hAnsi="Times New Roman" w:cs="Times New Roman"/>
          <w:sz w:val="24"/>
          <w:szCs w:val="24"/>
          <w:vertAlign w:val="superscript"/>
        </w:rPr>
        <w:t>b</w:t>
      </w:r>
      <w:r w:rsidRPr="00872636">
        <w:rPr>
          <w:rFonts w:ascii="Times New Roman" w:eastAsia="Times New Roman" w:hAnsi="Times New Roman" w:cs="Times New Roman"/>
          <w:sz w:val="24"/>
          <w:szCs w:val="24"/>
        </w:rPr>
        <w:t xml:space="preserve"> and Marc E.J. Stettler </w:t>
      </w:r>
      <w:r w:rsidRPr="00872636">
        <w:rPr>
          <w:rFonts w:ascii="Times New Roman" w:eastAsia="Times New Roman" w:hAnsi="Times New Roman" w:cs="Times New Roman"/>
          <w:sz w:val="24"/>
          <w:szCs w:val="24"/>
          <w:vertAlign w:val="superscript"/>
        </w:rPr>
        <w:t>a*</w:t>
      </w:r>
    </w:p>
    <w:p w14:paraId="686B23A3" w14:textId="77777777" w:rsidR="00F43CA1" w:rsidRPr="00872636" w:rsidRDefault="00F43CA1" w:rsidP="00C525D8">
      <w:pPr>
        <w:shd w:val="clear" w:color="auto" w:fill="FFFFFF"/>
        <w:spacing w:after="240" w:line="480" w:lineRule="auto"/>
        <w:rPr>
          <w:rFonts w:ascii="Times New Roman" w:eastAsia="Times New Roman" w:hAnsi="Times New Roman" w:cs="Times New Roman"/>
          <w:iCs/>
          <w:sz w:val="24"/>
          <w:szCs w:val="24"/>
        </w:rPr>
      </w:pPr>
      <w:r w:rsidRPr="00872636">
        <w:rPr>
          <w:rFonts w:ascii="Times New Roman" w:eastAsia="Times New Roman" w:hAnsi="Times New Roman" w:cs="Times New Roman"/>
          <w:iCs/>
          <w:sz w:val="24"/>
          <w:szCs w:val="24"/>
          <w:vertAlign w:val="superscript"/>
        </w:rPr>
        <w:t>a</w:t>
      </w:r>
      <w:r w:rsidRPr="00872636">
        <w:rPr>
          <w:rFonts w:ascii="Times New Roman" w:eastAsia="Times New Roman" w:hAnsi="Times New Roman" w:cs="Times New Roman"/>
          <w:iCs/>
          <w:sz w:val="24"/>
          <w:szCs w:val="24"/>
        </w:rPr>
        <w:t xml:space="preserve"> Centre for Transport Studies, Department of Civil and Environmental Engineering, Imperial College London, London SW7 2AZ, United Kingdom</w:t>
      </w:r>
    </w:p>
    <w:p w14:paraId="7143053F" w14:textId="77777777" w:rsidR="00F43CA1" w:rsidRPr="00872636" w:rsidRDefault="00F43CA1" w:rsidP="00C525D8">
      <w:pPr>
        <w:shd w:val="clear" w:color="auto" w:fill="FFFFFF" w:themeFill="background1"/>
        <w:spacing w:after="240" w:line="480" w:lineRule="auto"/>
        <w:rPr>
          <w:rFonts w:ascii="Times New Roman" w:eastAsia="Times New Roman" w:hAnsi="Times New Roman" w:cs="Times New Roman"/>
          <w:sz w:val="24"/>
          <w:szCs w:val="24"/>
        </w:rPr>
      </w:pPr>
      <w:r w:rsidRPr="00872636">
        <w:rPr>
          <w:rFonts w:ascii="Times New Roman" w:eastAsia="Times New Roman" w:hAnsi="Times New Roman" w:cs="Times New Roman"/>
          <w:sz w:val="24"/>
          <w:szCs w:val="24"/>
          <w:vertAlign w:val="superscript"/>
        </w:rPr>
        <w:t>b</w:t>
      </w:r>
      <w:r w:rsidRPr="00872636">
        <w:rPr>
          <w:rFonts w:ascii="Times New Roman" w:eastAsia="Times New Roman" w:hAnsi="Times New Roman" w:cs="Times New Roman"/>
          <w:sz w:val="24"/>
          <w:szCs w:val="24"/>
        </w:rPr>
        <w:t xml:space="preserve"> Energy Futures Lab, Imperial College London, London SW7 2AZ, United Kingdom</w:t>
      </w:r>
    </w:p>
    <w:p w14:paraId="57D76562" w14:textId="77777777" w:rsidR="00A6297B" w:rsidRDefault="00F43CA1" w:rsidP="00C525D8">
      <w:pPr>
        <w:shd w:val="clear" w:color="auto" w:fill="FFFFFF"/>
        <w:spacing w:after="240" w:line="480" w:lineRule="auto"/>
        <w:rPr>
          <w:rFonts w:ascii="Times New Roman" w:eastAsia="Times New Roman" w:hAnsi="Times New Roman" w:cs="Times New Roman"/>
          <w:iCs/>
          <w:sz w:val="24"/>
          <w:szCs w:val="24"/>
        </w:rPr>
      </w:pPr>
      <w:r w:rsidRPr="00872636">
        <w:rPr>
          <w:rFonts w:ascii="Times New Roman" w:eastAsia="Times New Roman" w:hAnsi="Times New Roman" w:cs="Times New Roman"/>
          <w:iCs/>
          <w:sz w:val="24"/>
          <w:szCs w:val="24"/>
        </w:rPr>
        <w:t>* Corresponding author:</w:t>
      </w:r>
      <w:r w:rsidR="00A6297B">
        <w:rPr>
          <w:rFonts w:ascii="Times New Roman" w:eastAsia="Times New Roman" w:hAnsi="Times New Roman" w:cs="Times New Roman"/>
          <w:iCs/>
          <w:sz w:val="24"/>
          <w:szCs w:val="24"/>
        </w:rPr>
        <w:t xml:space="preserve"> </w:t>
      </w:r>
      <w:hyperlink r:id="rId6" w:history="1">
        <w:r w:rsidR="00A6297B" w:rsidRPr="00883705">
          <w:rPr>
            <w:rStyle w:val="Hyperlink"/>
            <w:rFonts w:ascii="Times New Roman" w:eastAsia="Times New Roman" w:hAnsi="Times New Roman" w:cs="Times New Roman"/>
            <w:iCs/>
            <w:sz w:val="24"/>
            <w:szCs w:val="24"/>
          </w:rPr>
          <w:t>swapniljagtap111@gmail.com</w:t>
        </w:r>
      </w:hyperlink>
      <w:r w:rsidR="00A6297B">
        <w:rPr>
          <w:rFonts w:ascii="Times New Roman" w:eastAsia="Times New Roman" w:hAnsi="Times New Roman" w:cs="Times New Roman"/>
          <w:iCs/>
          <w:sz w:val="24"/>
          <w:szCs w:val="24"/>
        </w:rPr>
        <w:t xml:space="preserve"> </w:t>
      </w:r>
    </w:p>
    <w:p w14:paraId="522F2BA2" w14:textId="63069139" w:rsidR="00F43CA1" w:rsidRPr="00872636" w:rsidRDefault="00A6297B" w:rsidP="00C525D8">
      <w:pPr>
        <w:shd w:val="clear" w:color="auto" w:fill="FFFFFF"/>
        <w:spacing w:after="240" w:line="48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Link to the main paper: </w:t>
      </w:r>
      <w:hyperlink r:id="rId7" w:history="1">
        <w:r w:rsidRPr="00883705">
          <w:rPr>
            <w:rStyle w:val="Hyperlink"/>
            <w:rFonts w:ascii="Times New Roman" w:eastAsia="Times New Roman" w:hAnsi="Times New Roman" w:cs="Times New Roman"/>
            <w:iCs/>
            <w:sz w:val="24"/>
            <w:szCs w:val="24"/>
          </w:rPr>
          <w:t>https://www.sciencedirect.com/science/article/abs/pii/S136192092200414X</w:t>
        </w:r>
      </w:hyperlink>
      <w:r>
        <w:rPr>
          <w:rFonts w:ascii="Times New Roman" w:eastAsia="Times New Roman" w:hAnsi="Times New Roman" w:cs="Times New Roman"/>
          <w:iCs/>
          <w:sz w:val="24"/>
          <w:szCs w:val="24"/>
        </w:rPr>
        <w:t xml:space="preserve"> </w:t>
      </w:r>
      <w:r w:rsidR="00F43CA1" w:rsidRPr="00872636">
        <w:rPr>
          <w:rFonts w:ascii="Times New Roman" w:eastAsia="Times New Roman" w:hAnsi="Times New Roman" w:cs="Times New Roman"/>
          <w:iCs/>
          <w:sz w:val="24"/>
          <w:szCs w:val="24"/>
        </w:rPr>
        <w:t xml:space="preserve"> </w:t>
      </w:r>
    </w:p>
    <w:p w14:paraId="2235069D" w14:textId="77777777" w:rsidR="00677DEA" w:rsidRDefault="00677DEA">
      <w:pPr>
        <w:rPr>
          <w:rFonts w:ascii="Times New Roman" w:eastAsia="Times New Roman" w:hAnsi="Times New Roman" w:cs="Times New Roman"/>
          <w:b/>
          <w:bCs/>
          <w:sz w:val="24"/>
          <w:szCs w:val="24"/>
          <w:bdr w:val="none" w:sz="0" w:space="0" w:color="auto" w:frame="1"/>
          <w:lang w:eastAsia="en-GB"/>
        </w:rPr>
      </w:pPr>
      <w:r>
        <w:rPr>
          <w:rFonts w:ascii="Times New Roman" w:eastAsia="Times New Roman" w:hAnsi="Times New Roman" w:cs="Times New Roman"/>
          <w:b/>
          <w:bCs/>
          <w:sz w:val="24"/>
          <w:szCs w:val="24"/>
          <w:bdr w:val="none" w:sz="0" w:space="0" w:color="auto" w:frame="1"/>
          <w:lang w:eastAsia="en-GB"/>
        </w:rPr>
        <w:br w:type="page"/>
      </w:r>
    </w:p>
    <w:p w14:paraId="54894D1D" w14:textId="020C0554" w:rsidR="00816E64" w:rsidRPr="00872636" w:rsidRDefault="00816E64" w:rsidP="00C525D8">
      <w:pPr>
        <w:pStyle w:val="Heading1"/>
        <w:spacing w:before="0" w:after="240" w:line="480" w:lineRule="auto"/>
        <w:rPr>
          <w:rFonts w:ascii="Times New Roman" w:eastAsia="Times New Roman" w:hAnsi="Times New Roman" w:cs="Times New Roman"/>
          <w:b/>
          <w:bCs/>
          <w:color w:val="auto"/>
          <w:sz w:val="24"/>
          <w:szCs w:val="24"/>
          <w:bdr w:val="none" w:sz="0" w:space="0" w:color="auto" w:frame="1"/>
          <w:lang w:eastAsia="en-GB"/>
        </w:rPr>
      </w:pPr>
      <w:r w:rsidRPr="00872636">
        <w:rPr>
          <w:rFonts w:ascii="Times New Roman" w:eastAsia="Times New Roman" w:hAnsi="Times New Roman" w:cs="Times New Roman"/>
          <w:b/>
          <w:bCs/>
          <w:color w:val="auto"/>
          <w:sz w:val="24"/>
          <w:szCs w:val="24"/>
          <w:bdr w:val="none" w:sz="0" w:space="0" w:color="auto" w:frame="1"/>
          <w:lang w:eastAsia="en-GB"/>
        </w:rPr>
        <w:lastRenderedPageBreak/>
        <w:t>Nomenclature</w:t>
      </w:r>
    </w:p>
    <w:tbl>
      <w:tblPr>
        <w:tblStyle w:val="TableGrid"/>
        <w:tblW w:w="94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7"/>
        <w:gridCol w:w="3526"/>
        <w:gridCol w:w="1177"/>
        <w:gridCol w:w="3531"/>
      </w:tblGrid>
      <w:tr w:rsidR="0088052D" w:rsidRPr="007D699F" w14:paraId="480E9B8D" w14:textId="484981BB" w:rsidTr="00872636">
        <w:trPr>
          <w:trHeight w:val="415"/>
        </w:trPr>
        <w:tc>
          <w:tcPr>
            <w:tcW w:w="1177" w:type="dxa"/>
          </w:tcPr>
          <w:p w14:paraId="1E6A2E53" w14:textId="0A680635" w:rsidR="0088052D" w:rsidRPr="00872636" w:rsidRDefault="0088052D" w:rsidP="00872636">
            <w:pPr>
              <w:spacing w:line="276" w:lineRule="auto"/>
              <w:rPr>
                <w:rFonts w:ascii="Times New Roman" w:hAnsi="Times New Roman" w:cs="Times New Roman"/>
                <w:color w:val="000000" w:themeColor="text1"/>
                <w:sz w:val="24"/>
                <w:szCs w:val="24"/>
              </w:rPr>
            </w:pPr>
            <w:r w:rsidRPr="00872636">
              <w:rPr>
                <w:rFonts w:ascii="Times New Roman" w:hAnsi="Times New Roman" w:cs="Times New Roman"/>
                <w:color w:val="000000" w:themeColor="text1"/>
                <w:sz w:val="24"/>
                <w:szCs w:val="24"/>
              </w:rPr>
              <w:t>ASTM</w:t>
            </w:r>
          </w:p>
        </w:tc>
        <w:tc>
          <w:tcPr>
            <w:tcW w:w="3526" w:type="dxa"/>
          </w:tcPr>
          <w:p w14:paraId="6A7FE8B0" w14:textId="703C2B8A" w:rsidR="0088052D" w:rsidRPr="00872636" w:rsidRDefault="0088052D" w:rsidP="00872636">
            <w:pPr>
              <w:spacing w:line="276" w:lineRule="auto"/>
              <w:rPr>
                <w:rFonts w:ascii="Times New Roman" w:hAnsi="Times New Roman" w:cs="Times New Roman"/>
                <w:color w:val="000000" w:themeColor="text1"/>
                <w:sz w:val="24"/>
                <w:szCs w:val="24"/>
              </w:rPr>
            </w:pPr>
            <w:r w:rsidRPr="00872636">
              <w:rPr>
                <w:rFonts w:ascii="Times New Roman" w:hAnsi="Times New Roman" w:cs="Times New Roman"/>
                <w:sz w:val="24"/>
                <w:szCs w:val="24"/>
              </w:rPr>
              <w:t>American Society for Testing and Materials</w:t>
            </w:r>
          </w:p>
        </w:tc>
        <w:tc>
          <w:tcPr>
            <w:tcW w:w="1177" w:type="dxa"/>
          </w:tcPr>
          <w:p w14:paraId="51D2F429" w14:textId="0D1D0EDF"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LTA</w:t>
            </w:r>
          </w:p>
        </w:tc>
        <w:tc>
          <w:tcPr>
            <w:tcW w:w="3531" w:type="dxa"/>
          </w:tcPr>
          <w:p w14:paraId="4702C191" w14:textId="2ED0499E"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Large twin aisle</w:t>
            </w:r>
          </w:p>
        </w:tc>
      </w:tr>
      <w:tr w:rsidR="0088052D" w:rsidRPr="007D699F" w14:paraId="4BE86624" w14:textId="0EFBA873" w:rsidTr="00872636">
        <w:trPr>
          <w:trHeight w:val="207"/>
        </w:trPr>
        <w:tc>
          <w:tcPr>
            <w:tcW w:w="1177" w:type="dxa"/>
          </w:tcPr>
          <w:p w14:paraId="285B00E3" w14:textId="6D25F99D" w:rsidR="0088052D" w:rsidRPr="00872636" w:rsidRDefault="0088052D" w:rsidP="00872636">
            <w:pPr>
              <w:spacing w:line="276" w:lineRule="auto"/>
              <w:rPr>
                <w:rFonts w:ascii="Times New Roman" w:hAnsi="Times New Roman" w:cs="Times New Roman"/>
                <w:color w:val="000000" w:themeColor="text1"/>
                <w:sz w:val="24"/>
                <w:szCs w:val="24"/>
              </w:rPr>
            </w:pPr>
            <w:r w:rsidRPr="00872636">
              <w:rPr>
                <w:rFonts w:ascii="Times New Roman" w:hAnsi="Times New Roman" w:cs="Times New Roman"/>
                <w:sz w:val="24"/>
                <w:szCs w:val="24"/>
              </w:rPr>
              <w:t>ATJ</w:t>
            </w:r>
          </w:p>
        </w:tc>
        <w:tc>
          <w:tcPr>
            <w:tcW w:w="3526" w:type="dxa"/>
          </w:tcPr>
          <w:p w14:paraId="463DCCD8" w14:textId="64E5EC80"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Alcohol-to-jet</w:t>
            </w:r>
          </w:p>
        </w:tc>
        <w:tc>
          <w:tcPr>
            <w:tcW w:w="1177" w:type="dxa"/>
          </w:tcPr>
          <w:p w14:paraId="34B9C1FE" w14:textId="07A50C9E"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i/>
                <w:iCs/>
                <w:sz w:val="24"/>
                <w:szCs w:val="24"/>
                <w:lang w:eastAsia="en-GB"/>
              </w:rPr>
              <w:t>L/D</w:t>
            </w:r>
          </w:p>
        </w:tc>
        <w:tc>
          <w:tcPr>
            <w:tcW w:w="3531" w:type="dxa"/>
          </w:tcPr>
          <w:p w14:paraId="6779EDF6" w14:textId="61E1B12F"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lang w:eastAsia="en-GB"/>
              </w:rPr>
              <w:t>Lift to drag ratio</w:t>
            </w:r>
          </w:p>
        </w:tc>
      </w:tr>
      <w:tr w:rsidR="0088052D" w:rsidRPr="007D699F" w14:paraId="17691B24" w14:textId="6255FEBA" w:rsidTr="00872636">
        <w:trPr>
          <w:trHeight w:val="228"/>
        </w:trPr>
        <w:tc>
          <w:tcPr>
            <w:tcW w:w="1177" w:type="dxa"/>
          </w:tcPr>
          <w:p w14:paraId="6BAAD74A" w14:textId="21F77822"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i/>
                <w:iCs/>
                <w:sz w:val="24"/>
                <w:szCs w:val="24"/>
                <w:lang w:eastAsia="en-GB"/>
              </w:rPr>
              <w:t>C</w:t>
            </w:r>
            <w:r w:rsidRPr="00872636">
              <w:rPr>
                <w:rFonts w:ascii="Times New Roman" w:hAnsi="Times New Roman" w:cs="Times New Roman"/>
                <w:sz w:val="24"/>
                <w:szCs w:val="24"/>
                <w:vertAlign w:val="subscript"/>
                <w:lang w:eastAsia="en-GB"/>
              </w:rPr>
              <w:t>D</w:t>
            </w:r>
          </w:p>
        </w:tc>
        <w:tc>
          <w:tcPr>
            <w:tcW w:w="3526" w:type="dxa"/>
          </w:tcPr>
          <w:p w14:paraId="141226D9" w14:textId="2DC880E7"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lang w:eastAsia="en-GB"/>
              </w:rPr>
              <w:t>Total drag coefficient</w:t>
            </w:r>
          </w:p>
        </w:tc>
        <w:tc>
          <w:tcPr>
            <w:tcW w:w="1177" w:type="dxa"/>
          </w:tcPr>
          <w:p w14:paraId="4C489685" w14:textId="2A574339" w:rsidR="0088052D" w:rsidRPr="00872636" w:rsidRDefault="0088052D"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sz w:val="24"/>
                <w:szCs w:val="24"/>
              </w:rPr>
              <w:t>MTOW</w:t>
            </w:r>
          </w:p>
        </w:tc>
        <w:tc>
          <w:tcPr>
            <w:tcW w:w="3531" w:type="dxa"/>
          </w:tcPr>
          <w:p w14:paraId="181A0003" w14:textId="70BAB1CD" w:rsidR="0088052D" w:rsidRPr="00872636" w:rsidRDefault="0088052D"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sz w:val="24"/>
                <w:szCs w:val="24"/>
              </w:rPr>
              <w:t>Maximum take-off weight</w:t>
            </w:r>
          </w:p>
        </w:tc>
      </w:tr>
      <w:tr w:rsidR="0088052D" w:rsidRPr="007D699F" w14:paraId="7FF04C7F" w14:textId="2826C246" w:rsidTr="00872636">
        <w:trPr>
          <w:trHeight w:val="207"/>
        </w:trPr>
        <w:tc>
          <w:tcPr>
            <w:tcW w:w="1177" w:type="dxa"/>
          </w:tcPr>
          <w:p w14:paraId="28F63F62" w14:textId="59F12CA3"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i/>
                <w:iCs/>
                <w:sz w:val="24"/>
                <w:szCs w:val="24"/>
                <w:lang w:eastAsia="en-GB"/>
              </w:rPr>
              <w:t>C</w:t>
            </w:r>
            <w:r w:rsidRPr="00872636">
              <w:rPr>
                <w:rFonts w:ascii="Times New Roman" w:hAnsi="Times New Roman" w:cs="Times New Roman"/>
                <w:sz w:val="24"/>
                <w:szCs w:val="24"/>
                <w:vertAlign w:val="subscript"/>
                <w:lang w:eastAsia="en-GB"/>
              </w:rPr>
              <w:t>f</w:t>
            </w:r>
          </w:p>
        </w:tc>
        <w:tc>
          <w:tcPr>
            <w:tcW w:w="3526" w:type="dxa"/>
          </w:tcPr>
          <w:p w14:paraId="09EA634E" w14:textId="144A606E"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lang w:eastAsia="en-GB"/>
              </w:rPr>
              <w:t>Skin friction coefficient</w:t>
            </w:r>
          </w:p>
        </w:tc>
        <w:tc>
          <w:tcPr>
            <w:tcW w:w="1177" w:type="dxa"/>
          </w:tcPr>
          <w:p w14:paraId="46AAF52A" w14:textId="45440C58" w:rsidR="0088052D" w:rsidRPr="00872636" w:rsidRDefault="0088052D" w:rsidP="00872636">
            <w:pPr>
              <w:spacing w:line="276" w:lineRule="auto"/>
              <w:rPr>
                <w:rFonts w:ascii="Times New Roman" w:hAnsi="Times New Roman" w:cs="Times New Roman"/>
                <w:sz w:val="24"/>
                <w:szCs w:val="24"/>
                <w:lang w:eastAsia="en-GB"/>
              </w:rPr>
            </w:pPr>
            <w:r w:rsidRPr="00872636">
              <w:rPr>
                <w:rFonts w:ascii="Times New Roman" w:eastAsia="Times New Roman" w:hAnsi="Times New Roman" w:cs="Times New Roman"/>
                <w:sz w:val="24"/>
                <w:szCs w:val="24"/>
              </w:rPr>
              <w:t>NO</w:t>
            </w:r>
            <w:r w:rsidRPr="00872636">
              <w:rPr>
                <w:rFonts w:ascii="Times New Roman" w:eastAsia="Times New Roman" w:hAnsi="Times New Roman" w:cs="Times New Roman"/>
                <w:sz w:val="24"/>
                <w:szCs w:val="24"/>
                <w:vertAlign w:val="subscript"/>
              </w:rPr>
              <w:t>x</w:t>
            </w:r>
          </w:p>
        </w:tc>
        <w:tc>
          <w:tcPr>
            <w:tcW w:w="3531" w:type="dxa"/>
          </w:tcPr>
          <w:p w14:paraId="71F7CD5F" w14:textId="5E9A6402" w:rsidR="0088052D" w:rsidRPr="00872636" w:rsidRDefault="0088052D" w:rsidP="00872636">
            <w:pPr>
              <w:spacing w:line="276" w:lineRule="auto"/>
              <w:rPr>
                <w:rFonts w:ascii="Times New Roman" w:hAnsi="Times New Roman" w:cs="Times New Roman"/>
                <w:sz w:val="24"/>
                <w:szCs w:val="24"/>
                <w:lang w:eastAsia="en-GB"/>
              </w:rPr>
            </w:pPr>
            <w:r w:rsidRPr="00872636">
              <w:rPr>
                <w:rFonts w:ascii="Times New Roman" w:eastAsia="Times New Roman" w:hAnsi="Times New Roman" w:cs="Times New Roman"/>
                <w:sz w:val="24"/>
                <w:szCs w:val="24"/>
              </w:rPr>
              <w:t>Oxides of nitrogen</w:t>
            </w:r>
          </w:p>
        </w:tc>
      </w:tr>
      <w:tr w:rsidR="0088052D" w:rsidRPr="007D699F" w14:paraId="1F4BE698" w14:textId="7654CBB5" w:rsidTr="00872636">
        <w:trPr>
          <w:trHeight w:val="207"/>
        </w:trPr>
        <w:tc>
          <w:tcPr>
            <w:tcW w:w="1177" w:type="dxa"/>
          </w:tcPr>
          <w:p w14:paraId="7CDEA058" w14:textId="6F3B31C7" w:rsidR="0088052D" w:rsidRPr="00872636" w:rsidRDefault="0088052D" w:rsidP="00872636">
            <w:pPr>
              <w:spacing w:line="276" w:lineRule="auto"/>
              <w:rPr>
                <w:rFonts w:ascii="Times New Roman" w:hAnsi="Times New Roman" w:cs="Times New Roman"/>
                <w:i/>
                <w:iCs/>
                <w:sz w:val="24"/>
                <w:szCs w:val="24"/>
                <w:lang w:eastAsia="en-GB"/>
              </w:rPr>
            </w:pPr>
            <w:r w:rsidRPr="00872636">
              <w:rPr>
                <w:rFonts w:ascii="Times New Roman" w:hAnsi="Times New Roman" w:cs="Times New Roman"/>
                <w:i/>
                <w:iCs/>
                <w:sz w:val="24"/>
                <w:szCs w:val="24"/>
                <w:lang w:eastAsia="en-GB"/>
              </w:rPr>
              <w:t>C</w:t>
            </w:r>
            <w:r w:rsidRPr="00872636">
              <w:rPr>
                <w:rFonts w:ascii="Times New Roman" w:hAnsi="Times New Roman" w:cs="Times New Roman"/>
                <w:sz w:val="24"/>
                <w:szCs w:val="24"/>
                <w:vertAlign w:val="subscript"/>
                <w:lang w:eastAsia="en-GB"/>
              </w:rPr>
              <w:t>L</w:t>
            </w:r>
          </w:p>
        </w:tc>
        <w:tc>
          <w:tcPr>
            <w:tcW w:w="3526" w:type="dxa"/>
          </w:tcPr>
          <w:p w14:paraId="03BA5B44" w14:textId="4CF19D2C" w:rsidR="0088052D" w:rsidRPr="00872636" w:rsidRDefault="0088052D"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sz w:val="24"/>
                <w:szCs w:val="24"/>
                <w:lang w:eastAsia="en-GB"/>
              </w:rPr>
              <w:t>Lift coefficient</w:t>
            </w:r>
          </w:p>
        </w:tc>
        <w:tc>
          <w:tcPr>
            <w:tcW w:w="1177" w:type="dxa"/>
          </w:tcPr>
          <w:p w14:paraId="6986CD76" w14:textId="63FB8AF9" w:rsidR="0088052D" w:rsidRPr="00872636" w:rsidRDefault="0088052D"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sz w:val="24"/>
                <w:szCs w:val="24"/>
              </w:rPr>
              <w:t>OEW</w:t>
            </w:r>
          </w:p>
        </w:tc>
        <w:tc>
          <w:tcPr>
            <w:tcW w:w="3531" w:type="dxa"/>
          </w:tcPr>
          <w:p w14:paraId="2E17C3FC" w14:textId="440F6206" w:rsidR="0088052D" w:rsidRPr="00872636" w:rsidRDefault="0088052D"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sz w:val="24"/>
                <w:szCs w:val="24"/>
              </w:rPr>
              <w:t>Operating empty weight</w:t>
            </w:r>
          </w:p>
        </w:tc>
      </w:tr>
      <w:tr w:rsidR="0088052D" w:rsidRPr="007D699F" w14:paraId="6D22B5B4" w14:textId="6DB89F47" w:rsidTr="00872636">
        <w:trPr>
          <w:trHeight w:val="207"/>
        </w:trPr>
        <w:tc>
          <w:tcPr>
            <w:tcW w:w="1177" w:type="dxa"/>
          </w:tcPr>
          <w:p w14:paraId="14E1C15B" w14:textId="403275A2" w:rsidR="0088052D" w:rsidRPr="00872636" w:rsidRDefault="0088052D" w:rsidP="00872636">
            <w:pPr>
              <w:spacing w:line="276" w:lineRule="auto"/>
              <w:rPr>
                <w:rFonts w:ascii="Times New Roman" w:hAnsi="Times New Roman" w:cs="Times New Roman"/>
                <w:color w:val="000000" w:themeColor="text1"/>
                <w:sz w:val="24"/>
                <w:szCs w:val="24"/>
              </w:rPr>
            </w:pPr>
            <w:r w:rsidRPr="00872636">
              <w:rPr>
                <w:rFonts w:ascii="Times New Roman" w:hAnsi="Times New Roman" w:cs="Times New Roman"/>
                <w:color w:val="000000" w:themeColor="text1"/>
                <w:sz w:val="24"/>
                <w:szCs w:val="24"/>
              </w:rPr>
              <w:t>CO</w:t>
            </w:r>
          </w:p>
        </w:tc>
        <w:tc>
          <w:tcPr>
            <w:tcW w:w="3526" w:type="dxa"/>
          </w:tcPr>
          <w:p w14:paraId="33C379C1" w14:textId="01F2C162" w:rsidR="0088052D" w:rsidRPr="00872636" w:rsidRDefault="0088052D" w:rsidP="00872636">
            <w:pPr>
              <w:spacing w:line="276" w:lineRule="auto"/>
              <w:rPr>
                <w:rFonts w:ascii="Times New Roman" w:hAnsi="Times New Roman" w:cs="Times New Roman"/>
                <w:color w:val="000000" w:themeColor="text1"/>
                <w:sz w:val="24"/>
                <w:szCs w:val="24"/>
              </w:rPr>
            </w:pPr>
            <w:r w:rsidRPr="00872636">
              <w:rPr>
                <w:rFonts w:ascii="Times New Roman" w:hAnsi="Times New Roman" w:cs="Times New Roman"/>
                <w:color w:val="000000" w:themeColor="text1"/>
                <w:sz w:val="24"/>
                <w:szCs w:val="24"/>
              </w:rPr>
              <w:t>Carbon monoxide</w:t>
            </w:r>
          </w:p>
        </w:tc>
        <w:tc>
          <w:tcPr>
            <w:tcW w:w="1177" w:type="dxa"/>
          </w:tcPr>
          <w:p w14:paraId="7E474504" w14:textId="1D306BC7" w:rsidR="0088052D" w:rsidRPr="00872636" w:rsidRDefault="0088052D" w:rsidP="00872636">
            <w:pPr>
              <w:spacing w:line="276" w:lineRule="auto"/>
              <w:rPr>
                <w:rFonts w:ascii="Times New Roman" w:hAnsi="Times New Roman" w:cs="Times New Roman"/>
                <w:color w:val="000000" w:themeColor="text1"/>
                <w:sz w:val="24"/>
                <w:szCs w:val="24"/>
              </w:rPr>
            </w:pPr>
            <w:r w:rsidRPr="00872636">
              <w:rPr>
                <w:rFonts w:ascii="Times New Roman" w:hAnsi="Times New Roman" w:cs="Times New Roman"/>
                <w:sz w:val="24"/>
                <w:szCs w:val="24"/>
              </w:rPr>
              <w:t>PtL</w:t>
            </w:r>
          </w:p>
        </w:tc>
        <w:tc>
          <w:tcPr>
            <w:tcW w:w="3531" w:type="dxa"/>
          </w:tcPr>
          <w:p w14:paraId="5EC35B15" w14:textId="65A384D6" w:rsidR="0088052D" w:rsidRPr="00872636" w:rsidRDefault="0088052D" w:rsidP="00872636">
            <w:pPr>
              <w:spacing w:line="276" w:lineRule="auto"/>
              <w:rPr>
                <w:rFonts w:ascii="Times New Roman" w:hAnsi="Times New Roman" w:cs="Times New Roman"/>
                <w:color w:val="000000" w:themeColor="text1"/>
                <w:sz w:val="24"/>
                <w:szCs w:val="24"/>
              </w:rPr>
            </w:pPr>
            <w:r w:rsidRPr="00872636">
              <w:rPr>
                <w:rFonts w:ascii="Times New Roman" w:hAnsi="Times New Roman" w:cs="Times New Roman"/>
                <w:sz w:val="24"/>
                <w:szCs w:val="24"/>
              </w:rPr>
              <w:t>Power-to-liquid fuel</w:t>
            </w:r>
          </w:p>
        </w:tc>
      </w:tr>
      <w:tr w:rsidR="0088052D" w:rsidRPr="007D699F" w14:paraId="1D121429" w14:textId="243CA658" w:rsidTr="00872636">
        <w:trPr>
          <w:trHeight w:val="207"/>
        </w:trPr>
        <w:tc>
          <w:tcPr>
            <w:tcW w:w="1177" w:type="dxa"/>
          </w:tcPr>
          <w:p w14:paraId="08C5A075" w14:textId="599C19BF" w:rsidR="0088052D" w:rsidRPr="00872636" w:rsidRDefault="0088052D" w:rsidP="00872636">
            <w:pPr>
              <w:spacing w:line="276" w:lineRule="auto"/>
              <w:rPr>
                <w:rFonts w:ascii="Times New Roman" w:hAnsi="Times New Roman" w:cs="Times New Roman"/>
                <w:color w:val="000000" w:themeColor="text1"/>
                <w:sz w:val="24"/>
                <w:szCs w:val="24"/>
              </w:rPr>
            </w:pPr>
            <w:r w:rsidRPr="00872636">
              <w:rPr>
                <w:rFonts w:ascii="Times New Roman" w:hAnsi="Times New Roman" w:cs="Times New Roman"/>
                <w:sz w:val="24"/>
                <w:szCs w:val="24"/>
              </w:rPr>
              <w:t>CO</w:t>
            </w:r>
            <w:r w:rsidRPr="00872636">
              <w:rPr>
                <w:rFonts w:ascii="Times New Roman" w:hAnsi="Times New Roman" w:cs="Times New Roman"/>
                <w:sz w:val="24"/>
                <w:szCs w:val="24"/>
                <w:vertAlign w:val="subscript"/>
              </w:rPr>
              <w:t>2</w:t>
            </w:r>
          </w:p>
        </w:tc>
        <w:tc>
          <w:tcPr>
            <w:tcW w:w="3526" w:type="dxa"/>
          </w:tcPr>
          <w:p w14:paraId="20A9619A" w14:textId="650B97D8" w:rsidR="0088052D" w:rsidRPr="00872636" w:rsidRDefault="0088052D" w:rsidP="00872636">
            <w:pPr>
              <w:spacing w:line="276" w:lineRule="auto"/>
              <w:rPr>
                <w:rFonts w:ascii="Times New Roman" w:hAnsi="Times New Roman" w:cs="Times New Roman"/>
                <w:color w:val="000000" w:themeColor="text1"/>
                <w:sz w:val="24"/>
                <w:szCs w:val="24"/>
              </w:rPr>
            </w:pPr>
            <w:r w:rsidRPr="00872636">
              <w:rPr>
                <w:rFonts w:ascii="Times New Roman" w:hAnsi="Times New Roman" w:cs="Times New Roman"/>
                <w:color w:val="000000" w:themeColor="text1"/>
                <w:sz w:val="24"/>
                <w:szCs w:val="24"/>
              </w:rPr>
              <w:t>Carbon dioxide</w:t>
            </w:r>
          </w:p>
        </w:tc>
        <w:tc>
          <w:tcPr>
            <w:tcW w:w="1177" w:type="dxa"/>
          </w:tcPr>
          <w:p w14:paraId="18237ED5" w14:textId="4D2BF3E3" w:rsidR="0088052D" w:rsidRPr="00872636" w:rsidRDefault="0088052D" w:rsidP="00872636">
            <w:pPr>
              <w:spacing w:line="276" w:lineRule="auto"/>
              <w:rPr>
                <w:rFonts w:ascii="Times New Roman" w:hAnsi="Times New Roman" w:cs="Times New Roman"/>
                <w:color w:val="000000" w:themeColor="text1"/>
                <w:sz w:val="24"/>
                <w:szCs w:val="24"/>
              </w:rPr>
            </w:pPr>
            <w:r w:rsidRPr="00872636">
              <w:rPr>
                <w:rFonts w:ascii="Times New Roman" w:hAnsi="Times New Roman" w:cs="Times New Roman"/>
                <w:i/>
                <w:iCs/>
                <w:sz w:val="24"/>
                <w:szCs w:val="24"/>
              </w:rPr>
              <w:t>R</w:t>
            </w:r>
          </w:p>
        </w:tc>
        <w:tc>
          <w:tcPr>
            <w:tcW w:w="3531" w:type="dxa"/>
          </w:tcPr>
          <w:p w14:paraId="45C63A36" w14:textId="2A3825C1" w:rsidR="0088052D" w:rsidRPr="00872636" w:rsidRDefault="0088052D" w:rsidP="00872636">
            <w:pPr>
              <w:spacing w:line="276" w:lineRule="auto"/>
              <w:rPr>
                <w:rFonts w:ascii="Times New Roman" w:hAnsi="Times New Roman" w:cs="Times New Roman"/>
                <w:color w:val="000000" w:themeColor="text1"/>
                <w:sz w:val="24"/>
                <w:szCs w:val="24"/>
              </w:rPr>
            </w:pPr>
            <w:r w:rsidRPr="00872636">
              <w:rPr>
                <w:rFonts w:ascii="Times New Roman" w:hAnsi="Times New Roman" w:cs="Times New Roman"/>
                <w:sz w:val="24"/>
                <w:szCs w:val="24"/>
              </w:rPr>
              <w:t>Range</w:t>
            </w:r>
          </w:p>
        </w:tc>
      </w:tr>
      <w:tr w:rsidR="0088052D" w:rsidRPr="007D699F" w14:paraId="40440D29" w14:textId="2483EA8D" w:rsidTr="00872636">
        <w:trPr>
          <w:trHeight w:val="207"/>
        </w:trPr>
        <w:tc>
          <w:tcPr>
            <w:tcW w:w="1177" w:type="dxa"/>
          </w:tcPr>
          <w:p w14:paraId="646F8AFF" w14:textId="1BAF57A7"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i/>
                <w:iCs/>
                <w:sz w:val="24"/>
                <w:szCs w:val="24"/>
                <w:lang w:eastAsia="en-GB"/>
              </w:rPr>
              <w:t>d</w:t>
            </w:r>
            <w:r w:rsidRPr="00872636">
              <w:rPr>
                <w:rFonts w:ascii="Times New Roman" w:hAnsi="Times New Roman" w:cs="Times New Roman"/>
                <w:sz w:val="24"/>
                <w:szCs w:val="24"/>
                <w:vertAlign w:val="subscript"/>
                <w:lang w:eastAsia="en-GB"/>
              </w:rPr>
              <w:t>f</w:t>
            </w:r>
          </w:p>
        </w:tc>
        <w:tc>
          <w:tcPr>
            <w:tcW w:w="3526" w:type="dxa"/>
          </w:tcPr>
          <w:p w14:paraId="2634523F" w14:textId="30C25ED0" w:rsidR="0088052D" w:rsidRPr="00872636" w:rsidRDefault="0088052D" w:rsidP="00872636">
            <w:pPr>
              <w:spacing w:line="276" w:lineRule="auto"/>
              <w:rPr>
                <w:rFonts w:ascii="Times New Roman" w:hAnsi="Times New Roman" w:cs="Times New Roman"/>
                <w:color w:val="000000" w:themeColor="text1"/>
                <w:sz w:val="24"/>
                <w:szCs w:val="24"/>
              </w:rPr>
            </w:pPr>
            <w:r w:rsidRPr="00872636">
              <w:rPr>
                <w:rFonts w:ascii="Times New Roman" w:hAnsi="Times New Roman" w:cs="Times New Roman"/>
                <w:sz w:val="24"/>
                <w:szCs w:val="24"/>
                <w:lang w:eastAsia="en-GB"/>
              </w:rPr>
              <w:t>Fuselage diameter</w:t>
            </w:r>
          </w:p>
        </w:tc>
        <w:tc>
          <w:tcPr>
            <w:tcW w:w="1177" w:type="dxa"/>
          </w:tcPr>
          <w:p w14:paraId="62D147CD" w14:textId="470D323B" w:rsidR="0088052D" w:rsidRPr="00872636" w:rsidRDefault="0088052D"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sz w:val="24"/>
                <w:szCs w:val="24"/>
              </w:rPr>
              <w:t>SEC</w:t>
            </w:r>
          </w:p>
        </w:tc>
        <w:tc>
          <w:tcPr>
            <w:tcW w:w="3531" w:type="dxa"/>
          </w:tcPr>
          <w:p w14:paraId="73C9F903" w14:textId="604CE875" w:rsidR="0088052D" w:rsidRPr="00872636" w:rsidRDefault="0088052D"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sz w:val="24"/>
                <w:szCs w:val="24"/>
              </w:rPr>
              <w:t>Specific energy consumption</w:t>
            </w:r>
          </w:p>
        </w:tc>
      </w:tr>
      <w:tr w:rsidR="0088052D" w:rsidRPr="007D699F" w14:paraId="55CCC181" w14:textId="08EAC1F8" w:rsidTr="00872636">
        <w:trPr>
          <w:trHeight w:val="207"/>
        </w:trPr>
        <w:tc>
          <w:tcPr>
            <w:tcW w:w="1177" w:type="dxa"/>
          </w:tcPr>
          <w:p w14:paraId="6158E2C0" w14:textId="4C6C41A1"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FCS</w:t>
            </w:r>
          </w:p>
        </w:tc>
        <w:tc>
          <w:tcPr>
            <w:tcW w:w="3526" w:type="dxa"/>
          </w:tcPr>
          <w:p w14:paraId="29FFCF9F" w14:textId="72A83C31" w:rsidR="0088052D" w:rsidRPr="00872636" w:rsidRDefault="0088052D" w:rsidP="00872636">
            <w:pPr>
              <w:spacing w:line="276" w:lineRule="auto"/>
              <w:rPr>
                <w:rFonts w:ascii="Times New Roman" w:hAnsi="Times New Roman" w:cs="Times New Roman"/>
                <w:color w:val="000000" w:themeColor="text1"/>
                <w:sz w:val="24"/>
                <w:szCs w:val="24"/>
              </w:rPr>
            </w:pPr>
            <w:r w:rsidRPr="00872636">
              <w:rPr>
                <w:rFonts w:ascii="Times New Roman" w:hAnsi="Times New Roman" w:cs="Times New Roman"/>
                <w:sz w:val="24"/>
                <w:szCs w:val="24"/>
                <w:lang w:eastAsia="en-GB"/>
              </w:rPr>
              <w:t>Fuel cell systems</w:t>
            </w:r>
          </w:p>
        </w:tc>
        <w:tc>
          <w:tcPr>
            <w:tcW w:w="1177" w:type="dxa"/>
          </w:tcPr>
          <w:p w14:paraId="41B128FC" w14:textId="017EC758" w:rsidR="0088052D" w:rsidRPr="00872636" w:rsidRDefault="0088052D"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sz w:val="24"/>
                <w:szCs w:val="24"/>
              </w:rPr>
              <w:t>SO</w:t>
            </w:r>
            <w:r w:rsidRPr="00872636">
              <w:rPr>
                <w:rFonts w:ascii="Times New Roman" w:hAnsi="Times New Roman" w:cs="Times New Roman"/>
                <w:sz w:val="24"/>
                <w:szCs w:val="24"/>
                <w:vertAlign w:val="subscript"/>
              </w:rPr>
              <w:t>x</w:t>
            </w:r>
          </w:p>
        </w:tc>
        <w:tc>
          <w:tcPr>
            <w:tcW w:w="3531" w:type="dxa"/>
          </w:tcPr>
          <w:p w14:paraId="311FEAD6" w14:textId="77B23197" w:rsidR="0088052D" w:rsidRPr="00872636" w:rsidRDefault="0088052D"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color w:val="000000" w:themeColor="text1"/>
                <w:sz w:val="24"/>
                <w:szCs w:val="24"/>
              </w:rPr>
              <w:t xml:space="preserve">Oxides of sulphur </w:t>
            </w:r>
          </w:p>
        </w:tc>
      </w:tr>
      <w:tr w:rsidR="0088052D" w:rsidRPr="007D699F" w14:paraId="42DAD6D2" w14:textId="714B65DE" w:rsidTr="00872636">
        <w:trPr>
          <w:trHeight w:val="228"/>
        </w:trPr>
        <w:tc>
          <w:tcPr>
            <w:tcW w:w="1177" w:type="dxa"/>
          </w:tcPr>
          <w:p w14:paraId="1B37529E" w14:textId="3E65E617"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FCH</w:t>
            </w:r>
          </w:p>
        </w:tc>
        <w:tc>
          <w:tcPr>
            <w:tcW w:w="3526" w:type="dxa"/>
          </w:tcPr>
          <w:p w14:paraId="3469331E" w14:textId="607016B8" w:rsidR="0088052D" w:rsidRPr="00872636" w:rsidRDefault="0088052D"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sz w:val="24"/>
                <w:szCs w:val="24"/>
              </w:rPr>
              <w:t>Fuel Cells and Hydrogen</w:t>
            </w:r>
          </w:p>
        </w:tc>
        <w:tc>
          <w:tcPr>
            <w:tcW w:w="1177" w:type="dxa"/>
          </w:tcPr>
          <w:p w14:paraId="1C1415CC" w14:textId="0A2557A9"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SPK</w:t>
            </w:r>
          </w:p>
        </w:tc>
        <w:tc>
          <w:tcPr>
            <w:tcW w:w="3531" w:type="dxa"/>
          </w:tcPr>
          <w:p w14:paraId="748FF267" w14:textId="55A09954"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Synthetic paraffin kerosene</w:t>
            </w:r>
          </w:p>
        </w:tc>
      </w:tr>
      <w:tr w:rsidR="0088052D" w:rsidRPr="007D699F" w14:paraId="7ED2C737" w14:textId="4650394B" w:rsidTr="00872636">
        <w:trPr>
          <w:trHeight w:val="207"/>
        </w:trPr>
        <w:tc>
          <w:tcPr>
            <w:tcW w:w="1177" w:type="dxa"/>
          </w:tcPr>
          <w:p w14:paraId="641AD90E" w14:textId="437C9568"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FR</w:t>
            </w:r>
          </w:p>
        </w:tc>
        <w:tc>
          <w:tcPr>
            <w:tcW w:w="3526" w:type="dxa"/>
          </w:tcPr>
          <w:p w14:paraId="7505E944" w14:textId="5E548AC8"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Fineness ratio</w:t>
            </w:r>
          </w:p>
        </w:tc>
        <w:tc>
          <w:tcPr>
            <w:tcW w:w="1177" w:type="dxa"/>
          </w:tcPr>
          <w:p w14:paraId="2CDA62FC" w14:textId="0D27086E"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STJ</w:t>
            </w:r>
          </w:p>
        </w:tc>
        <w:tc>
          <w:tcPr>
            <w:tcW w:w="3531" w:type="dxa"/>
          </w:tcPr>
          <w:p w14:paraId="0EB2C2CD" w14:textId="2D7B206E"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sugar-to-jet fuel</w:t>
            </w:r>
          </w:p>
        </w:tc>
      </w:tr>
      <w:tr w:rsidR="0088052D" w:rsidRPr="007D699F" w14:paraId="7FD24F13" w14:textId="32B88B52" w:rsidTr="00872636">
        <w:trPr>
          <w:trHeight w:val="207"/>
        </w:trPr>
        <w:tc>
          <w:tcPr>
            <w:tcW w:w="1177" w:type="dxa"/>
          </w:tcPr>
          <w:p w14:paraId="2B4E89C7" w14:textId="6474680A"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FT</w:t>
            </w:r>
          </w:p>
        </w:tc>
        <w:tc>
          <w:tcPr>
            <w:tcW w:w="3526" w:type="dxa"/>
          </w:tcPr>
          <w:p w14:paraId="7F086331" w14:textId="60C826DD" w:rsidR="0088052D" w:rsidRPr="00872636" w:rsidRDefault="0088052D" w:rsidP="00872636">
            <w:pPr>
              <w:spacing w:line="276" w:lineRule="auto"/>
              <w:rPr>
                <w:rFonts w:ascii="Times New Roman" w:hAnsi="Times New Roman" w:cs="Times New Roman"/>
                <w:color w:val="000000" w:themeColor="text1"/>
                <w:sz w:val="24"/>
                <w:szCs w:val="24"/>
              </w:rPr>
            </w:pPr>
            <w:r w:rsidRPr="00872636">
              <w:rPr>
                <w:rFonts w:ascii="Times New Roman" w:hAnsi="Times New Roman" w:cs="Times New Roman"/>
                <w:sz w:val="24"/>
                <w:szCs w:val="24"/>
              </w:rPr>
              <w:t>Fischer–Tropsch</w:t>
            </w:r>
          </w:p>
        </w:tc>
        <w:tc>
          <w:tcPr>
            <w:tcW w:w="1177" w:type="dxa"/>
          </w:tcPr>
          <w:p w14:paraId="5476F6C1" w14:textId="6797E5D7"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i/>
                <w:iCs/>
                <w:sz w:val="24"/>
                <w:szCs w:val="24"/>
                <w:lang w:eastAsia="en-GB"/>
              </w:rPr>
              <w:t>S</w:t>
            </w:r>
            <w:r w:rsidRPr="00872636">
              <w:rPr>
                <w:rFonts w:ascii="Times New Roman" w:hAnsi="Times New Roman" w:cs="Times New Roman"/>
                <w:sz w:val="24"/>
                <w:szCs w:val="24"/>
                <w:vertAlign w:val="subscript"/>
                <w:lang w:eastAsia="en-GB"/>
              </w:rPr>
              <w:t>wet</w:t>
            </w:r>
          </w:p>
        </w:tc>
        <w:tc>
          <w:tcPr>
            <w:tcW w:w="3531" w:type="dxa"/>
          </w:tcPr>
          <w:p w14:paraId="6CC5A326" w14:textId="495946B1"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lang w:eastAsia="en-GB"/>
              </w:rPr>
              <w:t>Aircraft wetted area</w:t>
            </w:r>
          </w:p>
        </w:tc>
      </w:tr>
      <w:tr w:rsidR="0088052D" w:rsidRPr="007D699F" w14:paraId="10118E4D" w14:textId="0AE3421D" w:rsidTr="00872636">
        <w:trPr>
          <w:trHeight w:val="415"/>
        </w:trPr>
        <w:tc>
          <w:tcPr>
            <w:tcW w:w="1177" w:type="dxa"/>
          </w:tcPr>
          <w:p w14:paraId="78ACC56C" w14:textId="684A5C7F"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i/>
                <w:iCs/>
                <w:sz w:val="24"/>
                <w:szCs w:val="24"/>
                <w:lang w:eastAsia="en-GB"/>
              </w:rPr>
              <w:t>g</w:t>
            </w:r>
          </w:p>
        </w:tc>
        <w:tc>
          <w:tcPr>
            <w:tcW w:w="3526" w:type="dxa"/>
          </w:tcPr>
          <w:p w14:paraId="171EB4FA" w14:textId="07CB7158"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lang w:eastAsia="en-GB"/>
              </w:rPr>
              <w:t>Acceleration due to gravity</w:t>
            </w:r>
          </w:p>
        </w:tc>
        <w:tc>
          <w:tcPr>
            <w:tcW w:w="1177" w:type="dxa"/>
          </w:tcPr>
          <w:p w14:paraId="7266EBB4" w14:textId="00F9C920" w:rsidR="0088052D" w:rsidRPr="00872636" w:rsidRDefault="0088052D"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i/>
                <w:iCs/>
                <w:sz w:val="24"/>
                <w:szCs w:val="24"/>
                <w:lang w:eastAsia="en-GB"/>
              </w:rPr>
              <w:t>S</w:t>
            </w:r>
            <w:r w:rsidRPr="00872636">
              <w:rPr>
                <w:rFonts w:ascii="Times New Roman" w:hAnsi="Times New Roman" w:cs="Times New Roman"/>
                <w:sz w:val="24"/>
                <w:szCs w:val="24"/>
                <w:vertAlign w:val="subscript"/>
                <w:lang w:eastAsia="en-GB"/>
              </w:rPr>
              <w:t>wet, Fuselage</w:t>
            </w:r>
          </w:p>
        </w:tc>
        <w:tc>
          <w:tcPr>
            <w:tcW w:w="3531" w:type="dxa"/>
          </w:tcPr>
          <w:p w14:paraId="4B6C087C" w14:textId="09A5756B" w:rsidR="0088052D" w:rsidRPr="00872636" w:rsidRDefault="0088052D"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sz w:val="24"/>
                <w:szCs w:val="24"/>
                <w:lang w:eastAsia="en-GB"/>
              </w:rPr>
              <w:t>Fuselage wetted area</w:t>
            </w:r>
          </w:p>
        </w:tc>
      </w:tr>
      <w:tr w:rsidR="0088052D" w:rsidRPr="007D699F" w14:paraId="55551AB7" w14:textId="394B085A" w:rsidTr="00872636">
        <w:trPr>
          <w:trHeight w:val="415"/>
        </w:trPr>
        <w:tc>
          <w:tcPr>
            <w:tcW w:w="1177" w:type="dxa"/>
          </w:tcPr>
          <w:p w14:paraId="0984AC38" w14:textId="4AF74760"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GHG</w:t>
            </w:r>
          </w:p>
        </w:tc>
        <w:tc>
          <w:tcPr>
            <w:tcW w:w="3526" w:type="dxa"/>
          </w:tcPr>
          <w:p w14:paraId="41CFA0B5" w14:textId="2609FB7C"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Greenhouse gas</w:t>
            </w:r>
          </w:p>
        </w:tc>
        <w:tc>
          <w:tcPr>
            <w:tcW w:w="1177" w:type="dxa"/>
          </w:tcPr>
          <w:p w14:paraId="2F13225C" w14:textId="2B964478"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TeDP</w:t>
            </w:r>
          </w:p>
        </w:tc>
        <w:tc>
          <w:tcPr>
            <w:tcW w:w="3531" w:type="dxa"/>
          </w:tcPr>
          <w:p w14:paraId="0E8C2F54" w14:textId="3ECD7038"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Turbo-electric distributed propulsion</w:t>
            </w:r>
          </w:p>
        </w:tc>
      </w:tr>
      <w:tr w:rsidR="00CB6ACB" w:rsidRPr="007D699F" w14:paraId="5E04F12D" w14:textId="77777777" w:rsidTr="00872636">
        <w:trPr>
          <w:trHeight w:val="207"/>
        </w:trPr>
        <w:tc>
          <w:tcPr>
            <w:tcW w:w="1177" w:type="dxa"/>
          </w:tcPr>
          <w:p w14:paraId="0FACE089" w14:textId="77777777" w:rsidR="00CB6ACB" w:rsidRPr="00872636" w:rsidRDefault="00CB6ACB" w:rsidP="00872636">
            <w:pPr>
              <w:spacing w:line="276" w:lineRule="auto"/>
              <w:rPr>
                <w:rFonts w:ascii="Times New Roman" w:hAnsi="Times New Roman" w:cs="Times New Roman"/>
                <w:sz w:val="24"/>
                <w:szCs w:val="24"/>
              </w:rPr>
            </w:pPr>
          </w:p>
        </w:tc>
        <w:tc>
          <w:tcPr>
            <w:tcW w:w="3526" w:type="dxa"/>
          </w:tcPr>
          <w:p w14:paraId="762EAF06" w14:textId="77777777" w:rsidR="00CB6ACB" w:rsidRPr="00872636" w:rsidRDefault="00CB6ACB" w:rsidP="00872636">
            <w:pPr>
              <w:spacing w:line="276" w:lineRule="auto"/>
              <w:rPr>
                <w:rFonts w:ascii="Times New Roman" w:hAnsi="Times New Roman" w:cs="Times New Roman"/>
                <w:sz w:val="24"/>
                <w:szCs w:val="24"/>
              </w:rPr>
            </w:pPr>
          </w:p>
        </w:tc>
        <w:tc>
          <w:tcPr>
            <w:tcW w:w="1177" w:type="dxa"/>
          </w:tcPr>
          <w:p w14:paraId="77FD6F6A" w14:textId="23C5EB54" w:rsidR="00CB6ACB" w:rsidRPr="00872636" w:rsidRDefault="00CB6ACB"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VLTA</w:t>
            </w:r>
          </w:p>
        </w:tc>
        <w:tc>
          <w:tcPr>
            <w:tcW w:w="3531" w:type="dxa"/>
          </w:tcPr>
          <w:p w14:paraId="50A8279F" w14:textId="60ADDF04" w:rsidR="00CB6ACB" w:rsidRPr="00872636" w:rsidRDefault="00CB6ACB"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Very large twin aisle</w:t>
            </w:r>
          </w:p>
        </w:tc>
      </w:tr>
      <w:tr w:rsidR="0088052D" w:rsidRPr="007D699F" w14:paraId="4C3B9D17" w14:textId="092CE31E" w:rsidTr="00872636">
        <w:trPr>
          <w:trHeight w:val="228"/>
        </w:trPr>
        <w:tc>
          <w:tcPr>
            <w:tcW w:w="1177" w:type="dxa"/>
          </w:tcPr>
          <w:p w14:paraId="033FF48D" w14:textId="7620478B"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GTOW</w:t>
            </w:r>
          </w:p>
        </w:tc>
        <w:tc>
          <w:tcPr>
            <w:tcW w:w="3526" w:type="dxa"/>
          </w:tcPr>
          <w:p w14:paraId="47957879" w14:textId="4F6586AC"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Gross take-off weight</w:t>
            </w:r>
          </w:p>
        </w:tc>
        <w:tc>
          <w:tcPr>
            <w:tcW w:w="1177" w:type="dxa"/>
          </w:tcPr>
          <w:p w14:paraId="3C571E2B" w14:textId="6A56F483"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aircraft</w:t>
            </w:r>
          </w:p>
        </w:tc>
        <w:tc>
          <w:tcPr>
            <w:tcW w:w="3531" w:type="dxa"/>
          </w:tcPr>
          <w:p w14:paraId="1A11B3A4" w14:textId="24EF37C8"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lang w:eastAsia="en-GB"/>
              </w:rPr>
              <w:t>Aircraft weight in cruise</w:t>
            </w:r>
          </w:p>
        </w:tc>
      </w:tr>
      <w:tr w:rsidR="0088052D" w:rsidRPr="007D699F" w14:paraId="5A212DC4" w14:textId="02CF7642" w:rsidTr="00872636">
        <w:trPr>
          <w:trHeight w:val="207"/>
        </w:trPr>
        <w:tc>
          <w:tcPr>
            <w:tcW w:w="1177" w:type="dxa"/>
          </w:tcPr>
          <w:p w14:paraId="16A36886" w14:textId="1B8B5865"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i/>
                <w:iCs/>
                <w:sz w:val="24"/>
                <w:szCs w:val="24"/>
                <w:lang w:eastAsia="en-GB"/>
              </w:rPr>
              <w:t>h</w:t>
            </w:r>
          </w:p>
        </w:tc>
        <w:tc>
          <w:tcPr>
            <w:tcW w:w="3526" w:type="dxa"/>
          </w:tcPr>
          <w:p w14:paraId="15EDAD61" w14:textId="4BCAC8B2" w:rsidR="0088052D" w:rsidRPr="00872636" w:rsidRDefault="0088052D" w:rsidP="00872636">
            <w:pPr>
              <w:spacing w:line="276" w:lineRule="auto"/>
              <w:rPr>
                <w:rFonts w:ascii="Times New Roman" w:hAnsi="Times New Roman" w:cs="Times New Roman"/>
                <w:sz w:val="24"/>
                <w:szCs w:val="24"/>
              </w:rPr>
            </w:pPr>
            <w:r w:rsidRPr="00872636">
              <w:rPr>
                <w:rFonts w:ascii="Times New Roman" w:eastAsia="Times New Roman" w:hAnsi="Times New Roman" w:cs="Times New Roman"/>
                <w:sz w:val="24"/>
                <w:szCs w:val="24"/>
                <w:lang w:eastAsia="en-GB"/>
              </w:rPr>
              <w:t>Lower calorific value</w:t>
            </w:r>
          </w:p>
        </w:tc>
        <w:tc>
          <w:tcPr>
            <w:tcW w:w="1177" w:type="dxa"/>
          </w:tcPr>
          <w:p w14:paraId="41BEFBB7" w14:textId="083BC69B" w:rsidR="0088052D" w:rsidRPr="00872636" w:rsidRDefault="0088052D" w:rsidP="00872636">
            <w:pPr>
              <w:spacing w:line="276" w:lineRule="auto"/>
              <w:rPr>
                <w:rFonts w:ascii="Times New Roman" w:eastAsia="Times New Roman" w:hAnsi="Times New Roman" w:cs="Times New Roman"/>
                <w:sz w:val="24"/>
                <w:szCs w:val="24"/>
                <w:lang w:eastAsia="en-GB"/>
              </w:rPr>
            </w:pP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initial</w:t>
            </w:r>
          </w:p>
        </w:tc>
        <w:tc>
          <w:tcPr>
            <w:tcW w:w="3531" w:type="dxa"/>
          </w:tcPr>
          <w:p w14:paraId="6BF8779F" w14:textId="783EDEB4" w:rsidR="0088052D" w:rsidRPr="00872636" w:rsidRDefault="0088052D" w:rsidP="00872636">
            <w:pPr>
              <w:spacing w:line="276" w:lineRule="auto"/>
              <w:rPr>
                <w:rFonts w:ascii="Times New Roman" w:eastAsia="Times New Roman" w:hAnsi="Times New Roman" w:cs="Times New Roman"/>
                <w:sz w:val="24"/>
                <w:szCs w:val="24"/>
                <w:lang w:eastAsia="en-GB"/>
              </w:rPr>
            </w:pPr>
            <w:r w:rsidRPr="00872636">
              <w:rPr>
                <w:rFonts w:ascii="Times New Roman" w:hAnsi="Times New Roman" w:cs="Times New Roman"/>
                <w:sz w:val="24"/>
                <w:szCs w:val="24"/>
                <w:lang w:eastAsia="en-GB"/>
              </w:rPr>
              <w:t>Initial cruise aircraft weight</w:t>
            </w:r>
          </w:p>
        </w:tc>
      </w:tr>
      <w:tr w:rsidR="0088052D" w:rsidRPr="007D699F" w14:paraId="5173BC70" w14:textId="2F7DB50B" w:rsidTr="00872636">
        <w:trPr>
          <w:trHeight w:val="415"/>
        </w:trPr>
        <w:tc>
          <w:tcPr>
            <w:tcW w:w="1177" w:type="dxa"/>
          </w:tcPr>
          <w:p w14:paraId="3C0B7E26" w14:textId="5EAF436D"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HEFA</w:t>
            </w:r>
          </w:p>
        </w:tc>
        <w:tc>
          <w:tcPr>
            <w:tcW w:w="3526" w:type="dxa"/>
          </w:tcPr>
          <w:p w14:paraId="1FF33CE4" w14:textId="002EDEB1"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Hydro-processed esters and fatty acids</w:t>
            </w:r>
          </w:p>
        </w:tc>
        <w:tc>
          <w:tcPr>
            <w:tcW w:w="1177" w:type="dxa"/>
          </w:tcPr>
          <w:p w14:paraId="4EF37AA9" w14:textId="1EF29AA6"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final</w:t>
            </w:r>
          </w:p>
        </w:tc>
        <w:tc>
          <w:tcPr>
            <w:tcW w:w="3531" w:type="dxa"/>
          </w:tcPr>
          <w:p w14:paraId="0497408A" w14:textId="5C23A480"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lang w:eastAsia="en-GB"/>
              </w:rPr>
              <w:t>End of cruise aircraft weight</w:t>
            </w:r>
          </w:p>
        </w:tc>
      </w:tr>
      <w:tr w:rsidR="0088052D" w:rsidRPr="007D699F" w14:paraId="703DB9B4" w14:textId="02F96EF9" w:rsidTr="00872636">
        <w:trPr>
          <w:trHeight w:val="415"/>
        </w:trPr>
        <w:tc>
          <w:tcPr>
            <w:tcW w:w="1177" w:type="dxa"/>
          </w:tcPr>
          <w:p w14:paraId="41496CB5" w14:textId="5A336E4B"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HRJ</w:t>
            </w:r>
          </w:p>
        </w:tc>
        <w:tc>
          <w:tcPr>
            <w:tcW w:w="3526" w:type="dxa"/>
          </w:tcPr>
          <w:p w14:paraId="38DC2329" w14:textId="021B272A"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Hydro-processed renewable jet fuel</w:t>
            </w:r>
          </w:p>
        </w:tc>
        <w:tc>
          <w:tcPr>
            <w:tcW w:w="1177" w:type="dxa"/>
          </w:tcPr>
          <w:p w14:paraId="002DF772" w14:textId="5E6AA64E"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Fuselage</w:t>
            </w:r>
          </w:p>
        </w:tc>
        <w:tc>
          <w:tcPr>
            <w:tcW w:w="3531" w:type="dxa"/>
          </w:tcPr>
          <w:p w14:paraId="3622F9EF" w14:textId="3C7AD614"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lang w:eastAsia="en-GB"/>
              </w:rPr>
              <w:t>Aircraft fuselage weight</w:t>
            </w:r>
          </w:p>
        </w:tc>
      </w:tr>
      <w:tr w:rsidR="0088052D" w:rsidRPr="007D699F" w14:paraId="55F89524" w14:textId="6F8E4D90" w:rsidTr="00872636">
        <w:trPr>
          <w:trHeight w:val="436"/>
        </w:trPr>
        <w:tc>
          <w:tcPr>
            <w:tcW w:w="1177" w:type="dxa"/>
          </w:tcPr>
          <w:p w14:paraId="4B474D50" w14:textId="1C404022"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IATA</w:t>
            </w:r>
          </w:p>
        </w:tc>
        <w:tc>
          <w:tcPr>
            <w:tcW w:w="3526" w:type="dxa"/>
          </w:tcPr>
          <w:p w14:paraId="096DD7B3" w14:textId="73F8C45B"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International Air Transport Association</w:t>
            </w:r>
          </w:p>
        </w:tc>
        <w:tc>
          <w:tcPr>
            <w:tcW w:w="1177" w:type="dxa"/>
          </w:tcPr>
          <w:p w14:paraId="2979225A" w14:textId="4F738BA4"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i/>
                <w:iCs/>
                <w:sz w:val="24"/>
                <w:szCs w:val="24"/>
              </w:rPr>
              <w:t>W</w:t>
            </w:r>
            <w:r w:rsidRPr="00872636">
              <w:rPr>
                <w:rFonts w:ascii="Times New Roman" w:hAnsi="Times New Roman" w:cs="Times New Roman"/>
                <w:sz w:val="24"/>
                <w:szCs w:val="24"/>
                <w:vertAlign w:val="subscript"/>
              </w:rPr>
              <w:t>F,block</w:t>
            </w:r>
          </w:p>
        </w:tc>
        <w:tc>
          <w:tcPr>
            <w:tcW w:w="3531" w:type="dxa"/>
          </w:tcPr>
          <w:p w14:paraId="41428041" w14:textId="1EC0EC45"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Block fuel weight</w:t>
            </w:r>
          </w:p>
        </w:tc>
      </w:tr>
      <w:tr w:rsidR="0088052D" w:rsidRPr="007D699F" w14:paraId="1470AF73" w14:textId="039E7F13" w:rsidTr="00872636">
        <w:trPr>
          <w:trHeight w:val="207"/>
        </w:trPr>
        <w:tc>
          <w:tcPr>
            <w:tcW w:w="1177" w:type="dxa"/>
          </w:tcPr>
          <w:p w14:paraId="36E1189F" w14:textId="67D60355"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LCV</w:t>
            </w:r>
          </w:p>
        </w:tc>
        <w:tc>
          <w:tcPr>
            <w:tcW w:w="3526" w:type="dxa"/>
          </w:tcPr>
          <w:p w14:paraId="747A5736" w14:textId="329ADAC5"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rPr>
              <w:t>lower calorific value</w:t>
            </w:r>
          </w:p>
        </w:tc>
        <w:tc>
          <w:tcPr>
            <w:tcW w:w="1177" w:type="dxa"/>
          </w:tcPr>
          <w:p w14:paraId="0F6256AF" w14:textId="6A34D6CD"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p</w:t>
            </w:r>
          </w:p>
        </w:tc>
        <w:tc>
          <w:tcPr>
            <w:tcW w:w="3531" w:type="dxa"/>
          </w:tcPr>
          <w:p w14:paraId="727DAB8E" w14:textId="0821581C"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lang w:eastAsia="en-GB"/>
              </w:rPr>
              <w:t>Passenger payload weight</w:t>
            </w:r>
          </w:p>
        </w:tc>
      </w:tr>
      <w:tr w:rsidR="0088052D" w:rsidRPr="007D699F" w14:paraId="13A9EE38" w14:textId="34675606" w:rsidTr="00872636">
        <w:trPr>
          <w:trHeight w:val="415"/>
        </w:trPr>
        <w:tc>
          <w:tcPr>
            <w:tcW w:w="1177" w:type="dxa"/>
          </w:tcPr>
          <w:p w14:paraId="327AA584" w14:textId="68981FBB"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i/>
                <w:iCs/>
                <w:sz w:val="24"/>
                <w:szCs w:val="24"/>
                <w:lang w:eastAsia="en-GB"/>
              </w:rPr>
              <w:t>l</w:t>
            </w:r>
            <w:r w:rsidRPr="00872636">
              <w:rPr>
                <w:rFonts w:ascii="Times New Roman" w:hAnsi="Times New Roman" w:cs="Times New Roman"/>
                <w:sz w:val="24"/>
                <w:szCs w:val="24"/>
                <w:vertAlign w:val="subscript"/>
                <w:lang w:eastAsia="en-GB"/>
              </w:rPr>
              <w:t>f</w:t>
            </w:r>
          </w:p>
        </w:tc>
        <w:tc>
          <w:tcPr>
            <w:tcW w:w="3526" w:type="dxa"/>
          </w:tcPr>
          <w:p w14:paraId="262C7C51" w14:textId="2F063821"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sz w:val="24"/>
                <w:szCs w:val="24"/>
                <w:lang w:eastAsia="en-GB"/>
              </w:rPr>
              <w:t>Fuselage length</w:t>
            </w:r>
          </w:p>
        </w:tc>
        <w:tc>
          <w:tcPr>
            <w:tcW w:w="1177" w:type="dxa"/>
          </w:tcPr>
          <w:p w14:paraId="1B4B497E" w14:textId="023DD14A" w:rsidR="0088052D" w:rsidRPr="00872636" w:rsidRDefault="0088052D"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sz w:val="24"/>
                <w:szCs w:val="24"/>
              </w:rPr>
              <w:t>ΔL</w:t>
            </w:r>
          </w:p>
        </w:tc>
        <w:tc>
          <w:tcPr>
            <w:tcW w:w="3531" w:type="dxa"/>
          </w:tcPr>
          <w:p w14:paraId="7B5C05F5" w14:textId="1892B051" w:rsidR="0088052D" w:rsidRPr="00872636" w:rsidRDefault="0088052D"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sz w:val="24"/>
                <w:szCs w:val="24"/>
              </w:rPr>
              <w:t>Additional fuselage length for alternative liquid fuels</w:t>
            </w:r>
          </w:p>
        </w:tc>
      </w:tr>
      <w:tr w:rsidR="0088052D" w:rsidRPr="007D699F" w14:paraId="4C66F528" w14:textId="15254F32" w:rsidTr="00872636">
        <w:trPr>
          <w:trHeight w:val="207"/>
        </w:trPr>
        <w:tc>
          <w:tcPr>
            <w:tcW w:w="1177" w:type="dxa"/>
          </w:tcPr>
          <w:p w14:paraId="556CE054" w14:textId="6BA2FD84"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color w:val="000000" w:themeColor="text1"/>
                <w:sz w:val="24"/>
                <w:szCs w:val="24"/>
              </w:rPr>
              <w:t>LH</w:t>
            </w:r>
            <w:r w:rsidRPr="00872636">
              <w:rPr>
                <w:rFonts w:ascii="Times New Roman" w:hAnsi="Times New Roman" w:cs="Times New Roman"/>
                <w:color w:val="000000" w:themeColor="text1"/>
                <w:sz w:val="24"/>
                <w:szCs w:val="24"/>
                <w:vertAlign w:val="subscript"/>
              </w:rPr>
              <w:t>2</w:t>
            </w:r>
          </w:p>
        </w:tc>
        <w:tc>
          <w:tcPr>
            <w:tcW w:w="3526" w:type="dxa"/>
          </w:tcPr>
          <w:p w14:paraId="4CE6C6D7" w14:textId="66E490A2" w:rsidR="0088052D" w:rsidRPr="00872636" w:rsidRDefault="0088052D" w:rsidP="00872636">
            <w:pPr>
              <w:spacing w:line="276" w:lineRule="auto"/>
              <w:rPr>
                <w:rFonts w:ascii="Times New Roman" w:hAnsi="Times New Roman" w:cs="Times New Roman"/>
                <w:sz w:val="24"/>
                <w:szCs w:val="24"/>
              </w:rPr>
            </w:pPr>
            <w:r w:rsidRPr="00872636">
              <w:rPr>
                <w:rFonts w:ascii="Times New Roman" w:hAnsi="Times New Roman" w:cs="Times New Roman"/>
                <w:color w:val="000000" w:themeColor="text1"/>
                <w:sz w:val="24"/>
                <w:szCs w:val="24"/>
              </w:rPr>
              <w:t>Liquid hydrogen</w:t>
            </w:r>
          </w:p>
        </w:tc>
        <w:tc>
          <w:tcPr>
            <w:tcW w:w="1177" w:type="dxa"/>
          </w:tcPr>
          <w:p w14:paraId="2E4614CA" w14:textId="4E82E241" w:rsidR="0088052D" w:rsidRPr="00872636" w:rsidRDefault="0088052D" w:rsidP="00872636">
            <w:pPr>
              <w:spacing w:line="276" w:lineRule="auto"/>
              <w:rPr>
                <w:rFonts w:ascii="Times New Roman" w:hAnsi="Times New Roman" w:cs="Times New Roman"/>
                <w:color w:val="000000" w:themeColor="text1"/>
                <w:sz w:val="24"/>
                <w:szCs w:val="24"/>
              </w:rPr>
            </w:pPr>
            <w:r w:rsidRPr="00872636">
              <w:rPr>
                <w:rFonts w:ascii="Times New Roman" w:eastAsia="Times New Roman" w:hAnsi="Times New Roman" w:cs="Times New Roman"/>
                <w:i/>
                <w:iCs/>
                <w:sz w:val="24"/>
                <w:szCs w:val="24"/>
                <w:lang w:eastAsia="en-GB"/>
              </w:rPr>
              <w:t>η</w:t>
            </w:r>
          </w:p>
        </w:tc>
        <w:tc>
          <w:tcPr>
            <w:tcW w:w="3531" w:type="dxa"/>
          </w:tcPr>
          <w:p w14:paraId="535BE0E4" w14:textId="0E2EA564" w:rsidR="0088052D" w:rsidRPr="00872636" w:rsidRDefault="0088052D" w:rsidP="00872636">
            <w:pPr>
              <w:spacing w:line="276" w:lineRule="auto"/>
              <w:rPr>
                <w:rFonts w:ascii="Times New Roman" w:hAnsi="Times New Roman" w:cs="Times New Roman"/>
                <w:color w:val="000000" w:themeColor="text1"/>
                <w:sz w:val="24"/>
                <w:szCs w:val="24"/>
              </w:rPr>
            </w:pPr>
            <w:r w:rsidRPr="00872636">
              <w:rPr>
                <w:rFonts w:ascii="Times New Roman" w:hAnsi="Times New Roman" w:cs="Times New Roman"/>
                <w:sz w:val="24"/>
                <w:szCs w:val="24"/>
                <w:lang w:eastAsia="en-GB"/>
              </w:rPr>
              <w:t>Gravimetric index</w:t>
            </w:r>
          </w:p>
        </w:tc>
      </w:tr>
      <w:tr w:rsidR="0088052D" w:rsidRPr="007D699F" w14:paraId="4D0D26E4" w14:textId="3FDD28AA" w:rsidTr="00872636">
        <w:trPr>
          <w:trHeight w:val="207"/>
        </w:trPr>
        <w:tc>
          <w:tcPr>
            <w:tcW w:w="1177" w:type="dxa"/>
          </w:tcPr>
          <w:p w14:paraId="566AD05C" w14:textId="698D9567" w:rsidR="0088052D" w:rsidRPr="00872636" w:rsidRDefault="0088052D" w:rsidP="00872636">
            <w:pPr>
              <w:spacing w:line="276" w:lineRule="auto"/>
              <w:rPr>
                <w:rFonts w:ascii="Times New Roman" w:hAnsi="Times New Roman" w:cs="Times New Roman"/>
                <w:sz w:val="24"/>
                <w:szCs w:val="24"/>
              </w:rPr>
            </w:pPr>
            <w:r w:rsidRPr="00872636">
              <w:rPr>
                <w:rFonts w:ascii="Times New Roman" w:eastAsia="Times New Roman" w:hAnsi="Times New Roman" w:cs="Times New Roman"/>
                <w:sz w:val="24"/>
                <w:szCs w:val="24"/>
                <w:lang w:eastAsia="en-GB"/>
              </w:rPr>
              <w:t>LNG</w:t>
            </w:r>
          </w:p>
        </w:tc>
        <w:tc>
          <w:tcPr>
            <w:tcW w:w="3526" w:type="dxa"/>
          </w:tcPr>
          <w:p w14:paraId="5AC83103" w14:textId="77A9889A" w:rsidR="0088052D" w:rsidRPr="00872636" w:rsidRDefault="0088052D" w:rsidP="00872636">
            <w:pPr>
              <w:spacing w:line="276" w:lineRule="auto"/>
              <w:rPr>
                <w:rFonts w:ascii="Times New Roman" w:hAnsi="Times New Roman" w:cs="Times New Roman"/>
                <w:sz w:val="24"/>
                <w:szCs w:val="24"/>
              </w:rPr>
            </w:pPr>
            <w:r w:rsidRPr="00872636">
              <w:rPr>
                <w:rFonts w:ascii="Times New Roman" w:eastAsia="Times New Roman" w:hAnsi="Times New Roman" w:cs="Times New Roman"/>
                <w:sz w:val="24"/>
                <w:szCs w:val="24"/>
                <w:lang w:eastAsia="en-GB"/>
              </w:rPr>
              <w:t>Liquid natural gas</w:t>
            </w:r>
          </w:p>
        </w:tc>
        <w:tc>
          <w:tcPr>
            <w:tcW w:w="1177" w:type="dxa"/>
          </w:tcPr>
          <w:p w14:paraId="41D0C234" w14:textId="2E8BB5A3" w:rsidR="0088052D" w:rsidRPr="00872636" w:rsidRDefault="0088052D" w:rsidP="00872636">
            <w:pPr>
              <w:spacing w:line="276" w:lineRule="auto"/>
              <w:rPr>
                <w:rFonts w:ascii="Times New Roman" w:eastAsia="Times New Roman" w:hAnsi="Times New Roman" w:cs="Times New Roman"/>
                <w:sz w:val="24"/>
                <w:szCs w:val="24"/>
                <w:lang w:eastAsia="en-GB"/>
              </w:rPr>
            </w:pPr>
            <w:r w:rsidRPr="00872636">
              <w:rPr>
                <w:rFonts w:ascii="Times New Roman" w:eastAsia="Times New Roman" w:hAnsi="Times New Roman" w:cs="Times New Roman"/>
                <w:i/>
                <w:iCs/>
                <w:sz w:val="24"/>
                <w:szCs w:val="24"/>
                <w:lang w:eastAsia="en-GB"/>
              </w:rPr>
              <w:t>η</w:t>
            </w:r>
            <w:r w:rsidRPr="00872636">
              <w:rPr>
                <w:rFonts w:ascii="Times New Roman" w:eastAsia="Times New Roman" w:hAnsi="Times New Roman" w:cs="Times New Roman"/>
                <w:sz w:val="24"/>
                <w:szCs w:val="24"/>
                <w:vertAlign w:val="subscript"/>
                <w:lang w:eastAsia="en-GB"/>
              </w:rPr>
              <w:t>o</w:t>
            </w:r>
          </w:p>
        </w:tc>
        <w:tc>
          <w:tcPr>
            <w:tcW w:w="3531" w:type="dxa"/>
          </w:tcPr>
          <w:p w14:paraId="226DE424" w14:textId="40C3EC8E" w:rsidR="0088052D" w:rsidRPr="00872636" w:rsidRDefault="0088052D" w:rsidP="00872636">
            <w:pPr>
              <w:spacing w:line="276" w:lineRule="auto"/>
              <w:rPr>
                <w:rFonts w:ascii="Times New Roman" w:eastAsia="Times New Roman" w:hAnsi="Times New Roman" w:cs="Times New Roman"/>
                <w:sz w:val="24"/>
                <w:szCs w:val="24"/>
                <w:lang w:eastAsia="en-GB"/>
              </w:rPr>
            </w:pPr>
            <w:r w:rsidRPr="00872636">
              <w:rPr>
                <w:rFonts w:ascii="Times New Roman" w:hAnsi="Times New Roman" w:cs="Times New Roman"/>
                <w:sz w:val="24"/>
                <w:szCs w:val="24"/>
                <w:lang w:eastAsia="en-GB"/>
              </w:rPr>
              <w:t>Overall efficiency</w:t>
            </w:r>
          </w:p>
        </w:tc>
      </w:tr>
      <w:tr w:rsidR="0088052D" w:rsidRPr="007D699F" w14:paraId="0F80D233" w14:textId="78F8C4C7" w:rsidTr="00872636">
        <w:trPr>
          <w:trHeight w:val="207"/>
        </w:trPr>
        <w:tc>
          <w:tcPr>
            <w:tcW w:w="1177" w:type="dxa"/>
          </w:tcPr>
          <w:p w14:paraId="400A77AF" w14:textId="3DEA6346" w:rsidR="0088052D" w:rsidRPr="00872636" w:rsidRDefault="0088052D" w:rsidP="00872636">
            <w:pPr>
              <w:spacing w:line="276" w:lineRule="auto"/>
              <w:rPr>
                <w:rFonts w:ascii="Times New Roman" w:hAnsi="Times New Roman" w:cs="Times New Roman"/>
                <w:sz w:val="24"/>
                <w:szCs w:val="24"/>
              </w:rPr>
            </w:pPr>
            <w:r w:rsidRPr="00872636">
              <w:rPr>
                <w:rFonts w:ascii="Times New Roman" w:eastAsia="Times New Roman" w:hAnsi="Times New Roman" w:cs="Times New Roman"/>
                <w:sz w:val="24"/>
                <w:szCs w:val="24"/>
                <w:lang w:eastAsia="en-GB"/>
              </w:rPr>
              <w:t>LNH</w:t>
            </w:r>
            <w:r w:rsidRPr="00872636">
              <w:rPr>
                <w:rFonts w:ascii="Times New Roman" w:eastAsia="Times New Roman" w:hAnsi="Times New Roman" w:cs="Times New Roman"/>
                <w:sz w:val="24"/>
                <w:szCs w:val="24"/>
                <w:vertAlign w:val="subscript"/>
                <w:lang w:eastAsia="en-GB"/>
              </w:rPr>
              <w:t>3</w:t>
            </w:r>
          </w:p>
        </w:tc>
        <w:tc>
          <w:tcPr>
            <w:tcW w:w="3526" w:type="dxa"/>
          </w:tcPr>
          <w:p w14:paraId="6C9E49C4" w14:textId="63EF3A7C" w:rsidR="0088052D" w:rsidRPr="00872636" w:rsidRDefault="0088052D" w:rsidP="00872636">
            <w:pPr>
              <w:spacing w:line="276" w:lineRule="auto"/>
              <w:rPr>
                <w:rFonts w:ascii="Times New Roman" w:hAnsi="Times New Roman" w:cs="Times New Roman"/>
                <w:sz w:val="24"/>
                <w:szCs w:val="24"/>
              </w:rPr>
            </w:pPr>
            <w:r w:rsidRPr="00872636">
              <w:rPr>
                <w:rFonts w:ascii="Times New Roman" w:eastAsia="Times New Roman" w:hAnsi="Times New Roman" w:cs="Times New Roman"/>
                <w:sz w:val="24"/>
                <w:szCs w:val="24"/>
                <w:lang w:eastAsia="en-GB"/>
              </w:rPr>
              <w:t>Liquid ammonia</w:t>
            </w:r>
          </w:p>
        </w:tc>
        <w:tc>
          <w:tcPr>
            <w:tcW w:w="1177" w:type="dxa"/>
          </w:tcPr>
          <w:p w14:paraId="70F1687E" w14:textId="77777777" w:rsidR="0088052D" w:rsidRPr="00872636" w:rsidRDefault="0088052D" w:rsidP="00872636">
            <w:pPr>
              <w:spacing w:line="276" w:lineRule="auto"/>
              <w:rPr>
                <w:rFonts w:ascii="Times New Roman" w:eastAsia="Times New Roman" w:hAnsi="Times New Roman" w:cs="Times New Roman"/>
                <w:sz w:val="24"/>
                <w:szCs w:val="24"/>
                <w:lang w:eastAsia="en-GB"/>
              </w:rPr>
            </w:pPr>
          </w:p>
        </w:tc>
        <w:tc>
          <w:tcPr>
            <w:tcW w:w="3531" w:type="dxa"/>
          </w:tcPr>
          <w:p w14:paraId="7AA1ED8A" w14:textId="77777777" w:rsidR="0088052D" w:rsidRPr="00872636" w:rsidRDefault="0088052D" w:rsidP="00872636">
            <w:pPr>
              <w:spacing w:line="276" w:lineRule="auto"/>
              <w:rPr>
                <w:rFonts w:ascii="Times New Roman" w:eastAsia="Times New Roman" w:hAnsi="Times New Roman" w:cs="Times New Roman"/>
                <w:sz w:val="24"/>
                <w:szCs w:val="24"/>
                <w:lang w:eastAsia="en-GB"/>
              </w:rPr>
            </w:pPr>
          </w:p>
        </w:tc>
      </w:tr>
    </w:tbl>
    <w:p w14:paraId="4AFB1034" w14:textId="77777777" w:rsidR="00202743" w:rsidRPr="00872636" w:rsidRDefault="00202743" w:rsidP="00A04600">
      <w:pPr>
        <w:rPr>
          <w:sz w:val="24"/>
          <w:szCs w:val="24"/>
          <w:bdr w:val="none" w:sz="0" w:space="0" w:color="auto" w:frame="1"/>
          <w:lang w:eastAsia="en-GB"/>
        </w:rPr>
      </w:pPr>
    </w:p>
    <w:p w14:paraId="2D2C2D62" w14:textId="77777777" w:rsidR="00202743" w:rsidRPr="00872636" w:rsidRDefault="00202743">
      <w:pPr>
        <w:rPr>
          <w:rFonts w:ascii="Times New Roman" w:eastAsia="Times New Roman" w:hAnsi="Times New Roman" w:cs="Times New Roman"/>
          <w:b/>
          <w:bCs/>
          <w:sz w:val="24"/>
          <w:szCs w:val="24"/>
          <w:bdr w:val="none" w:sz="0" w:space="0" w:color="auto" w:frame="1"/>
          <w:lang w:eastAsia="en-GB"/>
        </w:rPr>
      </w:pPr>
      <w:r w:rsidRPr="00872636">
        <w:rPr>
          <w:rFonts w:ascii="Times New Roman" w:eastAsia="Times New Roman" w:hAnsi="Times New Roman" w:cs="Times New Roman"/>
          <w:b/>
          <w:bCs/>
          <w:sz w:val="24"/>
          <w:szCs w:val="24"/>
          <w:bdr w:val="none" w:sz="0" w:space="0" w:color="auto" w:frame="1"/>
          <w:lang w:eastAsia="en-GB"/>
        </w:rPr>
        <w:br w:type="page"/>
      </w:r>
    </w:p>
    <w:p w14:paraId="50876F55" w14:textId="1CA97CF9" w:rsidR="00075757" w:rsidRPr="00872636" w:rsidRDefault="00075757" w:rsidP="00C525D8">
      <w:pPr>
        <w:pStyle w:val="Heading1"/>
        <w:numPr>
          <w:ilvl w:val="0"/>
          <w:numId w:val="1"/>
        </w:numPr>
        <w:spacing w:after="240" w:line="480" w:lineRule="auto"/>
        <w:jc w:val="both"/>
        <w:rPr>
          <w:rFonts w:ascii="Times New Roman" w:eastAsia="Times New Roman" w:hAnsi="Times New Roman" w:cs="Times New Roman"/>
          <w:b/>
          <w:bCs/>
          <w:color w:val="auto"/>
          <w:sz w:val="24"/>
          <w:szCs w:val="24"/>
          <w:bdr w:val="none" w:sz="0" w:space="0" w:color="auto" w:frame="1"/>
          <w:lang w:eastAsia="en-GB"/>
        </w:rPr>
      </w:pPr>
      <w:r w:rsidRPr="00872636">
        <w:rPr>
          <w:rFonts w:ascii="Times New Roman" w:eastAsia="Times New Roman" w:hAnsi="Times New Roman" w:cs="Times New Roman"/>
          <w:b/>
          <w:bCs/>
          <w:color w:val="auto"/>
          <w:sz w:val="24"/>
          <w:szCs w:val="24"/>
          <w:bdr w:val="none" w:sz="0" w:space="0" w:color="auto" w:frame="1"/>
          <w:lang w:eastAsia="en-GB"/>
        </w:rPr>
        <w:lastRenderedPageBreak/>
        <w:t>Detailed literature review of aircraft propulsion technologies, energy vectors and alternative fuels</w:t>
      </w:r>
    </w:p>
    <w:p w14:paraId="351625CC" w14:textId="77777777" w:rsidR="00104A2A" w:rsidRPr="00872636" w:rsidRDefault="00104A2A" w:rsidP="00C525D8">
      <w:pPr>
        <w:pStyle w:val="Heading2"/>
        <w:spacing w:after="240" w:line="480" w:lineRule="auto"/>
        <w:rPr>
          <w:rFonts w:ascii="Times New Roman" w:eastAsia="Times New Roman" w:hAnsi="Times New Roman" w:cs="Times New Roman"/>
          <w:color w:val="auto"/>
          <w:sz w:val="24"/>
          <w:szCs w:val="24"/>
          <w:bdr w:val="none" w:sz="0" w:space="0" w:color="auto" w:frame="1"/>
          <w:lang w:eastAsia="en-GB"/>
        </w:rPr>
      </w:pPr>
      <w:r w:rsidRPr="00872636">
        <w:rPr>
          <w:rFonts w:ascii="Times New Roman" w:eastAsia="Times New Roman" w:hAnsi="Times New Roman" w:cs="Times New Roman"/>
          <w:color w:val="auto"/>
          <w:sz w:val="24"/>
          <w:szCs w:val="24"/>
          <w:bdr w:val="none" w:sz="0" w:space="0" w:color="auto" w:frame="1"/>
          <w:lang w:eastAsia="en-GB"/>
        </w:rPr>
        <w:t>Alternative liquid fuels</w:t>
      </w:r>
    </w:p>
    <w:p w14:paraId="2DB4E544" w14:textId="7741AF82" w:rsidR="00104A2A" w:rsidRPr="00872636" w:rsidRDefault="00104A2A" w:rsidP="00C525D8">
      <w:pPr>
        <w:spacing w:after="0" w:line="480" w:lineRule="auto"/>
        <w:jc w:val="both"/>
        <w:rPr>
          <w:rFonts w:ascii="Times New Roman" w:hAnsi="Times New Roman" w:cs="Times New Roman"/>
          <w:sz w:val="24"/>
          <w:szCs w:val="24"/>
        </w:rPr>
      </w:pPr>
      <w:r w:rsidRPr="00872636">
        <w:rPr>
          <w:rFonts w:ascii="Times New Roman" w:hAnsi="Times New Roman" w:cs="Times New Roman"/>
          <w:sz w:val="24"/>
          <w:szCs w:val="24"/>
        </w:rPr>
        <w:tab/>
        <w:t>The exhaust of an aircraft operating on conventional jet fuel includes carbon dioxide (CO</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rPr>
        <w:t>), water vapour, nitrogen oxides (NO</w:t>
      </w:r>
      <w:r w:rsidRPr="00872636">
        <w:rPr>
          <w:rFonts w:ascii="Times New Roman" w:hAnsi="Times New Roman" w:cs="Times New Roman"/>
          <w:sz w:val="24"/>
          <w:szCs w:val="24"/>
          <w:vertAlign w:val="subscript"/>
        </w:rPr>
        <w:t>x</w:t>
      </w:r>
      <w:r w:rsidRPr="00872636">
        <w:rPr>
          <w:rFonts w:ascii="Times New Roman" w:hAnsi="Times New Roman" w:cs="Times New Roman"/>
          <w:sz w:val="24"/>
          <w:szCs w:val="24"/>
        </w:rPr>
        <w:t xml:space="preserve">), carbon monoxide (CO), unburned hydrocarbons, </w:t>
      </w:r>
      <w:r w:rsidR="00DA048D" w:rsidRPr="00872636">
        <w:rPr>
          <w:rFonts w:ascii="Times New Roman" w:hAnsi="Times New Roman" w:cs="Times New Roman"/>
          <w:sz w:val="24"/>
          <w:szCs w:val="24"/>
        </w:rPr>
        <w:t>sulphur</w:t>
      </w:r>
      <w:r w:rsidRPr="00872636">
        <w:rPr>
          <w:rFonts w:ascii="Times New Roman" w:hAnsi="Times New Roman" w:cs="Times New Roman"/>
          <w:sz w:val="24"/>
          <w:szCs w:val="24"/>
        </w:rPr>
        <w:t xml:space="preserve"> oxides (SO</w:t>
      </w:r>
      <w:r w:rsidRPr="00872636">
        <w:rPr>
          <w:rFonts w:ascii="Times New Roman" w:hAnsi="Times New Roman" w:cs="Times New Roman"/>
          <w:sz w:val="24"/>
          <w:szCs w:val="24"/>
          <w:vertAlign w:val="subscript"/>
        </w:rPr>
        <w:t>x</w:t>
      </w:r>
      <w:r w:rsidRPr="00872636">
        <w:rPr>
          <w:rFonts w:ascii="Times New Roman" w:hAnsi="Times New Roman" w:cs="Times New Roman"/>
          <w:sz w:val="24"/>
          <w:szCs w:val="24"/>
        </w:rPr>
        <w:t xml:space="preserve">), traces of hydroxyl family and nitrogen compounds, soot, volatile organic compounds, organic carbon, particulate matter, and normal atmospheric oxygen and nitrogen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s://aviationbenefits.org/media/167159/fact-sheet_2_aviation-and-climate-change.pdf","accessed":{"date-parts":[["2024","10","1"]]},"author":[{"dropping-particle":"","family":"ATAG","given":"","non-dropping-particle":"","parse-names":false,"suffix":""}],"container-title":"Air Transport Action Group","id":"ITEM-1","issued":{"date-parts":[["2020"]]},"title":"Aviation and climate change","type":"webpage"},"uris":["http://www.mendeley.com/documents/?uuid=1e6409d8-b742-3478-a7dc-d43cdc122c64"]}],"mendeley":{"formattedCitation":"[1]","plainTextFormattedCitation":"[1]","previouslyFormattedCitation":"[1]"},"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w:t>
      </w:r>
    </w:p>
    <w:p w14:paraId="0FCC3999" w14:textId="37CEB4C8" w:rsidR="00104A2A" w:rsidRPr="00872636" w:rsidRDefault="00104A2A" w:rsidP="00C525D8">
      <w:pPr>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rPr>
        <w:tab/>
        <w:t xml:space="preserve">Liquid fuels such as synthetic jet fuel, hydrogen (liquid hydrogen, natural gas, ammonia), ethanol and methanol are explored in literature as alternative aviation fuels </w:t>
      </w:r>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{"citationItems":[{"id":"ITEM-1","itemData":{"DOI":"10.1016/j.ijhydene.2016.12.119","ISSN":"03603199","abstract":"In the present study, hydrogen and some other alternative fuels (such as ammonia, methanol, ethanol, liquefied natural gas) are considered for aviation applications under a comprehensive life cycle assessment study and are evaluated comparatively with the conventional kerosene based jet fuel for various impact categories. Therefore, this study is performed with a well-to-wake approach to evaluate the overall life cycle of an aircraft running on these conventional and alternative fuels. Both conventional and renewable fuel routes are considered for the production of ammonia and hydrogen fuels. Although there are modifications required to fulfill the aviation fuel specifications for such alternative fuels, the long term viability and environmental sustainability make them attractive solutions for the future of aviation industry. This study uses a life cycle assessment of an average aircraft utilizing various alternative aviation fuels to determine the relative environmental impact of each life cycle phase. The life cycle phases included in the analyses are as follows: (i) production, operation and maintenance of the aircraft, (ii) construction, maintenance and disposal of the airport, (iii) production, transportation and utilization of the aviation fuel in the aircraft. The results show that hydrogen and liquefied natural gas represent more environmentally benign alternatives although fuel costs are higher compared to ammonia, jet fuel and methanol. The total GHG emissions from hydropower based ammonia and hydrogen are calculated to be about 0.24 kg CO2 eq. per traveled tonne-km and 0.03 kg CO2 eq. per traveled tonne-km, respectively. Renewable based ammonia and hydrogen fueled aircrafts can further decrease the overall environmental impact in many categories allowing a brighter future for aviation industry.","author":[{"dropping-particle":"","family":"Bicer","given":"Yusuf","non-dropping-particle":"","parse-names":false,"suffix":""},{"dropping-particle":"","family":"Dincer","given":"Ibrahim","non-dropping-particle":"","parse-names":false,"suffix":""}],"container-title":"International Journal of Hydrogen Energy","id":"ITEM-1","issue":"16","issued":{"date-parts":[["2017","4","20"]]},"page":"10722-10738","publisher":"Elsevier Ltd","title":"Life cycle evaluation of hydrogen and other potential fuels for aircrafts","type":"article-journal","volume":"42"},"uris":["http://www.mendeley.com/documents/?uuid=2a2cc1c3-f7c4-37da-9506-37d410e87790"]},{"id":"ITEM-2","itemData":{"author":[{"dropping-particle":"","family":"Daggett","given":"David L.","non-dropping-particle":"","parse-names":false,"suffix":""},{"dropping-particle":"","family":"Hendricks","given":"Robert C.","non-dropping-particle":"","parse-names":false,"suffix":""},{"dropping-particle":"","family":"Walther","given":"Rainer","non-dropping-particle":"","parse-names":false,"suffix":""},{"dropping-particle":"","family":"Corporan","given":"Edwin","non-dropping-particle":"","parse-names":false,"suffix":""}],"id":"ITEM-2","issued":{"date-parts":[["2008","4","1"]]},"title":"Alternate Fuels for Use in Commercial Aircraft","type":"article-journal"},"uris":["http://www.mendeley.com/documents/?uuid=2e99df70-70aa-3b47-b4e7-30f6b98a419a"]}],"mendeley":{"formattedCitation":"[2], [3]","plainTextFormattedCitation":"[2], [3]","previouslyFormattedCitation":"[2], [3]"},"properties":{"noteIndex":0},"schema":"https://github.com/citation-style-language/schema/raw/master/csl-citation.json"}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[2], [3]</w:t>
      </w:r>
      <w:r w:rsidRPr="00872636">
        <w:rPr>
          <w:rFonts w:ascii="Times New Roman" w:hAnsi="Times New Roman" w:cs="Times New Roman"/>
          <w:sz w:val="24"/>
          <w:szCs w:val="24"/>
          <w:lang w:eastAsia="en-GB"/>
        </w:rPr>
        <w:fldChar w:fldCharType="end"/>
      </w:r>
      <w:r w:rsidRPr="00872636">
        <w:rPr>
          <w:rFonts w:ascii="Times New Roman" w:hAnsi="Times New Roman" w:cs="Times New Roman"/>
          <w:sz w:val="24"/>
          <w:szCs w:val="24"/>
        </w:rPr>
        <w:t xml:space="preserve">. Amongst these, the synthetic fuel like biomass derived jet fuel has been extensively explored in technical literature. Performance characteristics of an aircraft powered by natural gas, ammonia, </w:t>
      </w:r>
      <w:r w:rsidR="00C21472" w:rsidRPr="00872636">
        <w:rPr>
          <w:rFonts w:ascii="Times New Roman" w:hAnsi="Times New Roman" w:cs="Times New Roman"/>
          <w:sz w:val="24"/>
          <w:szCs w:val="24"/>
        </w:rPr>
        <w:t>ethanol,</w:t>
      </w:r>
      <w:r w:rsidRPr="00872636">
        <w:rPr>
          <w:rFonts w:ascii="Times New Roman" w:hAnsi="Times New Roman" w:cs="Times New Roman"/>
          <w:sz w:val="24"/>
          <w:szCs w:val="24"/>
        </w:rPr>
        <w:t xml:space="preserve"> and methanol, especially for intercontinental travel are less published.</w:t>
      </w:r>
    </w:p>
    <w:p w14:paraId="28CA5888" w14:textId="77777777" w:rsidR="00104A2A" w:rsidRPr="00872636" w:rsidRDefault="00104A2A" w:rsidP="00C525D8">
      <w:pPr>
        <w:pStyle w:val="Heading3"/>
        <w:spacing w:after="240" w:line="480" w:lineRule="auto"/>
        <w:rPr>
          <w:rFonts w:ascii="Times New Roman" w:hAnsi="Times New Roman" w:cs="Times New Roman"/>
          <w:color w:val="auto"/>
          <w:lang w:eastAsia="en-GB"/>
        </w:rPr>
      </w:pPr>
      <w:r w:rsidRPr="00872636">
        <w:rPr>
          <w:rFonts w:ascii="Times New Roman" w:eastAsia="Times New Roman" w:hAnsi="Times New Roman" w:cs="Times New Roman"/>
          <w:color w:val="auto"/>
          <w:bdr w:val="none" w:sz="0" w:space="0" w:color="auto" w:frame="1"/>
          <w:lang w:eastAsia="en-GB"/>
        </w:rPr>
        <w:t>Synthetic jet fuels</w:t>
      </w:r>
    </w:p>
    <w:p w14:paraId="75B32ADA" w14:textId="2D52E523" w:rsidR="00104A2A" w:rsidRPr="00872636" w:rsidRDefault="00104A2A" w:rsidP="00C525D8">
      <w:pPr>
        <w:spacing w:after="0" w:line="480" w:lineRule="auto"/>
        <w:jc w:val="both"/>
        <w:rPr>
          <w:rFonts w:ascii="Times New Roman" w:hAnsi="Times New Roman" w:cs="Times New Roman"/>
          <w:sz w:val="24"/>
          <w:szCs w:val="24"/>
        </w:rPr>
      </w:pPr>
      <w:r w:rsidRPr="00872636">
        <w:rPr>
          <w:rFonts w:ascii="Times New Roman" w:hAnsi="Times New Roman" w:cs="Times New Roman"/>
          <w:sz w:val="24"/>
          <w:szCs w:val="24"/>
        </w:rPr>
        <w:tab/>
        <w:t xml:space="preserve">Synthetic jet fuels are fuels manufactured from non-crude oil feedstocks/pathways but have (almost) similar </w:t>
      </w:r>
      <w:r w:rsidR="00163029" w:rsidRPr="00872636">
        <w:rPr>
          <w:rFonts w:ascii="Times New Roman" w:hAnsi="Times New Roman" w:cs="Times New Roman"/>
          <w:sz w:val="24"/>
          <w:szCs w:val="24"/>
        </w:rPr>
        <w:t xml:space="preserve">operational </w:t>
      </w:r>
      <w:r w:rsidRPr="00872636">
        <w:rPr>
          <w:rFonts w:ascii="Times New Roman" w:hAnsi="Times New Roman" w:cs="Times New Roman"/>
          <w:sz w:val="24"/>
          <w:szCs w:val="24"/>
        </w:rPr>
        <w:t xml:space="preserve">performance as that of conventional jet fuel (Jet-A). Non-crude oil feedstocks/pathways include other fossil fuels, </w:t>
      </w:r>
      <w:r w:rsidR="00C21472" w:rsidRPr="00872636">
        <w:rPr>
          <w:rFonts w:ascii="Times New Roman" w:hAnsi="Times New Roman" w:cs="Times New Roman"/>
          <w:sz w:val="24"/>
          <w:szCs w:val="24"/>
        </w:rPr>
        <w:t>biomass,</w:t>
      </w:r>
      <w:r w:rsidRPr="00872636">
        <w:rPr>
          <w:rFonts w:ascii="Times New Roman" w:hAnsi="Times New Roman" w:cs="Times New Roman"/>
          <w:sz w:val="24"/>
          <w:szCs w:val="24"/>
        </w:rPr>
        <w:t xml:space="preserve"> and power-to-liquid pathway. These fuels, especially bio-jet fuel pathways, are interesting particularly because of their potential to significantly reduce the life-cycle GHG emission from the aviation sector, depending on the feedstock type/source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{"citationItems":[{"id":"ITEM-1","itemData":{"abstract":"Thesis (S.M.)--Massachusetts Institute of Technology, Dept. of Aeronautics and Astronautics, 2010.","author":[{"dropping-particle":"","family":"Stratton","given":"Russell William","non-dropping-particle":"","parse-names":false,"suffix":""}],"id":"ITEM-1","issued":{"date-parts":[["2010"]]},"publisher":"Massachusetts Institute of Technology","title":"Life cycle assessment of greenhouse gas emissions and non-CO₂ combustion effects from alternative jet fuels","type":"article-journal"},"uris":["http://www.mendeley.com/documents/?uuid=90333617-7419-3eab-a8f7-d56bddc8f529"]}],"mendeley":{"formattedCitation":"[4]","plainTextFormattedCitation":"[4]","previouslyFormattedCitation":"[4]"},"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[4]</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However, the current work focusses on the use phase of the aircraft. Therefore, the literature review does not include </w:t>
      </w:r>
      <w:r w:rsidR="0027348A" w:rsidRPr="007D699F">
        <w:rPr>
          <w:rFonts w:ascii="Times New Roman" w:hAnsi="Times New Roman" w:cs="Times New Roman"/>
          <w:sz w:val="24"/>
          <w:szCs w:val="24"/>
        </w:rPr>
        <w:t xml:space="preserve">life </w:t>
      </w:r>
      <w:r w:rsidR="004C57DE" w:rsidRPr="007D699F">
        <w:rPr>
          <w:rFonts w:ascii="Times New Roman" w:hAnsi="Times New Roman" w:cs="Times New Roman"/>
          <w:sz w:val="24"/>
          <w:szCs w:val="24"/>
        </w:rPr>
        <w:t>cycle-based</w:t>
      </w:r>
      <w:r w:rsidRPr="00872636">
        <w:rPr>
          <w:rFonts w:ascii="Times New Roman" w:hAnsi="Times New Roman" w:cs="Times New Roman"/>
          <w:sz w:val="24"/>
          <w:szCs w:val="24"/>
        </w:rPr>
        <w:t xml:space="preserve"> studies or metrics of synthetic jet fuels. </w:t>
      </w:r>
    </w:p>
    <w:p w14:paraId="757FD80A" w14:textId="4FE2DBCD" w:rsidR="00104A2A" w:rsidRPr="00872636" w:rsidRDefault="00104A2A" w:rsidP="00C525D8">
      <w:pPr>
        <w:spacing w:after="0" w:line="480" w:lineRule="auto"/>
        <w:jc w:val="both"/>
        <w:rPr>
          <w:rFonts w:ascii="Times New Roman" w:hAnsi="Times New Roman" w:cs="Times New Roman"/>
          <w:sz w:val="24"/>
          <w:szCs w:val="24"/>
        </w:rPr>
      </w:pPr>
      <w:r w:rsidRPr="00872636">
        <w:rPr>
          <w:rFonts w:ascii="Times New Roman" w:hAnsi="Times New Roman" w:cs="Times New Roman"/>
          <w:sz w:val="24"/>
          <w:szCs w:val="24"/>
        </w:rPr>
        <w:tab/>
        <w:t xml:space="preserve">Not all bio-jet fuels (i.e. fuel from different production pathways) can be directly used in current aircraft (known as drop-in fuels), because some of fuel properties and chemical </w:t>
      </w:r>
      <w:r w:rsidRPr="00872636">
        <w:rPr>
          <w:rFonts w:ascii="Times New Roman" w:hAnsi="Times New Roman" w:cs="Times New Roman"/>
          <w:sz w:val="24"/>
          <w:szCs w:val="24"/>
        </w:rPr>
        <w:lastRenderedPageBreak/>
        <w:t xml:space="preserve">contents are not same as that of the conventional jet fuel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{"citationItems":[{"id":"ITEM-1","itemData":{"author":[{"dropping-particle":"","family":"Lokesh","given":"Kadambari","non-dropping-particle":"","parse-names":false,"suffix":""}],"id":"ITEM-1","issued":{"date-parts":[["2015"]]},"publisher":"Cranfield University","title":"Techno-economic environmental risk analysis of advanced biofuels for civil aviation","type":"thesis"},"uris":["http://www.mendeley.com/documents/?uuid=19ab64b3-94dc-36e3-bbab-6dd938f57d50"]}],"mendeley":{"formattedCitation":"[5]","plainTextFormattedCitation":"[5]","previouslyFormattedCitation":"[5]"},"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[5]</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Drop-in fuels are the fuels that can be directly used in the present aircraft without any modifications. Some systems within the aircraft are designed considering the properties of conventional jet fuel. For example: The aromatic content of conventional jet fuel causes rubber seals used in the high-pressure fuel system to swell, thereby preventing fuel leakage during aircraft operation at different altitudes; and synthetic paraffin kerosene (SPK) jet fuel cannot be used in neat form (100%) without modifications to the present aircraft or without the addition of synthetic aromatics/additives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{"citationItems":[{"id":"ITEM-1","itemData":{"author":[{"dropping-particle":"","family":"Lokesh","given":"Kadambari","non-dropping-particle":"","parse-names":false,"suffix":""}],"id":"ITEM-1","issued":{"date-parts":[["2015"]]},"publisher":"Cranfield University","title":"Techno-economic environmental risk analysis of advanced biofuels for civil aviation","type":"thesis"},"uris":["http://www.mendeley.com/documents/?uuid=19ab64b3-94dc-36e3-bbab-6dd938f57d50"]}],"mendeley":{"formattedCitation":"[5]","plainTextFormattedCitation":"[5]","previouslyFormattedCitation":"[5]"},"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[5]</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The difference in fuel properties of 100% SPK and Jet-A fuel, and related operability issues are detailed in resources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{"citationItems":[{"id":"ITEM-1","itemData":{"author":[{"dropping-particle":"","family":"Lokesh","given":"Kadambari","non-dropping-particle":"","parse-names":false,"suffix":""}],"id":"ITEM-1","issued":{"date-parts":[["2015"]]},"publisher":"Cranfield University","title":"Techno-economic environmental risk analysis of advanced biofuels for civil aviation","type":"thesis"},"uris":["http://www.mendeley.com/documents/?uuid=19ab64b3-94dc-36e3-bbab-6dd938f57d50"]},{"id":"ITEM-2","itemData":{"DOI":"10.2514/6.2016-4367","ISBN":"978-1-62410-440-4","author":[{"dropping-particle":"","family":"Jagtap","given":"Swapnil S.","non-dropping-particle":"","parse-names":false,"suffix":""}],"container-title":"16th AIAA Aviation Technology, Integration, and Operations Conference","id":"ITEM-2","issued":{"date-parts":[["2016","6","13"]]},"publisher":"American Institute of Aeronautics and Astronautics","publisher-place":"Reston, Virginia","title":"Sustainability assessment of hydro-processed renewable jet fuel from algae from market-entry year 2020: Use in passenger aircrafts","type":"paper-conference"},"uris":["http://www.mendeley.com/documents/?uuid=44cc1d08-f021-3c74-962d-d1b7c5d5c865"]}],"mendeley":{"formattedCitation":"[5], [6]","plainTextFormattedCitation":"[5], [6]","previouslyFormattedCitation":"[5], [6]"},"properties":{"noteIndex":0},"schema":"https://github.com/citation-style-language/schema/raw/master/csl-citation.json"}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[5], [6]</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American Society for Testing and Materials (ASTM) has approved four bio-jet fuel pathways which can be used in aircraft as drop-in fuels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s://www.iata.org/contentassets/d13875e9ed784f75bac90f000760e998/saf-technical-certifications.pdf","accessed":{"date-parts":[["2020","4","6"]]},"author":[{"dropping-particle":"","family":"IATA","given":"","non-dropping-particle":"","parse-names":false,"suffix":""}],"container-title":"International Air Transport Association","id":"ITEM-1","issued":{"date-parts":[["2020"]]},"title":"Sustainable Aviation Fuels Sustainable Aviation Fuels: Fact Sheet 2","type":"webpage"},"uris":["http://www.mendeley.com/documents/?uuid=2663eda6-9bca-3788-860a-251e0a45c26b"]},{"id":"ITEM-2","itemData":{"DOI":"10.2514/6.2019-3887","author":[{"dropping-particle":"","family":"Jagtap","given":"Swapnil Sarjerao","non-dropping-particle":"","parse-names":false,"suffix":""}],"container-title":"AIAA Propulsion and Energy 2019 Forum","id":"ITEM-2","issued":{"date-parts":[["2019"]]},"publisher":"American Institute of Aeronautics and Astronautics","publisher-place":"Indianapolis, Indiana","title":"Assessment of feedstocks for blended alcohol-to-jet fuel manufacturing from standalone and distributed scheme for sustainable aviation","type":"paper-conference"},"uris":["http://www.mendeley.com/documents/?uuid=12ba6c3a-c7d6-47db-ab91-f709cd69554d"]},{"id":"ITEM-3","itemData":{"DOI":"10.2514/6.2016-4367","ISBN":"978-1-62410-440-4","author":[{"dropping-particle":"","family":"Jagtap","given":"Swapnil S.","non-dropping-particle":"","parse-names":false,"suffix":""}],"container-title":"16th AIAA Aviation Technology, Integration, and Operations Conference","id":"ITEM-3","issued":{"date-parts":[["2016","6","13"]]},"publisher":"American Institute of Aeronautics and Astronautics","publisher-place":"Reston, Virginia","title":"Sustainability assessment of hydro-processed renewable jet fuel from algae from market-entry year 2020: Use in passenger aircrafts","type":"paper-conference"},"uris":["http://www.mendeley.com/documents/?uuid=44cc1d08-f021-3c74-962d-d1b7c5d5c865"]},{"id":"ITEM-4","itemData":{"DOI":"10.2514/6.2019-4332","author":[{"dropping-particle":"","family":"Jagtap","given":"Swapnil Sarjerao","non-dropping-particle":"","parse-names":false,"suffix":""}],"container-title":"AIAA Propulsion and Energy 2019 Forum","id":"ITEM-4","issued":{"date-parts":[["2019"]]},"publisher":"American Institute of Aeronautics and Astronautics","publisher-place":"Indianapolis, Indiana","title":"Comparative assessment of manufacturing setups for blended sugar-to-aviation fuel production from non-food feedstocks for green aviation","type":"paper-conference"},"uris":["http://www.mendeley.com/documents/?uuid=6e4e2fb8-dec4-48a1-831e-da1ab3115fd3"]},{"id":"ITEM-5","itemData":{"DOI":"10.2514/6.2019-4412","author":[{"dropping-particle":"","family":"Jagtap","given":"Swapnil Sarjerao","non-dropping-particle":"","parse-names":false,"suffix":""}],"container-title":"AIAA Propulsion and Energy 2019 Forum","id":"ITEM-5","issued":{"date-parts":[["2019"]]},"publisher":"American Institute of Aeronautics and Astronautics","publisher-place":"Indianapolis, Indiana","title":"Evaluation of blended Fischer-Tropsch jet fuel feedstocks for minimizing human and environmental health impacts of aviation","type":"paper-conference"},"uris":["http://www.mendeley.com/documents/?uuid=51e99b94-0b75-40c6-a589-786848ed5173"]}],"mendeley":{"formattedCitation":"[6]–[10]","plainTextFormattedCitation":"[6]–[10]","previouslyFormattedCitation":"[6]–[10]"},"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[6]–[10]</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These are: </w:t>
      </w:r>
    </w:p>
    <w:p w14:paraId="448FF8BC" w14:textId="5B24E3A5" w:rsidR="00104A2A" w:rsidRPr="00872636" w:rsidRDefault="00104A2A" w:rsidP="00C525D8">
      <w:pPr>
        <w:numPr>
          <w:ilvl w:val="0"/>
          <w:numId w:val="3"/>
        </w:numPr>
        <w:spacing w:after="0" w:line="480" w:lineRule="auto"/>
        <w:jc w:val="both"/>
        <w:rPr>
          <w:rFonts w:ascii="Times New Roman" w:hAnsi="Times New Roman" w:cs="Times New Roman"/>
          <w:sz w:val="24"/>
          <w:szCs w:val="24"/>
        </w:rPr>
      </w:pPr>
      <w:r w:rsidRPr="00872636">
        <w:rPr>
          <w:rFonts w:ascii="Times New Roman" w:hAnsi="Times New Roman" w:cs="Times New Roman"/>
          <w:sz w:val="24"/>
          <w:szCs w:val="24"/>
        </w:rPr>
        <w:t>Fischer-Tropsch (FT) SPK (FT-SPK) with maximum 50% blend and syngas FT with aromatic alkylation (FT-SPK/A) with maximum 50% blend</w:t>
      </w:r>
      <w:r w:rsidR="00C10E30" w:rsidRPr="00872636">
        <w:rPr>
          <w:rFonts w:ascii="Times New Roman" w:hAnsi="Times New Roman" w:cs="Times New Roman"/>
          <w:sz w:val="24"/>
          <w:szCs w:val="24"/>
        </w:rPr>
        <w:t>.</w:t>
      </w:r>
    </w:p>
    <w:p w14:paraId="62461CEF" w14:textId="7FA3689E" w:rsidR="00104A2A" w:rsidRPr="00872636" w:rsidRDefault="00104A2A" w:rsidP="00C525D8">
      <w:pPr>
        <w:numPr>
          <w:ilvl w:val="0"/>
          <w:numId w:val="3"/>
        </w:numPr>
        <w:spacing w:after="0" w:line="480" w:lineRule="auto"/>
        <w:jc w:val="both"/>
        <w:rPr>
          <w:rFonts w:ascii="Times New Roman" w:hAnsi="Times New Roman" w:cs="Times New Roman"/>
          <w:sz w:val="24"/>
          <w:szCs w:val="24"/>
        </w:rPr>
      </w:pPr>
      <w:r w:rsidRPr="00872636">
        <w:rPr>
          <w:rFonts w:ascii="Times New Roman" w:hAnsi="Times New Roman" w:cs="Times New Roman"/>
          <w:sz w:val="24"/>
          <w:szCs w:val="24"/>
        </w:rPr>
        <w:t>Hydro-processed lipids/hydro-processed renewable jet fuel or hydro-processed esters and fatty acids (HRJ/HEFA-SPK) with maximum 50% blend</w:t>
      </w:r>
      <w:r w:rsidR="00C10E30" w:rsidRPr="00872636">
        <w:rPr>
          <w:rFonts w:ascii="Times New Roman" w:hAnsi="Times New Roman" w:cs="Times New Roman"/>
          <w:sz w:val="24"/>
          <w:szCs w:val="24"/>
        </w:rPr>
        <w:t>,</w:t>
      </w:r>
      <w:r w:rsidRPr="00872636">
        <w:rPr>
          <w:rFonts w:ascii="Times New Roman" w:hAnsi="Times New Roman" w:cs="Times New Roman"/>
          <w:sz w:val="24"/>
          <w:szCs w:val="24"/>
        </w:rPr>
        <w:t xml:space="preserve"> </w:t>
      </w:r>
    </w:p>
    <w:p w14:paraId="36D0F875" w14:textId="5D309B92" w:rsidR="00104A2A" w:rsidRPr="00872636" w:rsidRDefault="00104A2A" w:rsidP="00C525D8">
      <w:pPr>
        <w:numPr>
          <w:ilvl w:val="0"/>
          <w:numId w:val="3"/>
        </w:numPr>
        <w:spacing w:after="0" w:line="480" w:lineRule="auto"/>
        <w:jc w:val="both"/>
        <w:rPr>
          <w:rFonts w:ascii="Times New Roman" w:hAnsi="Times New Roman" w:cs="Times New Roman"/>
          <w:sz w:val="24"/>
          <w:szCs w:val="24"/>
        </w:rPr>
      </w:pPr>
      <w:r w:rsidRPr="00872636">
        <w:rPr>
          <w:rFonts w:ascii="Times New Roman" w:hAnsi="Times New Roman" w:cs="Times New Roman"/>
          <w:sz w:val="24"/>
          <w:szCs w:val="24"/>
        </w:rPr>
        <w:t>Bio-chem sugars or hydro-processed fermented sugars to synthetic iso-paraffins (HFS-SIP) with maximum 10% blend (also referred to as sugar-to-jet (STJ) fuel)</w:t>
      </w:r>
      <w:r w:rsidR="00C10E30" w:rsidRPr="00872636">
        <w:rPr>
          <w:rFonts w:ascii="Times New Roman" w:hAnsi="Times New Roman" w:cs="Times New Roman"/>
          <w:sz w:val="24"/>
          <w:szCs w:val="24"/>
        </w:rPr>
        <w:t>,</w:t>
      </w:r>
      <w:r w:rsidRPr="00872636">
        <w:rPr>
          <w:rFonts w:ascii="Times New Roman" w:hAnsi="Times New Roman" w:cs="Times New Roman"/>
          <w:sz w:val="24"/>
          <w:szCs w:val="24"/>
        </w:rPr>
        <w:t xml:space="preserve"> and </w:t>
      </w:r>
    </w:p>
    <w:p w14:paraId="09D86F1B" w14:textId="509C32F0" w:rsidR="00104A2A" w:rsidRPr="00872636" w:rsidRDefault="00104A2A" w:rsidP="00C525D8">
      <w:pPr>
        <w:numPr>
          <w:ilvl w:val="0"/>
          <w:numId w:val="3"/>
        </w:numPr>
        <w:spacing w:after="0" w:line="480" w:lineRule="auto"/>
        <w:jc w:val="both"/>
        <w:rPr>
          <w:rFonts w:ascii="Times New Roman" w:hAnsi="Times New Roman" w:cs="Times New Roman"/>
          <w:sz w:val="24"/>
          <w:szCs w:val="24"/>
        </w:rPr>
      </w:pPr>
      <w:r w:rsidRPr="00872636">
        <w:rPr>
          <w:rFonts w:ascii="Times New Roman" w:hAnsi="Times New Roman" w:cs="Times New Roman"/>
          <w:sz w:val="24"/>
          <w:szCs w:val="24"/>
        </w:rPr>
        <w:t>Alcohol-to-jet (ATJ-SPK) fuel with maximum 50% blend (recently revised from 30% blend)</w:t>
      </w:r>
      <w:r w:rsidR="00C10E30" w:rsidRPr="00872636">
        <w:rPr>
          <w:rFonts w:ascii="Times New Roman" w:hAnsi="Times New Roman" w:cs="Times New Roman"/>
          <w:sz w:val="24"/>
          <w:szCs w:val="24"/>
        </w:rPr>
        <w:t>,</w:t>
      </w:r>
      <w:r w:rsidRPr="00872636">
        <w:rPr>
          <w:rFonts w:ascii="Times New Roman" w:hAnsi="Times New Roman" w:cs="Times New Roman"/>
          <w:sz w:val="24"/>
          <w:szCs w:val="24"/>
        </w:rPr>
        <w:t xml:space="preserve"> </w:t>
      </w:r>
    </w:p>
    <w:p w14:paraId="4F2B270A" w14:textId="77777777" w:rsidR="00104A2A" w:rsidRPr="00872636" w:rsidRDefault="00104A2A" w:rsidP="00C525D8">
      <w:pPr>
        <w:spacing w:after="0" w:line="480" w:lineRule="auto"/>
        <w:jc w:val="both"/>
        <w:rPr>
          <w:rFonts w:ascii="Times New Roman" w:hAnsi="Times New Roman" w:cs="Times New Roman"/>
          <w:sz w:val="24"/>
          <w:szCs w:val="24"/>
        </w:rPr>
      </w:pPr>
      <w:r w:rsidRPr="00872636">
        <w:rPr>
          <w:rFonts w:ascii="Times New Roman" w:hAnsi="Times New Roman" w:cs="Times New Roman"/>
          <w:sz w:val="24"/>
          <w:szCs w:val="24"/>
        </w:rPr>
        <w:t xml:space="preserve">where the blending is done with the conventional jet fuel. </w:t>
      </w:r>
    </w:p>
    <w:p w14:paraId="4585885E" w14:textId="3EC18DD0" w:rsidR="00104A2A" w:rsidRPr="00872636" w:rsidRDefault="00104A2A" w:rsidP="00C525D8">
      <w:pPr>
        <w:spacing w:after="0" w:line="480" w:lineRule="auto"/>
        <w:jc w:val="both"/>
        <w:rPr>
          <w:rFonts w:ascii="Times New Roman" w:hAnsi="Times New Roman" w:cs="Times New Roman"/>
          <w:sz w:val="24"/>
          <w:szCs w:val="24"/>
        </w:rPr>
      </w:pPr>
      <w:r w:rsidRPr="00872636">
        <w:rPr>
          <w:rFonts w:ascii="Times New Roman" w:hAnsi="Times New Roman" w:cs="Times New Roman"/>
          <w:sz w:val="24"/>
          <w:szCs w:val="24"/>
        </w:rPr>
        <w:tab/>
        <w:t xml:space="preserve">A study by Blakey et al.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{"citationItems":[{"id":"ITEM-1","itemData":{"DOI":"10.1016/J.PROCI.2010.09.011","ISSN":"1540-7489","abstract":"The development of kerosene-like drop-in alternative aircraft fuels is currently receiving increased attention. Using a range payload approach the need for drop in fuels is justified. The alternative fuels available can be categorised into two groups; depending on whether the product increases supply security of supply or provides a reduced environmental footprint. This paper uncovers this relationship through a review of commercially available process technologies (Transesterfication, Fischer–Tropsch (FT) and hydroprocessing (HRJ)) to produce alternative fuels. The lifecycle assessments available are reviewed to identify what are actually clean fuels or have the potential to be one. A summary of the recent alternative fuel flight test campaigns is given and there results evaluated along with ground based results. A review of combustion characteristics available for the alternative fuels including ignition characteristics are presented to demonstrate the effect the distillation curve has on combustion and how too narrow a distribution of components in the fuel could generate problems with high altitude relight. The effect alternative fuels have on gaseous emissions regulated by the International Civil Aviation Organisation (ICAO) Committee on Aviation Environmental Protection (CAEP) is discussed and shown to be engine hardware dependant. Experimental data, from an Auxiliary Power Unit (APU) engine, are provided showing how, although the Gas to Liquid (GtL) and Coal to Liquid (CtL) FT fuels may not reduce GHG emissions, even with Carbon Capture and Sequestration (CCS), the local air quality around airports will benefit through reduced particulate emissions. Finally the prospects for future fuel development are discussed.","author":[{"dropping-particle":"","family":"Blakey","given":"Simon","non-dropping-particle":"","parse-names":false,"suffix":""},{"dropping-particle":"","family":"Rye","given":"Lucas","non-dropping-particle":"","parse-names":false,"suffix":""},{"dropping-particle":"","family":"Wilson","given":"Christopher Willam","non-dropping-particle":"","parse-names":false,"suffix":""}],"container-title":"Proceedings of the Combustion Institute","id":"ITEM-1","issue":"2","issued":{"date-parts":[["2011","1","1"]]},"page":"2863-2885","publisher":"Elsevier","title":"Aviation gas turbine alternative fuels: A review","type":"article-journal","volume":"33"},"uris":["http://www.mendeley.com/documents/?uuid=b5a2b604-8dab-36ec-b7e1-381e36c5b70c"]}],"mendeley":{"formattedCitation":"[11]","plainTextFormattedCitation":"[11]","previouslyFormattedCitation":"[11]"},"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[11]</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reveals that the use of FT-SPK can help in reducing the local air-quality as a result of reduced particulate matter release. Also, the use of correct alternative fuel has the potential to make aviation sector </w:t>
      </w:r>
      <w:r w:rsidR="0027348A" w:rsidRPr="007D699F">
        <w:rPr>
          <w:rFonts w:ascii="Times New Roman" w:hAnsi="Times New Roman" w:cs="Times New Roman"/>
          <w:sz w:val="24"/>
          <w:szCs w:val="24"/>
        </w:rPr>
        <w:t>carbon neutral</w:t>
      </w:r>
      <w:r w:rsidRPr="00872636">
        <w:rPr>
          <w:rFonts w:ascii="Times New Roman" w:hAnsi="Times New Roman" w:cs="Times New Roman"/>
          <w:sz w:val="24"/>
          <w:szCs w:val="24"/>
        </w:rPr>
        <w:t xml:space="preserve">. Study by Hileman et al.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{"citationItems":[{"id":"ITEM-1","itemData":{"DOI":"10.2514/1.46232","ISSN":"0748-4658","author":[{"dropping-particle":"","family":"Hileman","given":"James I.","non-dropping-particle":"","parse-names":false,"suffix":""},{"dropping-particle":"","family":"Donohoo","given":"Pearl E.","non-dropping-particle":"","parse-names":false,"suffix":""},{"dropping-particle":"","family":"Stratton","given":"Russell W.","non-dropping-particle":"","parse-names":false,"suffix":""}],"container-title":"Journal of Propulsion and Power","id":"ITEM-1","issue":"6","issued":{"date-parts":[["2010","11","23"]]},"page":"1184-1196","title":"Energy Content and Alternative Jet Fuel Viability","type":"article-journal","volume":"26"},"uris":["http://www.mendeley.com/documents/?uuid=af9b0b5f-4290-30d8-b72b-899edbf3e8d4"]}],"mendeley":{"formattedCitation":"[12]","plainTextFormattedCitation":"[12]","previouslyFormattedCitation":"[12]"},"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[12]</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examines performance of bio-jet fuels based on a first-order approach using the Breguet</w:t>
      </w:r>
      <w:r w:rsidR="00C733FF" w:rsidRPr="00872636">
        <w:rPr>
          <w:rFonts w:ascii="Times New Roman" w:hAnsi="Times New Roman" w:cs="Times New Roman"/>
          <w:sz w:val="24"/>
          <w:szCs w:val="24"/>
        </w:rPr>
        <w:t xml:space="preserve"> </w:t>
      </w:r>
      <w:r w:rsidRPr="00872636">
        <w:rPr>
          <w:rFonts w:ascii="Times New Roman" w:hAnsi="Times New Roman" w:cs="Times New Roman"/>
          <w:sz w:val="24"/>
          <w:szCs w:val="24"/>
        </w:rPr>
        <w:t xml:space="preserve">range equation. The results from this study show that the fleet-wide (hypothetical) use of pure </w:t>
      </w:r>
      <w:r w:rsidRPr="00872636">
        <w:rPr>
          <w:rFonts w:ascii="Times New Roman" w:hAnsi="Times New Roman" w:cs="Times New Roman"/>
          <w:sz w:val="24"/>
          <w:szCs w:val="24"/>
        </w:rPr>
        <w:lastRenderedPageBreak/>
        <w:t xml:space="preserve">(100%) SPK (not approved currently) can decrease aircraft energy consumption (in-flight) by 0.3%. The (separate) use of 10% blended SPK (STJ) and 50% blended SPK (ATJ, HEFA or FT) can reduce the aircraft energy consumption (in-flight) by 0.03% and 0.15% respectively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{"citationItems":[{"id":"ITEM-1","itemData":{"URL":"https://greet.es.anl.gov/","author":[{"dropping-particle":"","family":"ANL","given":"","non-dropping-particle":"","parse-names":false,"suffix":""}],"container-title":"Argonne National Laboratory","edition":"2018","id":"ITEM-1","issued":{"date-parts":[["2021"]]},"publisher":"Argonne National Laboratory","title":"GREET 2021","type":"webpage"},"uris":["http://www.mendeley.com/documents/?uuid=949e8eba-2cad-421a-bac5-b87b571833ac"]},{"id":"ITEM-2","itemData":{"DOI":"10.2514/6.2019-4412","author":[{"dropping-particle":"","family":"Jagtap","given":"Swapnil Sarjerao","non-dropping-particle":"","parse-names":false,"suffix":""}],"container-title":"AIAA Propulsion and Energy 2019 Forum","id":"ITEM-2","issued":{"date-parts":[["2019"]]},"publisher":"American Institute of Aeronautics and Astronautics","publisher-place":"Indianapolis, Indiana","title":"Evaluation of blended Fischer-Tropsch jet fuel feedstocks for minimizing human and environmental health impacts of aviation","type":"paper-conference"},"uris":["http://www.mendeley.com/documents/?uuid=51e99b94-0b75-40c6-a589-786848ed5173"]},{"id":"ITEM-3","itemData":{"DOI":"10.2514/6.2019-4332","author":[{"dropping-particle":"","family":"Jagtap","given":"Swapnil Sarjerao","non-dropping-particle":"","parse-names":false,"suffix":""}],"container-title":"AIAA Propulsion and Energy 2019 Forum","id":"ITEM-3","issued":{"date-parts":[["2019"]]},"publisher":"American Institute of Aeronautics and Astronautics","publisher-place":"Indianapolis, Indiana","title":"Comparative assessment of manufacturing setups for blended sugar-to-aviation fuel production from non-food feedstocks for green aviation","type":"paper-conference"},"uris":["http://www.mendeley.com/documents/?uuid=6e4e2fb8-dec4-48a1-831e-da1ab3115fd3"]}],"mendeley":{"formattedCitation":"[9], [10], [13]","plainTextFormattedCitation":"[9], [10], [13]","previouslyFormattedCitation":"[9], [10], [13]"},"properties":{"noteIndex":0},"schema":"https://github.com/citation-style-language/schema/raw/master/csl-citation.json"}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[9], [10], [13]</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Test flights using biofuels (SPK) from algae and camelina were successfully conducted which marks the beginning of using alternative fuel in aviation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{"citationItems":[{"id":"ITEM-1","itemData":{"DOI":"10.2514/6.2016-4367","ISBN":"978-1-62410-440-4","author":[{"dropping-particle":"","family":"Jagtap","given":"Swapnil S.","non-dropping-particle":"","parse-names":false,"suffix":""}],"container-title":"16th AIAA Aviation Technology, Integration, and Operations Conference","id":"ITEM-1","issued":{"date-parts":[["2016","6","13"]]},"publisher":"American Institute of Aeronautics and Astronautics","publisher-place":"Reston, Virginia","title":"Sustainability assessment of hydro-processed renewable jet fuel from algae from market-entry year 2020: Use in passenger aircrafts","type":"paper-conference"},"uris":["http://www.mendeley.com/documents/?uuid=44cc1d08-f021-3c74-962d-d1b7c5d5c865"]},{"id":"ITEM-2","itemData":{"author":[{"dropping-particle":"","family":"Lokesh","given":"Kadambari","non-dropping-particle":"","parse-names":false,"suffix":""}],"id":"ITEM-2","issued":{"date-parts":[["2015"]]},"publisher":"Cranfield University","title":"Techno-economic environmental risk analysis of advanced biofuels for civil aviation","type":"thesis"},"uris":["http://www.mendeley.com/documents/?uuid=19ab64b3-94dc-36e3-bbab-6dd938f57d50"]},{"id":"ITEM-3","itemData":{"URL":"http://atwonline.com/eco-aviation/canadian-100-biofuel-flight-tests-show-significant-emission-reductions","accessed":{"date-parts":[["2019","1","16"]]},"author":[{"dropping-particle":"","family":"Walker","given":"Karen","non-dropping-particle":"","parse-names":false,"suffix":""}],"container-title":"Air Transport World","id":"ITEM-3","issued":{"date-parts":[["2013"]]},"title":"Canadian 100% biofuel flight tests show significant emission reductions | Eco-Aviation content from ATWOnline","type":"webpage"},"uris":["http://www.mendeley.com/documents/?uuid=0223a596-d5b8-3722-a482-f3e6fbfcae53"]}],"mendeley":{"formattedCitation":"[5], [6], [14]","plainTextFormattedCitation":"[5], [6], [14]","previouslyFormattedCitation":"[5], [6], [14]"},"properties":{"noteIndex":0},"schema":"https://github.com/citation-style-language/schema/raw/master/csl-citation.json"}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[5], [6], [14]</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Additionally, Lufthansa successfully completed a six-month flight-operation using 50% blended biofuel on Airbus A321 between Hamburg and Frankfurt, without any technical problems or operational inconsistencies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{"citationItems":[{"id":"ITEM-1","itemData":{"DOI":"10.2514/6.2016-4367","ISBN":"978-1-62410-440-4","author":[{"dropping-particle":"","family":"Jagtap","given":"Swapnil S.","non-dropping-particle":"","parse-names":false,"suffix":""}],"container-title":"16th AIAA Aviation Technology, Integration, and Operations Conference","id":"ITEM-1","issued":{"date-parts":[["2016","6","13"]]},"publisher":"American Institute of Aeronautics and Astronautics","publisher-place":"Reston, Virginia","title":"Sustainability assessment of hydro-processed renewable jet fuel from algae from market-entry year 2020: Use in passenger aircrafts","type":"paper-conference"},"uris":["http://www.mendeley.com/documents/?uuid=44cc1d08-f021-3c74-962d-d1b7c5d5c865"]},{"id":"ITEM-2","itemData":{"author":[{"dropping-particle":"","family":"Lokesh","given":"Kadambari","non-dropping-particle":"","parse-names":false,"suffix":""}],"id":"ITEM-2","issued":{"date-parts":[["2015"]]},"publisher":"Cranfield University","title":"Techno-economic environmental risk analysis of advanced biofuels for civil aviation","type":"thesis"},"uris":["http://www.mendeley.com/documents/?uuid=19ab64b3-94dc-36e3-bbab-6dd938f57d50"]},{"id":"ITEM-3","itemData":{"DOI":"10.1016/J.TRD.2016.03.018","ISSN":"1361-9209","abstract":"This article presents the results of a scenario-based study carried out at the European Commission’s Joint Research Centre aimed at analyzing the future growth of aviation, the resulting fuel demand and the deployment of biofuels in the aviation sector in Europe. Three scenarios have been produced based on different input assumptions and leading to different underlying patterns of growth and resulting volumes of traffic. Data for aviation growth and hence fuel demand have been projected on a year by year basis up to 2030, using 2010 as the baseline. Data sources are Eurostat statistics and actual flight information from EUROCONTROL. Relevant variables such as the number of flights, the type of aircrafts, passengers or cargo tonnes and production indicators (RPKs) are used together with fuel consumption and CO2 emissions data. The target of the European Advanced Biofuels Flightpath to ensure the commercialization and consumption of 2milliontons of sustainably produced paraffinic biofuels in the aviation sector by 2020, has also been taken into account. Results regarding CO2 emission projections to 2030, reveal a steady annual increase in the order of 3%, 1% and 4% on average, for the three different scenarios, providing also a good correlation compared to the annual traffic growth rates that are indicated in the three corresponding scenarios. In absolute values, these ratios correspond to the central, the pessimistic and the optimistic scenarios respectively, corresponding to 360milliontonnes CO2 emissions in 2030, ranging from 271 to 401milliontonnes for the pessimistic and optimistic scenarios, respectively. This article also reports on the supply potential of aviation biofuels (clustered in HEFA/HVOs and biojet) based on the production capacity of facilities around the world and provides an insight on the current and future trends in aviation based on the European and national policies, innovations and state-of-the art technologies that will influence the future of sustainable fuels in aviation.","author":[{"dropping-particle":"","family":"Kousoulidou","given":"Marina","non-dropping-particle":"","parse-names":false,"suffix":""},{"dropping-particle":"","family":"Lonza","given":"Laura","non-dropping-particle":"","parse-names":false,"suffix":""}],"container-title":"Transportation Research Part D: Transport and Environment","id":"ITEM-3","issued":{"date-parts":[["2016","7","1"]]},"page":"166-181","publisher":"Pergamon","title":"Biofuels in aviation: Fuel demand and CO2 emissions evolution in Europe toward 2030","type":"article-journal","volume":"46"},"uris":["http://www.mendeley.com/documents/?uuid=e3ddd2de-cdb1-39a9-b176-cac447329d6f"]}],"mendeley":{"formattedCitation":"[5], [6], [15]","plainTextFormattedCitation":"[5], [6], [15]","previouslyFormattedCitation":"[5], [6], [15]"},"properties":{"noteIndex":0},"schema":"https://github.com/citation-style-language/schema/raw/master/csl-citation.json"}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[5], [6], [15]</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w:t>
      </w:r>
      <w:r w:rsidR="000B49D9" w:rsidRPr="00872636">
        <w:rPr>
          <w:rFonts w:ascii="Times New Roman" w:hAnsi="Times New Roman" w:cs="Times New Roman"/>
          <w:sz w:val="24"/>
          <w:szCs w:val="24"/>
        </w:rPr>
        <w:t xml:space="preserve"> In recent years many test flights have been conducted on regional jet (ATR aircraft) </w:t>
      </w:r>
      <w:r w:rsidR="000B49D9"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s://www.atr-aircraft.com/presspost/atr-successfully-performs-test-flights-with-100-saf-in-one-engine/","accessed":{"date-parts":[["2022","7","18"]]},"author":[{"dropping-particle":"","family":"ATR","given":"","non-dropping-particle":"","parse-names":false,"suffix":""}],"container-title":"ATR","id":"ITEM-1","issued":{"date-parts":[["2022","2"]]},"title":"ATR successfully performs test flights with 100% SAF in one engine - ATR","type":"webpage"},"uris":["http://www.mendeley.com/documents/?uuid=e80cf568-f258-3a9c-98f7-5b4d4d208c74"]}],"mendeley":{"formattedCitation":"[16]","plainTextFormattedCitation":"[16]","previouslyFormattedCitation":"[16]"},"properties":{"noteIndex":0},"schema":"https://github.com/citation-style-language/schema/raw/master/csl-citation.json"}</w:instrText>
      </w:r>
      <w:r w:rsidR="000B49D9"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[16]</w:t>
      </w:r>
      <w:r w:rsidR="000B49D9" w:rsidRPr="00872636">
        <w:rPr>
          <w:rFonts w:ascii="Times New Roman" w:hAnsi="Times New Roman" w:cs="Times New Roman"/>
          <w:sz w:val="24"/>
          <w:szCs w:val="24"/>
        </w:rPr>
        <w:fldChar w:fldCharType="end"/>
      </w:r>
      <w:r w:rsidR="000B49D9" w:rsidRPr="00872636">
        <w:rPr>
          <w:rFonts w:ascii="Times New Roman" w:hAnsi="Times New Roman" w:cs="Times New Roman"/>
          <w:sz w:val="24"/>
          <w:szCs w:val="24"/>
        </w:rPr>
        <w:t xml:space="preserve">, business jets </w:t>
      </w:r>
      <w:r w:rsidR="000B49D9"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s://www.rolls-royce.com/media/press-releases/2021/01-02-2021-business-aviation-rr-conducts-first-tests-of-100-precent-sustainable-aviation-fuel.aspx","accessed":{"date-parts":[["2022","7","18"]]},"author":[{"dropping-particle":"","family":"Rolls Royce","given":"","non-dropping-particle":"","parse-names":false,"suffix":""}],"container-title":"Rolls Royce","id":"ITEM-1","issued":{"date-parts":[["2021"]]},"title":"Rolls-Royce - Rolls-Royce conducts first tests of 100% sustainable aviation fuel for use in business jets","type":"webpage"},"uris":["http://www.mendeley.com/documents/?uuid=81bd5510-bbff-3134-862f-9736fa236a72"]}],"mendeley":{"formattedCitation":"[17]","plainTextFormattedCitation":"[17]","previouslyFormattedCitation":"[17]"},"properties":{"noteIndex":0},"schema":"https://github.com/citation-style-language/schema/raw/master/csl-citation.json"}</w:instrText>
      </w:r>
      <w:r w:rsidR="000B49D9"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[17]</w:t>
      </w:r>
      <w:r w:rsidR="000B49D9" w:rsidRPr="00872636">
        <w:rPr>
          <w:rFonts w:ascii="Times New Roman" w:hAnsi="Times New Roman" w:cs="Times New Roman"/>
          <w:sz w:val="24"/>
          <w:szCs w:val="24"/>
        </w:rPr>
        <w:fldChar w:fldCharType="end"/>
      </w:r>
      <w:r w:rsidR="000B49D9" w:rsidRPr="00872636">
        <w:rPr>
          <w:rFonts w:ascii="Times New Roman" w:hAnsi="Times New Roman" w:cs="Times New Roman"/>
          <w:sz w:val="24"/>
          <w:szCs w:val="24"/>
        </w:rPr>
        <w:t xml:space="preserve">, and LTA (A350) and VLTA (A380) </w:t>
      </w:r>
      <w:r w:rsidR="000B49D9"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s://www.airbus.com/en/newsroom/press-releases/2022-03-first-a380-powered-by-100-sustainable-aviation-fuel-takes-to-the","accessed":{"date-parts":[["2022","7","18"]]},"author":[{"dropping-particle":"","family":"Airbus","given":"","non-dropping-particle":"","parse-names":false,"suffix":""}],"container-title":"Airbus","id":"ITEM-1","issued":{"date-parts":[["2022"]]},"title":"First A380 powered by 100% Sustainable Aviation Fuel takes to the skies ","type":"webpage"},"uris":["http://www.mendeley.com/documents/?uuid=82468335-5a66-3955-bba7-e217ff1f09ac"]}],"mendeley":{"formattedCitation":"[18]","plainTextFormattedCitation":"[18]","previouslyFormattedCitation":"[18]"},"properties":{"noteIndex":0},"schema":"https://github.com/citation-style-language/schema/raw/master/csl-citation.json"}</w:instrText>
      </w:r>
      <w:r w:rsidR="000B49D9"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[18]</w:t>
      </w:r>
      <w:r w:rsidR="000B49D9" w:rsidRPr="00872636">
        <w:rPr>
          <w:rFonts w:ascii="Times New Roman" w:hAnsi="Times New Roman" w:cs="Times New Roman"/>
          <w:sz w:val="24"/>
          <w:szCs w:val="24"/>
        </w:rPr>
        <w:fldChar w:fldCharType="end"/>
      </w:r>
      <w:r w:rsidR="000B49D9" w:rsidRPr="00872636">
        <w:rPr>
          <w:rFonts w:ascii="Times New Roman" w:hAnsi="Times New Roman" w:cs="Times New Roman"/>
          <w:sz w:val="24"/>
          <w:szCs w:val="24"/>
        </w:rPr>
        <w:t>, powered by 100% SPK primarily from HEFA pathway using waste biomass. From these test flights, no major issues were reported.</w:t>
      </w:r>
    </w:p>
    <w:p w14:paraId="2ECD60E8" w14:textId="3C93C52F" w:rsidR="00104A2A" w:rsidRPr="00872636" w:rsidRDefault="00104A2A" w:rsidP="00C525D8">
      <w:pPr>
        <w:spacing w:line="480" w:lineRule="auto"/>
        <w:jc w:val="both"/>
        <w:rPr>
          <w:rFonts w:ascii="Times New Roman" w:hAnsi="Times New Roman" w:cs="Times New Roman"/>
          <w:sz w:val="24"/>
          <w:szCs w:val="24"/>
        </w:rPr>
      </w:pPr>
      <w:r w:rsidRPr="00872636">
        <w:rPr>
          <w:rFonts w:ascii="Times New Roman" w:hAnsi="Times New Roman" w:cs="Times New Roman"/>
          <w:sz w:val="24"/>
          <w:szCs w:val="24"/>
        </w:rPr>
        <w:tab/>
        <w:t xml:space="preserve">A study by Schmidt et al.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10.1002/cite.201700129","ISSN":"0009286X","author":[{"dropping-particle":"","family":"Schmidt","given":"Patrick","non-dropping-particle":"","parse-names":false,"suffix":""},{"dropping-particle":"","family":"Batteiger","given":"Valentin","non-dropping-particle":"","parse-names":false,"suffix":""},{"dropping-particle":"","family":"Roth","given":"Arne","non-dropping-particle":"","parse-names":false,"suffix":""},{"dropping-particle":"","family":"Weindorf","given":"Werner","non-dropping-particle":"","parse-names":false,"suffix":""},{"dropping-particle":"","family":"Raksha","given":"Tetyana","non-dropping-particle":"","parse-names":false,"suffix":""}],"container-title":"Chemie Ingenieur Technik","id":"ITEM-1","issue":"1-2","issued":{"date-parts":[["2018","1","1"]]},"page":"127-140","publisher":"John Wiley &amp; Sons, Ltd","title":"Power-to-Liquids as Renewable Fuel Option for Aviation: A Review","type":"article-journal","volume":"90"},"uris":["http://www.mendeley.com/documents/?uuid=e7ed59d8-c73e-335b-9600-1b489fea364d"]}],"mendeley":{"formattedCitation":"[19]","plainTextFormattedCitation":"[19]","previouslyFormattedCitation":"[19]"},"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[19]</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demonstrates the development of a relatively novel fuel called power-to-liquid (PtL) jet fuel. Electricity produced from renewable sources like solar and wind energy is used in the electrolysis of water for hydrogen production. After carbon (CO</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rPr>
        <w:t>) capture, hydrogen and CO</w:t>
      </w:r>
      <w:r w:rsidRPr="00872636">
        <w:rPr>
          <w:rFonts w:ascii="Times New Roman" w:hAnsi="Times New Roman" w:cs="Times New Roman"/>
          <w:sz w:val="24"/>
          <w:szCs w:val="24"/>
          <w:vertAlign w:val="subscript"/>
        </w:rPr>
        <w:t xml:space="preserve">2 </w:t>
      </w:r>
      <w:r w:rsidRPr="00872636">
        <w:rPr>
          <w:rFonts w:ascii="Times New Roman" w:hAnsi="Times New Roman" w:cs="Times New Roman"/>
          <w:sz w:val="24"/>
          <w:szCs w:val="24"/>
        </w:rPr>
        <w:t xml:space="preserve">undergo chemical process to form hydrocarbon fuel (PtL). This study provides information on different scenarios of producing PtL fuel, and it estimates the life-cycle greenhouse gas (GHG) from the production pathways. PtL fuel produced from renewable energy has significantly lesser/near-zero lifecycle GHG emission compared to conventional jet fuel. It is not currently approved for civil aviation. Its thermo-physical and fuel handling properties are like conventional jet fuel, which means that PtL can be potentially used as a drop-in fuel. This enables status-quo in aircraft powerplants. One of the process involved in fuel refining is FT process. It is to be noted that 50% blended FT jet fuel is approved by ASTM, and 50% blend of PtL from FT process can be used directly. </w:t>
      </w:r>
    </w:p>
    <w:p w14:paraId="180B6732" w14:textId="35210AA8" w:rsidR="00104A2A" w:rsidRPr="00872636" w:rsidRDefault="00104A2A" w:rsidP="00C525D8">
      <w:pPr>
        <w:pStyle w:val="Heading3"/>
        <w:spacing w:after="240" w:line="480" w:lineRule="auto"/>
        <w:rPr>
          <w:rFonts w:ascii="Times New Roman" w:hAnsi="Times New Roman" w:cs="Times New Roman"/>
          <w:color w:val="auto"/>
          <w:lang w:eastAsia="en-GB"/>
        </w:rPr>
      </w:pPr>
      <w:r w:rsidRPr="00872636">
        <w:rPr>
          <w:rFonts w:ascii="Times New Roman" w:eastAsia="Times New Roman" w:hAnsi="Times New Roman" w:cs="Times New Roman"/>
          <w:color w:val="auto"/>
          <w:bdr w:val="none" w:sz="0" w:space="0" w:color="auto" w:frame="1"/>
          <w:lang w:eastAsia="en-GB"/>
        </w:rPr>
        <w:lastRenderedPageBreak/>
        <w:t>Hydrogen</w:t>
      </w:r>
    </w:p>
    <w:p w14:paraId="0882A483" w14:textId="6542E3BC" w:rsidR="00104A2A" w:rsidRPr="00872636" w:rsidRDefault="00104A2A" w:rsidP="00C525D8">
      <w:pPr>
        <w:spacing w:after="0" w:line="480" w:lineRule="auto"/>
        <w:jc w:val="both"/>
        <w:rPr>
          <w:rFonts w:ascii="Times New Roman" w:hAnsi="Times New Roman" w:cs="Times New Roman"/>
          <w:sz w:val="24"/>
          <w:szCs w:val="24"/>
        </w:rPr>
      </w:pPr>
      <w:r w:rsidRPr="00872636">
        <w:rPr>
          <w:rFonts w:ascii="Times New Roman" w:hAnsi="Times New Roman" w:cs="Times New Roman"/>
          <w:sz w:val="24"/>
          <w:szCs w:val="24"/>
        </w:rPr>
        <w:tab/>
        <w:t xml:space="preserve">Hydrogen is the most abundant element in the universe. It is a suitable energy storage medium which is carbon free and does not include other impurities. </w:t>
      </w:r>
      <w:r w:rsidRPr="00872636">
        <w:rPr>
          <w:rFonts w:ascii="Times New Roman" w:eastAsia="Times New Roman" w:hAnsi="Times New Roman" w:cs="Times New Roman"/>
          <w:sz w:val="24"/>
          <w:szCs w:val="24"/>
          <w:lang w:eastAsia="en-GB"/>
        </w:rPr>
        <w:t xml:space="preserve">Hydrogen can be stored as: a pressurized gas, a hydride, liquid hydrogen, or slush or solid form. Examples of hydride include methane, ammonia, etc. Storage as slush or solid hydrogen demands high energy to sub-cool the fuel and its use only leads to nominal savings in fuel tank volume and weight </w:t>
      </w:r>
      <w:r w:rsidRPr="00872636">
        <w:rPr>
          <w:rFonts w:ascii="Times New Roman" w:eastAsia="Times New Roman" w:hAnsi="Times New Roman" w:cs="Times New Roman"/>
          <w:sz w:val="24"/>
          <w:szCs w:val="24"/>
          <w:lang w:eastAsia="en-GB"/>
        </w:rPr>
        <w:fldChar w:fldCharType="begin" w:fldLock="1"/>
      </w:r>
      <w:r w:rsidR="00C46200">
        <w:rPr>
          <w:rFonts w:ascii="Times New Roman" w:eastAsia="Times New Roman" w:hAnsi="Times New Roman" w:cs="Times New Roman"/>
          <w:sz w:val="24"/>
          <w:szCs w:val="24"/>
          <w:lang w:eastAsia="en-GB"/>
        </w:rPr>
        <w:instrText>ADDIN CSL_CITATION {"citationItems":[{"id":"ITEM-1","itemData":{"DOI":"10.1016/j.ijhydene.2010.06.060","ISSN":"03603199","abstract":"Hydrogen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Energy","id":"ITEM-1","issue":"20","issued":{"date-parts":[["2010","10"]]},"page":"11085-11098","title":"Hydrogen fuel tanks for subsonic transport aircraft","type":"article-journal","volume":"35"},"uris":["http://www.mendeley.com/documents/?uuid=2e4f2e04-44b7-30e2-b30e-88be179f6ee3"]}],"mendeley":{"formattedCitation":"[20]","plainTextFormattedCitation":"[20]","previouslyFormattedCitation":"[20]"},"properties":{"noteIndex":0},"schema":"https://github.com/citation-style-language/schema/raw/master/csl-citation.json"}</w:instrText>
      </w:r>
      <w:r w:rsidRPr="00872636">
        <w:rPr>
          <w:rFonts w:ascii="Times New Roman" w:eastAsia="Times New Roman" w:hAnsi="Times New Roman" w:cs="Times New Roman"/>
          <w:sz w:val="24"/>
          <w:szCs w:val="24"/>
          <w:lang w:eastAsia="en-GB"/>
        </w:rPr>
        <w:fldChar w:fldCharType="separate"/>
      </w:r>
      <w:r w:rsidR="00801BEA" w:rsidRPr="00801BEA">
        <w:rPr>
          <w:rFonts w:ascii="Times New Roman" w:eastAsia="Times New Roman" w:hAnsi="Times New Roman" w:cs="Times New Roman"/>
          <w:noProof/>
          <w:sz w:val="24"/>
          <w:szCs w:val="24"/>
          <w:lang w:eastAsia="en-GB"/>
        </w:rPr>
        <w:t>[20]</w:t>
      </w:r>
      <w:r w:rsidRPr="00872636">
        <w:rPr>
          <w:rFonts w:ascii="Times New Roman" w:eastAsia="Times New Roman" w:hAnsi="Times New Roman" w:cs="Times New Roman"/>
          <w:sz w:val="24"/>
          <w:szCs w:val="24"/>
          <w:lang w:eastAsia="en-GB"/>
        </w:rPr>
        <w:fldChar w:fldCharType="end"/>
      </w:r>
      <w:r w:rsidRPr="00872636">
        <w:rPr>
          <w:rFonts w:ascii="Times New Roman" w:eastAsia="Times New Roman" w:hAnsi="Times New Roman" w:cs="Times New Roman"/>
          <w:sz w:val="24"/>
          <w:szCs w:val="24"/>
          <w:lang w:eastAsia="en-GB"/>
        </w:rPr>
        <w:t xml:space="preserve">. Hydrogen storage as a super-saturated (subcooled) liquid can cause high pressure fluctuations inside the tank thereby resulting in heavier tanks. Hydride and gaseous storage are impractical because of the excessive tank weight or volume resulting from carrying a fuel of low energy density per unit volume especially for gaseous hydrogen </w:t>
      </w:r>
      <w:r w:rsidRPr="00872636">
        <w:rPr>
          <w:rFonts w:ascii="Times New Roman" w:eastAsia="Times New Roman" w:hAnsi="Times New Roman" w:cs="Times New Roman"/>
          <w:sz w:val="24"/>
          <w:szCs w:val="24"/>
          <w:lang w:eastAsia="en-GB"/>
        </w:rPr>
        <w:fldChar w:fldCharType="begin" w:fldLock="1"/>
      </w:r>
      <w:r w:rsidR="00C46200">
        <w:rPr>
          <w:rFonts w:ascii="Times New Roman" w:eastAsia="Times New Roman" w:hAnsi="Times New Roman" w:cs="Times New Roman"/>
          <w:sz w:val="24"/>
          <w:szCs w:val="24"/>
          <w:lang w:eastAsia="en-GB"/>
        </w:rPr>
        <w:instrText>ADDIN CSL_CITATION {"citationItems":[{"id":"ITEM-1","itemData":{"DOI":"10.1016/j.ijhydene.2010.06.060","ISSN":"03603199","abstract":"Hydrogen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Energy","id":"ITEM-1","issue":"20","issued":{"date-parts":[["2010","10"]]},"page":"11085-11098","title":"Hydrogen fuel tanks for subsonic transport aircraft","type":"article-journal","volume":"35"},"uris":["http://www.mendeley.com/documents/?uuid=2e4f2e04-44b7-30e2-b30e-88be179f6ee3"]},{"id":"ITEM-2","itemData":{"ISBN":"3016210134","author":[{"dropping-particle":"","family":"Mital","given":"Subodh K.","non-dropping-particle":"","parse-names":false,"suffix":""},{"dropping-particle":"","family":"Gyekenyesi","given":"John Z.","non-dropping-particle":"","parse-names":false,"suffix":""},{"dropping-particle":"","family":"Arnold","given":"Steven M.","non-dropping-particle":"","parse-names":false,"suffix":""},{"dropping-particle":"","family":"Sullivan","given":"Roy M.","non-dropping-particle":"","parse-names":false,"suffix":""},{"dropping-particle":"","family":"Manderscheid","given":"Jane M.","non-dropping-particle":"","parse-names":false,"suffix":""},{"dropping-particle":"","family":"Murthy","given":"Pappu L. N.","non-dropping-particle":"","parse-names":false,"suffix":""}],"id":"ITEM-2","issued":{"date-parts":[["2006"]]},"title":"Review of Current State of the Art and Key Design Issues With Potential Solutions for Liquid Hydrogen Cryogenic Storage Tank Structures for Aircraft Applications","type":"report"},"uris":["http://www.mendeley.com/documents/?uuid=d288854e-91d2-3189-9d56-649d33f0f11c"]}],"mendeley":{"formattedCitation":"[20], [21]","plainTextFormattedCitation":"[20], [21]","previouslyFormattedCitation":"[20], [21]"},"properties":{"noteIndex":0},"schema":"https://github.com/citation-style-language/schema/raw/master/csl-citation.json"}</w:instrText>
      </w:r>
      <w:r w:rsidRPr="00872636">
        <w:rPr>
          <w:rFonts w:ascii="Times New Roman" w:eastAsia="Times New Roman" w:hAnsi="Times New Roman" w:cs="Times New Roman"/>
          <w:sz w:val="24"/>
          <w:szCs w:val="24"/>
          <w:lang w:eastAsia="en-GB"/>
        </w:rPr>
        <w:fldChar w:fldCharType="separate"/>
      </w:r>
      <w:r w:rsidR="00801BEA" w:rsidRPr="00801BEA">
        <w:rPr>
          <w:rFonts w:ascii="Times New Roman" w:eastAsia="Times New Roman" w:hAnsi="Times New Roman" w:cs="Times New Roman"/>
          <w:noProof/>
          <w:sz w:val="24"/>
          <w:szCs w:val="24"/>
          <w:lang w:eastAsia="en-GB"/>
        </w:rPr>
        <w:t>[20], [21]</w:t>
      </w:r>
      <w:r w:rsidRPr="00872636">
        <w:rPr>
          <w:rFonts w:ascii="Times New Roman" w:eastAsia="Times New Roman" w:hAnsi="Times New Roman" w:cs="Times New Roman"/>
          <w:sz w:val="24"/>
          <w:szCs w:val="24"/>
          <w:lang w:eastAsia="en-GB"/>
        </w:rPr>
        <w:fldChar w:fldCharType="end"/>
      </w:r>
      <w:r w:rsidRPr="00872636">
        <w:rPr>
          <w:rFonts w:ascii="Times New Roman" w:eastAsia="Times New Roman" w:hAnsi="Times New Roman" w:cs="Times New Roman"/>
          <w:sz w:val="24"/>
          <w:szCs w:val="24"/>
          <w:lang w:eastAsia="en-GB"/>
        </w:rPr>
        <w:t xml:space="preserve">. </w:t>
      </w:r>
      <w:r w:rsidRPr="00872636">
        <w:rPr>
          <w:rFonts w:ascii="Times New Roman" w:hAnsi="Times New Roman" w:cs="Times New Roman"/>
          <w:sz w:val="24"/>
          <w:szCs w:val="24"/>
        </w:rPr>
        <w:t>However, it is to be noted that methane combustion produces carbon emissions, and ammonia combustion cannot be called a self-sustained combustion process (poor flammability characteristics) and it produces higher NO</w:t>
      </w:r>
      <w:r w:rsidRPr="00872636">
        <w:rPr>
          <w:rFonts w:ascii="Times New Roman" w:hAnsi="Times New Roman" w:cs="Times New Roman"/>
          <w:sz w:val="24"/>
          <w:szCs w:val="24"/>
          <w:vertAlign w:val="subscript"/>
        </w:rPr>
        <w:t>x</w:t>
      </w:r>
      <w:r w:rsidRPr="00872636">
        <w:rPr>
          <w:rFonts w:ascii="Times New Roman" w:hAnsi="Times New Roman" w:cs="Times New Roman"/>
          <w:sz w:val="24"/>
          <w:szCs w:val="24"/>
        </w:rPr>
        <w:t xml:space="preserve">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{"citationItems":[{"id":"ITEM-1","itemData":{"DOI":"10.1016/j.proci.2018.09.029","ISSN":"15407489","abstract":"This paper focuses on the potential use of ammonia as a carbon-free fuel, and covers recent advances in the development of ammonia combustion technology and its underlying chemistry. Fulfilling the COP21 Paris Agreement requires the de-carbonization of energy generation, through utilization of carbon-neutral and overall carbon-free fuels produced from renewable sources. Hydrogen is one of such fuels, which is a potential energy carrier for reducing greenhouse-gas emissions. However, its shipment for long distances and storage for long times present challenges. Ammonia on the other hand, comprises 17.8% of hydrogen by mass and can be produced from renewable hydrogen and nitrogen separated from air. Furthermore, thermal properties of ammonia are similar to those of propane in terms of boiling temperature and condensation pressure, making it attractive as a hydrogen and energy carrier. Ammonia has been produced and utilized for the past 100 years as a fertilizer, chemical raw material, and refrigerant. Ammonia can be used as a fuel but there are several challenges in ammonia combustion, such as low flammability, high NOx emission, and low radiation intensity. Overcoming these challenges requires further research into ammonia flame dynamics and chemistry. This paper discusses recent successful applications of ammonia fuel, in gas turbines, co-fired with pulverize coal, and in industrial furnaces. These applications have been implemented under the Japanese 'Cross-ministerial Strategic Innovation Promotion Program (SIP): Energy Carriers'. In addition, fundamental aspects of ammonia combustion are discussed including characteristics of laminar premixed flames, counterflow twin-flames, and turbulent premixed flames stabilized by a nozzle burner at high pressure. Furthermore, this paper discusses details of the chemistry of ammonia combustion related to NOx production, processes for reducing NOx, and validation of several ammonia oxidation kinetics models. Finally, LES results for a gas-turbine-like swirl-burner are presented, for the purpose of developing low-NOx single-fuelled ammonia gas turbine combustors.","author":[{"dropping-particle":"","family":"Kobayashi","given":"Hideaki","non-dropping-particle":"","parse-names":false,"suffix":""},{"dropping-particle":"","family":"Hayakawa","given":"Akihiro","non-dropping-particle":"","parse-names":false,"suffix":""},{"dropping-particle":"","family":"Somarathne","given":"K. D.Kunkuma A.","non-dropping-particle":"","parse-names":false,"suffix":""},{"dropping-particle":"","family":"Okafor","given":"Ekenechukwu C.","non-dropping-particle":"","parse-names":false,"suffix":""}],"container-title":"Proceedings of the Combustion Institute","id":"ITEM-1","issue":"1","issued":{"date-parts":[["2019"]]},"page":"109-133","publisher":"Elsevier Ltd","title":"Science and technology of ammonia combustion","type":"article-journal","volume":"37"},"uris":["http://www.mendeley.com/documents/?uuid=06a21b8e-6acd-3cae-b22c-306856544d37"]},{"id":"ITEM-2","itemData":{"DOI":"10.1115/1.3239909","ISSN":"15288919","abstract":"A model has been developed for the prediction of NOx emissions from combustion turbines. Thermal, prompt, and fuel NO are all treated and are all assumed to be formed at a stoichiometric equivalence ratio. Prompt and fuel NO are assumed to be fast with respect to thermal NO and establish a finite concentration of NO at the beginning of the thermal NO formation process. Thermal NO is calculated via the extended Zeldovich mechanism; a thermal NO formation time is determined from the ratio of flame length to convective velocity within the combustor. Prompt NO is assumed to be formed from the hydrocarbon chemistry and is related to the equilibrium concentration of NO rather than to O-atom overshoot. Fuel NO is calculated assuming an indispensible intermediate in the formation mechanism and a constant Fenimore a parameter for combustion turbine flames. The model employs equilibrium hydrocarbon chemistry; the flame temperature and concentrations of key species are determined in an equilibrium subroutine. The effects of water or steam injection and ambient humidity are included through their impact on the flame temperature and species concentrations. The model has been applied to can-type combustors and its accuracy has been verified by data on high and low nitrogen fuels with and without water injection, and on combustors of different geometry. The treatment of all three mechanisms of NO formation is unique to this model and permits prediction of emissions for the range of conventional and alternative fuels encountered in industrial combustion turbines. © 1986 ASME.","author":[{"dropping-particle":"","family":"Toof","given":"J. L.","non-dropping-particle":"","parse-names":false,"suffix":""}],"container-title":"Journal of Engineering for Gas Turbines and Power","id":"ITEM-2","issue":"2","issued":{"date-parts":[["1986"]]},"page":"340-347","title":"A model for the prediction of thermal, prompt, and fuel NOX emissions from combustion turbines","type":"article-journal","volume":"108"},"uris":["http://www.mendeley.com/documents/?uuid=1bfea9b0-65c9-3cd2-9b3c-79434741d498"]},{"id":"ITEM-3","itemData":{"author":[{"dropping-particle":"","family":"Kumar","given":"Praveen","non-dropping-particle":"","parse-names":false,"suffix":""}],"id":"ITEM-3","issued":{"date-parts":[["2012"]]},"publisher":"Iowa State University","title":"An experimental and numerical study of NOx formation mechanisms in NH3-H2-Air flames","type":"thesis"},"uris":["http://www.mendeley.com/documents/?uuid=9a0ab532-7630-37bf-a541-7171802ab9cf"]}],"mendeley":{"formattedCitation":"[22]–[24]","plainTextFormattedCitation":"[22]–[24]","previouslyFormattedCitation":"[22]–[24]"},"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[22]–[24]</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w:t>
      </w:r>
    </w:p>
    <w:p w14:paraId="16EDE3AC" w14:textId="1331DFE7" w:rsidR="00104A2A" w:rsidRPr="00872636" w:rsidRDefault="00104A2A" w:rsidP="00C525D8">
      <w:pPr>
        <w:spacing w:after="0" w:line="480" w:lineRule="auto"/>
        <w:jc w:val="both"/>
        <w:rPr>
          <w:rFonts w:ascii="Times New Roman" w:hAnsi="Times New Roman" w:cs="Times New Roman"/>
          <w:sz w:val="24"/>
          <w:szCs w:val="24"/>
        </w:rPr>
      </w:pPr>
      <w:r w:rsidRPr="00872636">
        <w:rPr>
          <w:rFonts w:ascii="Times New Roman" w:hAnsi="Times New Roman" w:cs="Times New Roman"/>
          <w:sz w:val="24"/>
          <w:szCs w:val="24"/>
        </w:rPr>
        <w:tab/>
        <w:t>Liquid hydrogen (LH</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rPr>
        <w:t xml:space="preserve">) as an aviation fuel comes across as an interesting candidate, primarily because of its higher energy density (lower calorific value [LCV]) of 120 MJ/kg compared to conventional jet fuel’s LCV of 43.2 MJ/kg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{"citationItems":[{"id":"ITEM-1","itemData":{"DOI":"10.1016/J.IJHYDENE.2008.11.017","ISSN":"0360-3199","abstract":"The paper highlights the importance of hydrogen as a promising alternative for future aircraft fuel, with respect to reduced environmental impact, increased sustainability, high energy content and favorable combustion kinetics, since the rapid growth and dependence of aircraft propulsion on fossil fuels are unsustainable. This paper compares the environmental impact of hydrogen and kerosene-fueled aircraft, in terms of greenhouse gas emissions and other emission comparisons. Sample flights from Toronto to Montreal, and Calgary to London are examined. Emissions from a conventional aircraft are estimated and compared with the LH2 (liquid hydrogen) aircraft. The environmental benefits and drawbacks of these systems are presented from safety and storage perspectives. Radiative forcing factors that compare conventional aircraft and LH2 aircraft are included. It is shown that the amount of NOx, HC and CO emissions for the trips with conventional aircraft for Calgary is 171.4, 41.9 and 32.2kg, while Montreal is 56.17, 2.43 and 21.9kg, and London is 251.7, 5.1 and 39.2kg, respectively. These results are compared against hydrogen propulsion to show the promising capabilities of hydrogen as an aircraft fuel.","author":[{"dropping-particle":"","family":"Nojoumi","given":"H.","non-dropping-particle":"","parse-names":false,"suffix":""},{"dropping-particle":"","family":"Dincer","given":"I.","non-dropping-particle":"","parse-names":false,"suffix":""},{"dropping-particle":"","family":"Naterer","given":"G.F.","non-dropping-particle":"","parse-names":false,"suffix":""}],"container-title":"International Journal of Hydrogen Energy","id":"ITEM-1","issue":"3","issued":{"date-parts":[["2009","2","1"]]},"page":"1363-1369","publisher":"Pergamon","title":"Greenhouse gas emissions assessment of hydrogen and kerosene-fueled aircraft propulsion","type":"article-journal","volume":"34"},"uris":["http://www.mendeley.com/documents/?uuid=f24ecaf8-7f80-3a41-b0ba-16fe202c350e"]}],"mendeley":{"formattedCitation":"[25]","plainTextFormattedCitation":"[25]","previouslyFormattedCitation":"[25]"},"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[25]</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and because hydrogen combustion does not release emissions like CO</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rPr>
        <w:t xml:space="preserve">, CO, volatile organic compounds, </w:t>
      </w:r>
      <w:r w:rsidR="00DE51C1" w:rsidRPr="00872636">
        <w:rPr>
          <w:rFonts w:ascii="Times New Roman" w:hAnsi="Times New Roman" w:cs="Times New Roman"/>
          <w:sz w:val="24"/>
          <w:szCs w:val="24"/>
        </w:rPr>
        <w:t>particulate matter (</w:t>
      </w:r>
      <w:r w:rsidRPr="00872636">
        <w:rPr>
          <w:rFonts w:ascii="Times New Roman" w:hAnsi="Times New Roman" w:cs="Times New Roman"/>
          <w:sz w:val="24"/>
          <w:szCs w:val="24"/>
        </w:rPr>
        <w:t>PM</w:t>
      </w:r>
      <w:r w:rsidRPr="00872636">
        <w:rPr>
          <w:rFonts w:ascii="Times New Roman" w:hAnsi="Times New Roman" w:cs="Times New Roman"/>
          <w:sz w:val="24"/>
          <w:szCs w:val="24"/>
          <w:vertAlign w:val="subscript"/>
        </w:rPr>
        <w:t xml:space="preserve">2.5 </w:t>
      </w:r>
      <w:r w:rsidRPr="00872636">
        <w:rPr>
          <w:rFonts w:ascii="Times New Roman" w:hAnsi="Times New Roman" w:cs="Times New Roman"/>
          <w:sz w:val="24"/>
          <w:szCs w:val="24"/>
        </w:rPr>
        <w:t>and PM</w:t>
      </w:r>
      <w:r w:rsidRPr="00872636">
        <w:rPr>
          <w:rFonts w:ascii="Times New Roman" w:hAnsi="Times New Roman" w:cs="Times New Roman"/>
          <w:sz w:val="24"/>
          <w:szCs w:val="24"/>
          <w:vertAlign w:val="subscript"/>
        </w:rPr>
        <w:t>10</w:t>
      </w:r>
      <w:r w:rsidR="00DE51C1" w:rsidRPr="00872636">
        <w:rPr>
          <w:rFonts w:ascii="Times New Roman" w:hAnsi="Times New Roman" w:cs="Times New Roman"/>
          <w:sz w:val="24"/>
          <w:szCs w:val="24"/>
        </w:rPr>
        <w:t>),</w:t>
      </w:r>
      <w:r w:rsidRPr="00872636">
        <w:rPr>
          <w:rFonts w:ascii="Times New Roman" w:hAnsi="Times New Roman" w:cs="Times New Roman"/>
          <w:sz w:val="24"/>
          <w:szCs w:val="24"/>
        </w:rPr>
        <w:t xml:space="preserve"> black and organic carbon, and SO</w:t>
      </w:r>
      <w:r w:rsidRPr="00872636">
        <w:rPr>
          <w:rFonts w:ascii="Times New Roman" w:hAnsi="Times New Roman" w:cs="Times New Roman"/>
          <w:sz w:val="24"/>
          <w:szCs w:val="24"/>
          <w:vertAlign w:val="subscript"/>
        </w:rPr>
        <w:t>x</w:t>
      </w:r>
      <w:r w:rsidRPr="00872636">
        <w:rPr>
          <w:rFonts w:ascii="Times New Roman" w:hAnsi="Times New Roman" w:cs="Times New Roman"/>
          <w:sz w:val="24"/>
          <w:szCs w:val="24"/>
        </w:rPr>
        <w:t>, during direct-use. The high energy density (LCV) of LH</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rPr>
        <w:t xml:space="preserve"> for aviation application can be utilised via fuel cells and gas turbine engines (hydrogen combustion). Fuel cell powered aircraft would only emit water vapour. For a gas turbine engine powered aircraft (hydrogen combustion), the products of combustion include water vapour and NO</w:t>
      </w:r>
      <w:r w:rsidRPr="00872636">
        <w:rPr>
          <w:rFonts w:ascii="Times New Roman" w:hAnsi="Times New Roman" w:cs="Times New Roman"/>
          <w:sz w:val="24"/>
          <w:szCs w:val="24"/>
          <w:vertAlign w:val="subscript"/>
        </w:rPr>
        <w:t>x</w:t>
      </w:r>
      <w:r w:rsidRPr="00872636">
        <w:rPr>
          <w:rFonts w:ascii="Times New Roman" w:hAnsi="Times New Roman" w:cs="Times New Roman"/>
          <w:sz w:val="24"/>
          <w:szCs w:val="24"/>
        </w:rPr>
        <w:t xml:space="preserve">. Khandelwal et al.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{"citationItems":[{"id":"ITEM-1","itemData":{"DOI":"10.1016/j.paerosci.2012.12.002","ISSN":"03760421","abstract":"This paper investigates properties and traits of hydrogen with regard to environmental concerns and viability in near future applications. Hydrogen is the most likely energy carrier for the future of aviation, a fuel that has the potential of zero emissions. With investigation into the history of hydrogen, this study establishes issues and concerns made apparent when regarding the fuel in aero applications. Various strategies are analyzed in order to evaluate hydrogen's feasibility which includes production, storage, engine configurations and aircraft configurations. © 2012 Elsevier Ltd.","author":[{"dropping-particle":"","family":"Khandelwal","given":"Bhupendra","non-dropping-particle":"","parse-names":false,"suffix":""},{"dropping-particle":"","family":"Karakurt","given":"Adam","non-dropping-particle":"","parse-names":false,"suffix":""},{"dropping-particle":"","family":"Sekaran","given":"Paulas R.","non-dropping-particle":"","parse-names":false,"suffix":""},{"dropping-particle":"","family":"Sethi","given":"Vishal","non-dropping-particle":"","parse-names":false,"suffix":""},{"dropping-particle":"","family":"Singh","given":"Riti","non-dropping-particle":"","parse-names":false,"suffix":""}],"container-title":"Progress in Aerospace Sciences","id":"ITEM-1","issued":{"date-parts":[["2013"]]},"page":"45-59","publisher":"Elsevier Ltd","title":"Hydrogen powered aircraft: The future of air transport","type":"article","volume":"60"},"uris":["http://www.mendeley.com/documents/?uuid=fac06492-a707-394b-8c69-a30b18200d00"]}],"mendeley":{"formattedCitation":"[26]","plainTextFormattedCitation":"[26]","previouslyFormattedCitation":"[26]"},"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[26]</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review different LH</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rPr>
        <w:t xml:space="preserve"> tank and insulation configurations, hydrogen engines, ultra-low NO</w:t>
      </w:r>
      <w:r w:rsidRPr="00872636">
        <w:rPr>
          <w:rFonts w:ascii="Times New Roman" w:hAnsi="Times New Roman" w:cs="Times New Roman"/>
          <w:sz w:val="24"/>
          <w:szCs w:val="24"/>
          <w:vertAlign w:val="subscript"/>
        </w:rPr>
        <w:t>x</w:t>
      </w:r>
      <w:r w:rsidRPr="00872636">
        <w:rPr>
          <w:rFonts w:ascii="Times New Roman" w:hAnsi="Times New Roman" w:cs="Times New Roman"/>
          <w:sz w:val="24"/>
          <w:szCs w:val="24"/>
        </w:rPr>
        <w:t xml:space="preserve"> combustors and safety aspect. Additionally, Rondinelli et al.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10.1504/ijsa.2017.086845","ISSN":"2050-0467","author":[{"dropping-particle":"","family":"Rondinelli","given":"Stephen","non-dropping-particle":"","parse-names":false,"suffix":""},{"dropping-particle":"","family":"Gardi","given":"Alessandro","non-dropping-particle":"","parse-names":false,"suffix":""},{"dropping-particle":"","family":"Kapoor","given":"Rohan","non-dropping-particle":"","parse-names":false,"suffix":""},{"dropping-particle":"","family":"Sabatini","given":"Roberto","non-dropping-particle":"","parse-names":false,"suffix":""}],"container-title":"International Journal of Sustainable Aviation","id":"ITEM-1","issue":"3","issued":{"date-parts":[["2017"]]},"page":"200","publisher":"Inderscience Publishers","title":"Benefits and challenges of liquid hydrogen fuels in commercial aviation","type":"article-journal","volume":"3"},"uris":["http://www.mendeley.com/documents/?uuid=e08c4d8a-91e0-31e1-9b04-524fa77b0bb3"]}],"mendeley":{"formattedCitation":"[27]","plainTextFormattedCitation":"[27]","previouslyFormattedCitation":"[27]"},"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[27]</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discuss the airport systems design and operation associated with the transition from Jet-A fuel to LH</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rPr>
        <w:t xml:space="preserve"> fuel.</w:t>
      </w:r>
    </w:p>
    <w:p w14:paraId="3F440C29" w14:textId="38E6DF16" w:rsidR="00104A2A" w:rsidRPr="00872636" w:rsidRDefault="00104A2A" w:rsidP="00C525D8">
      <w:pPr>
        <w:spacing w:after="0" w:line="480" w:lineRule="auto"/>
        <w:jc w:val="both"/>
        <w:rPr>
          <w:rFonts w:ascii="Times New Roman" w:hAnsi="Times New Roman" w:cs="Times New Roman"/>
          <w:sz w:val="24"/>
          <w:szCs w:val="24"/>
        </w:rPr>
      </w:pPr>
      <w:r w:rsidRPr="00872636">
        <w:rPr>
          <w:rFonts w:ascii="Times New Roman" w:hAnsi="Times New Roman" w:cs="Times New Roman"/>
          <w:sz w:val="24"/>
          <w:szCs w:val="24"/>
        </w:rPr>
        <w:lastRenderedPageBreak/>
        <w:tab/>
        <w:t>LH</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rPr>
        <w:t xml:space="preserve"> is a special fuel because it is 2.78 times more energy dense per mass than conventional Jet-A fuel but the conventional Jet-A fuel is 4.1 times more energy-dense per volume compared to LH</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rPr>
        <w:t xml:space="preserve">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{"citationItems":[{"id":"ITEM-1","itemData":{"DOI":"10.1016/j.ijhydene.2016.12.119","ISSN":"03603199","abstract":"In the present study, hydrogen and some other alternative fuels (such as ammonia, methanol, ethanol, liquefied natural gas) are considered for aviation applications under a comprehensive life cycle assessment study and are evaluated comparatively with the conventional kerosene based jet fuel for various impact categories. Therefore, this study is performed with a well-to-wake approach to evaluate the overall life cycle of an aircraft running on these conventional and alternative fuels. Both conventional and renewable fuel routes are considered for the production of ammonia and hydrogen fuels. Although there are modifications required to fulfill the aviation fuel specifications for such alternative fuels, the long term viability and environmental sustainability make them attractive solutions for the future of aviation industry. This study uses a life cycle assessment of an average aircraft utilizing various alternative aviation fuels to determine the relative environmental impact of each life cycle phase. The life cycle phases included in the analyses are as follows: (i) production, operation and maintenance of the aircraft, (ii) construction, maintenance and disposal of the airport, (iii) production, transportation and utilization of the aviation fuel in the aircraft. The results show that hydrogen and liquefied natural gas represent more environmentally benign alternatives although fuel costs are higher compared to ammonia, jet fuel and methanol. The total GHG emissions from hydropower based ammonia and hydrogen are calculated to be about 0.24 kg CO2 eq. per traveled tonne-km and 0.03 kg CO2 eq. per traveled tonne-km, respectively. Renewable based ammonia and hydrogen fueled aircrafts can further decrease the overall environmental impact in many categories allowing a brighter future for aviation industry.","author":[{"dropping-particle":"","family":"Bicer","given":"Yusuf","non-dropping-particle":"","parse-names":false,"suffix":""},{"dropping-particle":"","family":"Dincer","given":"Ibrahim","non-dropping-particle":"","parse-names":false,"suffix":""}],"container-title":"International Journal of Hydrogen Energy","id":"ITEM-1","issue":"16","issued":{"date-parts":[["2017","4","20"]]},"page":"10722-10738","publisher":"Elsevier Ltd","title":"Life cycle evaluation of hydrogen and other potential fuels for aircrafts","type":"article-journal","volume":"42"},"uris":["http://www.mendeley.com/documents/?uuid=2a2cc1c3-f7c4-37da-9506-37d410e87790"]}],"mendeley":{"formattedCitation":"[2]","plainTextFormattedCitation":"[2]","previouslyFormattedCitation":"[2]"},"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[2]</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This implies that the fuel tanks on LH</w:t>
      </w:r>
      <w:r w:rsidRPr="00872636">
        <w:rPr>
          <w:rFonts w:ascii="Times New Roman" w:hAnsi="Times New Roman" w:cs="Times New Roman"/>
          <w:sz w:val="24"/>
          <w:szCs w:val="24"/>
          <w:vertAlign w:val="subscript"/>
        </w:rPr>
        <w:t xml:space="preserve">2 </w:t>
      </w:r>
      <w:r w:rsidRPr="00872636">
        <w:rPr>
          <w:rFonts w:ascii="Times New Roman" w:hAnsi="Times New Roman" w:cs="Times New Roman"/>
          <w:sz w:val="24"/>
          <w:szCs w:val="24"/>
        </w:rPr>
        <w:t>powered aircraft will require more volume storage (bigger tanks with insulation), which will further increase aircraft weight. The cryogenic LH</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rPr>
        <w:t xml:space="preserve"> tanks would be installed in the fuselage. To maintain the same payload capacity, it is necessary to design the aircraft (fuselage, mechanical stresses, </w:t>
      </w:r>
      <w:r w:rsidR="00C21472" w:rsidRPr="00872636">
        <w:rPr>
          <w:rFonts w:ascii="Times New Roman" w:hAnsi="Times New Roman" w:cs="Times New Roman"/>
          <w:sz w:val="24"/>
          <w:szCs w:val="24"/>
        </w:rPr>
        <w:t>stability,</w:t>
      </w:r>
      <w:r w:rsidRPr="00872636">
        <w:rPr>
          <w:rFonts w:ascii="Times New Roman" w:hAnsi="Times New Roman" w:cs="Times New Roman"/>
          <w:sz w:val="24"/>
          <w:szCs w:val="24"/>
        </w:rPr>
        <w:t xml:space="preserve"> and wing-loading for a conventional tube-wing aircraft) to account for the extra fuselage and fuel tank weight.</w:t>
      </w:r>
      <w:r w:rsidR="004D207B" w:rsidRPr="00872636">
        <w:rPr>
          <w:rFonts w:ascii="Times New Roman" w:hAnsi="Times New Roman" w:cs="Times New Roman"/>
          <w:sz w:val="24"/>
          <w:szCs w:val="24"/>
        </w:rPr>
        <w:t xml:space="preserve"> </w:t>
      </w:r>
    </w:p>
    <w:p w14:paraId="2F700E9A" w14:textId="7D010DD8" w:rsidR="00F94B9C" w:rsidRPr="00872636" w:rsidRDefault="00100785" w:rsidP="00C525D8">
      <w:pPr>
        <w:spacing w:after="0" w:line="480" w:lineRule="auto"/>
        <w:jc w:val="both"/>
        <w:rPr>
          <w:rFonts w:ascii="Times New Roman" w:hAnsi="Times New Roman" w:cs="Times New Roman"/>
          <w:sz w:val="24"/>
          <w:szCs w:val="24"/>
        </w:rPr>
      </w:pPr>
      <w:r w:rsidRPr="00872636">
        <w:rPr>
          <w:rFonts w:ascii="Times New Roman" w:hAnsi="Times New Roman" w:cs="Times New Roman"/>
          <w:sz w:val="24"/>
          <w:szCs w:val="24"/>
        </w:rPr>
        <w:tab/>
        <w:t xml:space="preserve">A study by Prewitz et al.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{"citationItems":[{"id":"ITEM-1","itemData":{"DOI":"10.1016/J.IJHYDENE.2020.06.238","ISSN":"0360-3199","abstract":"The use of hydrogen as a fuel in civil aviation depends largely on the mass of the tank system. A key parameter for the evaluation of mass development is the gravimetric storage density. With the goal of gaining a maximum equal operating empty weight (OEW), the resulting total mass of hydrogen (fuel) and structural mass must be at most equal to the current total tank mass. The minimum gravimetric storage density required for this is determined in this paper. The passenger aircraft ATR 72–212A, which was developed for short-range operation, serves as a reference. For the first calculation, the assumption is made that the efficiencies of the propulsion systems do not change after the storage, and the other necessary systems have an equivalent mass. For a flight range of 715NM, which corresponds to the design range, a gravimetric storage density of 19 wt% is already sufficient to cover the flight distance and to load the maximum payload. In order to avoid increased OEW, a storage density in the range of 33–35 wt% is necessary.","author":[{"dropping-particle":"","family":"Prewitz","given":"Marc","non-dropping-particle":"","parse-names":false,"suffix":""},{"dropping-particle":"","family":"Bardenhagen","given":"Andreas","non-dropping-particle":"","parse-names":false,"suffix":""},{"dropping-particle":"","family":"Beck","given":"Ramon","non-dropping-particle":"","parse-names":false,"suffix":""}],"container-title":"International Journal of Hydrogen Energy","id":"ITEM-1","issue":"46","issued":{"date-parts":[["2020","9","21"]]},"page":"25378-25385","publisher":"Pergamon","title":"Hydrogen as the fuel of the future in aircrafts – Challenges and opportunities","type":"article-journal","volume":"45"},"uris":["http://www.mendeley.com/documents/?uuid=7e797451-09e5-3551-b3e0-a3016ac44587"]}],"mendeley":{"formattedCitation":"[28]","plainTextFormattedCitation":"[28]","previouslyFormattedCitation":"[28]"},"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[28]</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simulates the performance of a regional hydrogen powered aircraft (ATR-72) that has a design range of 1,324 km (715 nautical miles) for maximum payload of 7,050 kg. This study estimates the critical value of the cryogenic tank gravimetric index of 0.33 – 0.35 that could enable economic flight operations, while that required to meet the design target range is 0.19 (present technology already supports the required value).</w:t>
      </w:r>
      <w:r w:rsidR="00972058" w:rsidRPr="00872636">
        <w:rPr>
          <w:rFonts w:ascii="Times New Roman" w:hAnsi="Times New Roman" w:cs="Times New Roman"/>
          <w:sz w:val="24"/>
          <w:szCs w:val="24"/>
        </w:rPr>
        <w:t xml:space="preserve"> </w:t>
      </w:r>
      <w:r w:rsidR="002B7A7F" w:rsidRPr="00872636">
        <w:rPr>
          <w:rFonts w:ascii="Times New Roman" w:hAnsi="Times New Roman" w:cs="Times New Roman"/>
          <w:sz w:val="24"/>
          <w:szCs w:val="24"/>
        </w:rPr>
        <w:t xml:space="preserve">A study by Yang et al. </w:t>
      </w:r>
      <w:r w:rsidR="002B7A7F"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10.2514/6.2022-3313","author":[{"dropping-particle":"","family":"Yang","given":"Boning","non-dropping-particle":"","parse-names":false,"suffix":""},{"dropping-particle":"","family":"Mane","given":"Muharrem","non-dropping-particle":"","parse-names":false,"suffix":""},{"dropping-particle":"","family":"Crossley","given":"William A.","non-dropping-particle":"","parse-names":false,"suffix":""}],"id":"ITEM-1","issued":{"date-parts":[["2022","6","27"]]},"publisher":"American Institute of Aeronautics and Astronautics (AIAA)","title":"An Approach to Evaluate Fleet Level CO2 Impact of Introducing Liquid-Hydrogen Aircraft to a World-Wide Network","type":"article-journal"},"uris":["http://www.mendeley.com/documents/?uuid=a23e1383-c722-3804-85c8-10c7a2cabc15"]}],"mendeley":{"formattedCitation":"[29]","plainTextFormattedCitation":"[29]","previouslyFormattedCitation":"[29]"},"properties":{"noteIndex":0},"schema":"https://github.com/citation-style-language/schema/raw/master/csl-citation.json"}</w:instrText>
      </w:r>
      <w:r w:rsidR="002B7A7F"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[29]</w:t>
      </w:r>
      <w:r w:rsidR="002B7A7F" w:rsidRPr="00872636">
        <w:rPr>
          <w:rFonts w:ascii="Times New Roman" w:hAnsi="Times New Roman" w:cs="Times New Roman"/>
          <w:sz w:val="24"/>
          <w:szCs w:val="24"/>
        </w:rPr>
        <w:fldChar w:fldCharType="end"/>
      </w:r>
      <w:r w:rsidR="002B7A7F" w:rsidRPr="00872636">
        <w:rPr>
          <w:rFonts w:ascii="Times New Roman" w:hAnsi="Times New Roman" w:cs="Times New Roman"/>
          <w:sz w:val="24"/>
          <w:szCs w:val="24"/>
        </w:rPr>
        <w:t xml:space="preserve"> models a small single aisle LH</w:t>
      </w:r>
      <w:r w:rsidR="002B7A7F" w:rsidRPr="00872636">
        <w:rPr>
          <w:rFonts w:ascii="Times New Roman" w:hAnsi="Times New Roman" w:cs="Times New Roman"/>
          <w:sz w:val="24"/>
          <w:szCs w:val="24"/>
          <w:vertAlign w:val="subscript"/>
        </w:rPr>
        <w:t>2</w:t>
      </w:r>
      <w:r w:rsidR="002B7A7F" w:rsidRPr="00872636">
        <w:rPr>
          <w:rFonts w:ascii="Times New Roman" w:hAnsi="Times New Roman" w:cs="Times New Roman"/>
          <w:sz w:val="24"/>
          <w:szCs w:val="24"/>
        </w:rPr>
        <w:t xml:space="preserve"> aircraft (range 5,480 km with 177 passengers) and examines the environmental impact of a fleet of this LH</w:t>
      </w:r>
      <w:r w:rsidR="002B7A7F" w:rsidRPr="00872636">
        <w:rPr>
          <w:rFonts w:ascii="Times New Roman" w:hAnsi="Times New Roman" w:cs="Times New Roman"/>
          <w:sz w:val="24"/>
          <w:szCs w:val="24"/>
          <w:vertAlign w:val="subscript"/>
        </w:rPr>
        <w:t xml:space="preserve">2 </w:t>
      </w:r>
      <w:r w:rsidR="002B7A7F" w:rsidRPr="00872636">
        <w:rPr>
          <w:rFonts w:ascii="Times New Roman" w:hAnsi="Times New Roman" w:cs="Times New Roman"/>
          <w:sz w:val="24"/>
          <w:szCs w:val="24"/>
        </w:rPr>
        <w:t>aircraft on a world-wide network. The authors use the Fleet-Level Environmental Evaluation Tool (FLEET) tool to model different scenarios and estimate equivalent carbon emissions and LH</w:t>
      </w:r>
      <w:r w:rsidR="002B7A7F" w:rsidRPr="00872636">
        <w:rPr>
          <w:rFonts w:ascii="Times New Roman" w:hAnsi="Times New Roman" w:cs="Times New Roman"/>
          <w:sz w:val="24"/>
          <w:szCs w:val="24"/>
          <w:vertAlign w:val="subscript"/>
        </w:rPr>
        <w:t>2</w:t>
      </w:r>
      <w:r w:rsidR="002B7A7F" w:rsidRPr="00872636">
        <w:rPr>
          <w:rFonts w:ascii="Times New Roman" w:hAnsi="Times New Roman" w:cs="Times New Roman"/>
          <w:sz w:val="24"/>
          <w:szCs w:val="24"/>
        </w:rPr>
        <w:t xml:space="preserve"> cost. The study finds that that by introducing a (small) single aisle LH</w:t>
      </w:r>
      <w:r w:rsidR="002B7A7F" w:rsidRPr="00872636">
        <w:rPr>
          <w:rFonts w:ascii="Times New Roman" w:hAnsi="Times New Roman" w:cs="Times New Roman"/>
          <w:sz w:val="24"/>
          <w:szCs w:val="24"/>
          <w:vertAlign w:val="subscript"/>
        </w:rPr>
        <w:t>2</w:t>
      </w:r>
      <w:r w:rsidR="002B7A7F" w:rsidRPr="00872636">
        <w:rPr>
          <w:rFonts w:ascii="Times New Roman" w:hAnsi="Times New Roman" w:cs="Times New Roman"/>
          <w:sz w:val="24"/>
          <w:szCs w:val="24"/>
        </w:rPr>
        <w:t xml:space="preserve"> aircraft (in 2035) could reduce fleet-level carbon emission by 9.96% in comparison with a baseline with no liquid hydrogen aircraft.</w:t>
      </w:r>
      <w:r w:rsidR="006E1475" w:rsidRPr="00872636">
        <w:rPr>
          <w:rFonts w:ascii="Times New Roman" w:hAnsi="Times New Roman" w:cs="Times New Roman"/>
          <w:sz w:val="24"/>
          <w:szCs w:val="24"/>
        </w:rPr>
        <w:t xml:space="preserve"> </w:t>
      </w:r>
      <w:r w:rsidR="00F94B9C" w:rsidRPr="00872636">
        <w:rPr>
          <w:rFonts w:ascii="Times New Roman" w:hAnsi="Times New Roman" w:cs="Times New Roman"/>
          <w:sz w:val="24"/>
          <w:szCs w:val="24"/>
        </w:rPr>
        <w:t xml:space="preserve">A thesis by Svensson </w:t>
      </w:r>
      <w:r w:rsidR="00F94B9C"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{"citationItems":[{"id":"ITEM-1","itemData":{"author":[{"dropping-particle":"","family":"Svensson","given":"Fredrik","non-dropping-particle":"","parse-names":false,"suffix":""}],"id":"ITEM-1","issued":{"date-parts":[["2005"]]},"publisher":"Cranfield University","title":"Potential of reducng the environmental impact of civil subsonic aviation by using liquid hydrogen","type":"thesis"},"uris":["http://www.mendeley.com/documents/?uuid=f00a88f5-e031-392e-9969-f2b2e62a083d"]}],"mendeley":{"formattedCitation":"[30]","plainTextFormattedCitation":"[30]","previouslyFormattedCitation":"[30]"},"properties":{"noteIndex":0},"schema":"https://github.com/citation-style-language/schema/raw/master/csl-citation.json"}</w:instrText>
      </w:r>
      <w:r w:rsidR="00F94B9C"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[30]</w:t>
      </w:r>
      <w:r w:rsidR="00F94B9C" w:rsidRPr="00872636">
        <w:rPr>
          <w:rFonts w:ascii="Times New Roman" w:hAnsi="Times New Roman" w:cs="Times New Roman"/>
          <w:sz w:val="24"/>
          <w:szCs w:val="24"/>
        </w:rPr>
        <w:fldChar w:fldCharType="end"/>
      </w:r>
      <w:r w:rsidR="00F94B9C" w:rsidRPr="00872636">
        <w:rPr>
          <w:rFonts w:ascii="Times New Roman" w:hAnsi="Times New Roman" w:cs="Times New Roman"/>
          <w:sz w:val="24"/>
          <w:szCs w:val="24"/>
        </w:rPr>
        <w:t xml:space="preserve"> simulates a medium range LH</w:t>
      </w:r>
      <w:r w:rsidR="00F94B9C" w:rsidRPr="00872636">
        <w:rPr>
          <w:rFonts w:ascii="Times New Roman" w:hAnsi="Times New Roman" w:cs="Times New Roman"/>
          <w:sz w:val="24"/>
          <w:szCs w:val="24"/>
          <w:vertAlign w:val="subscript"/>
        </w:rPr>
        <w:t>2</w:t>
      </w:r>
      <w:r w:rsidR="00F94B9C" w:rsidRPr="00872636">
        <w:rPr>
          <w:rFonts w:ascii="Times New Roman" w:hAnsi="Times New Roman" w:cs="Times New Roman"/>
          <w:sz w:val="24"/>
          <w:szCs w:val="24"/>
        </w:rPr>
        <w:t xml:space="preserve"> aircraft that seats 185 passengers over a range of 7,400 km. The design of this aircraft is carried out in a design environment called PIANO (and also referencing to the Cryoplane study </w:t>
      </w:r>
      <w:r w:rsidR="00F94B9C"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s://www.fzt.haw-hamburg.de/pers/Scholz/dglr/hh/text_2004_02_26_Cryoplane.pdf","accessed":{"date-parts":[["2019","12","30"]]},"author":[{"dropping-particle":"","family":"Airbus","given":"","non-dropping-particle":"","parse-names":false,"suffix":""}],"id":"ITEM-1","issued":{"date-parts":[["2003"]]},"title":"Liquid Hydrogen Fuelled Aircraft-System Analysis: CRYOPLANE Final Technical report","type":"webpage"},"uris":["http://www.mendeley.com/documents/?uuid=b3eeedcc-8758-37af-a432-98261e54deb6"]}],"mendeley":{"formattedCitation":"[31]","plainTextFormattedCitation":"[31]","previouslyFormattedCitation":"[31]"},"properties":{"noteIndex":0},"schema":"https://github.com/citation-style-language/schema/raw/master/csl-citation.json"}</w:instrText>
      </w:r>
      <w:r w:rsidR="00F94B9C"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[31]</w:t>
      </w:r>
      <w:r w:rsidR="00F94B9C" w:rsidRPr="00872636">
        <w:rPr>
          <w:rFonts w:ascii="Times New Roman" w:hAnsi="Times New Roman" w:cs="Times New Roman"/>
          <w:sz w:val="24"/>
          <w:szCs w:val="24"/>
        </w:rPr>
        <w:fldChar w:fldCharType="end"/>
      </w:r>
      <w:r w:rsidR="00F94B9C" w:rsidRPr="00872636">
        <w:rPr>
          <w:rFonts w:ascii="Times New Roman" w:hAnsi="Times New Roman" w:cs="Times New Roman"/>
          <w:sz w:val="24"/>
          <w:szCs w:val="24"/>
        </w:rPr>
        <w:t>). The energy consumption of this LH</w:t>
      </w:r>
      <w:r w:rsidR="00F94B9C" w:rsidRPr="00872636">
        <w:rPr>
          <w:rFonts w:ascii="Times New Roman" w:hAnsi="Times New Roman" w:cs="Times New Roman"/>
          <w:sz w:val="24"/>
          <w:szCs w:val="24"/>
          <w:vertAlign w:val="subscript"/>
        </w:rPr>
        <w:t>2</w:t>
      </w:r>
      <w:r w:rsidR="00F94B9C" w:rsidRPr="00872636">
        <w:rPr>
          <w:rFonts w:ascii="Times New Roman" w:hAnsi="Times New Roman" w:cs="Times New Roman"/>
          <w:sz w:val="24"/>
          <w:szCs w:val="24"/>
        </w:rPr>
        <w:t xml:space="preserve"> aircraft increases by 10% compared to a reference Jet-A aircraft. A study by Silberhorn et al. </w:t>
      </w:r>
      <w:r w:rsidR="00F94B9C"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{"citationItems":[{"id":"ITEM-1","itemData":{"abstract":"The assessment of different hydrogen tank concepts and shapes at aircraft level for a typical short/mid-range aircraft with an entry into service of 2045 is the main focus of this paper. Hydrogen is one potential option to store energy inside an air vehicle. The low gravimetric density together with the cryogenic characteristic of liquid hydrogen result in tank shapes which are challenging to integrate into an aircraft. For this integration, a multidisciplinary design approach is employed in which the effects on aircraft level of the most relevant aspects of the tank design are taken into account. This includes a mid-fidelity thermal tank representation to model its thermal behavior and to capture the relevant sensitivities. This model together with the fuel containment and fuel system mass methodology is implemented into the overall aircraft design environment. Additionally, the effects of the tank integration on the airframe structure and the aerodynamic behavior together with safety and operational aspects and an in-flight trim drag calculation are considered. The main trade-off for the investigated aircraft concepts is between the liquid-hydrogen tank boil-off and the insulation mass effect coupled with different tank geometries on mission fuel consumption. Furthermore, the matter of engine and aerodynamic performance matching, which is highly different for hydrogen fueled aircraft, is studied. To ensure a fair comparison, a sophisticated investigation for several baseline aircraft at the timeframe of 2045 is conducted which represent the best possible conventional aircraft, i.e. a kerosene fueled aircraft with a high aspect ratio wing, increased engine efficiency and structural mass reduction. Besides the discussion of the performance characteristics for a short/mid-range aircraft class fueled with hydrogen for selected tank positions, the driving phenomena are described and assessed.","author":[{"dropping-particle":"","family":"Silberhorn","given":"D","non-dropping-particle":"","parse-names":false,"suffix":""},{"dropping-particle":"","family":"Atanasov","given":"G","non-dropping-particle":"","parse-names":false,"suffix":""},{"dropping-particle":"","family":"Walther","given":"J-N","non-dropping-particle":"","parse-names":false,"suffix":""},{"dropping-particle":"","family":"Zill","given":"T","non-dropping-particle":"","parse-names":false,"suffix":""}],"container-title":"Institute of Transport Research","id":"ITEM-1","issued":{"date-parts":[["2019"]]},"title":"ASSESSMENT OF HYDROGEN FUEL TANK INTEGRATION AT AIRCRAFT LEVEL","type":"article-journal"},"uris":["http://www.mendeley.com/documents/?uuid=e105b9c8-532b-3b02-b489-d6d4418cb7a2"]}],"mendeley":{"formattedCitation":"[32]","plainTextFormattedCitation":"[32]","previouslyFormattedCitation":"[32]"},"properties":{"noteIndex":0},"schema":"https://github.com/citation-style-language/schema/raw/master/csl-citation.json"}</w:instrText>
      </w:r>
      <w:r w:rsidR="00F94B9C"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[32]</w:t>
      </w:r>
      <w:r w:rsidR="00F94B9C" w:rsidRPr="00872636">
        <w:rPr>
          <w:rFonts w:ascii="Times New Roman" w:hAnsi="Times New Roman" w:cs="Times New Roman"/>
          <w:sz w:val="24"/>
          <w:szCs w:val="24"/>
        </w:rPr>
        <w:fldChar w:fldCharType="end"/>
      </w:r>
      <w:r w:rsidR="00F94B9C" w:rsidRPr="00872636">
        <w:rPr>
          <w:rFonts w:ascii="Times New Roman" w:hAnsi="Times New Roman" w:cs="Times New Roman"/>
          <w:sz w:val="24"/>
          <w:szCs w:val="24"/>
        </w:rPr>
        <w:t xml:space="preserve"> designs LH</w:t>
      </w:r>
      <w:r w:rsidR="00F94B9C" w:rsidRPr="00872636">
        <w:rPr>
          <w:rFonts w:ascii="Times New Roman" w:hAnsi="Times New Roman" w:cs="Times New Roman"/>
          <w:sz w:val="24"/>
          <w:szCs w:val="24"/>
          <w:vertAlign w:val="subscript"/>
        </w:rPr>
        <w:t>2</w:t>
      </w:r>
      <w:r w:rsidR="00F94B9C" w:rsidRPr="00872636">
        <w:rPr>
          <w:rFonts w:ascii="Times New Roman" w:hAnsi="Times New Roman" w:cs="Times New Roman"/>
          <w:sz w:val="24"/>
          <w:szCs w:val="24"/>
        </w:rPr>
        <w:t xml:space="preserve"> aircraft seating 165 passengers with range of 5,740 km. The authors design three LH</w:t>
      </w:r>
      <w:r w:rsidR="00F94B9C" w:rsidRPr="00872636">
        <w:rPr>
          <w:rFonts w:ascii="Times New Roman" w:hAnsi="Times New Roman" w:cs="Times New Roman"/>
          <w:sz w:val="24"/>
          <w:szCs w:val="24"/>
          <w:vertAlign w:val="subscript"/>
        </w:rPr>
        <w:t>2</w:t>
      </w:r>
      <w:r w:rsidR="00F94B9C" w:rsidRPr="00872636">
        <w:rPr>
          <w:rFonts w:ascii="Times New Roman" w:hAnsi="Times New Roman" w:cs="Times New Roman"/>
          <w:sz w:val="24"/>
          <w:szCs w:val="24"/>
        </w:rPr>
        <w:t xml:space="preserve"> aircraft, each having a distinct cryogenic tank installation </w:t>
      </w:r>
      <w:r w:rsidR="00F94B9C" w:rsidRPr="00872636">
        <w:rPr>
          <w:rFonts w:ascii="Times New Roman" w:hAnsi="Times New Roman" w:cs="Times New Roman"/>
          <w:sz w:val="24"/>
          <w:szCs w:val="24"/>
        </w:rPr>
        <w:lastRenderedPageBreak/>
        <w:t>configuration – aft of fuselage, on top of fuselage (best energy performance), and wing podded. Depending on the type of tank installation, the energy consumption of the LH</w:t>
      </w:r>
      <w:r w:rsidR="00F94B9C" w:rsidRPr="00872636">
        <w:rPr>
          <w:rFonts w:ascii="Times New Roman" w:hAnsi="Times New Roman" w:cs="Times New Roman"/>
          <w:sz w:val="24"/>
          <w:szCs w:val="24"/>
          <w:vertAlign w:val="subscript"/>
        </w:rPr>
        <w:t>2</w:t>
      </w:r>
      <w:r w:rsidR="00F94B9C" w:rsidRPr="00872636">
        <w:rPr>
          <w:rFonts w:ascii="Times New Roman" w:hAnsi="Times New Roman" w:cs="Times New Roman"/>
          <w:sz w:val="24"/>
          <w:szCs w:val="24"/>
        </w:rPr>
        <w:t xml:space="preserve"> aircraft increases by 6.5 – 7.5% compared to the baseline Jet-A aircraft.</w:t>
      </w:r>
      <w:r w:rsidR="006E1475" w:rsidRPr="00872636">
        <w:rPr>
          <w:rFonts w:ascii="Times New Roman" w:hAnsi="Times New Roman" w:cs="Times New Roman"/>
          <w:sz w:val="24"/>
          <w:szCs w:val="24"/>
        </w:rPr>
        <w:t xml:space="preserve"> Above s</w:t>
      </w:r>
      <w:r w:rsidR="006E1475" w:rsidRPr="00872636">
        <w:rPr>
          <w:rFonts w:ascii="Times New Roman" w:hAnsi="Times New Roman" w:cs="Times New Roman"/>
          <w:sz w:val="24"/>
          <w:szCs w:val="24"/>
          <w:lang w:eastAsia="en-GB"/>
        </w:rPr>
        <w:t>tudies on combustion based LH</w:t>
      </w:r>
      <w:r w:rsidR="006E1475" w:rsidRPr="00872636">
        <w:rPr>
          <w:rFonts w:ascii="Times New Roman" w:hAnsi="Times New Roman" w:cs="Times New Roman"/>
          <w:sz w:val="24"/>
          <w:szCs w:val="24"/>
          <w:vertAlign w:val="subscript"/>
          <w:lang w:eastAsia="en-GB"/>
        </w:rPr>
        <w:t>2</w:t>
      </w:r>
      <w:r w:rsidR="006E1475" w:rsidRPr="00872636">
        <w:rPr>
          <w:rFonts w:ascii="Times New Roman" w:hAnsi="Times New Roman" w:cs="Times New Roman"/>
          <w:sz w:val="24"/>
          <w:szCs w:val="24"/>
          <w:lang w:eastAsia="en-GB"/>
        </w:rPr>
        <w:t xml:space="preserve"> aircraft </w:t>
      </w:r>
      <w:r w:rsidR="006E1475"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{"citationItems":[{"id":"ITEM-1","itemData":{"DOI":"10.1016/J.IJHYDENE.2020.06.238","ISSN":"0360-3199","abstract":"The use of hydrogen as a fuel in civil aviation depends largely on the mass of the tank system. A key parameter for the evaluation of mass development is the gravimetric storage density. With the goal of gaining a maximum equal operating empty weight (OEW), the resulting total mass of hydrogen (fuel) and structural mass must be at most equal to the current total tank mass. The minimum gravimetric storage density required for this is determined in this paper. The passenger aircraft ATR 72–212A, which was developed for short-range operation, serves as a reference. For the first calculation, the assumption is made that the efficiencies of the propulsion systems do not change after the storage, and the other necessary systems have an equivalent mass. For a flight range of 715NM, which corresponds to the design range, a gravimetric storage density of 19 wt% is already sufficient to cover the flight distance and to load the maximum payload. In order to avoid increased OEW, a storage density in the range of 33–35 wt% is necessary.","author":[{"dropping-particle":"","family":"Prewitz","given":"Marc","non-dropping-particle":"","parse-names":false,"suffix":""},{"dropping-particle":"","family":"Bardenhagen","given":"Andreas","non-dropping-particle":"","parse-names":false,"suffix":""},{"dropping-particle":"","family":"Beck","given":"Ramon","non-dropping-particle":"","parse-names":false,"suffix":""}],"container-title":"International Journal of Hydrogen Energy","id":"ITEM-1","issue":"46","issued":{"date-parts":[["2020","9","21"]]},"page":"25378-25385","publisher":"Pergamon","title":"Hydrogen as the fuel of the future in aircrafts – Challenges and opportunities","type":"article-journal","volume":"45"},"uris":["http://www.mendeley.com/documents/?uuid=7e797451-09e5-3551-b3e0-a3016ac44587"]},{"id":"ITEM-2","itemData":{"DOI":"10.2514/6.2022-3313","author":[{"dropping-particle":"","family":"Yang","given":"Boning","non-dropping-particle":"","parse-names":false,"suffix":""},{"dropping-particle":"","family":"Mane","given":"Muharrem","non-dropping-particle":"","parse-names":false,"suffix":""},{"dropping-particle":"","family":"Crossley","given":"William A.","non-dropping-particle":"","parse-names":false,"suffix":""}],"id":"ITEM-2","issued":{"date-parts":[["2022","6","27"]]},"publisher":"American Institute of Aeronautics and Astronautics (AIAA)","title":"An Approach to Evaluate Fleet Level CO2 Impact of Introducing Liquid-Hydrogen Aircraft to a World-Wide Network","type":"article-journal"},"uris":["http://www.mendeley.com/documents/?uuid=a23e1383-c722-3804-85c8-10c7a2cabc15"]},{"id":"ITEM-3","itemData":{"author":[{"dropping-particle":"","family":"Svensson","given":"Fredrik","non-dropping-particle":"","parse-names":false,"suffix":""}],"id":"ITEM-3","issued":{"date-parts":[["2005"]]},"publisher":"Cranfield University","title":"Potential of reducng the environmental impact of civil subsonic aviation by using liquid hydrogen","type":"thesis"},"uris":["http://www.mendeley.com/documents/?uuid=f00a88f5-e031-392e-9969-f2b2e62a083d"]},{"id":"ITEM-4","itemData":{"abstract":"The assessment of different hydrogen tank concepts and shapes at aircraft level for a typical short/mid-range aircraft with an entry into service of 2045 is the main focus of this paper. Hydrogen is one potential option to store energy inside an air vehicle. The low gravimetric density together with the cryogenic characteristic of liquid hydrogen result in tank shapes which are challenging to integrate into an aircraft. For this integration, a multidisciplinary design approach is employed in which the effects on aircraft level of the most relevant aspects of the tank design are taken into account. This includes a mid-fidelity thermal tank representation to model its thermal behavior and to capture the relevant sensitivities. This model together with the fuel containment and fuel system mass methodology is implemented into the overall aircraft design environment. Additionally, the effects of the tank integration on the airframe structure and the aerodynamic behavior together with safety and operational aspects and an in-flight trim drag calculation are considered. The main trade-off for the investigated aircraft concepts is between the liquid-hydrogen tank boil-off and the insulation mass effect coupled with different tank geometries on mission fuel consumption. Furthermore, the matter of engine and aerodynamic performance matching, which is highly different for hydrogen fueled aircraft, is studied. To ensure a fair comparison, a sophisticated investigation for several baseline aircraft at the timeframe of 2045 is conducted which represent the best possible conventional aircraft, i.e. a kerosene fueled aircraft with a high aspect ratio wing, increased engine efficiency and structural mass reduction. Besides the discussion of the performance characteristics for a short/mid-range aircraft class fueled with hydrogen for selected tank positions, the driving phenomena are described and assessed.","author":[{"dropping-particle":"","family":"Silberhorn","given":"D","non-dropping-particle":"","parse-names":false,"suffix":""},{"dropping-particle":"","family":"Atanasov","given":"G","non-dropping-particle":"","parse-names":false,"suffix":""},{"dropping-particle":"","family":"Walther","given":"J-N","non-dropping-particle":"","parse-names":false,"suffix":""},{"dropping-particle":"","family":"Zill","given":"T","non-dropping-particle":"","parse-names":false,"suffix":""}],"container-title":"Institute of Transport Research","id":"ITEM-4","issued":{"date-parts":[["2019"]]},"title":"ASSESSMENT OF HYDROGEN FUEL TANK INTEGRATION AT AIRCRAFT LEVEL","type":"article-journal"},"uris":["http://www.mendeley.com/documents/?uuid=e105b9c8-532b-3b02-b489-d6d4418cb7a2"]}],"mendeley":{"formattedCitation":"[28]–[30], [32]","plainTextFormattedCitation":"[28]–[30], [32]","previouslyFormattedCitation":"[28]–[30], [32]"},"properties":{"noteIndex":0},"schema":"https://github.com/citation-style-language/schema/raw/master/csl-citation.json"}</w:instrText>
      </w:r>
      <w:r w:rsidR="006E1475"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[28]–[30], [32]</w:t>
      </w:r>
      <w:r w:rsidR="006E1475" w:rsidRPr="00872636">
        <w:rPr>
          <w:rFonts w:ascii="Times New Roman" w:hAnsi="Times New Roman" w:cs="Times New Roman"/>
          <w:sz w:val="24"/>
          <w:szCs w:val="24"/>
        </w:rPr>
        <w:fldChar w:fldCharType="end"/>
      </w:r>
      <w:r w:rsidR="006E1475" w:rsidRPr="00872636">
        <w:rPr>
          <w:rFonts w:ascii="Times New Roman" w:hAnsi="Times New Roman" w:cs="Times New Roman"/>
          <w:sz w:val="24"/>
          <w:szCs w:val="24"/>
        </w:rPr>
        <w:t xml:space="preserve"> model the energy performance of a regional/small- to mid-size aircraft for a short- to medium-range application only.</w:t>
      </w:r>
    </w:p>
    <w:p w14:paraId="2D0DD6B8" w14:textId="715BFD43" w:rsidR="0072150A" w:rsidRPr="00872636" w:rsidRDefault="0072150A" w:rsidP="00C525D8">
      <w:pPr>
        <w:spacing w:after="0" w:line="480" w:lineRule="auto"/>
        <w:jc w:val="both"/>
        <w:rPr>
          <w:rFonts w:ascii="Times New Roman" w:hAnsi="Times New Roman" w:cs="Times New Roman"/>
          <w:sz w:val="24"/>
          <w:szCs w:val="24"/>
        </w:rPr>
      </w:pPr>
      <w:r w:rsidRPr="00872636">
        <w:rPr>
          <w:rFonts w:ascii="Times New Roman" w:hAnsi="Times New Roman" w:cs="Times New Roman"/>
          <w:sz w:val="24"/>
          <w:szCs w:val="24"/>
        </w:rPr>
        <w:tab/>
        <w:t xml:space="preserve">A study by Cipolla et al.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{"citationItems":[{"id":"ITEM-1","itemData":{"DOI":"10.3390/APP12146857","ISSN":"2076-3417","abstract":"The present paper deals with the investigation, at conceptual level, of the performance of short&amp;ndash;medium-range aircraft with hydrogen propulsion. The attention is focused on the relationship between figures of merit related to transport capability, such as passenger capacity and flight range, and the parameters which drive the design of liquid hydrogen tanks and their integration with a given aircraft geometry. The reference aircraft chosen for such purpose is a box-wing short&amp;ndash;medium-range airplane, the object of study within a previous European research project called PARSIFAL, capable of cutting the fuel consumption per passenger-kilometre up to 22%. By adopting a retrofitting approach, non-integral pressure vessels are sized to fit into the fuselage of the reference aircraft, under the assumption that the main aerodynamic, flight mechanic, and structural characteristics are not affected. A parametric model is introduced to generate a wide variety of fuselage-tank cross-section layouts, from a single tank with the maximum diameter compatible with a catwalk corridor to multiple tanks located in the cargo deck, and an assessment workflow is implemented to perform the structural sizing of the tanks and analyse their thermodynamic behaviour during the mission. This latter is simulated with a time-marching approach that couples the fuel request from engines with the thermodynamics of the hydrogen in the tanks, which is constantly subject to evaporation and, depending on the internal pressure, vented-out in gas form. Each model is presented in detail in the paper and results are provided through sensitivity analyses to both the technologic parameters of the tanks and the geometric parameters influencing their integration. The guidelines resulting from the analyses indicate that light materials, such as the aluminium alloy AA2219 for tanks&amp;rsquo; structures and polystyrene foam for the insulation, should be selected. Preferred values are also indicted for the aspect ratios of the vessel components, i.e., central tube and endcaps, as well as suggestions for the integration layout to be adopted depending on the desired trade-off between passenger capacity, as for the case of multiple tanks in the cargo deck, and achievable flight ranges, as for the single tank in the section.","author":[{"dropping-particle":"","family":"Cipolla","given":"Vittorio","non-dropping-particle":"","parse-names":false,"suffix":""},{"dropping-particle":"","family":"Zanetti","given":"Davide","non-dropping-particle":"","parse-names":false,"suffix":""},{"dropping-particle":"","family":"Salem","given":"Karim Abu","non-dropping-particle":"","parse-names":false,"suffix":""},{"dropping-particle":"","family":"Binante","given":"Vincenzo","non-dropping-particle":"","parse-names":false,"suffix":""},{"dropping-particle":"","family":"Palaia","given":"Giuseppe","non-dropping-particle":"","parse-names":false,"suffix":""}],"container-title":"Applied Sciences 2022, Vol. 12, Page 6857","id":"ITEM-1","issue":"14","issued":{"date-parts":[["2022","7","6"]]},"page":"6857","publisher":"Multidisciplinary Digital Publishing Institute","title":"A Parametric Approach for Conceptual Integration and Performance Studies of Liquid Hydrogen Short&amp;ndash;Medium Range Aircraft","type":"article-journal","volume":"12"},"uris":["http://www.mendeley.com/documents/?uuid=1c093f56-0b03-3068-be1d-5105df0f6e0b"]}],"mendeley":{"formattedCitation":"[33]","plainTextFormattedCitation":"[33]","previouslyFormattedCitation":"[33]"},"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[33]</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designs LH</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rPr>
        <w:t xml:space="preserve"> powered small– and medium–range aircraft, where a box-wing aircraft concept is a reference aircraft that has 5,722 km range seating 308 passengers. The authors primarily consider two fuselage/cabin layouts (for installing LH</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rPr>
        <w:t xml:space="preserve"> tanks) that affect the passenger seating and range. For one of the layouts the passenger seating is 308 but the range (&lt;=4,000) reduces. However, for the other layouts the passenger seating is between 164 and 196, and their corresponding ranges are 6,000 km and 4,000 </w:t>
      </w:r>
      <w:r w:rsidR="00C11316" w:rsidRPr="007D699F">
        <w:rPr>
          <w:rFonts w:ascii="Times New Roman" w:hAnsi="Times New Roman" w:cs="Times New Roman"/>
          <w:sz w:val="24"/>
          <w:szCs w:val="24"/>
        </w:rPr>
        <w:t>km,</w:t>
      </w:r>
      <w:r w:rsidRPr="00872636">
        <w:rPr>
          <w:rFonts w:ascii="Times New Roman" w:hAnsi="Times New Roman" w:cs="Times New Roman"/>
          <w:sz w:val="24"/>
          <w:szCs w:val="24"/>
        </w:rPr>
        <w:t xml:space="preserve"> respectively.</w:t>
      </w:r>
      <w:r w:rsidR="00CE6EFD" w:rsidRPr="00872636">
        <w:rPr>
          <w:rFonts w:ascii="Times New Roman" w:hAnsi="Times New Roman" w:cs="Times New Roman"/>
          <w:sz w:val="24"/>
          <w:szCs w:val="24"/>
        </w:rPr>
        <w:t xml:space="preserve"> </w:t>
      </w:r>
      <w:r w:rsidRPr="00872636">
        <w:rPr>
          <w:rFonts w:ascii="Times New Roman" w:hAnsi="Times New Roman" w:cs="Times New Roman"/>
          <w:sz w:val="24"/>
          <w:szCs w:val="24"/>
        </w:rPr>
        <w:t xml:space="preserve">A study by Gomez et al.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{"citationItems":[{"id":"ITEM-1","itemData":{"DOI":"10.1016/j.ast.2019.105438","ISSN":"12709638","abstract":"LH2 fuel tanks are one of the main drivers in the development of a commercial airplane powered with hydrogen. This article discusses the implementation of liquid hydrogen fuel tanks in future commercial airplanes focusing on the sizing of the fuel tank structure and its behavior under critical loading conditions. Fuel tanks are sized according to the mission requirements and geometrical restrictions of a conventional mid-range commercial airplane. Critical loading cases for symmetrical maneuvers and landing conditions are estimated following EASA CS-25 airworthiness specifications for large airplanes. The stress distribution in each tank is evaluated using linear Finite Element Analysis (FEA) in MSC. NASTRAN/PATRAN to ensure that the structural design complies with strength and stiffness requirements","author":[{"dropping-particle":"","family":"Gomez","given":"Arturo","non-dropping-particle":"","parse-names":false,"suffix":""},{"dropping-particle":"","family":"Smith","given":"Howard","non-dropping-particle":"","parse-names":false,"suffix":""}],"container-title":"Aerospace Science and Technology","id":"ITEM-1","issued":{"date-parts":[["2019","12","1"]]},"page":"105438","publisher":"Elsevier Masson SAS","title":"Liquid hydrogen fuel tanks for commercial aviation: Structural sizing and stress analysis","type":"article-journal","volume":"95"},"uris":["http://www.mendeley.com/documents/?uuid=f26a5a65-f439-3539-80c3-e3a1374929ee"]}],"mendeley":{"formattedCitation":"[34]","plainTextFormattedCitation":"[34]","previouslyFormattedCitation":"[34]"},"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[34]</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models the performance of an LH</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rPr>
        <w:t xml:space="preserve"> powered tube-wing aircraft. The reference aircraft seats 296 passengers with range of 6,500 km. The modified version of this aircraft for LH</w:t>
      </w:r>
      <w:r w:rsidRPr="00872636">
        <w:rPr>
          <w:rFonts w:ascii="Times New Roman" w:hAnsi="Times New Roman" w:cs="Times New Roman"/>
          <w:sz w:val="24"/>
          <w:szCs w:val="24"/>
          <w:vertAlign w:val="subscript"/>
        </w:rPr>
        <w:t xml:space="preserve">2 </w:t>
      </w:r>
      <w:r w:rsidRPr="00872636">
        <w:rPr>
          <w:rFonts w:ascii="Times New Roman" w:hAnsi="Times New Roman" w:cs="Times New Roman"/>
          <w:sz w:val="24"/>
          <w:szCs w:val="24"/>
        </w:rPr>
        <w:t>use seats 194 passengers with range of 9,000 km, and the fuselage length is equal to the reference aircraft. For this LH</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rPr>
        <w:t xml:space="preserve"> powered tube-wing aircraft, the cryogenic tank </w:t>
      </w:r>
      <w:r w:rsidRPr="00872636">
        <w:rPr>
          <w:rFonts w:ascii="Times New Roman" w:hAnsi="Times New Roman" w:cs="Times New Roman"/>
          <w:i/>
          <w:iCs/>
          <w:sz w:val="24"/>
          <w:szCs w:val="24"/>
        </w:rPr>
        <w:t>η</w:t>
      </w:r>
      <w:r w:rsidRPr="00872636">
        <w:rPr>
          <w:rFonts w:ascii="Times New Roman" w:hAnsi="Times New Roman" w:cs="Times New Roman"/>
          <w:bCs/>
          <w:sz w:val="24"/>
          <w:szCs w:val="24"/>
        </w:rPr>
        <w:t xml:space="preserve"> is 0.826 for the rear tank and 0.741 for the forward tank. The authors conduct a detail structural and stress analysis of the cryogenic tanks, where the tanks are of integral type made of Aluminium alloy employing polyurethane insultation.</w:t>
      </w:r>
      <w:r w:rsidR="00C44260" w:rsidRPr="00872636">
        <w:rPr>
          <w:rFonts w:ascii="Times New Roman" w:hAnsi="Times New Roman" w:cs="Times New Roman"/>
          <w:bCs/>
          <w:sz w:val="24"/>
          <w:szCs w:val="24"/>
        </w:rPr>
        <w:t xml:space="preserve"> Above studies </w:t>
      </w:r>
      <w:r w:rsidR="00C44260" w:rsidRPr="00872636">
        <w:rPr>
          <w:rFonts w:ascii="Times New Roman" w:hAnsi="Times New Roman" w:cs="Times New Roman"/>
          <w:bCs/>
          <w:sz w:val="24"/>
          <w:szCs w:val="24"/>
        </w:rPr>
        <w:fldChar w:fldCharType="begin" w:fldLock="1"/>
      </w:r>
      <w:r w:rsidR="00C46200">
        <w:rPr>
          <w:rFonts w:ascii="Times New Roman" w:hAnsi="Times New Roman" w:cs="Times New Roman"/>
          <w:bCs/>
          <w:sz w:val="24"/>
          <w:szCs w:val="24"/>
        </w:rPr>
        <w:instrText>ADDIN CSL_CITATION {"citationItems":[{"id":"ITEM-1","itemData":{"DOI":"10.3390/APP12146857","ISSN":"2076-3417","abstract":"The present paper deals with the investigation, at conceptual level, of the performance of short&amp;ndash;medium-range aircraft with hydrogen propulsion. The attention is focused on the relationship between figures of merit related to transport capability, such as passenger capacity and flight range, and the parameters which drive the design of liquid hydrogen tanks and their integration with a given aircraft geometry. The reference aircraft chosen for such purpose is a box-wing short&amp;ndash;medium-range airplane, the object of study within a previous European research project called PARSIFAL, capable of cutting the fuel consumption per passenger-kilometre up to 22%. By adopting a retrofitting approach, non-integral pressure vessels are sized to fit into the fuselage of the reference aircraft, under the assumption that the main aerodynamic, flight mechanic, and structural characteristics are not affected. A parametric model is introduced to generate a wide variety of fuselage-tank cross-section layouts, from a single tank with the maximum diameter compatible with a catwalk corridor to multiple tanks located in the cargo deck, and an assessment workflow is implemented to perform the structural sizing of the tanks and analyse their thermodynamic behaviour during the mission. This latter is simulated with a time-marching approach that couples the fuel request from engines with the thermodynamics of the hydrogen in the tanks, which is constantly subject to evaporation and, depending on the internal pressure, vented-out in gas form. Each model is presented in detail in the paper and results are provided through sensitivity analyses to both the technologic parameters of the tanks and the geometric parameters influencing their integration. The guidelines resulting from the analyses indicate that light materials, such as the aluminium alloy AA2219 for tanks&amp;rsquo; structures and polystyrene foam for the insulation, should be selected. Preferred values are also indicted for the aspect ratios of the vessel components, i.e., central tube and endcaps, as well as suggestions for the integration layout to be adopted depending on the desired trade-off between passenger capacity, as for the case of multiple tanks in the cargo deck, and achievable flight ranges, as for the single tank in the section.","author":[{"dropping-particle":"","family":"Cipolla","given":"Vittorio","non-dropping-particle":"","parse-names":false,"suffix":""},{"dropping-particle":"","family":"Zanetti","given":"Davide","non-dropping-particle":"","parse-names":false,"suffix":""},{"dropping-particle":"","family":"Salem","given":"Karim Abu","non-dropping-particle":"","parse-names":false,"suffix":""},{"dropping-particle":"","family":"Binante","given":"Vincenzo","non-dropping-particle":"","parse-names":false,"suffix":""},{"dropping-particle":"","family":"Palaia","given":"Giuseppe","non-dropping-particle":"","parse-names":false,"suffix":""}],"container-title":"Applied Sciences 2022, Vol. 12, Page 6857","id":"ITEM-1","issue":"14","issued":{"date-parts":[["2022","7","6"]]},"page":"6857","publisher":"Multidisciplinary Digital Publishing Institute","title":"A Parametric Approach for Conceptual Integration and Performance Studies of Liquid Hydrogen Short&amp;ndash;Medium Range Aircraft","type":"article-journal","volume":"12"},"uris":["http://www.mendeley.com/documents/?uuid=1c093f56-0b03-3068-be1d-5105df0f6e0b"]},{"id":"ITEM-2","itemData":{"DOI":"10.1016/j.ast.2019.105438","ISSN":"12709638","abstract":"LH2 fuel tanks are one of the main drivers in the development of a commercial airplane powered with hydrogen. This article discusses the implementation of liquid hydrogen fuel tanks in future commercial airplanes focusing on the sizing of the fuel tank structure and its behavior under critical loading conditions. Fuel tanks are sized according to the mission requirements and geometrical restrictions of a conventional mid-range commercial airplane. Critical loading cases for symmetrical maneuvers and landing conditions are estimated following EASA CS-25 airworthiness specifications for large airplanes. The stress distribution in each tank is evaluated using linear Finite Element Analysis (FEA) in MSC. NASTRAN/PATRAN to ensure that the structural design complies with strength and stiffness requirements","author":[{"dropping-particle":"","family":"Gomez","given":"Arturo","non-dropping-particle":"","parse-names":false,"suffix":""},{"dropping-particle":"","family":"Smith","given":"Howard","non-dropping-particle":"","parse-names":false,"suffix":""}],"container-title":"Aerospace Science and Technology","id":"ITEM-2","issued":{"date-parts":[["2019","12","1"]]},"page":"105438","publisher":"Elsevier Masson SAS","title":"Liquid hydrogen fuel tanks for commercial aviation: Structural sizing and stress analysis","type":"article-journal","volume":"95"},"uris":["http://www.mendeley.com/documents/?uuid=f26a5a65-f439-3539-80c3-e3a1374929ee"]}],"mendeley":{"formattedCitation":"[33], [34]","plainTextFormattedCitation":"[33], [34]","previouslyFormattedCitation":"[33], [34]"},"properties":{"noteIndex":0},"schema":"https://github.com/citation-style-language/schema/raw/master/csl-citation.json"}</w:instrText>
      </w:r>
      <w:r w:rsidR="00C44260" w:rsidRPr="00872636">
        <w:rPr>
          <w:rFonts w:ascii="Times New Roman" w:hAnsi="Times New Roman" w:cs="Times New Roman"/>
          <w:bCs/>
          <w:sz w:val="24"/>
          <w:szCs w:val="24"/>
        </w:rPr>
        <w:fldChar w:fldCharType="separate"/>
      </w:r>
      <w:r w:rsidR="00801BEA" w:rsidRPr="00801BEA">
        <w:rPr>
          <w:rFonts w:ascii="Times New Roman" w:hAnsi="Times New Roman" w:cs="Times New Roman"/>
          <w:bCs/>
          <w:noProof/>
          <w:sz w:val="24"/>
          <w:szCs w:val="24"/>
        </w:rPr>
        <w:t>[33], [34]</w:t>
      </w:r>
      <w:r w:rsidR="00C44260" w:rsidRPr="00872636">
        <w:rPr>
          <w:rFonts w:ascii="Times New Roman" w:hAnsi="Times New Roman" w:cs="Times New Roman"/>
          <w:bCs/>
          <w:sz w:val="24"/>
          <w:szCs w:val="24"/>
        </w:rPr>
        <w:fldChar w:fldCharType="end"/>
      </w:r>
      <w:r w:rsidR="00C44260" w:rsidRPr="00872636">
        <w:rPr>
          <w:rFonts w:ascii="Times New Roman" w:hAnsi="Times New Roman" w:cs="Times New Roman"/>
          <w:bCs/>
          <w:sz w:val="24"/>
          <w:szCs w:val="24"/>
        </w:rPr>
        <w:t xml:space="preserve"> </w:t>
      </w:r>
      <w:r w:rsidR="00C44260" w:rsidRPr="00872636">
        <w:rPr>
          <w:rFonts w:ascii="Times New Roman" w:hAnsi="Times New Roman" w:cs="Times New Roman"/>
          <w:sz w:val="24"/>
          <w:szCs w:val="24"/>
          <w:lang w:eastAsia="en-GB"/>
        </w:rPr>
        <w:t xml:space="preserve">designed </w:t>
      </w:r>
      <w:r w:rsidR="000831E6" w:rsidRPr="00872636">
        <w:rPr>
          <w:rFonts w:ascii="Times New Roman" w:hAnsi="Times New Roman" w:cs="Times New Roman"/>
          <w:sz w:val="24"/>
          <w:szCs w:val="24"/>
          <w:lang w:eastAsia="en-GB"/>
        </w:rPr>
        <w:t>LH</w:t>
      </w:r>
      <w:r w:rsidR="000831E6" w:rsidRPr="00872636">
        <w:rPr>
          <w:rFonts w:ascii="Times New Roman" w:hAnsi="Times New Roman" w:cs="Times New Roman"/>
          <w:sz w:val="24"/>
          <w:szCs w:val="24"/>
          <w:vertAlign w:val="subscript"/>
          <w:lang w:eastAsia="en-GB"/>
        </w:rPr>
        <w:t>2</w:t>
      </w:r>
      <w:r w:rsidR="000831E6" w:rsidRPr="00872636">
        <w:rPr>
          <w:rFonts w:ascii="Times New Roman" w:hAnsi="Times New Roman" w:cs="Times New Roman"/>
          <w:sz w:val="24"/>
          <w:szCs w:val="24"/>
          <w:lang w:eastAsia="en-GB"/>
        </w:rPr>
        <w:t xml:space="preserve"> aircraft </w:t>
      </w:r>
      <w:r w:rsidR="00C44260" w:rsidRPr="00872636">
        <w:rPr>
          <w:rFonts w:ascii="Times New Roman" w:hAnsi="Times New Roman" w:cs="Times New Roman"/>
          <w:sz w:val="24"/>
          <w:szCs w:val="24"/>
          <w:lang w:eastAsia="en-GB"/>
        </w:rPr>
        <w:t>for different (smaller) payload and range combination compared to the reference long-range LTA aircraft</w:t>
      </w:r>
      <w:r w:rsidR="000831E6" w:rsidRPr="00872636">
        <w:rPr>
          <w:rFonts w:ascii="Times New Roman" w:hAnsi="Times New Roman" w:cs="Times New Roman"/>
          <w:sz w:val="24"/>
          <w:szCs w:val="24"/>
          <w:lang w:eastAsia="en-GB"/>
        </w:rPr>
        <w:t>.</w:t>
      </w:r>
    </w:p>
    <w:p w14:paraId="3AB8AC0C" w14:textId="148DECB4" w:rsidR="005C74E9" w:rsidRPr="00872636" w:rsidRDefault="00233B1B" w:rsidP="00C525D8">
      <w:pPr>
        <w:spacing w:after="0" w:line="480" w:lineRule="auto"/>
        <w:jc w:val="both"/>
        <w:rPr>
          <w:rFonts w:ascii="Times New Roman" w:hAnsi="Times New Roman" w:cs="Times New Roman"/>
          <w:sz w:val="24"/>
          <w:szCs w:val="24"/>
        </w:rPr>
      </w:pPr>
      <w:r w:rsidRPr="00872636">
        <w:rPr>
          <w:rFonts w:ascii="Times New Roman" w:hAnsi="Times New Roman" w:cs="Times New Roman"/>
          <w:sz w:val="24"/>
          <w:szCs w:val="24"/>
        </w:rPr>
        <w:tab/>
      </w:r>
      <w:r w:rsidR="00F2571B" w:rsidRPr="00872636">
        <w:rPr>
          <w:rFonts w:ascii="Times New Roman" w:hAnsi="Times New Roman" w:cs="Times New Roman"/>
          <w:sz w:val="24"/>
          <w:szCs w:val="24"/>
        </w:rPr>
        <w:t xml:space="preserve">A </w:t>
      </w:r>
      <w:bookmarkStart w:id="0" w:name="_Hlk110885873"/>
      <w:r w:rsidR="00F2571B" w:rsidRPr="00872636">
        <w:rPr>
          <w:rFonts w:ascii="Times New Roman" w:hAnsi="Times New Roman" w:cs="Times New Roman"/>
          <w:sz w:val="24"/>
          <w:szCs w:val="24"/>
        </w:rPr>
        <w:t xml:space="preserve">study by Troeltsch et al. </w:t>
      </w:r>
      <w:r w:rsidR="00F2571B"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{"citationItems":[{"id":"ITEM-1","itemData":{"DOI":"10.2514/6.2020-2660","ISBN":"9781624105982","abstract":"The present paper presents the design of a long range aircraft concept featuring liquid hydrogen (LH2 ) as main energy source. This concept has been created during a Bauhaus Luftfahrt e.V. internal design project and is named Hyliner (2.0). At first, the definition of the top level aircraft requirements are described, including the motivation for the reduction of the cruise Mach number to 0.7 and the increase of cabin space available per passenger. Afterwards, the derivation of the Hyliner (2.0) from a conventional long range aircraft with the same technology level representative for an entry into service date of 2040 is established. Design decisions of the Hyliner (2.0) are explained and its performance and qualitative impact on emission is discussed. While the energy consumption of the Hyliner (2.0) is 9% higher compared to the conventional reference aircraft with the same technologies integrated, the combustion of hydrogen rather than kerosene offers a possible reduction of the climate impact on long range operations.","author":[{"dropping-particle":"","family":"Troeltsch","given":"Florian","non-dropping-particle":"","parse-names":false,"suffix":""},{"dropping-particle":"","family":"Engelmann","given":"Marc","non-dropping-particle":"","parse-names":false,"suffix":""},{"dropping-particle":"","family":"Peter","given":"Fabian","non-dropping-particle":"","parse-names":false,"suffix":""},{"dropping-particle":"","family":"Kaiser","given":"Jochen","non-dropping-particle":"","parse-names":false,"suffix":""},{"dropping-particle":"","family":"Hornung","given":"Mirko","non-dropping-particle":"","parse-names":false,"suffix":""},{"dropping-particle":"","family":"Scholz","given":"Anna E.","non-dropping-particle":"","parse-names":false,"suffix":""}],"container-title":"AIAA AVIATION 2020 FORUM","id":"ITEM-1","issued":{"date-parts":[["2020"]]},"page":"14","publisher":"American Institute of Aeronautics and Astronautics Inc, AIAA","title":"Hydrogen powered long haul aircraft with minimized climate impact","type":"article-journal"},"uris":["http://www.mendeley.com/documents/?uuid=d90e0e6c-9dda-3352-b961-f4f1159f9774"]}],"mendeley":{"formattedCitation":"[35]","plainTextFormattedCitation":"[35]","previouslyFormattedCitation":"[35]"},"properties":{"noteIndex":0},"schema":"https://github.com/citation-style-language/schema/raw/master/csl-citation.json"}</w:instrText>
      </w:r>
      <w:r w:rsidR="00F2571B"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[35]</w:t>
      </w:r>
      <w:r w:rsidR="00F2571B" w:rsidRPr="00872636">
        <w:rPr>
          <w:rFonts w:ascii="Times New Roman" w:hAnsi="Times New Roman" w:cs="Times New Roman"/>
          <w:sz w:val="24"/>
          <w:szCs w:val="24"/>
        </w:rPr>
        <w:fldChar w:fldCharType="end"/>
      </w:r>
      <w:r w:rsidR="00F2571B" w:rsidRPr="00872636">
        <w:rPr>
          <w:rFonts w:ascii="Times New Roman" w:hAnsi="Times New Roman" w:cs="Times New Roman"/>
          <w:sz w:val="24"/>
          <w:szCs w:val="24"/>
        </w:rPr>
        <w:t xml:space="preserve"> design an LH</w:t>
      </w:r>
      <w:r w:rsidR="00F2571B" w:rsidRPr="00872636">
        <w:rPr>
          <w:rFonts w:ascii="Times New Roman" w:hAnsi="Times New Roman" w:cs="Times New Roman"/>
          <w:sz w:val="24"/>
          <w:szCs w:val="24"/>
          <w:vertAlign w:val="subscript"/>
        </w:rPr>
        <w:t>2</w:t>
      </w:r>
      <w:r w:rsidR="00F2571B" w:rsidRPr="00872636">
        <w:rPr>
          <w:rFonts w:ascii="Times New Roman" w:hAnsi="Times New Roman" w:cs="Times New Roman"/>
          <w:sz w:val="24"/>
          <w:szCs w:val="24"/>
        </w:rPr>
        <w:t xml:space="preserve"> aircraft (range 11,853 km with 400 passengers) with foam-based LH</w:t>
      </w:r>
      <w:r w:rsidR="00F2571B" w:rsidRPr="00872636">
        <w:rPr>
          <w:rFonts w:ascii="Times New Roman" w:hAnsi="Times New Roman" w:cs="Times New Roman"/>
          <w:sz w:val="24"/>
          <w:szCs w:val="24"/>
          <w:vertAlign w:val="subscript"/>
        </w:rPr>
        <w:t>2</w:t>
      </w:r>
      <w:r w:rsidR="00F2571B" w:rsidRPr="00872636">
        <w:rPr>
          <w:rFonts w:ascii="Times New Roman" w:hAnsi="Times New Roman" w:cs="Times New Roman"/>
          <w:sz w:val="24"/>
          <w:szCs w:val="24"/>
        </w:rPr>
        <w:t xml:space="preserve"> tanks (front and aft). </w:t>
      </w:r>
      <w:bookmarkEnd w:id="0"/>
      <w:r w:rsidR="00F2571B" w:rsidRPr="00872636">
        <w:rPr>
          <w:rFonts w:ascii="Times New Roman" w:hAnsi="Times New Roman" w:cs="Times New Roman"/>
          <w:sz w:val="24"/>
          <w:szCs w:val="24"/>
        </w:rPr>
        <w:t>In contrast to other studies on LH</w:t>
      </w:r>
      <w:r w:rsidR="00F2571B" w:rsidRPr="00872636">
        <w:rPr>
          <w:rFonts w:ascii="Times New Roman" w:hAnsi="Times New Roman" w:cs="Times New Roman"/>
          <w:sz w:val="24"/>
          <w:szCs w:val="24"/>
          <w:vertAlign w:val="subscript"/>
        </w:rPr>
        <w:t>2</w:t>
      </w:r>
      <w:r w:rsidR="00F2571B" w:rsidRPr="00872636">
        <w:rPr>
          <w:rFonts w:ascii="Times New Roman" w:hAnsi="Times New Roman" w:cs="Times New Roman"/>
          <w:sz w:val="24"/>
          <w:szCs w:val="24"/>
        </w:rPr>
        <w:t xml:space="preserve"> aircraft design the authors choose to reduce the cruise Mach speed from 0.82 of the reference Jet-A aircraft to 0.7, and this LH</w:t>
      </w:r>
      <w:r w:rsidR="00F2571B" w:rsidRPr="00872636">
        <w:rPr>
          <w:rFonts w:ascii="Times New Roman" w:hAnsi="Times New Roman" w:cs="Times New Roman"/>
          <w:sz w:val="24"/>
          <w:szCs w:val="24"/>
          <w:vertAlign w:val="subscript"/>
        </w:rPr>
        <w:t>2</w:t>
      </w:r>
      <w:r w:rsidR="00F2571B" w:rsidRPr="00872636">
        <w:rPr>
          <w:rFonts w:ascii="Times New Roman" w:hAnsi="Times New Roman" w:cs="Times New Roman"/>
          <w:sz w:val="24"/>
          <w:szCs w:val="24"/>
        </w:rPr>
        <w:t xml:space="preserve"> aircraft shows a 9% increase in energy consumption compared to the reference aircraft.</w:t>
      </w:r>
      <w:r w:rsidRPr="00872636">
        <w:rPr>
          <w:rFonts w:ascii="Times New Roman" w:hAnsi="Times New Roman" w:cs="Times New Roman"/>
          <w:sz w:val="24"/>
          <w:szCs w:val="24"/>
        </w:rPr>
        <w:t xml:space="preserve"> </w:t>
      </w:r>
      <w:r w:rsidR="005C74E9" w:rsidRPr="00872636">
        <w:rPr>
          <w:rFonts w:ascii="Times New Roman" w:hAnsi="Times New Roman" w:cs="Times New Roman"/>
          <w:sz w:val="24"/>
          <w:szCs w:val="24"/>
        </w:rPr>
        <w:t xml:space="preserve">A study by Proesmans et al. </w:t>
      </w:r>
      <w:r w:rsidR="005C74E9"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10.2514/6.2022-3288","author":[{"dropping-particle":"","family":"Proesmans","given":"Pieter-Jan","non-dropping-particle":"","parse-names":false,"suffix":""},{"dropping-particle":"","family":"Vos","given":"Roelof","non-dropping-particle":"","parse-names":false,"suffix":""}],"id":"ITEM-1","issued":{"date-parts":[["2022","6","27"]]},"publisher":"American Institute of Aeronautics and Astronautics (AIAA)","title":"Comparison of Future Aviation Fuels to Minimize the Climate Impact of Commercial Aircraft","type":"article-journal"},"uris":["http://www.mendeley.com/documents/?uuid=ed9ebc10-ecab-3cdb-9b6b-86ea337f30e1"]}],"mendeley":{"formattedCitation":"[36]","plainTextFormattedCitation":"[36]","previouslyFormattedCitation":"[36]"},"properties":{"noteIndex":0},"schema":"https://github.com/citation-style-language/schema/raw/master/csl-citation.json"}</w:instrText>
      </w:r>
      <w:r w:rsidR="005C74E9"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[36]</w:t>
      </w:r>
      <w:r w:rsidR="005C74E9" w:rsidRPr="00872636">
        <w:rPr>
          <w:rFonts w:ascii="Times New Roman" w:hAnsi="Times New Roman" w:cs="Times New Roman"/>
          <w:sz w:val="24"/>
          <w:szCs w:val="24"/>
        </w:rPr>
        <w:fldChar w:fldCharType="end"/>
      </w:r>
      <w:r w:rsidR="005C74E9" w:rsidRPr="00872636">
        <w:rPr>
          <w:rFonts w:ascii="Times New Roman" w:hAnsi="Times New Roman" w:cs="Times New Roman"/>
          <w:sz w:val="24"/>
          <w:szCs w:val="24"/>
        </w:rPr>
        <w:t xml:space="preserve"> conducts a pareto-optimal </w:t>
      </w:r>
      <w:r w:rsidR="005C74E9" w:rsidRPr="00872636">
        <w:rPr>
          <w:rFonts w:ascii="Times New Roman" w:hAnsi="Times New Roman" w:cs="Times New Roman"/>
          <w:sz w:val="24"/>
          <w:szCs w:val="24"/>
        </w:rPr>
        <w:lastRenderedPageBreak/>
        <w:t>design examination of LH</w:t>
      </w:r>
      <w:r w:rsidR="005C74E9" w:rsidRPr="00872636">
        <w:rPr>
          <w:rFonts w:ascii="Times New Roman" w:hAnsi="Times New Roman" w:cs="Times New Roman"/>
          <w:sz w:val="24"/>
          <w:szCs w:val="24"/>
          <w:vertAlign w:val="subscript"/>
        </w:rPr>
        <w:t>2</w:t>
      </w:r>
      <w:r w:rsidR="005C74E9" w:rsidRPr="00872636">
        <w:rPr>
          <w:rFonts w:ascii="Times New Roman" w:hAnsi="Times New Roman" w:cs="Times New Roman"/>
          <w:sz w:val="24"/>
          <w:szCs w:val="24"/>
        </w:rPr>
        <w:t xml:space="preserve"> and 100% SPK (separately) powered aircraft for short, medium and long range aircraft, where each fuel and aircraft type is designed separately for minimising climate impact and cash operating costs. The result of this approach is that for a given aircraft type and optimisation objective, each aircraft fuelled by respective fuel may vary from the baseline in terms of wing loading, aspect ratio, engine BPR, pressure ratio of fan and compressors, turbine inlet temperatures, and most importantly cruise Mach, and cruise altitude. Therefore, for a given aircraft type and optimisation objective, a very few aircraft design and performance features are similar to the baseline. For climate impact minimisation optimisation objective, it is observed that the cruise altitude and cruise Mach are similar for Jet-A, LH</w:t>
      </w:r>
      <w:r w:rsidR="005C74E9" w:rsidRPr="00872636">
        <w:rPr>
          <w:rFonts w:ascii="Times New Roman" w:hAnsi="Times New Roman" w:cs="Times New Roman"/>
          <w:sz w:val="24"/>
          <w:szCs w:val="24"/>
          <w:vertAlign w:val="subscript"/>
        </w:rPr>
        <w:t>2</w:t>
      </w:r>
      <w:r w:rsidR="005C74E9" w:rsidRPr="00872636">
        <w:rPr>
          <w:rFonts w:ascii="Times New Roman" w:hAnsi="Times New Roman" w:cs="Times New Roman"/>
          <w:sz w:val="24"/>
          <w:szCs w:val="24"/>
        </w:rPr>
        <w:t>, and 100% SPK. The energy performance of Jet-A and 100% SPK is same. LH</w:t>
      </w:r>
      <w:r w:rsidR="005C74E9" w:rsidRPr="00872636">
        <w:rPr>
          <w:rFonts w:ascii="Times New Roman" w:hAnsi="Times New Roman" w:cs="Times New Roman"/>
          <w:sz w:val="24"/>
          <w:szCs w:val="24"/>
          <w:vertAlign w:val="subscript"/>
        </w:rPr>
        <w:t xml:space="preserve">2 </w:t>
      </w:r>
      <w:r w:rsidR="005C74E9" w:rsidRPr="00872636">
        <w:rPr>
          <w:rFonts w:ascii="Times New Roman" w:hAnsi="Times New Roman" w:cs="Times New Roman"/>
          <w:sz w:val="24"/>
          <w:szCs w:val="24"/>
        </w:rPr>
        <w:t>fuel shows 7.6% decrease in MTOW, 22.8% increase in OEW, 41.1% increase in fuselage length, and 12.9% increase in energy consumption.</w:t>
      </w:r>
      <w:r w:rsidR="005D544A" w:rsidRPr="00872636">
        <w:rPr>
          <w:rFonts w:ascii="Times New Roman" w:hAnsi="Times New Roman" w:cs="Times New Roman"/>
          <w:sz w:val="24"/>
          <w:szCs w:val="24"/>
        </w:rPr>
        <w:t xml:space="preserve"> Above studies </w:t>
      </w:r>
      <w:r w:rsidR="005D544A"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{"citationItems":[{"id":"ITEM-1","itemData":{"DOI":"10.2514/6.2020-2660","ISBN":"9781624105982","abstract":"The present paper presents the design of a long range aircraft concept featuring liquid hydrogen (LH2 ) as main energy source. This concept has been created during a Bauhaus Luftfahrt e.V. internal design project and is named Hyliner (2.0). At first, the definition of the top level aircraft requirements are described, including the motivation for the reduction of the cruise Mach number to 0.7 and the increase of cabin space available per passenger. Afterwards, the derivation of the Hyliner (2.0) from a conventional long range aircraft with the same technology level representative for an entry into service date of 2040 is established. Design decisions of the Hyliner (2.0) are explained and its performance and qualitative impact on emission is discussed. While the energy consumption of the Hyliner (2.0) is 9% higher compared to the conventional reference aircraft with the same technologies integrated, the combustion of hydrogen rather than kerosene offers a possible reduction of the climate impact on long range operations.","author":[{"dropping-particle":"","family":"Troeltsch","given":"Florian","non-dropping-particle":"","parse-names":false,"suffix":""},{"dropping-particle":"","family":"Engelmann","given":"Marc","non-dropping-particle":"","parse-names":false,"suffix":""},{"dropping-particle":"","family":"Peter","given":"Fabian","non-dropping-particle":"","parse-names":false,"suffix":""},{"dropping-particle":"","family":"Kaiser","given":"Jochen","non-dropping-particle":"","parse-names":false,"suffix":""},{"dropping-particle":"","family":"Hornung","given":"Mirko","non-dropping-particle":"","parse-names":false,"suffix":""},{"dropping-particle":"","family":"Scholz","given":"Anna E.","non-dropping-particle":"","parse-names":false,"suffix":""}],"container-title":"AIAA AVIATION 2020 FORUM","id":"ITEM-1","issued":{"date-parts":[["2020"]]},"page":"14","publisher":"American Institute of Aeronautics and Astronautics Inc, AIAA","title":"Hydrogen powered long haul aircraft with minimized climate impact","type":"article-journal"},"uris":["http://www.mendeley.com/documents/?uuid=d90e0e6c-9dda-3352-b961-f4f1159f9774"]},{"id":"ITEM-2","itemData":{"DOI":"10.2514/6.2022-3288","author":[{"dropping-particle":"","family":"Proesmans","given":"Pieter-Jan","non-dropping-particle":"","parse-names":false,"suffix":""},{"dropping-particle":"","family":"Vos","given":"Roelof","non-dropping-particle":"","parse-names":false,"suffix":""}],"id":"ITEM-2","issued":{"date-parts":[["2022","6","27"]]},"publisher":"American Institute of Aeronautics and Astronautics (AIAA)","title":"Comparison of Future Aviation Fuels to Minimize the Climate Impact of Commercial Aircraft","type":"article-journal"},"uris":["http://www.mendeley.com/documents/?uuid=ed9ebc10-ecab-3cdb-9b6b-86ea337f30e1"]}],"mendeley":{"formattedCitation":"[35], [36]","plainTextFormattedCitation":"[35], [36]","previouslyFormattedCitation":"[35], [36]"},"properties":{"noteIndex":0},"schema":"https://github.com/citation-style-language/schema/raw/master/csl-citation.json"}</w:instrText>
      </w:r>
      <w:r w:rsidR="005D544A"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[35], [36]</w:t>
      </w:r>
      <w:r w:rsidR="005D544A" w:rsidRPr="00872636">
        <w:rPr>
          <w:rFonts w:ascii="Times New Roman" w:hAnsi="Times New Roman" w:cs="Times New Roman"/>
          <w:sz w:val="24"/>
          <w:szCs w:val="24"/>
        </w:rPr>
        <w:fldChar w:fldCharType="end"/>
      </w:r>
      <w:r w:rsidR="005D544A" w:rsidRPr="00872636">
        <w:rPr>
          <w:rFonts w:ascii="Times New Roman" w:hAnsi="Times New Roman" w:cs="Times New Roman"/>
          <w:sz w:val="24"/>
          <w:szCs w:val="24"/>
        </w:rPr>
        <w:t xml:space="preserve"> design </w:t>
      </w:r>
      <w:r w:rsidR="005D544A" w:rsidRPr="00872636">
        <w:rPr>
          <w:rFonts w:ascii="Times New Roman" w:hAnsi="Times New Roman" w:cs="Times New Roman"/>
          <w:sz w:val="24"/>
          <w:szCs w:val="24"/>
          <w:lang w:eastAsia="en-GB"/>
        </w:rPr>
        <w:t>LH</w:t>
      </w:r>
      <w:r w:rsidR="005D544A" w:rsidRPr="00872636">
        <w:rPr>
          <w:rFonts w:ascii="Times New Roman" w:hAnsi="Times New Roman" w:cs="Times New Roman"/>
          <w:sz w:val="24"/>
          <w:szCs w:val="24"/>
          <w:vertAlign w:val="subscript"/>
          <w:lang w:eastAsia="en-GB"/>
        </w:rPr>
        <w:t>2</w:t>
      </w:r>
      <w:r w:rsidR="005D544A" w:rsidRPr="00872636">
        <w:rPr>
          <w:rFonts w:ascii="Times New Roman" w:hAnsi="Times New Roman" w:cs="Times New Roman"/>
          <w:sz w:val="24"/>
          <w:szCs w:val="24"/>
          <w:lang w:eastAsia="en-GB"/>
        </w:rPr>
        <w:t xml:space="preserve"> aircraft, where the</w:t>
      </w:r>
      <w:r w:rsidR="005D544A" w:rsidRPr="00872636">
        <w:rPr>
          <w:rFonts w:ascii="Times New Roman" w:hAnsi="Times New Roman" w:cs="Times New Roman"/>
          <w:sz w:val="24"/>
          <w:szCs w:val="24"/>
        </w:rPr>
        <w:t xml:space="preserve"> cruises at lower Mach and/or altitude and has different aircraft design characteristics compared to the typical baseline </w:t>
      </w:r>
      <w:r w:rsidR="005D544A" w:rsidRPr="00872636">
        <w:rPr>
          <w:rFonts w:ascii="Times New Roman" w:hAnsi="Times New Roman" w:cs="Times New Roman"/>
          <w:sz w:val="24"/>
          <w:szCs w:val="24"/>
          <w:lang w:eastAsia="en-GB"/>
        </w:rPr>
        <w:t>long-range LTA aircraft.</w:t>
      </w:r>
    </w:p>
    <w:p w14:paraId="796BB06E" w14:textId="001C3E4C" w:rsidR="00233B1B" w:rsidRPr="00872636" w:rsidRDefault="00233B1B" w:rsidP="00C525D8">
      <w:pPr>
        <w:spacing w:line="480" w:lineRule="auto"/>
        <w:jc w:val="both"/>
        <w:rPr>
          <w:rFonts w:ascii="Times New Roman" w:hAnsi="Times New Roman" w:cs="Times New Roman"/>
          <w:sz w:val="24"/>
          <w:szCs w:val="24"/>
        </w:rPr>
      </w:pPr>
      <w:r w:rsidRPr="00872636">
        <w:rPr>
          <w:rFonts w:ascii="Times New Roman" w:hAnsi="Times New Roman" w:cs="Times New Roman"/>
          <w:sz w:val="24"/>
          <w:szCs w:val="24"/>
        </w:rPr>
        <w:tab/>
        <w:t xml:space="preserve">A study by Grewe et al.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{"citationItems":[{"id":"ITEM-1","itemData":{"DOI":"10.1127/METZ/2016/0758","ISSN":"16101227","abstract":"Air traffic is important to our society and guarantees mobility especially for long distances. Air traffic is also contributing to climate warming via emissions of CO2 and various non-CO2 effects, such as contrail-cirrus or increase in ozone concentrations. Here we investigate the climate impact of a future aircraft design, a multi fuel blended wing body (MF-BWB), conceptually designed within the EU-project AHEAD. We re-calculate the parameters for the contrail formation criterion, since this aircraft has very different characteristics compared to conventional technologies and show that contrail formation potentially already occurs at lower altitudes than for conventional aircraft. The geometry of the contrails, however, is similar to conventional aircraft, as detailed LES simulations show. The global contrail-cirrus coverage and related radiative forcing is investigated with a climate model including a contrail-cirrus parameterisation and shows an increase in contrail-cirrus radiative forcing compared to conventional technologies, if the number of emitted particles is equal to conventional technologies. However, there are strong indications that the AHEAD engines would have a substantial reduction in the emission of soot particles and there are strong indications that this leads to a substantial reduction in the contrail-cirrus radiative forcing. An overall climate impact assessment with a climate-chemistry response model shows that the climate impact is likely to be reduced by 20% to 25% compared to a future aircraft with conventional technologies. We further tested the sensitivity of this result with respect to different future scenarios for the use of bio fuels, improvements of the fuel efficiency for conventional aircraft and the impact of the number of emitted soot particles on the radiative forcing. Only the latter has the potential to significantly impact our findings and needs further investigation. Our findings show that the development of new and climate compatible aircraft designs requires the inclusion of climate impact assessments already at an early stage, i.e. pre-design level.","author":[{"dropping-particle":"","family":"Grewe","given":"Volker","non-dropping-particle":"","parse-names":false,"suffix":""},{"dropping-particle":"","family":"Bock","given":"Lisa","non-dropping-particle":"","parse-names":false,"suffix":""},{"dropping-particle":"","family":"Burkhardt","given":"Ulrike","non-dropping-particle":"","parse-names":false,"suffix":""},{"dropping-particle":"","family":"Dahlmann","given":"Katrin","non-dropping-particle":"","parse-names":false,"suffix":""},{"dropping-particle":"","family":"Gierens","given":"Klaus","non-dropping-particle":"","parse-names":false,"suffix":""},{"dropping-particle":"","family":"Hüttenhofer","given":"Ludwig","non-dropping-particle":"","parse-names":false,"suffix":""},{"dropping-particle":"","family":"Unterstrasser","given":"Simon","non-dropping-particle":"","parse-names":false,"suffix":""},{"dropping-particle":"","family":"Rao","given":"Arvind Gangoli","non-dropping-particle":"","parse-names":false,"suffix":""},{"dropping-particle":"","family":"Bhat","given":"Abhishek","non-dropping-particle":"","parse-names":false,"suffix":""},{"dropping-particle":"","family":"Yin","given":"Feijia","non-dropping-particle":"","parse-names":false,"suffix":""},{"dropping-particle":"","family":"Reichel","given":"Thoralf G.","non-dropping-particle":"","parse-names":false,"suffix":""},{"dropping-particle":"","family":"Paschereit","given":"Oliver","non-dropping-particle":"","parse-names":false,"suffix":""},{"dropping-particle":"","family":"Levy","given":"Yeshayahou","non-dropping-particle":"","parse-names":false,"suffix":""}],"container-title":"Meteorologische Zeitschrift","id":"ITEM-1","issue":"6","issued":{"date-parts":[["2017"]]},"page":"711-725","publisher":"Gebruder Borntraeger Verlagsbuchhandlung","title":"Assessing the climate impact of the AHEAD multi-fuel blended wing body","type":"article-journal","volume":"26"},"uris":["http://www.mendeley.com/documents/?uuid=13df412b-c49f-331c-bd73-df857f300473"]}],"mendeley":{"formattedCitation":"[37]","plainTextFormattedCitation":"[37]","previouslyFormattedCitation":"[37]"},"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[37]</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examines the climate impact of a futuristic multi-fuel BWB aircraft seating 300 passengers for design range of 14,000 km. For this aircraft 33% of energy is provided by bio-kerosene and 67% energy either comes from LNG or LH</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rPr>
        <w:t>. It is to be noted that this aircraft design performance is based on an extremely simple model as it does not take into account details such as the cryogenic storage requirements and the associated drag and weight penalty. The study finds that LNG – bio-kerosene has lower climate impacts compared to LH</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rPr>
        <w:t xml:space="preserve"> – bio-kerosene and the conventional aircraft.</w:t>
      </w:r>
      <w:r w:rsidR="004E143B" w:rsidRPr="00872636">
        <w:rPr>
          <w:rFonts w:ascii="Times New Roman" w:hAnsi="Times New Roman" w:cs="Times New Roman"/>
          <w:sz w:val="24"/>
          <w:szCs w:val="24"/>
        </w:rPr>
        <w:t xml:space="preserve"> This study </w:t>
      </w:r>
      <w:r w:rsidR="007C5EF3" w:rsidRPr="00872636">
        <w:rPr>
          <w:rFonts w:ascii="Times New Roman" w:hAnsi="Times New Roman" w:cs="Times New Roman"/>
          <w:sz w:val="24"/>
          <w:szCs w:val="24"/>
        </w:rPr>
        <w:t>does not model an aircraft completely powered by LH</w:t>
      </w:r>
      <w:r w:rsidR="007C5EF3" w:rsidRPr="00872636">
        <w:rPr>
          <w:rFonts w:ascii="Times New Roman" w:hAnsi="Times New Roman" w:cs="Times New Roman"/>
          <w:sz w:val="24"/>
          <w:szCs w:val="24"/>
          <w:vertAlign w:val="subscript"/>
        </w:rPr>
        <w:t xml:space="preserve">2 </w:t>
      </w:r>
      <w:r w:rsidR="007C5EF3" w:rsidRPr="00872636">
        <w:rPr>
          <w:rFonts w:ascii="Times New Roman" w:hAnsi="Times New Roman" w:cs="Times New Roman"/>
          <w:sz w:val="24"/>
          <w:szCs w:val="24"/>
        </w:rPr>
        <w:t xml:space="preserve">fuel. </w:t>
      </w:r>
    </w:p>
    <w:p w14:paraId="30935018" w14:textId="5E645481" w:rsidR="00104A2A" w:rsidRPr="00872636" w:rsidRDefault="00104A2A" w:rsidP="00C525D8">
      <w:pPr>
        <w:pStyle w:val="Heading3"/>
        <w:spacing w:after="240" w:line="480" w:lineRule="auto"/>
        <w:rPr>
          <w:rFonts w:ascii="Times New Roman" w:hAnsi="Times New Roman" w:cs="Times New Roman"/>
          <w:color w:val="auto"/>
          <w:lang w:eastAsia="en-GB"/>
        </w:rPr>
      </w:pPr>
      <w:r w:rsidRPr="00872636">
        <w:rPr>
          <w:rFonts w:ascii="Times New Roman" w:eastAsia="Times New Roman" w:hAnsi="Times New Roman" w:cs="Times New Roman"/>
          <w:color w:val="auto"/>
          <w:bdr w:val="none" w:sz="0" w:space="0" w:color="auto" w:frame="1"/>
          <w:lang w:eastAsia="en-GB"/>
        </w:rPr>
        <w:t>Comparative study between different alternative liquid fuels</w:t>
      </w:r>
    </w:p>
    <w:p w14:paraId="1E748256" w14:textId="3BEB97B2" w:rsidR="00104A2A" w:rsidRPr="00872636" w:rsidRDefault="00104A2A" w:rsidP="00C525D8">
      <w:pPr>
        <w:spacing w:line="480" w:lineRule="auto"/>
        <w:jc w:val="both"/>
        <w:rPr>
          <w:rFonts w:ascii="Times New Roman" w:hAnsi="Times New Roman" w:cs="Times New Roman"/>
          <w:sz w:val="24"/>
          <w:szCs w:val="24"/>
          <w:lang w:eastAsia="en-GB"/>
        </w:rPr>
      </w:pPr>
      <w:r w:rsidRPr="00872636">
        <w:rPr>
          <w:rFonts w:ascii="Times New Roman" w:eastAsia="Times New Roman" w:hAnsi="Times New Roman" w:cs="Times New Roman"/>
          <w:sz w:val="24"/>
          <w:szCs w:val="24"/>
          <w:lang w:eastAsia="en-GB"/>
        </w:rPr>
        <w:tab/>
        <w:t xml:space="preserve">Alcohols such as methanol and ethanol are alternative liquid fuels that are less explored in literature. Additionally, there is just one study which compares performance of different </w:t>
      </w:r>
      <w:r w:rsidRPr="00872636">
        <w:rPr>
          <w:rFonts w:ascii="Times New Roman" w:eastAsia="Times New Roman" w:hAnsi="Times New Roman" w:cs="Times New Roman"/>
          <w:sz w:val="24"/>
          <w:szCs w:val="24"/>
          <w:lang w:eastAsia="en-GB"/>
        </w:rPr>
        <w:lastRenderedPageBreak/>
        <w:t xml:space="preserve">alternative liquid fuel, that too for a small aircraft medium-range application. Bicer et al. </w:t>
      </w:r>
      <w:r w:rsidRPr="00872636">
        <w:rPr>
          <w:rFonts w:ascii="Times New Roman" w:eastAsia="Times New Roman" w:hAnsi="Times New Roman" w:cs="Times New Roman"/>
          <w:sz w:val="24"/>
          <w:szCs w:val="24"/>
          <w:lang w:eastAsia="en-GB"/>
        </w:rPr>
        <w:fldChar w:fldCharType="begin" w:fldLock="1"/>
      </w:r>
      <w:r w:rsidR="00C46200">
        <w:rPr>
          <w:rFonts w:ascii="Times New Roman" w:eastAsia="Times New Roman" w:hAnsi="Times New Roman" w:cs="Times New Roman"/>
          <w:sz w:val="24"/>
          <w:szCs w:val="24"/>
          <w:lang w:eastAsia="en-GB"/>
        </w:rPr>
        <w:instrText>ADDIN CSL_CITATION {"citationItems":[{"id":"ITEM-1","itemData":{"DOI":"10.1016/j.ijhydene.2016.12.119","ISSN":"03603199","abstract":"In the present study, hydrogen and some other alternative fuels (such as ammonia, methanol, ethanol, liquefied natural gas) are considered for aviation applications under a comprehensive life cycle assessment study and are evaluated comparatively with the conventional kerosene based jet fuel for various impact categories. Therefore, this study is performed with a well-to-wake approach to evaluate the overall life cycle of an aircraft running on these conventional and alternative fuels. Both conventional and renewable fuel routes are considered for the production of ammonia and hydrogen fuels. Although there are modifications required to fulfill the aviation fuel specifications for such alternative fuels, the long term viability and environmental sustainability make them attractive solutions for the future of aviation industry. This study uses a life cycle assessment of an average aircraft utilizing various alternative aviation fuels to determine the relative environmental impact of each life cycle phase. The life cycle phases included in the analyses are as follows: (i) production, operation and maintenance of the aircraft, (ii) construction, maintenance and disposal of the airport, (iii) production, transportation and utilization of the aviation fuel in the aircraft. The results show that hydrogen and liquefied natural gas represent more environmentally benign alternatives although fuel costs are higher compared to ammonia, jet fuel and methanol. The total GHG emissions from hydropower based ammonia and hydrogen are calculated to be about 0.24 kg CO2 eq. per traveled tonne-km and 0.03 kg CO2 eq. per traveled tonne-km, respectively. Renewable based ammonia and hydrogen fueled aircrafts can further decrease the overall environmental impact in many categories allowing a brighter future for aviation industry.","author":[{"dropping-particle":"","family":"Bicer","given":"Yusuf","non-dropping-particle":"","parse-names":false,"suffix":""},{"dropping-particle":"","family":"Dincer","given":"Ibrahim","non-dropping-particle":"","parse-names":false,"suffix":""}],"container-title":"International Journal of Hydrogen Energy","id":"ITEM-1","issue":"16","issued":{"date-parts":[["2017","4","20"]]},"page":"10722-10738","publisher":"Elsevier Ltd","title":"Life cycle evaluation of hydrogen and other potential fuels for aircrafts","type":"article-journal","volume":"42"},"uris":["http://www.mendeley.com/documents/?uuid=2a2cc1c3-f7c4-37da-9506-37d410e87790"]}],"mendeley":{"formattedCitation":"[2]","plainTextFormattedCitation":"[2]","previouslyFormattedCitation":"[2]"},"properties":{"noteIndex":0},"schema":"https://github.com/citation-style-language/schema/raw/master/csl-citation.json"}</w:instrText>
      </w:r>
      <w:r w:rsidRPr="00872636">
        <w:rPr>
          <w:rFonts w:ascii="Times New Roman" w:eastAsia="Times New Roman" w:hAnsi="Times New Roman" w:cs="Times New Roman"/>
          <w:sz w:val="24"/>
          <w:szCs w:val="24"/>
          <w:lang w:eastAsia="en-GB"/>
        </w:rPr>
        <w:fldChar w:fldCharType="separate"/>
      </w:r>
      <w:r w:rsidR="00801BEA" w:rsidRPr="00801BEA">
        <w:rPr>
          <w:rFonts w:ascii="Times New Roman" w:eastAsia="Times New Roman" w:hAnsi="Times New Roman" w:cs="Times New Roman"/>
          <w:noProof/>
          <w:sz w:val="24"/>
          <w:szCs w:val="24"/>
          <w:lang w:eastAsia="en-GB"/>
        </w:rPr>
        <w:t>[2]</w:t>
      </w:r>
      <w:r w:rsidRPr="00872636">
        <w:rPr>
          <w:rFonts w:ascii="Times New Roman" w:eastAsia="Times New Roman" w:hAnsi="Times New Roman" w:cs="Times New Roman"/>
          <w:sz w:val="24"/>
          <w:szCs w:val="24"/>
          <w:lang w:eastAsia="en-GB"/>
        </w:rPr>
        <w:fldChar w:fldCharType="end"/>
      </w:r>
      <w:r w:rsidRPr="00872636">
        <w:rPr>
          <w:rFonts w:ascii="Times New Roman" w:eastAsia="Times New Roman" w:hAnsi="Times New Roman" w:cs="Times New Roman"/>
          <w:sz w:val="24"/>
          <w:szCs w:val="24"/>
          <w:lang w:eastAsia="en-GB"/>
        </w:rPr>
        <w:t xml:space="preserve"> conducts a first order evaluation of a small twin aisle aircraft of conventional tube-wing architecture (such as the Boeing 767) with a flight range of 5600 km, where the aircraft is operated by Jet-A, LH</w:t>
      </w:r>
      <w:r w:rsidRPr="00872636">
        <w:rPr>
          <w:rFonts w:ascii="Times New Roman" w:eastAsia="Times New Roman" w:hAnsi="Times New Roman" w:cs="Times New Roman"/>
          <w:sz w:val="24"/>
          <w:szCs w:val="24"/>
          <w:vertAlign w:val="subscript"/>
          <w:lang w:eastAsia="en-GB"/>
        </w:rPr>
        <w:t>2</w:t>
      </w:r>
      <w:r w:rsidRPr="00872636">
        <w:rPr>
          <w:rFonts w:ascii="Times New Roman" w:eastAsia="Times New Roman" w:hAnsi="Times New Roman" w:cs="Times New Roman"/>
          <w:sz w:val="24"/>
          <w:szCs w:val="24"/>
          <w:lang w:eastAsia="en-GB"/>
        </w:rPr>
        <w:t xml:space="preserve">, </w:t>
      </w:r>
      <w:r w:rsidR="00551192" w:rsidRPr="00872636">
        <w:rPr>
          <w:rFonts w:ascii="Times New Roman" w:eastAsia="Times New Roman" w:hAnsi="Times New Roman" w:cs="Times New Roman"/>
          <w:sz w:val="24"/>
          <w:szCs w:val="24"/>
          <w:lang w:eastAsia="en-GB"/>
        </w:rPr>
        <w:t>liquid  natural gas (</w:t>
      </w:r>
      <w:r w:rsidRPr="00872636">
        <w:rPr>
          <w:rFonts w:ascii="Times New Roman" w:eastAsia="Times New Roman" w:hAnsi="Times New Roman" w:cs="Times New Roman"/>
          <w:sz w:val="24"/>
          <w:szCs w:val="24"/>
          <w:lang w:eastAsia="en-GB"/>
        </w:rPr>
        <w:t>LNG</w:t>
      </w:r>
      <w:r w:rsidR="00551192" w:rsidRPr="00872636">
        <w:rPr>
          <w:rFonts w:ascii="Times New Roman" w:eastAsia="Times New Roman" w:hAnsi="Times New Roman" w:cs="Times New Roman"/>
          <w:sz w:val="24"/>
          <w:szCs w:val="24"/>
          <w:lang w:eastAsia="en-GB"/>
        </w:rPr>
        <w:t>)</w:t>
      </w:r>
      <w:r w:rsidRPr="00872636">
        <w:rPr>
          <w:rFonts w:ascii="Times New Roman" w:eastAsia="Times New Roman" w:hAnsi="Times New Roman" w:cs="Times New Roman"/>
          <w:sz w:val="24"/>
          <w:szCs w:val="24"/>
          <w:lang w:eastAsia="en-GB"/>
        </w:rPr>
        <w:t xml:space="preserve">, </w:t>
      </w:r>
      <w:r w:rsidR="00551192" w:rsidRPr="00872636">
        <w:rPr>
          <w:rFonts w:ascii="Times New Roman" w:eastAsia="Times New Roman" w:hAnsi="Times New Roman" w:cs="Times New Roman"/>
          <w:sz w:val="24"/>
          <w:szCs w:val="24"/>
          <w:lang w:eastAsia="en-GB"/>
        </w:rPr>
        <w:t>liquid ammonia (</w:t>
      </w:r>
      <w:r w:rsidRPr="00872636">
        <w:rPr>
          <w:rFonts w:ascii="Times New Roman" w:eastAsia="Times New Roman" w:hAnsi="Times New Roman" w:cs="Times New Roman"/>
          <w:sz w:val="24"/>
          <w:szCs w:val="24"/>
          <w:lang w:eastAsia="en-GB"/>
        </w:rPr>
        <w:t>LNH</w:t>
      </w:r>
      <w:r w:rsidRPr="00872636">
        <w:rPr>
          <w:rFonts w:ascii="Times New Roman" w:eastAsia="Times New Roman" w:hAnsi="Times New Roman" w:cs="Times New Roman"/>
          <w:sz w:val="24"/>
          <w:szCs w:val="24"/>
          <w:vertAlign w:val="subscript"/>
          <w:lang w:eastAsia="en-GB"/>
        </w:rPr>
        <w:t>3</w:t>
      </w:r>
      <w:r w:rsidR="00551192" w:rsidRPr="00872636">
        <w:rPr>
          <w:rFonts w:ascii="Times New Roman" w:eastAsia="Times New Roman" w:hAnsi="Times New Roman" w:cs="Times New Roman"/>
          <w:sz w:val="24"/>
          <w:szCs w:val="24"/>
          <w:lang w:eastAsia="en-GB"/>
        </w:rPr>
        <w:t>),</w:t>
      </w:r>
      <w:r w:rsidRPr="00872636">
        <w:rPr>
          <w:rFonts w:ascii="Times New Roman" w:eastAsia="Times New Roman" w:hAnsi="Times New Roman" w:cs="Times New Roman"/>
          <w:sz w:val="24"/>
          <w:szCs w:val="24"/>
          <w:lang w:eastAsia="en-GB"/>
        </w:rPr>
        <w:t xml:space="preserve"> ethanol and methanol. It is to be noted that the authors use SimaPro software, which is a life-cycle assessment software for their analysis. Bicer et al. find that the energy consumption of an aircraft powered by LH</w:t>
      </w:r>
      <w:r w:rsidRPr="00872636">
        <w:rPr>
          <w:rFonts w:ascii="Times New Roman" w:eastAsia="Times New Roman" w:hAnsi="Times New Roman" w:cs="Times New Roman"/>
          <w:sz w:val="24"/>
          <w:szCs w:val="24"/>
          <w:vertAlign w:val="subscript"/>
          <w:lang w:eastAsia="en-GB"/>
        </w:rPr>
        <w:t>2</w:t>
      </w:r>
      <w:r w:rsidRPr="00872636">
        <w:rPr>
          <w:rFonts w:ascii="Times New Roman" w:eastAsia="Times New Roman" w:hAnsi="Times New Roman" w:cs="Times New Roman"/>
          <w:sz w:val="24"/>
          <w:szCs w:val="24"/>
          <w:lang w:eastAsia="en-GB"/>
        </w:rPr>
        <w:t>, LNG, LNH</w:t>
      </w:r>
      <w:r w:rsidRPr="00872636">
        <w:rPr>
          <w:rFonts w:ascii="Times New Roman" w:eastAsia="Times New Roman" w:hAnsi="Times New Roman" w:cs="Times New Roman"/>
          <w:sz w:val="24"/>
          <w:szCs w:val="24"/>
          <w:vertAlign w:val="subscript"/>
          <w:lang w:eastAsia="en-GB"/>
        </w:rPr>
        <w:t>3</w:t>
      </w:r>
      <w:r w:rsidRPr="00872636">
        <w:rPr>
          <w:rFonts w:ascii="Times New Roman" w:eastAsia="Times New Roman" w:hAnsi="Times New Roman" w:cs="Times New Roman"/>
          <w:sz w:val="24"/>
          <w:szCs w:val="24"/>
          <w:lang w:eastAsia="en-GB"/>
        </w:rPr>
        <w:t>, ethanol and methanol are 8.62, 12.53, 9.53, 9.8 and 9.8 MJ/tonne-km respectively compared to energy consumption of 9.35 MJ/tonne-km for conventional jet fuel. The methodology used by the authors for estimating the energy consumption of the aircraft (use-phase) is not clear from the information provided in the said publication. It appears that the said study evaluates aircraft performance purely based on the gravimetric energy densities of different fuels. The low volumetric energy density of these alternative fuels especially cryogenic fuels such as LH</w:t>
      </w:r>
      <w:r w:rsidRPr="00872636">
        <w:rPr>
          <w:rFonts w:ascii="Times New Roman" w:eastAsia="Times New Roman" w:hAnsi="Times New Roman" w:cs="Times New Roman"/>
          <w:sz w:val="24"/>
          <w:szCs w:val="24"/>
          <w:vertAlign w:val="subscript"/>
          <w:lang w:eastAsia="en-GB"/>
        </w:rPr>
        <w:t>2</w:t>
      </w:r>
      <w:r w:rsidRPr="00872636">
        <w:rPr>
          <w:rFonts w:ascii="Times New Roman" w:eastAsia="Times New Roman" w:hAnsi="Times New Roman" w:cs="Times New Roman"/>
          <w:sz w:val="24"/>
          <w:szCs w:val="24"/>
          <w:lang w:eastAsia="en-GB"/>
        </w:rPr>
        <w:t>, LNG, LNH</w:t>
      </w:r>
      <w:r w:rsidRPr="00872636">
        <w:rPr>
          <w:rFonts w:ascii="Times New Roman" w:eastAsia="Times New Roman" w:hAnsi="Times New Roman" w:cs="Times New Roman"/>
          <w:sz w:val="24"/>
          <w:szCs w:val="24"/>
          <w:vertAlign w:val="subscript"/>
          <w:lang w:eastAsia="en-GB"/>
        </w:rPr>
        <w:t>3</w:t>
      </w:r>
      <w:r w:rsidRPr="00872636">
        <w:rPr>
          <w:rFonts w:ascii="Times New Roman" w:eastAsia="Times New Roman" w:hAnsi="Times New Roman" w:cs="Times New Roman"/>
          <w:sz w:val="24"/>
          <w:szCs w:val="24"/>
          <w:lang w:eastAsia="en-GB"/>
        </w:rPr>
        <w:t xml:space="preserve"> compared to Jet-A, have significant aircraft design (weight and drag) implications which affect the performance.</w:t>
      </w:r>
    </w:p>
    <w:p w14:paraId="76B8DA02" w14:textId="64076EF2" w:rsidR="00104A2A" w:rsidRPr="00872636" w:rsidRDefault="00104A2A" w:rsidP="00C525D8">
      <w:pPr>
        <w:pStyle w:val="Heading3"/>
        <w:spacing w:after="240" w:line="480" w:lineRule="auto"/>
        <w:rPr>
          <w:rFonts w:ascii="Times New Roman" w:hAnsi="Times New Roman" w:cs="Times New Roman"/>
          <w:color w:val="auto"/>
          <w:lang w:eastAsia="en-GB"/>
        </w:rPr>
      </w:pPr>
      <w:r w:rsidRPr="00872636">
        <w:rPr>
          <w:rFonts w:ascii="Times New Roman" w:eastAsia="Times New Roman" w:hAnsi="Times New Roman" w:cs="Times New Roman"/>
          <w:color w:val="auto"/>
          <w:bdr w:val="none" w:sz="0" w:space="0" w:color="auto" w:frame="1"/>
          <w:lang w:eastAsia="en-GB"/>
        </w:rPr>
        <w:t>Studies providing a future roadmap for the use of alternative liquid fuel</w:t>
      </w:r>
    </w:p>
    <w:p w14:paraId="2C90647B" w14:textId="27CCC9D6" w:rsidR="00104A2A" w:rsidRPr="00872636" w:rsidRDefault="00104A2A" w:rsidP="00C525D8">
      <w:pPr>
        <w:spacing w:after="0" w:line="480" w:lineRule="auto"/>
        <w:jc w:val="both"/>
        <w:rPr>
          <w:rFonts w:ascii="Times New Roman" w:hAnsi="Times New Roman" w:cs="Times New Roman"/>
          <w:sz w:val="24"/>
          <w:szCs w:val="24"/>
        </w:rPr>
      </w:pPr>
      <w:r w:rsidRPr="00872636">
        <w:rPr>
          <w:rFonts w:ascii="Times New Roman" w:hAnsi="Times New Roman" w:cs="Times New Roman"/>
          <w:sz w:val="24"/>
          <w:szCs w:val="24"/>
        </w:rPr>
        <w:tab/>
        <w:t xml:space="preserve">A study by Daggett et al.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{"citationItems":[{"id":"ITEM-1","itemData":{"author":[{"dropping-particle":"","family":"Daggett","given":"David L.","non-dropping-particle":"","parse-names":false,"suffix":""},{"dropping-particle":"","family":"Hendricks","given":"Robert C.","non-dropping-particle":"","parse-names":false,"suffix":""},{"dropping-particle":"","family":"Walther","given":"Rainer","non-dropping-particle":"","parse-names":false,"suffix":""},{"dropping-particle":"","family":"Corporan","given":"Edwin","non-dropping-particle":"","parse-names":false,"suffix":""}],"id":"ITEM-1","issued":{"date-parts":[["2008","4","1"]]},"title":"Alternate Fuels for Use in Commercial Aircraft","type":"article-journal"},"uris":["http://www.mendeley.com/documents/?uuid=2e99df70-70aa-3b47-b4e7-30f6b98a419a"]}],"mendeley":{"formattedCitation":"[3]","plainTextFormattedCitation":"[3]","previouslyFormattedCitation":"[3]"},"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[3]</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provides fuel solutions for the future to reduce the environmental impact of aviation. Daggett et al. propose 50/50 blend of FT-SPK/conventional jet fuel to be used in present day aero engines as a near-term solution; 0-50% HEFA-SPK (hydro-processed esters and fatty acids) with 100-50% FT-SPK to be used in advanced engines like inter-cooled recuperated engines, and ultra-high bypass ratio engines like geared turbofan engines and un-ducted propfan as a mid-term solution; and LH</w:t>
      </w:r>
      <w:r w:rsidRPr="00872636">
        <w:rPr>
          <w:rFonts w:ascii="Times New Roman" w:hAnsi="Times New Roman" w:cs="Times New Roman"/>
          <w:sz w:val="24"/>
          <w:szCs w:val="24"/>
          <w:vertAlign w:val="subscript"/>
        </w:rPr>
        <w:t xml:space="preserve">2 </w:t>
      </w:r>
      <w:r w:rsidRPr="00872636">
        <w:rPr>
          <w:rFonts w:ascii="Times New Roman" w:hAnsi="Times New Roman" w:cs="Times New Roman"/>
          <w:sz w:val="24"/>
          <w:szCs w:val="24"/>
        </w:rPr>
        <w:t>and/or LNG to be used in cryo-fuelled engine as a long-term solution to dramatically reduce aviation sector’s GHG emissions.</w:t>
      </w:r>
    </w:p>
    <w:p w14:paraId="3A6B8FEF" w14:textId="456DE146" w:rsidR="00104A2A" w:rsidRPr="00872636" w:rsidRDefault="00104A2A" w:rsidP="00C525D8">
      <w:pPr>
        <w:spacing w:after="0" w:line="480" w:lineRule="auto"/>
        <w:jc w:val="both"/>
        <w:rPr>
          <w:rFonts w:ascii="Times New Roman" w:hAnsi="Times New Roman" w:cs="Times New Roman"/>
          <w:sz w:val="24"/>
          <w:szCs w:val="24"/>
        </w:rPr>
      </w:pPr>
      <w:r w:rsidRPr="00872636">
        <w:rPr>
          <w:rFonts w:ascii="Times New Roman" w:hAnsi="Times New Roman" w:cs="Times New Roman"/>
          <w:sz w:val="24"/>
          <w:szCs w:val="24"/>
        </w:rPr>
        <w:tab/>
        <w:t xml:space="preserve">Rolls Royce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{"citationItems":[{"id":"ITEM-1","itemData":{"author":[{"dropping-particle":"","family":"Newby","given":"Alan","non-dropping-particle":"","parse-names":false,"suffix":""}],"container-title":"Keynote at AIAA Propulsion and Energy Forum 2019","id":"ITEM-1","issued":{"date-parts":[["2019"]]},"publisher":"American Institute of Aeronautics and Astronautics","title":"Toward Sustainable Aviation","type":"article"},"uris":["http://www.mendeley.com/documents/?uuid=875dfc71-4228-3b21-a197-ff48f08c9e6e"]}],"mendeley":{"formattedCitation":"[38]","plainTextFormattedCitation":"[38]","previouslyFormattedCitation":"[38]"},"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[38]</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evaluates a range of alternative fuels and propulsion technology towards making aviation more sustainable. The alternative fuels comprise of: </w:t>
      </w:r>
    </w:p>
    <w:p w14:paraId="4B7DA814" w14:textId="22EA3DE6" w:rsidR="00104A2A" w:rsidRPr="00872636" w:rsidRDefault="00104A2A" w:rsidP="00C525D8">
      <w:pPr>
        <w:pStyle w:val="Text"/>
        <w:numPr>
          <w:ilvl w:val="0"/>
          <w:numId w:val="2"/>
        </w:numPr>
        <w:rPr>
          <w:sz w:val="24"/>
          <w:szCs w:val="24"/>
          <w:lang w:val="en-GB"/>
        </w:rPr>
      </w:pPr>
      <w:r w:rsidRPr="00872636">
        <w:rPr>
          <w:sz w:val="24"/>
          <w:szCs w:val="24"/>
          <w:lang w:val="en-GB"/>
        </w:rPr>
        <w:lastRenderedPageBreak/>
        <w:t>SPK produced from non-crude oil sources but fossil-fuel sources (typically using FT process)</w:t>
      </w:r>
      <w:r w:rsidR="00C10E30" w:rsidRPr="00872636">
        <w:rPr>
          <w:sz w:val="24"/>
          <w:szCs w:val="24"/>
          <w:lang w:val="en-GB"/>
        </w:rPr>
        <w:t>,</w:t>
      </w:r>
    </w:p>
    <w:p w14:paraId="2EA5E274" w14:textId="5C623094" w:rsidR="00104A2A" w:rsidRPr="00872636" w:rsidRDefault="00104A2A" w:rsidP="00C525D8">
      <w:pPr>
        <w:pStyle w:val="Text"/>
        <w:numPr>
          <w:ilvl w:val="0"/>
          <w:numId w:val="2"/>
        </w:numPr>
        <w:rPr>
          <w:sz w:val="24"/>
          <w:szCs w:val="24"/>
          <w:lang w:val="en-GB"/>
        </w:rPr>
      </w:pPr>
      <w:r w:rsidRPr="00872636">
        <w:rPr>
          <w:sz w:val="24"/>
          <w:szCs w:val="24"/>
          <w:lang w:val="en-GB"/>
        </w:rPr>
        <w:t>Biomass derived SPKs (using FT, ATJ, STJ and HEFA manufacturing pathways)</w:t>
      </w:r>
      <w:r w:rsidR="00C10E30" w:rsidRPr="00872636">
        <w:rPr>
          <w:sz w:val="24"/>
          <w:szCs w:val="24"/>
          <w:lang w:val="en-GB"/>
        </w:rPr>
        <w:t>,</w:t>
      </w:r>
      <w:r w:rsidRPr="00872636">
        <w:rPr>
          <w:sz w:val="24"/>
          <w:szCs w:val="24"/>
          <w:lang w:val="en-GB"/>
        </w:rPr>
        <w:t xml:space="preserve"> and </w:t>
      </w:r>
    </w:p>
    <w:p w14:paraId="2CED5827" w14:textId="77777777" w:rsidR="00104A2A" w:rsidRPr="00872636" w:rsidRDefault="00104A2A" w:rsidP="00C525D8">
      <w:pPr>
        <w:pStyle w:val="Text"/>
        <w:numPr>
          <w:ilvl w:val="0"/>
          <w:numId w:val="2"/>
        </w:numPr>
        <w:rPr>
          <w:sz w:val="24"/>
          <w:szCs w:val="24"/>
          <w:lang w:val="en-GB"/>
        </w:rPr>
      </w:pPr>
      <w:r w:rsidRPr="00872636">
        <w:rPr>
          <w:sz w:val="24"/>
          <w:szCs w:val="24"/>
          <w:lang w:val="en-GB"/>
        </w:rPr>
        <w:t xml:space="preserve">Fuel produced from renewable electricity. </w:t>
      </w:r>
    </w:p>
    <w:p w14:paraId="218B51B3" w14:textId="1428BB32" w:rsidR="005F1BC7" w:rsidRPr="00872636" w:rsidRDefault="00104A2A" w:rsidP="00C525D8">
      <w:pPr>
        <w:pStyle w:val="Text"/>
        <w:ind w:firstLine="0"/>
        <w:rPr>
          <w:sz w:val="24"/>
          <w:szCs w:val="24"/>
          <w:lang w:val="en-GB"/>
        </w:rPr>
      </w:pPr>
      <w:r w:rsidRPr="00872636">
        <w:rPr>
          <w:sz w:val="24"/>
          <w:szCs w:val="24"/>
          <w:lang w:val="en-GB"/>
        </w:rPr>
        <w:tab/>
      </w:r>
      <w:r w:rsidRPr="00872636">
        <w:rPr>
          <w:sz w:val="24"/>
          <w:szCs w:val="24"/>
          <w:lang w:val="en-GB"/>
        </w:rPr>
        <w:tab/>
        <w:t xml:space="preserve">In the first kind of alternative fuel, hydrotreated pyrolysis oil (from fossil fuel), coal (coal to liquid), natural gas, and/or flue gas (gas to liquid) are used for producing SPKs typically using FT synthesis </w:t>
      </w:r>
      <w:r w:rsidRPr="00872636">
        <w:rPr>
          <w:sz w:val="24"/>
          <w:szCs w:val="24"/>
          <w:lang w:val="en-GB"/>
        </w:rPr>
        <w:fldChar w:fldCharType="begin" w:fldLock="1"/>
      </w:r>
      <w:r w:rsidR="00C46200">
        <w:rPr>
          <w:sz w:val="24"/>
          <w:szCs w:val="24"/>
          <w:lang w:val="en-GB"/>
        </w:rPr>
        <w:instrText>ADDIN CSL_CITATION {"citationItems":[{"id":"ITEM-1","itemData":{"DOI":"10.2514/6.2019-4412","author":[{"dropping-particle":"","family":"Jagtap","given":"Swapnil Sarjerao","non-dropping-particle":"","parse-names":false,"suffix":""}],"container-title":"AIAA Propulsion and Energy 2019 Forum","id":"ITEM-1","issued":{"date-parts":[["2019"]]},"publisher":"American Institute of Aeronautics and Astronautics","publisher-place":"Indianapolis, Indiana","title":"Evaluation of blended Fischer-Tropsch jet fuel feedstocks for minimizing human and environmental health impacts of aviation","type":"paper-conference"},"uris":["http://www.mendeley.com/documents/?uuid=51e99b94-0b75-40c6-a589-786848ed5173"]}],"mendeley":{"formattedCitation":"[10]","plainTextFormattedCitation":"[10]","previouslyFormattedCitation":"[10]"},"properties":{"noteIndex":0},"schema":"https://github.com/citation-style-language/schema/raw/master/csl-citation.json"}</w:instrText>
      </w:r>
      <w:r w:rsidRPr="00872636">
        <w:rPr>
          <w:sz w:val="24"/>
          <w:szCs w:val="24"/>
          <w:lang w:val="en-GB"/>
        </w:rPr>
        <w:fldChar w:fldCharType="separate"/>
      </w:r>
      <w:r w:rsidR="00801BEA" w:rsidRPr="00801BEA">
        <w:rPr>
          <w:noProof/>
          <w:sz w:val="24"/>
          <w:szCs w:val="24"/>
          <w:lang w:val="en-GB"/>
        </w:rPr>
        <w:t>[10]</w:t>
      </w:r>
      <w:r w:rsidRPr="00872636">
        <w:rPr>
          <w:sz w:val="24"/>
          <w:szCs w:val="24"/>
          <w:lang w:val="en-GB"/>
        </w:rPr>
        <w:fldChar w:fldCharType="end"/>
      </w:r>
      <w:r w:rsidRPr="00872636">
        <w:rPr>
          <w:sz w:val="24"/>
          <w:szCs w:val="24"/>
          <w:lang w:val="en-GB"/>
        </w:rPr>
        <w:t xml:space="preserve">. Biofuels (second type of alternative fuel) produced from crops that compete with food are termed as first-generation biofuels, while those produced from non-food crops that require arable land for cultivation are termed as second generation or advanced biofuels. Biofuel produced from algae: a non-food ‘aquatic’ crop, is termed as third generation biofuel. The third type of alternative fuels comprise of fuels produced from electrochemical synthesis, where the manufacturing process uses electricity produced from renewable sources. Broadly, the third type of alternative fuels can be categorized into carbon-rich and carbon-lean fuels. PtL fuel is a carbon rich fuel, as it is essentially an SPK which is chemically similar to the conventional jet fuel (Jet A) </w:t>
      </w:r>
      <w:r w:rsidRPr="00872636">
        <w:rPr>
          <w:sz w:val="24"/>
          <w:szCs w:val="24"/>
          <w:lang w:val="en-GB"/>
        </w:rPr>
        <w:fldChar w:fldCharType="begin" w:fldLock="1"/>
      </w:r>
      <w:r w:rsidR="00C46200">
        <w:rPr>
          <w:sz w:val="24"/>
          <w:szCs w:val="24"/>
          <w:lang w:val="en-GB"/>
        </w:rPr>
        <w:instrText>ADDIN CSL_CITATION {"citationItems":[{"id":"ITEM-1","itemData":{"URL":"https://www.umweltbundesamt.de/sites/default/files/medien/377/publikationen/161005_uba_hintergrund_ptl_barrierrefrei.pdf","accessed":{"date-parts":[["2019","3","10"]]},"author":[{"dropping-particle":"","family":"German-Environment-Agency","given":"","non-dropping-particle":"","parse-names":false,"suffix":""}],"container-title":"German Environment Agency","id":"ITEM-1","issued":{"date-parts":[["2016"]]},"title":"Power-to-Liquids Potentials and Perspectives for the Future Supply of Renewable Aviation Fuel","type":"webpage"},"uris":["http://www.mendeley.com/documents/?uuid=0af2c967-604e-3181-b858-fcb733d13f5c"]}],"mendeley":{"formattedCitation":"[39]","plainTextFormattedCitation":"[39]","previouslyFormattedCitation":"[39]"},"properties":{"noteIndex":0},"schema":"https://github.com/citation-style-language/schema/raw/master/csl-citation.json"}</w:instrText>
      </w:r>
      <w:r w:rsidRPr="00872636">
        <w:rPr>
          <w:sz w:val="24"/>
          <w:szCs w:val="24"/>
          <w:lang w:val="en-GB"/>
        </w:rPr>
        <w:fldChar w:fldCharType="separate"/>
      </w:r>
      <w:r w:rsidR="00801BEA" w:rsidRPr="00801BEA">
        <w:rPr>
          <w:noProof/>
          <w:sz w:val="24"/>
          <w:szCs w:val="24"/>
          <w:lang w:val="en-GB"/>
        </w:rPr>
        <w:t>[39]</w:t>
      </w:r>
      <w:r w:rsidRPr="00872636">
        <w:rPr>
          <w:sz w:val="24"/>
          <w:szCs w:val="24"/>
          <w:lang w:val="en-GB"/>
        </w:rPr>
        <w:fldChar w:fldCharType="end"/>
      </w:r>
      <w:r w:rsidRPr="00872636">
        <w:rPr>
          <w:sz w:val="24"/>
          <w:szCs w:val="24"/>
          <w:lang w:val="en-GB"/>
        </w:rPr>
        <w:t xml:space="preserve">. Fuels which are rich in hydrogen content fall under the category of carbon-lean fuels. According to Rolls Royce </w:t>
      </w:r>
      <w:r w:rsidRPr="00872636">
        <w:rPr>
          <w:sz w:val="24"/>
          <w:szCs w:val="24"/>
          <w:lang w:val="en-GB"/>
        </w:rPr>
        <w:fldChar w:fldCharType="begin" w:fldLock="1"/>
      </w:r>
      <w:r w:rsidR="00C46200">
        <w:rPr>
          <w:sz w:val="24"/>
          <w:szCs w:val="24"/>
          <w:lang w:val="en-GB"/>
        </w:rPr>
        <w:instrText>ADDIN CSL_CITATION {"citationItems":[{"id":"ITEM-1","itemData":{"author":[{"dropping-particle":"","family":"Newby","given":"Alan","non-dropping-particle":"","parse-names":false,"suffix":""}],"container-title":"Keynote at AIAA Propulsion and Energy Forum 2019","id":"ITEM-1","issued":{"date-parts":[["2019"]]},"publisher":"American Institute of Aeronautics and Astronautics","title":"Toward Sustainable Aviation","type":"article"},"uris":["http://www.mendeley.com/documents/?uuid=875dfc71-4228-3b21-a197-ff48f08c9e6e"]}],"mendeley":{"formattedCitation":"[38]","plainTextFormattedCitation":"[38]","previouslyFormattedCitation":"[38]"},"properties":{"noteIndex":0},"schema":"https://github.com/citation-style-language/schema/raw/master/csl-citation.json"}</w:instrText>
      </w:r>
      <w:r w:rsidRPr="00872636">
        <w:rPr>
          <w:sz w:val="24"/>
          <w:szCs w:val="24"/>
          <w:lang w:val="en-GB"/>
        </w:rPr>
        <w:fldChar w:fldCharType="separate"/>
      </w:r>
      <w:r w:rsidR="00801BEA" w:rsidRPr="00801BEA">
        <w:rPr>
          <w:noProof/>
          <w:sz w:val="24"/>
          <w:szCs w:val="24"/>
          <w:lang w:val="en-GB"/>
        </w:rPr>
        <w:t>[38]</w:t>
      </w:r>
      <w:r w:rsidRPr="00872636">
        <w:rPr>
          <w:sz w:val="24"/>
          <w:szCs w:val="24"/>
          <w:lang w:val="en-GB"/>
        </w:rPr>
        <w:fldChar w:fldCharType="end"/>
      </w:r>
      <w:r w:rsidRPr="00872636">
        <w:rPr>
          <w:sz w:val="24"/>
          <w:szCs w:val="24"/>
          <w:lang w:val="en-GB"/>
        </w:rPr>
        <w:t xml:space="preserve">, drop-in SPKs (like biofuels, FT fuel, PtL fuel) and </w:t>
      </w:r>
      <w:r w:rsidRPr="00872636">
        <w:rPr>
          <w:sz w:val="24"/>
          <w:szCs w:val="24"/>
          <w:lang w:val="en-GB" w:eastAsia="en-GB"/>
        </w:rPr>
        <w:t>LH</w:t>
      </w:r>
      <w:r w:rsidRPr="00872636">
        <w:rPr>
          <w:sz w:val="24"/>
          <w:szCs w:val="24"/>
          <w:vertAlign w:val="subscript"/>
          <w:lang w:val="en-GB" w:eastAsia="en-GB"/>
        </w:rPr>
        <w:t xml:space="preserve">2 </w:t>
      </w:r>
      <w:r w:rsidRPr="00872636">
        <w:rPr>
          <w:sz w:val="24"/>
          <w:szCs w:val="24"/>
          <w:lang w:val="en-GB"/>
        </w:rPr>
        <w:t>fuel could be used in future for medium to long range aircraft applications.</w:t>
      </w:r>
    </w:p>
    <w:p w14:paraId="4BA4AE5C" w14:textId="0C398881" w:rsidR="005F1BC7" w:rsidRPr="00872636" w:rsidRDefault="005F1BC7" w:rsidP="00C525D8">
      <w:pPr>
        <w:pStyle w:val="Text"/>
        <w:tabs>
          <w:tab w:val="clear" w:pos="288"/>
          <w:tab w:val="left" w:pos="709"/>
        </w:tabs>
        <w:spacing w:after="240"/>
        <w:ind w:firstLine="0"/>
        <w:rPr>
          <w:sz w:val="24"/>
          <w:szCs w:val="24"/>
          <w:lang w:val="en-GB"/>
        </w:rPr>
      </w:pPr>
      <w:r w:rsidRPr="00872636">
        <w:rPr>
          <w:sz w:val="24"/>
          <w:szCs w:val="24"/>
          <w:lang w:val="en-GB"/>
        </w:rPr>
        <w:tab/>
        <w:t>A recent report by W</w:t>
      </w:r>
      <w:r w:rsidR="007349E8" w:rsidRPr="00872636">
        <w:rPr>
          <w:sz w:val="24"/>
          <w:szCs w:val="24"/>
          <w:lang w:val="en-GB"/>
        </w:rPr>
        <w:t>orld Economic Forum</w:t>
      </w:r>
      <w:r w:rsidRPr="00872636">
        <w:rPr>
          <w:sz w:val="24"/>
          <w:szCs w:val="24"/>
          <w:lang w:val="en-GB"/>
        </w:rPr>
        <w:t xml:space="preserve"> </w:t>
      </w:r>
      <w:bookmarkStart w:id="1" w:name="_Hlk110803368"/>
      <w:r w:rsidRPr="00872636">
        <w:rPr>
          <w:sz w:val="24"/>
          <w:szCs w:val="24"/>
          <w:lang w:val="en-GB"/>
        </w:rPr>
        <w:fldChar w:fldCharType="begin" w:fldLock="1"/>
      </w:r>
      <w:r w:rsidR="00C46200">
        <w:rPr>
          <w:sz w:val="24"/>
          <w:szCs w:val="24"/>
          <w:lang w:val="en-GB"/>
        </w:rPr>
        <w:instrText>ADDIN CSL_CITATION {"citationItems":[{"id":"ITEM-1","itemData":{"author":[{"dropping-particle":"","family":"World Economic Forum","given":"","non-dropping-particle":"","parse-names":false,"suffix":""}],"id":"ITEM-1","issued":{"date-parts":[["2022"]]},"title":"Target True Zero Unlocking Sustainable Battery and Hydrogen-Powered Flight - Insight Report","type":"report"},"uris":["http://www.mendeley.com/documents/?uuid=de25ae3a-fdb8-379e-9dab-7988c5f838dd"]}],"mendeley":{"formattedCitation":"[40]","plainTextFormattedCitation":"[40]","previouslyFormattedCitation":"[40]"},"properties":{"noteIndex":0},"schema":"https://github.com/citation-style-language/schema/raw/master/csl-citation.json"}</w:instrText>
      </w:r>
      <w:r w:rsidRPr="00872636">
        <w:rPr>
          <w:sz w:val="24"/>
          <w:szCs w:val="24"/>
          <w:lang w:val="en-GB"/>
        </w:rPr>
        <w:fldChar w:fldCharType="separate"/>
      </w:r>
      <w:r w:rsidR="00801BEA" w:rsidRPr="00801BEA">
        <w:rPr>
          <w:noProof/>
          <w:sz w:val="24"/>
          <w:szCs w:val="24"/>
          <w:lang w:val="en-GB"/>
        </w:rPr>
        <w:t>[40]</w:t>
      </w:r>
      <w:r w:rsidRPr="00872636">
        <w:rPr>
          <w:sz w:val="24"/>
          <w:szCs w:val="24"/>
          <w:lang w:val="en-GB"/>
        </w:rPr>
        <w:fldChar w:fldCharType="end"/>
      </w:r>
      <w:bookmarkEnd w:id="1"/>
      <w:r w:rsidRPr="00872636">
        <w:rPr>
          <w:sz w:val="24"/>
          <w:szCs w:val="24"/>
          <w:lang w:val="en-GB"/>
        </w:rPr>
        <w:t xml:space="preserve"> based on Aviation Impact Accelerator program provides insights into pathways that could make aviation climate neutral. This study explores for alternatives to Jet-A other than SPK. This study finds that for short-range, battery–electric aircraft u</w:t>
      </w:r>
      <w:r w:rsidR="00E62624" w:rsidRPr="00872636">
        <w:rPr>
          <w:sz w:val="24"/>
          <w:szCs w:val="24"/>
          <w:lang w:val="en-GB"/>
        </w:rPr>
        <w:t>tili</w:t>
      </w:r>
      <w:r w:rsidRPr="00872636">
        <w:rPr>
          <w:sz w:val="24"/>
          <w:szCs w:val="24"/>
          <w:lang w:val="en-GB"/>
        </w:rPr>
        <w:t>sing renewable electricity could be less carbon intense than conventional aircraft (&lt;400 km in 2035, &lt;600 km in 2050). This study points out the need to improve battery life cycles and management, and advance battery-electric aircraft energy density. For medium-range flight, fuel cell (LH</w:t>
      </w:r>
      <w:r w:rsidRPr="00872636">
        <w:rPr>
          <w:sz w:val="24"/>
          <w:szCs w:val="24"/>
          <w:vertAlign w:val="subscript"/>
          <w:lang w:val="en-GB"/>
        </w:rPr>
        <w:t>2</w:t>
      </w:r>
      <w:r w:rsidRPr="00872636">
        <w:rPr>
          <w:sz w:val="24"/>
          <w:szCs w:val="24"/>
          <w:lang w:val="en-GB"/>
        </w:rPr>
        <w:t xml:space="preserve">) powered aircraft could provide a low-carbon alternative to Jet-A </w:t>
      </w:r>
      <w:r w:rsidRPr="00872636">
        <w:rPr>
          <w:sz w:val="24"/>
          <w:szCs w:val="24"/>
          <w:lang w:val="en-GB"/>
        </w:rPr>
        <w:lastRenderedPageBreak/>
        <w:t xml:space="preserve">powered aircraft (&lt;2000 km in 2035 and &lt;4000 km in 2050). This study </w:t>
      </w:r>
      <w:r w:rsidR="00955FFD" w:rsidRPr="007D699F">
        <w:rPr>
          <w:sz w:val="24"/>
          <w:szCs w:val="24"/>
          <w:lang w:val="en-GB"/>
        </w:rPr>
        <w:t>emphasizes</w:t>
      </w:r>
      <w:r w:rsidRPr="00872636">
        <w:rPr>
          <w:sz w:val="24"/>
          <w:szCs w:val="24"/>
          <w:lang w:val="en-GB"/>
        </w:rPr>
        <w:t xml:space="preserve"> the need to develop lighter fuel cell systems. Lastly, for long-range travel combustion based LH</w:t>
      </w:r>
      <w:r w:rsidRPr="00872636">
        <w:rPr>
          <w:sz w:val="24"/>
          <w:szCs w:val="24"/>
          <w:vertAlign w:val="subscript"/>
          <w:lang w:val="en-GB"/>
        </w:rPr>
        <w:t>2</w:t>
      </w:r>
      <w:r w:rsidRPr="00872636">
        <w:rPr>
          <w:sz w:val="24"/>
          <w:szCs w:val="24"/>
          <w:lang w:val="en-GB"/>
        </w:rPr>
        <w:t xml:space="preserve"> aircraft could cause lesser climate impacts than Jet-A fuel. Overall, for LH</w:t>
      </w:r>
      <w:r w:rsidRPr="00872636">
        <w:rPr>
          <w:sz w:val="24"/>
          <w:szCs w:val="24"/>
          <w:vertAlign w:val="subscript"/>
          <w:lang w:val="en-GB"/>
        </w:rPr>
        <w:t>2</w:t>
      </w:r>
      <w:r w:rsidRPr="00872636">
        <w:rPr>
          <w:sz w:val="24"/>
          <w:szCs w:val="24"/>
          <w:lang w:val="en-GB"/>
        </w:rPr>
        <w:t xml:space="preserve"> as a fuel (fuel cell based and combustion based), this study points out the need to: accelerate the introduction of green hydrogen, develop low weight cryogenic tanks, and redesign aircraft (not retrofit) for optimised hydrogen performance. Additionally, this study </w:t>
      </w:r>
      <w:r w:rsidR="00955FFD" w:rsidRPr="007D699F">
        <w:rPr>
          <w:sz w:val="24"/>
          <w:szCs w:val="24"/>
          <w:lang w:val="en-GB"/>
        </w:rPr>
        <w:t>emphasises</w:t>
      </w:r>
      <w:r w:rsidRPr="00872636">
        <w:rPr>
          <w:sz w:val="24"/>
          <w:szCs w:val="24"/>
          <w:lang w:val="en-GB"/>
        </w:rPr>
        <w:t xml:space="preserve"> the need for more detailed research that would improve confidence levels of prediction of climate effect of contrails and mitigation strategies, especially for LH</w:t>
      </w:r>
      <w:r w:rsidRPr="00872636">
        <w:rPr>
          <w:sz w:val="24"/>
          <w:szCs w:val="24"/>
          <w:vertAlign w:val="subscript"/>
          <w:lang w:val="en-GB"/>
        </w:rPr>
        <w:t>2</w:t>
      </w:r>
      <w:r w:rsidRPr="00872636">
        <w:rPr>
          <w:sz w:val="24"/>
          <w:szCs w:val="24"/>
          <w:lang w:val="en-GB"/>
        </w:rPr>
        <w:t xml:space="preserve"> fuel.</w:t>
      </w:r>
    </w:p>
    <w:p w14:paraId="5FE65CC7" w14:textId="144B73EB" w:rsidR="00104A2A" w:rsidRPr="00872636" w:rsidRDefault="00104A2A" w:rsidP="00C525D8">
      <w:pPr>
        <w:pStyle w:val="Heading3"/>
        <w:spacing w:after="240" w:line="480" w:lineRule="auto"/>
        <w:rPr>
          <w:rFonts w:ascii="Times New Roman" w:hAnsi="Times New Roman" w:cs="Times New Roman"/>
          <w:color w:val="auto"/>
          <w:lang w:eastAsia="en-GB"/>
        </w:rPr>
      </w:pPr>
      <w:r w:rsidRPr="00872636">
        <w:rPr>
          <w:rFonts w:ascii="Times New Roman" w:eastAsia="Times New Roman" w:hAnsi="Times New Roman" w:cs="Times New Roman"/>
          <w:color w:val="auto"/>
          <w:bdr w:val="none" w:sz="0" w:space="0" w:color="auto" w:frame="1"/>
          <w:lang w:eastAsia="en-GB"/>
        </w:rPr>
        <w:t>Summary of literature review on alternative liquid fuels</w:t>
      </w:r>
    </w:p>
    <w:p w14:paraId="23821763" w14:textId="172F8DEE" w:rsidR="00104A2A" w:rsidRPr="00872636" w:rsidRDefault="00104A2A" w:rsidP="00C525D8">
      <w:pPr>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ab/>
        <w:t>Different approved blends of drop-in SPKs are currently the alternative to Jet-A fuel. Based on the literature review, methanol, ethanol, 100% SPK and hydrogen (</w:t>
      </w:r>
      <w:r w:rsidRPr="00872636">
        <w:rPr>
          <w:rFonts w:ascii="Times New Roman" w:eastAsia="Times New Roman" w:hAnsi="Times New Roman" w:cs="Times New Roman"/>
          <w:sz w:val="24"/>
          <w:szCs w:val="24"/>
          <w:lang w:eastAsia="en-GB"/>
        </w:rPr>
        <w:t>LH</w:t>
      </w:r>
      <w:r w:rsidRPr="00872636">
        <w:rPr>
          <w:rFonts w:ascii="Times New Roman" w:eastAsia="Times New Roman" w:hAnsi="Times New Roman" w:cs="Times New Roman"/>
          <w:sz w:val="24"/>
          <w:szCs w:val="24"/>
          <w:vertAlign w:val="subscript"/>
          <w:lang w:eastAsia="en-GB"/>
        </w:rPr>
        <w:t>2</w:t>
      </w:r>
      <w:r w:rsidRPr="00872636">
        <w:rPr>
          <w:rFonts w:ascii="Times New Roman" w:eastAsia="Times New Roman" w:hAnsi="Times New Roman" w:cs="Times New Roman"/>
          <w:sz w:val="24"/>
          <w:szCs w:val="24"/>
          <w:lang w:eastAsia="en-GB"/>
        </w:rPr>
        <w:t>, LNG and LNH</w:t>
      </w:r>
      <w:r w:rsidRPr="00872636">
        <w:rPr>
          <w:rFonts w:ascii="Times New Roman" w:eastAsia="Times New Roman" w:hAnsi="Times New Roman" w:cs="Times New Roman"/>
          <w:sz w:val="24"/>
          <w:szCs w:val="24"/>
          <w:vertAlign w:val="subscript"/>
          <w:lang w:eastAsia="en-GB"/>
        </w:rPr>
        <w:t>3</w:t>
      </w:r>
      <w:r w:rsidRPr="00872636">
        <w:rPr>
          <w:rFonts w:ascii="Times New Roman" w:hAnsi="Times New Roman" w:cs="Times New Roman"/>
          <w:sz w:val="24"/>
          <w:szCs w:val="24"/>
          <w:lang w:eastAsia="en-GB"/>
        </w:rPr>
        <w:t xml:space="preserve">) appear to be future alternatives to the conventional Jet-A fuel based on their properties. The feasible form of hydrogen </w:t>
      </w:r>
      <w:r w:rsidR="00955FFD" w:rsidRPr="007D699F">
        <w:rPr>
          <w:rFonts w:ascii="Times New Roman" w:hAnsi="Times New Roman" w:cs="Times New Roman"/>
          <w:sz w:val="24"/>
          <w:szCs w:val="24"/>
          <w:lang w:eastAsia="en-GB"/>
        </w:rPr>
        <w:t>uses</w:t>
      </w:r>
      <w:r w:rsidRPr="00872636">
        <w:rPr>
          <w:rFonts w:ascii="Times New Roman" w:hAnsi="Times New Roman" w:cs="Times New Roman"/>
          <w:sz w:val="24"/>
          <w:szCs w:val="24"/>
          <w:lang w:eastAsia="en-GB"/>
        </w:rPr>
        <w:t xml:space="preserve"> i.e. </w:t>
      </w:r>
      <w:r w:rsidRPr="00872636">
        <w:rPr>
          <w:rFonts w:ascii="Times New Roman" w:eastAsia="Times New Roman" w:hAnsi="Times New Roman" w:cs="Times New Roman"/>
          <w:sz w:val="24"/>
          <w:szCs w:val="24"/>
          <w:lang w:eastAsia="en-GB"/>
        </w:rPr>
        <w:t>LH</w:t>
      </w:r>
      <w:r w:rsidRPr="00872636">
        <w:rPr>
          <w:rFonts w:ascii="Times New Roman" w:eastAsia="Times New Roman" w:hAnsi="Times New Roman" w:cs="Times New Roman"/>
          <w:sz w:val="24"/>
          <w:szCs w:val="24"/>
          <w:vertAlign w:val="subscript"/>
          <w:lang w:eastAsia="en-GB"/>
        </w:rPr>
        <w:t>2</w:t>
      </w:r>
      <w:r w:rsidRPr="00872636">
        <w:rPr>
          <w:rFonts w:ascii="Times New Roman" w:eastAsia="Times New Roman" w:hAnsi="Times New Roman" w:cs="Times New Roman"/>
          <w:sz w:val="24"/>
          <w:szCs w:val="24"/>
          <w:lang w:eastAsia="en-GB"/>
        </w:rPr>
        <w:t>, LNG or LNH</w:t>
      </w:r>
      <w:r w:rsidRPr="00872636">
        <w:rPr>
          <w:rFonts w:ascii="Times New Roman" w:eastAsia="Times New Roman" w:hAnsi="Times New Roman" w:cs="Times New Roman"/>
          <w:sz w:val="24"/>
          <w:szCs w:val="24"/>
          <w:vertAlign w:val="subscript"/>
          <w:lang w:eastAsia="en-GB"/>
        </w:rPr>
        <w:t>3</w:t>
      </w:r>
      <w:r w:rsidRPr="00872636">
        <w:rPr>
          <w:rFonts w:ascii="Times New Roman" w:hAnsi="Times New Roman" w:cs="Times New Roman"/>
          <w:sz w:val="24"/>
          <w:szCs w:val="24"/>
          <w:lang w:eastAsia="en-GB"/>
        </w:rPr>
        <w:t xml:space="preserve"> needs further (quantitative) examination. </w:t>
      </w:r>
      <w:r w:rsidRPr="00872636">
        <w:rPr>
          <w:rFonts w:ascii="Times New Roman" w:eastAsia="Times New Roman" w:hAnsi="Times New Roman" w:cs="Times New Roman"/>
          <w:sz w:val="24"/>
          <w:szCs w:val="24"/>
          <w:lang w:eastAsia="en-GB"/>
        </w:rPr>
        <w:t xml:space="preserve">The methodology used by Bicer et al. </w:t>
      </w:r>
      <w:r w:rsidRPr="00872636">
        <w:rPr>
          <w:rFonts w:ascii="Times New Roman" w:eastAsia="Times New Roman" w:hAnsi="Times New Roman" w:cs="Times New Roman"/>
          <w:sz w:val="24"/>
          <w:szCs w:val="24"/>
          <w:lang w:eastAsia="en-GB"/>
        </w:rPr>
        <w:fldChar w:fldCharType="begin" w:fldLock="1"/>
      </w:r>
      <w:r w:rsidR="00C46200">
        <w:rPr>
          <w:rFonts w:ascii="Times New Roman" w:eastAsia="Times New Roman" w:hAnsi="Times New Roman" w:cs="Times New Roman"/>
          <w:sz w:val="24"/>
          <w:szCs w:val="24"/>
          <w:lang w:eastAsia="en-GB"/>
        </w:rPr>
        <w:instrText>ADDIN CSL_CITATION {"citationItems":[{"id":"ITEM-1","itemData":{"DOI":"10.1016/j.ijhydene.2016.12.119","ISSN":"03603199","abstract":"In the present study, hydrogen and some other alternative fuels (such as ammonia, methanol, ethanol, liquefied natural gas) are considered for aviation applications under a comprehensive life cycle assessment study and are evaluated comparatively with the conventional kerosene based jet fuel for various impact categories. Therefore, this study is performed with a well-to-wake approach to evaluate the overall life cycle of an aircraft running on these conventional and alternative fuels. Both conventional and renewable fuel routes are considered for the production of ammonia and hydrogen fuels. Although there are modifications required to fulfill the aviation fuel specifications for such alternative fuels, the long term viability and environmental sustainability make them attractive solutions for the future of aviation industry. This study uses a life cycle assessment of an average aircraft utilizing various alternative aviation fuels to determine the relative environmental impact of each life cycle phase. The life cycle phases included in the analyses are as follows: (i) production, operation and maintenance of the aircraft, (ii) construction, maintenance and disposal of the airport, (iii) production, transportation and utilization of the aviation fuel in the aircraft. The results show that hydrogen and liquefied natural gas represent more environmentally benign alternatives although fuel costs are higher compared to ammonia, jet fuel and methanol. The total GHG emissions from hydropower based ammonia and hydrogen are calculated to be about 0.24 kg CO2 eq. per traveled tonne-km and 0.03 kg CO2 eq. per traveled tonne-km, respectively. Renewable based ammonia and hydrogen fueled aircrafts can further decrease the overall environmental impact in many categories allowing a brighter future for aviation industry.","author":[{"dropping-particle":"","family":"Bicer","given":"Yusuf","non-dropping-particle":"","parse-names":false,"suffix":""},{"dropping-particle":"","family":"Dincer","given":"Ibrahim","non-dropping-particle":"","parse-names":false,"suffix":""}],"container-title":"International Journal of Hydrogen Energy","id":"ITEM-1","issue":"16","issued":{"date-parts":[["2017","4","20"]]},"page":"10722-10738","publisher":"Elsevier Ltd","title":"Life cycle evaluation of hydrogen and other potential fuels for aircrafts","type":"article-journal","volume":"42"},"uris":["http://www.mendeley.com/documents/?uuid=2a2cc1c3-f7c4-37da-9506-37d410e87790"]}],"mendeley":{"formattedCitation":"[2]","plainTextFormattedCitation":"[2]","previouslyFormattedCitation":"[2]"},"properties":{"noteIndex":0},"schema":"https://github.com/citation-style-language/schema/raw/master/csl-citation.json"}</w:instrText>
      </w:r>
      <w:r w:rsidRPr="00872636">
        <w:rPr>
          <w:rFonts w:ascii="Times New Roman" w:eastAsia="Times New Roman" w:hAnsi="Times New Roman" w:cs="Times New Roman"/>
          <w:sz w:val="24"/>
          <w:szCs w:val="24"/>
          <w:lang w:eastAsia="en-GB"/>
        </w:rPr>
        <w:fldChar w:fldCharType="separate"/>
      </w:r>
      <w:r w:rsidR="00801BEA" w:rsidRPr="00801BEA">
        <w:rPr>
          <w:rFonts w:ascii="Times New Roman" w:eastAsia="Times New Roman" w:hAnsi="Times New Roman" w:cs="Times New Roman"/>
          <w:noProof/>
          <w:sz w:val="24"/>
          <w:szCs w:val="24"/>
          <w:lang w:eastAsia="en-GB"/>
        </w:rPr>
        <w:t>[2]</w:t>
      </w:r>
      <w:r w:rsidRPr="00872636">
        <w:rPr>
          <w:rFonts w:ascii="Times New Roman" w:eastAsia="Times New Roman" w:hAnsi="Times New Roman" w:cs="Times New Roman"/>
          <w:sz w:val="24"/>
          <w:szCs w:val="24"/>
          <w:lang w:eastAsia="en-GB"/>
        </w:rPr>
        <w:fldChar w:fldCharType="end"/>
      </w:r>
      <w:r w:rsidRPr="00872636">
        <w:rPr>
          <w:rFonts w:ascii="Times New Roman" w:eastAsia="Times New Roman" w:hAnsi="Times New Roman" w:cs="Times New Roman"/>
          <w:sz w:val="24"/>
          <w:szCs w:val="24"/>
          <w:lang w:eastAsia="en-GB"/>
        </w:rPr>
        <w:t xml:space="preserve"> for estimating the energy consumption of the aircraft (use-phase) is not clear and it appears that they evaluate the aircraft performance purely based on the gravimetric energy densities of different fuels. The low volumetric energy density of these alternative fuels especially cryogenic fuels such as LH</w:t>
      </w:r>
      <w:r w:rsidRPr="00872636">
        <w:rPr>
          <w:rFonts w:ascii="Times New Roman" w:eastAsia="Times New Roman" w:hAnsi="Times New Roman" w:cs="Times New Roman"/>
          <w:sz w:val="24"/>
          <w:szCs w:val="24"/>
          <w:vertAlign w:val="subscript"/>
          <w:lang w:eastAsia="en-GB"/>
        </w:rPr>
        <w:t>2</w:t>
      </w:r>
      <w:r w:rsidRPr="00872636">
        <w:rPr>
          <w:rFonts w:ascii="Times New Roman" w:eastAsia="Times New Roman" w:hAnsi="Times New Roman" w:cs="Times New Roman"/>
          <w:sz w:val="24"/>
          <w:szCs w:val="24"/>
          <w:lang w:eastAsia="en-GB"/>
        </w:rPr>
        <w:t>, LNG, LNH</w:t>
      </w:r>
      <w:r w:rsidRPr="00872636">
        <w:rPr>
          <w:rFonts w:ascii="Times New Roman" w:eastAsia="Times New Roman" w:hAnsi="Times New Roman" w:cs="Times New Roman"/>
          <w:sz w:val="24"/>
          <w:szCs w:val="24"/>
          <w:vertAlign w:val="subscript"/>
          <w:lang w:eastAsia="en-GB"/>
        </w:rPr>
        <w:t>3</w:t>
      </w:r>
      <w:r w:rsidRPr="00872636">
        <w:rPr>
          <w:rFonts w:ascii="Times New Roman" w:eastAsia="Times New Roman" w:hAnsi="Times New Roman" w:cs="Times New Roman"/>
          <w:sz w:val="24"/>
          <w:szCs w:val="24"/>
          <w:lang w:eastAsia="en-GB"/>
        </w:rPr>
        <w:t xml:space="preserve"> compared to Jet-A, have significant aircraft design (weight and drag) implications which affect the performance. Therefore, a more detailed analysis is required which quantitatively evaluates the six fuels – </w:t>
      </w:r>
      <w:r w:rsidRPr="00872636">
        <w:rPr>
          <w:rFonts w:ascii="Times New Roman" w:hAnsi="Times New Roman" w:cs="Times New Roman"/>
          <w:sz w:val="24"/>
          <w:szCs w:val="24"/>
          <w:lang w:eastAsia="en-GB"/>
        </w:rPr>
        <w:t xml:space="preserve">methanol, ethanol, 100% SPK, </w:t>
      </w:r>
      <w:r w:rsidRPr="00872636">
        <w:rPr>
          <w:rFonts w:ascii="Times New Roman" w:eastAsia="Times New Roman" w:hAnsi="Times New Roman" w:cs="Times New Roman"/>
          <w:sz w:val="24"/>
          <w:szCs w:val="24"/>
          <w:lang w:eastAsia="en-GB"/>
        </w:rPr>
        <w:t>LH</w:t>
      </w:r>
      <w:r w:rsidRPr="00872636">
        <w:rPr>
          <w:rFonts w:ascii="Times New Roman" w:eastAsia="Times New Roman" w:hAnsi="Times New Roman" w:cs="Times New Roman"/>
          <w:sz w:val="24"/>
          <w:szCs w:val="24"/>
          <w:vertAlign w:val="subscript"/>
          <w:lang w:eastAsia="en-GB"/>
        </w:rPr>
        <w:t>2</w:t>
      </w:r>
      <w:r w:rsidRPr="00872636">
        <w:rPr>
          <w:rFonts w:ascii="Times New Roman" w:eastAsia="Times New Roman" w:hAnsi="Times New Roman" w:cs="Times New Roman"/>
          <w:sz w:val="24"/>
          <w:szCs w:val="24"/>
          <w:lang w:eastAsia="en-GB"/>
        </w:rPr>
        <w:t>, LNG and LNH</w:t>
      </w:r>
      <w:r w:rsidRPr="00872636">
        <w:rPr>
          <w:rFonts w:ascii="Times New Roman" w:eastAsia="Times New Roman" w:hAnsi="Times New Roman" w:cs="Times New Roman"/>
          <w:sz w:val="24"/>
          <w:szCs w:val="24"/>
          <w:vertAlign w:val="subscript"/>
          <w:lang w:eastAsia="en-GB"/>
        </w:rPr>
        <w:t>3</w:t>
      </w:r>
      <w:r w:rsidRPr="00872636">
        <w:rPr>
          <w:rFonts w:ascii="Times New Roman" w:eastAsia="Times New Roman" w:hAnsi="Times New Roman" w:cs="Times New Roman"/>
          <w:sz w:val="24"/>
          <w:szCs w:val="24"/>
          <w:lang w:eastAsia="en-GB"/>
        </w:rPr>
        <w:t>. T</w:t>
      </w:r>
      <w:r w:rsidRPr="00872636">
        <w:rPr>
          <w:rFonts w:ascii="Times New Roman" w:hAnsi="Times New Roman" w:cs="Times New Roman"/>
          <w:sz w:val="24"/>
          <w:szCs w:val="24"/>
          <w:lang w:eastAsia="en-GB"/>
        </w:rPr>
        <w:t xml:space="preserve">here are technological challenges associated with the use of these fuels in the present aircraft type as modifications are required. However, in the next (future) generation of aircraft fleet that will have technological improvements, the required modifications could be done to the aircraft in the design stage itself for the use of the respective alternative liquid fuel. </w:t>
      </w:r>
    </w:p>
    <w:p w14:paraId="50C7E351" w14:textId="5CAB44ED" w:rsidR="00104A2A" w:rsidRPr="00872636" w:rsidRDefault="00104A2A" w:rsidP="00C525D8">
      <w:pPr>
        <w:pStyle w:val="Heading2"/>
        <w:spacing w:after="240" w:line="480" w:lineRule="auto"/>
        <w:rPr>
          <w:rFonts w:ascii="Times New Roman" w:eastAsia="Times New Roman" w:hAnsi="Times New Roman" w:cs="Times New Roman"/>
          <w:color w:val="auto"/>
          <w:sz w:val="24"/>
          <w:szCs w:val="24"/>
          <w:bdr w:val="none" w:sz="0" w:space="0" w:color="auto" w:frame="1"/>
          <w:lang w:eastAsia="en-GB"/>
        </w:rPr>
      </w:pPr>
      <w:r w:rsidRPr="00872636">
        <w:rPr>
          <w:rFonts w:ascii="Times New Roman" w:eastAsia="Times New Roman" w:hAnsi="Times New Roman" w:cs="Times New Roman"/>
          <w:color w:val="auto"/>
          <w:sz w:val="24"/>
          <w:szCs w:val="24"/>
          <w:bdr w:val="none" w:sz="0" w:space="0" w:color="auto" w:frame="1"/>
          <w:lang w:eastAsia="en-GB"/>
        </w:rPr>
        <w:lastRenderedPageBreak/>
        <w:t>Solar-electric and ion propulsion</w:t>
      </w:r>
    </w:p>
    <w:p w14:paraId="1F6876AA" w14:textId="35F8993D" w:rsidR="00104A2A" w:rsidRPr="00872636" w:rsidRDefault="00104A2A" w:rsidP="00C525D8">
      <w:pPr>
        <w:tabs>
          <w:tab w:val="left" w:pos="709"/>
        </w:tabs>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ab/>
        <w:t xml:space="preserve">Solar impulse </w:t>
      </w:r>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{"citationItems":[{"id":"ITEM-1","itemData":{"author":[{"dropping-particle":"","family":"Carrington","given":"Damian","non-dropping-particle":"","parse-names":false,"suffix":""}],"container-title":"The Guardian","id":"ITEM-1","issued":{"date-parts":[["2016","7","26"]]},"title":"Solar plane makes history after completing round-the-world trip | Environment | The Guardian","type":"article-newspaper"},"uris":["http://www.mendeley.com/documents/?uuid=a02b4042-dc55-3325-a2c3-0ef7a888c22b"]}],"mendeley":{"formattedCitation":"[41]","plainTextFormattedCitation":"[41]","previouslyFormattedCitation":"[41]"},"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[41]</w:t>
      </w:r>
      <w:r w:rsidRPr="00872636">
        <w:rPr>
          <w:rFonts w:ascii="Times New Roman" w:hAnsi="Times New Roman" w:cs="Times New Roman"/>
          <w:sz w:val="24"/>
          <w:szCs w:val="24"/>
          <w:lang w:eastAsia="en-GB"/>
        </w:rPr>
        <w:fldChar w:fldCharType="end"/>
      </w:r>
      <w:r w:rsidRPr="00872636">
        <w:rPr>
          <w:rFonts w:ascii="Times New Roman" w:hAnsi="Times New Roman" w:cs="Times New Roman"/>
          <w:sz w:val="24"/>
          <w:szCs w:val="24"/>
          <w:lang w:eastAsia="en-GB"/>
        </w:rPr>
        <w:t>, is the world’s first solar-powered aircraft with a seating capacity of one passenger and it has successfully toured the globe. This propulsion technology requires significant improvement for enabling a commercial long-range flight of ~300 passengers.</w:t>
      </w:r>
    </w:p>
    <w:p w14:paraId="059D223E" w14:textId="0454A39B" w:rsidR="00104A2A" w:rsidRPr="00872636" w:rsidRDefault="00104A2A" w:rsidP="00C525D8">
      <w:pPr>
        <w:tabs>
          <w:tab w:val="left" w:pos="709"/>
        </w:tabs>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ab/>
        <w:t xml:space="preserve">An ion-based propulsion method has been applied to a model aircraft (no passengers) by researchers at MIT, and test flights have been conducted </w:t>
      </w:r>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{"citationItems":[{"id":"ITEM-1","itemData":{"author":[{"dropping-particle":"","family":"Hern","given":"Alex","non-dropping-particle":"","parse-names":false,"suffix":""}],"container-title":"The Guardian","id":"ITEM-1","issued":{"date-parts":[["2018","11","21"]]},"title":"First ever plane with no moving parts takes flight | Science | The Guardian","type":"article-newspaper"},"uris":["http://www.mendeley.com/documents/?uuid=60b17937-1936-3b00-84cc-0fdf289500e4"]},{"id":"ITEM-2","itemData":{"DOI":"10.1038/s41586-018-0707-9","ISSN":"1476-4687","PMID":"30464270","abstract":"Since the first aeroplane flight more than 100 years ago, aeroplanes have been propelled using moving surfaces such as propellers and turbines. Most have been powered by fossil-fuel combustion. Electroaerodynamics, in which electrical forces accelerate ions in a fluid1,2, has been proposed as an alternative method of propelling aeroplanes—without moving parts, nearly silently and without combustion emissions3–6. However, no aeroplane with such&amp;nbsp;a&amp;nbsp;solid-state propulsion system has yet flown. Here we demonstrate that a solid-state propulsion system can sustain powered flight, by designing and flying an electroaerodynamically propelled heavier-than-air aeroplane. We flew a fixed-wing aeroplane with a five-metre wingspan ten times and showed that it achieved steady-level flight. All batteries and power systems, including a specifically developed ultralight high-voltage (40-kilovolt) power converter, were carried on-board. We show that conventionally accepted limitations in thrust-to-power ratio and thrust density4,6,7, which were previously thought to make electroaerodynamics unfeasible as a method of aeroplane propulsion, are surmountable. We provide a proof of concept for electroaerodynamic aeroplane propulsion, opening up possibilities for aircraft and aerodynamic devices that are quieter, mechanically simpler and do not emit combustion emissions. A solid-state propulsion system can sustain powered flight, as demonstrated by an electroaerodynamically propelled heavier-than-air aeroplane.","author":[{"dropping-particle":"","family":"Xu","given":"Haofeng","non-dropping-particle":"","parse-names":false,"suffix":""},{"dropping-particle":"","family":"He","given":"Yiou","non-dropping-particle":"","parse-names":false,"suffix":""},{"dropping-particle":"","family":"Strobel","given":"Kieran L.","non-dropping-particle":"","parse-names":false,"suffix":""},{"dropping-particle":"","family":"Gilmore","given":"Christopher K.","non-dropping-particle":"","parse-names":false,"suffix":""},{"dropping-particle":"","family":"Kelley","given":"Sean P.","non-dropping-particle":"","parse-names":false,"suffix":""},{"dropping-particle":"","family":"Hennick","given":"Cooper C.","non-dropping-particle":"","parse-names":false,"suffix":""},{"dropping-particle":"","family":"Sebastian","given":"Thomas","non-dropping-particle":"","parse-names":false,"suffix":""},{"dropping-particle":"","family":"Woolston","given":"Mark R.","non-dropping-particle":"","parse-names":false,"suffix":""},{"dropping-particle":"","family":"Perreault","given":"David J.","non-dropping-particle":"","parse-names":false,"suffix":""},{"dropping-particle":"","family":"Barrett","given":"Steven R.H.","non-dropping-particle":"","parse-names":false,"suffix":""}],"container-title":"Nature 2018 563:7732","id":"ITEM-2","issue":"7732","issued":{"date-parts":[["2018","11","21"]]},"page":"532-535","publisher":"Nature Publishing Group","title":"Flight of an aeroplane with solid-state propulsion","type":"article-journal","volume":"563"},"uris":["http://www.mendeley.com/documents/?uuid=b017415a-650c-3792-ab15-93359ab79dd2"]}],"mendeley":{"formattedCitation":"[42], [43]","plainTextFormattedCitation":"[42], [43]","previouslyFormattedCitation":"[42], [43]"},"properties":{"noteIndex":0},"schema":"https://github.com/citation-style-language/schema/raw/master/csl-citation.json"}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[42], [43]</w:t>
      </w:r>
      <w:r w:rsidRPr="00872636">
        <w:rPr>
          <w:rFonts w:ascii="Times New Roman" w:hAnsi="Times New Roman" w:cs="Times New Roman"/>
          <w:sz w:val="24"/>
          <w:szCs w:val="24"/>
          <w:lang w:eastAsia="en-GB"/>
        </w:rPr>
        <w:fldChar w:fldCharType="end"/>
      </w:r>
      <w:r w:rsidRPr="00872636">
        <w:rPr>
          <w:rFonts w:ascii="Times New Roman" w:hAnsi="Times New Roman" w:cs="Times New Roman"/>
          <w:sz w:val="24"/>
          <w:szCs w:val="24"/>
          <w:lang w:eastAsia="en-GB"/>
        </w:rPr>
        <w:t>. This flight starts with a (manual) ramped slingshot take-off and the ion-propulsion is used during steady level flight. There needs to be a dramatic improvement in this technology for enabling typical long-range Mach 0.85 flight of ~300 passengers along with safety considerations.</w:t>
      </w:r>
    </w:p>
    <w:p w14:paraId="783746C3" w14:textId="50A9CD62" w:rsidR="00104A2A" w:rsidRPr="00872636" w:rsidRDefault="00104A2A" w:rsidP="00C525D8">
      <w:pPr>
        <w:pStyle w:val="Heading2"/>
        <w:spacing w:after="240" w:line="480" w:lineRule="auto"/>
        <w:rPr>
          <w:rFonts w:ascii="Times New Roman" w:eastAsia="Times New Roman" w:hAnsi="Times New Roman" w:cs="Times New Roman"/>
          <w:color w:val="auto"/>
          <w:sz w:val="24"/>
          <w:szCs w:val="24"/>
          <w:bdr w:val="none" w:sz="0" w:space="0" w:color="auto" w:frame="1"/>
          <w:lang w:eastAsia="en-GB"/>
        </w:rPr>
      </w:pPr>
      <w:r w:rsidRPr="00872636">
        <w:rPr>
          <w:rFonts w:ascii="Times New Roman" w:eastAsia="Times New Roman" w:hAnsi="Times New Roman" w:cs="Times New Roman"/>
          <w:color w:val="auto"/>
          <w:sz w:val="24"/>
          <w:szCs w:val="24"/>
          <w:bdr w:val="none" w:sz="0" w:space="0" w:color="auto" w:frame="1"/>
          <w:lang w:eastAsia="en-GB"/>
        </w:rPr>
        <w:t>Batteries</w:t>
      </w:r>
      <w:r w:rsidR="00756B3F" w:rsidRPr="00872636">
        <w:rPr>
          <w:rFonts w:ascii="Times New Roman" w:eastAsia="Times New Roman" w:hAnsi="Times New Roman" w:cs="Times New Roman"/>
          <w:color w:val="auto"/>
          <w:sz w:val="24"/>
          <w:szCs w:val="24"/>
          <w:bdr w:val="none" w:sz="0" w:space="0" w:color="auto" w:frame="1"/>
          <w:lang w:eastAsia="en-GB"/>
        </w:rPr>
        <w:t xml:space="preserve"> and turbo-electric</w:t>
      </w:r>
    </w:p>
    <w:p w14:paraId="7BA2A76A" w14:textId="03F325AF" w:rsidR="00104A2A" w:rsidRPr="00872636" w:rsidRDefault="00104A2A" w:rsidP="00C525D8">
      <w:pPr>
        <w:pStyle w:val="Text"/>
        <w:tabs>
          <w:tab w:val="clear" w:pos="288"/>
          <w:tab w:val="left" w:pos="709"/>
        </w:tabs>
        <w:ind w:firstLine="0"/>
        <w:rPr>
          <w:sz w:val="24"/>
          <w:szCs w:val="24"/>
          <w:lang w:val="en-GB"/>
        </w:rPr>
      </w:pPr>
      <w:r w:rsidRPr="00872636">
        <w:rPr>
          <w:sz w:val="24"/>
          <w:szCs w:val="24"/>
          <w:lang w:val="en-GB"/>
        </w:rPr>
        <w:tab/>
        <w:t xml:space="preserve">A study by Grönstedt et al. </w:t>
      </w:r>
      <w:r w:rsidRPr="00872636">
        <w:rPr>
          <w:sz w:val="24"/>
          <w:szCs w:val="24"/>
          <w:lang w:val="en-GB"/>
        </w:rPr>
        <w:fldChar w:fldCharType="begin" w:fldLock="1"/>
      </w:r>
      <w:r w:rsidR="00C46200">
        <w:rPr>
          <w:sz w:val="24"/>
          <w:szCs w:val="24"/>
          <w:lang w:val="en-GB"/>
        </w:rPr>
        <w:instrText>ADDIN CSL_CITATION {"citationItems":[{"id":"ITEM-1","itemData":{"DOI":"10.1115/GT2016-56123","ISBN":"978-0-7918-4974-3","author":[{"dropping-particle":"","family":"Grönstedt","given":"Tomas","non-dropping-particle":"","parse-names":false,"suffix":""},{"dropping-particle":"","family":"Xisto","given":"Carlos","non-dropping-particle":"","parse-names":false,"suffix":""},{"dropping-particle":"","family":"Sethi","given":"Vishal","non-dropping-particle":"","parse-names":false,"suffix":""},{"dropping-particle":"","family":"Rolt","given":"Andrew","non-dropping-particle":"","parse-names":false,"suffix":""},{"dropping-particle":"","family":"García Rosa","given":"Nicolás","non-dropping-particle":"","parse-names":false,"suffix":""},{"dropping-particle":"","family":"Seitz","given":"Arne","non-dropping-particle":"","parse-names":false,"suffix":""},{"dropping-particle":"","family":"Yakinthos","given":"Kyros","non-dropping-particle":"","parse-names":false,"suffix":""},{"dropping-particle":"","family":"Donnerhack","given":"Stefan","non-dropping-particle":"","parse-names":false,"suffix":""},{"dropping-particle":"","family":"Newton","given":"Paul","non-dropping-particle":"","parse-names":false,"suffix":""},{"dropping-particle":"","family":"Tantot","given":"Nicolas","non-dropping-particle":"","parse-names":false,"suffix":""},{"dropping-particle":"","family":"Schmitz","given":"Oliver","non-dropping-particle":"","parse-names":false,"suffix":""},{"dropping-particle":"","family":"Lundbladh","given":"Anders","non-dropping-particle":"","parse-names":false,"suffix":""}],"container-title":"Volume 3: Coal, Biomass and Alternative Fuels; Cycle Innovations; Electric Power; Industrial and Cogeneration; Organic Rankine Cycle Power Systems","id":"ITEM-1","issued":{"date-parts":[["2016","6","13"]]},"page":"V003T06A001","publisher":"ASME","title":"Ultra Low Emission Technology Innovations for Mid-Century Aircraft Turbine Engines","type":"paper-conference"},"uris":["http://www.mendeley.com/documents/?uuid=6e5fd9e7-e660-3ffd-85d0-01e2665b860d"]}],"mendeley":{"formattedCitation":"[44]","plainTextFormattedCitation":"[44]","previouslyFormattedCitation":"[44]"},"properties":{"noteIndex":0},"schema":"https://github.com/citation-style-language/schema/raw/master/csl-citation.json"}</w:instrText>
      </w:r>
      <w:r w:rsidRPr="00872636">
        <w:rPr>
          <w:sz w:val="24"/>
          <w:szCs w:val="24"/>
          <w:lang w:val="en-GB"/>
        </w:rPr>
        <w:fldChar w:fldCharType="separate"/>
      </w:r>
      <w:r w:rsidR="00801BEA" w:rsidRPr="00801BEA">
        <w:rPr>
          <w:noProof/>
          <w:sz w:val="24"/>
          <w:szCs w:val="24"/>
          <w:lang w:val="en-GB"/>
        </w:rPr>
        <w:t>[44]</w:t>
      </w:r>
      <w:r w:rsidRPr="00872636">
        <w:rPr>
          <w:sz w:val="24"/>
          <w:szCs w:val="24"/>
          <w:lang w:val="en-GB"/>
        </w:rPr>
        <w:fldChar w:fldCharType="end"/>
      </w:r>
      <w:r w:rsidRPr="00872636">
        <w:rPr>
          <w:sz w:val="24"/>
          <w:szCs w:val="24"/>
          <w:lang w:val="en-GB"/>
        </w:rPr>
        <w:t xml:space="preserve"> finds that aircraft fuel is currently 50-100 times more power dense than batteries and historical improvement rate of 2-3% makes it uncertain whether batteries will reach the power density required for (approximately) year 2050 timeframe. Brelje et al. </w:t>
      </w:r>
      <w:r w:rsidRPr="00872636">
        <w:rPr>
          <w:sz w:val="24"/>
          <w:szCs w:val="24"/>
          <w:lang w:val="en-GB"/>
        </w:rPr>
        <w:fldChar w:fldCharType="begin" w:fldLock="1"/>
      </w:r>
      <w:r w:rsidR="00C46200">
        <w:rPr>
          <w:sz w:val="24"/>
          <w:szCs w:val="24"/>
          <w:lang w:val="en-GB"/>
        </w:rPr>
        <w:instrText>ADDIN CSL_CITATION {"citationItems":[{"id":"ITEM-1","itemData":{"DOI":"10.1016/J.PAEROSCI.2018.06.004","ISSN":"0376-0421","abstract":"Following high-profile government and industry studies, electric aircraft propulsion has emerged as an important research topic. This article surveys the scholarly and business literature on fixed-wing aircraft propelled in whole or in part by electricity. This includes all-electric, hybrid electric, and turboelectric architectures. We introduce a classification of electric aircraft, technology factors, and performance parameters. Next, we present an overview of electrical components and electric propulsion architectures. We survey existing commercial products, prototypes, demonstrators, and conceptual studies, and develop a list of potential benefits and disadvantages of electric propulsion with estimates of potential benefit. We present an introduction to power electronics, electric machines, and batteries for aircraft designers, and explore the emerging problem of aircraft thermal management. We review modeling, simulation, and multidisciplinary optimization capabilities, and identify current shortcomings. We conclude that the electric aircraft design problem introduces new coupling between previously distinct disciplines, such as aerodynamics and propulsion, which may only become apparent with high-fidelity, physics-based analysis. High-fidelity multidisciplinary design analysis and optimization of electric aircraft, including safety and economic analysis, remains an open challenge.","author":[{"dropping-particle":"","family":"Brelje","given":"Benjamin J.","non-dropping-particle":"","parse-names":false,"suffix":""},{"dropping-particle":"","family":"Martins","given":"Joaquim R.R.A.","non-dropping-particle":"","parse-names":false,"suffix":""}],"container-title":"Progress in Aerospace Sciences","id":"ITEM-1","issued":{"date-parts":[["2019","1","1"]]},"page":"1-19","publisher":"Pergamon","title":"Electric, hybrid, and turboelectric fixed-wing aircraft: A review of concepts, models, and design approaches","type":"article-journal","volume":"104"},"uris":["http://www.mendeley.com/documents/?uuid=f1e0d1be-90d9-3dad-9985-684822b3a2bb"]}],"mendeley":{"formattedCitation":"[45]","plainTextFormattedCitation":"[45]","previouslyFormattedCitation":"[45]"},"properties":{"noteIndex":0},"schema":"https://github.com/citation-style-language/schema/raw/master/csl-citation.json"}</w:instrText>
      </w:r>
      <w:r w:rsidRPr="00872636">
        <w:rPr>
          <w:sz w:val="24"/>
          <w:szCs w:val="24"/>
          <w:lang w:val="en-GB"/>
        </w:rPr>
        <w:fldChar w:fldCharType="separate"/>
      </w:r>
      <w:r w:rsidR="00801BEA" w:rsidRPr="00801BEA">
        <w:rPr>
          <w:noProof/>
          <w:sz w:val="24"/>
          <w:szCs w:val="24"/>
          <w:lang w:val="en-GB"/>
        </w:rPr>
        <w:t>[45]</w:t>
      </w:r>
      <w:r w:rsidRPr="00872636">
        <w:rPr>
          <w:sz w:val="24"/>
          <w:szCs w:val="24"/>
          <w:lang w:val="en-GB"/>
        </w:rPr>
        <w:fldChar w:fldCharType="end"/>
      </w:r>
      <w:r w:rsidRPr="00872636">
        <w:rPr>
          <w:sz w:val="24"/>
          <w:szCs w:val="24"/>
          <w:lang w:val="en-GB"/>
        </w:rPr>
        <w:t xml:space="preserve"> raise safety concerns, as batteries are a known aviation hazard and have much less service experience and fail in seemingly more-complex modes. The design of </w:t>
      </w:r>
      <w:r w:rsidR="00955FFD" w:rsidRPr="007D699F">
        <w:rPr>
          <w:sz w:val="24"/>
          <w:szCs w:val="24"/>
          <w:lang w:val="en-GB"/>
        </w:rPr>
        <w:t>economically viable</w:t>
      </w:r>
      <w:r w:rsidRPr="00872636">
        <w:rPr>
          <w:sz w:val="24"/>
          <w:szCs w:val="24"/>
          <w:lang w:val="en-GB"/>
        </w:rPr>
        <w:t xml:space="preserve"> fixed-wing electric-aircraft demands high-end technology. Figure </w:t>
      </w:r>
      <w:r w:rsidR="002B5E99" w:rsidRPr="00872636">
        <w:rPr>
          <w:sz w:val="24"/>
          <w:szCs w:val="24"/>
          <w:lang w:val="en-GB"/>
        </w:rPr>
        <w:t xml:space="preserve">SI </w:t>
      </w:r>
      <w:r w:rsidRPr="00872636">
        <w:rPr>
          <w:sz w:val="24"/>
          <w:szCs w:val="24"/>
          <w:lang w:val="en-GB"/>
        </w:rPr>
        <w:t xml:space="preserve">1 provides the specific energy of different battery technologies as compared with the energy density of kerosene/conventional jet fuel (Jet-A). It is to be noted that </w:t>
      </w:r>
      <w:r w:rsidR="00DA3D2E" w:rsidRPr="00872636">
        <w:rPr>
          <w:sz w:val="24"/>
          <w:szCs w:val="24"/>
          <w:lang w:val="en-GB"/>
        </w:rPr>
        <w:t xml:space="preserve">Figure SI 1 </w:t>
      </w:r>
      <w:r w:rsidRPr="00872636">
        <w:rPr>
          <w:sz w:val="24"/>
          <w:szCs w:val="24"/>
          <w:lang w:val="en-GB"/>
        </w:rPr>
        <w:t xml:space="preserve">is on a log-scale, and there is an order of magnitude difference between the specific energy of the best state-of-the-art battery technology and conventional jet fuel. </w:t>
      </w:r>
    </w:p>
    <w:p w14:paraId="29FD8206" w14:textId="6EC9D118" w:rsidR="00104A2A" w:rsidRPr="00872636" w:rsidRDefault="00104A2A" w:rsidP="00C525D8">
      <w:pPr>
        <w:pStyle w:val="Text"/>
        <w:tabs>
          <w:tab w:val="clear" w:pos="288"/>
          <w:tab w:val="left" w:pos="709"/>
        </w:tabs>
        <w:ind w:firstLine="0"/>
        <w:rPr>
          <w:sz w:val="24"/>
          <w:szCs w:val="24"/>
          <w:lang w:val="en-GB"/>
        </w:rPr>
      </w:pPr>
      <w:r w:rsidRPr="00872636">
        <w:rPr>
          <w:sz w:val="24"/>
          <w:szCs w:val="24"/>
          <w:lang w:val="en-GB"/>
        </w:rPr>
        <w:tab/>
        <w:t xml:space="preserve">The current battery energy density is 100-265 Wh/kg </w:t>
      </w:r>
      <w:r w:rsidRPr="00872636">
        <w:rPr>
          <w:sz w:val="24"/>
          <w:szCs w:val="24"/>
          <w:lang w:val="en-GB"/>
        </w:rPr>
        <w:fldChar w:fldCharType="begin" w:fldLock="1"/>
      </w:r>
      <w:r w:rsidR="00C46200">
        <w:rPr>
          <w:sz w:val="24"/>
          <w:szCs w:val="24"/>
          <w:lang w:val="en-GB"/>
        </w:rPr>
        <w:instrText>ADDIN CSL_CITATION {"citationItems":[{"id":"ITEM-1","itemData":{"URL":"https://www.cei.washington.edu/education/science-of-solar/battery-technology/","accessed":{"date-parts":[["2021","5","20"]]},"author":[{"dropping-particle":"","family":"University-of-Washington","given":"","non-dropping-particle":"","parse-names":false,"suffix":""}],"container-title":"University of Washington","id":"ITEM-1","issued":{"date-parts":[["2020"]]},"title":"Lithium-Ion Battery","type":"webpage"},"uris":["http://www.mendeley.com/documents/?uuid=ecbafae2-d77f-35ff-b48a-698a3baf8d9c"]},{"id":"ITEM-2","itemData":{"URL":"https://www.droneii.com/wp-content/uploads/2017/06/Drone-Energy-Sources.pdf","accessed":{"date-parts":[["2020","8","19"]]},"author":[{"dropping-particle":"","family":"Droneii","given":"","non-dropping-particle":"","parse-names":false,"suffix":""}],"container-title":"Drone Industry Insights","id":"ITEM-2","issued":{"date-parts":[["2017"]]},"title":"Pushing the Boundaries-Drone Energy Sources","type":"webpage"},"uris":["http://www.mendeley.com/documents/?uuid=835d2617-8e2b-3074-817f-bb9d25d38586"]}],"mendeley":{"formattedCitation":"[46], [47]","plainTextFormattedCitation":"[46], [47]","previouslyFormattedCitation":"[46], [47]"},"properties":{"noteIndex":0},"schema":"https://github.com/citation-style-language/schema/raw/master/csl-citation.json"}</w:instrText>
      </w:r>
      <w:r w:rsidRPr="00872636">
        <w:rPr>
          <w:sz w:val="24"/>
          <w:szCs w:val="24"/>
          <w:lang w:val="en-GB"/>
        </w:rPr>
        <w:fldChar w:fldCharType="separate"/>
      </w:r>
      <w:r w:rsidR="00801BEA" w:rsidRPr="00801BEA">
        <w:rPr>
          <w:noProof/>
          <w:sz w:val="24"/>
          <w:szCs w:val="24"/>
          <w:lang w:val="en-GB"/>
        </w:rPr>
        <w:t>[46], [47]</w:t>
      </w:r>
      <w:r w:rsidRPr="00872636">
        <w:rPr>
          <w:sz w:val="24"/>
          <w:szCs w:val="24"/>
          <w:lang w:val="en-GB"/>
        </w:rPr>
        <w:fldChar w:fldCharType="end"/>
      </w:r>
      <w:r w:rsidRPr="00872636">
        <w:rPr>
          <w:sz w:val="24"/>
          <w:szCs w:val="24"/>
          <w:lang w:val="en-GB"/>
        </w:rPr>
        <w:t xml:space="preserve">. Pornet et al. </w:t>
      </w:r>
      <w:r w:rsidRPr="00872636">
        <w:rPr>
          <w:sz w:val="24"/>
          <w:szCs w:val="24"/>
          <w:lang w:val="en-GB"/>
        </w:rPr>
        <w:fldChar w:fldCharType="begin" w:fldLock="1"/>
      </w:r>
      <w:r w:rsidR="00C46200">
        <w:rPr>
          <w:sz w:val="24"/>
          <w:szCs w:val="24"/>
          <w:lang w:val="en-GB"/>
        </w:rPr>
        <w:instrText>ADDIN CSL_CITATION {"citationItems":[{"id":"ITEM-1","itemData":{"DOI":"10.1016/J.PAEROSCI.2015.09.002","ISSN":"0376-0421","abstract":"The European Flightpath 2050 and corresponding Strategic Research and Innovation Agenda (SRIA) as well as the NASA Environmentally Responsible Aviation N+ series have elaborated aggressive emissions and external noise reduction targets according to chronological waypoints. In order to deliver ultra-low or even zero in-flight emissions levels, there exists an increasing amount of international research and development emphasis on electrification of the propulsion and power systems of aircraft. Since the late 1990s, a series of experimental and a host of burgeouning commercial activities for fixed-wing aviation have focused on glider, ultra-light and light-sport airplane, and this is proving to serve as a cornerstone for more ambitious transport aircraft design and integration technical approaches. The introduction of hybrid-electric technology has dramatically expanded the design space and the full-potential of these technologies will be drawn through synergetic, tightly-coupled morphological and systems integration emphasizing propulsion – as exemplified by the potential afforded by distributed propulsion solutions. With the aim of expanding upon the current repository of knowledge associated with hybrid-electric propulsion systems a quad-fan arranged narrow-body transport aircraft equipped with two advanced Geared-Turbofans (GTF) and two Electrical Fans (EF) in an under-wing podded installation is presented in this technical article. The assessment and implications of an increasing Degree-of-Hybridization for Useful Power (HP,USE) on the overall sizing, performance as well as flight technique optimization of fuel-battery hybrid-electric aircraft is addressed herein. The integrated performance of the concept was analyzed in terms of potential block fuel burn reduction and change in vehicular efficiency in comparison to a suitably projected conventional aircraft employing GTF-only propulsion targeting year 2035. Results showed that by increasing HP,USE, significant fuel burn reduction can be achieved; however, this also proves to be detrimental in terms of vehicular efficiency. The potential in block fuel reduction diminishes with increasing design range – especially for low battery gravimetric specific energies. In addition, the narrow shape of the fuselage represents a volumetric constraint for the storage of the battery and typical cargo. It was concluded that the short-range/regional market segment would be the most suited for the application of such…","author":[{"dropping-particle":"","family":"Pornet","given":"C.","non-dropping-particle":"","parse-names":false,"suffix":""},{"dropping-particle":"","family":"Isikveren","given":"A.T.","non-dropping-particle":"","parse-names":false,"suffix":""}],"container-title":"Progress in Aerospace Sciences","id":"ITEM-1","issued":{"date-parts":[["2015","11","1"]]},"page":"114-135","publisher":"Pergamon","title":"Conceptual design of hybrid-electric transport aircraft","type":"article-journal","volume":"79"},"uris":["http://www.mendeley.com/documents/?uuid=df5e1c13-98d8-3910-8dc0-a5975671b405"]}],"mendeley":{"formattedCitation":"[48]","plainTextFormattedCitation":"[48]","previouslyFormattedCitation":"[48]"},"properties":{"noteIndex":0},"schema":"https://github.com/citation-style-language/schema/raw/master/csl-citation.json"}</w:instrText>
      </w:r>
      <w:r w:rsidRPr="00872636">
        <w:rPr>
          <w:sz w:val="24"/>
          <w:szCs w:val="24"/>
          <w:lang w:val="en-GB"/>
        </w:rPr>
        <w:fldChar w:fldCharType="separate"/>
      </w:r>
      <w:r w:rsidR="00801BEA" w:rsidRPr="00801BEA">
        <w:rPr>
          <w:noProof/>
          <w:sz w:val="24"/>
          <w:szCs w:val="24"/>
          <w:lang w:val="en-GB"/>
        </w:rPr>
        <w:t>[48]</w:t>
      </w:r>
      <w:r w:rsidRPr="00872636">
        <w:rPr>
          <w:sz w:val="24"/>
          <w:szCs w:val="24"/>
          <w:lang w:val="en-GB"/>
        </w:rPr>
        <w:fldChar w:fldCharType="end"/>
      </w:r>
      <w:r w:rsidRPr="00872636">
        <w:rPr>
          <w:sz w:val="24"/>
          <w:szCs w:val="24"/>
          <w:lang w:val="en-GB"/>
        </w:rPr>
        <w:t xml:space="preserve"> investigated the use of batteries as energy source alongside conventional jet fuel, as a retrofit for short-to-medium range single-aisle turbofan aircraft. They conclude that the use of batteries with an energy density of 1500 Wh/kg, as an energy source, can provide a block fuel reduction </w:t>
      </w:r>
      <w:r w:rsidRPr="00872636">
        <w:rPr>
          <w:sz w:val="24"/>
          <w:szCs w:val="24"/>
          <w:lang w:val="en-GB"/>
        </w:rPr>
        <w:lastRenderedPageBreak/>
        <w:t xml:space="preserve">(of 16%) on short-range missions. Further analysis by Pornet et al. demonstrates that batteries with an energy density below 1000 Wh/kg provide no significant fuel savings at all. Voskuijl et al. </w:t>
      </w:r>
      <w:r w:rsidRPr="00872636">
        <w:rPr>
          <w:sz w:val="24"/>
          <w:szCs w:val="24"/>
          <w:lang w:val="en-GB"/>
        </w:rPr>
        <w:fldChar w:fldCharType="begin" w:fldLock="1"/>
      </w:r>
      <w:r w:rsidR="00C46200">
        <w:rPr>
          <w:sz w:val="24"/>
          <w:szCs w:val="24"/>
          <w:lang w:val="en-GB"/>
        </w:rPr>
        <w:instrText>ADDIN CSL_CITATION {"citationItems":[{"id":"ITEM-1","itemData":{"DOI":"10.1007/s13272-017-0272-1","ISSN":"1869-5582","author":[{"dropping-particle":"","family":"Voskuijl","given":"Mark","non-dropping-particle":"","parse-names":false,"suffix":""},{"dropping-particle":"","family":"Bogaert","given":"Joris","non-dropping-particle":"van","parse-names":false,"suffix":""},{"dropping-particle":"","family":"Rao","given":"Arvind G.","non-dropping-particle":"","parse-names":false,"suffix":""}],"container-title":"CEAS Aeronautical Journal","id":"ITEM-1","issue":"1","issued":{"date-parts":[["2018","3","31"]]},"page":"15-25","publisher":"Springer Vienna","title":"Analysis and design of hybrid electric regional turboprop aircraft","type":"article-journal","volume":"9"},"uris":["http://www.mendeley.com/documents/?uuid=1ccc42a8-f2fe-3139-bdd3-9a1c541e6985"]}],"mendeley":{"formattedCitation":"[49]","plainTextFormattedCitation":"[49]","previouslyFormattedCitation":"[49]"},"properties":{"noteIndex":0},"schema":"https://github.com/citation-style-language/schema/raw/master/csl-citation.json"}</w:instrText>
      </w:r>
      <w:r w:rsidRPr="00872636">
        <w:rPr>
          <w:sz w:val="24"/>
          <w:szCs w:val="24"/>
          <w:lang w:val="en-GB"/>
        </w:rPr>
        <w:fldChar w:fldCharType="separate"/>
      </w:r>
      <w:r w:rsidR="00801BEA" w:rsidRPr="00801BEA">
        <w:rPr>
          <w:noProof/>
          <w:sz w:val="24"/>
          <w:szCs w:val="24"/>
          <w:lang w:val="en-GB"/>
        </w:rPr>
        <w:t>[49]</w:t>
      </w:r>
      <w:r w:rsidRPr="00872636">
        <w:rPr>
          <w:sz w:val="24"/>
          <w:szCs w:val="24"/>
          <w:lang w:val="en-GB"/>
        </w:rPr>
        <w:fldChar w:fldCharType="end"/>
      </w:r>
      <w:r w:rsidRPr="00872636">
        <w:rPr>
          <w:sz w:val="24"/>
          <w:szCs w:val="24"/>
          <w:lang w:val="en-GB"/>
        </w:rPr>
        <w:t xml:space="preserve"> examine the use of 1000 Wh/kg energy density batteries for powering a 70 passenger regional turbo-prop aircraft with a range of 1528 km, comprising of 34% electric shaft power. The authors do not account for the turbo-prop noise effects in this study. This arrangement results in 28% reduction in mission </w:t>
      </w:r>
      <w:r w:rsidR="00955FFD" w:rsidRPr="007D699F">
        <w:rPr>
          <w:sz w:val="24"/>
          <w:szCs w:val="24"/>
          <w:lang w:val="en-GB"/>
        </w:rPr>
        <w:t>fuel,</w:t>
      </w:r>
      <w:r w:rsidRPr="00872636">
        <w:rPr>
          <w:sz w:val="24"/>
          <w:szCs w:val="24"/>
          <w:lang w:val="en-GB"/>
        </w:rPr>
        <w:t xml:space="preserve"> but it comes at the expense of a larger aircraft in terms of weight and wing area. In a study by Friedrich et al. </w:t>
      </w:r>
      <w:r w:rsidRPr="00872636">
        <w:rPr>
          <w:sz w:val="24"/>
          <w:szCs w:val="24"/>
          <w:lang w:val="en-GB"/>
        </w:rPr>
        <w:fldChar w:fldCharType="begin" w:fldLock="1"/>
      </w:r>
      <w:r w:rsidR="00C46200">
        <w:rPr>
          <w:sz w:val="24"/>
          <w:szCs w:val="24"/>
          <w:lang w:val="en-GB"/>
        </w:rPr>
        <w:instrText>ADDIN CSL_CITATION {"citationItems":[{"id":"ITEM-1","itemData":{"DOI":"10.2514/1.C032660","ISSN":"0021-8669","abstract":"Against a background of increasing energy demand and rising fuel prices, hybrid-electric propulsion systems have the potential to significantly reduce fuel consumption in the aviation industry, particularly in the lighter sectors. By taking advantage of both electric motor and internal combustion engine, hybrid-electric propulsion systems provide not only a benefit in fuel saving but also a reduction in takeoff noise and the emission levels. This research considers the design and sizing process of a hybrid-electric propulsion system for a single-seat demonstrator aircraft, the experimental derivation of the internal combustion engine map, and the electric motor parameters. In addition to the experimental data, a novel modeling approach including several linked desktop PC software packages is presented to analyze and optimize hybrid-electric technology for aircraft. Further to the analysis of a parallel hybrid-electric, midscale aircraft, this paper also presents a scaling approach for a 20 kg unmanned aer...","author":[{"dropping-particle":"","family":"Friedrich","given":"C.","non-dropping-particle":"","parse-names":false,"suffix":""},{"dropping-particle":"","family":"Robertson","given":"P.A.","non-dropping-particle":"","parse-names":false,"suffix":""}],"container-title":"Journal of Aircraft","id":"ITEM-1","issue":"1","issued":{"date-parts":[["2015","1","5"]]},"page":"176-189","publisher":"American Institute of Aeronautics and Astronautics","title":"Hybrid-Electric Propulsion for Aircraft","type":"article-journal","volume":"52"},"uris":["http://www.mendeley.com/documents/?uuid=76d12931-0a7f-35da-bcc4-4eaa0e399930"]}],"mendeley":{"formattedCitation":"[50]","plainTextFormattedCitation":"[50]","previouslyFormattedCitation":"[50]"},"properties":{"noteIndex":0},"schema":"https://github.com/citation-style-language/schema/raw/master/csl-citation.json"}</w:instrText>
      </w:r>
      <w:r w:rsidRPr="00872636">
        <w:rPr>
          <w:sz w:val="24"/>
          <w:szCs w:val="24"/>
          <w:lang w:val="en-GB"/>
        </w:rPr>
        <w:fldChar w:fldCharType="separate"/>
      </w:r>
      <w:r w:rsidR="00801BEA" w:rsidRPr="00801BEA">
        <w:rPr>
          <w:noProof/>
          <w:sz w:val="24"/>
          <w:szCs w:val="24"/>
          <w:lang w:val="en-GB"/>
        </w:rPr>
        <w:t>[50]</w:t>
      </w:r>
      <w:r w:rsidRPr="00872636">
        <w:rPr>
          <w:sz w:val="24"/>
          <w:szCs w:val="24"/>
          <w:lang w:val="en-GB"/>
        </w:rPr>
        <w:fldChar w:fldCharType="end"/>
      </w:r>
      <w:r w:rsidRPr="00872636">
        <w:rPr>
          <w:sz w:val="24"/>
          <w:szCs w:val="24"/>
          <w:lang w:val="en-GB"/>
        </w:rPr>
        <w:t>, a Boeing 737–800 aircraft was retrofitted with a hybrid-electric propulsion system. Assuming a specific energy of 750 Wh/kg, 10.4% fuel saving was computed on a two-hour mission. According to studies by Pornet et al. and Voskuijl et al., the current technology is not ready, and significant development in battery technology is required for hybrid-electric aircraft, especially for a long-range 300 passenger aircraft.</w:t>
      </w:r>
    </w:p>
    <w:p w14:paraId="7F9EBA8F" w14:textId="7B1D4945" w:rsidR="00104A2A" w:rsidRPr="00872636" w:rsidRDefault="00104A2A" w:rsidP="00ED1055">
      <w:pPr>
        <w:pStyle w:val="Text"/>
        <w:tabs>
          <w:tab w:val="clear" w:pos="288"/>
          <w:tab w:val="left" w:pos="709"/>
        </w:tabs>
        <w:ind w:firstLine="0"/>
        <w:rPr>
          <w:sz w:val="24"/>
          <w:szCs w:val="24"/>
          <w:lang w:val="en-GB"/>
        </w:rPr>
      </w:pPr>
      <w:r w:rsidRPr="00872636">
        <w:rPr>
          <w:sz w:val="24"/>
          <w:szCs w:val="24"/>
          <w:lang w:val="en-GB"/>
        </w:rPr>
        <w:tab/>
        <w:t xml:space="preserve">The study by Schäfer et al. </w:t>
      </w:r>
      <w:r w:rsidRPr="00872636">
        <w:rPr>
          <w:sz w:val="24"/>
          <w:szCs w:val="24"/>
          <w:lang w:val="en-GB"/>
        </w:rPr>
        <w:fldChar w:fldCharType="begin" w:fldLock="1"/>
      </w:r>
      <w:r w:rsidR="00C46200">
        <w:rPr>
          <w:sz w:val="24"/>
          <w:szCs w:val="24"/>
          <w:lang w:val="en-GB"/>
        </w:rPr>
        <w:instrText>ADDIN CSL_CITATION {"citationItems":[{"id":"ITEM-1","itemData":{"DOI":"10.1038/s41560-018-0294-x","ISSN":"2058-7546","abstract":"Ever since the Wright brothers’ first powered flight in 1903, commercial aircraft have relied on liquid hydrocarbon fuels. However, the need for greenhouse gas emission reductions along with recent progress in battery technology for automobiles has generated strong interest in electric propulsion in aviation. This Analysis provides a first-order assessment of the energy, economic and environmental implications of all-electric aircraft. We show that batteries with significantly higher specific energy and lower cost, coupled with further reductions of costs and CO2 intensity of electricity, are necessary for exploiting the full range of economic and environmental benefits provided by all-electric aircraft. A global fleet of all-electric aircraft serving all flights up to a distance of 400–600 nautical miles (741–1,111 km) would demand an equivalent of 0.6–1.7% of worldwide electricity consumption in 2015. Although lifecycle CO2 emissions of all-electric aircraft depend on the power generation mix, all direct combustion emissions and thus direct air pollutants and direct non-CO2 warming impacts would be eliminated.","author":[{"dropping-particle":"","family":"Schäfer","given":"Andreas W.","non-dropping-particle":"","parse-names":false,"suffix":""},{"dropping-particle":"","family":"Barrett","given":"Steven R. H.","non-dropping-particle":"","parse-names":false,"suffix":""},{"dropping-particle":"","family":"Doyme","given":"Khan","non-dropping-particle":"","parse-names":false,"suffix":""},{"dropping-particle":"","family":"Dray","given":"Lynnette M.","non-dropping-particle":"","parse-names":false,"suffix":""},{"dropping-particle":"","family":"Gnadt","given":"Albert R.","non-dropping-particle":"","parse-names":false,"suffix":""},{"dropping-particle":"","family":"Self","given":"Rod","non-dropping-particle":"","parse-names":false,"suffix":""},{"dropping-particle":"","family":"O’Sullivan","given":"Aidan","non-dropping-particle":"","parse-names":false,"suffix":""},{"dropping-particle":"","family":"Synodinos","given":"Athanasios P.","non-dropping-particle":"","parse-names":false,"suffix":""},{"dropping-particle":"","family":"Torija","given":"Antonio J.","non-dropping-particle":"","parse-names":false,"suffix":""}],"container-title":"Nature Energy","id":"ITEM-1","issue":"2","issued":{"date-parts":[["2019","2","10"]]},"page":"160-166","publisher":"Nature Publishing Group","title":"Technological, economic and environmental prospects of all-electric aircraft","type":"article-journal","volume":"4"},"uris":["http://www.mendeley.com/documents/?uuid=87e44bd2-d369-336c-87ce-e3c724388749"]}],"mendeley":{"formattedCitation":"[51]","plainTextFormattedCitation":"[51]","previouslyFormattedCitation":"[51]"},"properties":{"noteIndex":0},"schema":"https://github.com/citation-style-language/schema/raw/master/csl-citation.json"}</w:instrText>
      </w:r>
      <w:r w:rsidRPr="00872636">
        <w:rPr>
          <w:sz w:val="24"/>
          <w:szCs w:val="24"/>
          <w:lang w:val="en-GB"/>
        </w:rPr>
        <w:fldChar w:fldCharType="separate"/>
      </w:r>
      <w:r w:rsidR="00801BEA" w:rsidRPr="00801BEA">
        <w:rPr>
          <w:noProof/>
          <w:sz w:val="24"/>
          <w:szCs w:val="24"/>
          <w:lang w:val="en-GB"/>
        </w:rPr>
        <w:t>[51]</w:t>
      </w:r>
      <w:r w:rsidRPr="00872636">
        <w:rPr>
          <w:sz w:val="24"/>
          <w:szCs w:val="24"/>
          <w:lang w:val="en-GB"/>
        </w:rPr>
        <w:fldChar w:fldCharType="end"/>
      </w:r>
      <w:r w:rsidRPr="00872636">
        <w:rPr>
          <w:sz w:val="24"/>
          <w:szCs w:val="24"/>
          <w:lang w:val="en-GB"/>
        </w:rPr>
        <w:t xml:space="preserve"> uses battery packs of 800 Wh/kg for an aircraft completely powered by batteries. This full-electric aircraft seats 150 passengers for a range of up to 1,111 km. The authors find that this full-electric aircraft could replace half of all aircraft departures and has the potential to decrease fuel use and direct CO</w:t>
      </w:r>
      <w:r w:rsidRPr="00872636">
        <w:rPr>
          <w:sz w:val="24"/>
          <w:szCs w:val="24"/>
          <w:vertAlign w:val="subscript"/>
          <w:lang w:val="en-GB"/>
        </w:rPr>
        <w:t>2</w:t>
      </w:r>
      <w:r w:rsidRPr="00872636">
        <w:rPr>
          <w:sz w:val="24"/>
          <w:szCs w:val="24"/>
          <w:lang w:val="en-GB"/>
        </w:rPr>
        <w:t xml:space="preserve"> emissions by 15%. Additionally, this full-electric aircraft can decrease the airport NO</w:t>
      </w:r>
      <w:r w:rsidRPr="00872636">
        <w:rPr>
          <w:sz w:val="24"/>
          <w:szCs w:val="24"/>
          <w:vertAlign w:val="subscript"/>
          <w:lang w:val="en-GB"/>
        </w:rPr>
        <w:t>x</w:t>
      </w:r>
      <w:r w:rsidRPr="00872636">
        <w:rPr>
          <w:sz w:val="24"/>
          <w:szCs w:val="24"/>
          <w:lang w:val="en-GB"/>
        </w:rPr>
        <w:t xml:space="preserve"> emissions by 40%.</w:t>
      </w:r>
    </w:p>
    <w:p w14:paraId="428F4C14" w14:textId="5E984B40" w:rsidR="00120ED3" w:rsidRPr="00872636" w:rsidRDefault="009656DF" w:rsidP="00C525D8">
      <w:pPr>
        <w:pStyle w:val="Text"/>
        <w:tabs>
          <w:tab w:val="clear" w:pos="288"/>
          <w:tab w:val="left" w:pos="567"/>
        </w:tabs>
        <w:ind w:firstLine="0"/>
        <w:jc w:val="center"/>
        <w:rPr>
          <w:sz w:val="24"/>
          <w:szCs w:val="24"/>
          <w:lang w:val="en-GB"/>
        </w:rPr>
      </w:pPr>
      <w:r w:rsidRPr="00872636">
        <w:rPr>
          <w:noProof/>
          <w:sz w:val="24"/>
          <w:szCs w:val="24"/>
          <w:lang w:val="en-GB"/>
        </w:rPr>
        <w:lastRenderedPageBreak/>
        <w:drawing>
          <wp:inline distT="0" distB="0" distL="0" distR="0" wp14:anchorId="404BD189" wp14:editId="2646F680">
            <wp:extent cx="5718810" cy="3474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8810" cy="3474720"/>
                    </a:xfrm>
                    <a:prstGeom prst="rect">
                      <a:avLst/>
                    </a:prstGeom>
                    <a:noFill/>
                    <a:ln>
                      <a:noFill/>
                    </a:ln>
                  </pic:spPr>
                </pic:pic>
              </a:graphicData>
            </a:graphic>
          </wp:inline>
        </w:drawing>
      </w:r>
    </w:p>
    <w:p w14:paraId="07680CAB" w14:textId="097D734E" w:rsidR="00104A2A" w:rsidRPr="00872636" w:rsidRDefault="00104A2A" w:rsidP="00C525D8">
      <w:pPr>
        <w:pStyle w:val="Text"/>
        <w:tabs>
          <w:tab w:val="clear" w:pos="288"/>
          <w:tab w:val="left" w:pos="567"/>
        </w:tabs>
        <w:spacing w:after="240"/>
        <w:ind w:firstLine="0"/>
        <w:jc w:val="center"/>
        <w:rPr>
          <w:b/>
          <w:bCs/>
          <w:sz w:val="24"/>
          <w:szCs w:val="24"/>
          <w:lang w:val="en-GB"/>
        </w:rPr>
      </w:pPr>
      <w:r w:rsidRPr="00872636">
        <w:rPr>
          <w:b/>
          <w:bCs/>
          <w:sz w:val="24"/>
          <w:szCs w:val="24"/>
          <w:lang w:val="en-GB"/>
        </w:rPr>
        <w:t>Figure</w:t>
      </w:r>
      <w:r w:rsidR="002B5E99" w:rsidRPr="00872636">
        <w:rPr>
          <w:b/>
          <w:bCs/>
          <w:sz w:val="24"/>
          <w:szCs w:val="24"/>
          <w:lang w:val="en-GB"/>
        </w:rPr>
        <w:t xml:space="preserve"> SI</w:t>
      </w:r>
      <w:r w:rsidRPr="00872636">
        <w:rPr>
          <w:b/>
          <w:bCs/>
          <w:sz w:val="24"/>
          <w:szCs w:val="24"/>
          <w:lang w:val="en-GB"/>
        </w:rPr>
        <w:t xml:space="preserve"> 1. S</w:t>
      </w:r>
      <w:r w:rsidRPr="00872636">
        <w:rPr>
          <w:b/>
          <w:sz w:val="24"/>
          <w:szCs w:val="24"/>
          <w:lang w:val="en-GB"/>
        </w:rPr>
        <w:t xml:space="preserve">pecific energy of different battery technologies as compared to the energy density of kerosene/conventional jet fuel </w:t>
      </w:r>
      <w:r w:rsidRPr="00872636">
        <w:rPr>
          <w:b/>
          <w:bCs/>
          <w:sz w:val="24"/>
          <w:szCs w:val="24"/>
          <w:lang w:val="en-GB"/>
        </w:rPr>
        <w:t xml:space="preserve">(data source </w:t>
      </w:r>
      <w:r w:rsidRPr="00872636">
        <w:rPr>
          <w:b/>
          <w:bCs/>
          <w:sz w:val="24"/>
          <w:szCs w:val="24"/>
          <w:lang w:val="en-GB"/>
        </w:rPr>
        <w:fldChar w:fldCharType="begin" w:fldLock="1"/>
      </w:r>
      <w:r w:rsidR="00C46200">
        <w:rPr>
          <w:b/>
          <w:bCs/>
          <w:sz w:val="24"/>
          <w:szCs w:val="24"/>
          <w:lang w:val="en-GB"/>
        </w:rPr>
        <w:instrText>ADDIN CSL_CITATION {"citationItems":[{"id":"ITEM-1","itemData":{"URL":"https://www.droneii.com/wp-content/uploads/2017/06/Drone-Energy-Sources.pdf","accessed":{"date-parts":[["2020","8","19"]]},"author":[{"dropping-particle":"","family":"Droneii","given":"","non-dropping-particle":"","parse-names":false,"suffix":""}],"container-title":"Drone Industry Insights","id":"ITEM-1","issued":{"date-parts":[["2017"]]},"title":"Pushing the Boundaries-Drone Energy Sources","type":"webpage"},"uris":["http://www.mendeley.com/documents/?uuid=835d2617-8e2b-3074-817f-bb9d25d38586"]}],"mendeley":{"formattedCitation":"[47]","plainTextFormattedCitation":"[47]","previouslyFormattedCitation":"[47]"},"properties":{"noteIndex":0},"schema":"https://github.com/citation-style-language/schema/raw/master/csl-citation.json"}</w:instrText>
      </w:r>
      <w:r w:rsidRPr="00872636">
        <w:rPr>
          <w:b/>
          <w:bCs/>
          <w:sz w:val="24"/>
          <w:szCs w:val="24"/>
          <w:lang w:val="en-GB"/>
        </w:rPr>
        <w:fldChar w:fldCharType="separate"/>
      </w:r>
      <w:r w:rsidR="00801BEA" w:rsidRPr="00801BEA">
        <w:rPr>
          <w:bCs/>
          <w:noProof/>
          <w:sz w:val="24"/>
          <w:szCs w:val="24"/>
          <w:lang w:val="en-GB"/>
        </w:rPr>
        <w:t>[47]</w:t>
      </w:r>
      <w:r w:rsidRPr="00872636">
        <w:rPr>
          <w:b/>
          <w:bCs/>
          <w:sz w:val="24"/>
          <w:szCs w:val="24"/>
          <w:lang w:val="en-GB"/>
        </w:rPr>
        <w:fldChar w:fldCharType="end"/>
      </w:r>
      <w:r w:rsidRPr="00872636">
        <w:rPr>
          <w:b/>
          <w:bCs/>
          <w:sz w:val="24"/>
          <w:szCs w:val="24"/>
          <w:lang w:val="en-GB"/>
        </w:rPr>
        <w:t>)</w:t>
      </w:r>
    </w:p>
    <w:p w14:paraId="3DBAB465" w14:textId="4BCB1702" w:rsidR="00104A2A" w:rsidRPr="00872636" w:rsidRDefault="00104A2A" w:rsidP="00C525D8">
      <w:pPr>
        <w:pStyle w:val="Text"/>
        <w:tabs>
          <w:tab w:val="clear" w:pos="288"/>
          <w:tab w:val="left" w:pos="709"/>
        </w:tabs>
        <w:ind w:firstLine="0"/>
        <w:rPr>
          <w:sz w:val="24"/>
          <w:szCs w:val="24"/>
          <w:lang w:val="en-GB"/>
        </w:rPr>
      </w:pPr>
      <w:r w:rsidRPr="00872636">
        <w:rPr>
          <w:sz w:val="24"/>
          <w:szCs w:val="24"/>
          <w:lang w:val="en-GB"/>
        </w:rPr>
        <w:tab/>
      </w:r>
      <w:r w:rsidRPr="00872636">
        <w:rPr>
          <w:sz w:val="24"/>
          <w:szCs w:val="24"/>
          <w:lang w:val="en-GB"/>
        </w:rPr>
        <w:tab/>
        <w:t xml:space="preserve">The study by Ashcraft et al. </w:t>
      </w:r>
      <w:r w:rsidRPr="00872636">
        <w:rPr>
          <w:sz w:val="24"/>
          <w:szCs w:val="24"/>
          <w:lang w:val="en-GB"/>
        </w:rPr>
        <w:fldChar w:fldCharType="begin" w:fldLock="1"/>
      </w:r>
      <w:r w:rsidR="00C46200">
        <w:rPr>
          <w:sz w:val="24"/>
          <w:szCs w:val="24"/>
          <w:lang w:val="en-GB"/>
        </w:rPr>
        <w:instrText>ADDIN CSL_CITATION {"citationItems":[{"id":"ITEM-1","itemData":{"URL":"https://ntrs.nasa.gov/citations/20110022435","author":[{"dropping-particle":"","family":"Ashcraft","given":"Scott W","non-dropping-particle":"","parse-names":false,"suffix":""},{"dropping-particle":"","family":"Padron","given":"Andreas S","non-dropping-particle":"","parse-names":false,"suffix":""},{"dropping-particle":"","family":"Pascioni","given":"Kyle A","non-dropping-particle":"","parse-names":false,"suffix":""},{"dropping-particle":"","family":"Stout","given":"Gary W","non-dropping-particle":"","parse-names":false,"suffix":""},{"dropping-particle":"","family":"Huff","given":"Dennis L","non-dropping-particle":"","parse-names":false,"suffix":""}],"id":"ITEM-1","issued":{"date-parts":[["2011"]]},"publisher":"NASA John H. Glenn Research Center at Lewis Field","title":"Review of propulsion technologies for N+3 subsonic vehicle concepts (Report # 20110022435)","type":"webpage"},"uris":["http://www.mendeley.com/documents/?uuid=483d134d-dc69-4474-bc43-149e351c5d23"]}],"mendeley":{"formattedCitation":"[52]","plainTextFormattedCitation":"[52]","previouslyFormattedCitation":"[52]"},"properties":{"noteIndex":0},"schema":"https://github.com/citation-style-language/schema/raw/master/csl-citation.json"}</w:instrText>
      </w:r>
      <w:r w:rsidRPr="00872636">
        <w:rPr>
          <w:sz w:val="24"/>
          <w:szCs w:val="24"/>
          <w:lang w:val="en-GB"/>
        </w:rPr>
        <w:fldChar w:fldCharType="separate"/>
      </w:r>
      <w:r w:rsidR="00801BEA" w:rsidRPr="00801BEA">
        <w:rPr>
          <w:noProof/>
          <w:sz w:val="24"/>
          <w:szCs w:val="24"/>
          <w:lang w:val="en-GB"/>
        </w:rPr>
        <w:t>[52]</w:t>
      </w:r>
      <w:r w:rsidRPr="00872636">
        <w:rPr>
          <w:sz w:val="24"/>
          <w:szCs w:val="24"/>
          <w:lang w:val="en-GB"/>
        </w:rPr>
        <w:fldChar w:fldCharType="end"/>
      </w:r>
      <w:r w:rsidRPr="00872636">
        <w:rPr>
          <w:sz w:val="24"/>
          <w:szCs w:val="24"/>
          <w:lang w:val="en-GB"/>
        </w:rPr>
        <w:t xml:space="preserve"> reviews several hybrid-electric aircraft concepts that use multiple futuristic technologies such as batteries, fuel cells and boundary layer ingestion. This study includes feasibility criteria and constraints for such futuristic aircraft concepts. These hybrid-electric aircraft concepts are further analysed and compared in detail with systems engineering approach, and it is found that NASA N3-X turbo-electric distributed propulsion (TeDP) is the best concept that can meet NASA’s rigorous design goals in 2035 timeframe </w:t>
      </w:r>
      <w:r w:rsidRPr="00872636">
        <w:rPr>
          <w:sz w:val="24"/>
          <w:szCs w:val="24"/>
          <w:lang w:val="en-GB"/>
        </w:rPr>
        <w:fldChar w:fldCharType="begin" w:fldLock="1"/>
      </w:r>
      <w:r w:rsidR="00C46200">
        <w:rPr>
          <w:sz w:val="24"/>
          <w:szCs w:val="24"/>
          <w:lang w:val="en-GB"/>
        </w:rPr>
        <w:instrText>ADDIN CSL_CITATION {"citationItems":[{"id":"ITEM-1","itemData":{"DOI":"https://doi.org/10.15282/ijame.16.4.2019.07.0541","author":[{"dropping-particle":"","family":"Jagtap","given":"Swapnil Sarjerao","non-dropping-particle":"","parse-names":false,"suffix":""}],"container-title":"International Journal of Automotive and Mechanical Engineering","id":"ITEM-1","issue":"4","issued":{"date-parts":[["2019"]]},"page":"7259–7286","title":"Systems evaluation of subsonic hybrid-electric propulsion concepts for NASA N+3 goals and conceptual aircraft sizing","type":"article-journal","volume":"16"},"uris":["http://www.mendeley.com/documents/?uuid=8a6e39f5-034f-426c-9b30-6c4301d8e03c"]}],"mendeley":{"formattedCitation":"[53]","plainTextFormattedCitation":"[53]","previouslyFormattedCitation":"[53]"},"properties":{"noteIndex":0},"schema":"https://github.com/citation-style-language/schema/raw/master/csl-citation.json"}</w:instrText>
      </w:r>
      <w:r w:rsidRPr="00872636">
        <w:rPr>
          <w:sz w:val="24"/>
          <w:szCs w:val="24"/>
          <w:lang w:val="en-GB"/>
        </w:rPr>
        <w:fldChar w:fldCharType="separate"/>
      </w:r>
      <w:r w:rsidR="00801BEA" w:rsidRPr="00801BEA">
        <w:rPr>
          <w:noProof/>
          <w:sz w:val="24"/>
          <w:szCs w:val="24"/>
          <w:lang w:val="en-GB"/>
        </w:rPr>
        <w:t>[53]</w:t>
      </w:r>
      <w:r w:rsidRPr="00872636">
        <w:rPr>
          <w:sz w:val="24"/>
          <w:szCs w:val="24"/>
          <w:lang w:val="en-GB"/>
        </w:rPr>
        <w:fldChar w:fldCharType="end"/>
      </w:r>
      <w:r w:rsidRPr="00872636">
        <w:rPr>
          <w:sz w:val="24"/>
          <w:szCs w:val="24"/>
          <w:lang w:val="en-GB"/>
        </w:rPr>
        <w:t xml:space="preserve">. The NASA N3-X turbo-electric distributed propulsion (TeDP) is expected to offer dramatic energy consumption reduction </w:t>
      </w:r>
      <w:r w:rsidRPr="00872636">
        <w:rPr>
          <w:sz w:val="24"/>
          <w:szCs w:val="24"/>
          <w:lang w:val="en-GB"/>
        </w:rPr>
        <w:fldChar w:fldCharType="begin" w:fldLock="1"/>
      </w:r>
      <w:r w:rsidR="00C46200">
        <w:rPr>
          <w:sz w:val="24"/>
          <w:szCs w:val="24"/>
          <w:lang w:val="en-GB"/>
        </w:rPr>
        <w:instrText>ADDIN CSL_CITATION {"citationItems":[{"id":"ITEM-1","itemData":{"URL":"https://ntrs.nasa.gov/citations/20110022435","author":[{"dropping-particle":"","family":"Ashcraft","given":"Scott W","non-dropping-particle":"","parse-names":false,"suffix":""},{"dropping-particle":"","family":"Padron","given":"Andreas S","non-dropping-particle":"","parse-names":false,"suffix":""},{"dropping-particle":"","family":"Pascioni","given":"Kyle A","non-dropping-particle":"","parse-names":false,"suffix":""},{"dropping-particle":"","family":"Stout","given":"Gary W","non-dropping-particle":"","parse-names":false,"suffix":""},{"dropping-particle":"","family":"Huff","given":"Dennis L","non-dropping-particle":"","parse-names":false,"suffix":""}],"id":"ITEM-1","issued":{"date-parts":[["2011"]]},"publisher":"NASA John H. Glenn Research Center at Lewis Field","title":"Review of propulsion technologies for N+3 subsonic vehicle concepts (Report # 20110022435)","type":"webpage"},"uris":["http://www.mendeley.com/documents/?uuid=483d134d-dc69-4474-bc43-149e351c5d23"]}],"mendeley":{"formattedCitation":"[52]","plainTextFormattedCitation":"[52]","previouslyFormattedCitation":"[52]"},"properties":{"noteIndex":0},"schema":"https://github.com/citation-style-language/schema/raw/master/csl-citation.json"}</w:instrText>
      </w:r>
      <w:r w:rsidRPr="00872636">
        <w:rPr>
          <w:sz w:val="24"/>
          <w:szCs w:val="24"/>
          <w:lang w:val="en-GB"/>
        </w:rPr>
        <w:fldChar w:fldCharType="separate"/>
      </w:r>
      <w:r w:rsidR="00801BEA" w:rsidRPr="00801BEA">
        <w:rPr>
          <w:noProof/>
          <w:sz w:val="24"/>
          <w:szCs w:val="24"/>
          <w:lang w:val="en-GB"/>
        </w:rPr>
        <w:t>[52]</w:t>
      </w:r>
      <w:r w:rsidRPr="00872636">
        <w:rPr>
          <w:sz w:val="24"/>
          <w:szCs w:val="24"/>
          <w:lang w:val="en-GB"/>
        </w:rPr>
        <w:fldChar w:fldCharType="end"/>
      </w:r>
      <w:r w:rsidRPr="00872636">
        <w:rPr>
          <w:sz w:val="24"/>
          <w:szCs w:val="24"/>
          <w:lang w:val="en-GB"/>
        </w:rPr>
        <w:t xml:space="preserve">. The electric motors and boundary layer ingestion (BLI) require significant technological developments. The BLI affects the propulsion system design due to flow distortion, and it has to be accurately included within the propulsion system design and optimization via high-fidelity multi-physics approach </w:t>
      </w:r>
      <w:r w:rsidRPr="00872636">
        <w:rPr>
          <w:sz w:val="24"/>
          <w:szCs w:val="24"/>
          <w:lang w:val="en-GB"/>
        </w:rPr>
        <w:fldChar w:fldCharType="begin" w:fldLock="1"/>
      </w:r>
      <w:r w:rsidR="00C46200">
        <w:rPr>
          <w:sz w:val="24"/>
          <w:szCs w:val="24"/>
          <w:lang w:val="en-GB"/>
        </w:rPr>
        <w:instrText>ADDIN CSL_CITATION {"citationItems":[{"id":"ITEM-1","itemData":{"DOI":"10.1016/J.AST.2017.09.046","ISSN":"1270-9638","abstract":"System studies show that NASA's N3-X hybrid wing-body aircraft with a turboelectric distributed propulsion system using a mail-slot inlet/nozzle nacelle can meet the environmental and performance goals of N+3 generation transports (three generations beyond the current air transport technology level). In this paper, we present flow calculations and shape optimization of the integrated N3-X configuration, including the mail-slot propulsor, based on an unstructured-mesh Navier–Stokes solver. To simulate the propulsor fans flow, a novel body force model is suggested for a realistic and efficient representation of flow turning, pressure rise and losses resulting from the fan blades and the inlet-fan interactions for distorted inflow conditions. This work is the first of its kind analysis and design study on boundary layer ingestion inlet and fan interaction problems using the body force method. A mail-slot geometry was generated and installed on the N3-X configuration with an efficient CAD-free method. An optimal shape design of the mail-slot nacelle surface with the adjoint method was successfully conducted to reduce the strength of shock waves and flow separations on the cowl surface.","author":[{"dropping-particle":"","family":"Kim","given":"Hyoungjin","non-dropping-particle":"","parse-names":false,"suffix":""},{"dropping-particle":"","family":"Liou","given":"Meng-Sing","non-dropping-particle":"","parse-names":false,"suffix":""}],"container-title":"Aerospace Science and Technology","id":"ITEM-1","issued":{"date-parts":[["2017","12","1"]]},"page":"661-674","publisher":"Elsevier Masson","title":"Flow simulation and optimal shape design of N3-X hybrid wing body configuration using a body force method","type":"article-journal","volume":"71"},"uris":["http://www.mendeley.com/documents/?uuid=04a872c1-3cd5-374b-8b09-f1f9f70eb482"]}],"mendeley":{"formattedCitation":"[54]","plainTextFormattedCitation":"[54]","previouslyFormattedCitation":"[54]"},"properties":{"noteIndex":0},"schema":"https://github.com/citation-style-language/schema/raw/master/csl-citation.json"}</w:instrText>
      </w:r>
      <w:r w:rsidRPr="00872636">
        <w:rPr>
          <w:sz w:val="24"/>
          <w:szCs w:val="24"/>
          <w:lang w:val="en-GB"/>
        </w:rPr>
        <w:fldChar w:fldCharType="separate"/>
      </w:r>
      <w:r w:rsidR="00801BEA" w:rsidRPr="00801BEA">
        <w:rPr>
          <w:noProof/>
          <w:sz w:val="24"/>
          <w:szCs w:val="24"/>
          <w:lang w:val="en-GB"/>
        </w:rPr>
        <w:t>[54]</w:t>
      </w:r>
      <w:r w:rsidRPr="00872636">
        <w:rPr>
          <w:sz w:val="24"/>
          <w:szCs w:val="24"/>
          <w:lang w:val="en-GB"/>
        </w:rPr>
        <w:fldChar w:fldCharType="end"/>
      </w:r>
      <w:r w:rsidRPr="00872636">
        <w:rPr>
          <w:sz w:val="24"/>
          <w:szCs w:val="24"/>
          <w:lang w:val="en-GB"/>
        </w:rPr>
        <w:t xml:space="preserve">. As per Ashcraft et al. </w:t>
      </w:r>
      <w:r w:rsidRPr="00872636">
        <w:rPr>
          <w:sz w:val="24"/>
          <w:szCs w:val="24"/>
          <w:lang w:val="en-GB"/>
        </w:rPr>
        <w:fldChar w:fldCharType="begin" w:fldLock="1"/>
      </w:r>
      <w:r w:rsidR="00C46200">
        <w:rPr>
          <w:sz w:val="24"/>
          <w:szCs w:val="24"/>
          <w:lang w:val="en-GB"/>
        </w:rPr>
        <w:instrText>ADDIN CSL_CITATION {"citationItems":[{"id":"ITEM-1","itemData":{"URL":"https://ntrs.nasa.gov/citations/20110022435","author":[{"dropping-particle":"","family":"Ashcraft","given":"Scott W","non-dropping-particle":"","parse-names":false,"suffix":""},{"dropping-particle":"","family":"Padron","given":"Andreas S","non-dropping-particle":"","parse-names":false,"suffix":""},{"dropping-particle":"","family":"Pascioni","given":"Kyle A","non-dropping-particle":"","parse-names":false,"suffix":""},{"dropping-particle":"","family":"Stout","given":"Gary W","non-dropping-particle":"","parse-names":false,"suffix":""},{"dropping-particle":"","family":"Huff","given":"Dennis L","non-dropping-particle":"","parse-names":false,"suffix":""}],"id":"ITEM-1","issued":{"date-parts":[["2011"]]},"publisher":"NASA John H. Glenn Research Center at Lewis Field","title":"Review of propulsion technologies for N+3 subsonic vehicle concepts (Report # 20110022435)","type":"webpage"},"uris":["http://www.mendeley.com/documents/?uuid=483d134d-dc69-4474-bc43-149e351c5d23"]}],"mendeley":{"formattedCitation":"[52]","plainTextFormattedCitation":"[52]","previouslyFormattedCitation":"[52]"},"properties":{"noteIndex":0},"schema":"https://github.com/citation-style-language/schema/raw/master/csl-citation.json"}</w:instrText>
      </w:r>
      <w:r w:rsidRPr="00872636">
        <w:rPr>
          <w:sz w:val="24"/>
          <w:szCs w:val="24"/>
          <w:lang w:val="en-GB"/>
        </w:rPr>
        <w:fldChar w:fldCharType="separate"/>
      </w:r>
      <w:r w:rsidR="00801BEA" w:rsidRPr="00801BEA">
        <w:rPr>
          <w:noProof/>
          <w:sz w:val="24"/>
          <w:szCs w:val="24"/>
          <w:lang w:val="en-GB"/>
        </w:rPr>
        <w:t>[52]</w:t>
      </w:r>
      <w:r w:rsidRPr="00872636">
        <w:rPr>
          <w:sz w:val="24"/>
          <w:szCs w:val="24"/>
          <w:lang w:val="en-GB"/>
        </w:rPr>
        <w:fldChar w:fldCharType="end"/>
      </w:r>
      <w:r w:rsidRPr="00872636">
        <w:rPr>
          <w:sz w:val="24"/>
          <w:szCs w:val="24"/>
          <w:lang w:val="en-GB"/>
        </w:rPr>
        <w:t xml:space="preserve">, fuel cells are unlikely to be ready for powering propulsion systems on large aircraft </w:t>
      </w:r>
      <w:r w:rsidRPr="00872636">
        <w:rPr>
          <w:sz w:val="24"/>
          <w:szCs w:val="24"/>
          <w:lang w:val="en-GB"/>
        </w:rPr>
        <w:lastRenderedPageBreak/>
        <w:t xml:space="preserve">by year 2035 but they are more likely to be used for augmenting a primary power source. Additionally, considering past battery development cycles it is unlikely that new chemistries will be available for year 2035 advanced concepts. NASA N3-X TeDP concept uses novel propulsion system, which utilizes superconducting electrically driven, distributed low-pressure-ratio fans with power provided by two remote superconducting electric generators </w:t>
      </w:r>
      <w:r w:rsidRPr="00872636">
        <w:rPr>
          <w:sz w:val="24"/>
          <w:szCs w:val="24"/>
          <w:lang w:val="en-GB"/>
        </w:rPr>
        <w:fldChar w:fldCharType="begin" w:fldLock="1"/>
      </w:r>
      <w:r w:rsidR="00C46200">
        <w:rPr>
          <w:sz w:val="24"/>
          <w:szCs w:val="24"/>
          <w:lang w:val="en-GB"/>
        </w:rPr>
        <w:instrText>ADDIN CSL_CITATION {"citationItems":[{"id":"ITEM-1","itemData":{"author":[{"dropping-particle":"","family":"Felder","given":"James L.","non-dropping-particle":"","parse-names":false,"suffix":""},{"dropping-particle":"V.","family":"Brown","given":"Gerald","non-dropping-particle":"","parse-names":false,"suffix":""},{"dropping-particle":"","family":"DaeKim","given":"Hyun","non-dropping-particle":"","parse-names":false,"suffix":""},{"dropping-particle":"","family":"Chu","given":"Julio","non-dropping-particle":"","parse-names":false,"suffix":""}],"id":"ITEM-1","issued":{"date-parts":[["2011"]]},"title":"Turboelectric Distributed Propulsion in a Hybrid Wing Body Aircraft","type":"report"},"uris":["http://www.mendeley.com/documents/?uuid=3c0052f3-0da4-3363-ab98-de1d8b57db21"]}],"mendeley":{"formattedCitation":"[55]","plainTextFormattedCitation":"[55]","previouslyFormattedCitation":"[55]"},"properties":{"noteIndex":0},"schema":"https://github.com/citation-style-language/schema/raw/master/csl-citation.json"}</w:instrText>
      </w:r>
      <w:r w:rsidRPr="00872636">
        <w:rPr>
          <w:sz w:val="24"/>
          <w:szCs w:val="24"/>
          <w:lang w:val="en-GB"/>
        </w:rPr>
        <w:fldChar w:fldCharType="separate"/>
      </w:r>
      <w:r w:rsidR="00801BEA" w:rsidRPr="00801BEA">
        <w:rPr>
          <w:noProof/>
          <w:sz w:val="24"/>
          <w:szCs w:val="24"/>
          <w:lang w:val="en-GB"/>
        </w:rPr>
        <w:t>[55]</w:t>
      </w:r>
      <w:r w:rsidRPr="00872636">
        <w:rPr>
          <w:sz w:val="24"/>
          <w:szCs w:val="24"/>
          <w:lang w:val="en-GB"/>
        </w:rPr>
        <w:fldChar w:fldCharType="end"/>
      </w:r>
      <w:r w:rsidRPr="00872636">
        <w:rPr>
          <w:sz w:val="24"/>
          <w:szCs w:val="24"/>
          <w:lang w:val="en-GB"/>
        </w:rPr>
        <w:t>. The turbo-generators are located at the wing tips, while the fans are positioned at the rear of the planform where they ingest the boundary layer. NASA N3-X TeDP concept has the potential to reduce fuel consumption by 70-72%. For this concept it is assumed that the required power density of the generators and motors is achieved from wound rotor synchronous machines with superconductor windings on stator and rotor. For keeping the required cooling capacity within acceptable limits, the stator conductors must be engineered carefully for reducing the AC losses. The required filament size for enabling this presently appears achievable only for the superconductor MgB</w:t>
      </w:r>
      <w:r w:rsidRPr="00872636">
        <w:rPr>
          <w:sz w:val="24"/>
          <w:szCs w:val="24"/>
          <w:vertAlign w:val="subscript"/>
          <w:lang w:val="en-GB"/>
        </w:rPr>
        <w:t>2</w:t>
      </w:r>
      <w:r w:rsidRPr="00872636">
        <w:rPr>
          <w:sz w:val="24"/>
          <w:szCs w:val="24"/>
          <w:lang w:val="en-GB"/>
        </w:rPr>
        <w:t>. The critical temperature (the highest temperature at which it is superconducting) for MgB</w:t>
      </w:r>
      <w:r w:rsidRPr="00872636">
        <w:rPr>
          <w:sz w:val="24"/>
          <w:szCs w:val="24"/>
          <w:vertAlign w:val="subscript"/>
          <w:lang w:val="en-GB"/>
        </w:rPr>
        <w:t>2</w:t>
      </w:r>
      <w:r w:rsidRPr="00872636">
        <w:rPr>
          <w:sz w:val="24"/>
          <w:szCs w:val="24"/>
          <w:lang w:val="en-GB"/>
        </w:rPr>
        <w:t xml:space="preserve"> is only 39K, and it must be below 30K for producing useful current density. Although Bismuth Strontium Calcium Copper Oxide cannot be manufactured presently with acceptable AC losses, a future development is assumed which makes it possible. Motors and generators with a hypothetical fine-wire </w:t>
      </w:r>
      <w:r w:rsidR="00D91458" w:rsidRPr="00872636">
        <w:rPr>
          <w:sz w:val="24"/>
          <w:szCs w:val="24"/>
          <w:lang w:val="en-GB"/>
        </w:rPr>
        <w:t>Bismuth Strontium Calcium Copper Oxide</w:t>
      </w:r>
      <w:r w:rsidRPr="00872636">
        <w:rPr>
          <w:sz w:val="24"/>
          <w:szCs w:val="24"/>
          <w:lang w:val="en-GB"/>
        </w:rPr>
        <w:t xml:space="preserve"> are assumed. Additionally, according to Ashcraft et al. </w:t>
      </w:r>
      <w:r w:rsidRPr="00872636">
        <w:rPr>
          <w:sz w:val="24"/>
          <w:szCs w:val="24"/>
          <w:lang w:val="en-GB"/>
        </w:rPr>
        <w:fldChar w:fldCharType="begin" w:fldLock="1"/>
      </w:r>
      <w:r w:rsidR="00C46200">
        <w:rPr>
          <w:sz w:val="24"/>
          <w:szCs w:val="24"/>
          <w:lang w:val="en-GB"/>
        </w:rPr>
        <w:instrText>ADDIN CSL_CITATION {"citationItems":[{"id":"ITEM-1","itemData":{"URL":"https://ntrs.nasa.gov/citations/20110022435","author":[{"dropping-particle":"","family":"Ashcraft","given":"Scott W","non-dropping-particle":"","parse-names":false,"suffix":""},{"dropping-particle":"","family":"Padron","given":"Andreas S","non-dropping-particle":"","parse-names":false,"suffix":""},{"dropping-particle":"","family":"Pascioni","given":"Kyle A","non-dropping-particle":"","parse-names":false,"suffix":""},{"dropping-particle":"","family":"Stout","given":"Gary W","non-dropping-particle":"","parse-names":false,"suffix":""},{"dropping-particle":"","family":"Huff","given":"Dennis L","non-dropping-particle":"","parse-names":false,"suffix":""}],"id":"ITEM-1","issued":{"date-parts":[["2011"]]},"publisher":"NASA John H. Glenn Research Center at Lewis Field","title":"Review of propulsion technologies for N+3 subsonic vehicle concepts (Report # 20110022435)","type":"webpage"},"uris":["http://www.mendeley.com/documents/?uuid=483d134d-dc69-4474-bc43-149e351c5d23"]}],"mendeley":{"formattedCitation":"[52]","plainTextFormattedCitation":"[52]","previouslyFormattedCitation":"[52]"},"properties":{"noteIndex":0},"schema":"https://github.com/citation-style-language/schema/raw/master/csl-citation.json"}</w:instrText>
      </w:r>
      <w:r w:rsidRPr="00872636">
        <w:rPr>
          <w:sz w:val="24"/>
          <w:szCs w:val="24"/>
          <w:lang w:val="en-GB"/>
        </w:rPr>
        <w:fldChar w:fldCharType="separate"/>
      </w:r>
      <w:r w:rsidR="00801BEA" w:rsidRPr="00801BEA">
        <w:rPr>
          <w:noProof/>
          <w:sz w:val="24"/>
          <w:szCs w:val="24"/>
          <w:lang w:val="en-GB"/>
        </w:rPr>
        <w:t>[52]</w:t>
      </w:r>
      <w:r w:rsidRPr="00872636">
        <w:rPr>
          <w:sz w:val="24"/>
          <w:szCs w:val="24"/>
          <w:lang w:val="en-GB"/>
        </w:rPr>
        <w:fldChar w:fldCharType="end"/>
      </w:r>
      <w:r w:rsidRPr="00872636">
        <w:rPr>
          <w:sz w:val="24"/>
          <w:szCs w:val="24"/>
          <w:lang w:val="en-GB"/>
        </w:rPr>
        <w:t>, superconducting electric motors are extremely important to the success of NASA’s N3-X TeDP concept. The limitations of using the said superconducting system is the increased system complexity. Along with the electric motors, other components such as a compressor, cryocooling system, inverter, and power source would also need to be added. The viability is closely related to the development of boundary layer ingestion and superconducting electric motor/generators that will eliminate mechanical connections for power distribution.</w:t>
      </w:r>
    </w:p>
    <w:p w14:paraId="3EA749FA" w14:textId="5E9108EB" w:rsidR="00104A2A" w:rsidRPr="00872636" w:rsidRDefault="00104A2A" w:rsidP="00C525D8">
      <w:pPr>
        <w:pStyle w:val="Text"/>
        <w:tabs>
          <w:tab w:val="clear" w:pos="288"/>
          <w:tab w:val="left" w:pos="709"/>
        </w:tabs>
        <w:ind w:firstLine="0"/>
        <w:rPr>
          <w:sz w:val="24"/>
          <w:szCs w:val="24"/>
          <w:lang w:val="en-GB"/>
        </w:rPr>
      </w:pPr>
      <w:r w:rsidRPr="00872636">
        <w:rPr>
          <w:sz w:val="24"/>
          <w:szCs w:val="24"/>
          <w:lang w:val="en-GB"/>
        </w:rPr>
        <w:lastRenderedPageBreak/>
        <w:tab/>
        <w:t xml:space="preserve">Researchers at the University of Cambridge have developed a single-seater hybrid-electric aircraft (battery energy density not known)  and have flown it successfully </w:t>
      </w:r>
      <w:r w:rsidRPr="00872636">
        <w:rPr>
          <w:sz w:val="24"/>
          <w:szCs w:val="24"/>
          <w:lang w:val="en-GB"/>
        </w:rPr>
        <w:fldChar w:fldCharType="begin" w:fldLock="1"/>
      </w:r>
      <w:r w:rsidR="00C46200">
        <w:rPr>
          <w:sz w:val="24"/>
          <w:szCs w:val="24"/>
          <w:lang w:val="en-GB"/>
        </w:rPr>
        <w:instrText>ADDIN CSL_CITATION {"citationItems":[{"id":"ITEM-1","itemData":{"URL":"https://www.cam.ac.uk/research/news/watts-up-aeroplanes-go-hybrid-electric","accessed":{"date-parts":[["2019","1","14"]]},"author":[{"dropping-particle":"","family":"Cambridge","given":"University of","non-dropping-particle":"","parse-names":false,"suffix":""}],"container-title":"University of Cambridge","id":"ITEM-1","issued":{"date-parts":[["2014"]]},"title":"Watts up - aeroplanes go hybrid-electric","type":"webpage"},"uris":["http://www.mendeley.com/documents/?uuid=19dedbdd-e4dd-30b1-b422-90f0ebb54ca5"]}],"mendeley":{"formattedCitation":"[56]","plainTextFormattedCitation":"[56]","previouslyFormattedCitation":"[56]"},"properties":{"noteIndex":0},"schema":"https://github.com/citation-style-language/schema/raw/master/csl-citation.json"}</w:instrText>
      </w:r>
      <w:r w:rsidRPr="00872636">
        <w:rPr>
          <w:sz w:val="24"/>
          <w:szCs w:val="24"/>
          <w:lang w:val="en-GB"/>
        </w:rPr>
        <w:fldChar w:fldCharType="separate"/>
      </w:r>
      <w:r w:rsidR="00801BEA" w:rsidRPr="00801BEA">
        <w:rPr>
          <w:noProof/>
          <w:sz w:val="24"/>
          <w:szCs w:val="24"/>
          <w:lang w:val="en-GB"/>
        </w:rPr>
        <w:t>[56]</w:t>
      </w:r>
      <w:r w:rsidRPr="00872636">
        <w:rPr>
          <w:sz w:val="24"/>
          <w:szCs w:val="24"/>
          <w:lang w:val="en-GB"/>
        </w:rPr>
        <w:fldChar w:fldCharType="end"/>
      </w:r>
      <w:r w:rsidRPr="00872636">
        <w:rPr>
          <w:sz w:val="24"/>
          <w:szCs w:val="24"/>
          <w:lang w:val="en-GB"/>
        </w:rPr>
        <w:t xml:space="preserve">. For the 2040 timeframe, DLR researchers are developing a 70 seater hybrid-electric aircraft (battery energy density unknown) with a range of 2,000 km </w:t>
      </w:r>
      <w:r w:rsidRPr="00872636">
        <w:rPr>
          <w:sz w:val="24"/>
          <w:szCs w:val="24"/>
          <w:lang w:val="en-GB"/>
        </w:rPr>
        <w:fldChar w:fldCharType="begin" w:fldLock="1"/>
      </w:r>
      <w:r w:rsidR="00C46200">
        <w:rPr>
          <w:sz w:val="24"/>
          <w:szCs w:val="24"/>
          <w:lang w:val="en-GB"/>
        </w:rPr>
        <w:instrText>ADDIN CSL_CITATION {"citationItems":[{"id":"ITEM-1","itemData":{"URL":"https://www.dlr.de/en/latest/news/2020/02/20200504_conceptual-study-for-environment-friendly-flight","accessed":{"date-parts":[["2021","5","26"]]},"author":[{"dropping-particle":"","family":"DLR","given":"","non-dropping-particle":"","parse-names":false,"suffix":""}],"container-title":"DLR","id":"ITEM-1","issued":{"date-parts":[["2020"]]},"title":"Conceptual study for environment-friendly flight","type":"webpage"},"uris":["http://www.mendeley.com/documents/?uuid=0da13f28-a71e-3d1e-a958-e9231debe118"]}],"mendeley":{"formattedCitation":"[57]","plainTextFormattedCitation":"[57]","previouslyFormattedCitation":"[57]"},"properties":{"noteIndex":0},"schema":"https://github.com/citation-style-language/schema/raw/master/csl-citation.json"}</w:instrText>
      </w:r>
      <w:r w:rsidRPr="00872636">
        <w:rPr>
          <w:sz w:val="24"/>
          <w:szCs w:val="24"/>
          <w:lang w:val="en-GB"/>
        </w:rPr>
        <w:fldChar w:fldCharType="separate"/>
      </w:r>
      <w:r w:rsidR="00801BEA" w:rsidRPr="00801BEA">
        <w:rPr>
          <w:noProof/>
          <w:sz w:val="24"/>
          <w:szCs w:val="24"/>
          <w:lang w:val="en-GB"/>
        </w:rPr>
        <w:t>[57]</w:t>
      </w:r>
      <w:r w:rsidRPr="00872636">
        <w:rPr>
          <w:sz w:val="24"/>
          <w:szCs w:val="24"/>
          <w:lang w:val="en-GB"/>
        </w:rPr>
        <w:fldChar w:fldCharType="end"/>
      </w:r>
      <w:r w:rsidRPr="00872636">
        <w:rPr>
          <w:sz w:val="24"/>
          <w:szCs w:val="24"/>
          <w:lang w:val="en-GB"/>
        </w:rPr>
        <w:t xml:space="preserve">. </w:t>
      </w:r>
      <w:r w:rsidRPr="00872636">
        <w:rPr>
          <w:sz w:val="24"/>
          <w:szCs w:val="24"/>
          <w:lang w:val="en-GB" w:eastAsia="en-GB"/>
        </w:rPr>
        <w:t xml:space="preserve">According to Rolls Royce </w:t>
      </w:r>
      <w:r w:rsidRPr="00872636">
        <w:rPr>
          <w:sz w:val="24"/>
          <w:szCs w:val="24"/>
          <w:lang w:val="en-GB" w:eastAsia="en-GB"/>
        </w:rPr>
        <w:fldChar w:fldCharType="begin" w:fldLock="1"/>
      </w:r>
      <w:r w:rsidR="00C46200">
        <w:rPr>
          <w:sz w:val="24"/>
          <w:szCs w:val="24"/>
          <w:lang w:val="en-GB" w:eastAsia="en-GB"/>
        </w:rPr>
        <w:instrText>ADDIN CSL_CITATION {"citationItems":[{"id":"ITEM-1","itemData":{"author":[{"dropping-particle":"","family":"Newby","given":"Alan","non-dropping-particle":"","parse-names":false,"suffix":""}],"container-title":"Keynote at AIAA Propulsion and Energy Forum 2019","id":"ITEM-1","issued":{"date-parts":[["2019"]]},"publisher":"American Institute of Aeronautics and Astronautics","title":"Toward Sustainable Aviation","type":"article"},"uris":["http://www.mendeley.com/documents/?uuid=875dfc71-4228-3b21-a197-ff48f08c9e6e"]}],"mendeley":{"formattedCitation":"[38]","plainTextFormattedCitation":"[38]","previouslyFormattedCitation":"[38]"},"properties":{"noteIndex":0},"schema":"https://github.com/citation-style-language/schema/raw/master/csl-citation.json"}</w:instrText>
      </w:r>
      <w:r w:rsidRPr="00872636">
        <w:rPr>
          <w:sz w:val="24"/>
          <w:szCs w:val="24"/>
          <w:lang w:val="en-GB" w:eastAsia="en-GB"/>
        </w:rPr>
        <w:fldChar w:fldCharType="separate"/>
      </w:r>
      <w:r w:rsidR="00801BEA" w:rsidRPr="00801BEA">
        <w:rPr>
          <w:noProof/>
          <w:sz w:val="24"/>
          <w:szCs w:val="24"/>
          <w:lang w:val="en-GB" w:eastAsia="en-GB"/>
        </w:rPr>
        <w:t>[38]</w:t>
      </w:r>
      <w:r w:rsidRPr="00872636">
        <w:rPr>
          <w:sz w:val="24"/>
          <w:szCs w:val="24"/>
          <w:lang w:val="en-GB" w:eastAsia="en-GB"/>
        </w:rPr>
        <w:fldChar w:fldCharType="end"/>
      </w:r>
      <w:r w:rsidRPr="00872636">
        <w:rPr>
          <w:sz w:val="24"/>
          <w:szCs w:val="24"/>
          <w:lang w:val="en-GB" w:eastAsia="en-GB"/>
        </w:rPr>
        <w:t>, all-electric propulsion can power a small aircraft with short range. This is typically a regional and single-aisle aircraft category. Moreover, hybrid-electric aircraft technology can be used for typical medium range aircraft, and potentially with its range extended to slightly higher range.</w:t>
      </w:r>
    </w:p>
    <w:p w14:paraId="32CDDA02" w14:textId="15EBFE5F" w:rsidR="00DA7F4B" w:rsidRPr="00872636" w:rsidRDefault="00104A2A" w:rsidP="00C525D8">
      <w:pPr>
        <w:pStyle w:val="Text"/>
        <w:tabs>
          <w:tab w:val="clear" w:pos="288"/>
          <w:tab w:val="left" w:pos="709"/>
        </w:tabs>
        <w:ind w:firstLine="0"/>
        <w:rPr>
          <w:sz w:val="24"/>
          <w:szCs w:val="24"/>
          <w:bdr w:val="none" w:sz="0" w:space="0" w:color="auto" w:frame="1"/>
          <w:lang w:val="en-GB" w:eastAsia="en-GB"/>
        </w:rPr>
      </w:pPr>
      <w:r w:rsidRPr="00872636">
        <w:rPr>
          <w:sz w:val="24"/>
          <w:szCs w:val="24"/>
          <w:lang w:val="en-GB"/>
        </w:rPr>
        <w:tab/>
        <w:t xml:space="preserve">Overall, the assumption of battery energy density reaching 4-8 times the present capacity, the maximum fuel consumption reduction of 28% is observed in a </w:t>
      </w:r>
      <w:r w:rsidR="003008CC" w:rsidRPr="00872636">
        <w:rPr>
          <w:sz w:val="24"/>
          <w:szCs w:val="24"/>
          <w:lang w:val="en-GB"/>
        </w:rPr>
        <w:t>short</w:t>
      </w:r>
      <w:r w:rsidR="003008CC">
        <w:rPr>
          <w:sz w:val="24"/>
          <w:szCs w:val="24"/>
          <w:lang w:val="en-GB"/>
        </w:rPr>
        <w:t>-</w:t>
      </w:r>
      <w:r w:rsidRPr="00872636">
        <w:rPr>
          <w:sz w:val="24"/>
          <w:szCs w:val="24"/>
          <w:lang w:val="en-GB"/>
        </w:rPr>
        <w:t>range turbo-prop aircraft seating 70 passengers. Additionally, if life-cycle effects are taken into consideration, the savings in fuel consumption come at the expense of extra electricity production or emissions elsewhere which is also sensitive to the energy-mix of a country/region (thermal vs renewable power production). Battery powered aircraft (hybrid or full electric) appear to be technologically infeasible for large long-range aircraft.</w:t>
      </w:r>
      <w:r w:rsidR="00DA7F4B" w:rsidRPr="00872636">
        <w:rPr>
          <w:sz w:val="24"/>
          <w:szCs w:val="24"/>
          <w:bdr w:val="none" w:sz="0" w:space="0" w:color="auto" w:frame="1"/>
          <w:lang w:val="en-GB" w:eastAsia="en-GB"/>
        </w:rPr>
        <w:t xml:space="preserve"> However, this is a fast-moving area subject to step-changes in technology in terms of battery performance and associated systems as demonstrated for example in the recent Spirit of Innovation aircraft</w:t>
      </w:r>
      <w:r w:rsidR="00F47AB3" w:rsidRPr="00872636">
        <w:rPr>
          <w:sz w:val="24"/>
          <w:szCs w:val="24"/>
          <w:bdr w:val="none" w:sz="0" w:space="0" w:color="auto" w:frame="1"/>
          <w:lang w:val="en-GB" w:eastAsia="en-GB"/>
        </w:rPr>
        <w:t xml:space="preserve"> </w:t>
      </w:r>
      <w:r w:rsidR="00164DAF" w:rsidRPr="00872636">
        <w:rPr>
          <w:sz w:val="24"/>
          <w:szCs w:val="24"/>
          <w:bdr w:val="none" w:sz="0" w:space="0" w:color="auto" w:frame="1"/>
          <w:lang w:val="en-GB" w:eastAsia="en-GB"/>
        </w:rPr>
        <w:fldChar w:fldCharType="begin" w:fldLock="1"/>
      </w:r>
      <w:r w:rsidR="00C46200">
        <w:rPr>
          <w:sz w:val="24"/>
          <w:szCs w:val="24"/>
          <w:bdr w:val="none" w:sz="0" w:space="0" w:color="auto" w:frame="1"/>
          <w:lang w:val="en-GB" w:eastAsia="en-GB"/>
        </w:rPr>
        <w:instrText>ADDIN CSL_CITATION {"citationItems":[{"id":"ITEM-1","itemData":{"URL":"https://www.rolls-royce.com/media/press-releases/2021/15-09-2021-rr-all-electric-spirit-of-innovation-takes-to-the-skies-for-the-first-time.aspx","accessed":{"date-parts":[["2022","3","20"]]},"author":[{"dropping-particle":"","family":"Rolls-Royce","given":"","non-dropping-particle":"","parse-names":false,"suffix":""}],"container-title":"Rolls Royce","id":"ITEM-1","issued":{"date-parts":[["2021"]]},"title":"Rolls-Royce - Rolls-Royce’s all-electric ‘Spirit of Innovation’ takes to the skies for the first time","type":"webpage"},"uris":["http://www.mendeley.com/documents/?uuid=782e26b7-9f85-3637-9f3c-fa8ad3277445"]}],"mendeley":{"formattedCitation":"[58]","plainTextFormattedCitation":"[58]","previouslyFormattedCitation":"[58]"},"properties":{"noteIndex":0},"schema":"https://github.com/citation-style-language/schema/raw/master/csl-citation.json"}</w:instrText>
      </w:r>
      <w:r w:rsidR="00164DAF" w:rsidRPr="00872636">
        <w:rPr>
          <w:sz w:val="24"/>
          <w:szCs w:val="24"/>
          <w:bdr w:val="none" w:sz="0" w:space="0" w:color="auto" w:frame="1"/>
          <w:lang w:val="en-GB" w:eastAsia="en-GB"/>
        </w:rPr>
        <w:fldChar w:fldCharType="separate"/>
      </w:r>
      <w:r w:rsidR="00801BEA" w:rsidRPr="00801BEA">
        <w:rPr>
          <w:noProof/>
          <w:sz w:val="24"/>
          <w:szCs w:val="24"/>
          <w:bdr w:val="none" w:sz="0" w:space="0" w:color="auto" w:frame="1"/>
          <w:lang w:val="en-GB" w:eastAsia="en-GB"/>
        </w:rPr>
        <w:t>[58]</w:t>
      </w:r>
      <w:r w:rsidR="00164DAF" w:rsidRPr="00872636">
        <w:rPr>
          <w:sz w:val="24"/>
          <w:szCs w:val="24"/>
          <w:bdr w:val="none" w:sz="0" w:space="0" w:color="auto" w:frame="1"/>
          <w:lang w:val="en-GB" w:eastAsia="en-GB"/>
        </w:rPr>
        <w:fldChar w:fldCharType="end"/>
      </w:r>
      <w:r w:rsidR="00E70141" w:rsidRPr="00872636">
        <w:rPr>
          <w:sz w:val="24"/>
          <w:szCs w:val="24"/>
          <w:bdr w:val="none" w:sz="0" w:space="0" w:color="auto" w:frame="1"/>
          <w:lang w:val="en-GB" w:eastAsia="en-GB"/>
        </w:rPr>
        <w:t>.</w:t>
      </w:r>
      <w:r w:rsidR="00645CDA" w:rsidRPr="00872636">
        <w:rPr>
          <w:sz w:val="24"/>
          <w:szCs w:val="24"/>
          <w:bdr w:val="none" w:sz="0" w:space="0" w:color="auto" w:frame="1"/>
          <w:lang w:val="en-GB" w:eastAsia="en-GB"/>
        </w:rPr>
        <w:t xml:space="preserve"> Studies by Mukhopadhaya et al. </w:t>
      </w:r>
      <w:r w:rsidR="00645CDA" w:rsidRPr="00872636">
        <w:rPr>
          <w:sz w:val="24"/>
          <w:szCs w:val="24"/>
          <w:bdr w:val="none" w:sz="0" w:space="0" w:color="auto" w:frame="1"/>
          <w:lang w:val="en-GB" w:eastAsia="en-GB"/>
        </w:rPr>
        <w:fldChar w:fldCharType="begin" w:fldLock="1"/>
      </w:r>
      <w:r w:rsidR="00C46200">
        <w:rPr>
          <w:sz w:val="24"/>
          <w:szCs w:val="24"/>
          <w:bdr w:val="none" w:sz="0" w:space="0" w:color="auto" w:frame="1"/>
          <w:lang w:val="en-GB" w:eastAsia="en-GB"/>
        </w:rPr>
        <w:instrText>ADDIN CSL_CITATION {"citationItems":[{"id":"ITEM-1","itemData":{"URL":"https://theicct.org/publication/aviation-global-evo-hydrogen-aircraft-jan22/","accessed":{"date-parts":[["2022","6","4"]]},"author":[{"dropping-particle":"","family":"Mukhopadhaya","given":"Jayant","non-dropping-particle":"","parse-names":false,"suffix":""},{"dropping-particle":"","family":"Rutherford","given":"Dan","non-dropping-particle":"","parse-names":false,"suffix":""}],"container-title":"International Council on Clean Transportation","id":"ITEM-1","issued":{"date-parts":[["2022"]]},"title":"Performance analysis of evolutionary hydrogen-powered aircraft","type":"webpage"},"uris":["http://www.mendeley.com/documents/?uuid=bd1cc1a0-7adf-3ec5-9cff-a8d7c40554cf"]}],"mendeley":{"formattedCitation":"[59]","plainTextFormattedCitation":"[59]","previouslyFormattedCitation":"[59]"},"properties":{"noteIndex":0},"schema":"https://github.com/citation-style-language/schema/raw/master/csl-citation.json"}</w:instrText>
      </w:r>
      <w:r w:rsidR="00645CDA" w:rsidRPr="00872636">
        <w:rPr>
          <w:sz w:val="24"/>
          <w:szCs w:val="24"/>
          <w:bdr w:val="none" w:sz="0" w:space="0" w:color="auto" w:frame="1"/>
          <w:lang w:val="en-GB" w:eastAsia="en-GB"/>
        </w:rPr>
        <w:fldChar w:fldCharType="separate"/>
      </w:r>
      <w:r w:rsidR="00801BEA" w:rsidRPr="00801BEA">
        <w:rPr>
          <w:noProof/>
          <w:sz w:val="24"/>
          <w:szCs w:val="24"/>
          <w:bdr w:val="none" w:sz="0" w:space="0" w:color="auto" w:frame="1"/>
          <w:lang w:val="en-GB" w:eastAsia="en-GB"/>
        </w:rPr>
        <w:t>[59]</w:t>
      </w:r>
      <w:r w:rsidR="00645CDA" w:rsidRPr="00872636">
        <w:rPr>
          <w:sz w:val="24"/>
          <w:szCs w:val="24"/>
          <w:bdr w:val="none" w:sz="0" w:space="0" w:color="auto" w:frame="1"/>
          <w:lang w:val="en-GB" w:eastAsia="en-GB"/>
        </w:rPr>
        <w:fldChar w:fldCharType="end"/>
      </w:r>
      <w:r w:rsidR="00645CDA" w:rsidRPr="00872636">
        <w:rPr>
          <w:sz w:val="24"/>
          <w:szCs w:val="24"/>
          <w:bdr w:val="none" w:sz="0" w:space="0" w:color="auto" w:frame="1"/>
          <w:lang w:val="en-GB" w:eastAsia="en-GB"/>
        </w:rPr>
        <w:t xml:space="preserve"> and FlyZero report </w:t>
      </w:r>
      <w:r w:rsidR="00645CDA" w:rsidRPr="00872636">
        <w:rPr>
          <w:sz w:val="24"/>
          <w:szCs w:val="24"/>
          <w:bdr w:val="none" w:sz="0" w:space="0" w:color="auto" w:frame="1"/>
          <w:lang w:val="en-GB" w:eastAsia="en-GB"/>
        </w:rPr>
        <w:fldChar w:fldCharType="begin" w:fldLock="1"/>
      </w:r>
      <w:r w:rsidR="00C46200">
        <w:rPr>
          <w:sz w:val="24"/>
          <w:szCs w:val="24"/>
          <w:bdr w:val="none" w:sz="0" w:space="0" w:color="auto" w:frame="1"/>
          <w:lang w:val="en-GB" w:eastAsia="en-GB"/>
        </w:rPr>
        <w:instrText>ADDIN CSL_CITATION {"citationItems":[{"id":"ITEM-1","itemData":{"abstract":"Front cover, contents and page 6 image © ATI. Representation of air traffic for contrail assessment in FlyZero. Visualisation using Mayavi and Paraview [1] [2], and Cirium SRS Analyzer Data 2006. Led by the Aerospace Technology Institute and backed by the UK government, FlyZero began in early 2021 as an intensive research project investigating zero-carbon emission commercial flight. This independent study has brought together experts from across the UK to assess the design challenges, manufacturing demands, operational requirements and market opportunity of potential zero-carbon emission aircraft concepts. FlyZero has concluded that green liquid hydrogen is the most viable zero-carbon emission fuel with the potential to scale to larger aircraft utilising fuel cell, gas turbine and hybrid systems. This has guided the focus, conclusions and recommendations of the project. This report forms part of a suite of FlyZero outputs which will help shape the future of global aviation with the intention of gearing up the UK to stand at the forefront of sustainable flight in design, manufacture, technology and skills for years to come. To discover more and download the FlyZero reports, visit ati.org.uk ACKNOWLEDGEMENTS","author":[{"dropping-particle":"","family":"Job","given":"Stella","non-dropping-particle":"","parse-names":false,"suffix":""},{"dropping-particle":"","family":"Campbell","given":"Matthew","non-dropping-particle":"","parse-names":false,"suffix":""},{"dropping-particle":"","family":"Hall","given":"Bethany","non-dropping-particle":"","parse-names":false,"suffix":""},{"dropping-particle":"","family":"Hamadache","given":"Zakia","non-dropping-particle":"","parse-names":false,"suffix":""},{"dropping-particle":"","family":"Kumar","given":"Naresh","non-dropping-particle":"","parse-names":false,"suffix":""}],"id":"ITEM-1","issued":{"date-parts":[["2022"]]},"title":"SUSTAINABILITY REPORT - The Lifecycle Impact of Hydrogen-Powered Aircraft","type":"report"},"uris":["http://www.mendeley.com/documents/?uuid=23fcdda0-b06a-3cb9-9281-dc34456733bb"]}],"mendeley":{"formattedCitation":"[60]","plainTextFormattedCitation":"[60]","previouslyFormattedCitation":"[60]"},"properties":{"noteIndex":0},"schema":"https://github.com/citation-style-language/schema/raw/master/csl-citation.json"}</w:instrText>
      </w:r>
      <w:r w:rsidR="00645CDA" w:rsidRPr="00872636">
        <w:rPr>
          <w:sz w:val="24"/>
          <w:szCs w:val="24"/>
          <w:bdr w:val="none" w:sz="0" w:space="0" w:color="auto" w:frame="1"/>
          <w:lang w:val="en-GB" w:eastAsia="en-GB"/>
        </w:rPr>
        <w:fldChar w:fldCharType="separate"/>
      </w:r>
      <w:r w:rsidR="00801BEA" w:rsidRPr="00801BEA">
        <w:rPr>
          <w:noProof/>
          <w:sz w:val="24"/>
          <w:szCs w:val="24"/>
          <w:bdr w:val="none" w:sz="0" w:space="0" w:color="auto" w:frame="1"/>
          <w:lang w:val="en-GB" w:eastAsia="en-GB"/>
        </w:rPr>
        <w:t>[60]</w:t>
      </w:r>
      <w:r w:rsidR="00645CDA" w:rsidRPr="00872636">
        <w:rPr>
          <w:sz w:val="24"/>
          <w:szCs w:val="24"/>
          <w:bdr w:val="none" w:sz="0" w:space="0" w:color="auto" w:frame="1"/>
          <w:lang w:val="en-GB" w:eastAsia="en-GB"/>
        </w:rPr>
        <w:fldChar w:fldCharType="end"/>
      </w:r>
      <w:r w:rsidR="00645CDA" w:rsidRPr="00872636">
        <w:rPr>
          <w:sz w:val="24"/>
          <w:szCs w:val="24"/>
          <w:bdr w:val="none" w:sz="0" w:space="0" w:color="auto" w:frame="1"/>
          <w:lang w:val="en-GB" w:eastAsia="en-GB"/>
        </w:rPr>
        <w:t xml:space="preserve"> find that </w:t>
      </w:r>
      <w:r w:rsidR="00E97F65" w:rsidRPr="00872636">
        <w:rPr>
          <w:sz w:val="24"/>
          <w:szCs w:val="24"/>
          <w:bdr w:val="none" w:sz="0" w:space="0" w:color="auto" w:frame="1"/>
          <w:lang w:val="en-GB" w:eastAsia="en-GB"/>
        </w:rPr>
        <w:t>battery powered</w:t>
      </w:r>
      <w:r w:rsidR="00645CDA" w:rsidRPr="00872636">
        <w:rPr>
          <w:sz w:val="24"/>
          <w:szCs w:val="24"/>
          <w:bdr w:val="none" w:sz="0" w:space="0" w:color="auto" w:frame="1"/>
          <w:lang w:val="en-GB" w:eastAsia="en-GB"/>
        </w:rPr>
        <w:t xml:space="preserve"> aircraft (hybrid and/or full electric) appear to be infeasible currently (considering future technology development trend) for enabling typical long-range </w:t>
      </w:r>
      <w:r w:rsidR="00E97F65" w:rsidRPr="00872636">
        <w:rPr>
          <w:sz w:val="24"/>
          <w:szCs w:val="24"/>
          <w:bdr w:val="none" w:sz="0" w:space="0" w:color="auto" w:frame="1"/>
          <w:lang w:val="en-GB" w:eastAsia="en-GB"/>
        </w:rPr>
        <w:t>flight of an</w:t>
      </w:r>
      <w:r w:rsidR="00645CDA" w:rsidRPr="00872636">
        <w:rPr>
          <w:sz w:val="24"/>
          <w:szCs w:val="24"/>
          <w:bdr w:val="none" w:sz="0" w:space="0" w:color="auto" w:frame="1"/>
          <w:lang w:val="en-GB" w:eastAsia="en-GB"/>
        </w:rPr>
        <w:t xml:space="preserve"> LTA aircraft.</w:t>
      </w:r>
    </w:p>
    <w:p w14:paraId="149A25EB" w14:textId="61EDF7A0" w:rsidR="0003566F" w:rsidRPr="00872636" w:rsidRDefault="0058456C" w:rsidP="00C525D8">
      <w:pPr>
        <w:pStyle w:val="Text"/>
        <w:tabs>
          <w:tab w:val="clear" w:pos="288"/>
          <w:tab w:val="left" w:pos="709"/>
        </w:tabs>
        <w:ind w:firstLine="0"/>
        <w:rPr>
          <w:sz w:val="24"/>
          <w:szCs w:val="24"/>
          <w:bdr w:val="none" w:sz="0" w:space="0" w:color="auto" w:frame="1"/>
          <w:lang w:val="en-GB" w:eastAsia="en-GB"/>
        </w:rPr>
      </w:pPr>
      <w:r w:rsidRPr="00872636">
        <w:rPr>
          <w:sz w:val="24"/>
          <w:szCs w:val="24"/>
          <w:bdr w:val="none" w:sz="0" w:space="0" w:color="auto" w:frame="1"/>
          <w:lang w:val="en-GB" w:eastAsia="en-GB"/>
        </w:rPr>
        <w:tab/>
        <w:t xml:space="preserve">A study by Dietl et al. </w:t>
      </w:r>
      <w:bookmarkStart w:id="2" w:name="_Hlk110803462"/>
      <w:r w:rsidRPr="00872636">
        <w:rPr>
          <w:sz w:val="24"/>
          <w:szCs w:val="24"/>
          <w:bdr w:val="none" w:sz="0" w:space="0" w:color="auto" w:frame="1"/>
          <w:lang w:val="en-GB" w:eastAsia="en-GB"/>
        </w:rPr>
        <w:fldChar w:fldCharType="begin" w:fldLock="1"/>
      </w:r>
      <w:r w:rsidR="00C46200">
        <w:rPr>
          <w:sz w:val="24"/>
          <w:szCs w:val="24"/>
          <w:bdr w:val="none" w:sz="0" w:space="0" w:color="auto" w:frame="1"/>
          <w:lang w:val="en-GB" w:eastAsia="en-GB"/>
        </w:rPr>
        <w:instrText>ADDIN CSL_CITATION {"citationItems":[{"id":"ITEM-1","itemData":{"DOI":"10.25967/480344","abstract":"Polaris is a liquid hydrogen turbo-electric transport aircraft which is designed to fulfill the NASA N+3 goals for entry into service in 2045. The main objective is to reduce the energy consumption by at least 60% compared to an A320 of 2005. Secondary objectives are the reduction of the NOX emissions by 80% and minimizing the noise emissions. The concept combines the synergies of a liquid hydrogen fuel system with a HTS power transmission and an intercooled gas turbine. By this a reduction of 62% in energy consumption and 80% lower NOx emissions are achieved at a comparable design mission.","author":[{"dropping-particle":"","family":"Dietl","given":"T","non-dropping-particle":"","parse-names":false,"suffix":""},{"dropping-particle":"","family":"Karger","given":"J","non-dropping-particle":"","parse-names":false,"suffix":""},{"dropping-particle":"","family":"Kaupe","given":"K","non-dropping-particle":"","parse-names":false,"suffix":""},{"dropping-particle":"","family":"Pfemeter","given":"A","non-dropping-particle":"","parse-names":false,"suffix":""},{"dropping-particle":"","family":"Weber","given":"P","non-dropping-particle":"","parse-names":false,"suffix":""},{"dropping-particle":"","family":"Zakrzewski","given":"A","non-dropping-particle":"","parse-names":false,"suffix":""},{"dropping-particle":"","family":"Strohmayer","given":"A","non-dropping-particle":"","parse-names":false,"suffix":""}],"id":"ITEM-1","issued":{"date-parts":[["2018"]]},"publisher":"Deutsche Gesellschaft für Luft- und Raumfahrt","title":"POLARIS-DESIGN OF A LIQUID HYDROGEN TURBO-ELECTRIC TRANSPORT AIRCRAFT","type":"paper-conference"},"uris":["http://www.mendeley.com/documents/?uuid=bd1b7241-cb8b-30b6-a79a-ea626ebcbbe5"]}],"mendeley":{"formattedCitation":"[61]","plainTextFormattedCitation":"[61]","previouslyFormattedCitation":"[61]"},"properties":{"noteIndex":0},"schema":"https://github.com/citation-style-language/schema/raw/master/csl-citation.json"}</w:instrText>
      </w:r>
      <w:r w:rsidRPr="00872636">
        <w:rPr>
          <w:sz w:val="24"/>
          <w:szCs w:val="24"/>
          <w:bdr w:val="none" w:sz="0" w:space="0" w:color="auto" w:frame="1"/>
          <w:lang w:val="en-GB" w:eastAsia="en-GB"/>
        </w:rPr>
        <w:fldChar w:fldCharType="separate"/>
      </w:r>
      <w:r w:rsidR="00801BEA" w:rsidRPr="00801BEA">
        <w:rPr>
          <w:noProof/>
          <w:sz w:val="24"/>
          <w:szCs w:val="24"/>
          <w:bdr w:val="none" w:sz="0" w:space="0" w:color="auto" w:frame="1"/>
          <w:lang w:val="en-GB" w:eastAsia="en-GB"/>
        </w:rPr>
        <w:t>[61]</w:t>
      </w:r>
      <w:r w:rsidRPr="00872636">
        <w:rPr>
          <w:sz w:val="24"/>
          <w:szCs w:val="24"/>
          <w:bdr w:val="none" w:sz="0" w:space="0" w:color="auto" w:frame="1"/>
          <w:lang w:val="en-GB" w:eastAsia="en-GB"/>
        </w:rPr>
        <w:fldChar w:fldCharType="end"/>
      </w:r>
      <w:bookmarkEnd w:id="2"/>
      <w:r w:rsidRPr="00872636">
        <w:rPr>
          <w:sz w:val="24"/>
          <w:szCs w:val="24"/>
          <w:bdr w:val="none" w:sz="0" w:space="0" w:color="auto" w:frame="1"/>
          <w:lang w:val="en-GB" w:eastAsia="en-GB"/>
        </w:rPr>
        <w:t xml:space="preserve"> designs a turbo-electric aircraft called Polaris which is powered by LH</w:t>
      </w:r>
      <w:r w:rsidRPr="00872636">
        <w:rPr>
          <w:sz w:val="24"/>
          <w:szCs w:val="24"/>
          <w:bdr w:val="none" w:sz="0" w:space="0" w:color="auto" w:frame="1"/>
          <w:vertAlign w:val="subscript"/>
          <w:lang w:val="en-GB" w:eastAsia="en-GB"/>
        </w:rPr>
        <w:t>2</w:t>
      </w:r>
      <w:r w:rsidRPr="00872636">
        <w:rPr>
          <w:sz w:val="24"/>
          <w:szCs w:val="24"/>
          <w:bdr w:val="none" w:sz="0" w:space="0" w:color="auto" w:frame="1"/>
          <w:lang w:val="en-GB" w:eastAsia="en-GB"/>
        </w:rPr>
        <w:t xml:space="preserve"> fuel (stored in foam based tanks) employing N+3 technology and an unconventional aircraft architecture with open rotor engines. This aircraft seats 150 passengers with 2780 km at design point. A study by Druot et al. </w:t>
      </w:r>
      <w:bookmarkStart w:id="3" w:name="_Hlk110803480"/>
      <w:r w:rsidRPr="00872636">
        <w:rPr>
          <w:sz w:val="24"/>
          <w:szCs w:val="24"/>
          <w:bdr w:val="none" w:sz="0" w:space="0" w:color="auto" w:frame="1"/>
          <w:lang w:val="en-GB" w:eastAsia="en-GB"/>
        </w:rPr>
        <w:fldChar w:fldCharType="begin" w:fldLock="1"/>
      </w:r>
      <w:r w:rsidR="00C46200">
        <w:rPr>
          <w:sz w:val="24"/>
          <w:szCs w:val="24"/>
          <w:bdr w:val="none" w:sz="0" w:space="0" w:color="auto" w:frame="1"/>
          <w:lang w:val="en-GB" w:eastAsia="en-GB"/>
        </w:rPr>
        <w:instrText>ADDIN CSL_CITATION {"citationItems":[{"id":"ITEM-1","itemData":{"DOI":"10.2514/6.2022-1025","ISBN":"9781624106316","abstract":"This study addresses the design of tube-and-wing, turbofan, hydrogen powered passenger transport airplanes from a top-level conceptual approach. The integration of liquid hydrogen fuel systems in the airplane is modeled in a multidisciplinary framework in order to rank the different possible architectures according to overall technical feasibility and performances. If we exclude the Cryoplane layout [1] which has been already studied in the 2000s, we identified mainly three realistic possibilities to store important volume of hydrogen in a classical tubeand-wing layout: in the rear fuselage, within under-wing pods or within piggy-back tank. In this study, we assume that the piggy-back tank is a separated tapered shape attached on top of the fuselage for safety reasons. Adding external tanks to a tube-and-wing configuration also brings additional drag and weight. The possibility to recover some penalty by installing boundary layer ingesting pusher fans on the tail cones of the different tapered bodies of each configuration is analyzed in both contexts of pure thermal propulsive architecture or partial turbo-electric architecture. It appears that boundary layer ingestion is likely to improve significantly the performances in case of external tanks. The feasibility limit of each configuration is discussed according to geometrical constraints and its performances are compared with those of a classical kerosene airplane designed with the same requirements. Finally, a short sensitivity analysis illustrates the effect of technological parameters associated with liquid hydrogen storage and fuel cells integration.","author":[{"dropping-particle":"","family":"Druot","given":"Thierry Y.J.","non-dropping-particle":"","parse-names":false,"suffix":""},{"dropping-particle":"","family":"Peteilh","given":"Nicolas","non-dropping-particle":"","parse-names":false,"suffix":""},{"dropping-particle":"","family":"Roches","given":"Pascal","non-dropping-particle":"","parse-names":false,"suffix":""},{"dropping-particle":"","family":"Monrolin","given":"Nicolas","non-dropping-particle":"","parse-names":false,"suffix":""}],"container-title":"AIAA Science and Technology Forum and Exposition, AIAA SciTech Forum 2022","id":"ITEM-1","issued":{"date-parts":[["2022"]]},"publisher":"American Institute of Aeronautics and Astronautics Inc, AIAA","title":"Hydrogen Powered Airplanes, an exploration of possible architectures leveraging boundary layer ingestion and hybridization","type":"article-journal"},"uris":["http://www.mendeley.com/documents/?uuid=8e655846-0f99-391d-af88-59c5b81c0dc3"]}],"mendeley":{"formattedCitation":"[62]","plainTextFormattedCitation":"[62]","previouslyFormattedCitation":"[62]"},"properties":{"noteIndex":0},"schema":"https://github.com/citation-style-language/schema/raw/master/csl-citation.json"}</w:instrText>
      </w:r>
      <w:r w:rsidRPr="00872636">
        <w:rPr>
          <w:sz w:val="24"/>
          <w:szCs w:val="24"/>
          <w:bdr w:val="none" w:sz="0" w:space="0" w:color="auto" w:frame="1"/>
          <w:lang w:val="en-GB" w:eastAsia="en-GB"/>
        </w:rPr>
        <w:fldChar w:fldCharType="separate"/>
      </w:r>
      <w:r w:rsidR="00801BEA" w:rsidRPr="00801BEA">
        <w:rPr>
          <w:noProof/>
          <w:sz w:val="24"/>
          <w:szCs w:val="24"/>
          <w:bdr w:val="none" w:sz="0" w:space="0" w:color="auto" w:frame="1"/>
          <w:lang w:val="en-GB" w:eastAsia="en-GB"/>
        </w:rPr>
        <w:t>[62]</w:t>
      </w:r>
      <w:r w:rsidRPr="00872636">
        <w:rPr>
          <w:sz w:val="24"/>
          <w:szCs w:val="24"/>
          <w:bdr w:val="none" w:sz="0" w:space="0" w:color="auto" w:frame="1"/>
          <w:lang w:val="en-GB" w:eastAsia="en-GB"/>
        </w:rPr>
        <w:fldChar w:fldCharType="end"/>
      </w:r>
      <w:bookmarkEnd w:id="3"/>
      <w:r w:rsidRPr="00872636">
        <w:rPr>
          <w:sz w:val="24"/>
          <w:szCs w:val="24"/>
          <w:bdr w:val="none" w:sz="0" w:space="0" w:color="auto" w:frame="1"/>
          <w:lang w:val="en-GB" w:eastAsia="en-GB"/>
        </w:rPr>
        <w:t xml:space="preserve"> model turbo-electric aircraft fleet powered by LH</w:t>
      </w:r>
      <w:r w:rsidRPr="00872636">
        <w:rPr>
          <w:sz w:val="24"/>
          <w:szCs w:val="24"/>
          <w:bdr w:val="none" w:sz="0" w:space="0" w:color="auto" w:frame="1"/>
          <w:vertAlign w:val="subscript"/>
          <w:lang w:val="en-GB" w:eastAsia="en-GB"/>
        </w:rPr>
        <w:t>2</w:t>
      </w:r>
      <w:r w:rsidRPr="00872636">
        <w:rPr>
          <w:sz w:val="24"/>
          <w:szCs w:val="24"/>
          <w:bdr w:val="none" w:sz="0" w:space="0" w:color="auto" w:frame="1"/>
          <w:lang w:val="en-GB" w:eastAsia="en-GB"/>
        </w:rPr>
        <w:t xml:space="preserve"> fuel by employing different configurations of fuel tank integration. The study </w:t>
      </w:r>
      <w:r w:rsidRPr="00872636">
        <w:rPr>
          <w:sz w:val="24"/>
          <w:szCs w:val="24"/>
          <w:bdr w:val="none" w:sz="0" w:space="0" w:color="auto" w:frame="1"/>
          <w:lang w:val="en-GB" w:eastAsia="en-GB"/>
        </w:rPr>
        <w:lastRenderedPageBreak/>
        <w:t>finds that such a propulsion technology enables range and payload combination only for a single aisle type of aircraft with short-range application.</w:t>
      </w:r>
      <w:r w:rsidR="00E97F65" w:rsidRPr="00872636">
        <w:rPr>
          <w:sz w:val="24"/>
          <w:szCs w:val="24"/>
          <w:bdr w:val="none" w:sz="0" w:space="0" w:color="auto" w:frame="1"/>
          <w:lang w:val="en-GB" w:eastAsia="en-GB"/>
        </w:rPr>
        <w:t xml:space="preserve"> </w:t>
      </w:r>
    </w:p>
    <w:p w14:paraId="1537F407" w14:textId="78AD51F4" w:rsidR="0058456C" w:rsidRPr="00872636" w:rsidRDefault="0003566F" w:rsidP="00C525D8">
      <w:pPr>
        <w:pStyle w:val="Text"/>
        <w:tabs>
          <w:tab w:val="clear" w:pos="288"/>
          <w:tab w:val="left" w:pos="709"/>
        </w:tabs>
        <w:spacing w:after="240"/>
        <w:ind w:firstLine="0"/>
        <w:rPr>
          <w:sz w:val="24"/>
          <w:szCs w:val="24"/>
          <w:bdr w:val="none" w:sz="0" w:space="0" w:color="auto" w:frame="1"/>
          <w:lang w:val="en-GB" w:eastAsia="en-GB"/>
        </w:rPr>
      </w:pPr>
      <w:r w:rsidRPr="00872636">
        <w:rPr>
          <w:sz w:val="24"/>
          <w:szCs w:val="24"/>
          <w:bdr w:val="none" w:sz="0" w:space="0" w:color="auto" w:frame="1"/>
          <w:lang w:val="en-GB" w:eastAsia="en-GB"/>
        </w:rPr>
        <w:tab/>
      </w:r>
      <w:r w:rsidR="00B52D84" w:rsidRPr="00872636">
        <w:rPr>
          <w:sz w:val="24"/>
          <w:szCs w:val="24"/>
          <w:bdr w:val="none" w:sz="0" w:space="0" w:color="auto" w:frame="1"/>
          <w:lang w:val="en-GB" w:eastAsia="en-GB"/>
        </w:rPr>
        <w:t xml:space="preserve">Overall, electric aircraft </w:t>
      </w:r>
      <w:r w:rsidR="00E97F65" w:rsidRPr="00872636">
        <w:rPr>
          <w:sz w:val="24"/>
          <w:szCs w:val="24"/>
          <w:bdr w:val="none" w:sz="0" w:space="0" w:color="auto" w:frame="1"/>
          <w:lang w:val="en-GB" w:eastAsia="en-GB"/>
        </w:rPr>
        <w:t>(</w:t>
      </w:r>
      <w:r w:rsidR="00B52D84" w:rsidRPr="00872636">
        <w:rPr>
          <w:sz w:val="24"/>
          <w:szCs w:val="24"/>
          <w:bdr w:val="none" w:sz="0" w:space="0" w:color="auto" w:frame="1"/>
          <w:lang w:val="en-GB" w:eastAsia="en-GB"/>
        </w:rPr>
        <w:t xml:space="preserve">turbo and/or </w:t>
      </w:r>
      <w:r w:rsidR="00E97F65" w:rsidRPr="00872636">
        <w:rPr>
          <w:sz w:val="24"/>
          <w:szCs w:val="24"/>
          <w:bdr w:val="none" w:sz="0" w:space="0" w:color="auto" w:frame="1"/>
          <w:lang w:val="en-GB" w:eastAsia="en-GB"/>
        </w:rPr>
        <w:t>battery electric – hybrid and/or full electric) appear to be infeasible currently and require dramatic improvement for enabling typical long-range Mach 0.85 flight of an LTA aircraft.</w:t>
      </w:r>
    </w:p>
    <w:p w14:paraId="1E313E91" w14:textId="2F9D9327" w:rsidR="00104A2A" w:rsidRPr="00872636" w:rsidRDefault="00104A2A" w:rsidP="00C525D8">
      <w:pPr>
        <w:pStyle w:val="Heading2"/>
        <w:spacing w:after="240" w:line="480" w:lineRule="auto"/>
        <w:rPr>
          <w:rFonts w:ascii="Times New Roman" w:eastAsia="Times New Roman" w:hAnsi="Times New Roman" w:cs="Times New Roman"/>
          <w:color w:val="auto"/>
          <w:sz w:val="24"/>
          <w:szCs w:val="24"/>
          <w:bdr w:val="none" w:sz="0" w:space="0" w:color="auto" w:frame="1"/>
          <w:lang w:eastAsia="en-GB"/>
        </w:rPr>
      </w:pPr>
      <w:r w:rsidRPr="00872636">
        <w:rPr>
          <w:rFonts w:ascii="Times New Roman" w:eastAsia="Times New Roman" w:hAnsi="Times New Roman" w:cs="Times New Roman"/>
          <w:color w:val="auto"/>
          <w:sz w:val="24"/>
          <w:szCs w:val="24"/>
          <w:bdr w:val="none" w:sz="0" w:space="0" w:color="auto" w:frame="1"/>
          <w:lang w:eastAsia="en-GB"/>
        </w:rPr>
        <w:t>Fuel cells</w:t>
      </w:r>
    </w:p>
    <w:p w14:paraId="623A1139" w14:textId="1A998EE9" w:rsidR="00104A2A" w:rsidRPr="00872636" w:rsidRDefault="00104A2A" w:rsidP="00C525D8">
      <w:pPr>
        <w:tabs>
          <w:tab w:val="left" w:pos="709"/>
        </w:tabs>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ab/>
        <w:t xml:space="preserve">In 2016, the world’s first four-seater passenger aircraft (range of up to 1,500 km) powered by fuel cells and battery system called ‘HY4’ made its first flight </w:t>
      </w:r>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URL":"https://www.dlr.de/en/latest/news/2020/02/20200504_conceptual-study-for-environment-friendly-flight","accessed":{"date-parts":[["2021","5","26"]]},"author":[{"dropping-particle":"","family":"DLR","given":"","non-dropping-particle":"","parse-names":false,"suffix":""}],"container-title":"DLR","id":"ITEM-1","issued":{"date-parts":[["2020"]]},"title":"Conceptual study for environment-friendly flight","type":"webpage"},"uris":["http://www.mendeley.com/documents/?uuid=0da13f28-a71e-3d1e-a958-e9231debe118"]}],"mendeley":{"formattedCitation":"[57]","plainTextFormattedCitation":"[57]","previouslyFormattedCitation":"[57]"},"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[57]</w:t>
      </w:r>
      <w:r w:rsidRPr="00872636">
        <w:rPr>
          <w:rFonts w:ascii="Times New Roman" w:hAnsi="Times New Roman" w:cs="Times New Roman"/>
          <w:sz w:val="24"/>
          <w:szCs w:val="24"/>
          <w:lang w:eastAsia="en-GB"/>
        </w:rPr>
        <w:fldChar w:fldCharType="end"/>
      </w:r>
      <w:r w:rsidRPr="00872636">
        <w:rPr>
          <w:rFonts w:ascii="Times New Roman" w:hAnsi="Times New Roman" w:cs="Times New Roman"/>
          <w:sz w:val="24"/>
          <w:szCs w:val="24"/>
          <w:lang w:eastAsia="en-GB"/>
        </w:rPr>
        <w:t xml:space="preserve">. According to Rolls Royce </w:t>
      </w:r>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{"citationItems":[{"id":"ITEM-1","itemData":{"author":[{"dropping-particle":"","family":"Newby","given":"Alan","non-dropping-particle":"","parse-names":false,"suffix":""}],"container-title":"Keynote at AIAA Propulsion and Energy Forum 2019","id":"ITEM-1","issued":{"date-parts":[["2019"]]},"publisher":"American Institute of Aeronautics and Astronautics","title":"Toward Sustainable Aviation","type":"article"},"uris":["http://www.mendeley.com/documents/?uuid=875dfc71-4228-3b21-a197-ff48f08c9e6e"]}],"mendeley":{"formattedCitation":"[38]","plainTextFormattedCitation":"[38]","previouslyFormattedCitation":"[38]"},"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[38]</w:t>
      </w:r>
      <w:r w:rsidRPr="00872636">
        <w:rPr>
          <w:rFonts w:ascii="Times New Roman" w:hAnsi="Times New Roman" w:cs="Times New Roman"/>
          <w:sz w:val="24"/>
          <w:szCs w:val="24"/>
          <w:lang w:eastAsia="en-GB"/>
        </w:rPr>
        <w:fldChar w:fldCharType="end"/>
      </w:r>
      <w:r w:rsidRPr="00872636">
        <w:rPr>
          <w:rFonts w:ascii="Times New Roman" w:hAnsi="Times New Roman" w:cs="Times New Roman"/>
          <w:sz w:val="24"/>
          <w:szCs w:val="24"/>
          <w:lang w:eastAsia="en-GB"/>
        </w:rPr>
        <w:t xml:space="preserve">, small size and short range aircraft can be powered by </w:t>
      </w:r>
      <w:r w:rsidRPr="00872636">
        <w:rPr>
          <w:rFonts w:ascii="Times New Roman" w:hAnsi="Times New Roman" w:cs="Times New Roman"/>
          <w:sz w:val="24"/>
          <w:szCs w:val="24"/>
        </w:rPr>
        <w:t>LH</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lang w:eastAsia="en-GB"/>
        </w:rPr>
        <w:t xml:space="preserve"> fuel by using proton exchange membrane (PEM) fuel cell. The aircraft range can further be extended by the use of batteries. This system of propulsion has better efficiency than small gas turbine engines and lithium-ion batteries. Additionally, for medium and </w:t>
      </w:r>
      <w:r w:rsidR="00955FFD" w:rsidRPr="007D699F">
        <w:rPr>
          <w:rFonts w:ascii="Times New Roman" w:hAnsi="Times New Roman" w:cs="Times New Roman"/>
          <w:sz w:val="24"/>
          <w:szCs w:val="24"/>
          <w:lang w:eastAsia="en-GB"/>
        </w:rPr>
        <w:t>long-range</w:t>
      </w:r>
      <w:r w:rsidRPr="00872636">
        <w:rPr>
          <w:rFonts w:ascii="Times New Roman" w:hAnsi="Times New Roman" w:cs="Times New Roman"/>
          <w:sz w:val="24"/>
          <w:szCs w:val="24"/>
          <w:lang w:eastAsia="en-GB"/>
        </w:rPr>
        <w:t xml:space="preserve"> aircraft, direct combustion of hydrogen in gas turbine engine is the solution. However, with this system of hydrogen combustion, NO</w:t>
      </w:r>
      <w:r w:rsidRPr="00872636">
        <w:rPr>
          <w:rFonts w:ascii="Times New Roman" w:hAnsi="Times New Roman" w:cs="Times New Roman"/>
          <w:sz w:val="24"/>
          <w:szCs w:val="24"/>
          <w:vertAlign w:val="subscript"/>
          <w:lang w:eastAsia="en-GB"/>
        </w:rPr>
        <w:t>x</w:t>
      </w:r>
      <w:r w:rsidRPr="00872636">
        <w:rPr>
          <w:rFonts w:ascii="Times New Roman" w:hAnsi="Times New Roman" w:cs="Times New Roman"/>
          <w:sz w:val="24"/>
          <w:szCs w:val="24"/>
          <w:lang w:eastAsia="en-GB"/>
        </w:rPr>
        <w:t xml:space="preserve"> is produced along with water vapor, which is not the case with fuel cell as it only produces water vapour. Study by Ashcraft et al. </w:t>
      </w:r>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{"citationItems":[{"id":"ITEM-1","itemData":{"URL":"https://ntrs.nasa.gov/citations/20110022435","author":[{"dropping-particle":"","family":"Ashcraft","given":"Scott W","non-dropping-particle":"","parse-names":false,"suffix":""},{"dropping-particle":"","family":"Padron","given":"Andreas S","non-dropping-particle":"","parse-names":false,"suffix":""},{"dropping-particle":"","family":"Pascioni","given":"Kyle A","non-dropping-particle":"","parse-names":false,"suffix":""},{"dropping-particle":"","family":"Stout","given":"Gary W","non-dropping-particle":"","parse-names":false,"suffix":""},{"dropping-particle":"","family":"Huff","given":"Dennis L","non-dropping-particle":"","parse-names":false,"suffix":""}],"id":"ITEM-1","issued":{"date-parts":[["2011"]]},"publisher":"NASA John H. Glenn Research Center at Lewis Field","title":"Review of propulsion technologies for N+3 subsonic vehicle concepts (Report # 20110022435)","type":"webpage"},"uris":["http://www.mendeley.com/documents/?uuid=483d134d-dc69-4474-bc43-149e351c5d23"]}],"mendeley":{"formattedCitation":"[52]","plainTextFormattedCitation":"[52]","previouslyFormattedCitation":"[52]"},"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[52]</w:t>
      </w:r>
      <w:r w:rsidRPr="00872636">
        <w:rPr>
          <w:rFonts w:ascii="Times New Roman" w:hAnsi="Times New Roman" w:cs="Times New Roman"/>
          <w:sz w:val="24"/>
          <w:szCs w:val="24"/>
          <w:lang w:eastAsia="en-GB"/>
        </w:rPr>
        <w:fldChar w:fldCharType="end"/>
      </w:r>
      <w:r w:rsidRPr="00872636">
        <w:rPr>
          <w:rFonts w:ascii="Times New Roman" w:hAnsi="Times New Roman" w:cs="Times New Roman"/>
          <w:sz w:val="24"/>
          <w:szCs w:val="24"/>
          <w:lang w:eastAsia="en-GB"/>
        </w:rPr>
        <w:t xml:space="preserve"> finds that fuel-cells are unlikely to be ready for completely powering propulsion systems on large aircraft by year 2035 but they are more likely to be used for augmenting a primary power source. </w:t>
      </w:r>
    </w:p>
    <w:p w14:paraId="68B39BA9" w14:textId="60A45778" w:rsidR="00104A2A" w:rsidRPr="00872636" w:rsidRDefault="00104A2A" w:rsidP="00C525D8">
      <w:pPr>
        <w:tabs>
          <w:tab w:val="left" w:pos="709"/>
        </w:tabs>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ab/>
        <w:t xml:space="preserve">The fuel cell specific power metrics are typically reported for fuel cell stacks </w:t>
      </w:r>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{"citationItems":[{"id":"ITEM-1","itemData":{"DOI":"10.1002/fuce.201400035","ISSN":"16156846","abstract":"Fuel cells are a promising propulsion technology option in sustainable and zero-emission drivetrain strategies as they offer a high potential to significantly reduce well-to-wheel greenhouse gas emissions and the dependency on fossil energy resources. At the same time, the current technological performance of automotive fuel cell systems is not yet sufficient to meet market demands. Therefore, the technical development of fuel cells is a critical factor for a successful market introduction of fuel cell electric vehicles (FCEV). This paper describes the methodology and results of a two-round Delphi Survey conducted by the Institut für Kraftfahrzeuge of RWTH Aachen University to assess the technological potential of polymer electrolyte membrane fuel cell (PEMFC) systems in automotive applications by 2030. The analysis of the current and future performance level of key performance indicators (KPI) of automotive fuel cell systems helps to identify critical performance parameters and to prioritize research and development demands. KPI analyzed in the Delphi Survey as forecast parameters include system efficiency, durability, power density, and specific power.","author":[{"dropping-particle":"","family":"Thoennes","given":"M.","non-dropping-particle":"","parse-names":false,"suffix":""},{"dropping-particle":"","family":"Busse","given":"A.","non-dropping-particle":"","parse-names":false,"suffix":""},{"dropping-particle":"","family":"Eckstein","given":"L.","non-dropping-particle":"","parse-names":false,"suffix":""}],"container-title":"Fuel Cells","id":"ITEM-1","issue":"6","issued":{"date-parts":[["2014","12","1"]]},"page":"781-791","publisher":"John Wiley and Sons Ltd","title":"Forecast of Performance Parameters of Automotive Fuel Cell Systems - Delphi Study Results","type":"article-journal","volume":"14"},"uris":["http://www.mendeley.com/documents/?uuid=9795efa4-8c90-307e-ac52-092756f3445a"]}],"mendeley":{"formattedCitation":"[63]","plainTextFormattedCitation":"[63]","previouslyFormattedCitation":"[63]"},"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[63]</w:t>
      </w:r>
      <w:r w:rsidRPr="00872636">
        <w:rPr>
          <w:rFonts w:ascii="Times New Roman" w:hAnsi="Times New Roman" w:cs="Times New Roman"/>
          <w:sz w:val="24"/>
          <w:szCs w:val="24"/>
          <w:lang w:eastAsia="en-GB"/>
        </w:rPr>
        <w:fldChar w:fldCharType="end"/>
      </w:r>
      <w:r w:rsidRPr="00872636">
        <w:rPr>
          <w:rFonts w:ascii="Times New Roman" w:hAnsi="Times New Roman" w:cs="Times New Roman"/>
          <w:sz w:val="24"/>
          <w:szCs w:val="24"/>
          <w:lang w:eastAsia="en-GB"/>
        </w:rPr>
        <w:t xml:space="preserve">. The specific power for fuel cell systems (FCS) includes important supporting and/or auxiliary components. This is based on the stack or site-specific requirements, e.g. hydrogen-, air-, water-, heat- and system-management. They are integrated into a comprehensive fuel cell system package. FCS performance is based on the functioning of non-stack systems. In terms of modelling energy systems, FCS specific power is used. In a study by Delgado Gosálvez et al. </w:t>
      </w:r>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{"citationItems":[{"id":"ITEM-1","itemData":{"URL":"https://www.researchgate.net/publication/326294480_The_Greenliner_Green_Flying_Final_Report_DSE_Group_8","accessed":{"date-parts":[["2020","1","2"]]},"author":[{"dropping-particle":"","family":"Delgado Gosálvez","given":"Marco","non-dropping-particle":"","parse-names":false,"suffix":""},{"dropping-particle":"","family":"Ham van","given":"Jacomijn","non-dropping-particle":"","parse-names":false,"suffix":""},{"dropping-particle":"","family":"Joosten","given":"Sjoerd","non-dropping-particle":"","parse-names":false,"suffix":""},{"dropping-particle":"","family":"Juschus","given":"Daniel","non-dropping-particle":"","parse-names":false,"suffix":""},{"dropping-particle":"","family":"Nieuwerth","given":"Gerjan","non-dropping-particle":"","parse-names":false,"suffix":""},{"dropping-particle":"","family":"Pelt van","given":"Tess","non-dropping-particle":"","parse-names":false,"suffix":""},{"dropping-particle":"","family":"Smit","given":"Lars","non-dropping-particle":"","parse-names":false,"suffix":""},{"dropping-particle":"","family":"Takken","given":"Michel","non-dropping-particle":"","parse-names":false,"suffix":""},{"dropping-particle":"","family":"Wang","given":"Yanbo","non-dropping-particle":"","parse-names":false,"suffix":""},{"dropping-particle":"","family":"Ziere","given":"Tijs","non-dropping-particle":"","parse-names":false,"suffix":""}],"container-title":"TU Delft","id":"ITEM-1","issued":{"date-parts":[["2018"]]},"title":"Green Flying: Final Report","type":"webpage"},"uris":["http://www.mendeley.com/documents/?uuid=89bf987e-28d1-376a-9561-712367fe7050"]}],"mendeley":{"formattedCitation":"[64]","plainTextFormattedCitation":"[64]","previouslyFormattedCitation":"[64]"},"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[64]</w:t>
      </w:r>
      <w:r w:rsidRPr="00872636">
        <w:rPr>
          <w:rFonts w:ascii="Times New Roman" w:hAnsi="Times New Roman" w:cs="Times New Roman"/>
          <w:sz w:val="24"/>
          <w:szCs w:val="24"/>
          <w:lang w:eastAsia="en-GB"/>
        </w:rPr>
        <w:fldChar w:fldCharType="end"/>
      </w:r>
      <w:r w:rsidRPr="00872636">
        <w:rPr>
          <w:rFonts w:ascii="Times New Roman" w:hAnsi="Times New Roman" w:cs="Times New Roman"/>
          <w:sz w:val="24"/>
          <w:szCs w:val="24"/>
          <w:lang w:eastAsia="en-GB"/>
        </w:rPr>
        <w:t>, a small LH</w:t>
      </w:r>
      <w:r w:rsidRPr="00872636">
        <w:rPr>
          <w:rFonts w:ascii="Times New Roman" w:hAnsi="Times New Roman" w:cs="Times New Roman"/>
          <w:sz w:val="24"/>
          <w:szCs w:val="24"/>
          <w:vertAlign w:val="subscript"/>
          <w:lang w:eastAsia="en-GB"/>
        </w:rPr>
        <w:t>2</w:t>
      </w:r>
      <w:r w:rsidRPr="00872636">
        <w:rPr>
          <w:rFonts w:ascii="Times New Roman" w:hAnsi="Times New Roman" w:cs="Times New Roman"/>
          <w:sz w:val="24"/>
          <w:szCs w:val="24"/>
          <w:lang w:eastAsia="en-GB"/>
        </w:rPr>
        <w:t xml:space="preserve"> fuel cell powered commuter aircraft called the ‘Greenliner’ is designed. </w:t>
      </w:r>
      <w:r w:rsidRPr="00872636">
        <w:rPr>
          <w:rFonts w:ascii="Times New Roman" w:hAnsi="Times New Roman" w:cs="Times New Roman"/>
          <w:sz w:val="24"/>
          <w:szCs w:val="24"/>
          <w:lang w:eastAsia="en-GB"/>
        </w:rPr>
        <w:lastRenderedPageBreak/>
        <w:t xml:space="preserve">The range of ‘Greenliner’ is 500 nautical mile (nmi) or 926 km and it seats 19 passengers. The authors have assumed a specific power capacity for the FCS similar in magnitude (2.72 kW/kg) as that of the fuel cell stacks used in the fuel cell powered car ‘Toyota Mirai’ (2 kW/kg). It is to be noted that the FCS specific power capacity of the fuel cell technology used in Toyota Mirai has a maximum value of 0.8 kW/kg. Additionally, the said aircraft is partially powered by lithium-sulphur battery. If the previous discussion on Rolls Royce’s testing is recalled, then Rolls Royce’s plan is much more ambitious (thrice the range) than ‘Greenliner’. It is to be noted that this future plan despite being ambitious is limited to flight range of ~1500 nmi (~2800km), which could be representative of a fuel-cell powered single-aisle aircraft seating approximately 150 passengers. </w:t>
      </w:r>
    </w:p>
    <w:p w14:paraId="6A3138FD" w14:textId="39F2A036" w:rsidR="00D479CC" w:rsidRPr="00872636" w:rsidRDefault="009656DF" w:rsidP="00C525D8">
      <w:pPr>
        <w:tabs>
          <w:tab w:val="left" w:pos="709"/>
        </w:tabs>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noProof/>
          <w:sz w:val="24"/>
          <w:szCs w:val="24"/>
          <w:lang w:eastAsia="en-GB"/>
        </w:rPr>
        <w:drawing>
          <wp:inline distT="0" distB="0" distL="0" distR="0" wp14:anchorId="1161FE1A" wp14:editId="3F68B974">
            <wp:extent cx="5731510" cy="345186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451860"/>
                    </a:xfrm>
                    <a:prstGeom prst="rect">
                      <a:avLst/>
                    </a:prstGeom>
                    <a:noFill/>
                    <a:ln>
                      <a:noFill/>
                    </a:ln>
                  </pic:spPr>
                </pic:pic>
              </a:graphicData>
            </a:graphic>
          </wp:inline>
        </w:drawing>
      </w:r>
    </w:p>
    <w:p w14:paraId="4D678812" w14:textId="4CB4A4F3" w:rsidR="00104A2A" w:rsidRPr="00872636" w:rsidRDefault="00104A2A" w:rsidP="00C525D8">
      <w:pPr>
        <w:tabs>
          <w:tab w:val="left" w:pos="567"/>
        </w:tabs>
        <w:spacing w:line="480" w:lineRule="auto"/>
        <w:jc w:val="center"/>
        <w:rPr>
          <w:rFonts w:ascii="Times New Roman" w:hAnsi="Times New Roman" w:cs="Times New Roman"/>
          <w:sz w:val="24"/>
          <w:szCs w:val="24"/>
          <w:lang w:eastAsia="en-GB"/>
        </w:rPr>
      </w:pPr>
      <w:r w:rsidRPr="00872636">
        <w:rPr>
          <w:rFonts w:ascii="Times New Roman" w:hAnsi="Times New Roman" w:cs="Times New Roman"/>
          <w:b/>
          <w:sz w:val="24"/>
          <w:szCs w:val="24"/>
          <w:lang w:eastAsia="en-GB"/>
        </w:rPr>
        <w:t xml:space="preserve">Figure </w:t>
      </w:r>
      <w:r w:rsidR="009E307D" w:rsidRPr="00872636">
        <w:rPr>
          <w:rFonts w:ascii="Times New Roman" w:hAnsi="Times New Roman" w:cs="Times New Roman"/>
          <w:b/>
          <w:sz w:val="24"/>
          <w:szCs w:val="24"/>
          <w:lang w:eastAsia="en-GB"/>
        </w:rPr>
        <w:t xml:space="preserve">SI </w:t>
      </w:r>
      <w:r w:rsidRPr="00872636">
        <w:rPr>
          <w:rFonts w:ascii="Times New Roman" w:hAnsi="Times New Roman" w:cs="Times New Roman"/>
          <w:b/>
          <w:sz w:val="24"/>
          <w:szCs w:val="24"/>
          <w:lang w:eastAsia="en-GB"/>
        </w:rPr>
        <w:t xml:space="preserve">2. Trend of specific power of fuel cell technology and comparison with the specific power of a gas turbine engine used on Boeing 777-200LR aircraft (data source </w:t>
      </w:r>
      <w:r w:rsidRPr="00872636">
        <w:rPr>
          <w:rFonts w:ascii="Times New Roman" w:hAnsi="Times New Roman" w:cs="Times New Roman"/>
          <w:b/>
          <w:sz w:val="24"/>
          <w:szCs w:val="24"/>
          <w:lang w:eastAsia="en-GB"/>
        </w:rPr>
        <w:fldChar w:fldCharType="begin" w:fldLock="1"/>
      </w:r>
      <w:r w:rsidR="00C46200">
        <w:rPr>
          <w:rFonts w:ascii="Times New Roman" w:hAnsi="Times New Roman" w:cs="Times New Roman"/>
          <w:b/>
          <w:sz w:val="24"/>
          <w:szCs w:val="24"/>
          <w:lang w:eastAsia="en-GB"/>
        </w:rPr>
        <w:instrText>ADDIN CSL_CITATION {"citationItems":[{"id":"ITEM-1","itemData":{"DOI":"10.1002/fuce.201400035","ISSN":"16156846","abstract":"Fuel cells are a promising propulsion technology option in sustainable and zero-emission drivetrain strategies as they offer a high potential to significantly reduce well-to-wheel greenhouse gas emissions and the dependency on fossil energy resources. At the same time, the current technological performance of automotive fuel cell systems is not yet sufficient to meet market demands. Therefore, the technical development of fuel cells is a critical factor for a successful market introduction of fuel cell electric vehicles (FCEV). This paper describes the methodology and results of a two-round Delphi Survey conducted by the Institut für Kraftfahrzeuge of RWTH Aachen University to assess the technological potential of polymer electrolyte membrane fuel cell (PEMFC) systems in automotive applications by 2030. The analysis of the current and future performance level of key performance indicators (KPI) of automotive fuel cell systems helps to identify critical performance parameters and to prioritize research and development demands. KPI analyzed in the Delphi Survey as forecast parameters include system efficiency, durability, power density, and specific power.","author":[{"dropping-particle":"","family":"Thoennes","given":"M.","non-dropping-particle":"","parse-names":false,"suffix":""},{"dropping-particle":"","family":"Busse","given":"A.","non-dropping-particle":"","parse-names":false,"suffix":""},{"dropping-particle":"","family":"Eckstein","given":"L.","non-dropping-particle":"","parse-names":false,"suffix":""}],"container-title":"Fuel Cells","id":"ITEM-1","issue":"6","issued":{"date-parts":[["2014","12","1"]]},"page":"781-791","publisher":"John Wiley and Sons Ltd","title":"Forecast of Performance Parameters of Automotive Fuel Cell Systems - Delphi Study Results","type":"article-journal","volume":"14"},"uris":["http://www.mendeley.com/documents/?uuid=9795efa4-8c90-307e-ac52-092756f3445a"]},{"id":"ITEM-2","itemData":{"URL":"https://hypoint.us/#rec177636847","accessed":{"date-parts":[["2020","8","16"]]},"author":[{"dropping-particle":"","family":"HyPoint","given":"","non-dropping-particle":"","parse-names":false,"suffix":""}],"id":"ITEM-2","issued":{"date-parts":[["2020"]]},"title":"HyPoint","type":"webpage"},"uris":["http://www.mendeley.com/documents/?uuid=dde3178d-137f-3dd0-af5b-359660d0e282"]},{"id":"ITEM-3","itemData":{"URL":"https://www.aviationtoday.com/2020/04/16/will-hydrogen-fuel-cells-play-a-role-in-the-vtol-revolution/","accessed":{"date-parts":[["2020","8","16"]]},"author":[{"dropping-particle":"","family":"Garrett-Glaser","given":"Brian","non-dropping-particle":"","parse-names":false,"suffix":""}],"container-title":"Aviation Today","id":"ITEM-3","issued":{"date-parts":[["2020"]]},"title":"Will Hydrogen Fuel Cells Play a Role in the VTOL Revolution?","type":"webpage"},"uris":["http://www.mendeley.com/documents/?uuid=0dfb7404-61c3-3fc4-b8df-dd6ed48b8411"]},{"id":"ITEM-4","itemData":{"URL":"https://bumhan.com/wp-content/uploads/sites/126/2021/02/PowerCell-S3.pdf","accessed":{"date-parts":[["2020","8","16"]]},"author":[{"dropping-particle":"","family":"PowerCell","given":"","non-dropping-particle":"","parse-names":false,"suffix":""}],"container-title":"PowerCell","id":"ITEM-4","issued":{"date-parts":[["2020"]]},"title":"PowerCell S3","type":"webpage"},"uris":["http://www.mendeley.com/documents/?uuid=df0b9734-e6c3-32cc-b22c-d8e02db5907b"]}],"mendeley":{"formattedCitation":"[63], [65]–[67]","plainTextFormattedCitation":"[63], [65]–[67]","previouslyFormattedCitation":"[63], [65]–[67]"},"properties":{"noteIndex":0},"schema":"https://github.com/citation-style-language/schema/raw/master/csl-citation.json"}</w:instrText>
      </w:r>
      <w:r w:rsidRPr="00872636">
        <w:rPr>
          <w:rFonts w:ascii="Times New Roman" w:hAnsi="Times New Roman" w:cs="Times New Roman"/>
          <w:b/>
          <w:sz w:val="24"/>
          <w:szCs w:val="24"/>
          <w:lang w:eastAsia="en-GB"/>
        </w:rPr>
        <w:fldChar w:fldCharType="separate"/>
      </w:r>
      <w:r w:rsidR="00801BEA" w:rsidRPr="00801BEA">
        <w:rPr>
          <w:rFonts w:ascii="Times New Roman" w:hAnsi="Times New Roman" w:cs="Times New Roman"/>
          <w:noProof/>
          <w:sz w:val="24"/>
          <w:szCs w:val="24"/>
          <w:lang w:eastAsia="en-GB"/>
        </w:rPr>
        <w:t>[63], [65]–[67]</w:t>
      </w:r>
      <w:r w:rsidRPr="00872636">
        <w:rPr>
          <w:rFonts w:ascii="Times New Roman" w:hAnsi="Times New Roman" w:cs="Times New Roman"/>
          <w:b/>
          <w:sz w:val="24"/>
          <w:szCs w:val="24"/>
          <w:lang w:eastAsia="en-GB"/>
        </w:rPr>
        <w:fldChar w:fldCharType="end"/>
      </w:r>
      <w:r w:rsidRPr="00872636">
        <w:rPr>
          <w:rFonts w:ascii="Times New Roman" w:hAnsi="Times New Roman" w:cs="Times New Roman"/>
          <w:b/>
          <w:sz w:val="24"/>
          <w:szCs w:val="24"/>
          <w:lang w:eastAsia="en-GB"/>
        </w:rPr>
        <w:t>)</w:t>
      </w:r>
    </w:p>
    <w:p w14:paraId="17DC070A" w14:textId="07C9A34B" w:rsidR="00104A2A" w:rsidRPr="00872636" w:rsidRDefault="00104A2A" w:rsidP="00C525D8">
      <w:pPr>
        <w:pStyle w:val="ListParagraph"/>
        <w:tabs>
          <w:tab w:val="left" w:pos="709"/>
        </w:tabs>
        <w:spacing w:after="240" w:line="480" w:lineRule="auto"/>
        <w:ind w:left="0"/>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ab/>
        <w:t xml:space="preserve">Figure </w:t>
      </w:r>
      <w:r w:rsidR="009E307D" w:rsidRPr="00872636">
        <w:rPr>
          <w:rFonts w:ascii="Times New Roman" w:hAnsi="Times New Roman" w:cs="Times New Roman"/>
          <w:sz w:val="24"/>
          <w:szCs w:val="24"/>
          <w:lang w:eastAsia="en-GB"/>
        </w:rPr>
        <w:t xml:space="preserve">SI </w:t>
      </w:r>
      <w:r w:rsidRPr="00872636">
        <w:rPr>
          <w:rFonts w:ascii="Times New Roman" w:hAnsi="Times New Roman" w:cs="Times New Roman"/>
          <w:sz w:val="24"/>
          <w:szCs w:val="24"/>
          <w:lang w:eastAsia="en-GB"/>
        </w:rPr>
        <w:t>2 shows the trend of fuel cell technology development (with time until year 2030) on both stack level and systems level. On a Boeing 777-200LR aircraft (</w:t>
      </w:r>
      <w:r w:rsidR="004410DE" w:rsidRPr="00872636">
        <w:rPr>
          <w:rFonts w:ascii="Times New Roman" w:hAnsi="Times New Roman" w:cs="Times New Roman"/>
          <w:sz w:val="24"/>
          <w:szCs w:val="24"/>
          <w:lang w:eastAsia="en-GB"/>
        </w:rPr>
        <w:t xml:space="preserve">large twin aisle </w:t>
      </w:r>
      <w:r w:rsidR="004410DE" w:rsidRPr="00872636">
        <w:rPr>
          <w:rFonts w:ascii="Times New Roman" w:hAnsi="Times New Roman" w:cs="Times New Roman"/>
          <w:sz w:val="24"/>
          <w:szCs w:val="24"/>
          <w:lang w:eastAsia="en-GB"/>
        </w:rPr>
        <w:lastRenderedPageBreak/>
        <w:t xml:space="preserve">or </w:t>
      </w:r>
      <w:r w:rsidRPr="00872636">
        <w:rPr>
          <w:rFonts w:ascii="Times New Roman" w:hAnsi="Times New Roman" w:cs="Times New Roman"/>
          <w:sz w:val="24"/>
          <w:szCs w:val="24"/>
          <w:lang w:eastAsia="en-GB"/>
        </w:rPr>
        <w:t xml:space="preserve">LTA), two GE90 engines are used. The fuel flow rate at take-off is known to be 4.32 kg/s from the ICAO emissions databank while using conventional jet fuel (gravimetric energy density of 43.2 MJ/kg) </w:t>
      </w:r>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URL":"https://www.easa.europa.eu/domains/environment/icao-aircraft-engine-emissions-databank","accessed":{"date-parts":[["2020","8","16"]]},"author":[{"dropping-particle":"","family":"EASA","given":"","non-dropping-particle":"","parse-names":false,"suffix":""}],"container-title":"EASA","id":"ITEM-1","issued":{"date-parts":[["2021"]]},"title":"ICAO Aircraft Engine Emissions Databank","type":"webpage"},"uris":["http://www.mendeley.com/documents/?uuid=15f2a224-40dd-3ae6-912e-d4f359ea2c4b"]}],"mendeley":{"formattedCitation":"[68]","plainTextFormattedCitation":"[68]","previouslyFormattedCitation":"[68]"},"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[68]</w:t>
      </w:r>
      <w:r w:rsidRPr="00872636">
        <w:rPr>
          <w:rFonts w:ascii="Times New Roman" w:hAnsi="Times New Roman" w:cs="Times New Roman"/>
          <w:sz w:val="24"/>
          <w:szCs w:val="24"/>
          <w:lang w:eastAsia="en-GB"/>
        </w:rPr>
        <w:fldChar w:fldCharType="end"/>
      </w:r>
      <w:r w:rsidRPr="00872636">
        <w:rPr>
          <w:rFonts w:ascii="Times New Roman" w:hAnsi="Times New Roman" w:cs="Times New Roman"/>
          <w:sz w:val="24"/>
          <w:szCs w:val="24"/>
          <w:lang w:eastAsia="en-GB"/>
        </w:rPr>
        <w:t xml:space="preserve">. The overall efficiency is known to be 0.37 </w:t>
      </w:r>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{"citationItems":[{"id":"ITEM-1","itemData":{"DOI":"10.17226/23490","ISBN":"0309440963","abstract":"The primary human activities that release carbon dioxide (CO2) into the atmosphere are the combustion of fossil fuels (coal, natural gas, and oil) to generate electricity, the provision of energy for transportation, and as a consequence of some industrial processes. Although aviation CO2 emissions only make up approximately 2.0 to 2.5 percent of total global annual CO2 emissions, research to reduce CO2 emissions is urgent because (1) such reductions may be legislated even as commercial air travel grows, (2) because it takes new technology a long time to propagate into and through the aviation fleet, and (3) because of the ongoing impact of global CO2 emissions. Commercial Aircraft Propulsion and Energy Systems Research develops a national research agenda for reducing CO2 emissions from commercial aviation. This report focuses on propulsion and energy technologies for reducing carbon emissions from large, commercial aircraft single-aisle and twin-aisle aircraft that carry 100 or more passengers because such aircraft account for more than 90 percent of global emissions from commercial aircraft. Moreover, while smaller aircraft also emit CO2, they make only a minor contribution to global emissions, and many technologies that reduce CO2 emissions for large aircraft also apply to smaller aircraft. As commercial aviation continues to grow in terms of revenue-passenger miles and cargo ton miles, CO2 emissions are expected to increase. To reduce the contribution of aviation to climate change, it is essential to improve the effectiveness of ongoing efforts to reduce emissions and initiate research into new approaches.","author":[{"dropping-particle":"","family":"National-Academies-of-Sciences-Engineering-and-Medicine","given":"","non-dropping-particle":"","parse-names":false,"suffix":""}],"container-title":"The national academic press","id":"ITEM-1","issued":{"date-parts":[["2016","9","9"]]},"number-of-pages":"1-122","publisher":"National Academies Press","title":"Commercial aircraft propulsion and energy systems research: Reducing global carbon emissions","type":"book"},"uris":["http://www.mendeley.com/documents/?uuid=84ba0264-be61-35cb-9037-3ff156b24187"]}],"mendeley":{"formattedCitation":"[69]","plainTextFormattedCitation":"[69]","previouslyFormattedCitation":"[69]"},"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[69]</w:t>
      </w:r>
      <w:r w:rsidRPr="00872636">
        <w:rPr>
          <w:rFonts w:ascii="Times New Roman" w:hAnsi="Times New Roman" w:cs="Times New Roman"/>
          <w:sz w:val="24"/>
          <w:szCs w:val="24"/>
          <w:lang w:eastAsia="en-GB"/>
        </w:rPr>
        <w:fldChar w:fldCharType="end"/>
      </w:r>
      <w:r w:rsidRPr="00872636">
        <w:rPr>
          <w:rFonts w:ascii="Times New Roman" w:hAnsi="Times New Roman" w:cs="Times New Roman"/>
          <w:sz w:val="24"/>
          <w:szCs w:val="24"/>
          <w:lang w:eastAsia="en-GB"/>
        </w:rPr>
        <w:t xml:space="preserve">. Additionally, the engine weight is known to be 8761 kg </w:t>
      </w:r>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URL":"https://www.easa.europa.eu/downloads/7799/en","accessed":{"date-parts":[["2020","8","16"]]},"author":[{"dropping-particle":"","family":"EASA","given":"","non-dropping-particle":"","parse-names":false,"suffix":""}],"container-title":"EASA","id":"ITEM-1","issued":{"date-parts":[["2019"]]},"title":"TYPE-CERTIFICATE DATA SHEET for GE90 Series Engines","type":"webpage"},"uris":["http://www.mendeley.com/documents/?uuid=aef3e4ce-972f-30bf-a3dc-53e3b7283377"]}],"mendeley":{"formattedCitation":"[70]","plainTextFormattedCitation":"[70]","previouslyFormattedCitation":"[70]"},"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[70]</w:t>
      </w:r>
      <w:r w:rsidRPr="00872636">
        <w:rPr>
          <w:rFonts w:ascii="Times New Roman" w:hAnsi="Times New Roman" w:cs="Times New Roman"/>
          <w:sz w:val="24"/>
          <w:szCs w:val="24"/>
          <w:lang w:eastAsia="en-GB"/>
        </w:rPr>
        <w:fldChar w:fldCharType="end"/>
      </w:r>
      <w:r w:rsidRPr="00872636">
        <w:rPr>
          <w:rFonts w:ascii="Times New Roman" w:hAnsi="Times New Roman" w:cs="Times New Roman"/>
          <w:sz w:val="24"/>
          <w:szCs w:val="24"/>
          <w:lang w:eastAsia="en-GB"/>
        </w:rPr>
        <w:t xml:space="preserve">. The specific power of this engine (systems level) is calculated to be (4.32 x 43,200 x 0.37/8761 =) 7.88 kW/kg. Therefore, from Figure </w:t>
      </w:r>
      <w:r w:rsidR="009E307D" w:rsidRPr="00872636">
        <w:rPr>
          <w:rFonts w:ascii="Times New Roman" w:hAnsi="Times New Roman" w:cs="Times New Roman"/>
          <w:sz w:val="24"/>
          <w:szCs w:val="24"/>
          <w:lang w:eastAsia="en-GB"/>
        </w:rPr>
        <w:t xml:space="preserve">SI </w:t>
      </w:r>
      <w:r w:rsidRPr="00872636">
        <w:rPr>
          <w:rFonts w:ascii="Times New Roman" w:hAnsi="Times New Roman" w:cs="Times New Roman"/>
          <w:sz w:val="24"/>
          <w:szCs w:val="24"/>
          <w:lang w:eastAsia="en-GB"/>
        </w:rPr>
        <w:t>2 it can be concluded that fuel cells do not appear to be a technological solution for future large aircraft with a long range. In terms of hydrogen use, according to Rolls Royce’s tests discussed previously, long range large aircraft need to be powered by direct combustion of LH</w:t>
      </w:r>
      <w:r w:rsidRPr="00872636">
        <w:rPr>
          <w:rFonts w:ascii="Times New Roman" w:hAnsi="Times New Roman" w:cs="Times New Roman"/>
          <w:sz w:val="24"/>
          <w:szCs w:val="24"/>
          <w:vertAlign w:val="subscript"/>
          <w:lang w:eastAsia="en-GB"/>
        </w:rPr>
        <w:t>2</w:t>
      </w:r>
      <w:r w:rsidRPr="00872636">
        <w:rPr>
          <w:rFonts w:ascii="Times New Roman" w:hAnsi="Times New Roman" w:cs="Times New Roman"/>
          <w:sz w:val="24"/>
          <w:szCs w:val="24"/>
          <w:lang w:eastAsia="en-GB"/>
        </w:rPr>
        <w:t xml:space="preserve"> in gas turbine engines.</w:t>
      </w:r>
    </w:p>
    <w:p w14:paraId="2532C79B" w14:textId="7C301FBE" w:rsidR="00385CA7" w:rsidRPr="00872636" w:rsidRDefault="00385CA7" w:rsidP="00C525D8">
      <w:pPr>
        <w:pStyle w:val="ListParagraph"/>
        <w:tabs>
          <w:tab w:val="left" w:pos="709"/>
        </w:tabs>
        <w:spacing w:after="240" w:line="480" w:lineRule="auto"/>
        <w:ind w:left="0"/>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ab/>
        <w:t xml:space="preserve">A study by Kasim et al. </w:t>
      </w:r>
      <w:bookmarkStart w:id="4" w:name="_Hlk110803231"/>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{"citationItems":[{"id":"ITEM-1","itemData":{"DOI":"10.1016/J.JPOWSOUR.2022.230987","ISSN":"0378-7753","abstract":"Proton-Exchange Membrane-Fuel Cells (PEM-FC) are regarded as one of the prime candidates to provide emissions-free electricity for propulsion systems of aircraft. Here, a turbocharged Fuel Cell Power System (FCPS) powered with liquid H2 (LH2) is designed and modelled to provide a primary power source in retrofitted Cessna 208 Caravan aircraft. The proposed FCPS comprises multiple PEM-FCs assembled in stacks, two single-stage turbochargers to mitigate the variation of the ambient pressure with altitude, two preheaters, two humidifiers, and two combustors. Interlinked component sub-models are constructed in MATLAB and referenced to commercially available equipment. The FCPS model is used to simulate steady-state responses in a proposed 1.5 h (</w:instrText>
      </w:r>
      <w:r w:rsidR="00C46200">
        <w:rPr>
          <w:rFonts w:ascii="Cambria Math" w:hAnsi="Cambria Math" w:cs="Cambria Math"/>
          <w:sz w:val="24"/>
          <w:szCs w:val="24"/>
          <w:lang w:eastAsia="en-GB"/>
        </w:rPr>
        <w:instrText>∼</w:instrText>
      </w:r>
      <w:r w:rsidR="00C46200">
        <w:rPr>
          <w:rFonts w:ascii="Times New Roman" w:hAnsi="Times New Roman" w:cs="Times New Roman"/>
          <w:sz w:val="24"/>
          <w:szCs w:val="24"/>
          <w:lang w:eastAsia="en-GB"/>
        </w:rPr>
        <w:instrText xml:space="preserve">350 km) mission flight, determining the overall efficiency of the FCPS at 43% and hydrogen consumption of </w:instrText>
      </w:r>
      <w:r w:rsidR="00C46200">
        <w:rPr>
          <w:rFonts w:ascii="Cambria Math" w:hAnsi="Cambria Math" w:cs="Cambria Math"/>
          <w:sz w:val="24"/>
          <w:szCs w:val="24"/>
          <w:lang w:eastAsia="en-GB"/>
        </w:rPr>
        <w:instrText>∼</w:instrText>
      </w:r>
      <w:r w:rsidR="00C46200">
        <w:rPr>
          <w:rFonts w:ascii="Times New Roman" w:hAnsi="Times New Roman" w:cs="Times New Roman"/>
          <w:sz w:val="24"/>
          <w:szCs w:val="24"/>
          <w:lang w:eastAsia="en-GB"/>
        </w:rPr>
        <w:instrText>28 kg/h. The multi-stack FCPS is modelled applying parallel fluidic and electrical architectures, analysing two power-sharing methods: equally distributed and daisy-chaining. The designed LH2-FCPS is then proposed as a power system to a retrofitted Cessna 208 Caravan, and with this example analysed for the probability of failure occurrence. The results demonstrate that the proposed “dual redundant” FCPS can reach failure rates comparable to commercial jet engines with a rate below 1.6 failures per million hours.","author":[{"dropping-particle":"","family":"Abu Kasim","given":"A. F.B.","non-dropping-particle":"","parse-names":false,"suffix":""},{"dropping-particle":"","family":"Chan","given":"M. S.C.","non-dropping-particle":"","parse-names":false,"suffix":""},{"dropping-particle":"","family":"Marek","given":"E. J.","non-dropping-particle":"","parse-names":false,"suffix":""}],"container-title":"Journal of Power Sources","id":"ITEM-1","issued":{"date-parts":[["2022","2","15"]]},"page":"230987","publisher":"Elsevier","title":"Performance and failure analysis of a retrofitted Cessna aircraft with a Fuel Cell Power System fuelled with liquid hydrogen","type":"article-journal","volume":"521"},"uris":["http://www.mendeley.com/documents/?uuid=c2eaaa6f-003e-314b-a9f0-b3459e59593a"]}],"mendeley":{"formattedCitation":"[71]","plainTextFormattedCitation":"[71]","previouslyFormattedCitation":"[71]"},"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[71]</w:t>
      </w:r>
      <w:r w:rsidRPr="00872636">
        <w:rPr>
          <w:rFonts w:ascii="Times New Roman" w:hAnsi="Times New Roman" w:cs="Times New Roman"/>
          <w:sz w:val="24"/>
          <w:szCs w:val="24"/>
          <w:lang w:eastAsia="en-GB"/>
        </w:rPr>
        <w:fldChar w:fldCharType="end"/>
      </w:r>
      <w:bookmarkEnd w:id="4"/>
      <w:r w:rsidRPr="00872636">
        <w:rPr>
          <w:rFonts w:ascii="Times New Roman" w:hAnsi="Times New Roman" w:cs="Times New Roman"/>
          <w:sz w:val="24"/>
          <w:szCs w:val="24"/>
          <w:lang w:eastAsia="en-GB"/>
        </w:rPr>
        <w:t xml:space="preserve"> models the performance of a regional aircraft (Cessna) retrofitted with fuel cell and hydrogen fuel systems. The maximum passenger seating reduces from 14 to 8, and the aircraft range is 350 km. A study by Nicolay et al. </w:t>
      </w:r>
      <w:bookmarkStart w:id="5" w:name="_Hlk110803267"/>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{"citationItems":[{"id":"ITEM-1","itemData":{"DOI":"10.1016/J.IJHYDENE.2021.07.127","ISSN":"0360-3199","abstract":"In this paper, an aircraft design from scratch and optimization is carried out to investigate the potentials of using liquid hydrogen and fuel cells in general aviation. The focus is set on finding an efficient aircraft configuration that considers all drive train-related components such as the hydrogen tank, fuel cells, and electric motors as well as passenger seats and cargo hold. The paper starts with the definition of the design requirements and specifications. Following, the baseline design of the aircraft in the SUAVE tool is presented. This includes making extensions to the SUAVE tool regarding the compatibility of fuel cells and hydrogen energy networks. Eventually, a multidisciplinary design optimization process of selected design variables together with the design constraints is carried out in SUAVE. Finally, the design is evaluated in terms of performance and emissions by drawing a comparison with conventional general aviation aircraft.","author":[{"dropping-particle":"","family":"Nicolay","given":"Sebastian","non-dropping-particle":"","parse-names":false,"suffix":""},{"dropping-particle":"","family":"Karpuk","given":"Stanislav","non-dropping-particle":"","parse-names":false,"suffix":""},{"dropping-particle":"","family":"Liu","given":"Yaolong","non-dropping-particle":"","parse-names":false,"suffix":""},{"dropping-particle":"","family":"Elham","given":"Ali","non-dropping-particle":"","parse-names":false,"suffix":""}],"container-title":"International Journal of Hydrogen Energy","id":"ITEM-1","issue":"64","issued":{"date-parts":[["2021","9","16"]]},"page":"32676-32694","publisher":"Pergamon","title":"Conceptual design and optimization of a general aviation aircraft with fuel cells and hydrogen","type":"article-journal","volume":"46"},"uris":["http://www.mendeley.com/documents/?uuid=fc0300f1-55e4-391a-8d93-5b8a65644436"]}],"mendeley":{"formattedCitation":"[72]","plainTextFormattedCitation":"[72]","previouslyFormattedCitation":"[72]"},"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[72]</w:t>
      </w:r>
      <w:r w:rsidRPr="00872636">
        <w:rPr>
          <w:rFonts w:ascii="Times New Roman" w:hAnsi="Times New Roman" w:cs="Times New Roman"/>
          <w:sz w:val="24"/>
          <w:szCs w:val="24"/>
          <w:lang w:eastAsia="en-GB"/>
        </w:rPr>
        <w:fldChar w:fldCharType="end"/>
      </w:r>
      <w:bookmarkEnd w:id="5"/>
      <w:r w:rsidRPr="00872636">
        <w:rPr>
          <w:rFonts w:ascii="Times New Roman" w:hAnsi="Times New Roman" w:cs="Times New Roman"/>
          <w:sz w:val="24"/>
          <w:szCs w:val="24"/>
          <w:lang w:eastAsia="en-GB"/>
        </w:rPr>
        <w:t xml:space="preserve"> examines the performance of a small/regional aircraft powered by fuel cell and hydrogen fuel systems. The maximum payload is 428 kg (or four passenger seating) with a range of 1,678 km. A study by Waddington et al. </w:t>
      </w:r>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{"citationItems":[{"id":"ITEM-1","itemData":{"DOI":"10.2514/6.2021-2409","ISBN":"9781624106101","abstract":"This study considers the aircraft configuration impact of a liquid hydrogen/fuel cell electric propulsion system when integrated into a single-aisle, transport-class aircraft having consistent performance capability of a Boeing 737-800. This study demonstrates that, given reasonable developments in future component and subsystem technologies for a 2050 entry into service date, the design of an aircraft with a liquid hydrogen/fuel cell-based propulsion system can be feasibly achieved while still meeting mission-level performance characteristics consistent with modern commercial aircraft. While the use of hydrogen storage and fuel cell power systems does lead to an increase in maximum takeoff weight of the aircraft, relative to modern kerosene and turbofan-powered systems, the hydrogen fuel cell configuration benefits from leveraging distributed electric propulsion advantages, higher electrochemical efficiency than comparable thermal engines, and decreased thrust lapse rate with altitude when an independent inlet compression system is used. However, several challenges remain related to fuel cell system thermal management, requiring careful tradeoffs in fuel cell system composition, heat exchanger weight, and drag. Nevertheless, these results reveal the promising ability of a liquid hydrogen/fuel cell-based commercial aircraft to serve as a feasible replacement of narrow-body transport aircraft to help meet climate goals set for the aviation industry.","author":[{"dropping-particle":"","family":"Waddington","given":"Elias G.","non-dropping-particle":"","parse-names":false,"suffix":""},{"dropping-particle":"","family":"Merret","given":"Jason M.","non-dropping-particle":"","parse-names":false,"suffix":""},{"dropping-particle":"","family":"Ansell","given":"Phillip J.","non-dropping-particle":"","parse-names":false,"suffix":""}],"container-title":"AIAA Aviation and Aeronautics Forum and Exposition, AIAA AVIATION Forum 2021","id":"ITEM-1","issued":{"date-parts":[["2021"]]},"publisher":"American Institute of Aeronautics and Astronautics Inc, AIAA","title":"Impact of LH2 Fuel Cell-Electric Propulsion on Aircraft Configuration and Integration","type":"article-journal"},"uris":["http://www.mendeley.com/documents/?uuid=bd373ed0-87e3-3eef-81c2-108f5bace74d"]}],"mendeley":{"formattedCitation":"[73]","plainTextFormattedCitation":"[73]","previouslyFormattedCitation":"[73]"},"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[73]</w:t>
      </w:r>
      <w:r w:rsidRPr="00872636">
        <w:rPr>
          <w:rFonts w:ascii="Times New Roman" w:hAnsi="Times New Roman" w:cs="Times New Roman"/>
          <w:sz w:val="24"/>
          <w:szCs w:val="24"/>
          <w:lang w:eastAsia="en-GB"/>
        </w:rPr>
        <w:fldChar w:fldCharType="end"/>
      </w:r>
      <w:r w:rsidRPr="00872636">
        <w:rPr>
          <w:rFonts w:ascii="Times New Roman" w:hAnsi="Times New Roman" w:cs="Times New Roman"/>
          <w:sz w:val="24"/>
          <w:szCs w:val="24"/>
          <w:lang w:eastAsia="en-GB"/>
        </w:rPr>
        <w:t xml:space="preserve"> models an LH</w:t>
      </w:r>
      <w:r w:rsidRPr="00872636">
        <w:rPr>
          <w:rFonts w:ascii="Times New Roman" w:hAnsi="Times New Roman" w:cs="Times New Roman"/>
          <w:sz w:val="24"/>
          <w:szCs w:val="24"/>
          <w:vertAlign w:val="subscript"/>
          <w:lang w:eastAsia="en-GB"/>
        </w:rPr>
        <w:t>2</w:t>
      </w:r>
      <w:r w:rsidRPr="00872636">
        <w:rPr>
          <w:rFonts w:ascii="Times New Roman" w:hAnsi="Times New Roman" w:cs="Times New Roman"/>
          <w:sz w:val="24"/>
          <w:szCs w:val="24"/>
          <w:lang w:eastAsia="en-GB"/>
        </w:rPr>
        <w:t xml:space="preserve"> fuel cell powered aircraft called CHEETA of an unconventional airframe or architecture seating 180 passengers over 5436 km range (similar to a class of Boeing 737). A thesis by Vonhoff </w:t>
      </w:r>
      <w:bookmarkStart w:id="6" w:name="_Hlk110803510"/>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{"citationItems":[{"id":"ITEM-1","itemData":{"author":[{"dropping-particle":"","family":"Vonhoff","given":"George","non-dropping-particle":"","parse-names":false,"suffix":""}],"id":"ITEM-1","issued":{"date-parts":[["2021"]]},"publisher":"Delft University of Technology","title":"Conceptual Design of Hydrogen Fuel Cell Aircraft: Flying on hydrogen for a more sustainable future","type":"thesis"},"uris":["http://www.mendeley.com/documents/?uuid=18606432-be5b-39b3-8eae-218dcacd5744"]}],"mendeley":{"formattedCitation":"[74]","plainTextFormattedCitation":"[74]","previouslyFormattedCitation":"[74]"},"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[74]</w:t>
      </w:r>
      <w:r w:rsidRPr="00872636">
        <w:rPr>
          <w:rFonts w:ascii="Times New Roman" w:hAnsi="Times New Roman" w:cs="Times New Roman"/>
          <w:sz w:val="24"/>
          <w:szCs w:val="24"/>
          <w:lang w:eastAsia="en-GB"/>
        </w:rPr>
        <w:fldChar w:fldCharType="end"/>
      </w:r>
      <w:bookmarkEnd w:id="6"/>
      <w:r w:rsidRPr="00872636">
        <w:rPr>
          <w:rFonts w:ascii="Times New Roman" w:hAnsi="Times New Roman" w:cs="Times New Roman"/>
          <w:sz w:val="24"/>
          <w:szCs w:val="24"/>
          <w:lang w:eastAsia="en-GB"/>
        </w:rPr>
        <w:t xml:space="preserve"> designs a regional aircraft powered by fuel cell and hydrogen systems. A study by Brelje et al. </w:t>
      </w:r>
      <w:bookmarkStart w:id="7" w:name="_Hlk110803528"/>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{"citationItems":[{"id":"ITEM-1","itemData":{"DOI":"10.2514/6.2021-1132","ISBN":"9781624106095","abstract":"Hydrogen has been identified as a potential fuel for air transportation without carbon emissions. Hydrogen contains much higher energy per unit mass than any conceivable rechargeable battery, potentially making longer-range missions possible than pure electric configurations. However, hydrogen’s low volumetric energy density presents practical challenges. Hydrogen must either be kept under deep cryogenic conditions or compressed under very high pressure. Either solution is likely to require adding significant drag and tank weight to the airplane. This is a packing optimization problem subject to aerostructural physics, and we can employ multidisciplinary design optimization techniques to provide insight into optimal wing design for novel hydrogen aircraft concepts. In this paper, we extend prior work on wing packing optimization subject to aerodynamics only, and now incorporate structural analysis and structure geometry into the problem. We optimize the range of a hydrogen-electric aircraft with hydrogen fuel storage located inside the wing outer mold line. The geometry of the hydrogen storage tanks influences the shape of the wing as well as the weight and volumetric capacity of the tank. While the effect of hydrogen storage on other aircraft concepts cannot be generalized from this study, the optimization methods we use are promising for performing relevant aircraft design trade studies. The optimizer finds the correct tradeoff between weight, drag, and fuel storage for the mission, subject to spatial integration feasibility. In our test scenario, we find that the optimal aerostructural design involves substantial wing root thickening.","author":[{"dropping-particle":"","family":"Brelje","given":"Benjamin J.","non-dropping-particle":"","parse-names":false,"suffix":""},{"dropping-particle":"","family":"Martins","given":"Joaquim R.R.A.","non-dropping-particle":"","parse-names":false,"suffix":""}],"container-title":"AIAA Scitech 2021 Forum","id":"ITEM-1","issued":{"date-parts":[["2021"]]},"page":"1-18","publisher":"American Institute of Aeronautics and Astronautics Inc, AIAA","title":"Aerostructural wing optimization for a hydrogen fuel cell aircraft","type":"article-journal"},"uris":["http://www.mendeley.com/documents/?uuid=754a1d70-2cae-3104-b7b1-fe081de9390e"]}],"mendeley":{"formattedCitation":"[75]","plainTextFormattedCitation":"[75]","previouslyFormattedCitation":"[75]"},"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[75]</w:t>
      </w:r>
      <w:r w:rsidRPr="00872636">
        <w:rPr>
          <w:rFonts w:ascii="Times New Roman" w:hAnsi="Times New Roman" w:cs="Times New Roman"/>
          <w:sz w:val="24"/>
          <w:szCs w:val="24"/>
          <w:lang w:eastAsia="en-GB"/>
        </w:rPr>
        <w:fldChar w:fldCharType="end"/>
      </w:r>
      <w:bookmarkEnd w:id="7"/>
      <w:r w:rsidRPr="00872636">
        <w:rPr>
          <w:rFonts w:ascii="Times New Roman" w:hAnsi="Times New Roman" w:cs="Times New Roman"/>
          <w:sz w:val="24"/>
          <w:szCs w:val="24"/>
          <w:lang w:eastAsia="en-GB"/>
        </w:rPr>
        <w:t xml:space="preserve"> designs a small fuel cell powered aircraft (range ~2000 km), where the LH</w:t>
      </w:r>
      <w:r w:rsidRPr="00872636">
        <w:rPr>
          <w:rFonts w:ascii="Times New Roman" w:hAnsi="Times New Roman" w:cs="Times New Roman"/>
          <w:sz w:val="24"/>
          <w:szCs w:val="24"/>
          <w:vertAlign w:val="subscript"/>
          <w:lang w:eastAsia="en-GB"/>
        </w:rPr>
        <w:t>2</w:t>
      </w:r>
      <w:r w:rsidRPr="00872636">
        <w:rPr>
          <w:rFonts w:ascii="Times New Roman" w:hAnsi="Times New Roman" w:cs="Times New Roman"/>
          <w:sz w:val="24"/>
          <w:szCs w:val="24"/>
          <w:lang w:eastAsia="en-GB"/>
        </w:rPr>
        <w:t xml:space="preserve"> fuel is stored in wings. The author conducts a detailed aero-structural analysis of the wings for the installation of LH</w:t>
      </w:r>
      <w:r w:rsidRPr="00872636">
        <w:rPr>
          <w:rFonts w:ascii="Times New Roman" w:hAnsi="Times New Roman" w:cs="Times New Roman"/>
          <w:sz w:val="24"/>
          <w:szCs w:val="24"/>
          <w:vertAlign w:val="subscript"/>
          <w:lang w:eastAsia="en-GB"/>
        </w:rPr>
        <w:t>2</w:t>
      </w:r>
      <w:r w:rsidRPr="00872636">
        <w:rPr>
          <w:rFonts w:ascii="Times New Roman" w:hAnsi="Times New Roman" w:cs="Times New Roman"/>
          <w:sz w:val="24"/>
          <w:szCs w:val="24"/>
          <w:lang w:eastAsia="en-GB"/>
        </w:rPr>
        <w:t xml:space="preserve"> fuel tanks. A study by Marciello et al. </w:t>
      </w:r>
      <w:bookmarkStart w:id="8" w:name="_Hlk110803616"/>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10.2514/6.2022-3205","author":[{"dropping-particle":"","family":"Nicolosi","given":"Fabrizio","non-dropping-particle":"","parse-names":false,"suffix":""},{"dropping-particle":"","family":"Marciello","given":"Valerio","non-dropping-particle":"","parse-names":false,"suffix":""},{"dropping-particle":"","family":"Orefice","given":"Francesco","non-dropping-particle":"","parse-names":false,"suffix":""}],"id":"ITEM-1","issued":{"date-parts":[["2022","6","27"]]},"publisher":"American Institute of Aeronautics and Astronautics (AIAA)","title":"Conceptual Design of a Hydrogen-Propelled Aircraft with Distributed Electric Propulsion","type":"article-journal"},"uris":["http://www.mendeley.com/documents/?uuid=b48e1d6a-d71b-3936-ac98-2efec3ba8aab"]}],"mendeley":{"formattedCitation":"[76]","plainTextFormattedCitation":"[76]","previouslyFormattedCitation":"[76]"},"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[76]</w:t>
      </w:r>
      <w:r w:rsidRPr="00872636">
        <w:rPr>
          <w:rFonts w:ascii="Times New Roman" w:hAnsi="Times New Roman" w:cs="Times New Roman"/>
          <w:sz w:val="24"/>
          <w:szCs w:val="24"/>
          <w:lang w:eastAsia="en-GB"/>
        </w:rPr>
        <w:fldChar w:fldCharType="end"/>
      </w:r>
      <w:bookmarkEnd w:id="8"/>
      <w:r w:rsidRPr="00872636">
        <w:rPr>
          <w:rFonts w:ascii="Times New Roman" w:hAnsi="Times New Roman" w:cs="Times New Roman"/>
          <w:sz w:val="24"/>
          <w:szCs w:val="24"/>
          <w:lang w:eastAsia="en-GB"/>
        </w:rPr>
        <w:t xml:space="preserve"> provide conceptual design of a fuel cell powered regional aircraft with a design range of 926 km seating 19 passengers. A study by Pastra et al. </w:t>
      </w:r>
      <w:bookmarkStart w:id="9" w:name="_Hlk110803628"/>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{"citationItems":[{"id":"ITEM-1","itemData":{"DOI":"10.2514/6.2022-3290","author":[{"dropping-particle":"","family":"Pastra","given":"Chrysoula L.","non-dropping-particle":"","parse-names":false,"suffix":""},{"dropping-particle":"","family":"Cinar","given":"Gokcin","non-dropping-particle":"","parse-names":false,"suffix":""},{"dropping-particle":"","family":"Mavris","given":"Dimitri N.","non-dropping-particle":"","parse-names":false,"suffix":""}],"id":"ITEM-1","issued":{"date-parts":[["2022","6","27"]]},"publisher":"American Institute of Aeronautics and Astronautics (AIAA)","title":"Feasibility and benefit assessments of hybrid hydrogen fuel cell and battery configurations on a regional turboprop aircraft","type":"article-journal"},"uris":["http://www.mendeley.com/documents/?uuid=e0abb26b-1f21-310a-a7c5-2de84f71508d"]}],"mendeley":{"formattedCitation":"[77]","plainTextFormattedCitation":"[77]","previouslyFormattedCitation":"[77]"},"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[77]</w:t>
      </w:r>
      <w:r w:rsidRPr="00872636">
        <w:rPr>
          <w:rFonts w:ascii="Times New Roman" w:hAnsi="Times New Roman" w:cs="Times New Roman"/>
          <w:sz w:val="24"/>
          <w:szCs w:val="24"/>
          <w:lang w:eastAsia="en-GB"/>
        </w:rPr>
        <w:fldChar w:fldCharType="end"/>
      </w:r>
      <w:bookmarkEnd w:id="9"/>
      <w:r w:rsidRPr="00872636">
        <w:rPr>
          <w:rFonts w:ascii="Times New Roman" w:hAnsi="Times New Roman" w:cs="Times New Roman"/>
          <w:sz w:val="24"/>
          <w:szCs w:val="24"/>
          <w:lang w:eastAsia="en-GB"/>
        </w:rPr>
        <w:t xml:space="preserve"> models a hybrid hydrogen fuel cell and battery powered regional turboprop aircraft with a design range of 2035 km seating 74 passengers.</w:t>
      </w:r>
      <w:r w:rsidR="00F836F3" w:rsidRPr="00872636">
        <w:rPr>
          <w:rFonts w:ascii="Times New Roman" w:hAnsi="Times New Roman" w:cs="Times New Roman"/>
          <w:sz w:val="24"/>
          <w:szCs w:val="24"/>
          <w:lang w:eastAsia="en-GB"/>
        </w:rPr>
        <w:t xml:space="preserve"> </w:t>
      </w:r>
      <w:r w:rsidR="00097276" w:rsidRPr="00872636">
        <w:rPr>
          <w:rFonts w:ascii="Times New Roman" w:hAnsi="Times New Roman" w:cs="Times New Roman"/>
          <w:sz w:val="24"/>
          <w:szCs w:val="24"/>
          <w:lang w:eastAsia="en-GB"/>
        </w:rPr>
        <w:t xml:space="preserve">Studies by </w:t>
      </w:r>
      <w:r w:rsidR="00F836F3" w:rsidRPr="00872636">
        <w:rPr>
          <w:rFonts w:ascii="Times New Roman" w:hAnsi="Times New Roman" w:cs="Times New Roman"/>
          <w:sz w:val="24"/>
          <w:szCs w:val="24"/>
          <w:lang w:eastAsia="en-GB"/>
        </w:rPr>
        <w:t xml:space="preserve">Mukhopadhaya et al. </w:t>
      </w:r>
      <w:r w:rsidR="00F836F3"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URL":"https://theicct.org/publication/aviation-global-evo-hydrogen-aircraft-jan22/","accessed":{"date-parts":[["2022","6","4"]]},"author":[{"dropping-particle":"","family":"Mukhopadhaya","given":"Jayant","non-dropping-particle":"","parse-names":false,"suffix":""},{"dropping-particle":"","family":"Rutherford","given":"Dan","non-dropping-particle":"","parse-names":false,"suffix":""}],"container-title":"International Council on Clean Transportation","id":"ITEM-1","issued":{"date-parts":[["2022"]]},"title":"Performance analysis of evolutionary hydrogen-powered aircraft","type":"webpage"},"uris":["http://www.mendeley.com/documents/?uuid=bd1cc1a0-7adf-3ec5-9cff-a8d7c40554cf"]}],"mendeley":{"formattedCitation":"[59]","plainTextFormattedCitation":"[59]","previouslyFormattedCitation":"[59]"},"properties":{"noteIndex":0},"schema":"https://github.com/citation-style-language/schema/raw/master/csl-citation.json"}</w:instrText>
      </w:r>
      <w:r w:rsidR="00F836F3"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[59]</w:t>
      </w:r>
      <w:r w:rsidR="00F836F3" w:rsidRPr="00872636">
        <w:rPr>
          <w:rFonts w:ascii="Times New Roman" w:hAnsi="Times New Roman" w:cs="Times New Roman"/>
          <w:sz w:val="24"/>
          <w:szCs w:val="24"/>
          <w:lang w:eastAsia="en-GB"/>
        </w:rPr>
        <w:fldChar w:fldCharType="end"/>
      </w:r>
      <w:r w:rsidR="004365FA" w:rsidRPr="00872636">
        <w:rPr>
          <w:rFonts w:ascii="Times New Roman" w:hAnsi="Times New Roman" w:cs="Times New Roman"/>
          <w:sz w:val="24"/>
          <w:szCs w:val="24"/>
          <w:lang w:eastAsia="en-GB"/>
        </w:rPr>
        <w:t xml:space="preserve"> and FlyZero report </w:t>
      </w:r>
      <w:r w:rsidR="004365FA"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{"citationItems":[{"id":"ITEM-1","itemData":{"abstract":"Front cover, contents and page 6 image © ATI. Representation of air traffic for contrail assessment in FlyZero. Visualisation using Mayavi and Paraview [1] [2], and Cirium SRS Analyzer Data 2006. Led by the Aerospace Technology Institute and backed by the UK government, FlyZero began in early 2021 as an intensive research project investigating zero-carbon emission commercial flight. This independent study has brought together experts from across the UK to assess the design challenges, manufacturing demands, operational requirements and market opportunity of potential zero-carbon emission aircraft concepts. FlyZero has concluded that green liquid hydrogen is the most viable zero-carbon emission fuel with the potential to scale to larger aircraft utilising fuel cell, gas turbine and hybrid systems. This has guided the focus, conclusions and recommendations of the project. This report forms part of a suite of FlyZero outputs which will help shape the future of global aviation with the intention of gearing up the UK to stand at the forefront of sustainable flight in design, manufacture, technology and skills for years to come. To discover more and download the FlyZero reports, visit ati.org.uk ACKNOWLEDGEMENTS","author":[{"dropping-particle":"","family":"Job","given":"Stella","non-dropping-particle":"","parse-names":false,"suffix":""},{"dropping-particle":"","family":"Campbell","given":"Matthew","non-dropping-particle":"","parse-names":false,"suffix":""},{"dropping-particle":"","family":"Hall","given":"Bethany","non-dropping-particle":"","parse-names":false,"suffix":""},{"dropping-particle":"","family":"Hamadache","given":"Zakia","non-dropping-particle":"","parse-names":false,"suffix":""},{"dropping-particle":"","family":"Kumar","given":"Naresh","non-dropping-particle":"","parse-names":false,"suffix":""}],"id":"ITEM-1","issued":{"date-parts":[["2022"]]},"title":"SUSTAINABILITY REPORT - The Lifecycle Impact of Hydrogen-Powered Aircraft","type":"report"},"uris":["http://www.mendeley.com/documents/?uuid=23fcdda0-b06a-3cb9-9281-dc34456733bb"]}],"mendeley":{"formattedCitation":"[60]","plainTextFormattedCitation":"[60]","previouslyFormattedCitation":"[60]"},"properties":{"noteIndex":0},"schema":"https://github.com/citation-style-language/schema/raw/master/csl-citation.json"}</w:instrText>
      </w:r>
      <w:r w:rsidR="004365FA"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[60]</w:t>
      </w:r>
      <w:r w:rsidR="004365FA" w:rsidRPr="00872636">
        <w:rPr>
          <w:rFonts w:ascii="Times New Roman" w:hAnsi="Times New Roman" w:cs="Times New Roman"/>
          <w:sz w:val="24"/>
          <w:szCs w:val="24"/>
          <w:lang w:eastAsia="en-GB"/>
        </w:rPr>
        <w:fldChar w:fldCharType="end"/>
      </w:r>
      <w:r w:rsidR="00097276" w:rsidRPr="00872636">
        <w:rPr>
          <w:rFonts w:ascii="Times New Roman" w:hAnsi="Times New Roman" w:cs="Times New Roman"/>
          <w:sz w:val="24"/>
          <w:szCs w:val="24"/>
          <w:lang w:eastAsia="en-GB"/>
        </w:rPr>
        <w:t xml:space="preserve"> find that fuel cell LH</w:t>
      </w:r>
      <w:r w:rsidR="00097276" w:rsidRPr="00872636">
        <w:rPr>
          <w:rFonts w:ascii="Times New Roman" w:hAnsi="Times New Roman" w:cs="Times New Roman"/>
          <w:sz w:val="24"/>
          <w:szCs w:val="24"/>
          <w:vertAlign w:val="subscript"/>
          <w:lang w:eastAsia="en-GB"/>
        </w:rPr>
        <w:t>2</w:t>
      </w:r>
      <w:r w:rsidR="00097276" w:rsidRPr="00872636">
        <w:rPr>
          <w:rFonts w:ascii="Times New Roman" w:hAnsi="Times New Roman" w:cs="Times New Roman"/>
          <w:sz w:val="24"/>
          <w:szCs w:val="24"/>
          <w:lang w:eastAsia="en-GB"/>
        </w:rPr>
        <w:t xml:space="preserve"> powered aircraft technolog</w:t>
      </w:r>
      <w:r w:rsidR="005B1C27" w:rsidRPr="00872636">
        <w:rPr>
          <w:rFonts w:ascii="Times New Roman" w:hAnsi="Times New Roman" w:cs="Times New Roman"/>
          <w:sz w:val="24"/>
          <w:szCs w:val="24"/>
          <w:lang w:eastAsia="en-GB"/>
        </w:rPr>
        <w:t xml:space="preserve">y </w:t>
      </w:r>
      <w:r w:rsidR="00097276" w:rsidRPr="00872636">
        <w:rPr>
          <w:rFonts w:ascii="Times New Roman" w:hAnsi="Times New Roman" w:cs="Times New Roman"/>
          <w:sz w:val="24"/>
          <w:szCs w:val="24"/>
          <w:lang w:eastAsia="en-GB"/>
        </w:rPr>
        <w:t xml:space="preserve">appear to be infeasible currently (considering future </w:t>
      </w:r>
      <w:r w:rsidR="00097276" w:rsidRPr="00872636">
        <w:rPr>
          <w:rFonts w:ascii="Times New Roman" w:hAnsi="Times New Roman" w:cs="Times New Roman"/>
          <w:sz w:val="24"/>
          <w:szCs w:val="24"/>
          <w:lang w:eastAsia="en-GB"/>
        </w:rPr>
        <w:lastRenderedPageBreak/>
        <w:t>technology development trend) and require dramatic improvement for enabling typical long-range Mach 0.85 flight of an LTA aircraft</w:t>
      </w:r>
      <w:r w:rsidR="004C3303" w:rsidRPr="00872636">
        <w:rPr>
          <w:rFonts w:ascii="Times New Roman" w:hAnsi="Times New Roman" w:cs="Times New Roman"/>
          <w:sz w:val="24"/>
          <w:szCs w:val="24"/>
          <w:lang w:eastAsia="en-GB"/>
        </w:rPr>
        <w:t>.</w:t>
      </w:r>
    </w:p>
    <w:p w14:paraId="6F06BEB5" w14:textId="6E6337AD" w:rsidR="00104A2A" w:rsidRPr="00872636" w:rsidRDefault="00104A2A" w:rsidP="00C525D8">
      <w:pPr>
        <w:pStyle w:val="Heading2"/>
        <w:spacing w:after="240" w:line="480" w:lineRule="auto"/>
        <w:rPr>
          <w:rFonts w:ascii="Times New Roman" w:eastAsia="Times New Roman" w:hAnsi="Times New Roman" w:cs="Times New Roman"/>
          <w:color w:val="auto"/>
          <w:sz w:val="24"/>
          <w:szCs w:val="24"/>
          <w:bdr w:val="none" w:sz="0" w:space="0" w:color="auto" w:frame="1"/>
          <w:lang w:eastAsia="en-GB"/>
        </w:rPr>
      </w:pPr>
      <w:r w:rsidRPr="00872636">
        <w:rPr>
          <w:rFonts w:ascii="Times New Roman" w:eastAsia="Times New Roman" w:hAnsi="Times New Roman" w:cs="Times New Roman"/>
          <w:color w:val="auto"/>
          <w:sz w:val="24"/>
          <w:szCs w:val="24"/>
          <w:bdr w:val="none" w:sz="0" w:space="0" w:color="auto" w:frame="1"/>
          <w:lang w:eastAsia="en-GB"/>
        </w:rPr>
        <w:t>Summary of literature review</w:t>
      </w:r>
    </w:p>
    <w:p w14:paraId="70CF08CE" w14:textId="5BB8A819" w:rsidR="00104A2A" w:rsidRPr="00872636" w:rsidRDefault="00104A2A" w:rsidP="00C525D8">
      <w:pPr>
        <w:pStyle w:val="ListParagraph"/>
        <w:tabs>
          <w:tab w:val="left" w:pos="709"/>
        </w:tabs>
        <w:spacing w:after="0" w:line="480" w:lineRule="auto"/>
        <w:ind w:left="0"/>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ab/>
        <w:t xml:space="preserve">The literature review covers studies from both academia and industry. Overall, the above review suggests that the efforts from academia and industry agree with each other and in-line with the </w:t>
      </w:r>
      <w:r w:rsidR="000B66B0" w:rsidRPr="00872636">
        <w:rPr>
          <w:rFonts w:ascii="Times New Roman" w:hAnsi="Times New Roman" w:cs="Times New Roman"/>
          <w:sz w:val="24"/>
          <w:szCs w:val="24"/>
          <w:lang w:eastAsia="en-GB"/>
        </w:rPr>
        <w:t>International Air Transport Association (</w:t>
      </w:r>
      <w:r w:rsidRPr="00872636">
        <w:rPr>
          <w:rFonts w:ascii="Times New Roman" w:hAnsi="Times New Roman" w:cs="Times New Roman"/>
          <w:sz w:val="24"/>
          <w:szCs w:val="24"/>
          <w:lang w:eastAsia="en-GB"/>
        </w:rPr>
        <w:t>IATA</w:t>
      </w:r>
      <w:r w:rsidR="000B66B0" w:rsidRPr="00872636">
        <w:rPr>
          <w:rFonts w:ascii="Times New Roman" w:hAnsi="Times New Roman" w:cs="Times New Roman"/>
          <w:sz w:val="24"/>
          <w:szCs w:val="24"/>
          <w:lang w:eastAsia="en-GB"/>
        </w:rPr>
        <w:t>)</w:t>
      </w:r>
      <w:r w:rsidRPr="00872636">
        <w:rPr>
          <w:rFonts w:ascii="Times New Roman" w:hAnsi="Times New Roman" w:cs="Times New Roman"/>
          <w:sz w:val="24"/>
          <w:szCs w:val="24"/>
          <w:lang w:eastAsia="en-GB"/>
        </w:rPr>
        <w:t xml:space="preserve"> strategy #1 for making future aviation more sustainable. </w:t>
      </w:r>
    </w:p>
    <w:p w14:paraId="6C5175EB" w14:textId="047B019C" w:rsidR="004026B3" w:rsidRPr="00872636" w:rsidRDefault="00104A2A" w:rsidP="00C525D8">
      <w:pPr>
        <w:spacing w:line="480" w:lineRule="auto"/>
        <w:jc w:val="both"/>
        <w:rPr>
          <w:rFonts w:ascii="Times New Roman" w:eastAsia="Times New Roman" w:hAnsi="Times New Roman" w:cs="Times New Roman"/>
          <w:sz w:val="24"/>
          <w:szCs w:val="24"/>
          <w:lang w:eastAsia="en-GB"/>
        </w:rPr>
      </w:pPr>
      <w:r w:rsidRPr="00872636">
        <w:rPr>
          <w:rFonts w:ascii="Times New Roman" w:hAnsi="Times New Roman" w:cs="Times New Roman"/>
          <w:sz w:val="24"/>
          <w:szCs w:val="24"/>
          <w:lang w:eastAsia="en-GB"/>
        </w:rPr>
        <w:tab/>
        <w:t xml:space="preserve">Solar-electric and ion propulsion technology appear to be infeasible currently and require dramatic improvement for enabling typical long-range Mach 0.85 flight of ~300 passengers with passenger safety considerations. </w:t>
      </w:r>
      <w:r w:rsidR="0003566F" w:rsidRPr="00872636">
        <w:rPr>
          <w:rFonts w:ascii="Times New Roman" w:hAnsi="Times New Roman" w:cs="Times New Roman"/>
          <w:sz w:val="24"/>
          <w:szCs w:val="24"/>
          <w:lang w:eastAsia="en-GB"/>
        </w:rPr>
        <w:t>Electric aircraft (battery and turbo-electric)</w:t>
      </w:r>
      <w:r w:rsidRPr="00872636">
        <w:rPr>
          <w:rFonts w:ascii="Times New Roman" w:hAnsi="Times New Roman" w:cs="Times New Roman"/>
          <w:sz w:val="24"/>
          <w:szCs w:val="24"/>
          <w:lang w:eastAsia="en-GB"/>
        </w:rPr>
        <w:t xml:space="preserve"> and fuel cell development trend could enable passenger travel only for a small short-range to medium-range aircraft. Different approved blends of drop-in SPKs are currently the alternative to Jet-A fuel. Based on the literature review, methanol, ethanol, 100% SPK, </w:t>
      </w:r>
      <w:r w:rsidRPr="00872636">
        <w:rPr>
          <w:rFonts w:ascii="Times New Roman" w:eastAsia="Times New Roman" w:hAnsi="Times New Roman" w:cs="Times New Roman"/>
          <w:sz w:val="24"/>
          <w:szCs w:val="24"/>
          <w:lang w:eastAsia="en-GB"/>
        </w:rPr>
        <w:t>LH</w:t>
      </w:r>
      <w:r w:rsidRPr="00872636">
        <w:rPr>
          <w:rFonts w:ascii="Times New Roman" w:eastAsia="Times New Roman" w:hAnsi="Times New Roman" w:cs="Times New Roman"/>
          <w:sz w:val="24"/>
          <w:szCs w:val="24"/>
          <w:vertAlign w:val="subscript"/>
          <w:lang w:eastAsia="en-GB"/>
        </w:rPr>
        <w:t>2</w:t>
      </w:r>
      <w:r w:rsidRPr="00872636">
        <w:rPr>
          <w:rFonts w:ascii="Times New Roman" w:eastAsia="Times New Roman" w:hAnsi="Times New Roman" w:cs="Times New Roman"/>
          <w:sz w:val="24"/>
          <w:szCs w:val="24"/>
          <w:lang w:eastAsia="en-GB"/>
        </w:rPr>
        <w:t>, LNG and LNH</w:t>
      </w:r>
      <w:r w:rsidRPr="00872636">
        <w:rPr>
          <w:rFonts w:ascii="Times New Roman" w:eastAsia="Times New Roman" w:hAnsi="Times New Roman" w:cs="Times New Roman"/>
          <w:sz w:val="24"/>
          <w:szCs w:val="24"/>
          <w:vertAlign w:val="subscript"/>
          <w:lang w:eastAsia="en-GB"/>
        </w:rPr>
        <w:t>3</w:t>
      </w:r>
      <w:r w:rsidRPr="00872636">
        <w:rPr>
          <w:rFonts w:ascii="Times New Roman" w:hAnsi="Times New Roman" w:cs="Times New Roman"/>
          <w:sz w:val="24"/>
          <w:szCs w:val="24"/>
          <w:lang w:eastAsia="en-GB"/>
        </w:rPr>
        <w:t xml:space="preserve"> appear to be future alternatives to the conventional Jet-A fuel based on their properties. As discussed in </w:t>
      </w:r>
      <w:r w:rsidR="00A03A3F" w:rsidRPr="00872636">
        <w:rPr>
          <w:rFonts w:ascii="Times New Roman" w:hAnsi="Times New Roman" w:cs="Times New Roman"/>
          <w:sz w:val="24"/>
          <w:szCs w:val="24"/>
          <w:lang w:eastAsia="en-GB"/>
        </w:rPr>
        <w:t>SI §</w:t>
      </w:r>
      <w:r w:rsidRPr="00872636">
        <w:rPr>
          <w:rFonts w:ascii="Times New Roman" w:hAnsi="Times New Roman" w:cs="Times New Roman"/>
          <w:sz w:val="24"/>
          <w:szCs w:val="24"/>
          <w:lang w:eastAsia="en-GB"/>
        </w:rPr>
        <w:t>1.</w:t>
      </w:r>
      <w:r w:rsidR="009C4050" w:rsidRPr="00872636">
        <w:rPr>
          <w:rFonts w:ascii="Times New Roman" w:hAnsi="Times New Roman" w:cs="Times New Roman"/>
          <w:sz w:val="24"/>
          <w:szCs w:val="24"/>
          <w:lang w:eastAsia="en-GB"/>
        </w:rPr>
        <w:t>1.</w:t>
      </w:r>
      <w:r w:rsidRPr="00872636">
        <w:rPr>
          <w:rFonts w:ascii="Times New Roman" w:hAnsi="Times New Roman" w:cs="Times New Roman"/>
          <w:sz w:val="24"/>
          <w:szCs w:val="24"/>
          <w:lang w:eastAsia="en-GB"/>
        </w:rPr>
        <w:t>5</w:t>
      </w:r>
      <w:r w:rsidR="00C402CA" w:rsidRPr="00872636">
        <w:rPr>
          <w:rFonts w:ascii="Times New Roman" w:hAnsi="Times New Roman" w:cs="Times New Roman"/>
          <w:sz w:val="24"/>
          <w:szCs w:val="24"/>
          <w:lang w:eastAsia="en-GB"/>
        </w:rPr>
        <w:t xml:space="preserve"> of th</w:t>
      </w:r>
      <w:r w:rsidR="006176BF" w:rsidRPr="00872636">
        <w:rPr>
          <w:rFonts w:ascii="Times New Roman" w:hAnsi="Times New Roman" w:cs="Times New Roman"/>
          <w:sz w:val="24"/>
          <w:szCs w:val="24"/>
          <w:lang w:eastAsia="en-GB"/>
        </w:rPr>
        <w:t>e present</w:t>
      </w:r>
      <w:r w:rsidR="00C402CA" w:rsidRPr="00872636">
        <w:rPr>
          <w:rFonts w:ascii="Times New Roman" w:hAnsi="Times New Roman" w:cs="Times New Roman"/>
          <w:sz w:val="24"/>
          <w:szCs w:val="24"/>
          <w:lang w:eastAsia="en-GB"/>
        </w:rPr>
        <w:t xml:space="preserve"> document</w:t>
      </w:r>
      <w:r w:rsidRPr="00872636">
        <w:rPr>
          <w:rFonts w:ascii="Times New Roman" w:eastAsia="Times New Roman" w:hAnsi="Times New Roman" w:cs="Times New Roman"/>
          <w:sz w:val="24"/>
          <w:szCs w:val="24"/>
          <w:lang w:eastAsia="en-GB"/>
        </w:rPr>
        <w:t>, a more detailed analysis is required which quantitatively evaluates these six fuels.</w:t>
      </w:r>
    </w:p>
    <w:p w14:paraId="5BD0065D" w14:textId="7F34770A" w:rsidR="00D73C07" w:rsidRPr="00872636" w:rsidRDefault="00F60E44" w:rsidP="00C525D8">
      <w:pPr>
        <w:pStyle w:val="Heading1"/>
        <w:numPr>
          <w:ilvl w:val="0"/>
          <w:numId w:val="1"/>
        </w:numPr>
        <w:spacing w:after="240" w:line="480" w:lineRule="auto"/>
        <w:rPr>
          <w:rFonts w:ascii="Times New Roman" w:eastAsia="Times New Roman" w:hAnsi="Times New Roman" w:cs="Times New Roman"/>
          <w:b/>
          <w:bCs/>
          <w:color w:val="auto"/>
          <w:sz w:val="24"/>
          <w:szCs w:val="24"/>
          <w:bdr w:val="none" w:sz="0" w:space="0" w:color="auto" w:frame="1"/>
          <w:lang w:eastAsia="en-GB"/>
        </w:rPr>
      </w:pPr>
      <w:r w:rsidRPr="00872636">
        <w:rPr>
          <w:rFonts w:ascii="Times New Roman" w:eastAsia="Times New Roman" w:hAnsi="Times New Roman" w:cs="Times New Roman"/>
          <w:b/>
          <w:bCs/>
          <w:color w:val="auto"/>
          <w:sz w:val="24"/>
          <w:szCs w:val="24"/>
          <w:bdr w:val="none" w:sz="0" w:space="0" w:color="auto" w:frame="1"/>
          <w:lang w:eastAsia="en-GB"/>
        </w:rPr>
        <w:t>Overview of GasTurb 13 engine cycle design and optimization</w:t>
      </w:r>
    </w:p>
    <w:p w14:paraId="73EBE5CC" w14:textId="4CD77A2E" w:rsidR="00484AC5" w:rsidRPr="00872636" w:rsidRDefault="00175643" w:rsidP="00C525D8">
      <w:pPr>
        <w:tabs>
          <w:tab w:val="left" w:pos="709"/>
        </w:tabs>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rPr>
        <w:tab/>
      </w:r>
      <w:r w:rsidR="00F60E44" w:rsidRPr="00872636">
        <w:rPr>
          <w:rFonts w:ascii="Times New Roman" w:hAnsi="Times New Roman" w:cs="Times New Roman"/>
          <w:sz w:val="24"/>
          <w:szCs w:val="24"/>
        </w:rPr>
        <w:t xml:space="preserve">GasTurb 13 is a software tool that estimates the performance and optimization of gas turbine engines </w:t>
      </w:r>
      <w:r w:rsidR="00F60E44"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13","type":"webpage"},"uris":["http://www.mendeley.com/documents/?uuid=0a35f6c4-ffb6-407e-a8e2-1711939389d6"]},{"id":"ITEM-2","itemData":{"DOI":"10.1007/978-3-319-75979-1","ISBN":"9783319759791","abstract":"The book is written for engineers and students who wish to address the preliminary design of gas turbine engines, as well as the associated performance calculations, in a practical manner. A basic knowledge of thermodynamics and turbomachinery is a prerequisite for understanding the concepts and ideas described. The book is also intended for teachers as a source of information for lecture materials and exercises for their students. It is extensively illustrated with examples and data from real engine cycles, all of which can be reproduced with GasTurb (TM). It discusses the practical application of thermodynamic, aerodynamic and mechanical principles. The authors describe the theoretical background of the simulation elements and the relevant correlations through which they are applied, however they refrain from detailed scientific derivations.","author":[{"dropping-particle":"","family":"Kurzke","given":"Joachim","non-dropping-particle":"","parse-names":false,"suffix":""},{"dropping-particle":"","family":"Halliwell","given":"Ian","non-dropping-particle":"","parse-names":false,"suffix":""}],"container-title":"Propulsion and Power: An Exploration of Gas Turbine Performance Modeling","id":"ITEM-2","issued":{"date-parts":[["2018","7","2"]]},"number-of-pages":"1-755","publisher":"Springer International Publishing","title":"Propulsion and Power: An Exploration of Gas Turbine Performance Modeling","type":"book"},"uris":["http://www.mendeley.com/documents/?uuid=3eb42577-6ed9-3ce0-8f37-ed2c733fd4cf"]},{"id":"ITEM-3","itemData":{"author":[{"dropping-particle":"","family":"Kurzke","given":"Joachim","non-dropping-particle":"","parse-names":false,"suffix":""}],"id":"ITEM-3","issued":{"date-parts":[["2018"]]},"title":"GasTurb 13 Design and Off-Design Performance of Gas Turbines","type":"report"},"uris":["http://www.mendeley.com/documents/?uuid=20a4a34a-91b1-36e5-a9cb-7b795db88059"]}],"mendeley":{"formattedCitation":"[78]–[80]","plainTextFormattedCitation":"[78]–[80]","previouslyFormattedCitation":"[78]–[80]"},"properties":{"noteIndex":0},"schema":"https://github.com/citation-style-language/schema/raw/master/csl-citation.json"}</w:instrText>
      </w:r>
      <w:r w:rsidR="00F60E44"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[78]–[80]</w:t>
      </w:r>
      <w:r w:rsidR="00F60E44" w:rsidRPr="00872636">
        <w:rPr>
          <w:rFonts w:ascii="Times New Roman" w:hAnsi="Times New Roman" w:cs="Times New Roman"/>
          <w:sz w:val="24"/>
          <w:szCs w:val="24"/>
        </w:rPr>
        <w:fldChar w:fldCharType="end"/>
      </w:r>
      <w:r w:rsidR="00F60E44" w:rsidRPr="00872636">
        <w:rPr>
          <w:rFonts w:ascii="Times New Roman" w:hAnsi="Times New Roman" w:cs="Times New Roman"/>
          <w:sz w:val="24"/>
          <w:szCs w:val="24"/>
        </w:rPr>
        <w:t xml:space="preserve">. It can perform zero-dimensional (thermodynamic cycle performance and weight estimation) and one-dimensional gas turbine analysis, which at least fall within the ambit of the conceptual engine design phase. In GasTurb 13, the details needed for professional gas turbine performance are estimated along with the engine thermodynamics. This tool also has the feature of conducting optimization of the engine thermodynamic cycle. Additionally, turbine cooling and secondary air system can be analysed with this tool. The calculations in </w:t>
      </w:r>
      <w:r w:rsidR="00F60E44" w:rsidRPr="00872636">
        <w:rPr>
          <w:rFonts w:ascii="Times New Roman" w:hAnsi="Times New Roman" w:cs="Times New Roman"/>
          <w:sz w:val="24"/>
          <w:szCs w:val="24"/>
        </w:rPr>
        <w:lastRenderedPageBreak/>
        <w:t xml:space="preserve">GasTurb are based on the engine design and performance methods and Euler turbomachinery equations </w:t>
      </w:r>
      <w:r w:rsidR="00F60E44"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{"citationItems":[{"id":"ITEM-1","itemData":{"DOI":"10.1002/9780470774533","ISBN":"9780632064342","author":[{"dropping-particle":"","family":"Walsh","given":"Philip P.","non-dropping-particle":"","parse-names":false,"suffix":""},{"dropping-particle":"","family":"Fletcher","given":"Paul","non-dropping-particle":"","parse-names":false,"suffix":""}],"id":"ITEM-1","issued":{"date-parts":[["2004","3","15"]]},"publisher":"Wiley","title":"Gas Turbine Performance","type":"book"},"uris":["http://www.mendeley.com/documents/?uuid=696bd0c7-329a-3171-983f-b2f2bd4f60c5"]},{"id":"ITEM-2","itemData":{"DOI":"10.1007/978-3-319-75979-1","ISBN":"9783319759791","abstract":"The book is written for engineers and students who wish to address the preliminary design of gas turbine engines, as well as the associated performance calculations, in a practical manner. A basic knowledge of thermodynamics and turbomachinery is a prerequisite for understanding the concepts and ideas described. The book is also intended for teachers as a source of information for lecture materials and exercises for their students. It is extensively illustrated with examples and data from real engine cycles, all of which can be reproduced with GasTurb (TM). It discusses the practical application of thermodynamic, aerodynamic and mechanical principles. The authors describe the theoretical background of the simulation elements and the relevant correlations through which they are applied, however they refrain from detailed scientific derivations.","author":[{"dropping-particle":"","family":"Kurzke","given":"Joachim","non-dropping-particle":"","parse-names":false,"suffix":""},{"dropping-particle":"","family":"Halliwell","given":"Ian","non-dropping-particle":"","parse-names":false,"suffix":""}],"container-title":"Propulsion and Power: An Exploration of Gas Turbine Performance Modeling","id":"ITEM-2","issued":{"date-parts":[["2018","7","2"]]},"number-of-pages":"1-755","publisher":"Springer International Publishing","title":"Propulsion and Power: An Exploration of Gas Turbine Performance Modeling","type":"book"},"uris":["http://www.mendeley.com/documents/?uuid=3eb42577-6ed9-3ce0-8f37-ed2c733fd4cf"]},{"id":"ITEM-3","itemData":{"author":[{"dropping-particle":"","family":"Kurzke","given":"Joachim","non-dropping-particle":"","parse-names":false,"suffix":""}],"id":"ITEM-3","issued":{"date-parts":[["2018"]]},"title":"GasTurb 13 Design and Off-Design Performance of Gas Turbines","type":"report"},"uris":["http://www.mendeley.com/documents/?uuid=20a4a34a-91b1-36e5-a9cb-7b795db88059"]}],"mendeley":{"formattedCitation":"[79]–[81]","plainTextFormattedCitation":"[79]–[81]","previouslyFormattedCitation":"[79]–[81]"},"properties":{"noteIndex":0},"schema":"https://github.com/citation-style-language/schema/raw/master/csl-citation.json"}</w:instrText>
      </w:r>
      <w:r w:rsidR="00F60E44"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[79]–[81]</w:t>
      </w:r>
      <w:r w:rsidR="00F60E44" w:rsidRPr="00872636">
        <w:rPr>
          <w:rFonts w:ascii="Times New Roman" w:hAnsi="Times New Roman" w:cs="Times New Roman"/>
          <w:sz w:val="24"/>
          <w:szCs w:val="24"/>
        </w:rPr>
        <w:fldChar w:fldCharType="end"/>
      </w:r>
      <w:r w:rsidR="00F60E44" w:rsidRPr="00872636">
        <w:rPr>
          <w:rFonts w:ascii="Times New Roman" w:hAnsi="Times New Roman" w:cs="Times New Roman"/>
          <w:sz w:val="24"/>
          <w:szCs w:val="24"/>
        </w:rPr>
        <w:t xml:space="preserve">. The GasTurb functioning and calculation procedures are detailed in </w:t>
      </w:r>
      <w:r w:rsidR="00F60E44"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{"citationItems":[{"id":"ITEM-1","itemData":{"author":[{"dropping-particle":"","family":"Kurzke","given":"Joachim","non-dropping-particle":"","parse-names":false,"suffix":""}],"id":"ITEM-1","issued":{"date-parts":[["2018"]]},"title":"GasTurb 13 Design and Off-Design Performance of Gas Turbines","type":"report"},"uris":["http://www.mendeley.com/documents/?uuid=20a4a34a-91b1-36e5-a9cb-7b795db88059"]},{"id":"ITEM-2","itemData":{"DOI":"10.1007/978-3-319-75979-1","ISBN":"9783319759791","abstract":"The book is written for engineers and students who wish to address the preliminary design of gas turbine engines, as well as the associated performance calculations, in a practical manner. A basic knowledge of thermodynamics and turbomachinery is a prerequisite for understanding the concepts and ideas described. The book is also intended for teachers as a source of information for lecture materials and exercises for their students. It is extensively illustrated with examples and data from real engine cycles, all of which can be reproduced with GasTurb (TM). It discusses the practical application of thermodynamic, aerodynamic and mechanical principles. The authors describe the theoretical background of the simulation elements and the relevant correlations through which they are applied, however they refrain from detailed scientific derivations.","author":[{"dropping-particle":"","family":"Kurzke","given":"Joachim","non-dropping-particle":"","parse-names":false,"suffix":""},{"dropping-particle":"","family":"Halliwell","given":"Ian","non-dropping-particle":"","parse-names":false,"suffix":""}],"container-title":"Propulsion and Power: An Exploration of Gas Turbine Performance Modeling","id":"ITEM-2","issued":{"date-parts":[["2018","7","2"]]},"number-of-pages":"1-755","publisher":"Springer International Publishing","title":"Propulsion and Power: An Exploration of Gas Turbine Performance Modeling","type":"book"},"uris":["http://www.mendeley.com/documents/?uuid=3eb42577-6ed9-3ce0-8f37-ed2c733fd4cf"]}],"mendeley":{"formattedCitation":"[79], [80]","plainTextFormattedCitation":"[79], [80]","previouslyFormattedCitation":"[79], [80]"},"properties":{"noteIndex":0},"schema":"https://github.com/citation-style-language/schema/raw/master/csl-citation.json"}</w:instrText>
      </w:r>
      <w:r w:rsidR="00F60E44"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[79], [80]</w:t>
      </w:r>
      <w:r w:rsidR="00F60E44" w:rsidRPr="00872636">
        <w:rPr>
          <w:rFonts w:ascii="Times New Roman" w:hAnsi="Times New Roman" w:cs="Times New Roman"/>
          <w:sz w:val="24"/>
          <w:szCs w:val="24"/>
        </w:rPr>
        <w:fldChar w:fldCharType="end"/>
      </w:r>
      <w:r w:rsidR="00F60E44" w:rsidRPr="00872636">
        <w:rPr>
          <w:rFonts w:ascii="Times New Roman" w:hAnsi="Times New Roman" w:cs="Times New Roman"/>
          <w:sz w:val="24"/>
          <w:szCs w:val="24"/>
        </w:rPr>
        <w:t xml:space="preserve">. Additionally, the author of GasTurb 13, simulates three different gas turbine engines i.e. J57-19W, CFM56-3 and F107-WR-400, in their book in reference </w:t>
      </w:r>
      <w:r w:rsidR="00F60E44"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{"citationItems":[{"id":"ITEM-1","itemData":{"DOI":"10.1007/978-3-319-75979-1","ISBN":"9783319759791","abstract":"The book is written for engineers and students who wish to address the preliminary design of gas turbine engines, as well as the associated performance calculations, in a practical manner. A basic knowledge of thermodynamics and turbomachinery is a prerequisite for understanding the concepts and ideas described. The book is also intended for teachers as a source of information for lecture materials and exercises for their students. It is extensively illustrated with examples and data from real engine cycles, all of which can be reproduced with GasTurb (TM). It discusses the practical application of thermodynamic, aerodynamic and mechanical principles. The authors describe the theoretical background of the simulation elements and the relevant correlations through which they are applied, however they refrain from detailed scientific derivations.","author":[{"dropping-particle":"","family":"Kurzke","given":"Joachim","non-dropping-particle":"","parse-names":false,"suffix":""},{"dropping-particle":"","family":"Halliwell","given":"Ian","non-dropping-particle":"","parse-names":false,"suffix":""}],"container-title":"Propulsion and Power: An Exploration of Gas Turbine Performance Modeling","id":"ITEM-1","issued":{"date-parts":[["2018","7","2"]]},"number-of-pages":"1-755","publisher":"Springer International Publishing","title":"Propulsion and Power: An Exploration of Gas Turbine Performance Modeling","type":"book"},"uris":["http://www.mendeley.com/documents/?uuid=3eb42577-6ed9-3ce0-8f37-ed2c733fd4cf"]}],"mendeley":{"formattedCitation":"[79]","plainTextFormattedCitation":"[79]","previouslyFormattedCitation":"[79]"},"properties":{"noteIndex":0},"schema":"https://github.com/citation-style-language/schema/raw/master/csl-citation.json"}</w:instrText>
      </w:r>
      <w:r w:rsidR="00F60E44"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[79]</w:t>
      </w:r>
      <w:r w:rsidR="00F60E44" w:rsidRPr="00872636">
        <w:rPr>
          <w:rFonts w:ascii="Times New Roman" w:hAnsi="Times New Roman" w:cs="Times New Roman"/>
          <w:sz w:val="24"/>
          <w:szCs w:val="24"/>
        </w:rPr>
        <w:fldChar w:fldCharType="end"/>
      </w:r>
      <w:r w:rsidR="00291EF3" w:rsidRPr="00872636">
        <w:rPr>
          <w:rFonts w:ascii="Times New Roman" w:hAnsi="Times New Roman" w:cs="Times New Roman"/>
          <w:sz w:val="24"/>
          <w:szCs w:val="24"/>
        </w:rPr>
        <w:t>.</w:t>
      </w:r>
    </w:p>
    <w:p w14:paraId="08931E83" w14:textId="781BA238" w:rsidR="00374B2C" w:rsidRPr="00872636" w:rsidRDefault="00496324" w:rsidP="00C525D8">
      <w:pPr>
        <w:pStyle w:val="Heading1"/>
        <w:numPr>
          <w:ilvl w:val="0"/>
          <w:numId w:val="1"/>
        </w:numPr>
        <w:spacing w:after="240" w:line="480" w:lineRule="auto"/>
        <w:rPr>
          <w:rFonts w:ascii="Times New Roman" w:eastAsia="Times New Roman" w:hAnsi="Times New Roman" w:cs="Times New Roman"/>
          <w:b/>
          <w:bCs/>
          <w:color w:val="auto"/>
          <w:sz w:val="24"/>
          <w:szCs w:val="24"/>
          <w:bdr w:val="none" w:sz="0" w:space="0" w:color="auto" w:frame="1"/>
          <w:lang w:eastAsia="en-GB"/>
        </w:rPr>
      </w:pPr>
      <w:r w:rsidRPr="00872636">
        <w:rPr>
          <w:rFonts w:ascii="Times New Roman" w:eastAsia="Times New Roman" w:hAnsi="Times New Roman" w:cs="Times New Roman"/>
          <w:b/>
          <w:bCs/>
          <w:color w:val="auto"/>
          <w:sz w:val="24"/>
          <w:szCs w:val="24"/>
          <w:bdr w:val="none" w:sz="0" w:space="0" w:color="auto" w:frame="1"/>
          <w:lang w:eastAsia="en-GB"/>
        </w:rPr>
        <w:t>Thermodynamic cycle analysis of a turbofan engine</w:t>
      </w:r>
    </w:p>
    <w:p w14:paraId="22162BE2" w14:textId="5EEA1975" w:rsidR="00672D5C" w:rsidRDefault="00A67015" w:rsidP="005A63A4">
      <w:pPr>
        <w:spacing w:after="0" w:line="480" w:lineRule="auto"/>
        <w:jc w:val="both"/>
        <w:rPr>
          <w:rFonts w:ascii="Times New Roman" w:hAnsi="Times New Roman" w:cs="Times New Roman"/>
          <w:sz w:val="24"/>
          <w:szCs w:val="24"/>
        </w:rPr>
      </w:pPr>
      <w:r w:rsidRPr="00872636">
        <w:rPr>
          <w:rFonts w:ascii="Times New Roman" w:hAnsi="Times New Roman" w:cs="Times New Roman"/>
          <w:sz w:val="24"/>
          <w:szCs w:val="24"/>
          <w:lang w:eastAsia="en-GB"/>
        </w:rPr>
        <w:tab/>
        <w:t xml:space="preserve">We conduct a simple thermodynamic analysis of a turbofan engine for constant thrust production using different fuels under consideration. This is carried out using standard set of equation for gas-turbine engines that apply Brayton cycle, which can be found in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{"citationItems":[{"id":"ITEM-1","itemData":{"DOI":"10.1002/9780470774533","ISBN":"9780632064342","author":[{"dropping-particle":"","family":"Walsh","given":"Philip P.","non-dropping-particle":"","parse-names":false,"suffix":""},{"dropping-particle":"","family":"Fletcher","given":"Paul","non-dropping-particle":"","parse-names":false,"suffix":""}],"id":"ITEM-1","issued":{"date-parts":[["2004","3","15"]]},"publisher":"Wiley","title":"Gas Turbine Performance","type":"book"},"uris":["http://www.mendeley.com/documents/?uuid=696bd0c7-329a-3171-983f-b2f2bd4f60c5"]},{"id":"ITEM-2","itemData":{"DOI":"https://doi.org/10.2514/4.105173","abstract":"Significantly expanded and modernized, this text emphasizes recent developments impacting engine design such as theta break/throttle ratio, life management, controls, and stealth. The key steps of the process are detailed in 10 chapters enhanced by AEDsys software on CD-ROM that provides comprehensive computational support for every design step. A user's manual is provided with the software, along with the complete data files used for the Air-to-Air Fighter and Global Range Airlifter design examples of the book.","author":[{"dropping-particle":"","family":"Mattingly","given":"Jack D.","non-dropping-particle":"","parse-names":false,"suffix":""},{"dropping-particle":"","family":"Heiser","given":"William H.","non-dropping-particle":"","parse-names":false,"suffix":""},{"dropping-particle":"","family":"Pratt","given":"David T.","non-dropping-particle":"","parse-names":false,"suffix":""}],"container-title":"Aircraft Engine Design, Third Edition","id":"ITEM-2","issued":{"date-parts":[["2018"]]},"publisher":"American Institute of Aeronautics and Astronautics","title":"Aircraft Engine Design, Third Edition","type":"book"},"uris":["http://www.mendeley.com/documents/?uuid=08dd1231-3e0c-3e51-8683-95d70ab93392"]},{"id":"ITEM-3","itemData":{"ISBN":"9781107511224","abstract":"Third edition. This text provides a self-contained introduction to the aerodynamic and thermodynamic design of modern civil and military jet engines. Two engine design projects are used to illustrate the important facets of modern engine design. Design of engines for a new 600-seat aircraft -- The new large aircraft : requirements and background -- The aerodynamics of the aircraft -- The creation of thrust in a jet engine -- The gas turbine cycle -- The principle and layout of jet engines -- Elementary fluid mechanics of compressible gases -- Selection of bypass ratio -- Dynamic scaling and dimensional analysis -- Turbomachinery : compressors and turbines -- Overview of the civil engine design -- Engine component characteristics and engine matching -- Component characteristics -- Engine matching off-design -- The design of the engines for a new fighter aircraft -- A new fighter aircraft -- Lift, drag and the effects of manoeuvring -- Engines for combat aircraft -- Design point for a combat aircraft -- Combat engines off-design -- Turbomachinery for combat aircraft -- A return to the civil engine -- A return to the civil transport engine -- Conclusion -- Appendix : noise and its regulation.","author":[{"dropping-particle":"","family":"Cumpsty","given":"N. A.","non-dropping-particle":"","parse-names":false,"suffix":""}],"id":"ITEM-3","issued":{"date-parts":[["2015"]]},"number-of-pages":"351","title":"Jet propulsion : a simple guide to the aerodynamics and thermodynamic design and performance of jet engines","type":"book"},"uris":["http://www.mendeley.com/documents/?uuid=251f5d8e-00c1-3451-b875-5c3159d20fdb"]},{"id":"ITEM-4","itemData":{"ISBN":"9781-292-09309-3","author":[{"dropping-particle":"","family":"Saravanamuttoo","given":"H.I.H.","non-dropping-particle":"","parse-names":false,"suffix":""},{"dropping-particle":"","family":"Rogers","given":"G.F.C.","non-dropping-particle":"","parse-names":false,"suffix":""},{"dropping-particle":"","family":"Cohen","given":"H.","non-dropping-particle":"","parse-names":false,"suffix":""},{"dropping-particle":"","family":"Straznicky","given":"P.V.","non-dropping-particle":"","parse-names":false,"suffix":""},{"dropping-particle":"","family":"Nix","given":"A.C.","non-dropping-particle":"","parse-names":false,"suffix":""}],"edition":"Seventh","id":"ITEM-4","issued":{"date-parts":[["2017"]]},"publisher":"Pearson","title":"Gas Turbine Theory","type":"book"},"uris":["http://www.mendeley.com/documents/?uuid=df085d50-58f6-3f89-8432-6d1c47033991"]}],"mendeley":{"formattedCitation":"[81]–[84]","plainTextFormattedCitation":"[81]–[84]","previouslyFormattedCitation":"[81]–[84]"},"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[81]–[84]</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Table SI 1 lists the thermodynamic cycle analysis input and output parameters at design point. We first begin with a baseline (Jet-A) engine for producing a target thrust of 100 kN and the fuel flow rate is iterated towards this objective, for fixed input component efficiencies, ambient pressure and temperature, and air to fuel ratio. </w:t>
      </w:r>
    </w:p>
    <w:p w14:paraId="3A2E1D4C" w14:textId="32AC8F87" w:rsidR="003008CC" w:rsidRPr="006C247F" w:rsidRDefault="003008CC" w:rsidP="003008CC">
      <w:pPr>
        <w:spacing w:line="480" w:lineRule="auto"/>
        <w:jc w:val="both"/>
        <w:rPr>
          <w:rFonts w:ascii="Times New Roman" w:hAnsi="Times New Roman" w:cs="Times New Roman"/>
          <w:sz w:val="24"/>
          <w:szCs w:val="24"/>
        </w:rPr>
      </w:pPr>
      <w:r w:rsidRPr="006C247F">
        <w:rPr>
          <w:rFonts w:ascii="Times New Roman" w:hAnsi="Times New Roman" w:cs="Times New Roman"/>
          <w:sz w:val="24"/>
          <w:szCs w:val="24"/>
        </w:rPr>
        <w:tab/>
        <w:t xml:space="preserve">For a given alternative fuel, the input component efficiencies, and ambient pressure and temperature remain the same as that of Jet-A, but its air to fuel ratio is calculated by multiplying the air to fuel ratio of Jet-A case with the ratio of lower calorific value of the alternative fuel and the lower calorific value of Jet-A. The lower calorific values </w:t>
      </w:r>
      <w:r w:rsidRPr="006C247F">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{"citationItems":[{"id":"ITEM-1","itemData":{"DOI":"10.1016/j.ijhydene.2016.12.119","ISSN":"03603199","abstract":"In the present study, hydrogen and some other alternative fuels (such as ammonia, methanol, ethanol, liquefied natural gas) are considered for aviation applications under a comprehensive life cycle assessment study and are evaluated comparatively with the conventional kerosene based jet fuel for various impact categories. Therefore, this study is performed with a well-to-wake approach to evaluate the overall life cycle of an aircraft running on these conventional and alternative fuels. Both conventional and renewable fuel routes are considered for the production of ammonia and hydrogen fuels. Although there are modifications required to fulfill the aviation fuel specifications for such alternative fuels, the long term viability and environmental sustainability make them attractive solutions for the future of aviation industry. This study uses a life cycle assessment of an average aircraft utilizing various alternative aviation fuels to determine the relative environmental impact of each life cycle phase. The life cycle phases included in the analyses are as follows: (i) production, operation and maintenance of the aircraft, (ii) construction, maintenance and disposal of the airport, (iii) production, transportation and utilization of the aviation fuel in the aircraft. The results show that hydrogen and liquefied natural gas represent more environmentally benign alternatives although fuel costs are higher compared to ammonia, jet fuel and methanol. The total GHG emissions from hydropower based ammonia and hydrogen are calculated to be about 0.24 kg CO2 eq. per traveled tonne-km and 0.03 kg CO2 eq. per traveled tonne-km, respectively. Renewable based ammonia and hydrogen fueled aircrafts can further decrease the overall environmental impact in many categories allowing a brighter future for aviation industry.","author":[{"dropping-particle":"","family":"Bicer","given":"Yusuf","non-dropping-particle":"","parse-names":false,"suffix":""},{"dropping-particle":"","family":"Dincer","given":"Ibrahim","non-dropping-particle":"","parse-names":false,"suffix":""}],"container-title":"International Journal of Hydrogen Energy","id":"ITEM-1","issue":"16","issued":{"date-parts":[["2017","4","20"]]},"page":"10722-10738","publisher":"Elsevier Ltd","title":"Life cycle evaluation of hydrogen and other potential fuels for aircrafts","type":"article-journal","volume":"42"},"uris":["http://www.mendeley.com/documents/?uuid=2a2cc1c3-f7c4-37da-9506-37d410e87790"]},{"id":"ITEM-2","itemData":{"URL":"https://greet.es.anl.gov/","author":[{"dropping-particle":"","family":"ANL","given":"","non-dropping-particle":"","parse-names":false,"suffix":""}],"container-title":"Argonne National Laboratory","edition":"2018","id":"ITEM-2","issued":{"date-parts":[["2021"]]},"publisher":"Argonne National Laboratory","title":"GREET 2021","type":"webpage"},"uris":["http://www.mendeley.com/documents/?uuid=949e8eba-2cad-421a-bac5-b87b571833ac"]}],"mendeley":{"formattedCitation":"[2], [13]","plainTextFormattedCitation":"[2], [13]","previouslyFormattedCitation":"[2], [13]"},"properties":{"noteIndex":0},"schema":"https://github.com/citation-style-language/schema/raw/master/csl-citation.json"}</w:instrText>
      </w:r>
      <w:r w:rsidRPr="006C247F">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[2], [13]</w:t>
      </w:r>
      <w:r w:rsidRPr="006C247F">
        <w:rPr>
          <w:rFonts w:ascii="Times New Roman" w:hAnsi="Times New Roman" w:cs="Times New Roman"/>
          <w:sz w:val="24"/>
          <w:szCs w:val="24"/>
          <w:lang w:eastAsia="en-GB"/>
        </w:rPr>
        <w:fldChar w:fldCharType="end"/>
      </w:r>
      <w:r w:rsidRPr="006C247F">
        <w:rPr>
          <w:rFonts w:ascii="Times New Roman" w:hAnsi="Times New Roman" w:cs="Times New Roman"/>
          <w:sz w:val="24"/>
          <w:szCs w:val="24"/>
        </w:rPr>
        <w:t xml:space="preserve">, and properties of combustion gas </w:t>
      </w:r>
      <w:r w:rsidRPr="006C247F">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{"citationItems":[{"id":"ITEM-1","itemData":{"DOI":"10.3390/en11020392","ISSN":"1996-1073","abstract":"With the growth of aviation traffic and the demand for emission reduction, alternative fuels like the so-called electrofuels could comprise a sustainable solution. Electrofuels are understood as those that use renewable energy for fuel synthesis and that are carbon-neutral with respect to greenhouse gas emission. In this study, five potential electrofuels are discussed with respect to the potential application as aviation fuels, being n-octane, methanol, methane, hydrogen and ammonia, and compared to conventional Jet A-1 fuel. Three important aspects are illuminated. Firstly, the synthesis process of the electrofuel is described with its technological paths, its energy efficiency and the maturity or research need of the production. Secondly, the physico-chemical properties are compared with respect to specific energy, energy density, as well as those properties relevant to the combustion of the fuels, i.e., autoignition delay time, adiabatic flame temperature, laminar flame speed and extinction strain rate. Results show that the physical and combustion properties significantly differ from jet fuel, except for n-octane. The results describe how the different electrofuels perform with respect to important aspects such as fuel and air mass flow rates. In addition, the results help determine mixture properties of the exhaust gas for each electrofuel. Thirdly, a turbine configuration is investigated at a constant operating point to further analyze the drop-in potential of electrofuels in aircraft engines. It is found that electrofuels can generally substitute conventional kerosene-based fuels, but have some downsides in the form of higher structural loads and potentially lower efficiencies. Finally, a preliminary comparative evaluation matrix is developed. It contains specifically those fields for the different proposed electrofuels where special challenges and problematic points are seen that need more research for potential application. Synthetically-produced n-octane is seen as a potential candidate for a future electrofuel where even a drop-in capability is given. For the other fuels, more issues need further research to allow the application as electrofuels in aviation. Specifically interesting could be the combination of hydrogen with ammonia in the far future; however, the research is just at the beginning stage.","author":[{"dropping-particle":"","family":"Goldmann","given":"Andreas","non-dropping-particle":"","parse-names":false,"suffix":""},{"dropping-particle":"","family":"Sauter","given":"Waldemar","non-dropping-particle":"","parse-names":false,"suffix":""},{"dropping-particle":"","family":"Oettinger","given":"Marcel","non-dropping-particle":"","parse-names":false,"suffix":""},{"dropping-particle":"","family":"Kluge","given":"Tim","non-dropping-particle":"","parse-names":false,"suffix":""},{"dropping-particle":"","family":"Schröder","given":"Uwe","non-dropping-particle":"","parse-names":false,"suffix":""},{"dropping-particle":"","family":"Seume","given":"Joerg","non-dropping-particle":"","parse-names":false,"suffix":""},{"dropping-particle":"","family":"Friedrichs","given":"Jens","non-dropping-particle":"","parse-names":false,"suffix":""},{"dropping-particle":"","family":"Dinkelacker","given":"Friedrich","non-dropping-particle":"","parse-names":false,"suffix":""}],"container-title":"Energies","id":"ITEM-1","issue":"2","issued":{"date-parts":[["2018","2","8"]]},"page":"392","publisher":"MDPI AG","title":"A Study on Electrofuels in Aviation","type":"article-journal","volume":"11"},"uris":["http://www.mendeley.com/documents/?uuid=f9331192-d0e6-3153-b3b7-8464182babd3"]}],"mendeley":{"formattedCitation":"[85]","plainTextFormattedCitation":"[85]","previouslyFormattedCitation":"[85]"},"properties":{"noteIndex":0},"schema":"https://github.com/citation-style-language/schema/raw/master/csl-citation.json"}</w:instrText>
      </w:r>
      <w:r w:rsidRPr="006C247F">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[85]</w:t>
      </w:r>
      <w:r w:rsidRPr="006C247F">
        <w:rPr>
          <w:rFonts w:ascii="Times New Roman" w:hAnsi="Times New Roman" w:cs="Times New Roman"/>
          <w:sz w:val="24"/>
          <w:szCs w:val="24"/>
          <w:lang w:eastAsia="en-GB"/>
        </w:rPr>
        <w:fldChar w:fldCharType="end"/>
      </w:r>
      <w:r w:rsidRPr="006C247F">
        <w:rPr>
          <w:rFonts w:ascii="Times New Roman" w:hAnsi="Times New Roman" w:cs="Times New Roman"/>
          <w:sz w:val="24"/>
          <w:szCs w:val="24"/>
        </w:rPr>
        <w:t xml:space="preserve"> for all fuel cases are known from the respective resources. For 100% SPK and ethanol, the properties of combustion gases are not known. We assume that the combustion gas properties of 100% SPK and ethanol are same as that of Jet-A and </w:t>
      </w:r>
      <w:r w:rsidR="00C11316" w:rsidRPr="006C247F">
        <w:rPr>
          <w:rFonts w:ascii="Times New Roman" w:hAnsi="Times New Roman" w:cs="Times New Roman"/>
          <w:sz w:val="24"/>
          <w:szCs w:val="24"/>
        </w:rPr>
        <w:t>methanol,</w:t>
      </w:r>
      <w:r w:rsidRPr="006C247F">
        <w:rPr>
          <w:rFonts w:ascii="Times New Roman" w:hAnsi="Times New Roman" w:cs="Times New Roman"/>
          <w:sz w:val="24"/>
          <w:szCs w:val="24"/>
        </w:rPr>
        <w:t xml:space="preserve"> respectively. Similar to the Jet-A case, the fuel flow rate for engine powered by a given alternative fuel is iterated towards the objective of producing a target thrust of 100 kN.</w:t>
      </w:r>
    </w:p>
    <w:p w14:paraId="675BC9AC" w14:textId="31AE487D" w:rsidR="003008CC" w:rsidRPr="00872636" w:rsidRDefault="003008CC" w:rsidP="00872636">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93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997"/>
        <w:gridCol w:w="997"/>
        <w:gridCol w:w="997"/>
        <w:gridCol w:w="997"/>
        <w:gridCol w:w="997"/>
        <w:gridCol w:w="1138"/>
        <w:gridCol w:w="1002"/>
      </w:tblGrid>
      <w:tr w:rsidR="0052169F" w:rsidRPr="007D699F" w14:paraId="7B03DE46" w14:textId="77777777" w:rsidTr="00872636">
        <w:trPr>
          <w:trHeight w:val="416"/>
          <w:jc w:val="center"/>
        </w:trPr>
        <w:tc>
          <w:tcPr>
            <w:tcW w:w="9375" w:type="dxa"/>
            <w:gridSpan w:val="8"/>
            <w:tcBorders>
              <w:bottom w:val="single" w:sz="4" w:space="0" w:color="auto"/>
            </w:tcBorders>
            <w:vAlign w:val="center"/>
          </w:tcPr>
          <w:p w14:paraId="19F58534" w14:textId="22036596" w:rsidR="0052169F" w:rsidRPr="00872636" w:rsidRDefault="00BB79A2" w:rsidP="00872636">
            <w:pPr>
              <w:spacing w:line="276" w:lineRule="auto"/>
              <w:jc w:val="center"/>
              <w:rPr>
                <w:rFonts w:ascii="Times New Roman" w:hAnsi="Times New Roman" w:cs="Times New Roman"/>
                <w:b/>
                <w:bCs/>
                <w:sz w:val="24"/>
                <w:szCs w:val="24"/>
                <w:lang w:eastAsia="en-GB"/>
              </w:rPr>
            </w:pPr>
            <w:bookmarkStart w:id="10" w:name="_Hlk95927259"/>
            <w:r w:rsidRPr="00872636">
              <w:rPr>
                <w:rFonts w:ascii="Times New Roman" w:hAnsi="Times New Roman" w:cs="Times New Roman"/>
                <w:b/>
                <w:bCs/>
                <w:sz w:val="24"/>
                <w:szCs w:val="24"/>
              </w:rPr>
              <w:lastRenderedPageBreak/>
              <w:t>Table SI 1. Thermodynamic cycle analysis input and output parameters at design point</w:t>
            </w:r>
            <w:bookmarkEnd w:id="10"/>
          </w:p>
        </w:tc>
      </w:tr>
      <w:tr w:rsidR="0052169F" w:rsidRPr="007D699F" w14:paraId="40EECCD4" w14:textId="77777777" w:rsidTr="00872636">
        <w:trPr>
          <w:trHeight w:val="416"/>
          <w:jc w:val="center"/>
        </w:trPr>
        <w:tc>
          <w:tcPr>
            <w:tcW w:w="9375" w:type="dxa"/>
            <w:gridSpan w:val="8"/>
            <w:tcBorders>
              <w:top w:val="single" w:sz="4" w:space="0" w:color="auto"/>
              <w:bottom w:val="single" w:sz="4" w:space="0" w:color="auto"/>
            </w:tcBorders>
            <w:vAlign w:val="center"/>
          </w:tcPr>
          <w:p w14:paraId="0FDD8973" w14:textId="138E42E4" w:rsidR="0052169F" w:rsidRPr="00872636" w:rsidRDefault="0052169F" w:rsidP="00872636">
            <w:pPr>
              <w:spacing w:line="276" w:lineRule="auto"/>
              <w:jc w:val="center"/>
              <w:rPr>
                <w:rFonts w:ascii="Times New Roman" w:hAnsi="Times New Roman" w:cs="Times New Roman"/>
                <w:i/>
                <w:iCs/>
                <w:sz w:val="24"/>
                <w:szCs w:val="24"/>
                <w:lang w:eastAsia="en-GB"/>
              </w:rPr>
            </w:pPr>
            <w:r w:rsidRPr="00872636">
              <w:rPr>
                <w:rFonts w:ascii="Times New Roman" w:hAnsi="Times New Roman" w:cs="Times New Roman"/>
                <w:i/>
                <w:iCs/>
                <w:sz w:val="24"/>
                <w:szCs w:val="24"/>
                <w:lang w:eastAsia="en-GB"/>
              </w:rPr>
              <w:t>Cycle input parameters</w:t>
            </w:r>
          </w:p>
        </w:tc>
      </w:tr>
      <w:tr w:rsidR="00105076" w:rsidRPr="007D699F" w14:paraId="12FB285B" w14:textId="3702E886" w:rsidTr="00872636">
        <w:trPr>
          <w:trHeight w:val="416"/>
          <w:jc w:val="center"/>
        </w:trPr>
        <w:tc>
          <w:tcPr>
            <w:tcW w:w="2250" w:type="dxa"/>
            <w:tcBorders>
              <w:top w:val="single" w:sz="4" w:space="0" w:color="auto"/>
              <w:bottom w:val="single" w:sz="4" w:space="0" w:color="auto"/>
            </w:tcBorders>
            <w:vAlign w:val="center"/>
          </w:tcPr>
          <w:p w14:paraId="580F31C1" w14:textId="77777777" w:rsidR="00AF353C" w:rsidRPr="00872636" w:rsidRDefault="00AF353C" w:rsidP="00872636">
            <w:pPr>
              <w:spacing w:line="276" w:lineRule="auto"/>
              <w:jc w:val="center"/>
              <w:rPr>
                <w:rFonts w:ascii="Times New Roman" w:hAnsi="Times New Roman" w:cs="Times New Roman"/>
                <w:sz w:val="24"/>
                <w:szCs w:val="24"/>
                <w:lang w:eastAsia="en-GB"/>
              </w:rPr>
            </w:pPr>
          </w:p>
        </w:tc>
        <w:tc>
          <w:tcPr>
            <w:tcW w:w="997" w:type="dxa"/>
            <w:tcBorders>
              <w:top w:val="single" w:sz="4" w:space="0" w:color="auto"/>
              <w:bottom w:val="single" w:sz="4" w:space="0" w:color="auto"/>
            </w:tcBorders>
            <w:vAlign w:val="center"/>
          </w:tcPr>
          <w:p w14:paraId="59F48DC8" w14:textId="62081DF8" w:rsidR="00AF353C" w:rsidRPr="00872636" w:rsidRDefault="00AF353C" w:rsidP="00872636">
            <w:pPr>
              <w:spacing w:line="276" w:lineRule="auto"/>
              <w:jc w:val="center"/>
              <w:rPr>
                <w:rFonts w:ascii="Times New Roman" w:hAnsi="Times New Roman" w:cs="Times New Roman"/>
                <w:sz w:val="24"/>
                <w:szCs w:val="24"/>
                <w:lang w:eastAsia="en-GB"/>
              </w:rPr>
            </w:pPr>
            <w:r w:rsidRPr="00872636">
              <w:rPr>
                <w:rFonts w:ascii="Times New Roman" w:hAnsi="Times New Roman" w:cs="Times New Roman"/>
                <w:sz w:val="24"/>
                <w:szCs w:val="24"/>
                <w:lang w:eastAsia="en-GB"/>
              </w:rPr>
              <w:t>Jet-A</w:t>
            </w:r>
          </w:p>
        </w:tc>
        <w:tc>
          <w:tcPr>
            <w:tcW w:w="997" w:type="dxa"/>
            <w:tcBorders>
              <w:top w:val="single" w:sz="4" w:space="0" w:color="auto"/>
              <w:bottom w:val="single" w:sz="4" w:space="0" w:color="auto"/>
            </w:tcBorders>
            <w:vAlign w:val="center"/>
          </w:tcPr>
          <w:p w14:paraId="15F0153D" w14:textId="7814EBD5" w:rsidR="00AF353C" w:rsidRPr="00872636" w:rsidRDefault="00AF353C" w:rsidP="00872636">
            <w:pPr>
              <w:spacing w:line="276" w:lineRule="auto"/>
              <w:jc w:val="center"/>
              <w:rPr>
                <w:rFonts w:ascii="Times New Roman" w:hAnsi="Times New Roman" w:cs="Times New Roman"/>
                <w:sz w:val="24"/>
                <w:szCs w:val="24"/>
                <w:lang w:eastAsia="en-GB"/>
              </w:rPr>
            </w:pPr>
            <w:r w:rsidRPr="00872636">
              <w:rPr>
                <w:rFonts w:ascii="Times New Roman" w:hAnsi="Times New Roman" w:cs="Times New Roman"/>
                <w:sz w:val="24"/>
                <w:szCs w:val="24"/>
                <w:lang w:eastAsia="en-GB"/>
              </w:rPr>
              <w:t>100% SPK</w:t>
            </w:r>
          </w:p>
        </w:tc>
        <w:tc>
          <w:tcPr>
            <w:tcW w:w="997" w:type="dxa"/>
            <w:tcBorders>
              <w:top w:val="single" w:sz="4" w:space="0" w:color="auto"/>
              <w:bottom w:val="single" w:sz="4" w:space="0" w:color="auto"/>
            </w:tcBorders>
            <w:vAlign w:val="center"/>
          </w:tcPr>
          <w:p w14:paraId="366B87FF" w14:textId="19924CB3" w:rsidR="00AF353C" w:rsidRPr="00872636" w:rsidRDefault="00AF353C" w:rsidP="00872636">
            <w:pPr>
              <w:spacing w:line="276" w:lineRule="auto"/>
              <w:jc w:val="center"/>
              <w:rPr>
                <w:rFonts w:ascii="Times New Roman" w:hAnsi="Times New Roman" w:cs="Times New Roman"/>
                <w:sz w:val="24"/>
                <w:szCs w:val="24"/>
                <w:lang w:eastAsia="en-GB"/>
              </w:rPr>
            </w:pPr>
            <w:r w:rsidRPr="00872636">
              <w:rPr>
                <w:rFonts w:ascii="Times New Roman" w:hAnsi="Times New Roman" w:cs="Times New Roman"/>
                <w:sz w:val="24"/>
                <w:szCs w:val="24"/>
                <w:lang w:eastAsia="en-GB"/>
              </w:rPr>
              <w:t>LH</w:t>
            </w:r>
            <w:r w:rsidRPr="00872636">
              <w:rPr>
                <w:rFonts w:ascii="Times New Roman" w:hAnsi="Times New Roman" w:cs="Times New Roman"/>
                <w:sz w:val="24"/>
                <w:szCs w:val="24"/>
                <w:vertAlign w:val="subscript"/>
                <w:lang w:eastAsia="en-GB"/>
              </w:rPr>
              <w:t>2</w:t>
            </w:r>
          </w:p>
        </w:tc>
        <w:tc>
          <w:tcPr>
            <w:tcW w:w="997" w:type="dxa"/>
            <w:tcBorders>
              <w:top w:val="single" w:sz="4" w:space="0" w:color="auto"/>
              <w:bottom w:val="single" w:sz="4" w:space="0" w:color="auto"/>
            </w:tcBorders>
            <w:vAlign w:val="center"/>
          </w:tcPr>
          <w:p w14:paraId="564D1C60" w14:textId="10E549E2" w:rsidR="00AF353C" w:rsidRPr="00872636" w:rsidRDefault="00AF353C" w:rsidP="00872636">
            <w:pPr>
              <w:spacing w:line="276" w:lineRule="auto"/>
              <w:jc w:val="center"/>
              <w:rPr>
                <w:rFonts w:ascii="Times New Roman" w:hAnsi="Times New Roman" w:cs="Times New Roman"/>
                <w:sz w:val="24"/>
                <w:szCs w:val="24"/>
                <w:lang w:eastAsia="en-GB"/>
              </w:rPr>
            </w:pPr>
            <w:r w:rsidRPr="00872636">
              <w:rPr>
                <w:rFonts w:ascii="Times New Roman" w:hAnsi="Times New Roman" w:cs="Times New Roman"/>
                <w:sz w:val="24"/>
                <w:szCs w:val="24"/>
                <w:lang w:eastAsia="en-GB"/>
              </w:rPr>
              <w:t>LNG</w:t>
            </w:r>
          </w:p>
        </w:tc>
        <w:tc>
          <w:tcPr>
            <w:tcW w:w="997" w:type="dxa"/>
            <w:tcBorders>
              <w:top w:val="single" w:sz="4" w:space="0" w:color="auto"/>
              <w:bottom w:val="single" w:sz="4" w:space="0" w:color="auto"/>
            </w:tcBorders>
            <w:vAlign w:val="center"/>
          </w:tcPr>
          <w:p w14:paraId="67466770" w14:textId="47DFBB7A" w:rsidR="00AF353C" w:rsidRPr="00872636" w:rsidRDefault="00AF353C" w:rsidP="00872636">
            <w:pPr>
              <w:spacing w:line="276" w:lineRule="auto"/>
              <w:jc w:val="center"/>
              <w:rPr>
                <w:rFonts w:ascii="Times New Roman" w:hAnsi="Times New Roman" w:cs="Times New Roman"/>
                <w:sz w:val="24"/>
                <w:szCs w:val="24"/>
                <w:lang w:eastAsia="en-GB"/>
              </w:rPr>
            </w:pPr>
            <w:r w:rsidRPr="00872636">
              <w:rPr>
                <w:rFonts w:ascii="Times New Roman" w:hAnsi="Times New Roman" w:cs="Times New Roman"/>
                <w:sz w:val="24"/>
                <w:szCs w:val="24"/>
                <w:lang w:eastAsia="en-GB"/>
              </w:rPr>
              <w:t>LNH</w:t>
            </w:r>
            <w:r w:rsidRPr="00872636">
              <w:rPr>
                <w:rFonts w:ascii="Times New Roman" w:hAnsi="Times New Roman" w:cs="Times New Roman"/>
                <w:sz w:val="24"/>
                <w:szCs w:val="24"/>
                <w:vertAlign w:val="subscript"/>
                <w:lang w:eastAsia="en-GB"/>
              </w:rPr>
              <w:t>3</w:t>
            </w:r>
          </w:p>
        </w:tc>
        <w:tc>
          <w:tcPr>
            <w:tcW w:w="1138" w:type="dxa"/>
            <w:tcBorders>
              <w:top w:val="single" w:sz="4" w:space="0" w:color="auto"/>
              <w:bottom w:val="single" w:sz="4" w:space="0" w:color="auto"/>
            </w:tcBorders>
            <w:vAlign w:val="center"/>
          </w:tcPr>
          <w:p w14:paraId="15CB984A" w14:textId="3F483CA7" w:rsidR="00AF353C" w:rsidRPr="00872636" w:rsidRDefault="00AF353C" w:rsidP="00872636">
            <w:pPr>
              <w:spacing w:line="276" w:lineRule="auto"/>
              <w:jc w:val="center"/>
              <w:rPr>
                <w:rFonts w:ascii="Times New Roman" w:hAnsi="Times New Roman" w:cs="Times New Roman"/>
                <w:sz w:val="24"/>
                <w:szCs w:val="24"/>
                <w:lang w:eastAsia="en-GB"/>
              </w:rPr>
            </w:pPr>
            <w:r w:rsidRPr="00872636">
              <w:rPr>
                <w:rFonts w:ascii="Times New Roman" w:hAnsi="Times New Roman" w:cs="Times New Roman"/>
                <w:sz w:val="24"/>
                <w:szCs w:val="24"/>
                <w:lang w:eastAsia="en-GB"/>
              </w:rPr>
              <w:t>Methanol</w:t>
            </w:r>
          </w:p>
        </w:tc>
        <w:tc>
          <w:tcPr>
            <w:tcW w:w="997" w:type="dxa"/>
            <w:tcBorders>
              <w:top w:val="single" w:sz="4" w:space="0" w:color="auto"/>
              <w:bottom w:val="single" w:sz="4" w:space="0" w:color="auto"/>
            </w:tcBorders>
            <w:vAlign w:val="center"/>
          </w:tcPr>
          <w:p w14:paraId="059F2391" w14:textId="54D5C0DC" w:rsidR="00AF353C" w:rsidRPr="00872636" w:rsidRDefault="00AF353C" w:rsidP="00872636">
            <w:pPr>
              <w:spacing w:line="276" w:lineRule="auto"/>
              <w:jc w:val="center"/>
              <w:rPr>
                <w:rFonts w:ascii="Times New Roman" w:hAnsi="Times New Roman" w:cs="Times New Roman"/>
                <w:sz w:val="24"/>
                <w:szCs w:val="24"/>
                <w:lang w:eastAsia="en-GB"/>
              </w:rPr>
            </w:pPr>
            <w:r w:rsidRPr="00872636">
              <w:rPr>
                <w:rFonts w:ascii="Times New Roman" w:hAnsi="Times New Roman" w:cs="Times New Roman"/>
                <w:sz w:val="24"/>
                <w:szCs w:val="24"/>
                <w:lang w:eastAsia="en-GB"/>
              </w:rPr>
              <w:t>Ethanol</w:t>
            </w:r>
          </w:p>
        </w:tc>
      </w:tr>
      <w:tr w:rsidR="00AF353C" w:rsidRPr="007D699F" w14:paraId="7596D075" w14:textId="45241EB5" w:rsidTr="00872636">
        <w:trPr>
          <w:trHeight w:val="272"/>
          <w:jc w:val="center"/>
        </w:trPr>
        <w:tc>
          <w:tcPr>
            <w:tcW w:w="2250" w:type="dxa"/>
            <w:tcBorders>
              <w:top w:val="single" w:sz="4" w:space="0" w:color="auto"/>
            </w:tcBorders>
            <w:vAlign w:val="center"/>
          </w:tcPr>
          <w:p w14:paraId="76AB7B15" w14:textId="42767E5D" w:rsidR="00AF353C" w:rsidRPr="00872636" w:rsidRDefault="00AF353C"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color w:val="000000"/>
                <w:sz w:val="24"/>
                <w:szCs w:val="24"/>
              </w:rPr>
              <w:t xml:space="preserve">Fan </w:t>
            </w:r>
            <w:r w:rsidR="00CF6033" w:rsidRPr="00872636">
              <w:rPr>
                <w:rFonts w:ascii="Times New Roman" w:hAnsi="Times New Roman" w:cs="Times New Roman"/>
                <w:color w:val="000000"/>
                <w:sz w:val="24"/>
                <w:szCs w:val="24"/>
              </w:rPr>
              <w:t>pressure ratio</w:t>
            </w:r>
          </w:p>
        </w:tc>
        <w:tc>
          <w:tcPr>
            <w:tcW w:w="7124" w:type="dxa"/>
            <w:gridSpan w:val="7"/>
            <w:tcBorders>
              <w:top w:val="single" w:sz="4" w:space="0" w:color="auto"/>
            </w:tcBorders>
            <w:vAlign w:val="center"/>
          </w:tcPr>
          <w:p w14:paraId="15BAE5F7" w14:textId="5AF9CEE1" w:rsidR="00AF353C" w:rsidRPr="00872636" w:rsidRDefault="00AF353C" w:rsidP="00872636">
            <w:pPr>
              <w:spacing w:line="276" w:lineRule="auto"/>
              <w:jc w:val="center"/>
              <w:rPr>
                <w:rFonts w:ascii="Times New Roman" w:hAnsi="Times New Roman" w:cs="Times New Roman"/>
                <w:color w:val="000000"/>
                <w:sz w:val="24"/>
                <w:szCs w:val="24"/>
              </w:rPr>
            </w:pPr>
            <w:r w:rsidRPr="00872636">
              <w:rPr>
                <w:rFonts w:ascii="Times New Roman" w:hAnsi="Times New Roman" w:cs="Times New Roman"/>
                <w:color w:val="000000"/>
                <w:sz w:val="24"/>
                <w:szCs w:val="24"/>
              </w:rPr>
              <w:t>1.6</w:t>
            </w:r>
          </w:p>
        </w:tc>
      </w:tr>
      <w:tr w:rsidR="00AF353C" w:rsidRPr="007D699F" w14:paraId="5BE3C3B9" w14:textId="3E14F0E6" w:rsidTr="00872636">
        <w:trPr>
          <w:trHeight w:val="262"/>
          <w:jc w:val="center"/>
        </w:trPr>
        <w:tc>
          <w:tcPr>
            <w:tcW w:w="2250" w:type="dxa"/>
            <w:vAlign w:val="center"/>
          </w:tcPr>
          <w:p w14:paraId="35C80839" w14:textId="3919F29A" w:rsidR="00AF353C" w:rsidRPr="00872636" w:rsidRDefault="00AF353C"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color w:val="000000"/>
                <w:sz w:val="24"/>
                <w:szCs w:val="24"/>
              </w:rPr>
              <w:t>Fan polytropic efficiency</w:t>
            </w:r>
          </w:p>
        </w:tc>
        <w:tc>
          <w:tcPr>
            <w:tcW w:w="7124" w:type="dxa"/>
            <w:gridSpan w:val="7"/>
            <w:vAlign w:val="center"/>
          </w:tcPr>
          <w:p w14:paraId="446A7BED" w14:textId="59B48CA8" w:rsidR="00AF353C" w:rsidRPr="00872636" w:rsidRDefault="00AF353C" w:rsidP="00872636">
            <w:pPr>
              <w:spacing w:line="276" w:lineRule="auto"/>
              <w:jc w:val="center"/>
              <w:rPr>
                <w:rFonts w:ascii="Times New Roman" w:hAnsi="Times New Roman" w:cs="Times New Roman"/>
                <w:color w:val="000000"/>
                <w:sz w:val="24"/>
                <w:szCs w:val="24"/>
              </w:rPr>
            </w:pPr>
            <w:r w:rsidRPr="00872636">
              <w:rPr>
                <w:rFonts w:ascii="Times New Roman" w:hAnsi="Times New Roman" w:cs="Times New Roman"/>
                <w:color w:val="000000"/>
                <w:sz w:val="24"/>
                <w:szCs w:val="24"/>
              </w:rPr>
              <w:t>0.9</w:t>
            </w:r>
          </w:p>
        </w:tc>
      </w:tr>
      <w:tr w:rsidR="00AF353C" w:rsidRPr="007D699F" w14:paraId="79FE84C6" w14:textId="4420FACE" w:rsidTr="00872636">
        <w:trPr>
          <w:trHeight w:val="262"/>
          <w:jc w:val="center"/>
        </w:trPr>
        <w:tc>
          <w:tcPr>
            <w:tcW w:w="2250" w:type="dxa"/>
            <w:vAlign w:val="center"/>
          </w:tcPr>
          <w:p w14:paraId="4BD884F2" w14:textId="2C8D755A" w:rsidR="00AF353C" w:rsidRPr="00872636" w:rsidRDefault="00AF353C"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color w:val="000000"/>
                <w:sz w:val="24"/>
                <w:szCs w:val="24"/>
              </w:rPr>
              <w:t>Compressor pressure ratio</w:t>
            </w:r>
          </w:p>
        </w:tc>
        <w:tc>
          <w:tcPr>
            <w:tcW w:w="7124" w:type="dxa"/>
            <w:gridSpan w:val="7"/>
            <w:vAlign w:val="center"/>
          </w:tcPr>
          <w:p w14:paraId="40428428" w14:textId="5EF7413C" w:rsidR="00AF353C" w:rsidRPr="00872636" w:rsidRDefault="00AF353C" w:rsidP="00872636">
            <w:pPr>
              <w:spacing w:line="276" w:lineRule="auto"/>
              <w:jc w:val="center"/>
              <w:rPr>
                <w:rFonts w:ascii="Times New Roman" w:hAnsi="Times New Roman" w:cs="Times New Roman"/>
                <w:color w:val="000000"/>
                <w:sz w:val="24"/>
                <w:szCs w:val="24"/>
              </w:rPr>
            </w:pPr>
            <w:r w:rsidRPr="00872636">
              <w:rPr>
                <w:rFonts w:ascii="Times New Roman" w:hAnsi="Times New Roman" w:cs="Times New Roman"/>
                <w:color w:val="000000"/>
                <w:sz w:val="24"/>
                <w:szCs w:val="24"/>
              </w:rPr>
              <w:t>18</w:t>
            </w:r>
          </w:p>
        </w:tc>
      </w:tr>
      <w:tr w:rsidR="00AF353C" w:rsidRPr="007D699F" w14:paraId="5C381C49" w14:textId="52D4CBC5" w:rsidTr="00872636">
        <w:trPr>
          <w:trHeight w:val="525"/>
          <w:jc w:val="center"/>
        </w:trPr>
        <w:tc>
          <w:tcPr>
            <w:tcW w:w="2250" w:type="dxa"/>
            <w:vAlign w:val="center"/>
          </w:tcPr>
          <w:p w14:paraId="3438944B" w14:textId="64CAF707" w:rsidR="00AF353C" w:rsidRPr="00872636" w:rsidRDefault="00AF353C"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color w:val="000000"/>
                <w:sz w:val="24"/>
                <w:szCs w:val="24"/>
              </w:rPr>
              <w:t>Compressor polytropic efficiency</w:t>
            </w:r>
          </w:p>
        </w:tc>
        <w:tc>
          <w:tcPr>
            <w:tcW w:w="7124" w:type="dxa"/>
            <w:gridSpan w:val="7"/>
            <w:vAlign w:val="center"/>
          </w:tcPr>
          <w:p w14:paraId="489A2B38" w14:textId="62B746A3" w:rsidR="00AF353C" w:rsidRPr="00872636" w:rsidRDefault="00AF353C" w:rsidP="00872636">
            <w:pPr>
              <w:spacing w:line="276" w:lineRule="auto"/>
              <w:jc w:val="center"/>
              <w:rPr>
                <w:rFonts w:ascii="Times New Roman" w:hAnsi="Times New Roman" w:cs="Times New Roman"/>
                <w:color w:val="000000"/>
                <w:sz w:val="24"/>
                <w:szCs w:val="24"/>
              </w:rPr>
            </w:pPr>
            <w:r w:rsidRPr="00872636">
              <w:rPr>
                <w:rFonts w:ascii="Times New Roman" w:hAnsi="Times New Roman" w:cs="Times New Roman"/>
                <w:color w:val="000000"/>
                <w:sz w:val="24"/>
                <w:szCs w:val="24"/>
              </w:rPr>
              <w:t>0.9</w:t>
            </w:r>
          </w:p>
        </w:tc>
      </w:tr>
      <w:tr w:rsidR="00537CF1" w:rsidRPr="007D699F" w14:paraId="6B32578A" w14:textId="5D78D756" w:rsidTr="00872636">
        <w:trPr>
          <w:trHeight w:val="272"/>
          <w:jc w:val="center"/>
        </w:trPr>
        <w:tc>
          <w:tcPr>
            <w:tcW w:w="2250" w:type="dxa"/>
            <w:vAlign w:val="center"/>
          </w:tcPr>
          <w:p w14:paraId="6FA20724" w14:textId="7E6ED8FC" w:rsidR="00537CF1" w:rsidRPr="00872636" w:rsidRDefault="00537CF1"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color w:val="000000"/>
                <w:sz w:val="24"/>
                <w:szCs w:val="24"/>
              </w:rPr>
              <w:t>Ambient or engine inlet pressure (Pa)</w:t>
            </w:r>
          </w:p>
        </w:tc>
        <w:tc>
          <w:tcPr>
            <w:tcW w:w="7124" w:type="dxa"/>
            <w:gridSpan w:val="7"/>
            <w:vAlign w:val="center"/>
          </w:tcPr>
          <w:p w14:paraId="7FE9EFD4" w14:textId="0513611A" w:rsidR="00537CF1" w:rsidRPr="00872636" w:rsidRDefault="00537CF1" w:rsidP="00872636">
            <w:pPr>
              <w:spacing w:line="276" w:lineRule="auto"/>
              <w:jc w:val="center"/>
              <w:rPr>
                <w:rFonts w:ascii="Times New Roman" w:hAnsi="Times New Roman" w:cs="Times New Roman"/>
                <w:color w:val="000000"/>
                <w:sz w:val="24"/>
                <w:szCs w:val="24"/>
              </w:rPr>
            </w:pPr>
            <w:r w:rsidRPr="00872636">
              <w:rPr>
                <w:rFonts w:ascii="Times New Roman" w:hAnsi="Times New Roman" w:cs="Times New Roman"/>
                <w:color w:val="000000"/>
                <w:sz w:val="24"/>
                <w:szCs w:val="24"/>
              </w:rPr>
              <w:t>101</w:t>
            </w:r>
            <w:r w:rsidR="00033D22" w:rsidRPr="00872636">
              <w:rPr>
                <w:rFonts w:ascii="Times New Roman" w:hAnsi="Times New Roman" w:cs="Times New Roman"/>
                <w:color w:val="000000"/>
                <w:sz w:val="24"/>
                <w:szCs w:val="24"/>
              </w:rPr>
              <w:t>,</w:t>
            </w:r>
            <w:r w:rsidRPr="00872636">
              <w:rPr>
                <w:rFonts w:ascii="Times New Roman" w:hAnsi="Times New Roman" w:cs="Times New Roman"/>
                <w:color w:val="000000"/>
                <w:sz w:val="24"/>
                <w:szCs w:val="24"/>
              </w:rPr>
              <w:t>325</w:t>
            </w:r>
          </w:p>
        </w:tc>
      </w:tr>
      <w:tr w:rsidR="00537CF1" w:rsidRPr="007D699F" w14:paraId="0F06F95F" w14:textId="4CA2A64E" w:rsidTr="00872636">
        <w:trPr>
          <w:trHeight w:val="525"/>
          <w:jc w:val="center"/>
        </w:trPr>
        <w:tc>
          <w:tcPr>
            <w:tcW w:w="2250" w:type="dxa"/>
            <w:vAlign w:val="center"/>
          </w:tcPr>
          <w:p w14:paraId="0B95CF04" w14:textId="2A991F23" w:rsidR="00537CF1" w:rsidRPr="00872636" w:rsidRDefault="00537CF1" w:rsidP="00872636">
            <w:pPr>
              <w:spacing w:line="276" w:lineRule="auto"/>
              <w:rPr>
                <w:rFonts w:ascii="Times New Roman" w:hAnsi="Times New Roman" w:cs="Times New Roman"/>
                <w:color w:val="000000"/>
                <w:sz w:val="24"/>
                <w:szCs w:val="24"/>
              </w:rPr>
            </w:pPr>
            <w:r w:rsidRPr="00872636">
              <w:rPr>
                <w:rFonts w:ascii="Times New Roman" w:hAnsi="Times New Roman" w:cs="Times New Roman"/>
                <w:color w:val="000000"/>
                <w:sz w:val="24"/>
                <w:szCs w:val="24"/>
              </w:rPr>
              <w:t>Ambient or engine inlet temperature (K)</w:t>
            </w:r>
          </w:p>
        </w:tc>
        <w:tc>
          <w:tcPr>
            <w:tcW w:w="7124" w:type="dxa"/>
            <w:gridSpan w:val="7"/>
            <w:vAlign w:val="center"/>
          </w:tcPr>
          <w:p w14:paraId="16D2D5C8" w14:textId="3B05DA70" w:rsidR="00537CF1" w:rsidRPr="00872636" w:rsidRDefault="00537CF1" w:rsidP="00872636">
            <w:pPr>
              <w:spacing w:line="276" w:lineRule="auto"/>
              <w:jc w:val="center"/>
              <w:rPr>
                <w:rFonts w:ascii="Times New Roman" w:hAnsi="Times New Roman" w:cs="Times New Roman"/>
                <w:color w:val="000000"/>
                <w:sz w:val="24"/>
                <w:szCs w:val="24"/>
              </w:rPr>
            </w:pPr>
            <w:r w:rsidRPr="00872636">
              <w:rPr>
                <w:rFonts w:ascii="Times New Roman" w:hAnsi="Times New Roman" w:cs="Times New Roman"/>
                <w:color w:val="000000"/>
                <w:sz w:val="24"/>
                <w:szCs w:val="24"/>
              </w:rPr>
              <w:t>288</w:t>
            </w:r>
          </w:p>
        </w:tc>
      </w:tr>
      <w:tr w:rsidR="00537CF1" w:rsidRPr="007D699F" w14:paraId="501D13BD" w14:textId="31600C29" w:rsidTr="00872636">
        <w:trPr>
          <w:trHeight w:val="525"/>
          <w:jc w:val="center"/>
        </w:trPr>
        <w:tc>
          <w:tcPr>
            <w:tcW w:w="2250" w:type="dxa"/>
            <w:vAlign w:val="center"/>
          </w:tcPr>
          <w:p w14:paraId="740E29BF" w14:textId="137AC476" w:rsidR="00537CF1" w:rsidRPr="00872636" w:rsidRDefault="00537CF1" w:rsidP="00872636">
            <w:pPr>
              <w:spacing w:line="276" w:lineRule="auto"/>
              <w:rPr>
                <w:rFonts w:ascii="Times New Roman" w:hAnsi="Times New Roman" w:cs="Times New Roman"/>
                <w:color w:val="000000"/>
                <w:sz w:val="24"/>
                <w:szCs w:val="24"/>
              </w:rPr>
            </w:pPr>
            <w:r w:rsidRPr="00872636">
              <w:rPr>
                <w:rFonts w:ascii="Times New Roman" w:hAnsi="Times New Roman" w:cs="Times New Roman"/>
                <w:color w:val="000000"/>
                <w:sz w:val="24"/>
                <w:szCs w:val="24"/>
              </w:rPr>
              <w:t>Turbine polytropic efficiency</w:t>
            </w:r>
          </w:p>
        </w:tc>
        <w:tc>
          <w:tcPr>
            <w:tcW w:w="7124" w:type="dxa"/>
            <w:gridSpan w:val="7"/>
            <w:vAlign w:val="center"/>
          </w:tcPr>
          <w:p w14:paraId="4CBF44B4" w14:textId="21FE1D30" w:rsidR="00537CF1" w:rsidRPr="00872636" w:rsidRDefault="00537CF1" w:rsidP="00872636">
            <w:pPr>
              <w:spacing w:line="276" w:lineRule="auto"/>
              <w:jc w:val="center"/>
              <w:rPr>
                <w:rFonts w:ascii="Times New Roman" w:hAnsi="Times New Roman" w:cs="Times New Roman"/>
                <w:color w:val="000000"/>
                <w:sz w:val="24"/>
                <w:szCs w:val="24"/>
              </w:rPr>
            </w:pPr>
            <w:r w:rsidRPr="00872636">
              <w:rPr>
                <w:rFonts w:ascii="Times New Roman" w:hAnsi="Times New Roman" w:cs="Times New Roman"/>
                <w:color w:val="000000"/>
                <w:sz w:val="24"/>
                <w:szCs w:val="24"/>
              </w:rPr>
              <w:t>0.9</w:t>
            </w:r>
          </w:p>
        </w:tc>
      </w:tr>
      <w:tr w:rsidR="00537CF1" w:rsidRPr="007D699F" w14:paraId="476E6134" w14:textId="60BB95FD" w:rsidTr="00872636">
        <w:trPr>
          <w:trHeight w:val="535"/>
          <w:jc w:val="center"/>
        </w:trPr>
        <w:tc>
          <w:tcPr>
            <w:tcW w:w="2250" w:type="dxa"/>
            <w:vAlign w:val="center"/>
          </w:tcPr>
          <w:p w14:paraId="1140F71E" w14:textId="4386802A" w:rsidR="00537CF1" w:rsidRPr="00872636" w:rsidRDefault="00537CF1" w:rsidP="00872636">
            <w:pPr>
              <w:spacing w:line="276" w:lineRule="auto"/>
              <w:rPr>
                <w:rFonts w:ascii="Times New Roman" w:hAnsi="Times New Roman" w:cs="Times New Roman"/>
                <w:color w:val="000000"/>
                <w:sz w:val="24"/>
                <w:szCs w:val="24"/>
              </w:rPr>
            </w:pPr>
            <w:r w:rsidRPr="00872636">
              <w:rPr>
                <w:rFonts w:ascii="Times New Roman" w:hAnsi="Times New Roman" w:cs="Times New Roman"/>
                <w:color w:val="000000"/>
                <w:sz w:val="24"/>
                <w:szCs w:val="24"/>
              </w:rPr>
              <w:t>Bypass ratio</w:t>
            </w:r>
          </w:p>
        </w:tc>
        <w:tc>
          <w:tcPr>
            <w:tcW w:w="7124" w:type="dxa"/>
            <w:gridSpan w:val="7"/>
            <w:vAlign w:val="center"/>
          </w:tcPr>
          <w:p w14:paraId="1775FAA2" w14:textId="18D72AAE" w:rsidR="00537CF1" w:rsidRPr="00872636" w:rsidRDefault="00537CF1" w:rsidP="00872636">
            <w:pPr>
              <w:spacing w:line="276" w:lineRule="auto"/>
              <w:jc w:val="center"/>
              <w:rPr>
                <w:rFonts w:ascii="Times New Roman" w:hAnsi="Times New Roman" w:cs="Times New Roman"/>
                <w:color w:val="000000"/>
                <w:sz w:val="24"/>
                <w:szCs w:val="24"/>
              </w:rPr>
            </w:pPr>
            <w:r w:rsidRPr="00872636">
              <w:rPr>
                <w:rFonts w:ascii="Times New Roman" w:hAnsi="Times New Roman" w:cs="Times New Roman"/>
                <w:color w:val="000000"/>
                <w:sz w:val="24"/>
                <w:szCs w:val="24"/>
              </w:rPr>
              <w:t>5</w:t>
            </w:r>
          </w:p>
        </w:tc>
      </w:tr>
      <w:tr w:rsidR="00DF69CE" w:rsidRPr="007D699F" w14:paraId="33C148EC" w14:textId="6D2EE988" w:rsidTr="00872636">
        <w:trPr>
          <w:trHeight w:val="262"/>
          <w:jc w:val="center"/>
        </w:trPr>
        <w:tc>
          <w:tcPr>
            <w:tcW w:w="2250" w:type="dxa"/>
            <w:vAlign w:val="center"/>
          </w:tcPr>
          <w:p w14:paraId="69E48879" w14:textId="61E7AAA2" w:rsidR="00DF69CE" w:rsidRPr="00872636" w:rsidRDefault="00DF69CE"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color w:val="000000"/>
                <w:sz w:val="24"/>
                <w:szCs w:val="24"/>
              </w:rPr>
              <w:t>Heat capacity ratio at engine cold sections</w:t>
            </w:r>
          </w:p>
        </w:tc>
        <w:tc>
          <w:tcPr>
            <w:tcW w:w="7124" w:type="dxa"/>
            <w:gridSpan w:val="7"/>
            <w:vAlign w:val="center"/>
          </w:tcPr>
          <w:p w14:paraId="3BC1F53A" w14:textId="44916FA3" w:rsidR="00DF69CE" w:rsidRPr="00872636" w:rsidRDefault="008C045F" w:rsidP="00872636">
            <w:pPr>
              <w:spacing w:line="276" w:lineRule="auto"/>
              <w:jc w:val="center"/>
              <w:rPr>
                <w:rFonts w:ascii="Times New Roman" w:hAnsi="Times New Roman" w:cs="Times New Roman"/>
                <w:sz w:val="24"/>
                <w:szCs w:val="24"/>
                <w:lang w:eastAsia="en-GB"/>
              </w:rPr>
            </w:pPr>
            <w:r w:rsidRPr="00872636">
              <w:rPr>
                <w:rFonts w:ascii="Times New Roman" w:hAnsi="Times New Roman" w:cs="Times New Roman"/>
                <w:sz w:val="24"/>
                <w:szCs w:val="24"/>
                <w:lang w:eastAsia="en-GB"/>
              </w:rPr>
              <w:t>1.4</w:t>
            </w:r>
          </w:p>
        </w:tc>
      </w:tr>
      <w:tr w:rsidR="00DF69CE" w:rsidRPr="007D699F" w14:paraId="301081BA" w14:textId="77777777" w:rsidTr="00872636">
        <w:trPr>
          <w:trHeight w:val="262"/>
          <w:jc w:val="center"/>
        </w:trPr>
        <w:tc>
          <w:tcPr>
            <w:tcW w:w="2250" w:type="dxa"/>
            <w:vAlign w:val="center"/>
          </w:tcPr>
          <w:p w14:paraId="357C9322" w14:textId="03171B08" w:rsidR="00DF69CE" w:rsidRPr="00872636" w:rsidRDefault="00DF69CE"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color w:val="000000"/>
                <w:sz w:val="24"/>
                <w:szCs w:val="24"/>
              </w:rPr>
              <w:t>Specific heat capacity (constant pressure) at engine cold sections (J/kg)</w:t>
            </w:r>
          </w:p>
        </w:tc>
        <w:tc>
          <w:tcPr>
            <w:tcW w:w="7124" w:type="dxa"/>
            <w:gridSpan w:val="7"/>
            <w:vAlign w:val="center"/>
          </w:tcPr>
          <w:p w14:paraId="6BF1A33E" w14:textId="043A5E80" w:rsidR="00DF69CE" w:rsidRPr="00872636" w:rsidRDefault="008C045F" w:rsidP="00872636">
            <w:pPr>
              <w:spacing w:line="276" w:lineRule="auto"/>
              <w:jc w:val="center"/>
              <w:rPr>
                <w:rFonts w:ascii="Times New Roman" w:hAnsi="Times New Roman" w:cs="Times New Roman"/>
                <w:sz w:val="24"/>
                <w:szCs w:val="24"/>
                <w:lang w:eastAsia="en-GB"/>
              </w:rPr>
            </w:pPr>
            <w:r w:rsidRPr="00872636">
              <w:rPr>
                <w:rFonts w:ascii="Times New Roman" w:hAnsi="Times New Roman" w:cs="Times New Roman"/>
                <w:sz w:val="24"/>
                <w:szCs w:val="24"/>
                <w:lang w:eastAsia="en-GB"/>
              </w:rPr>
              <w:t>1</w:t>
            </w:r>
            <w:r w:rsidR="00D9379F" w:rsidRPr="00872636">
              <w:rPr>
                <w:rFonts w:ascii="Times New Roman" w:hAnsi="Times New Roman" w:cs="Times New Roman"/>
                <w:sz w:val="24"/>
                <w:szCs w:val="24"/>
                <w:lang w:eastAsia="en-GB"/>
              </w:rPr>
              <w:t>,</w:t>
            </w:r>
            <w:r w:rsidRPr="00872636">
              <w:rPr>
                <w:rFonts w:ascii="Times New Roman" w:hAnsi="Times New Roman" w:cs="Times New Roman"/>
                <w:sz w:val="24"/>
                <w:szCs w:val="24"/>
                <w:lang w:eastAsia="en-GB"/>
              </w:rPr>
              <w:t>005</w:t>
            </w:r>
          </w:p>
        </w:tc>
      </w:tr>
      <w:tr w:rsidR="00DF69CE" w:rsidRPr="007D699F" w14:paraId="1857BF14" w14:textId="77777777" w:rsidTr="00872636">
        <w:trPr>
          <w:trHeight w:val="272"/>
          <w:jc w:val="center"/>
        </w:trPr>
        <w:tc>
          <w:tcPr>
            <w:tcW w:w="2250" w:type="dxa"/>
            <w:vAlign w:val="center"/>
          </w:tcPr>
          <w:p w14:paraId="540F024B" w14:textId="427D01A3" w:rsidR="00DF69CE" w:rsidRPr="00872636" w:rsidRDefault="00DF69CE"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color w:val="000000"/>
                <w:sz w:val="24"/>
                <w:szCs w:val="24"/>
              </w:rPr>
              <w:t>Heat capacity ratio at engine hot sections</w:t>
            </w:r>
            <w:r w:rsidR="001F5B70" w:rsidRPr="00872636">
              <w:rPr>
                <w:rFonts w:ascii="Times New Roman" w:hAnsi="Times New Roman" w:cs="Times New Roman"/>
                <w:color w:val="000000"/>
                <w:sz w:val="24"/>
                <w:szCs w:val="24"/>
              </w:rPr>
              <w:t>*</w:t>
            </w:r>
          </w:p>
        </w:tc>
        <w:tc>
          <w:tcPr>
            <w:tcW w:w="997" w:type="dxa"/>
            <w:vAlign w:val="center"/>
          </w:tcPr>
          <w:p w14:paraId="5ED7DA9A" w14:textId="584FA1AA" w:rsidR="00DF69CE" w:rsidRPr="00872636" w:rsidRDefault="00105076"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1.313</w:t>
            </w:r>
          </w:p>
        </w:tc>
        <w:tc>
          <w:tcPr>
            <w:tcW w:w="997" w:type="dxa"/>
            <w:vAlign w:val="center"/>
          </w:tcPr>
          <w:p w14:paraId="19EA25B5" w14:textId="39CF6966" w:rsidR="00DF69CE" w:rsidRPr="00872636" w:rsidRDefault="00105076"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1.313</w:t>
            </w:r>
          </w:p>
        </w:tc>
        <w:tc>
          <w:tcPr>
            <w:tcW w:w="997" w:type="dxa"/>
            <w:vAlign w:val="center"/>
          </w:tcPr>
          <w:p w14:paraId="46B54979" w14:textId="42121134" w:rsidR="00DF69CE" w:rsidRPr="00872636" w:rsidRDefault="00105076"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1.316</w:t>
            </w:r>
          </w:p>
        </w:tc>
        <w:tc>
          <w:tcPr>
            <w:tcW w:w="997" w:type="dxa"/>
            <w:vAlign w:val="center"/>
          </w:tcPr>
          <w:p w14:paraId="33D0940E" w14:textId="75C22C84" w:rsidR="00DF69CE" w:rsidRPr="00872636" w:rsidRDefault="00105076"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1.314</w:t>
            </w:r>
          </w:p>
        </w:tc>
        <w:tc>
          <w:tcPr>
            <w:tcW w:w="997" w:type="dxa"/>
            <w:vAlign w:val="center"/>
          </w:tcPr>
          <w:p w14:paraId="63CCA28B" w14:textId="0C5B09ED" w:rsidR="00DF69CE" w:rsidRPr="00872636" w:rsidRDefault="00105076"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1.314</w:t>
            </w:r>
          </w:p>
        </w:tc>
        <w:tc>
          <w:tcPr>
            <w:tcW w:w="1138" w:type="dxa"/>
            <w:vAlign w:val="center"/>
          </w:tcPr>
          <w:p w14:paraId="3C8496F2" w14:textId="7EC9BD47" w:rsidR="00DF69CE" w:rsidRPr="00872636" w:rsidRDefault="00105076"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1.311</w:t>
            </w:r>
          </w:p>
        </w:tc>
        <w:tc>
          <w:tcPr>
            <w:tcW w:w="997" w:type="dxa"/>
            <w:vAlign w:val="center"/>
          </w:tcPr>
          <w:p w14:paraId="459FA3B2" w14:textId="2AA6CF11" w:rsidR="00DF69CE" w:rsidRPr="00872636" w:rsidRDefault="00105076"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1.311</w:t>
            </w:r>
          </w:p>
        </w:tc>
      </w:tr>
      <w:tr w:rsidR="00DF69CE" w:rsidRPr="007D699F" w14:paraId="04708A5C" w14:textId="77777777" w:rsidTr="00872636">
        <w:trPr>
          <w:trHeight w:val="262"/>
          <w:jc w:val="center"/>
        </w:trPr>
        <w:tc>
          <w:tcPr>
            <w:tcW w:w="2250" w:type="dxa"/>
            <w:vAlign w:val="center"/>
          </w:tcPr>
          <w:p w14:paraId="0EF6BAF6" w14:textId="572A69C4" w:rsidR="00DF69CE" w:rsidRPr="00872636" w:rsidRDefault="00DF69CE"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color w:val="000000"/>
                <w:sz w:val="24"/>
                <w:szCs w:val="24"/>
              </w:rPr>
              <w:t>Specific heat capacity (constant pressure) at engine hot sections (J/kg)</w:t>
            </w:r>
            <w:r w:rsidR="001F5B70" w:rsidRPr="00872636">
              <w:rPr>
                <w:rFonts w:ascii="Times New Roman" w:hAnsi="Times New Roman" w:cs="Times New Roman"/>
                <w:color w:val="000000"/>
                <w:sz w:val="24"/>
                <w:szCs w:val="24"/>
              </w:rPr>
              <w:t>*</w:t>
            </w:r>
          </w:p>
        </w:tc>
        <w:tc>
          <w:tcPr>
            <w:tcW w:w="997" w:type="dxa"/>
            <w:vAlign w:val="center"/>
          </w:tcPr>
          <w:p w14:paraId="2A6F1EB9" w14:textId="41717DA3" w:rsidR="00DF69CE" w:rsidRPr="00872636" w:rsidRDefault="00105076" w:rsidP="00872636">
            <w:pPr>
              <w:spacing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1212.14</w:t>
            </w:r>
          </w:p>
        </w:tc>
        <w:tc>
          <w:tcPr>
            <w:tcW w:w="997" w:type="dxa"/>
            <w:vAlign w:val="center"/>
          </w:tcPr>
          <w:p w14:paraId="03FA7142" w14:textId="2D426995" w:rsidR="00DF69CE" w:rsidRPr="00872636" w:rsidRDefault="00105076"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color w:val="000000"/>
                <w:sz w:val="24"/>
                <w:szCs w:val="24"/>
              </w:rPr>
              <w:t>1212.14</w:t>
            </w:r>
          </w:p>
        </w:tc>
        <w:tc>
          <w:tcPr>
            <w:tcW w:w="997" w:type="dxa"/>
            <w:vAlign w:val="center"/>
          </w:tcPr>
          <w:p w14:paraId="39D7A07B" w14:textId="49711386" w:rsidR="00DF69CE" w:rsidRPr="00872636" w:rsidRDefault="00105076" w:rsidP="00872636">
            <w:pPr>
              <w:spacing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1243.09</w:t>
            </w:r>
          </w:p>
        </w:tc>
        <w:tc>
          <w:tcPr>
            <w:tcW w:w="997" w:type="dxa"/>
            <w:vAlign w:val="center"/>
          </w:tcPr>
          <w:p w14:paraId="20346EAB" w14:textId="20D9BC60" w:rsidR="00DF69CE" w:rsidRPr="00872636" w:rsidRDefault="00105076" w:rsidP="00872636">
            <w:pPr>
              <w:spacing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1221.32</w:t>
            </w:r>
          </w:p>
        </w:tc>
        <w:tc>
          <w:tcPr>
            <w:tcW w:w="997" w:type="dxa"/>
            <w:vAlign w:val="center"/>
          </w:tcPr>
          <w:p w14:paraId="168663C0" w14:textId="314CAA5E" w:rsidR="00DF69CE" w:rsidRPr="00872636" w:rsidRDefault="00105076" w:rsidP="00872636">
            <w:pPr>
              <w:spacing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1251.69</w:t>
            </w:r>
          </w:p>
        </w:tc>
        <w:tc>
          <w:tcPr>
            <w:tcW w:w="1138" w:type="dxa"/>
            <w:vAlign w:val="center"/>
          </w:tcPr>
          <w:p w14:paraId="3CAD771F" w14:textId="4DD10D4F" w:rsidR="00DF69CE" w:rsidRPr="00872636" w:rsidRDefault="00105076" w:rsidP="00872636">
            <w:pPr>
              <w:spacing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1229.21</w:t>
            </w:r>
          </w:p>
        </w:tc>
        <w:tc>
          <w:tcPr>
            <w:tcW w:w="997" w:type="dxa"/>
            <w:vAlign w:val="center"/>
          </w:tcPr>
          <w:p w14:paraId="65BFA6D8" w14:textId="3276EE3C" w:rsidR="00DF69CE" w:rsidRPr="00872636" w:rsidRDefault="00105076" w:rsidP="00872636">
            <w:pPr>
              <w:spacing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1229.21</w:t>
            </w:r>
          </w:p>
        </w:tc>
      </w:tr>
      <w:tr w:rsidR="00DF69CE" w:rsidRPr="007D699F" w14:paraId="2F68DE67" w14:textId="77777777" w:rsidTr="00872636">
        <w:trPr>
          <w:trHeight w:val="262"/>
          <w:jc w:val="center"/>
        </w:trPr>
        <w:tc>
          <w:tcPr>
            <w:tcW w:w="2250" w:type="dxa"/>
            <w:vAlign w:val="center"/>
          </w:tcPr>
          <w:p w14:paraId="592761D0" w14:textId="5A643E05" w:rsidR="00DF69CE" w:rsidRPr="00872636" w:rsidRDefault="008C045F"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sz w:val="24"/>
                <w:szCs w:val="24"/>
                <w:lang w:eastAsia="en-GB"/>
              </w:rPr>
              <w:t>Air</w:t>
            </w:r>
            <w:r w:rsidR="00E3600A" w:rsidRPr="00872636">
              <w:rPr>
                <w:rFonts w:ascii="Times New Roman" w:hAnsi="Times New Roman" w:cs="Times New Roman"/>
                <w:sz w:val="24"/>
                <w:szCs w:val="24"/>
                <w:lang w:eastAsia="en-GB"/>
              </w:rPr>
              <w:t xml:space="preserve"> to</w:t>
            </w:r>
            <w:r w:rsidRPr="00872636">
              <w:rPr>
                <w:rFonts w:ascii="Times New Roman" w:hAnsi="Times New Roman" w:cs="Times New Roman"/>
                <w:sz w:val="24"/>
                <w:szCs w:val="24"/>
                <w:lang w:eastAsia="en-GB"/>
              </w:rPr>
              <w:t xml:space="preserve"> fuel ratio</w:t>
            </w:r>
          </w:p>
        </w:tc>
        <w:tc>
          <w:tcPr>
            <w:tcW w:w="997" w:type="dxa"/>
            <w:vAlign w:val="center"/>
          </w:tcPr>
          <w:p w14:paraId="56E0574E" w14:textId="555568C4" w:rsidR="00DF69CE" w:rsidRPr="00872636" w:rsidRDefault="00105076" w:rsidP="00872636">
            <w:pPr>
              <w:spacing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50.00</w:t>
            </w:r>
          </w:p>
        </w:tc>
        <w:tc>
          <w:tcPr>
            <w:tcW w:w="997" w:type="dxa"/>
            <w:vAlign w:val="center"/>
          </w:tcPr>
          <w:p w14:paraId="77823701" w14:textId="01B1BCCA" w:rsidR="00DF69CE" w:rsidRPr="00872636" w:rsidRDefault="00105076"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51.04</w:t>
            </w:r>
          </w:p>
        </w:tc>
        <w:tc>
          <w:tcPr>
            <w:tcW w:w="997" w:type="dxa"/>
            <w:vAlign w:val="center"/>
          </w:tcPr>
          <w:p w14:paraId="5985223D" w14:textId="5A0805E3" w:rsidR="00DF69CE" w:rsidRPr="00872636" w:rsidRDefault="00105076"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138.89</w:t>
            </w:r>
          </w:p>
        </w:tc>
        <w:tc>
          <w:tcPr>
            <w:tcW w:w="997" w:type="dxa"/>
            <w:vAlign w:val="center"/>
          </w:tcPr>
          <w:p w14:paraId="637F682F" w14:textId="76063A1F" w:rsidR="00DF69CE" w:rsidRPr="00872636" w:rsidRDefault="00105076"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57.87</w:t>
            </w:r>
          </w:p>
        </w:tc>
        <w:tc>
          <w:tcPr>
            <w:tcW w:w="997" w:type="dxa"/>
            <w:vAlign w:val="center"/>
          </w:tcPr>
          <w:p w14:paraId="29CCADBD" w14:textId="1FC2B0EF" w:rsidR="00DF69CE" w:rsidRPr="00872636" w:rsidRDefault="00105076"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21.53</w:t>
            </w:r>
          </w:p>
        </w:tc>
        <w:tc>
          <w:tcPr>
            <w:tcW w:w="1138" w:type="dxa"/>
            <w:vAlign w:val="center"/>
          </w:tcPr>
          <w:p w14:paraId="2C31FD42" w14:textId="08124509" w:rsidR="00DF69CE" w:rsidRPr="00872636" w:rsidRDefault="00105076"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23.03</w:t>
            </w:r>
          </w:p>
        </w:tc>
        <w:tc>
          <w:tcPr>
            <w:tcW w:w="997" w:type="dxa"/>
            <w:vAlign w:val="center"/>
          </w:tcPr>
          <w:p w14:paraId="14CD9F67" w14:textId="78E4201B" w:rsidR="00DF69CE" w:rsidRPr="00872636" w:rsidRDefault="00105076"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31.48</w:t>
            </w:r>
          </w:p>
        </w:tc>
      </w:tr>
      <w:tr w:rsidR="008C045F" w:rsidRPr="007D699F" w14:paraId="694C30A1" w14:textId="77777777" w:rsidTr="00872636">
        <w:trPr>
          <w:trHeight w:val="262"/>
          <w:jc w:val="center"/>
        </w:trPr>
        <w:tc>
          <w:tcPr>
            <w:tcW w:w="2250" w:type="dxa"/>
            <w:vAlign w:val="center"/>
          </w:tcPr>
          <w:p w14:paraId="17E6F715" w14:textId="11285AF9" w:rsidR="008C045F" w:rsidRPr="00872636" w:rsidRDefault="008C045F"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sz w:val="24"/>
                <w:szCs w:val="24"/>
                <w:lang w:eastAsia="en-GB"/>
              </w:rPr>
              <w:t>Gas constant of combustion products (J/kg-K)</w:t>
            </w:r>
            <w:r w:rsidR="001F5B70" w:rsidRPr="00872636">
              <w:rPr>
                <w:rFonts w:ascii="Times New Roman" w:hAnsi="Times New Roman" w:cs="Times New Roman"/>
                <w:sz w:val="24"/>
                <w:szCs w:val="24"/>
                <w:lang w:eastAsia="en-GB"/>
              </w:rPr>
              <w:t>*</w:t>
            </w:r>
          </w:p>
        </w:tc>
        <w:tc>
          <w:tcPr>
            <w:tcW w:w="997" w:type="dxa"/>
            <w:vAlign w:val="center"/>
          </w:tcPr>
          <w:p w14:paraId="12A1AC76" w14:textId="45BA4333" w:rsidR="008C045F" w:rsidRPr="00872636" w:rsidRDefault="00105076" w:rsidP="00872636">
            <w:pPr>
              <w:spacing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289.04</w:t>
            </w:r>
          </w:p>
        </w:tc>
        <w:tc>
          <w:tcPr>
            <w:tcW w:w="997" w:type="dxa"/>
            <w:vAlign w:val="center"/>
          </w:tcPr>
          <w:p w14:paraId="5F61D773" w14:textId="1C35EA9C" w:rsidR="008C045F" w:rsidRPr="00872636" w:rsidRDefault="00105076"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color w:val="000000"/>
                <w:sz w:val="24"/>
                <w:szCs w:val="24"/>
              </w:rPr>
              <w:t>289.04</w:t>
            </w:r>
          </w:p>
        </w:tc>
        <w:tc>
          <w:tcPr>
            <w:tcW w:w="997" w:type="dxa"/>
            <w:vAlign w:val="center"/>
          </w:tcPr>
          <w:p w14:paraId="4793338A" w14:textId="105A71E6" w:rsidR="008C045F" w:rsidRPr="00872636" w:rsidRDefault="00105076" w:rsidP="00872636">
            <w:pPr>
              <w:spacing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298.21</w:t>
            </w:r>
          </w:p>
        </w:tc>
        <w:tc>
          <w:tcPr>
            <w:tcW w:w="997" w:type="dxa"/>
            <w:vAlign w:val="center"/>
          </w:tcPr>
          <w:p w14:paraId="752D0A06" w14:textId="50B28EB8" w:rsidR="008C045F" w:rsidRPr="00872636" w:rsidRDefault="00105076" w:rsidP="00872636">
            <w:pPr>
              <w:spacing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291.58</w:t>
            </w:r>
          </w:p>
        </w:tc>
        <w:tc>
          <w:tcPr>
            <w:tcW w:w="997" w:type="dxa"/>
            <w:vAlign w:val="center"/>
          </w:tcPr>
          <w:p w14:paraId="5BE680AA" w14:textId="0D145FD3" w:rsidR="008C045F" w:rsidRPr="00872636" w:rsidRDefault="00105076" w:rsidP="00872636">
            <w:pPr>
              <w:spacing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299.31</w:t>
            </w:r>
          </w:p>
        </w:tc>
        <w:tc>
          <w:tcPr>
            <w:tcW w:w="1138" w:type="dxa"/>
            <w:vAlign w:val="center"/>
          </w:tcPr>
          <w:p w14:paraId="34E2D698" w14:textId="4F82F0D7" w:rsidR="008C045F" w:rsidRPr="00872636" w:rsidRDefault="00105076" w:rsidP="00872636">
            <w:pPr>
              <w:spacing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291.78</w:t>
            </w:r>
          </w:p>
        </w:tc>
        <w:tc>
          <w:tcPr>
            <w:tcW w:w="997" w:type="dxa"/>
            <w:vAlign w:val="center"/>
          </w:tcPr>
          <w:p w14:paraId="7D4F6114" w14:textId="00B762A8" w:rsidR="008C045F" w:rsidRPr="00872636" w:rsidRDefault="00105076" w:rsidP="00872636">
            <w:pPr>
              <w:spacing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291.78</w:t>
            </w:r>
          </w:p>
        </w:tc>
      </w:tr>
      <w:tr w:rsidR="008C045F" w:rsidRPr="007D699F" w14:paraId="24F76EB9" w14:textId="77777777" w:rsidTr="00872636">
        <w:trPr>
          <w:trHeight w:val="262"/>
          <w:jc w:val="center"/>
        </w:trPr>
        <w:tc>
          <w:tcPr>
            <w:tcW w:w="2250" w:type="dxa"/>
            <w:vAlign w:val="center"/>
          </w:tcPr>
          <w:p w14:paraId="7E1BCDF3" w14:textId="67B88FF0" w:rsidR="008C045F" w:rsidRPr="00872636" w:rsidRDefault="00105076"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sz w:val="24"/>
                <w:szCs w:val="24"/>
                <w:lang w:eastAsia="en-GB"/>
              </w:rPr>
              <w:t>Lower calorific value (MJ/kg)</w:t>
            </w:r>
            <w:r w:rsidR="00214736" w:rsidRPr="00872636">
              <w:rPr>
                <w:rFonts w:ascii="Times New Roman" w:hAnsi="Times New Roman" w:cs="Times New Roman"/>
                <w:sz w:val="24"/>
                <w:szCs w:val="24"/>
                <w:lang w:eastAsia="en-GB"/>
              </w:rPr>
              <w:t>**</w:t>
            </w:r>
          </w:p>
        </w:tc>
        <w:tc>
          <w:tcPr>
            <w:tcW w:w="997" w:type="dxa"/>
            <w:vAlign w:val="center"/>
          </w:tcPr>
          <w:p w14:paraId="0BB8DD90" w14:textId="773F6AFE" w:rsidR="008C045F" w:rsidRPr="00872636" w:rsidRDefault="00A205E7"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43.2</w:t>
            </w:r>
            <w:r w:rsidR="00214736" w:rsidRPr="00872636">
              <w:rPr>
                <w:rFonts w:ascii="Times New Roman" w:hAnsi="Times New Roman" w:cs="Times New Roman"/>
                <w:sz w:val="24"/>
                <w:szCs w:val="24"/>
                <w:lang w:eastAsia="en-GB"/>
              </w:rPr>
              <w:t xml:space="preserve"> </w:t>
            </w:r>
          </w:p>
        </w:tc>
        <w:tc>
          <w:tcPr>
            <w:tcW w:w="997" w:type="dxa"/>
            <w:vAlign w:val="center"/>
          </w:tcPr>
          <w:p w14:paraId="4E18A192" w14:textId="1338D84B" w:rsidR="008C045F" w:rsidRPr="00872636" w:rsidRDefault="00A205E7"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44.1</w:t>
            </w:r>
          </w:p>
        </w:tc>
        <w:tc>
          <w:tcPr>
            <w:tcW w:w="997" w:type="dxa"/>
            <w:vAlign w:val="center"/>
          </w:tcPr>
          <w:p w14:paraId="21FB4A16" w14:textId="55B389E8" w:rsidR="008C045F" w:rsidRPr="00872636" w:rsidRDefault="00A205E7"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120.0</w:t>
            </w:r>
          </w:p>
        </w:tc>
        <w:tc>
          <w:tcPr>
            <w:tcW w:w="997" w:type="dxa"/>
            <w:vAlign w:val="center"/>
          </w:tcPr>
          <w:p w14:paraId="405604FC" w14:textId="1E462A60" w:rsidR="008C045F" w:rsidRPr="00872636" w:rsidRDefault="00A205E7"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50</w:t>
            </w:r>
            <w:r w:rsidR="00342B2C" w:rsidRPr="00872636">
              <w:rPr>
                <w:rFonts w:ascii="Times New Roman" w:hAnsi="Times New Roman" w:cs="Times New Roman"/>
                <w:sz w:val="24"/>
                <w:szCs w:val="24"/>
                <w:lang w:eastAsia="en-GB"/>
              </w:rPr>
              <w:t>.0</w:t>
            </w:r>
          </w:p>
        </w:tc>
        <w:tc>
          <w:tcPr>
            <w:tcW w:w="997" w:type="dxa"/>
            <w:vAlign w:val="center"/>
          </w:tcPr>
          <w:p w14:paraId="3F0A0CF7" w14:textId="3EDF1309" w:rsidR="008C045F" w:rsidRPr="00872636" w:rsidRDefault="00A205E7"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18.6</w:t>
            </w:r>
          </w:p>
        </w:tc>
        <w:tc>
          <w:tcPr>
            <w:tcW w:w="1138" w:type="dxa"/>
            <w:vAlign w:val="center"/>
          </w:tcPr>
          <w:p w14:paraId="7FA03C43" w14:textId="18E39201" w:rsidR="008C045F" w:rsidRPr="00872636" w:rsidRDefault="00A205E7"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19.9</w:t>
            </w:r>
          </w:p>
        </w:tc>
        <w:tc>
          <w:tcPr>
            <w:tcW w:w="997" w:type="dxa"/>
            <w:vAlign w:val="center"/>
          </w:tcPr>
          <w:p w14:paraId="4134E30E" w14:textId="6D5FAB1C" w:rsidR="008C045F" w:rsidRPr="00872636" w:rsidRDefault="00A205E7"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27.2</w:t>
            </w:r>
          </w:p>
        </w:tc>
      </w:tr>
      <w:tr w:rsidR="00105076" w:rsidRPr="007D699F" w14:paraId="0865CB18" w14:textId="77777777" w:rsidTr="00872636">
        <w:trPr>
          <w:trHeight w:val="262"/>
          <w:jc w:val="center"/>
        </w:trPr>
        <w:tc>
          <w:tcPr>
            <w:tcW w:w="2250" w:type="dxa"/>
            <w:tcBorders>
              <w:bottom w:val="single" w:sz="4" w:space="0" w:color="auto"/>
            </w:tcBorders>
            <w:vAlign w:val="center"/>
          </w:tcPr>
          <w:p w14:paraId="0676CC47" w14:textId="53E28CFE" w:rsidR="00105076" w:rsidRPr="00872636" w:rsidRDefault="0052169F"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sz w:val="24"/>
                <w:szCs w:val="24"/>
                <w:lang w:eastAsia="en-GB"/>
              </w:rPr>
              <w:t>Fuel flow rate (kg/s)</w:t>
            </w:r>
          </w:p>
        </w:tc>
        <w:tc>
          <w:tcPr>
            <w:tcW w:w="997" w:type="dxa"/>
            <w:tcBorders>
              <w:bottom w:val="single" w:sz="4" w:space="0" w:color="auto"/>
            </w:tcBorders>
            <w:vAlign w:val="center"/>
          </w:tcPr>
          <w:p w14:paraId="1687760B" w14:textId="14B4D819" w:rsidR="00105076" w:rsidRPr="00872636" w:rsidRDefault="0052169F"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0.89</w:t>
            </w:r>
          </w:p>
        </w:tc>
        <w:tc>
          <w:tcPr>
            <w:tcW w:w="997" w:type="dxa"/>
            <w:tcBorders>
              <w:bottom w:val="single" w:sz="4" w:space="0" w:color="auto"/>
            </w:tcBorders>
            <w:vAlign w:val="center"/>
          </w:tcPr>
          <w:p w14:paraId="65C84AF4" w14:textId="01A81B80" w:rsidR="00105076" w:rsidRPr="00872636" w:rsidRDefault="0052169F"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0.88</w:t>
            </w:r>
          </w:p>
        </w:tc>
        <w:tc>
          <w:tcPr>
            <w:tcW w:w="997" w:type="dxa"/>
            <w:tcBorders>
              <w:bottom w:val="single" w:sz="4" w:space="0" w:color="auto"/>
            </w:tcBorders>
            <w:vAlign w:val="center"/>
          </w:tcPr>
          <w:p w14:paraId="4FF04D01" w14:textId="3AED5B80" w:rsidR="00105076" w:rsidRPr="00872636" w:rsidRDefault="0052169F"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0.31</w:t>
            </w:r>
          </w:p>
        </w:tc>
        <w:tc>
          <w:tcPr>
            <w:tcW w:w="997" w:type="dxa"/>
            <w:tcBorders>
              <w:bottom w:val="single" w:sz="4" w:space="0" w:color="auto"/>
            </w:tcBorders>
            <w:vAlign w:val="center"/>
          </w:tcPr>
          <w:p w14:paraId="50C6FB73" w14:textId="530F979F" w:rsidR="00105076" w:rsidRPr="00872636" w:rsidRDefault="0052169F"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0.77</w:t>
            </w:r>
          </w:p>
        </w:tc>
        <w:tc>
          <w:tcPr>
            <w:tcW w:w="997" w:type="dxa"/>
            <w:tcBorders>
              <w:bottom w:val="single" w:sz="4" w:space="0" w:color="auto"/>
            </w:tcBorders>
            <w:vAlign w:val="center"/>
          </w:tcPr>
          <w:p w14:paraId="7CA94DAE" w14:textId="2A48BB8D" w:rsidR="00105076" w:rsidRPr="00872636" w:rsidRDefault="0052169F"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2.01</w:t>
            </w:r>
          </w:p>
        </w:tc>
        <w:tc>
          <w:tcPr>
            <w:tcW w:w="1138" w:type="dxa"/>
            <w:tcBorders>
              <w:bottom w:val="single" w:sz="4" w:space="0" w:color="auto"/>
            </w:tcBorders>
            <w:vAlign w:val="center"/>
          </w:tcPr>
          <w:p w14:paraId="0616036D" w14:textId="708C91E4" w:rsidR="00105076" w:rsidRPr="00872636" w:rsidRDefault="0052169F"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1.92</w:t>
            </w:r>
          </w:p>
        </w:tc>
        <w:tc>
          <w:tcPr>
            <w:tcW w:w="997" w:type="dxa"/>
            <w:tcBorders>
              <w:bottom w:val="single" w:sz="4" w:space="0" w:color="auto"/>
            </w:tcBorders>
            <w:vAlign w:val="center"/>
          </w:tcPr>
          <w:p w14:paraId="158E1FC7" w14:textId="3A498923" w:rsidR="00105076" w:rsidRPr="00872636" w:rsidRDefault="0052169F" w:rsidP="00872636">
            <w:pPr>
              <w:spacing w:line="276" w:lineRule="auto"/>
              <w:jc w:val="right"/>
              <w:rPr>
                <w:rFonts w:ascii="Times New Roman" w:hAnsi="Times New Roman" w:cs="Times New Roman"/>
                <w:sz w:val="24"/>
                <w:szCs w:val="24"/>
                <w:lang w:eastAsia="en-GB"/>
              </w:rPr>
            </w:pPr>
            <w:r w:rsidRPr="00872636">
              <w:rPr>
                <w:rFonts w:ascii="Times New Roman" w:hAnsi="Times New Roman" w:cs="Times New Roman"/>
                <w:sz w:val="24"/>
                <w:szCs w:val="24"/>
                <w:lang w:eastAsia="en-GB"/>
              </w:rPr>
              <w:t>1.40</w:t>
            </w:r>
          </w:p>
        </w:tc>
      </w:tr>
      <w:tr w:rsidR="0052169F" w:rsidRPr="007D699F" w14:paraId="21AFDB95" w14:textId="77777777" w:rsidTr="00872636">
        <w:trPr>
          <w:trHeight w:val="262"/>
          <w:jc w:val="center"/>
        </w:trPr>
        <w:tc>
          <w:tcPr>
            <w:tcW w:w="9375" w:type="dxa"/>
            <w:gridSpan w:val="8"/>
            <w:tcBorders>
              <w:top w:val="single" w:sz="4" w:space="0" w:color="auto"/>
              <w:bottom w:val="single" w:sz="4" w:space="0" w:color="auto"/>
            </w:tcBorders>
            <w:vAlign w:val="center"/>
          </w:tcPr>
          <w:p w14:paraId="0EE5D1D7" w14:textId="36944709" w:rsidR="0052169F" w:rsidRPr="00872636" w:rsidRDefault="0052169F" w:rsidP="00872636">
            <w:pPr>
              <w:spacing w:line="276" w:lineRule="auto"/>
              <w:jc w:val="center"/>
              <w:rPr>
                <w:rFonts w:ascii="Times New Roman" w:hAnsi="Times New Roman" w:cs="Times New Roman"/>
                <w:i/>
                <w:iCs/>
                <w:sz w:val="24"/>
                <w:szCs w:val="24"/>
                <w:lang w:eastAsia="en-GB"/>
              </w:rPr>
            </w:pPr>
            <w:r w:rsidRPr="00872636">
              <w:rPr>
                <w:rFonts w:ascii="Times New Roman" w:hAnsi="Times New Roman" w:cs="Times New Roman"/>
                <w:i/>
                <w:iCs/>
                <w:sz w:val="24"/>
                <w:szCs w:val="24"/>
                <w:lang w:eastAsia="en-GB"/>
              </w:rPr>
              <w:t>Cycle output</w:t>
            </w:r>
          </w:p>
        </w:tc>
      </w:tr>
      <w:tr w:rsidR="0052169F" w:rsidRPr="007D699F" w14:paraId="7BF384D3" w14:textId="77777777" w:rsidTr="00872636">
        <w:trPr>
          <w:trHeight w:val="275"/>
          <w:jc w:val="center"/>
        </w:trPr>
        <w:tc>
          <w:tcPr>
            <w:tcW w:w="2250" w:type="dxa"/>
            <w:tcBorders>
              <w:top w:val="single" w:sz="4" w:space="0" w:color="auto"/>
              <w:bottom w:val="single" w:sz="4" w:space="0" w:color="auto"/>
            </w:tcBorders>
            <w:vAlign w:val="center"/>
          </w:tcPr>
          <w:p w14:paraId="66B41461" w14:textId="4C37B518" w:rsidR="0052169F" w:rsidRPr="00872636" w:rsidRDefault="0052169F"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sz w:val="24"/>
                <w:szCs w:val="24"/>
                <w:lang w:eastAsia="en-GB"/>
              </w:rPr>
              <w:t>Thrust (kN)</w:t>
            </w:r>
          </w:p>
        </w:tc>
        <w:tc>
          <w:tcPr>
            <w:tcW w:w="7124" w:type="dxa"/>
            <w:gridSpan w:val="7"/>
            <w:tcBorders>
              <w:top w:val="single" w:sz="4" w:space="0" w:color="auto"/>
              <w:bottom w:val="single" w:sz="4" w:space="0" w:color="auto"/>
            </w:tcBorders>
            <w:vAlign w:val="center"/>
          </w:tcPr>
          <w:p w14:paraId="6D3095E6" w14:textId="423987ED" w:rsidR="0052169F" w:rsidRPr="00872636" w:rsidRDefault="0052169F" w:rsidP="00872636">
            <w:pPr>
              <w:spacing w:line="276" w:lineRule="auto"/>
              <w:jc w:val="center"/>
              <w:rPr>
                <w:rFonts w:ascii="Times New Roman" w:hAnsi="Times New Roman" w:cs="Times New Roman"/>
                <w:sz w:val="24"/>
                <w:szCs w:val="24"/>
                <w:lang w:eastAsia="en-GB"/>
              </w:rPr>
            </w:pPr>
            <w:r w:rsidRPr="00872636">
              <w:rPr>
                <w:rFonts w:ascii="Times New Roman" w:hAnsi="Times New Roman" w:cs="Times New Roman"/>
                <w:sz w:val="24"/>
                <w:szCs w:val="24"/>
                <w:lang w:eastAsia="en-GB"/>
              </w:rPr>
              <w:t>100</w:t>
            </w:r>
          </w:p>
        </w:tc>
      </w:tr>
      <w:tr w:rsidR="001F5B70" w:rsidRPr="007D699F" w14:paraId="706E4CDE" w14:textId="77777777" w:rsidTr="00872636">
        <w:trPr>
          <w:trHeight w:val="262"/>
          <w:jc w:val="center"/>
        </w:trPr>
        <w:tc>
          <w:tcPr>
            <w:tcW w:w="9375" w:type="dxa"/>
            <w:gridSpan w:val="8"/>
            <w:tcBorders>
              <w:top w:val="single" w:sz="4" w:space="0" w:color="auto"/>
              <w:bottom w:val="single" w:sz="4" w:space="0" w:color="auto"/>
            </w:tcBorders>
            <w:vAlign w:val="center"/>
          </w:tcPr>
          <w:p w14:paraId="615E0EE5" w14:textId="0875073A" w:rsidR="001F5B70" w:rsidRPr="00872636" w:rsidRDefault="001F5B70" w:rsidP="00872636">
            <w:pPr>
              <w:spacing w:line="276" w:lineRule="auto"/>
              <w:rPr>
                <w:rFonts w:ascii="Times New Roman" w:hAnsi="Times New Roman" w:cs="Times New Roman"/>
                <w:sz w:val="24"/>
                <w:szCs w:val="24"/>
                <w:lang w:eastAsia="en-GB"/>
              </w:rPr>
            </w:pPr>
            <w:r w:rsidRPr="00872636">
              <w:rPr>
                <w:rFonts w:ascii="Times New Roman" w:hAnsi="Times New Roman" w:cs="Times New Roman"/>
                <w:sz w:val="24"/>
                <w:szCs w:val="24"/>
                <w:lang w:eastAsia="en-GB"/>
              </w:rPr>
              <w:t>*</w:t>
            </w:r>
            <w:r w:rsidR="00214736" w:rsidRPr="00872636">
              <w:rPr>
                <w:rFonts w:ascii="Times New Roman" w:hAnsi="Times New Roman" w:cs="Times New Roman"/>
                <w:sz w:val="24"/>
                <w:szCs w:val="24"/>
                <w:lang w:eastAsia="en-GB"/>
              </w:rPr>
              <w:t>s</w:t>
            </w:r>
            <w:r w:rsidRPr="00872636">
              <w:rPr>
                <w:rFonts w:ascii="Times New Roman" w:hAnsi="Times New Roman" w:cs="Times New Roman"/>
                <w:sz w:val="24"/>
                <w:szCs w:val="24"/>
                <w:lang w:eastAsia="en-GB"/>
              </w:rPr>
              <w:t xml:space="preserve">ource </w:t>
            </w:r>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{"citationItems":[{"id":"ITEM-1","itemData":{"DOI":"10.3390/en11020392","ISSN":"1996-1073","abstract":"With the growth of aviation traffic and the demand for emission reduction, alternative fuels like the so-called electrofuels could comprise a sustainable solution. Electrofuels are understood as those that use renewable energy for fuel synthesis and that are carbon-neutral with respect to greenhouse gas emission. In this study, five potential electrofuels are discussed with respect to the potential application as aviation fuels, being n-octane, methanol, methane, hydrogen and ammonia, and compared to conventional Jet A-1 fuel. Three important aspects are illuminated. Firstly, the synthesis process of the electrofuel is described with its technological paths, its energy efficiency and the maturity or research need of the production. Secondly, the physico-chemical properties are compared with respect to specific energy, energy density, as well as those properties relevant to the combustion of the fuels, i.e., autoignition delay time, adiabatic flame temperature, laminar flame speed and extinction strain rate. Results show that the physical and combustion properties significantly differ from jet fuel, except for n-octane. The results describe how the different electrofuels perform with respect to important aspects such as fuel and air mass flow rates. In addition, the results help determine mixture properties of the exhaust gas for each electrofuel. Thirdly, a turbine configuration is investigated at a constant operating point to further analyze the drop-in potential of electrofuels in aircraft engines. It is found that electrofuels can generally substitute conventional kerosene-based fuels, but have some downsides in the form of higher structural loads and potentially lower efficiencies. Finally, a preliminary comparative evaluation matrix is developed. It contains specifically those fields for the different proposed electrofuels where special challenges and problematic points are seen that need more research for potential application. Synthetically-produced n-octane is seen as a potential candidate for a future electrofuel where even a drop-in capability is given. For the other fuels, more issues need further research to allow the application as electrofuels in aviation. Specifically interesting could be the combination of hydrogen with ammonia in the far future; however, the research is just at the beginning stage.","author":[{"dropping-particle":"","family":"Goldmann","given":"Andreas","non-dropping-particle":"","parse-names":false,"suffix":""},{"dropping-particle":"","family":"Sauter","given":"Waldemar","non-dropping-particle":"","parse-names":false,"suffix":""},{"dropping-particle":"","family":"Oettinger","given":"Marcel","non-dropping-particle":"","parse-names":false,"suffix":""},{"dropping-particle":"","family":"Kluge","given":"Tim","non-dropping-particle":"","parse-names":false,"suffix":""},{"dropping-particle":"","family":"Schröder","given":"Uwe","non-dropping-particle":"","parse-names":false,"suffix":""},{"dropping-particle":"","family":"Seume","given":"Joerg","non-dropping-particle":"","parse-names":false,"suffix":""},{"dropping-particle":"","family":"Friedrichs","given":"Jens","non-dropping-particle":"","parse-names":false,"suffix":""},{"dropping-particle":"","family":"Dinkelacker","given":"Friedrich","non-dropping-particle":"","parse-names":false,"suffix":""}],"container-title":"Energies","id":"ITEM-1","issue":"2","issued":{"date-parts":[["2018","2","8"]]},"page":"392","publisher":"MDPI AG","title":"A Study on Electrofuels in Aviation","type":"article-journal","volume":"11"},"uris":["http://www.mendeley.com/documents/?uuid=f9331192-d0e6-3153-b3b7-8464182babd3"]}],"mendeley":{"formattedCitation":"[85]","plainTextFormattedCitation":"[85]","previouslyFormattedCitation":"[85]"},"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[85]</w:t>
            </w:r>
            <w:r w:rsidRPr="00872636">
              <w:rPr>
                <w:rFonts w:ascii="Times New Roman" w:hAnsi="Times New Roman" w:cs="Times New Roman"/>
                <w:sz w:val="24"/>
                <w:szCs w:val="24"/>
                <w:lang w:eastAsia="en-GB"/>
              </w:rPr>
              <w:fldChar w:fldCharType="end"/>
            </w:r>
            <w:r w:rsidR="00214736" w:rsidRPr="00872636">
              <w:rPr>
                <w:rFonts w:ascii="Times New Roman" w:hAnsi="Times New Roman" w:cs="Times New Roman"/>
                <w:sz w:val="24"/>
                <w:szCs w:val="24"/>
                <w:lang w:eastAsia="en-GB"/>
              </w:rPr>
              <w:t xml:space="preserve">, ** source </w:t>
            </w:r>
            <w:r w:rsidR="00214736"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{"citationItems":[{"id":"ITEM-1","itemData":{"DOI":"10.1016/j.ijhydene.2016.12.119","ISSN":"03603199","abstract":"In the present study, hydrogen and some other alternative fuels (such as ammonia, methanol, ethanol, liquefied natural gas) are considered for aviation applications under a comprehensive life cycle assessment study and are evaluated comparatively with the conventional kerosene based jet fuel for various impact categories. Therefore, this study is performed with a well-to-wake approach to evaluate the overall life cycle of an aircraft running on these conventional and alternative fuels. Both conventional and renewable fuel routes are considered for the production of ammonia and hydrogen fuels. Although there are modifications required to fulfill the aviation fuel specifications for such alternative fuels, the long term viability and environmental sustainability make them attractive solutions for the future of aviation industry. This study uses a life cycle assessment of an average aircraft utilizing various alternative aviation fuels to determine the relative environmental impact of each life cycle phase. The life cycle phases included in the analyses are as follows: (i) production, operation and maintenance of the aircraft, (ii) construction, maintenance and disposal of the airport, (iii) production, transportation and utilization of the aviation fuel in the aircraft. The results show that hydrogen and liquefied natural gas represent more environmentally benign alternatives although fuel costs are higher compared to ammonia, jet fuel and methanol. The total GHG emissions from hydropower based ammonia and hydrogen are calculated to be about 0.24 kg CO2 eq. per traveled tonne-km and 0.03 kg CO2 eq. per traveled tonne-km, respectively. Renewable based ammonia and hydrogen fueled aircrafts can further decrease the overall environmental impact in many categories allowing a brighter future for aviation industry.","author":[{"dropping-particle":"","family":"Bicer","given":"Yusuf","non-dropping-particle":"","parse-names":false,"suffix":""},{"dropping-particle":"","family":"Dincer","given":"Ibrahim","non-dropping-particle":"","parse-names":false,"suffix":""}],"container-title":"International Journal of Hydrogen Energy","id":"ITEM-1","issue":"16","issued":{"date-parts":[["2017","4","20"]]},"page":"10722-10738","publisher":"Elsevier Ltd","title":"Life cycle evaluation of hydrogen and other potential fuels for aircrafts","type":"article-journal","volume":"42"},"uris":["http://www.mendeley.com/documents/?uuid=2a2cc1c3-f7c4-37da-9506-37d410e87790"]},{"id":"ITEM-2","itemData":{"URL":"https://greet.es.anl.gov/","author":[{"dropping-particle":"","family":"ANL","given":"","non-dropping-particle":"","parse-names":false,"suffix":""}],"container-title":"Argonne National Laboratory","edition":"2018","id":"ITEM-2","issued":{"date-parts":[["2021"]]},"publisher":"Argonne National Laboratory","title":"GREET 2021","type":"webpage"},"uris":["http://www.mendeley.com/documents/?uuid=949e8eba-2cad-421a-bac5-b87b571833ac"]}],"mendeley":{"formattedCitation":"[2], [13]","plainTextFormattedCitation":"[2], [13]","previouslyFormattedCitation":"[2], [13]"},"properties":{"noteIndex":0},"schema":"https://github.com/citation-style-language/schema/raw/master/csl-citation.json"}</w:instrText>
            </w:r>
            <w:r w:rsidR="00214736"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[2], [13]</w:t>
            </w:r>
            <w:r w:rsidR="00214736" w:rsidRPr="00872636">
              <w:rPr>
                <w:rFonts w:ascii="Times New Roman" w:hAnsi="Times New Roman" w:cs="Times New Roman"/>
                <w:sz w:val="24"/>
                <w:szCs w:val="24"/>
                <w:lang w:eastAsia="en-GB"/>
              </w:rPr>
              <w:fldChar w:fldCharType="end"/>
            </w:r>
          </w:p>
        </w:tc>
      </w:tr>
    </w:tbl>
    <w:p w14:paraId="54140D4D" w14:textId="1B31E9CA" w:rsidR="00F62F6B" w:rsidRPr="00872636" w:rsidRDefault="00F62F6B" w:rsidP="00F62F6B">
      <w:pPr>
        <w:pStyle w:val="Heading1"/>
        <w:numPr>
          <w:ilvl w:val="0"/>
          <w:numId w:val="1"/>
        </w:numPr>
        <w:spacing w:after="240" w:line="480" w:lineRule="auto"/>
        <w:rPr>
          <w:rFonts w:ascii="Times New Roman" w:eastAsia="Times New Roman" w:hAnsi="Times New Roman" w:cs="Times New Roman"/>
          <w:b/>
          <w:bCs/>
          <w:color w:val="auto"/>
          <w:sz w:val="24"/>
          <w:szCs w:val="24"/>
          <w:bdr w:val="none" w:sz="0" w:space="0" w:color="auto" w:frame="1"/>
          <w:lang w:eastAsia="en-GB"/>
        </w:rPr>
      </w:pPr>
      <w:r w:rsidRPr="00872636">
        <w:rPr>
          <w:rFonts w:ascii="Times New Roman" w:eastAsia="Times New Roman" w:hAnsi="Times New Roman" w:cs="Times New Roman"/>
          <w:b/>
          <w:bCs/>
          <w:color w:val="auto"/>
          <w:sz w:val="24"/>
          <w:szCs w:val="24"/>
          <w:bdr w:val="none" w:sz="0" w:space="0" w:color="auto" w:frame="1"/>
          <w:lang w:eastAsia="en-GB"/>
        </w:rPr>
        <w:lastRenderedPageBreak/>
        <w:t>Thermodynamic cycle analysis of a turbofan engine</w:t>
      </w:r>
    </w:p>
    <w:p w14:paraId="204F359D" w14:textId="77777777" w:rsidR="00F62F6B" w:rsidRPr="00A07220" w:rsidRDefault="00F62F6B" w:rsidP="00F62F6B">
      <w:pPr>
        <w:pStyle w:val="Heading2"/>
        <w:spacing w:after="240" w:line="480" w:lineRule="auto"/>
        <w:rPr>
          <w:rFonts w:ascii="Times New Roman" w:hAnsi="Times New Roman" w:cs="Times New Roman"/>
          <w:color w:val="auto"/>
          <w:sz w:val="24"/>
          <w:szCs w:val="24"/>
          <w:lang w:eastAsia="en-GB"/>
        </w:rPr>
      </w:pPr>
      <w:r w:rsidRPr="002201D7">
        <w:rPr>
          <w:rFonts w:ascii="Times New Roman" w:hAnsi="Times New Roman" w:cs="Times New Roman"/>
          <w:color w:val="auto"/>
          <w:sz w:val="24"/>
          <w:szCs w:val="24"/>
          <w:lang w:eastAsia="en-GB"/>
        </w:rPr>
        <w:t>Overall efficiency and lost-fuel facto</w:t>
      </w:r>
      <w:r w:rsidRPr="00A07220">
        <w:rPr>
          <w:rFonts w:ascii="Times New Roman" w:hAnsi="Times New Roman" w:cs="Times New Roman"/>
          <w:color w:val="auto"/>
          <w:sz w:val="24"/>
          <w:szCs w:val="24"/>
          <w:lang w:eastAsia="en-GB"/>
        </w:rPr>
        <w:t>rs</w:t>
      </w:r>
    </w:p>
    <w:p w14:paraId="19C89E6E" w14:textId="77777777" w:rsidR="00F62F6B" w:rsidRPr="00CE68A4" w:rsidRDefault="00F62F6B" w:rsidP="00F62F6B">
      <w:pPr>
        <w:spacing w:line="480" w:lineRule="auto"/>
        <w:rPr>
          <w:rFonts w:ascii="Times New Roman" w:hAnsi="Times New Roman" w:cs="Times New Roman"/>
          <w:sz w:val="24"/>
          <w:szCs w:val="24"/>
          <w:lang w:eastAsia="en-GB"/>
        </w:rPr>
      </w:pPr>
      <w:r w:rsidRPr="00556067">
        <w:rPr>
          <w:rFonts w:ascii="Times New Roman" w:hAnsi="Times New Roman" w:cs="Times New Roman"/>
          <w:sz w:val="24"/>
          <w:szCs w:val="24"/>
          <w:lang w:eastAsia="en-GB"/>
        </w:rPr>
        <w:t>Overall efficiency:</w:t>
      </w:r>
    </w:p>
    <w:p w14:paraId="4072A5FF" w14:textId="06F71CF3" w:rsidR="00F62F6B" w:rsidRPr="00A07220" w:rsidRDefault="00F62F6B" w:rsidP="00F62F6B">
      <w:pPr>
        <w:tabs>
          <w:tab w:val="left" w:pos="567"/>
        </w:tabs>
        <w:spacing w:after="0" w:line="480" w:lineRule="auto"/>
        <w:ind w:right="-46"/>
        <w:jc w:val="both"/>
        <w:rPr>
          <w:rFonts w:ascii="Times New Roman" w:hAnsi="Times New Roman" w:cs="Times New Roman"/>
          <w:sz w:val="24"/>
          <w:szCs w:val="24"/>
          <w:lang w:eastAsia="en-GB"/>
        </w:rPr>
      </w:pPr>
      <w:r w:rsidRPr="007D699F">
        <w:rPr>
          <w:rFonts w:ascii="Times New Roman" w:hAnsi="Times New Roman" w:cs="Times New Roman"/>
          <w:sz w:val="24"/>
          <w:szCs w:val="24"/>
          <w:lang w:eastAsia="en-GB"/>
        </w:rPr>
        <w:tab/>
        <w:t xml:space="preserve">Table </w:t>
      </w:r>
      <w:r w:rsidR="00E57EC3">
        <w:rPr>
          <w:rFonts w:ascii="Times New Roman" w:hAnsi="Times New Roman" w:cs="Times New Roman"/>
          <w:sz w:val="24"/>
          <w:szCs w:val="24"/>
          <w:lang w:eastAsia="en-GB"/>
        </w:rPr>
        <w:t>SI</w:t>
      </w:r>
      <w:r w:rsidR="00E57EC3" w:rsidRPr="002201D7">
        <w:rPr>
          <w:rFonts w:ascii="Times New Roman" w:hAnsi="Times New Roman" w:cs="Times New Roman"/>
          <w:sz w:val="24"/>
          <w:szCs w:val="24"/>
          <w:lang w:eastAsia="en-GB"/>
        </w:rPr>
        <w:t xml:space="preserve"> </w:t>
      </w:r>
      <w:r w:rsidR="00E57EC3">
        <w:rPr>
          <w:rFonts w:ascii="Times New Roman" w:hAnsi="Times New Roman" w:cs="Times New Roman"/>
          <w:sz w:val="24"/>
          <w:szCs w:val="24"/>
          <w:lang w:eastAsia="en-GB"/>
        </w:rPr>
        <w:t xml:space="preserve">2 </w:t>
      </w:r>
      <w:r w:rsidRPr="002201D7">
        <w:rPr>
          <w:rFonts w:ascii="Times New Roman" w:hAnsi="Times New Roman" w:cs="Times New Roman"/>
          <w:sz w:val="24"/>
          <w:szCs w:val="24"/>
          <w:lang w:eastAsia="en-GB"/>
        </w:rPr>
        <w:t xml:space="preserve">lists the properties of different alternative fuels that are considered in this study. The ratios of fuel </w:t>
      </w:r>
      <w:r w:rsidRPr="00A07220">
        <w:rPr>
          <w:rFonts w:ascii="Times New Roman" w:hAnsi="Times New Roman" w:cs="Times New Roman"/>
          <w:sz w:val="24"/>
          <w:szCs w:val="24"/>
          <w:lang w:eastAsia="en-GB"/>
        </w:rPr>
        <w:t>consumption rate of Jet-A fuel and fuel consumption rate of a given fuel (</w:t>
      </w:r>
      <m:oMath>
        <m:sSub>
          <m:sSubPr>
            <m:ctrlPr>
              <w:rPr>
                <w:rFonts w:ascii="Cambria Math" w:hAnsi="Cambria Math" w:cs="Times New Roman"/>
                <w:i/>
                <w:iCs/>
                <w:sz w:val="24"/>
                <w:szCs w:val="24"/>
                <w:lang w:eastAsia="en-GB"/>
              </w:rPr>
            </m:ctrlPr>
          </m:sSubPr>
          <m:e>
            <m:acc>
              <m:accPr>
                <m:chr m:val="̇"/>
                <m:ctrlPr>
                  <w:rPr>
                    <w:rFonts w:ascii="Cambria Math" w:hAnsi="Cambria Math" w:cs="Times New Roman"/>
                    <w:i/>
                    <w:iCs/>
                    <w:sz w:val="24"/>
                    <w:szCs w:val="24"/>
                    <w:lang w:eastAsia="en-GB"/>
                  </w:rPr>
                </m:ctrlPr>
              </m:accPr>
              <m:e>
                <m:r>
                  <w:rPr>
                    <w:rFonts w:ascii="Cambria Math" w:hAnsi="Cambria Math" w:cs="Times New Roman"/>
                    <w:sz w:val="24"/>
                    <w:szCs w:val="24"/>
                    <w:lang w:eastAsia="en-GB"/>
                  </w:rPr>
                  <m:t>m</m:t>
                </m:r>
              </m:e>
            </m:acc>
          </m:e>
          <m:sub>
            <m:r>
              <m:rPr>
                <m:sty m:val="p"/>
              </m:rPr>
              <w:rPr>
                <w:rFonts w:ascii="Cambria Math" w:hAnsi="Cambria Math" w:cs="Times New Roman"/>
                <w:sz w:val="24"/>
                <w:szCs w:val="24"/>
                <w:lang w:eastAsia="en-GB"/>
              </w:rPr>
              <m:t>f,Jet-A</m:t>
            </m:r>
          </m:sub>
        </m:sSub>
      </m:oMath>
      <w:r w:rsidRPr="002201D7">
        <w:rPr>
          <w:rFonts w:ascii="Times New Roman" w:hAnsi="Times New Roman" w:cs="Times New Roman"/>
          <w:sz w:val="24"/>
          <w:szCs w:val="24"/>
          <w:lang w:eastAsia="en-GB"/>
        </w:rPr>
        <w:t xml:space="preserve">/ </w:t>
      </w:r>
      <m:oMath>
        <m:sSub>
          <m:sSubPr>
            <m:ctrlPr>
              <w:rPr>
                <w:rFonts w:ascii="Cambria Math" w:hAnsi="Cambria Math" w:cs="Times New Roman"/>
                <w:i/>
                <w:iCs/>
                <w:sz w:val="24"/>
                <w:szCs w:val="24"/>
                <w:lang w:eastAsia="en-GB"/>
              </w:rPr>
            </m:ctrlPr>
          </m:sSubPr>
          <m:e>
            <m:acc>
              <m:accPr>
                <m:chr m:val="̇"/>
                <m:ctrlPr>
                  <w:rPr>
                    <w:rFonts w:ascii="Cambria Math" w:hAnsi="Cambria Math" w:cs="Times New Roman"/>
                    <w:i/>
                    <w:iCs/>
                    <w:sz w:val="24"/>
                    <w:szCs w:val="24"/>
                    <w:lang w:eastAsia="en-GB"/>
                  </w:rPr>
                </m:ctrlPr>
              </m:accPr>
              <m:e>
                <m:r>
                  <w:rPr>
                    <w:rFonts w:ascii="Cambria Math" w:hAnsi="Cambria Math" w:cs="Times New Roman"/>
                    <w:sz w:val="24"/>
                    <w:szCs w:val="24"/>
                    <w:lang w:eastAsia="en-GB"/>
                  </w:rPr>
                  <m:t>m</m:t>
                </m:r>
              </m:e>
            </m:acc>
          </m:e>
          <m:sub>
            <m:r>
              <m:rPr>
                <m:sty m:val="p"/>
              </m:rPr>
              <w:rPr>
                <w:rFonts w:ascii="Cambria Math" w:hAnsi="Cambria Math" w:cs="Times New Roman"/>
                <w:sz w:val="24"/>
                <w:szCs w:val="24"/>
                <w:lang w:eastAsia="en-GB"/>
              </w:rPr>
              <m:t>f</m:t>
            </m:r>
          </m:sub>
        </m:sSub>
      </m:oMath>
      <w:r w:rsidRPr="002201D7">
        <w:rPr>
          <w:rFonts w:ascii="Times New Roman" w:hAnsi="Times New Roman" w:cs="Times New Roman"/>
          <w:sz w:val="24"/>
          <w:szCs w:val="24"/>
          <w:lang w:eastAsia="en-GB"/>
        </w:rPr>
        <w:t>) for Je</w:t>
      </w:r>
      <w:r w:rsidRPr="00A07220">
        <w:rPr>
          <w:rFonts w:ascii="Times New Roman" w:hAnsi="Times New Roman" w:cs="Times New Roman"/>
          <w:sz w:val="24"/>
          <w:szCs w:val="24"/>
          <w:lang w:eastAsia="en-GB"/>
        </w:rPr>
        <w:t>t-A, 100% SPK, LH</w:t>
      </w:r>
      <w:r w:rsidRPr="00A07220">
        <w:rPr>
          <w:rFonts w:ascii="Times New Roman" w:hAnsi="Times New Roman" w:cs="Times New Roman"/>
          <w:sz w:val="24"/>
          <w:szCs w:val="24"/>
          <w:vertAlign w:val="subscript"/>
          <w:lang w:eastAsia="en-GB"/>
        </w:rPr>
        <w:t>2</w:t>
      </w:r>
      <w:r w:rsidRPr="00556067">
        <w:rPr>
          <w:rFonts w:ascii="Times New Roman" w:hAnsi="Times New Roman" w:cs="Times New Roman"/>
          <w:sz w:val="24"/>
          <w:szCs w:val="24"/>
          <w:lang w:eastAsia="en-GB"/>
        </w:rPr>
        <w:t xml:space="preserve"> and LNG are calculated at engine design point using GasTurb 13 software. An overview of GasTurb</w:t>
      </w:r>
      <w:r w:rsidRPr="00CE68A4">
        <w:rPr>
          <w:rFonts w:ascii="Times New Roman" w:hAnsi="Times New Roman" w:cs="Times New Roman"/>
          <w:sz w:val="24"/>
          <w:szCs w:val="24"/>
          <w:lang w:eastAsia="en-GB"/>
        </w:rPr>
        <w:t xml:space="preserve"> 13 software for cycle design and optimization is provided in SI §2. A turbofan engine in GasTurb 13 is operated for same thrust production (equal to Jet-A</w:t>
      </w:r>
      <w:r w:rsidRPr="007D699F">
        <w:rPr>
          <w:rFonts w:ascii="Times New Roman" w:hAnsi="Times New Roman" w:cs="Times New Roman"/>
          <w:sz w:val="24"/>
          <w:szCs w:val="24"/>
          <w:lang w:eastAsia="en-GB"/>
        </w:rPr>
        <w:t>) at typical cruise altitude and Mach (35,000 ft [10.67 km] at Mach 0.85) using 100% SPK, LH</w:t>
      </w:r>
      <w:r w:rsidRPr="007D699F">
        <w:rPr>
          <w:rFonts w:ascii="Times New Roman" w:hAnsi="Times New Roman" w:cs="Times New Roman"/>
          <w:sz w:val="24"/>
          <w:szCs w:val="24"/>
          <w:vertAlign w:val="subscript"/>
          <w:lang w:eastAsia="en-GB"/>
        </w:rPr>
        <w:t>2</w:t>
      </w:r>
      <w:r w:rsidRPr="007D699F">
        <w:rPr>
          <w:rFonts w:ascii="Times New Roman" w:hAnsi="Times New Roman" w:cs="Times New Roman"/>
          <w:sz w:val="24"/>
          <w:szCs w:val="24"/>
          <w:lang w:eastAsia="en-GB"/>
        </w:rPr>
        <w:t>, and LNG (separately), and the said ratios are calculated. Additionally, for LH</w:t>
      </w:r>
      <w:r w:rsidRPr="007D699F">
        <w:rPr>
          <w:rFonts w:ascii="Times New Roman" w:hAnsi="Times New Roman" w:cs="Times New Roman"/>
          <w:sz w:val="24"/>
          <w:szCs w:val="24"/>
          <w:vertAlign w:val="subscript"/>
          <w:lang w:eastAsia="en-GB"/>
        </w:rPr>
        <w:t>2</w:t>
      </w:r>
      <w:r w:rsidRPr="007D699F">
        <w:rPr>
          <w:rFonts w:ascii="Times New Roman" w:hAnsi="Times New Roman" w:cs="Times New Roman"/>
          <w:sz w:val="24"/>
          <w:szCs w:val="24"/>
          <w:lang w:eastAsia="en-GB"/>
        </w:rPr>
        <w:t xml:space="preserve"> this ratio is also known from literature </w:t>
      </w:r>
      <w:r w:rsidRPr="002201D7">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{"citationItems":[{"id":"ITEM-1","itemData":{"author":[{"dropping-particle":"","family":"Verstraete","given":"Dries","non-dropping-particle":"","parse-names":false,"suffix":""}],"id":"ITEM-1","issued":{"date-parts":[["2009"]]},"publisher":"Cranfield University","title":"The Potential of Liquid Hydrogen for long range aircraft propulsion","type":"report"},"uris":["http://www.mendeley.com/documents/?uuid=b6f425eb-0719-3b8b-955c-5bc2a00e9eb9"]}],"mendeley":{"formattedCitation":"[86]","plainTextFormattedCitation":"[86]","previouslyFormattedCitation":"[86]"},"properties":{"noteIndex":0},"schema":"https://github.com/citation-style-language/schema/raw/master/csl-citation.json"}</w:instrText>
      </w:r>
      <w:r w:rsidRPr="002201D7">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[86]</w:t>
      </w:r>
      <w:r w:rsidRPr="002201D7">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Ethanol, methanol and LNH</w:t>
      </w:r>
      <w:r w:rsidRPr="00A07220">
        <w:rPr>
          <w:rFonts w:ascii="Times New Roman" w:hAnsi="Times New Roman" w:cs="Times New Roman"/>
          <w:sz w:val="24"/>
          <w:szCs w:val="24"/>
          <w:vertAlign w:val="subscript"/>
          <w:lang w:eastAsia="en-GB"/>
        </w:rPr>
        <w:t>3</w:t>
      </w:r>
      <w:r w:rsidRPr="00A07220">
        <w:rPr>
          <w:rFonts w:ascii="Times New Roman" w:hAnsi="Times New Roman" w:cs="Times New Roman"/>
          <w:sz w:val="24"/>
          <w:szCs w:val="24"/>
          <w:lang w:eastAsia="en-GB"/>
        </w:rPr>
        <w:t xml:space="preserve"> are unavailable fu</w:t>
      </w:r>
      <w:r w:rsidRPr="00556067">
        <w:rPr>
          <w:rFonts w:ascii="Times New Roman" w:hAnsi="Times New Roman" w:cs="Times New Roman"/>
          <w:sz w:val="24"/>
          <w:szCs w:val="24"/>
          <w:lang w:eastAsia="en-GB"/>
        </w:rPr>
        <w:t>els in GasTurb 13 software. For methanol and LNH</w:t>
      </w:r>
      <w:r w:rsidRPr="00CE68A4">
        <w:rPr>
          <w:rFonts w:ascii="Times New Roman" w:hAnsi="Times New Roman" w:cs="Times New Roman"/>
          <w:sz w:val="24"/>
          <w:szCs w:val="24"/>
          <w:vertAlign w:val="subscript"/>
          <w:lang w:eastAsia="en-GB"/>
        </w:rPr>
        <w:t>3</w:t>
      </w:r>
      <w:r w:rsidRPr="007D699F">
        <w:rPr>
          <w:rFonts w:ascii="Times New Roman" w:hAnsi="Times New Roman" w:cs="Times New Roman"/>
          <w:sz w:val="24"/>
          <w:szCs w:val="24"/>
          <w:lang w:eastAsia="en-GB"/>
        </w:rPr>
        <w:t xml:space="preserve"> the said ratios are known from literature </w:t>
      </w:r>
      <w:r w:rsidRPr="002201D7">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{"citationItems":[{"id":"ITEM-1","itemData":{"DOI":"10.3390/en11020392","ISSN":"1996-1073","abstract":"With the growth of aviation traffic and the demand for emission reduction, alternative fuels like the so-called electrofuels could comprise a sustainable solution. Electrofuels are understood as those that use renewable energy for fuel synthesis and that are carbon-neutral with respect to greenhouse gas emission. In this study, five potential electrofuels are discussed with respect to the potential application as aviation fuels, being n-octane, methanol, methane, hydrogen and ammonia, and compared to conventional Jet A-1 fuel. Three important aspects are illuminated. Firstly, the synthesis process of the electrofuel is described with its technological paths, its energy efficiency and the maturity or research need of the production. Secondly, the physico-chemical properties are compared with respect to specific energy, energy density, as well as those properties relevant to the combustion of the fuels, i.e., autoignition delay time, adiabatic flame temperature, laminar flame speed and extinction strain rate. Results show that the physical and combustion properties significantly differ from jet fuel, except for n-octane. The results describe how the different electrofuels perform with respect to important aspects such as fuel and air mass flow rates. In addition, the results help determine mixture properties of the exhaust gas for each electrofuel. Thirdly, a turbine configuration is investigated at a constant operating point to further analyze the drop-in potential of electrofuels in aircraft engines. It is found that electrofuels can generally substitute conventional kerosene-based fuels, but have some downsides in the form of higher structural loads and potentially lower efficiencies. Finally, a preliminary comparative evaluation matrix is developed. It contains specifically those fields for the different proposed electrofuels where special challenges and problematic points are seen that need more research for potential application. Synthetically-produced n-octane is seen as a potential candidate for a future electrofuel where even a drop-in capability is given. For the other fuels, more issues need further research to allow the application as electrofuels in aviation. Specifically interesting could be the combination of hydrogen with ammonia in the far future; however, the research is just at the beginning stage.","author":[{"dropping-particle":"","family":"Goldmann","given":"Andreas","non-dropping-particle":"","parse-names":false,"suffix":""},{"dropping-particle":"","family":"Sauter","given":"Waldemar","non-dropping-particle":"","parse-names":false,"suffix":""},{"dropping-particle":"","family":"Oettinger","given":"Marcel","non-dropping-particle":"","parse-names":false,"suffix":""},{"dropping-particle":"","family":"Kluge","given":"Tim","non-dropping-particle":"","parse-names":false,"suffix":""},{"dropping-particle":"","family":"Schröder","given":"Uwe","non-dropping-particle":"","parse-names":false,"suffix":""},{"dropping-particle":"","family":"Seume","given":"Joerg","non-dropping-particle":"","parse-names":false,"suffix":""},{"dropping-particle":"","family":"Friedrichs","given":"Jens","non-dropping-particle":"","parse-names":false,"suffix":""},{"dropping-particle":"","family":"Dinkelacker","given":"Friedrich","non-dropping-particle":"","parse-names":false,"suffix":""}],"container-title":"Energies","id":"ITEM-1","issue":"2","issued":{"date-parts":[["2018","2","8"]]},"page":"392","publisher":"MDPI AG","title":"A Study on Electrofuels in Aviation","type":"article-journal","volume":"11"},"uris":["http://www.mendeley.com/documents/?uuid=f9331192-d0e6-3153-b3b7-8464182babd3"]}],"mendeley":{"formattedCitation":"[85]","plainTextFormattedCitation":"[85]","previouslyFormattedCitation":"[85]"},"properties":{"noteIndex":0},"schema":"https://github.com/citation-style-language/schema/raw/master/csl-citation.json"}</w:instrText>
      </w:r>
      <w:r w:rsidRPr="002201D7">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[85]</w:t>
      </w:r>
      <w:r w:rsidRPr="002201D7">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xml:space="preserve">. The ratio </w:t>
      </w:r>
      <m:oMath>
        <m:sSub>
          <m:sSubPr>
            <m:ctrlPr>
              <w:rPr>
                <w:rFonts w:ascii="Cambria Math" w:hAnsi="Cambria Math" w:cs="Times New Roman"/>
                <w:i/>
                <w:iCs/>
                <w:sz w:val="24"/>
                <w:szCs w:val="24"/>
                <w:lang w:eastAsia="en-GB"/>
              </w:rPr>
            </m:ctrlPr>
          </m:sSubPr>
          <m:e>
            <m:acc>
              <m:accPr>
                <m:chr m:val="̇"/>
                <m:ctrlPr>
                  <w:rPr>
                    <w:rFonts w:ascii="Cambria Math" w:hAnsi="Cambria Math" w:cs="Times New Roman"/>
                    <w:i/>
                    <w:iCs/>
                    <w:sz w:val="24"/>
                    <w:szCs w:val="24"/>
                    <w:lang w:eastAsia="en-GB"/>
                  </w:rPr>
                </m:ctrlPr>
              </m:accPr>
              <m:e>
                <m:r>
                  <w:rPr>
                    <w:rFonts w:ascii="Cambria Math" w:hAnsi="Cambria Math" w:cs="Times New Roman"/>
                    <w:sz w:val="24"/>
                    <w:szCs w:val="24"/>
                    <w:lang w:eastAsia="en-GB"/>
                  </w:rPr>
                  <m:t>m</m:t>
                </m:r>
              </m:e>
            </m:acc>
          </m:e>
          <m:sub>
            <m:r>
              <m:rPr>
                <m:sty m:val="p"/>
              </m:rPr>
              <w:rPr>
                <w:rFonts w:ascii="Cambria Math" w:hAnsi="Cambria Math" w:cs="Times New Roman"/>
                <w:sz w:val="24"/>
                <w:szCs w:val="24"/>
                <w:lang w:eastAsia="en-GB"/>
              </w:rPr>
              <m:t>f,Jet-A</m:t>
            </m:r>
          </m:sub>
        </m:sSub>
      </m:oMath>
      <w:r w:rsidRPr="002201D7">
        <w:rPr>
          <w:rFonts w:ascii="Times New Roman" w:hAnsi="Times New Roman" w:cs="Times New Roman"/>
          <w:sz w:val="24"/>
          <w:szCs w:val="24"/>
          <w:lang w:eastAsia="en-GB"/>
        </w:rPr>
        <w:t xml:space="preserve">/ </w:t>
      </w:r>
      <m:oMath>
        <m:sSub>
          <m:sSubPr>
            <m:ctrlPr>
              <w:rPr>
                <w:rFonts w:ascii="Cambria Math" w:hAnsi="Cambria Math" w:cs="Times New Roman"/>
                <w:i/>
                <w:iCs/>
                <w:sz w:val="24"/>
                <w:szCs w:val="24"/>
                <w:lang w:eastAsia="en-GB"/>
              </w:rPr>
            </m:ctrlPr>
          </m:sSubPr>
          <m:e>
            <m:acc>
              <m:accPr>
                <m:chr m:val="̇"/>
                <m:ctrlPr>
                  <w:rPr>
                    <w:rFonts w:ascii="Cambria Math" w:hAnsi="Cambria Math" w:cs="Times New Roman"/>
                    <w:i/>
                    <w:iCs/>
                    <w:sz w:val="24"/>
                    <w:szCs w:val="24"/>
                    <w:lang w:eastAsia="en-GB"/>
                  </w:rPr>
                </m:ctrlPr>
              </m:accPr>
              <m:e>
                <m:r>
                  <w:rPr>
                    <w:rFonts w:ascii="Cambria Math" w:hAnsi="Cambria Math" w:cs="Times New Roman"/>
                    <w:sz w:val="24"/>
                    <w:szCs w:val="24"/>
                    <w:lang w:eastAsia="en-GB"/>
                  </w:rPr>
                  <m:t>m</m:t>
                </m:r>
              </m:e>
            </m:acc>
          </m:e>
          <m:sub>
            <m:r>
              <m:rPr>
                <m:sty m:val="p"/>
              </m:rPr>
              <w:rPr>
                <w:rFonts w:ascii="Cambria Math" w:hAnsi="Cambria Math" w:cs="Times New Roman"/>
                <w:sz w:val="24"/>
                <w:szCs w:val="24"/>
                <w:lang w:eastAsia="en-GB"/>
              </w:rPr>
              <m:t>f</m:t>
            </m:r>
          </m:sub>
        </m:sSub>
        <m:r>
          <w:rPr>
            <w:rFonts w:ascii="Cambria Math" w:hAnsi="Cambria Math" w:cs="Times New Roman"/>
            <w:sz w:val="24"/>
            <w:szCs w:val="24"/>
            <w:lang w:eastAsia="en-GB"/>
          </w:rPr>
          <m:t xml:space="preserve"> </m:t>
        </m:r>
      </m:oMath>
      <w:r w:rsidRPr="002201D7">
        <w:rPr>
          <w:rFonts w:ascii="Times New Roman" w:hAnsi="Times New Roman" w:cs="Times New Roman"/>
          <w:sz w:val="24"/>
          <w:szCs w:val="24"/>
          <w:lang w:eastAsia="en-GB"/>
        </w:rPr>
        <w:t>is not known for ethanol from literature. This ratio is calculated for ethanol as described below after assuming the ratio of overall efficiency for a given fuel case and overall efficiency for Jet-A (</w:t>
      </w:r>
      <w:r w:rsidRPr="00A07220">
        <w:rPr>
          <w:rFonts w:ascii="Times New Roman" w:hAnsi="Times New Roman" w:cs="Times New Roman"/>
          <w:i/>
          <w:iCs/>
          <w:sz w:val="24"/>
          <w:szCs w:val="24"/>
          <w:lang w:eastAsia="en-GB"/>
        </w:rPr>
        <w:t>η</w:t>
      </w:r>
      <w:r w:rsidRPr="00556067">
        <w:rPr>
          <w:rFonts w:ascii="Times New Roman" w:hAnsi="Times New Roman" w:cs="Times New Roman"/>
          <w:sz w:val="24"/>
          <w:szCs w:val="24"/>
          <w:vertAlign w:val="subscript"/>
          <w:lang w:eastAsia="en-GB"/>
        </w:rPr>
        <w:t xml:space="preserve">o,f </w:t>
      </w:r>
      <w:r w:rsidRPr="00556067">
        <w:rPr>
          <w:rFonts w:ascii="Times New Roman" w:hAnsi="Times New Roman" w:cs="Times New Roman"/>
          <w:sz w:val="24"/>
          <w:szCs w:val="24"/>
          <w:lang w:eastAsia="en-GB"/>
        </w:rPr>
        <w:t xml:space="preserve">/ </w:t>
      </w:r>
      <w:r w:rsidRPr="00CE68A4">
        <w:rPr>
          <w:rFonts w:ascii="Times New Roman" w:hAnsi="Times New Roman" w:cs="Times New Roman"/>
          <w:i/>
          <w:iCs/>
          <w:sz w:val="24"/>
          <w:szCs w:val="24"/>
          <w:lang w:eastAsia="en-GB"/>
        </w:rPr>
        <w:t>η</w:t>
      </w:r>
      <w:r w:rsidRPr="00CE68A4">
        <w:rPr>
          <w:rFonts w:ascii="Times New Roman" w:hAnsi="Times New Roman" w:cs="Times New Roman"/>
          <w:sz w:val="24"/>
          <w:szCs w:val="24"/>
          <w:vertAlign w:val="subscript"/>
          <w:lang w:eastAsia="en-GB"/>
        </w:rPr>
        <w:t>o,Jet-A</w:t>
      </w:r>
      <w:r w:rsidRPr="007D699F">
        <w:rPr>
          <w:rFonts w:ascii="Times New Roman" w:hAnsi="Times New Roman" w:cs="Times New Roman"/>
          <w:sz w:val="24"/>
          <w:szCs w:val="24"/>
          <w:lang w:eastAsia="en-GB"/>
        </w:rPr>
        <w:t xml:space="preserve">). </w:t>
      </w:r>
      <w:r w:rsidRPr="007D699F">
        <w:rPr>
          <w:rFonts w:ascii="Times New Roman" w:hAnsi="Times New Roman" w:cs="Times New Roman"/>
          <w:i/>
          <w:iCs/>
          <w:sz w:val="24"/>
          <w:szCs w:val="24"/>
          <w:lang w:eastAsia="en-GB"/>
        </w:rPr>
        <w:t>η</w:t>
      </w:r>
      <w:r w:rsidRPr="007D699F">
        <w:rPr>
          <w:rFonts w:ascii="Times New Roman" w:hAnsi="Times New Roman" w:cs="Times New Roman"/>
          <w:sz w:val="24"/>
          <w:szCs w:val="24"/>
          <w:vertAlign w:val="subscript"/>
          <w:lang w:eastAsia="en-GB"/>
        </w:rPr>
        <w:t>o</w:t>
      </w:r>
      <w:r w:rsidRPr="007D699F">
        <w:rPr>
          <w:rFonts w:ascii="Times New Roman" w:hAnsi="Times New Roman" w:cs="Times New Roman"/>
          <w:sz w:val="24"/>
          <w:szCs w:val="24"/>
          <w:lang w:eastAsia="en-GB"/>
        </w:rPr>
        <w:t xml:space="preserve"> is defined as the ratio of the propulsive power (product of thrust and velocity) to the fuel power (</w:t>
      </w:r>
      <m:oMath>
        <m:sSub>
          <m:sSubPr>
            <m:ctrlPr>
              <w:rPr>
                <w:rFonts w:ascii="Cambria Math" w:hAnsi="Cambria Math" w:cs="Times New Roman"/>
                <w:i/>
                <w:iCs/>
                <w:sz w:val="24"/>
                <w:szCs w:val="24"/>
                <w:lang w:eastAsia="en-GB"/>
              </w:rPr>
            </m:ctrlPr>
          </m:sSubPr>
          <m:e>
            <m:acc>
              <m:accPr>
                <m:chr m:val="̇"/>
                <m:ctrlPr>
                  <w:rPr>
                    <w:rFonts w:ascii="Cambria Math" w:hAnsi="Cambria Math" w:cs="Times New Roman"/>
                    <w:i/>
                    <w:iCs/>
                    <w:sz w:val="24"/>
                    <w:szCs w:val="24"/>
                    <w:lang w:eastAsia="en-GB"/>
                  </w:rPr>
                </m:ctrlPr>
              </m:accPr>
              <m:e>
                <m:r>
                  <w:rPr>
                    <w:rFonts w:ascii="Cambria Math" w:hAnsi="Cambria Math" w:cs="Times New Roman"/>
                    <w:sz w:val="24"/>
                    <w:szCs w:val="24"/>
                    <w:lang w:eastAsia="en-GB"/>
                  </w:rPr>
                  <m:t>m</m:t>
                </m:r>
              </m:e>
            </m:acc>
          </m:e>
          <m:sub>
            <m:r>
              <m:rPr>
                <m:sty m:val="p"/>
              </m:rPr>
              <w:rPr>
                <w:rFonts w:ascii="Cambria Math" w:hAnsi="Cambria Math" w:cs="Times New Roman"/>
                <w:sz w:val="24"/>
                <w:szCs w:val="24"/>
                <w:lang w:eastAsia="en-GB"/>
              </w:rPr>
              <m:t>f</m:t>
            </m:r>
          </m:sub>
        </m:sSub>
        <m:sSub>
          <m:sSubPr>
            <m:ctrlPr>
              <w:rPr>
                <w:rFonts w:ascii="Cambria Math" w:hAnsi="Cambria Math" w:cs="Times New Roman"/>
                <w:i/>
                <w:iCs/>
                <w:sz w:val="24"/>
                <w:szCs w:val="24"/>
                <w:lang w:eastAsia="en-GB"/>
              </w:rPr>
            </m:ctrlPr>
          </m:sSubPr>
          <m:e>
            <m:r>
              <w:rPr>
                <w:rFonts w:ascii="Cambria Math" w:hAnsi="Cambria Math" w:cs="Times New Roman"/>
                <w:sz w:val="24"/>
                <w:szCs w:val="24"/>
                <w:lang w:eastAsia="en-GB"/>
              </w:rPr>
              <m:t>h</m:t>
            </m:r>
          </m:e>
          <m:sub>
            <m:r>
              <m:rPr>
                <m:sty m:val="p"/>
              </m:rPr>
              <w:rPr>
                <w:rFonts w:ascii="Cambria Math" w:hAnsi="Cambria Math" w:cs="Times New Roman"/>
                <w:sz w:val="24"/>
                <w:szCs w:val="24"/>
                <w:lang w:eastAsia="en-GB"/>
              </w:rPr>
              <m:t>f</m:t>
            </m:r>
          </m:sub>
        </m:sSub>
        <m:r>
          <m:rPr>
            <m:sty m:val="b"/>
          </m:rPr>
          <w:rPr>
            <w:rFonts w:ascii="Cambria Math" w:hAnsi="Cambria Math" w:cs="Times New Roman"/>
            <w:sz w:val="24"/>
            <w:szCs w:val="24"/>
            <w:lang w:eastAsia="en-GB"/>
          </w:rPr>
          <m:t xml:space="preserve"> </m:t>
        </m:r>
      </m:oMath>
      <w:r w:rsidRPr="002201D7">
        <w:rPr>
          <w:rFonts w:ascii="Times New Roman" w:hAnsi="Times New Roman" w:cs="Times New Roman"/>
          <w:sz w:val="24"/>
          <w:szCs w:val="24"/>
          <w:lang w:eastAsia="en-GB"/>
        </w:rPr>
        <w:t xml:space="preserve">) </w:t>
      </w:r>
      <w:r w:rsidRPr="002201D7">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{"citationItems":[{"id":"ITEM-1","itemData":{"URL":"https://web.mit.edu/16.unified/www/FALL/Unified_Concepts/Breguet-Range-U2-notes-Fall08(2).pdf","accessed":{"date-parts":[["2020","8","27"]]},"author":[{"dropping-particle":"","family":"Waitz.","given":"Ian A.","non-dropping-particle":"","parse-names":false,"suffix":""}],"container-title":"Lecture notes","id":"ITEM-1","issued":{"date-parts":[["2008"]]},"title":"Lecture: Breguet's range equation","type":"webpage"},"uris":["http://www.mendeley.com/documents/?uuid=ab7fd911-2b42-391a-9b6a-f337941278ab"]}],"mendeley":{"formattedCitation":"[87]","plainTextFormattedCitation":"[87]","previouslyFormattedCitation":"[87]"},"properties":{"noteIndex":0},"schema":"https://github.com/citation-style-language/schema/raw/master/csl-citation.json"}</w:instrText>
      </w:r>
      <w:r w:rsidRPr="002201D7">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[87]</w:t>
      </w:r>
      <w:r w:rsidRPr="002201D7">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It is assumed that the thrust production and flight speed rem</w:t>
      </w:r>
      <w:r w:rsidRPr="00A07220">
        <w:rPr>
          <w:rFonts w:ascii="Times New Roman" w:hAnsi="Times New Roman" w:cs="Times New Roman"/>
          <w:sz w:val="24"/>
          <w:szCs w:val="24"/>
          <w:lang w:eastAsia="en-GB"/>
        </w:rPr>
        <w:t xml:space="preserve">ain same for all fuel cases. The ratio </w:t>
      </w:r>
      <w:r w:rsidRPr="00556067">
        <w:rPr>
          <w:rFonts w:ascii="Times New Roman" w:hAnsi="Times New Roman" w:cs="Times New Roman"/>
          <w:i/>
          <w:iCs/>
          <w:sz w:val="24"/>
          <w:szCs w:val="24"/>
          <w:lang w:eastAsia="en-GB"/>
        </w:rPr>
        <w:t>η</w:t>
      </w:r>
      <w:r w:rsidRPr="00CE68A4">
        <w:rPr>
          <w:rFonts w:ascii="Times New Roman" w:hAnsi="Times New Roman" w:cs="Times New Roman"/>
          <w:sz w:val="24"/>
          <w:szCs w:val="24"/>
          <w:vertAlign w:val="subscript"/>
          <w:lang w:eastAsia="en-GB"/>
        </w:rPr>
        <w:t xml:space="preserve">o,f </w:t>
      </w:r>
      <w:r w:rsidRPr="007D699F">
        <w:rPr>
          <w:rFonts w:ascii="Times New Roman" w:hAnsi="Times New Roman" w:cs="Times New Roman"/>
          <w:sz w:val="24"/>
          <w:szCs w:val="24"/>
          <w:lang w:eastAsia="en-GB"/>
        </w:rPr>
        <w:t xml:space="preserve">/ </w:t>
      </w:r>
      <w:r w:rsidRPr="007D699F">
        <w:rPr>
          <w:rFonts w:ascii="Times New Roman" w:hAnsi="Times New Roman" w:cs="Times New Roman"/>
          <w:i/>
          <w:iCs/>
          <w:sz w:val="24"/>
          <w:szCs w:val="24"/>
          <w:lang w:eastAsia="en-GB"/>
        </w:rPr>
        <w:t>η</w:t>
      </w:r>
      <w:r w:rsidRPr="007D699F">
        <w:rPr>
          <w:rFonts w:ascii="Times New Roman" w:hAnsi="Times New Roman" w:cs="Times New Roman"/>
          <w:sz w:val="24"/>
          <w:szCs w:val="24"/>
          <w:vertAlign w:val="subscript"/>
          <w:lang w:eastAsia="en-GB"/>
        </w:rPr>
        <w:t>o,Jet-A</w:t>
      </w:r>
      <w:r w:rsidRPr="007D699F">
        <w:rPr>
          <w:rFonts w:ascii="Times New Roman" w:hAnsi="Times New Roman" w:cs="Times New Roman"/>
          <w:sz w:val="24"/>
          <w:szCs w:val="24"/>
          <w:lang w:eastAsia="en-GB"/>
        </w:rPr>
        <w:t xml:space="preserve"> = </w:t>
      </w:r>
      <m:oMath>
        <m:d>
          <m:dPr>
            <m:ctrlPr>
              <w:rPr>
                <w:rFonts w:ascii="Cambria Math" w:hAnsi="Cambria Math" w:cs="Times New Roman"/>
                <w:i/>
                <w:sz w:val="24"/>
                <w:szCs w:val="24"/>
                <w:lang w:eastAsia="en-GB"/>
              </w:rPr>
            </m:ctrlPr>
          </m:dPr>
          <m:e>
            <m:sSub>
              <m:sSubPr>
                <m:ctrlPr>
                  <w:rPr>
                    <w:rFonts w:ascii="Cambria Math" w:hAnsi="Cambria Math" w:cs="Times New Roman"/>
                    <w:i/>
                    <w:iCs/>
                    <w:sz w:val="24"/>
                    <w:szCs w:val="24"/>
                    <w:lang w:eastAsia="en-GB"/>
                  </w:rPr>
                </m:ctrlPr>
              </m:sSubPr>
              <m:e>
                <m:acc>
                  <m:accPr>
                    <m:chr m:val="̇"/>
                    <m:ctrlPr>
                      <w:rPr>
                        <w:rFonts w:ascii="Cambria Math" w:hAnsi="Cambria Math" w:cs="Times New Roman"/>
                        <w:i/>
                        <w:iCs/>
                        <w:sz w:val="24"/>
                        <w:szCs w:val="24"/>
                        <w:lang w:eastAsia="en-GB"/>
                      </w:rPr>
                    </m:ctrlPr>
                  </m:accPr>
                  <m:e>
                    <m:r>
                      <w:rPr>
                        <w:rFonts w:ascii="Cambria Math" w:hAnsi="Cambria Math" w:cs="Times New Roman"/>
                        <w:sz w:val="24"/>
                        <w:szCs w:val="24"/>
                        <w:lang w:eastAsia="en-GB"/>
                      </w:rPr>
                      <m:t>m</m:t>
                    </m:r>
                  </m:e>
                </m:acc>
              </m:e>
              <m:sub>
                <m:r>
                  <m:rPr>
                    <m:sty m:val="p"/>
                  </m:rPr>
                  <w:rPr>
                    <w:rFonts w:ascii="Cambria Math" w:hAnsi="Cambria Math" w:cs="Times New Roman"/>
                    <w:sz w:val="24"/>
                    <w:szCs w:val="24"/>
                    <w:lang w:eastAsia="en-GB"/>
                  </w:rPr>
                  <m:t>f,Jet-A</m:t>
                </m:r>
              </m:sub>
            </m:sSub>
            <m:sSub>
              <m:sSubPr>
                <m:ctrlPr>
                  <w:rPr>
                    <w:rFonts w:ascii="Cambria Math" w:hAnsi="Cambria Math" w:cs="Times New Roman"/>
                    <w:i/>
                    <w:iCs/>
                    <w:sz w:val="24"/>
                    <w:szCs w:val="24"/>
                    <w:lang w:eastAsia="en-GB"/>
                  </w:rPr>
                </m:ctrlPr>
              </m:sSubPr>
              <m:e>
                <m:r>
                  <w:rPr>
                    <w:rFonts w:ascii="Cambria Math" w:hAnsi="Cambria Math" w:cs="Times New Roman"/>
                    <w:sz w:val="24"/>
                    <w:szCs w:val="24"/>
                    <w:lang w:eastAsia="en-GB"/>
                  </w:rPr>
                  <m:t>h</m:t>
                </m:r>
              </m:e>
              <m:sub>
                <m:r>
                  <m:rPr>
                    <m:sty m:val="p"/>
                  </m:rPr>
                  <w:rPr>
                    <w:rFonts w:ascii="Cambria Math" w:hAnsi="Cambria Math" w:cs="Times New Roman"/>
                    <w:sz w:val="24"/>
                    <w:szCs w:val="24"/>
                    <w:lang w:eastAsia="en-GB"/>
                  </w:rPr>
                  <m:t>Jet-A</m:t>
                </m:r>
              </m:sub>
            </m:sSub>
          </m:e>
        </m:d>
      </m:oMath>
      <w:r w:rsidRPr="002201D7">
        <w:rPr>
          <w:rFonts w:ascii="Times New Roman" w:hAnsi="Times New Roman" w:cs="Times New Roman"/>
          <w:sz w:val="24"/>
          <w:szCs w:val="24"/>
          <w:lang w:eastAsia="en-GB"/>
        </w:rPr>
        <w:t xml:space="preserve">/ </w:t>
      </w:r>
      <m:oMath>
        <m:d>
          <m:dPr>
            <m:ctrlPr>
              <w:rPr>
                <w:rFonts w:ascii="Cambria Math" w:hAnsi="Cambria Math" w:cs="Times New Roman"/>
                <w:i/>
                <w:sz w:val="24"/>
                <w:szCs w:val="24"/>
                <w:lang w:eastAsia="en-GB"/>
              </w:rPr>
            </m:ctrlPr>
          </m:dPr>
          <m:e>
            <m:sSub>
              <m:sSubPr>
                <m:ctrlPr>
                  <w:rPr>
                    <w:rFonts w:ascii="Cambria Math" w:hAnsi="Cambria Math" w:cs="Times New Roman"/>
                    <w:i/>
                    <w:iCs/>
                    <w:sz w:val="24"/>
                    <w:szCs w:val="24"/>
                    <w:lang w:eastAsia="en-GB"/>
                  </w:rPr>
                </m:ctrlPr>
              </m:sSubPr>
              <m:e>
                <m:acc>
                  <m:accPr>
                    <m:chr m:val="̇"/>
                    <m:ctrlPr>
                      <w:rPr>
                        <w:rFonts w:ascii="Cambria Math" w:hAnsi="Cambria Math" w:cs="Times New Roman"/>
                        <w:i/>
                        <w:iCs/>
                        <w:sz w:val="24"/>
                        <w:szCs w:val="24"/>
                        <w:lang w:eastAsia="en-GB"/>
                      </w:rPr>
                    </m:ctrlPr>
                  </m:accPr>
                  <m:e>
                    <m:r>
                      <w:rPr>
                        <w:rFonts w:ascii="Cambria Math" w:hAnsi="Cambria Math" w:cs="Times New Roman"/>
                        <w:sz w:val="24"/>
                        <w:szCs w:val="24"/>
                        <w:lang w:eastAsia="en-GB"/>
                      </w:rPr>
                      <m:t>m</m:t>
                    </m:r>
                  </m:e>
                </m:acc>
              </m:e>
              <m:sub>
                <m:r>
                  <m:rPr>
                    <m:sty m:val="p"/>
                  </m:rPr>
                  <w:rPr>
                    <w:rFonts w:ascii="Cambria Math" w:hAnsi="Cambria Math" w:cs="Times New Roman"/>
                    <w:sz w:val="24"/>
                    <w:szCs w:val="24"/>
                    <w:lang w:eastAsia="en-GB"/>
                  </w:rPr>
                  <m:t>f</m:t>
                </m:r>
              </m:sub>
            </m:sSub>
            <m:sSub>
              <m:sSubPr>
                <m:ctrlPr>
                  <w:rPr>
                    <w:rFonts w:ascii="Cambria Math" w:hAnsi="Cambria Math" w:cs="Times New Roman"/>
                    <w:i/>
                    <w:iCs/>
                    <w:sz w:val="24"/>
                    <w:szCs w:val="24"/>
                    <w:lang w:eastAsia="en-GB"/>
                  </w:rPr>
                </m:ctrlPr>
              </m:sSubPr>
              <m:e>
                <m:r>
                  <w:rPr>
                    <w:rFonts w:ascii="Cambria Math" w:hAnsi="Cambria Math" w:cs="Times New Roman"/>
                    <w:sz w:val="24"/>
                    <w:szCs w:val="24"/>
                    <w:lang w:eastAsia="en-GB"/>
                  </w:rPr>
                  <m:t>h</m:t>
                </m:r>
              </m:e>
              <m:sub>
                <m:r>
                  <m:rPr>
                    <m:sty m:val="p"/>
                  </m:rPr>
                  <w:rPr>
                    <w:rFonts w:ascii="Cambria Math" w:hAnsi="Cambria Math" w:cs="Times New Roman"/>
                    <w:sz w:val="24"/>
                    <w:szCs w:val="24"/>
                    <w:lang w:eastAsia="en-GB"/>
                  </w:rPr>
                  <m:t>f</m:t>
                </m:r>
              </m:sub>
            </m:sSub>
          </m:e>
        </m:d>
      </m:oMath>
      <w:r w:rsidRPr="002201D7">
        <w:rPr>
          <w:rFonts w:ascii="Times New Roman" w:hAnsi="Times New Roman" w:cs="Times New Roman"/>
          <w:sz w:val="24"/>
          <w:szCs w:val="24"/>
          <w:lang w:eastAsia="en-GB"/>
        </w:rPr>
        <w:t xml:space="preserve">, for same thrust production and flight speed. Except for ethanol, this ratio is calculated from the known values and are listed in Table </w:t>
      </w:r>
      <w:r w:rsidR="00E57EC3">
        <w:rPr>
          <w:rFonts w:ascii="Times New Roman" w:hAnsi="Times New Roman" w:cs="Times New Roman"/>
          <w:sz w:val="24"/>
          <w:szCs w:val="24"/>
          <w:lang w:eastAsia="en-GB"/>
        </w:rPr>
        <w:t>SI</w:t>
      </w:r>
      <w:r w:rsidR="00E57EC3" w:rsidRPr="002201D7">
        <w:rPr>
          <w:rFonts w:ascii="Times New Roman" w:hAnsi="Times New Roman" w:cs="Times New Roman"/>
          <w:sz w:val="24"/>
          <w:szCs w:val="24"/>
          <w:lang w:eastAsia="en-GB"/>
        </w:rPr>
        <w:t xml:space="preserve"> </w:t>
      </w:r>
      <w:r w:rsidR="00E57EC3">
        <w:rPr>
          <w:rFonts w:ascii="Times New Roman" w:hAnsi="Times New Roman" w:cs="Times New Roman"/>
          <w:sz w:val="24"/>
          <w:szCs w:val="24"/>
          <w:lang w:eastAsia="en-GB"/>
        </w:rPr>
        <w:t>2</w:t>
      </w:r>
      <w:r w:rsidRPr="002201D7">
        <w:rPr>
          <w:rFonts w:ascii="Times New Roman" w:hAnsi="Times New Roman" w:cs="Times New Roman"/>
          <w:sz w:val="24"/>
          <w:szCs w:val="24"/>
          <w:lang w:eastAsia="en-GB"/>
        </w:rPr>
        <w:t xml:space="preserve">. The value of </w:t>
      </w:r>
      <m:oMath>
        <m:r>
          <w:rPr>
            <w:rFonts w:ascii="Cambria Math" w:hAnsi="Cambria Math" w:cs="Times New Roman"/>
            <w:sz w:val="24"/>
            <w:szCs w:val="24"/>
            <w:lang w:eastAsia="en-GB"/>
          </w:rPr>
          <m:t>h</m:t>
        </m:r>
      </m:oMath>
      <w:r w:rsidRPr="00A07220">
        <w:rPr>
          <w:rFonts w:ascii="Times New Roman" w:hAnsi="Times New Roman" w:cs="Times New Roman"/>
          <w:sz w:val="24"/>
          <w:szCs w:val="24"/>
          <w:lang w:eastAsia="en-GB"/>
        </w:rPr>
        <w:t xml:space="preserve"> for ethanol is greater than that for met</w:t>
      </w:r>
      <w:r w:rsidRPr="00556067">
        <w:rPr>
          <w:rFonts w:ascii="Times New Roman" w:hAnsi="Times New Roman" w:cs="Times New Roman"/>
          <w:sz w:val="24"/>
          <w:szCs w:val="24"/>
          <w:lang w:eastAsia="en-GB"/>
        </w:rPr>
        <w:t xml:space="preserve">hanol but less than </w:t>
      </w:r>
      <w:r w:rsidRPr="00CE68A4">
        <w:rPr>
          <w:rFonts w:ascii="Times New Roman" w:hAnsi="Times New Roman" w:cs="Times New Roman"/>
          <w:i/>
          <w:iCs/>
          <w:sz w:val="24"/>
          <w:szCs w:val="24"/>
          <w:lang w:eastAsia="en-GB"/>
        </w:rPr>
        <w:t>h</w:t>
      </w:r>
      <w:r w:rsidRPr="007D699F">
        <w:rPr>
          <w:rFonts w:ascii="Times New Roman" w:hAnsi="Times New Roman" w:cs="Times New Roman"/>
          <w:sz w:val="24"/>
          <w:szCs w:val="24"/>
          <w:lang w:eastAsia="en-GB"/>
        </w:rPr>
        <w:t xml:space="preserve"> of Jet-A. The ratio </w:t>
      </w:r>
      <w:r w:rsidRPr="007D699F">
        <w:rPr>
          <w:rFonts w:ascii="Times New Roman" w:hAnsi="Times New Roman" w:cs="Times New Roman"/>
          <w:i/>
          <w:iCs/>
          <w:sz w:val="24"/>
          <w:szCs w:val="24"/>
          <w:lang w:eastAsia="en-GB"/>
        </w:rPr>
        <w:t>η</w:t>
      </w:r>
      <w:r w:rsidRPr="007D699F">
        <w:rPr>
          <w:rFonts w:ascii="Times New Roman" w:hAnsi="Times New Roman" w:cs="Times New Roman"/>
          <w:sz w:val="24"/>
          <w:szCs w:val="24"/>
          <w:vertAlign w:val="subscript"/>
          <w:lang w:eastAsia="en-GB"/>
        </w:rPr>
        <w:t xml:space="preserve">o,f </w:t>
      </w:r>
      <w:r w:rsidRPr="007D699F">
        <w:rPr>
          <w:rFonts w:ascii="Times New Roman" w:hAnsi="Times New Roman" w:cs="Times New Roman"/>
          <w:sz w:val="24"/>
          <w:szCs w:val="24"/>
          <w:lang w:eastAsia="en-GB"/>
        </w:rPr>
        <w:t xml:space="preserve">/ </w:t>
      </w:r>
      <w:r w:rsidRPr="007D699F">
        <w:rPr>
          <w:rFonts w:ascii="Times New Roman" w:hAnsi="Times New Roman" w:cs="Times New Roman"/>
          <w:i/>
          <w:iCs/>
          <w:sz w:val="24"/>
          <w:szCs w:val="24"/>
          <w:lang w:eastAsia="en-GB"/>
        </w:rPr>
        <w:t>η</w:t>
      </w:r>
      <w:r w:rsidRPr="007D699F">
        <w:rPr>
          <w:rFonts w:ascii="Times New Roman" w:hAnsi="Times New Roman" w:cs="Times New Roman"/>
          <w:sz w:val="24"/>
          <w:szCs w:val="24"/>
          <w:vertAlign w:val="subscript"/>
          <w:lang w:eastAsia="en-GB"/>
        </w:rPr>
        <w:t>o,Jet-A</w:t>
      </w:r>
      <w:r w:rsidRPr="007D699F">
        <w:rPr>
          <w:rFonts w:ascii="Times New Roman" w:hAnsi="Times New Roman" w:cs="Times New Roman"/>
          <w:sz w:val="24"/>
          <w:szCs w:val="24"/>
          <w:lang w:eastAsia="en-GB"/>
        </w:rPr>
        <w:t xml:space="preserve"> increases from 0.9993 (methanol) to 1 (Jet-A). Therefore, for ethanol this ratio must be between 99.93% and 100%. A value of 99.95% is assumed and the ratio </w:t>
      </w:r>
      <m:oMath>
        <m:sSub>
          <m:sSubPr>
            <m:ctrlPr>
              <w:rPr>
                <w:rFonts w:ascii="Cambria Math" w:hAnsi="Cambria Math" w:cs="Times New Roman"/>
                <w:i/>
                <w:iCs/>
                <w:sz w:val="24"/>
                <w:szCs w:val="24"/>
                <w:lang w:eastAsia="en-GB"/>
              </w:rPr>
            </m:ctrlPr>
          </m:sSubPr>
          <m:e>
            <m:acc>
              <m:accPr>
                <m:chr m:val="̇"/>
                <m:ctrlPr>
                  <w:rPr>
                    <w:rFonts w:ascii="Cambria Math" w:hAnsi="Cambria Math" w:cs="Times New Roman"/>
                    <w:i/>
                    <w:iCs/>
                    <w:sz w:val="24"/>
                    <w:szCs w:val="24"/>
                    <w:lang w:eastAsia="en-GB"/>
                  </w:rPr>
                </m:ctrlPr>
              </m:accPr>
              <m:e>
                <m:r>
                  <w:rPr>
                    <w:rFonts w:ascii="Cambria Math" w:hAnsi="Cambria Math" w:cs="Times New Roman"/>
                    <w:sz w:val="24"/>
                    <w:szCs w:val="24"/>
                    <w:lang w:eastAsia="en-GB"/>
                  </w:rPr>
                  <m:t>m</m:t>
                </m:r>
              </m:e>
            </m:acc>
          </m:e>
          <m:sub>
            <m:r>
              <m:rPr>
                <m:sty m:val="p"/>
              </m:rPr>
              <w:rPr>
                <w:rFonts w:ascii="Cambria Math" w:hAnsi="Cambria Math" w:cs="Times New Roman"/>
                <w:sz w:val="24"/>
                <w:szCs w:val="24"/>
                <w:lang w:eastAsia="en-GB"/>
              </w:rPr>
              <m:t>f,Jet-A</m:t>
            </m:r>
          </m:sub>
        </m:sSub>
      </m:oMath>
      <w:r w:rsidRPr="002201D7">
        <w:rPr>
          <w:rFonts w:ascii="Times New Roman" w:hAnsi="Times New Roman" w:cs="Times New Roman"/>
          <w:sz w:val="24"/>
          <w:szCs w:val="24"/>
          <w:lang w:eastAsia="en-GB"/>
        </w:rPr>
        <w:t xml:space="preserve">/ </w:t>
      </w:r>
      <m:oMath>
        <m:sSub>
          <m:sSubPr>
            <m:ctrlPr>
              <w:rPr>
                <w:rFonts w:ascii="Cambria Math" w:hAnsi="Cambria Math" w:cs="Times New Roman"/>
                <w:i/>
                <w:iCs/>
                <w:sz w:val="24"/>
                <w:szCs w:val="24"/>
                <w:lang w:eastAsia="en-GB"/>
              </w:rPr>
            </m:ctrlPr>
          </m:sSubPr>
          <m:e>
            <m:acc>
              <m:accPr>
                <m:chr m:val="̇"/>
                <m:ctrlPr>
                  <w:rPr>
                    <w:rFonts w:ascii="Cambria Math" w:hAnsi="Cambria Math" w:cs="Times New Roman"/>
                    <w:i/>
                    <w:iCs/>
                    <w:sz w:val="24"/>
                    <w:szCs w:val="24"/>
                    <w:lang w:eastAsia="en-GB"/>
                  </w:rPr>
                </m:ctrlPr>
              </m:accPr>
              <m:e>
                <m:r>
                  <w:rPr>
                    <w:rFonts w:ascii="Cambria Math" w:hAnsi="Cambria Math" w:cs="Times New Roman"/>
                    <w:sz w:val="24"/>
                    <w:szCs w:val="24"/>
                    <w:lang w:eastAsia="en-GB"/>
                  </w:rPr>
                  <m:t>m</m:t>
                </m:r>
              </m:e>
            </m:acc>
          </m:e>
          <m:sub>
            <m:r>
              <m:rPr>
                <m:sty m:val="p"/>
              </m:rPr>
              <w:rPr>
                <w:rFonts w:ascii="Cambria Math" w:hAnsi="Cambria Math" w:cs="Times New Roman"/>
                <w:sz w:val="24"/>
                <w:szCs w:val="24"/>
                <w:lang w:eastAsia="en-GB"/>
              </w:rPr>
              <m:t>f</m:t>
            </m:r>
          </m:sub>
        </m:sSub>
      </m:oMath>
      <w:r w:rsidRPr="002201D7">
        <w:rPr>
          <w:rFonts w:ascii="Times New Roman" w:hAnsi="Times New Roman" w:cs="Times New Roman"/>
          <w:sz w:val="24"/>
          <w:szCs w:val="24"/>
          <w:lang w:eastAsia="en-GB"/>
        </w:rPr>
        <w:t xml:space="preserve"> is calculated for ethanol to be 0.63 as listed in Table </w:t>
      </w:r>
      <w:r w:rsidR="00E57EC3">
        <w:rPr>
          <w:rFonts w:ascii="Times New Roman" w:hAnsi="Times New Roman" w:cs="Times New Roman"/>
          <w:sz w:val="24"/>
          <w:szCs w:val="24"/>
          <w:lang w:eastAsia="en-GB"/>
        </w:rPr>
        <w:t>SI</w:t>
      </w:r>
      <w:r w:rsidR="00E57EC3" w:rsidRPr="002201D7">
        <w:rPr>
          <w:rFonts w:ascii="Times New Roman" w:hAnsi="Times New Roman" w:cs="Times New Roman"/>
          <w:sz w:val="24"/>
          <w:szCs w:val="24"/>
          <w:lang w:eastAsia="en-GB"/>
        </w:rPr>
        <w:t xml:space="preserve"> </w:t>
      </w:r>
      <w:r w:rsidR="00E57EC3">
        <w:rPr>
          <w:rFonts w:ascii="Times New Roman" w:hAnsi="Times New Roman" w:cs="Times New Roman"/>
          <w:sz w:val="24"/>
          <w:szCs w:val="24"/>
          <w:lang w:eastAsia="en-GB"/>
        </w:rPr>
        <w:t>2</w:t>
      </w:r>
      <w:r w:rsidRPr="002201D7">
        <w:rPr>
          <w:rFonts w:ascii="Times New Roman" w:hAnsi="Times New Roman" w:cs="Times New Roman"/>
          <w:sz w:val="24"/>
          <w:szCs w:val="24"/>
          <w:lang w:eastAsia="en-GB"/>
        </w:rPr>
        <w:t xml:space="preserve">. The </w:t>
      </w:r>
      <w:r w:rsidRPr="002201D7">
        <w:rPr>
          <w:rFonts w:ascii="Times New Roman" w:hAnsi="Times New Roman" w:cs="Times New Roman"/>
          <w:i/>
          <w:iCs/>
          <w:sz w:val="24"/>
          <w:szCs w:val="24"/>
          <w:lang w:eastAsia="en-GB"/>
        </w:rPr>
        <w:t>η</w:t>
      </w:r>
      <w:r w:rsidRPr="00A07220">
        <w:rPr>
          <w:rFonts w:ascii="Times New Roman" w:hAnsi="Times New Roman" w:cs="Times New Roman"/>
          <w:sz w:val="24"/>
          <w:szCs w:val="24"/>
          <w:vertAlign w:val="subscript"/>
          <w:lang w:eastAsia="en-GB"/>
        </w:rPr>
        <w:t>o</w:t>
      </w:r>
      <w:r w:rsidRPr="00556067">
        <w:rPr>
          <w:rFonts w:ascii="Times New Roman" w:hAnsi="Times New Roman" w:cs="Times New Roman"/>
          <w:sz w:val="24"/>
          <w:szCs w:val="24"/>
          <w:lang w:eastAsia="en-GB"/>
        </w:rPr>
        <w:t xml:space="preserve"> for the aircraft (Je</w:t>
      </w:r>
      <w:r w:rsidRPr="00CE68A4">
        <w:rPr>
          <w:rFonts w:ascii="Times New Roman" w:hAnsi="Times New Roman" w:cs="Times New Roman"/>
          <w:sz w:val="24"/>
          <w:szCs w:val="24"/>
          <w:lang w:eastAsia="en-GB"/>
        </w:rPr>
        <w:t xml:space="preserve">t-A) considered in this research is considered in </w:t>
      </w:r>
      <w:r w:rsidR="007918C3" w:rsidRPr="007D699F">
        <w:rPr>
          <w:rFonts w:ascii="Times New Roman" w:hAnsi="Times New Roman" w:cs="Times New Roman"/>
          <w:sz w:val="24"/>
          <w:szCs w:val="24"/>
          <w:lang w:eastAsia="en-GB"/>
        </w:rPr>
        <w:t xml:space="preserve">SI </w:t>
      </w:r>
      <w:r w:rsidR="007918C3" w:rsidRPr="00872636">
        <w:rPr>
          <w:rFonts w:ascii="Times New Roman" w:hAnsi="Times New Roman" w:cs="Times New Roman"/>
          <w:sz w:val="24"/>
          <w:szCs w:val="24"/>
          <w:lang w:eastAsia="en-GB"/>
        </w:rPr>
        <w:t>§</w:t>
      </w:r>
      <w:r w:rsidR="00433067" w:rsidRPr="002201D7">
        <w:rPr>
          <w:rFonts w:ascii="Times New Roman" w:hAnsi="Times New Roman" w:cs="Times New Roman"/>
          <w:sz w:val="24"/>
          <w:szCs w:val="24"/>
          <w:lang w:eastAsia="en-GB"/>
        </w:rPr>
        <w:t>4.4</w:t>
      </w:r>
      <w:r w:rsidRPr="00A07220">
        <w:rPr>
          <w:rFonts w:ascii="Times New Roman" w:hAnsi="Times New Roman" w:cs="Times New Roman"/>
          <w:sz w:val="24"/>
          <w:szCs w:val="24"/>
          <w:lang w:eastAsia="en-GB"/>
        </w:rPr>
        <w:t xml:space="preserve">. Knowing this and the </w:t>
      </w:r>
      <w:r w:rsidRPr="00556067">
        <w:rPr>
          <w:rFonts w:ascii="Times New Roman" w:hAnsi="Times New Roman" w:cs="Times New Roman"/>
          <w:i/>
          <w:iCs/>
          <w:sz w:val="24"/>
          <w:szCs w:val="24"/>
          <w:lang w:eastAsia="en-GB"/>
        </w:rPr>
        <w:t>η</w:t>
      </w:r>
      <w:r w:rsidRPr="00CE68A4">
        <w:rPr>
          <w:rFonts w:ascii="Times New Roman" w:hAnsi="Times New Roman" w:cs="Times New Roman"/>
          <w:sz w:val="24"/>
          <w:szCs w:val="24"/>
          <w:vertAlign w:val="subscript"/>
          <w:lang w:eastAsia="en-GB"/>
        </w:rPr>
        <w:t xml:space="preserve">o,f </w:t>
      </w:r>
      <w:r w:rsidRPr="007D699F">
        <w:rPr>
          <w:rFonts w:ascii="Times New Roman" w:hAnsi="Times New Roman" w:cs="Times New Roman"/>
          <w:sz w:val="24"/>
          <w:szCs w:val="24"/>
          <w:lang w:eastAsia="en-GB"/>
        </w:rPr>
        <w:t xml:space="preserve">/ </w:t>
      </w:r>
      <w:r w:rsidRPr="007D699F">
        <w:rPr>
          <w:rFonts w:ascii="Times New Roman" w:hAnsi="Times New Roman" w:cs="Times New Roman"/>
          <w:i/>
          <w:iCs/>
          <w:sz w:val="24"/>
          <w:szCs w:val="24"/>
          <w:lang w:eastAsia="en-GB"/>
        </w:rPr>
        <w:t>η</w:t>
      </w:r>
      <w:r w:rsidRPr="007D699F">
        <w:rPr>
          <w:rFonts w:ascii="Times New Roman" w:hAnsi="Times New Roman" w:cs="Times New Roman"/>
          <w:sz w:val="24"/>
          <w:szCs w:val="24"/>
          <w:vertAlign w:val="subscript"/>
          <w:lang w:eastAsia="en-GB"/>
        </w:rPr>
        <w:t>o,Jet-A</w:t>
      </w:r>
      <w:r w:rsidRPr="007D699F">
        <w:rPr>
          <w:rFonts w:ascii="Times New Roman" w:hAnsi="Times New Roman" w:cs="Times New Roman"/>
          <w:sz w:val="24"/>
          <w:szCs w:val="24"/>
          <w:lang w:eastAsia="en-GB"/>
        </w:rPr>
        <w:t xml:space="preserve"> ratio for all fuels, the </w:t>
      </w:r>
      <w:r w:rsidRPr="007D699F">
        <w:rPr>
          <w:rFonts w:ascii="Times New Roman" w:hAnsi="Times New Roman" w:cs="Times New Roman"/>
          <w:i/>
          <w:iCs/>
          <w:sz w:val="24"/>
          <w:szCs w:val="24"/>
          <w:lang w:eastAsia="en-GB"/>
        </w:rPr>
        <w:t>η</w:t>
      </w:r>
      <w:r w:rsidRPr="007D699F">
        <w:rPr>
          <w:rFonts w:ascii="Times New Roman" w:hAnsi="Times New Roman" w:cs="Times New Roman"/>
          <w:sz w:val="24"/>
          <w:szCs w:val="24"/>
          <w:vertAlign w:val="subscript"/>
          <w:lang w:eastAsia="en-GB"/>
        </w:rPr>
        <w:t>o</w:t>
      </w:r>
      <w:r w:rsidRPr="007D699F">
        <w:rPr>
          <w:rFonts w:ascii="Times New Roman" w:hAnsi="Times New Roman" w:cs="Times New Roman"/>
          <w:sz w:val="24"/>
          <w:szCs w:val="24"/>
          <w:lang w:eastAsia="en-GB"/>
        </w:rPr>
        <w:t xml:space="preserve"> is calculated </w:t>
      </w:r>
      <w:r w:rsidRPr="007D699F">
        <w:rPr>
          <w:rFonts w:ascii="Times New Roman" w:hAnsi="Times New Roman" w:cs="Times New Roman"/>
          <w:sz w:val="24"/>
          <w:szCs w:val="24"/>
          <w:lang w:eastAsia="en-GB"/>
        </w:rPr>
        <w:lastRenderedPageBreak/>
        <w:t xml:space="preserve">for all alternative fuels to be used on the said aircraft. We further conduct a sanity check on the ratio </w:t>
      </w:r>
      <m:oMath>
        <m:sSub>
          <m:sSubPr>
            <m:ctrlPr>
              <w:rPr>
                <w:rFonts w:ascii="Cambria Math" w:hAnsi="Cambria Math" w:cs="Times New Roman"/>
                <w:i/>
                <w:iCs/>
                <w:sz w:val="24"/>
                <w:szCs w:val="24"/>
                <w:lang w:eastAsia="en-GB"/>
              </w:rPr>
            </m:ctrlPr>
          </m:sSubPr>
          <m:e>
            <m:acc>
              <m:accPr>
                <m:chr m:val="̇"/>
                <m:ctrlPr>
                  <w:rPr>
                    <w:rFonts w:ascii="Cambria Math" w:hAnsi="Cambria Math" w:cs="Times New Roman"/>
                    <w:i/>
                    <w:iCs/>
                    <w:sz w:val="24"/>
                    <w:szCs w:val="24"/>
                    <w:lang w:eastAsia="en-GB"/>
                  </w:rPr>
                </m:ctrlPr>
              </m:accPr>
              <m:e>
                <m:r>
                  <w:rPr>
                    <w:rFonts w:ascii="Cambria Math" w:hAnsi="Cambria Math" w:cs="Times New Roman"/>
                    <w:sz w:val="24"/>
                    <w:szCs w:val="24"/>
                    <w:lang w:eastAsia="en-GB"/>
                  </w:rPr>
                  <m:t>m</m:t>
                </m:r>
              </m:e>
            </m:acc>
          </m:e>
          <m:sub>
            <m:r>
              <m:rPr>
                <m:sty m:val="p"/>
              </m:rPr>
              <w:rPr>
                <w:rFonts w:ascii="Cambria Math" w:hAnsi="Cambria Math" w:cs="Times New Roman"/>
                <w:sz w:val="24"/>
                <w:szCs w:val="24"/>
                <w:lang w:eastAsia="en-GB"/>
              </w:rPr>
              <m:t>f,Jet-A</m:t>
            </m:r>
          </m:sub>
        </m:sSub>
      </m:oMath>
      <w:r w:rsidRPr="002201D7">
        <w:rPr>
          <w:rFonts w:ascii="Times New Roman" w:hAnsi="Times New Roman" w:cs="Times New Roman"/>
          <w:sz w:val="24"/>
          <w:szCs w:val="24"/>
          <w:lang w:eastAsia="en-GB"/>
        </w:rPr>
        <w:t xml:space="preserve">/ </w:t>
      </w:r>
      <m:oMath>
        <m:sSub>
          <m:sSubPr>
            <m:ctrlPr>
              <w:rPr>
                <w:rFonts w:ascii="Cambria Math" w:hAnsi="Cambria Math" w:cs="Times New Roman"/>
                <w:i/>
                <w:iCs/>
                <w:sz w:val="24"/>
                <w:szCs w:val="24"/>
                <w:lang w:eastAsia="en-GB"/>
              </w:rPr>
            </m:ctrlPr>
          </m:sSubPr>
          <m:e>
            <m:acc>
              <m:accPr>
                <m:chr m:val="̇"/>
                <m:ctrlPr>
                  <w:rPr>
                    <w:rFonts w:ascii="Cambria Math" w:hAnsi="Cambria Math" w:cs="Times New Roman"/>
                    <w:i/>
                    <w:iCs/>
                    <w:sz w:val="24"/>
                    <w:szCs w:val="24"/>
                    <w:lang w:eastAsia="en-GB"/>
                  </w:rPr>
                </m:ctrlPr>
              </m:accPr>
              <m:e>
                <m:r>
                  <w:rPr>
                    <w:rFonts w:ascii="Cambria Math" w:hAnsi="Cambria Math" w:cs="Times New Roman"/>
                    <w:sz w:val="24"/>
                    <w:szCs w:val="24"/>
                    <w:lang w:eastAsia="en-GB"/>
                  </w:rPr>
                  <m:t>m</m:t>
                </m:r>
              </m:e>
            </m:acc>
          </m:e>
          <m:sub>
            <m:r>
              <m:rPr>
                <m:sty m:val="p"/>
              </m:rPr>
              <w:rPr>
                <w:rFonts w:ascii="Cambria Math" w:hAnsi="Cambria Math" w:cs="Times New Roman"/>
                <w:sz w:val="24"/>
                <w:szCs w:val="24"/>
                <w:lang w:eastAsia="en-GB"/>
              </w:rPr>
              <m:t>f</m:t>
            </m:r>
          </m:sub>
        </m:sSub>
      </m:oMath>
      <w:r w:rsidRPr="002201D7">
        <w:rPr>
          <w:rFonts w:ascii="Times New Roman" w:eastAsiaTheme="minorEastAsia" w:hAnsi="Times New Roman" w:cs="Times New Roman"/>
          <w:sz w:val="24"/>
          <w:szCs w:val="24"/>
          <w:lang w:eastAsia="en-GB"/>
        </w:rPr>
        <w:t xml:space="preserve"> for all alternative fuels, that is calculated by using the above approach, using a simple thermodynamic cycle analysis of a turbofan engine (further details in </w:t>
      </w:r>
      <w:r w:rsidRPr="00A07220">
        <w:rPr>
          <w:rFonts w:ascii="Times New Roman" w:hAnsi="Times New Roman" w:cs="Times New Roman"/>
          <w:sz w:val="24"/>
          <w:szCs w:val="24"/>
          <w:lang w:eastAsia="en-GB"/>
        </w:rPr>
        <w:t>SI §3</w:t>
      </w:r>
      <w:r w:rsidRPr="00556067">
        <w:rPr>
          <w:rFonts w:ascii="Times New Roman" w:eastAsiaTheme="minorEastAsia" w:hAnsi="Times New Roman" w:cs="Times New Roman"/>
          <w:sz w:val="24"/>
          <w:szCs w:val="24"/>
          <w:lang w:eastAsia="en-GB"/>
        </w:rPr>
        <w:t>). W</w:t>
      </w:r>
      <w:r w:rsidRPr="00CE68A4">
        <w:rPr>
          <w:rFonts w:ascii="Times New Roman" w:eastAsiaTheme="minorEastAsia" w:hAnsi="Times New Roman" w:cs="Times New Roman"/>
          <w:sz w:val="24"/>
          <w:szCs w:val="24"/>
          <w:lang w:eastAsia="en-GB"/>
        </w:rPr>
        <w:t xml:space="preserve">e observe that the ratio </w:t>
      </w:r>
      <m:oMath>
        <m:sSub>
          <m:sSubPr>
            <m:ctrlPr>
              <w:rPr>
                <w:rFonts w:ascii="Cambria Math" w:hAnsi="Cambria Math" w:cs="Times New Roman"/>
                <w:i/>
                <w:iCs/>
                <w:sz w:val="24"/>
                <w:szCs w:val="24"/>
                <w:lang w:eastAsia="en-GB"/>
              </w:rPr>
            </m:ctrlPr>
          </m:sSubPr>
          <m:e>
            <m:acc>
              <m:accPr>
                <m:chr m:val="̇"/>
                <m:ctrlPr>
                  <w:rPr>
                    <w:rFonts w:ascii="Cambria Math" w:hAnsi="Cambria Math" w:cs="Times New Roman"/>
                    <w:i/>
                    <w:iCs/>
                    <w:sz w:val="24"/>
                    <w:szCs w:val="24"/>
                    <w:lang w:eastAsia="en-GB"/>
                  </w:rPr>
                </m:ctrlPr>
              </m:accPr>
              <m:e>
                <m:r>
                  <w:rPr>
                    <w:rFonts w:ascii="Cambria Math" w:hAnsi="Cambria Math" w:cs="Times New Roman"/>
                    <w:sz w:val="24"/>
                    <w:szCs w:val="24"/>
                    <w:lang w:eastAsia="en-GB"/>
                  </w:rPr>
                  <m:t>m</m:t>
                </m:r>
              </m:e>
            </m:acc>
          </m:e>
          <m:sub>
            <m:r>
              <m:rPr>
                <m:sty m:val="p"/>
              </m:rPr>
              <w:rPr>
                <w:rFonts w:ascii="Cambria Math" w:hAnsi="Cambria Math" w:cs="Times New Roman"/>
                <w:sz w:val="24"/>
                <w:szCs w:val="24"/>
                <w:lang w:eastAsia="en-GB"/>
              </w:rPr>
              <m:t>f,Jet-A</m:t>
            </m:r>
          </m:sub>
        </m:sSub>
      </m:oMath>
      <w:r w:rsidRPr="002201D7">
        <w:rPr>
          <w:rFonts w:ascii="Times New Roman" w:hAnsi="Times New Roman" w:cs="Times New Roman"/>
          <w:sz w:val="24"/>
          <w:szCs w:val="24"/>
          <w:lang w:eastAsia="en-GB"/>
        </w:rPr>
        <w:t xml:space="preserve">/ </w:t>
      </w:r>
      <m:oMath>
        <m:sSub>
          <m:sSubPr>
            <m:ctrlPr>
              <w:rPr>
                <w:rFonts w:ascii="Cambria Math" w:hAnsi="Cambria Math" w:cs="Times New Roman"/>
                <w:i/>
                <w:iCs/>
                <w:sz w:val="24"/>
                <w:szCs w:val="24"/>
                <w:lang w:eastAsia="en-GB"/>
              </w:rPr>
            </m:ctrlPr>
          </m:sSubPr>
          <m:e>
            <m:acc>
              <m:accPr>
                <m:chr m:val="̇"/>
                <m:ctrlPr>
                  <w:rPr>
                    <w:rFonts w:ascii="Cambria Math" w:hAnsi="Cambria Math" w:cs="Times New Roman"/>
                    <w:i/>
                    <w:iCs/>
                    <w:sz w:val="24"/>
                    <w:szCs w:val="24"/>
                    <w:lang w:eastAsia="en-GB"/>
                  </w:rPr>
                </m:ctrlPr>
              </m:accPr>
              <m:e>
                <m:r>
                  <w:rPr>
                    <w:rFonts w:ascii="Cambria Math" w:hAnsi="Cambria Math" w:cs="Times New Roman"/>
                    <w:sz w:val="24"/>
                    <w:szCs w:val="24"/>
                    <w:lang w:eastAsia="en-GB"/>
                  </w:rPr>
                  <m:t>m</m:t>
                </m:r>
              </m:e>
            </m:acc>
          </m:e>
          <m:sub>
            <m:r>
              <m:rPr>
                <m:sty m:val="p"/>
              </m:rPr>
              <w:rPr>
                <w:rFonts w:ascii="Cambria Math" w:hAnsi="Cambria Math" w:cs="Times New Roman"/>
                <w:sz w:val="24"/>
                <w:szCs w:val="24"/>
                <w:lang w:eastAsia="en-GB"/>
              </w:rPr>
              <m:t>f</m:t>
            </m:r>
          </m:sub>
        </m:sSub>
      </m:oMath>
      <w:r w:rsidRPr="002201D7">
        <w:rPr>
          <w:rFonts w:ascii="Times New Roman" w:eastAsiaTheme="minorEastAsia" w:hAnsi="Times New Roman" w:cs="Times New Roman"/>
          <w:sz w:val="24"/>
          <w:szCs w:val="24"/>
          <w:lang w:eastAsia="en-GB"/>
        </w:rPr>
        <w:t xml:space="preserve"> for all alternative fuels that calculated using both methods are similar.</w:t>
      </w:r>
    </w:p>
    <w:tbl>
      <w:tblPr>
        <w:tblStyle w:val="TableGrid"/>
        <w:tblW w:w="9300" w:type="dxa"/>
        <w:jc w:val="center"/>
        <w:tblLayout w:type="fixed"/>
        <w:tblLook w:val="04A0" w:firstRow="1" w:lastRow="0" w:firstColumn="1" w:lastColumn="0" w:noHBand="0" w:noVBand="1"/>
      </w:tblPr>
      <w:tblGrid>
        <w:gridCol w:w="1184"/>
        <w:gridCol w:w="1961"/>
        <w:gridCol w:w="2630"/>
        <w:gridCol w:w="2059"/>
        <w:gridCol w:w="1449"/>
        <w:gridCol w:w="17"/>
      </w:tblGrid>
      <w:tr w:rsidR="00F62F6B" w:rsidRPr="007D699F" w14:paraId="6978FBA5" w14:textId="77777777" w:rsidTr="006C247F">
        <w:trPr>
          <w:trHeight w:val="199"/>
          <w:jc w:val="center"/>
        </w:trPr>
        <w:tc>
          <w:tcPr>
            <w:tcW w:w="9306" w:type="dxa"/>
            <w:gridSpan w:val="6"/>
            <w:tcBorders>
              <w:top w:val="nil"/>
              <w:left w:val="nil"/>
              <w:bottom w:val="single" w:sz="4" w:space="0" w:color="auto"/>
              <w:right w:val="nil"/>
            </w:tcBorders>
            <w:vAlign w:val="center"/>
            <w:hideMark/>
          </w:tcPr>
          <w:p w14:paraId="0956FEC8" w14:textId="5959FFD1" w:rsidR="00F62F6B" w:rsidRPr="007D699F" w:rsidRDefault="00F62F6B" w:rsidP="00872636">
            <w:pPr>
              <w:tabs>
                <w:tab w:val="left" w:pos="567"/>
              </w:tabs>
              <w:spacing w:line="276" w:lineRule="auto"/>
              <w:ind w:right="-46"/>
              <w:jc w:val="center"/>
              <w:rPr>
                <w:rFonts w:ascii="Times New Roman" w:hAnsi="Times New Roman" w:cs="Times New Roman"/>
                <w:b/>
                <w:bCs/>
                <w:sz w:val="24"/>
                <w:szCs w:val="24"/>
                <w:lang w:eastAsia="en-GB"/>
              </w:rPr>
            </w:pPr>
            <w:r w:rsidRPr="00556067">
              <w:rPr>
                <w:rFonts w:ascii="Times New Roman" w:hAnsi="Times New Roman" w:cs="Times New Roman"/>
                <w:b/>
                <w:sz w:val="24"/>
                <w:szCs w:val="24"/>
                <w:lang w:eastAsia="en-GB"/>
              </w:rPr>
              <w:t xml:space="preserve">Table </w:t>
            </w:r>
            <w:r w:rsidR="00FC7583" w:rsidRPr="00CE68A4">
              <w:rPr>
                <w:rFonts w:ascii="Times New Roman" w:hAnsi="Times New Roman" w:cs="Times New Roman"/>
                <w:b/>
                <w:sz w:val="24"/>
                <w:szCs w:val="24"/>
                <w:lang w:eastAsia="en-GB"/>
              </w:rPr>
              <w:t>SI 2</w:t>
            </w:r>
            <w:r w:rsidRPr="007D699F">
              <w:rPr>
                <w:rFonts w:ascii="Times New Roman" w:hAnsi="Times New Roman" w:cs="Times New Roman"/>
                <w:b/>
                <w:sz w:val="24"/>
                <w:szCs w:val="24"/>
                <w:lang w:eastAsia="en-GB"/>
              </w:rPr>
              <w:t>. Properties of different alternative fuels</w:t>
            </w:r>
          </w:p>
        </w:tc>
      </w:tr>
      <w:tr w:rsidR="00F62F6B" w:rsidRPr="007D699F" w14:paraId="16A7A1B6" w14:textId="77777777" w:rsidTr="006C247F">
        <w:trPr>
          <w:gridAfter w:val="1"/>
          <w:wAfter w:w="17" w:type="dxa"/>
          <w:trHeight w:val="44"/>
          <w:jc w:val="center"/>
        </w:trPr>
        <w:tc>
          <w:tcPr>
            <w:tcW w:w="1185" w:type="dxa"/>
            <w:tcBorders>
              <w:top w:val="single" w:sz="4" w:space="0" w:color="auto"/>
              <w:left w:val="nil"/>
              <w:bottom w:val="single" w:sz="4" w:space="0" w:color="auto"/>
              <w:right w:val="nil"/>
            </w:tcBorders>
            <w:vAlign w:val="center"/>
            <w:hideMark/>
          </w:tcPr>
          <w:p w14:paraId="615AE399" w14:textId="77777777" w:rsidR="00F62F6B" w:rsidRPr="00A07220" w:rsidRDefault="00F62F6B" w:rsidP="00872636">
            <w:pPr>
              <w:tabs>
                <w:tab w:val="left" w:pos="567"/>
              </w:tabs>
              <w:spacing w:line="276" w:lineRule="auto"/>
              <w:ind w:right="-46"/>
              <w:jc w:val="center"/>
              <w:rPr>
                <w:rFonts w:ascii="Times New Roman" w:hAnsi="Times New Roman" w:cs="Times New Roman"/>
                <w:sz w:val="24"/>
                <w:szCs w:val="24"/>
                <w:lang w:eastAsia="en-GB"/>
              </w:rPr>
            </w:pPr>
            <w:r w:rsidRPr="002201D7">
              <w:rPr>
                <w:rFonts w:ascii="Times New Roman" w:hAnsi="Times New Roman" w:cs="Times New Roman"/>
                <w:sz w:val="24"/>
                <w:szCs w:val="24"/>
                <w:lang w:eastAsia="en-GB"/>
              </w:rPr>
              <w:t>Fuel</w:t>
            </w:r>
          </w:p>
        </w:tc>
        <w:tc>
          <w:tcPr>
            <w:tcW w:w="1962" w:type="dxa"/>
            <w:tcBorders>
              <w:top w:val="single" w:sz="4" w:space="0" w:color="auto"/>
              <w:left w:val="nil"/>
              <w:bottom w:val="single" w:sz="4" w:space="0" w:color="auto"/>
              <w:right w:val="nil"/>
            </w:tcBorders>
            <w:vAlign w:val="center"/>
            <w:hideMark/>
          </w:tcPr>
          <w:p w14:paraId="76DA4BAE" w14:textId="77777777" w:rsidR="00F62F6B" w:rsidRPr="007D699F" w:rsidRDefault="00F62F6B" w:rsidP="00872636">
            <w:pPr>
              <w:tabs>
                <w:tab w:val="left" w:pos="567"/>
              </w:tabs>
              <w:spacing w:line="276" w:lineRule="auto"/>
              <w:ind w:right="-46"/>
              <w:jc w:val="center"/>
              <w:rPr>
                <w:rFonts w:ascii="Times New Roman" w:hAnsi="Times New Roman" w:cs="Times New Roman"/>
                <w:sz w:val="24"/>
                <w:szCs w:val="24"/>
                <w:lang w:eastAsia="en-GB"/>
              </w:rPr>
            </w:pPr>
            <w:r w:rsidRPr="00556067">
              <w:rPr>
                <w:rFonts w:ascii="Times New Roman" w:hAnsi="Times New Roman" w:cs="Times New Roman"/>
                <w:i/>
                <w:iCs/>
                <w:sz w:val="24"/>
                <w:szCs w:val="24"/>
                <w:lang w:eastAsia="en-GB"/>
              </w:rPr>
              <w:t>h</w:t>
            </w:r>
            <w:r w:rsidRPr="00CE68A4">
              <w:rPr>
                <w:rFonts w:ascii="Times New Roman" w:hAnsi="Times New Roman" w:cs="Times New Roman"/>
                <w:sz w:val="24"/>
                <w:szCs w:val="24"/>
                <w:lang w:eastAsia="en-GB"/>
              </w:rPr>
              <w:t xml:space="preserve"> (MJ/kg)</w:t>
            </w:r>
          </w:p>
        </w:tc>
        <w:tc>
          <w:tcPr>
            <w:tcW w:w="2632" w:type="dxa"/>
            <w:tcBorders>
              <w:top w:val="single" w:sz="4" w:space="0" w:color="auto"/>
              <w:left w:val="nil"/>
              <w:bottom w:val="single" w:sz="4" w:space="0" w:color="auto"/>
              <w:right w:val="nil"/>
            </w:tcBorders>
            <w:vAlign w:val="center"/>
            <w:hideMark/>
          </w:tcPr>
          <w:p w14:paraId="2F965004" w14:textId="77777777" w:rsidR="00F62F6B" w:rsidRPr="007D699F" w:rsidRDefault="00F62F6B" w:rsidP="00872636">
            <w:pPr>
              <w:tabs>
                <w:tab w:val="left" w:pos="567"/>
              </w:tabs>
              <w:spacing w:line="276" w:lineRule="auto"/>
              <w:ind w:right="-46"/>
              <w:jc w:val="center"/>
              <w:rPr>
                <w:rFonts w:ascii="Times New Roman" w:hAnsi="Times New Roman" w:cs="Times New Roman"/>
                <w:sz w:val="24"/>
                <w:szCs w:val="24"/>
                <w:lang w:eastAsia="en-GB"/>
              </w:rPr>
            </w:pPr>
            <w:r w:rsidRPr="007D699F">
              <w:rPr>
                <w:rFonts w:ascii="Times New Roman" w:hAnsi="Times New Roman" w:cs="Times New Roman"/>
                <w:sz w:val="24"/>
                <w:szCs w:val="24"/>
                <w:lang w:eastAsia="en-GB"/>
              </w:rPr>
              <w:t xml:space="preserve">Density </w:t>
            </w:r>
            <w:r w:rsidRPr="007D699F">
              <w:rPr>
                <w:rFonts w:ascii="Times New Roman" w:hAnsi="Times New Roman" w:cs="Times New Roman"/>
                <w:i/>
                <w:iCs/>
                <w:sz w:val="24"/>
                <w:szCs w:val="24"/>
                <w:lang w:eastAsia="en-GB"/>
              </w:rPr>
              <w:t>ρ</w:t>
            </w:r>
          </w:p>
          <w:p w14:paraId="34888265" w14:textId="77777777" w:rsidR="00F62F6B" w:rsidRPr="007D699F" w:rsidRDefault="00F62F6B" w:rsidP="00872636">
            <w:pPr>
              <w:tabs>
                <w:tab w:val="left" w:pos="567"/>
              </w:tabs>
              <w:spacing w:line="276" w:lineRule="auto"/>
              <w:ind w:right="-46"/>
              <w:jc w:val="center"/>
              <w:rPr>
                <w:rFonts w:ascii="Times New Roman" w:hAnsi="Times New Roman" w:cs="Times New Roman"/>
                <w:sz w:val="24"/>
                <w:szCs w:val="24"/>
                <w:lang w:eastAsia="en-GB"/>
              </w:rPr>
            </w:pPr>
            <w:r w:rsidRPr="007D699F">
              <w:rPr>
                <w:rFonts w:ascii="Times New Roman" w:hAnsi="Times New Roman" w:cs="Times New Roman"/>
                <w:sz w:val="24"/>
                <w:szCs w:val="24"/>
                <w:lang w:eastAsia="en-GB"/>
              </w:rPr>
              <w:t>(kg/m</w:t>
            </w:r>
            <w:r w:rsidRPr="007D699F">
              <w:rPr>
                <w:rFonts w:ascii="Times New Roman" w:hAnsi="Times New Roman" w:cs="Times New Roman"/>
                <w:sz w:val="24"/>
                <w:szCs w:val="24"/>
                <w:vertAlign w:val="superscript"/>
                <w:lang w:eastAsia="en-GB"/>
              </w:rPr>
              <w:t>3</w:t>
            </w:r>
            <w:r w:rsidRPr="007D699F">
              <w:rPr>
                <w:rFonts w:ascii="Times New Roman" w:hAnsi="Times New Roman" w:cs="Times New Roman"/>
                <w:sz w:val="24"/>
                <w:szCs w:val="24"/>
                <w:lang w:eastAsia="en-GB"/>
              </w:rPr>
              <w:t>)</w:t>
            </w:r>
          </w:p>
        </w:tc>
        <w:tc>
          <w:tcPr>
            <w:tcW w:w="2060" w:type="dxa"/>
            <w:tcBorders>
              <w:top w:val="single" w:sz="4" w:space="0" w:color="auto"/>
              <w:left w:val="nil"/>
              <w:bottom w:val="single" w:sz="4" w:space="0" w:color="auto"/>
              <w:right w:val="nil"/>
            </w:tcBorders>
            <w:vAlign w:val="center"/>
            <w:hideMark/>
          </w:tcPr>
          <w:p w14:paraId="73FF2778" w14:textId="77777777" w:rsidR="00F62F6B" w:rsidRPr="002201D7" w:rsidRDefault="00000000" w:rsidP="00872636">
            <w:pPr>
              <w:tabs>
                <w:tab w:val="left" w:pos="567"/>
              </w:tabs>
              <w:spacing w:line="276" w:lineRule="auto"/>
              <w:ind w:right="-46"/>
              <w:jc w:val="center"/>
              <w:rPr>
                <w:rFonts w:ascii="Times New Roman" w:hAnsi="Times New Roman" w:cs="Times New Roman"/>
                <w:sz w:val="24"/>
                <w:szCs w:val="24"/>
                <w:lang w:eastAsia="en-GB"/>
              </w:rPr>
            </w:pPr>
            <m:oMath>
              <m:sSub>
                <m:sSubPr>
                  <m:ctrlPr>
                    <w:rPr>
                      <w:rFonts w:ascii="Cambria Math" w:hAnsi="Cambria Math" w:cs="Times New Roman"/>
                      <w:i/>
                      <w:iCs/>
                      <w:sz w:val="24"/>
                      <w:szCs w:val="24"/>
                      <w:lang w:eastAsia="en-GB"/>
                    </w:rPr>
                  </m:ctrlPr>
                </m:sSubPr>
                <m:e>
                  <m:acc>
                    <m:accPr>
                      <m:chr m:val="̇"/>
                      <m:ctrlPr>
                        <w:rPr>
                          <w:rFonts w:ascii="Cambria Math" w:hAnsi="Cambria Math" w:cs="Times New Roman"/>
                          <w:i/>
                          <w:iCs/>
                          <w:sz w:val="24"/>
                          <w:szCs w:val="24"/>
                          <w:lang w:eastAsia="en-GB"/>
                        </w:rPr>
                      </m:ctrlPr>
                    </m:accPr>
                    <m:e>
                      <m:r>
                        <w:rPr>
                          <w:rFonts w:ascii="Cambria Math" w:hAnsi="Cambria Math" w:cs="Times New Roman"/>
                          <w:sz w:val="24"/>
                          <w:szCs w:val="24"/>
                          <w:lang w:eastAsia="en-GB"/>
                        </w:rPr>
                        <m:t>m</m:t>
                      </m:r>
                    </m:e>
                  </m:acc>
                </m:e>
                <m:sub>
                  <m:r>
                    <w:rPr>
                      <w:rFonts w:ascii="Cambria Math" w:hAnsi="Cambria Math" w:cs="Times New Roman"/>
                      <w:sz w:val="24"/>
                      <w:szCs w:val="24"/>
                      <w:lang w:eastAsia="en-GB"/>
                    </w:rPr>
                    <m:t>f,Jet-A</m:t>
                  </m:r>
                </m:sub>
              </m:sSub>
            </m:oMath>
            <w:r w:rsidR="00F62F6B" w:rsidRPr="002201D7">
              <w:rPr>
                <w:rFonts w:ascii="Times New Roman" w:hAnsi="Times New Roman" w:cs="Times New Roman"/>
                <w:sz w:val="24"/>
                <w:szCs w:val="24"/>
                <w:lang w:eastAsia="en-GB"/>
              </w:rPr>
              <w:t xml:space="preserve">/ </w:t>
            </w:r>
            <m:oMath>
              <m:sSub>
                <m:sSubPr>
                  <m:ctrlPr>
                    <w:rPr>
                      <w:rFonts w:ascii="Cambria Math" w:hAnsi="Cambria Math" w:cs="Times New Roman"/>
                      <w:i/>
                      <w:iCs/>
                      <w:sz w:val="24"/>
                      <w:szCs w:val="24"/>
                      <w:lang w:eastAsia="en-GB"/>
                    </w:rPr>
                  </m:ctrlPr>
                </m:sSubPr>
                <m:e>
                  <m:acc>
                    <m:accPr>
                      <m:chr m:val="̇"/>
                      <m:ctrlPr>
                        <w:rPr>
                          <w:rFonts w:ascii="Cambria Math" w:hAnsi="Cambria Math" w:cs="Times New Roman"/>
                          <w:i/>
                          <w:iCs/>
                          <w:sz w:val="24"/>
                          <w:szCs w:val="24"/>
                          <w:lang w:eastAsia="en-GB"/>
                        </w:rPr>
                      </m:ctrlPr>
                    </m:accPr>
                    <m:e>
                      <m:r>
                        <w:rPr>
                          <w:rFonts w:ascii="Cambria Math" w:hAnsi="Cambria Math" w:cs="Times New Roman"/>
                          <w:sz w:val="24"/>
                          <w:szCs w:val="24"/>
                          <w:lang w:eastAsia="en-GB"/>
                        </w:rPr>
                        <m:t>m</m:t>
                      </m:r>
                    </m:e>
                  </m:acc>
                </m:e>
                <m:sub>
                  <m:r>
                    <w:rPr>
                      <w:rFonts w:ascii="Cambria Math" w:hAnsi="Cambria Math" w:cs="Times New Roman"/>
                      <w:sz w:val="24"/>
                      <w:szCs w:val="24"/>
                      <w:lang w:eastAsia="en-GB"/>
                    </w:rPr>
                    <m:t>f</m:t>
                  </m:r>
                </m:sub>
              </m:sSub>
            </m:oMath>
          </w:p>
        </w:tc>
        <w:tc>
          <w:tcPr>
            <w:tcW w:w="1450" w:type="dxa"/>
            <w:tcBorders>
              <w:top w:val="single" w:sz="4" w:space="0" w:color="auto"/>
              <w:left w:val="nil"/>
              <w:bottom w:val="single" w:sz="4" w:space="0" w:color="auto"/>
              <w:right w:val="nil"/>
            </w:tcBorders>
            <w:vAlign w:val="center"/>
            <w:hideMark/>
          </w:tcPr>
          <w:p w14:paraId="1E9A0B13" w14:textId="77777777" w:rsidR="00F62F6B" w:rsidRPr="007D699F" w:rsidRDefault="00F62F6B" w:rsidP="00872636">
            <w:pPr>
              <w:tabs>
                <w:tab w:val="left" w:pos="567"/>
              </w:tabs>
              <w:spacing w:line="276" w:lineRule="auto"/>
              <w:ind w:right="-46"/>
              <w:jc w:val="center"/>
              <w:rPr>
                <w:rFonts w:ascii="Times New Roman" w:hAnsi="Times New Roman" w:cs="Times New Roman"/>
                <w:sz w:val="24"/>
                <w:szCs w:val="24"/>
                <w:lang w:eastAsia="en-GB"/>
              </w:rPr>
            </w:pPr>
            <w:r w:rsidRPr="00A07220">
              <w:rPr>
                <w:rFonts w:ascii="Times New Roman" w:hAnsi="Times New Roman" w:cs="Times New Roman"/>
                <w:i/>
                <w:iCs/>
                <w:sz w:val="24"/>
                <w:szCs w:val="24"/>
                <w:lang w:eastAsia="en-GB"/>
              </w:rPr>
              <w:t>η</w:t>
            </w:r>
            <w:r w:rsidRPr="00556067">
              <w:rPr>
                <w:rFonts w:ascii="Times New Roman" w:hAnsi="Times New Roman" w:cs="Times New Roman"/>
                <w:sz w:val="24"/>
                <w:szCs w:val="24"/>
                <w:vertAlign w:val="subscript"/>
                <w:lang w:eastAsia="en-GB"/>
              </w:rPr>
              <w:t xml:space="preserve">o,f </w:t>
            </w:r>
            <w:r w:rsidRPr="00CE68A4">
              <w:rPr>
                <w:rFonts w:ascii="Times New Roman" w:hAnsi="Times New Roman" w:cs="Times New Roman"/>
                <w:sz w:val="24"/>
                <w:szCs w:val="24"/>
                <w:lang w:eastAsia="en-GB"/>
              </w:rPr>
              <w:t xml:space="preserve">/ </w:t>
            </w:r>
            <w:r w:rsidRPr="007D699F">
              <w:rPr>
                <w:rFonts w:ascii="Times New Roman" w:hAnsi="Times New Roman" w:cs="Times New Roman"/>
                <w:i/>
                <w:iCs/>
                <w:sz w:val="24"/>
                <w:szCs w:val="24"/>
                <w:lang w:eastAsia="en-GB"/>
              </w:rPr>
              <w:t>η</w:t>
            </w:r>
            <w:r w:rsidRPr="007D699F">
              <w:rPr>
                <w:rFonts w:ascii="Times New Roman" w:hAnsi="Times New Roman" w:cs="Times New Roman"/>
                <w:sz w:val="24"/>
                <w:szCs w:val="24"/>
                <w:vertAlign w:val="subscript"/>
                <w:lang w:eastAsia="en-GB"/>
              </w:rPr>
              <w:t>o,Jet-A</w:t>
            </w:r>
            <w:r w:rsidRPr="007D699F">
              <w:rPr>
                <w:rFonts w:ascii="Times New Roman" w:hAnsi="Times New Roman" w:cs="Times New Roman"/>
                <w:sz w:val="24"/>
                <w:szCs w:val="24"/>
                <w:lang w:eastAsia="en-GB"/>
              </w:rPr>
              <w:t xml:space="preserve"> (%)</w:t>
            </w:r>
          </w:p>
        </w:tc>
      </w:tr>
      <w:tr w:rsidR="00F62F6B" w:rsidRPr="007D699F" w14:paraId="7EFE02B0" w14:textId="77777777" w:rsidTr="006C247F">
        <w:trPr>
          <w:gridAfter w:val="1"/>
          <w:wAfter w:w="17" w:type="dxa"/>
          <w:trHeight w:val="21"/>
          <w:jc w:val="center"/>
        </w:trPr>
        <w:tc>
          <w:tcPr>
            <w:tcW w:w="1185" w:type="dxa"/>
            <w:tcBorders>
              <w:top w:val="single" w:sz="4" w:space="0" w:color="auto"/>
              <w:left w:val="nil"/>
              <w:bottom w:val="nil"/>
              <w:right w:val="nil"/>
            </w:tcBorders>
            <w:hideMark/>
          </w:tcPr>
          <w:p w14:paraId="37F3735F" w14:textId="77777777" w:rsidR="00F62F6B" w:rsidRPr="00A07220" w:rsidRDefault="00F62F6B" w:rsidP="00872636">
            <w:pPr>
              <w:tabs>
                <w:tab w:val="left" w:pos="567"/>
              </w:tabs>
              <w:spacing w:line="276" w:lineRule="auto"/>
              <w:ind w:right="-46"/>
              <w:rPr>
                <w:rFonts w:ascii="Times New Roman" w:hAnsi="Times New Roman" w:cs="Times New Roman"/>
                <w:sz w:val="24"/>
                <w:szCs w:val="24"/>
                <w:lang w:eastAsia="en-GB"/>
              </w:rPr>
            </w:pPr>
            <w:r w:rsidRPr="002201D7">
              <w:rPr>
                <w:rFonts w:ascii="Times New Roman" w:hAnsi="Times New Roman" w:cs="Times New Roman"/>
                <w:sz w:val="24"/>
                <w:szCs w:val="24"/>
                <w:lang w:eastAsia="en-GB"/>
              </w:rPr>
              <w:t>Jet-A</w:t>
            </w:r>
          </w:p>
        </w:tc>
        <w:tc>
          <w:tcPr>
            <w:tcW w:w="1962" w:type="dxa"/>
            <w:tcBorders>
              <w:top w:val="single" w:sz="4" w:space="0" w:color="auto"/>
              <w:left w:val="nil"/>
              <w:bottom w:val="nil"/>
              <w:right w:val="nil"/>
            </w:tcBorders>
            <w:hideMark/>
          </w:tcPr>
          <w:p w14:paraId="119DDC74"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43.2</w:t>
            </w:r>
            <w:r w:rsidRPr="00CE68A4">
              <w:rPr>
                <w:rFonts w:ascii="Times New Roman" w:hAnsi="Times New Roman" w:cs="Times New Roman"/>
                <w:sz w:val="24"/>
                <w:szCs w:val="24"/>
                <w:vertAlign w:val="superscript"/>
                <w:lang w:eastAsia="en-GB"/>
              </w:rPr>
              <w:t>[1]</w:t>
            </w:r>
          </w:p>
        </w:tc>
        <w:tc>
          <w:tcPr>
            <w:tcW w:w="2632" w:type="dxa"/>
            <w:tcBorders>
              <w:top w:val="single" w:sz="4" w:space="0" w:color="auto"/>
              <w:left w:val="nil"/>
              <w:bottom w:val="nil"/>
              <w:right w:val="nil"/>
            </w:tcBorders>
            <w:hideMark/>
          </w:tcPr>
          <w:p w14:paraId="701F18EB"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808</w:t>
            </w:r>
            <w:r w:rsidRPr="007D699F">
              <w:rPr>
                <w:rFonts w:ascii="Times New Roman" w:hAnsi="Times New Roman" w:cs="Times New Roman"/>
                <w:sz w:val="24"/>
                <w:szCs w:val="24"/>
                <w:vertAlign w:val="superscript"/>
                <w:lang w:eastAsia="en-GB"/>
              </w:rPr>
              <w:t>[1]</w:t>
            </w:r>
          </w:p>
        </w:tc>
        <w:tc>
          <w:tcPr>
            <w:tcW w:w="2060" w:type="dxa"/>
            <w:tcBorders>
              <w:top w:val="single" w:sz="4" w:space="0" w:color="auto"/>
              <w:left w:val="nil"/>
              <w:bottom w:val="nil"/>
              <w:right w:val="nil"/>
            </w:tcBorders>
            <w:hideMark/>
          </w:tcPr>
          <w:p w14:paraId="740BD3D9"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 xml:space="preserve">1.00 </w:t>
            </w:r>
          </w:p>
        </w:tc>
        <w:tc>
          <w:tcPr>
            <w:tcW w:w="1450" w:type="dxa"/>
            <w:tcBorders>
              <w:top w:val="single" w:sz="4" w:space="0" w:color="auto"/>
              <w:left w:val="nil"/>
              <w:bottom w:val="nil"/>
              <w:right w:val="nil"/>
            </w:tcBorders>
            <w:hideMark/>
          </w:tcPr>
          <w:p w14:paraId="04CB1C01"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100.00</w:t>
            </w:r>
          </w:p>
        </w:tc>
      </w:tr>
      <w:tr w:rsidR="00F62F6B" w:rsidRPr="007D699F" w14:paraId="25F813F6" w14:textId="77777777" w:rsidTr="006C247F">
        <w:trPr>
          <w:gridAfter w:val="1"/>
          <w:wAfter w:w="17" w:type="dxa"/>
          <w:trHeight w:val="21"/>
          <w:jc w:val="center"/>
        </w:trPr>
        <w:tc>
          <w:tcPr>
            <w:tcW w:w="1185" w:type="dxa"/>
            <w:tcBorders>
              <w:top w:val="nil"/>
              <w:left w:val="nil"/>
              <w:bottom w:val="nil"/>
              <w:right w:val="nil"/>
            </w:tcBorders>
            <w:hideMark/>
          </w:tcPr>
          <w:p w14:paraId="71BA2035" w14:textId="77777777" w:rsidR="00F62F6B" w:rsidRPr="00A07220" w:rsidRDefault="00F62F6B" w:rsidP="00872636">
            <w:pPr>
              <w:tabs>
                <w:tab w:val="left" w:pos="567"/>
              </w:tabs>
              <w:spacing w:line="276" w:lineRule="auto"/>
              <w:ind w:right="-46"/>
              <w:rPr>
                <w:rFonts w:ascii="Times New Roman" w:hAnsi="Times New Roman" w:cs="Times New Roman"/>
                <w:sz w:val="24"/>
                <w:szCs w:val="24"/>
                <w:lang w:eastAsia="en-GB"/>
              </w:rPr>
            </w:pPr>
            <w:r w:rsidRPr="002201D7">
              <w:rPr>
                <w:rFonts w:ascii="Times New Roman" w:hAnsi="Times New Roman" w:cs="Times New Roman"/>
                <w:sz w:val="24"/>
                <w:szCs w:val="24"/>
                <w:lang w:eastAsia="en-GB"/>
              </w:rPr>
              <w:t>100% SPK</w:t>
            </w:r>
          </w:p>
        </w:tc>
        <w:tc>
          <w:tcPr>
            <w:tcW w:w="1962" w:type="dxa"/>
            <w:tcBorders>
              <w:top w:val="nil"/>
              <w:left w:val="nil"/>
              <w:bottom w:val="nil"/>
              <w:right w:val="nil"/>
            </w:tcBorders>
            <w:hideMark/>
          </w:tcPr>
          <w:p w14:paraId="0C727E47"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44.1</w:t>
            </w:r>
            <w:r w:rsidRPr="00CE68A4">
              <w:rPr>
                <w:rFonts w:ascii="Times New Roman" w:hAnsi="Times New Roman" w:cs="Times New Roman"/>
                <w:sz w:val="24"/>
                <w:szCs w:val="24"/>
                <w:vertAlign w:val="superscript"/>
                <w:lang w:eastAsia="en-GB"/>
              </w:rPr>
              <w:t>[2]</w:t>
            </w:r>
          </w:p>
        </w:tc>
        <w:tc>
          <w:tcPr>
            <w:tcW w:w="2632" w:type="dxa"/>
            <w:tcBorders>
              <w:top w:val="nil"/>
              <w:left w:val="nil"/>
              <w:bottom w:val="nil"/>
              <w:right w:val="nil"/>
            </w:tcBorders>
            <w:hideMark/>
          </w:tcPr>
          <w:p w14:paraId="1F63285C"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757</w:t>
            </w:r>
            <w:r w:rsidRPr="007D699F">
              <w:rPr>
                <w:rFonts w:ascii="Times New Roman" w:hAnsi="Times New Roman" w:cs="Times New Roman"/>
                <w:sz w:val="24"/>
                <w:szCs w:val="24"/>
                <w:vertAlign w:val="superscript"/>
                <w:lang w:eastAsia="en-GB"/>
              </w:rPr>
              <w:t>[2]</w:t>
            </w:r>
          </w:p>
        </w:tc>
        <w:tc>
          <w:tcPr>
            <w:tcW w:w="2060" w:type="dxa"/>
            <w:tcBorders>
              <w:top w:val="nil"/>
              <w:left w:val="nil"/>
              <w:bottom w:val="nil"/>
              <w:right w:val="nil"/>
            </w:tcBorders>
            <w:hideMark/>
          </w:tcPr>
          <w:p w14:paraId="3A101E99"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1.02 *</w:t>
            </w:r>
          </w:p>
        </w:tc>
        <w:tc>
          <w:tcPr>
            <w:tcW w:w="1450" w:type="dxa"/>
            <w:tcBorders>
              <w:top w:val="nil"/>
              <w:left w:val="nil"/>
              <w:bottom w:val="nil"/>
              <w:right w:val="nil"/>
            </w:tcBorders>
            <w:hideMark/>
          </w:tcPr>
          <w:p w14:paraId="1772B0DF"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99.97</w:t>
            </w:r>
          </w:p>
        </w:tc>
      </w:tr>
      <w:tr w:rsidR="00F62F6B" w:rsidRPr="007D699F" w14:paraId="16F4379F" w14:textId="77777777" w:rsidTr="006C247F">
        <w:trPr>
          <w:gridAfter w:val="1"/>
          <w:wAfter w:w="17" w:type="dxa"/>
          <w:trHeight w:val="21"/>
          <w:jc w:val="center"/>
        </w:trPr>
        <w:tc>
          <w:tcPr>
            <w:tcW w:w="1185" w:type="dxa"/>
            <w:tcBorders>
              <w:top w:val="nil"/>
              <w:left w:val="nil"/>
              <w:bottom w:val="nil"/>
              <w:right w:val="nil"/>
            </w:tcBorders>
            <w:hideMark/>
          </w:tcPr>
          <w:p w14:paraId="392279A4" w14:textId="77777777" w:rsidR="00F62F6B" w:rsidRPr="00556067" w:rsidRDefault="00F62F6B" w:rsidP="00872636">
            <w:pPr>
              <w:tabs>
                <w:tab w:val="left" w:pos="567"/>
              </w:tabs>
              <w:spacing w:line="276" w:lineRule="auto"/>
              <w:ind w:right="-46"/>
              <w:rPr>
                <w:rFonts w:ascii="Times New Roman" w:hAnsi="Times New Roman" w:cs="Times New Roman"/>
                <w:sz w:val="24"/>
                <w:szCs w:val="24"/>
                <w:lang w:eastAsia="en-GB"/>
              </w:rPr>
            </w:pPr>
            <w:r w:rsidRPr="002201D7">
              <w:rPr>
                <w:rFonts w:ascii="Times New Roman" w:hAnsi="Times New Roman" w:cs="Times New Roman"/>
                <w:sz w:val="24"/>
                <w:szCs w:val="24"/>
                <w:lang w:eastAsia="en-GB"/>
              </w:rPr>
              <w:t>LH</w:t>
            </w:r>
            <w:r w:rsidRPr="00A07220">
              <w:rPr>
                <w:rFonts w:ascii="Times New Roman" w:hAnsi="Times New Roman" w:cs="Times New Roman"/>
                <w:sz w:val="24"/>
                <w:szCs w:val="24"/>
                <w:vertAlign w:val="subscript"/>
                <w:lang w:eastAsia="en-GB"/>
              </w:rPr>
              <w:t>2</w:t>
            </w:r>
          </w:p>
        </w:tc>
        <w:tc>
          <w:tcPr>
            <w:tcW w:w="1962" w:type="dxa"/>
            <w:tcBorders>
              <w:top w:val="nil"/>
              <w:left w:val="nil"/>
              <w:bottom w:val="nil"/>
              <w:right w:val="nil"/>
            </w:tcBorders>
            <w:hideMark/>
          </w:tcPr>
          <w:p w14:paraId="7AA16809"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CE68A4">
              <w:rPr>
                <w:rFonts w:ascii="Times New Roman" w:hAnsi="Times New Roman" w:cs="Times New Roman"/>
                <w:sz w:val="24"/>
                <w:szCs w:val="24"/>
                <w:lang w:eastAsia="en-GB"/>
              </w:rPr>
              <w:t>120.0</w:t>
            </w:r>
            <w:r w:rsidRPr="007D699F">
              <w:rPr>
                <w:rFonts w:ascii="Times New Roman" w:hAnsi="Times New Roman" w:cs="Times New Roman"/>
                <w:sz w:val="24"/>
                <w:szCs w:val="24"/>
                <w:vertAlign w:val="superscript"/>
                <w:lang w:eastAsia="en-GB"/>
              </w:rPr>
              <w:t>[1]</w:t>
            </w:r>
          </w:p>
        </w:tc>
        <w:tc>
          <w:tcPr>
            <w:tcW w:w="2632" w:type="dxa"/>
            <w:tcBorders>
              <w:top w:val="nil"/>
              <w:left w:val="nil"/>
              <w:bottom w:val="nil"/>
              <w:right w:val="nil"/>
            </w:tcBorders>
            <w:hideMark/>
          </w:tcPr>
          <w:p w14:paraId="1D210AD9"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71</w:t>
            </w:r>
            <w:r w:rsidRPr="007D699F">
              <w:rPr>
                <w:rFonts w:ascii="Times New Roman" w:hAnsi="Times New Roman" w:cs="Times New Roman"/>
                <w:sz w:val="24"/>
                <w:szCs w:val="24"/>
                <w:vertAlign w:val="superscript"/>
                <w:lang w:eastAsia="en-GB"/>
              </w:rPr>
              <w:t>[1]</w:t>
            </w:r>
          </w:p>
        </w:tc>
        <w:tc>
          <w:tcPr>
            <w:tcW w:w="2060" w:type="dxa"/>
            <w:tcBorders>
              <w:top w:val="nil"/>
              <w:left w:val="nil"/>
              <w:bottom w:val="nil"/>
              <w:right w:val="nil"/>
            </w:tcBorders>
            <w:hideMark/>
          </w:tcPr>
          <w:p w14:paraId="17A9D7C3"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2.86 *</w:t>
            </w:r>
            <w:r w:rsidRPr="007D699F">
              <w:rPr>
                <w:rFonts w:ascii="Times New Roman" w:hAnsi="Times New Roman" w:cs="Times New Roman"/>
                <w:sz w:val="24"/>
                <w:szCs w:val="24"/>
                <w:vertAlign w:val="superscript"/>
                <w:lang w:eastAsia="en-GB"/>
              </w:rPr>
              <w:t>,[3]</w:t>
            </w:r>
            <w:r w:rsidRPr="007D699F">
              <w:rPr>
                <w:rFonts w:ascii="Times New Roman" w:hAnsi="Times New Roman" w:cs="Times New Roman"/>
                <w:sz w:val="24"/>
                <w:szCs w:val="24"/>
                <w:lang w:eastAsia="en-GB"/>
              </w:rPr>
              <w:t xml:space="preserve"> </w:t>
            </w:r>
          </w:p>
        </w:tc>
        <w:tc>
          <w:tcPr>
            <w:tcW w:w="1450" w:type="dxa"/>
            <w:tcBorders>
              <w:top w:val="nil"/>
              <w:left w:val="nil"/>
              <w:bottom w:val="nil"/>
              <w:right w:val="nil"/>
            </w:tcBorders>
            <w:hideMark/>
          </w:tcPr>
          <w:p w14:paraId="69C71EC4"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103.14</w:t>
            </w:r>
          </w:p>
        </w:tc>
      </w:tr>
      <w:tr w:rsidR="00F62F6B" w:rsidRPr="007D699F" w14:paraId="5A3032FC" w14:textId="77777777" w:rsidTr="006C247F">
        <w:trPr>
          <w:gridAfter w:val="1"/>
          <w:wAfter w:w="17" w:type="dxa"/>
          <w:trHeight w:val="21"/>
          <w:jc w:val="center"/>
        </w:trPr>
        <w:tc>
          <w:tcPr>
            <w:tcW w:w="1185" w:type="dxa"/>
            <w:tcBorders>
              <w:top w:val="nil"/>
              <w:left w:val="nil"/>
              <w:bottom w:val="nil"/>
              <w:right w:val="nil"/>
            </w:tcBorders>
            <w:hideMark/>
          </w:tcPr>
          <w:p w14:paraId="32069040" w14:textId="77777777" w:rsidR="00F62F6B" w:rsidRPr="00A07220" w:rsidRDefault="00F62F6B" w:rsidP="00872636">
            <w:pPr>
              <w:tabs>
                <w:tab w:val="left" w:pos="567"/>
              </w:tabs>
              <w:spacing w:line="276" w:lineRule="auto"/>
              <w:ind w:right="-46"/>
              <w:rPr>
                <w:rFonts w:ascii="Times New Roman" w:hAnsi="Times New Roman" w:cs="Times New Roman"/>
                <w:sz w:val="24"/>
                <w:szCs w:val="24"/>
                <w:lang w:eastAsia="en-GB"/>
              </w:rPr>
            </w:pPr>
            <w:r w:rsidRPr="002201D7">
              <w:rPr>
                <w:rFonts w:ascii="Times New Roman" w:hAnsi="Times New Roman" w:cs="Times New Roman"/>
                <w:sz w:val="24"/>
                <w:szCs w:val="24"/>
                <w:lang w:eastAsia="en-GB"/>
              </w:rPr>
              <w:t>LNG</w:t>
            </w:r>
          </w:p>
        </w:tc>
        <w:tc>
          <w:tcPr>
            <w:tcW w:w="1962" w:type="dxa"/>
            <w:tcBorders>
              <w:top w:val="nil"/>
              <w:left w:val="nil"/>
              <w:bottom w:val="nil"/>
              <w:right w:val="nil"/>
            </w:tcBorders>
            <w:hideMark/>
          </w:tcPr>
          <w:p w14:paraId="40D8B7A6"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50.0</w:t>
            </w:r>
            <w:r w:rsidRPr="00CE68A4">
              <w:rPr>
                <w:rFonts w:ascii="Times New Roman" w:hAnsi="Times New Roman" w:cs="Times New Roman"/>
                <w:sz w:val="24"/>
                <w:szCs w:val="24"/>
                <w:vertAlign w:val="superscript"/>
                <w:lang w:eastAsia="en-GB"/>
              </w:rPr>
              <w:t>[1]</w:t>
            </w:r>
          </w:p>
        </w:tc>
        <w:tc>
          <w:tcPr>
            <w:tcW w:w="2632" w:type="dxa"/>
            <w:tcBorders>
              <w:top w:val="nil"/>
              <w:left w:val="nil"/>
              <w:bottom w:val="nil"/>
              <w:right w:val="nil"/>
            </w:tcBorders>
            <w:hideMark/>
          </w:tcPr>
          <w:p w14:paraId="550A3152"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424</w:t>
            </w:r>
            <w:r w:rsidRPr="007D699F">
              <w:rPr>
                <w:rFonts w:ascii="Times New Roman" w:hAnsi="Times New Roman" w:cs="Times New Roman"/>
                <w:sz w:val="24"/>
                <w:szCs w:val="24"/>
                <w:vertAlign w:val="superscript"/>
                <w:lang w:eastAsia="en-GB"/>
              </w:rPr>
              <w:t>[1]</w:t>
            </w:r>
          </w:p>
        </w:tc>
        <w:tc>
          <w:tcPr>
            <w:tcW w:w="2060" w:type="dxa"/>
            <w:tcBorders>
              <w:top w:val="nil"/>
              <w:left w:val="nil"/>
              <w:bottom w:val="nil"/>
              <w:right w:val="nil"/>
            </w:tcBorders>
            <w:hideMark/>
          </w:tcPr>
          <w:p w14:paraId="031304B7"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1.16 *</w:t>
            </w:r>
          </w:p>
        </w:tc>
        <w:tc>
          <w:tcPr>
            <w:tcW w:w="1450" w:type="dxa"/>
            <w:tcBorders>
              <w:top w:val="nil"/>
              <w:left w:val="nil"/>
              <w:bottom w:val="nil"/>
              <w:right w:val="nil"/>
            </w:tcBorders>
            <w:hideMark/>
          </w:tcPr>
          <w:p w14:paraId="0BA87F81"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100.42</w:t>
            </w:r>
          </w:p>
        </w:tc>
      </w:tr>
      <w:tr w:rsidR="00F62F6B" w:rsidRPr="007D699F" w14:paraId="074EA6A7" w14:textId="77777777" w:rsidTr="006C247F">
        <w:trPr>
          <w:gridAfter w:val="1"/>
          <w:wAfter w:w="17" w:type="dxa"/>
          <w:trHeight w:val="21"/>
          <w:jc w:val="center"/>
        </w:trPr>
        <w:tc>
          <w:tcPr>
            <w:tcW w:w="1185" w:type="dxa"/>
            <w:tcBorders>
              <w:top w:val="nil"/>
              <w:left w:val="nil"/>
              <w:bottom w:val="nil"/>
              <w:right w:val="nil"/>
            </w:tcBorders>
            <w:hideMark/>
          </w:tcPr>
          <w:p w14:paraId="0620C415" w14:textId="77777777" w:rsidR="00F62F6B" w:rsidRPr="00556067" w:rsidRDefault="00F62F6B" w:rsidP="00872636">
            <w:pPr>
              <w:tabs>
                <w:tab w:val="left" w:pos="567"/>
              </w:tabs>
              <w:spacing w:line="276" w:lineRule="auto"/>
              <w:ind w:right="-46"/>
              <w:rPr>
                <w:rFonts w:ascii="Times New Roman" w:hAnsi="Times New Roman" w:cs="Times New Roman"/>
                <w:sz w:val="24"/>
                <w:szCs w:val="24"/>
                <w:lang w:eastAsia="en-GB"/>
              </w:rPr>
            </w:pPr>
            <w:r w:rsidRPr="002201D7">
              <w:rPr>
                <w:rFonts w:ascii="Times New Roman" w:hAnsi="Times New Roman" w:cs="Times New Roman"/>
                <w:sz w:val="24"/>
                <w:szCs w:val="24"/>
                <w:lang w:eastAsia="en-GB"/>
              </w:rPr>
              <w:t>LNH</w:t>
            </w:r>
            <w:r w:rsidRPr="00A07220">
              <w:rPr>
                <w:rFonts w:ascii="Times New Roman" w:hAnsi="Times New Roman" w:cs="Times New Roman"/>
                <w:sz w:val="24"/>
                <w:szCs w:val="24"/>
                <w:vertAlign w:val="subscript"/>
                <w:lang w:eastAsia="en-GB"/>
              </w:rPr>
              <w:t>3</w:t>
            </w:r>
          </w:p>
        </w:tc>
        <w:tc>
          <w:tcPr>
            <w:tcW w:w="1962" w:type="dxa"/>
            <w:tcBorders>
              <w:top w:val="nil"/>
              <w:left w:val="nil"/>
              <w:bottom w:val="nil"/>
              <w:right w:val="nil"/>
            </w:tcBorders>
            <w:hideMark/>
          </w:tcPr>
          <w:p w14:paraId="320F1C51"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CE68A4">
              <w:rPr>
                <w:rFonts w:ascii="Times New Roman" w:hAnsi="Times New Roman" w:cs="Times New Roman"/>
                <w:sz w:val="24"/>
                <w:szCs w:val="24"/>
                <w:lang w:eastAsia="en-GB"/>
              </w:rPr>
              <w:t>18.6</w:t>
            </w:r>
            <w:r w:rsidRPr="007D699F">
              <w:rPr>
                <w:rFonts w:ascii="Times New Roman" w:hAnsi="Times New Roman" w:cs="Times New Roman"/>
                <w:sz w:val="24"/>
                <w:szCs w:val="24"/>
                <w:vertAlign w:val="superscript"/>
                <w:lang w:eastAsia="en-GB"/>
              </w:rPr>
              <w:t>[1]</w:t>
            </w:r>
          </w:p>
        </w:tc>
        <w:tc>
          <w:tcPr>
            <w:tcW w:w="2632" w:type="dxa"/>
            <w:tcBorders>
              <w:top w:val="nil"/>
              <w:left w:val="nil"/>
              <w:bottom w:val="nil"/>
              <w:right w:val="nil"/>
            </w:tcBorders>
            <w:hideMark/>
          </w:tcPr>
          <w:p w14:paraId="08BE1C3B"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730</w:t>
            </w:r>
            <w:r w:rsidRPr="007D699F">
              <w:rPr>
                <w:rFonts w:ascii="Times New Roman" w:hAnsi="Times New Roman" w:cs="Times New Roman"/>
                <w:sz w:val="24"/>
                <w:szCs w:val="24"/>
                <w:vertAlign w:val="superscript"/>
                <w:lang w:eastAsia="en-GB"/>
              </w:rPr>
              <w:t>[1]</w:t>
            </w:r>
          </w:p>
        </w:tc>
        <w:tc>
          <w:tcPr>
            <w:tcW w:w="2060" w:type="dxa"/>
            <w:tcBorders>
              <w:top w:val="nil"/>
              <w:left w:val="nil"/>
              <w:bottom w:val="nil"/>
              <w:right w:val="nil"/>
            </w:tcBorders>
            <w:hideMark/>
          </w:tcPr>
          <w:p w14:paraId="004DBDE2"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0.40</w:t>
            </w:r>
            <w:r w:rsidRPr="007D699F">
              <w:rPr>
                <w:rFonts w:ascii="Times New Roman" w:hAnsi="Times New Roman" w:cs="Times New Roman"/>
                <w:sz w:val="24"/>
                <w:szCs w:val="24"/>
                <w:vertAlign w:val="superscript"/>
                <w:lang w:eastAsia="en-GB"/>
              </w:rPr>
              <w:t>[4]</w:t>
            </w:r>
          </w:p>
        </w:tc>
        <w:tc>
          <w:tcPr>
            <w:tcW w:w="1450" w:type="dxa"/>
            <w:tcBorders>
              <w:top w:val="nil"/>
              <w:left w:val="nil"/>
              <w:bottom w:val="nil"/>
              <w:right w:val="nil"/>
            </w:tcBorders>
            <w:hideMark/>
          </w:tcPr>
          <w:p w14:paraId="417A2E4A"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92.90</w:t>
            </w:r>
          </w:p>
        </w:tc>
      </w:tr>
      <w:tr w:rsidR="00F62F6B" w:rsidRPr="007D699F" w14:paraId="25B20E32" w14:textId="77777777" w:rsidTr="006C247F">
        <w:trPr>
          <w:gridAfter w:val="1"/>
          <w:wAfter w:w="17" w:type="dxa"/>
          <w:trHeight w:val="21"/>
          <w:jc w:val="center"/>
        </w:trPr>
        <w:tc>
          <w:tcPr>
            <w:tcW w:w="1185" w:type="dxa"/>
            <w:tcBorders>
              <w:top w:val="nil"/>
              <w:left w:val="nil"/>
              <w:bottom w:val="nil"/>
              <w:right w:val="nil"/>
            </w:tcBorders>
            <w:hideMark/>
          </w:tcPr>
          <w:p w14:paraId="6F5C0764" w14:textId="77777777" w:rsidR="00F62F6B" w:rsidRPr="00A07220" w:rsidRDefault="00F62F6B" w:rsidP="00872636">
            <w:pPr>
              <w:tabs>
                <w:tab w:val="left" w:pos="567"/>
              </w:tabs>
              <w:spacing w:line="276" w:lineRule="auto"/>
              <w:ind w:right="-46"/>
              <w:rPr>
                <w:rFonts w:ascii="Times New Roman" w:hAnsi="Times New Roman" w:cs="Times New Roman"/>
                <w:sz w:val="24"/>
                <w:szCs w:val="24"/>
                <w:lang w:eastAsia="en-GB"/>
              </w:rPr>
            </w:pPr>
            <w:r w:rsidRPr="002201D7">
              <w:rPr>
                <w:rFonts w:ascii="Times New Roman" w:hAnsi="Times New Roman" w:cs="Times New Roman"/>
                <w:sz w:val="24"/>
                <w:szCs w:val="24"/>
                <w:lang w:eastAsia="en-GB"/>
              </w:rPr>
              <w:t>Methanol</w:t>
            </w:r>
          </w:p>
        </w:tc>
        <w:tc>
          <w:tcPr>
            <w:tcW w:w="1962" w:type="dxa"/>
            <w:tcBorders>
              <w:top w:val="nil"/>
              <w:left w:val="nil"/>
              <w:bottom w:val="nil"/>
              <w:right w:val="nil"/>
            </w:tcBorders>
            <w:hideMark/>
          </w:tcPr>
          <w:p w14:paraId="38948668"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19.9</w:t>
            </w:r>
            <w:r w:rsidRPr="00CE68A4">
              <w:rPr>
                <w:rFonts w:ascii="Times New Roman" w:hAnsi="Times New Roman" w:cs="Times New Roman"/>
                <w:sz w:val="24"/>
                <w:szCs w:val="24"/>
                <w:vertAlign w:val="superscript"/>
                <w:lang w:eastAsia="en-GB"/>
              </w:rPr>
              <w:t>[1]</w:t>
            </w:r>
          </w:p>
        </w:tc>
        <w:tc>
          <w:tcPr>
            <w:tcW w:w="2632" w:type="dxa"/>
            <w:tcBorders>
              <w:top w:val="nil"/>
              <w:left w:val="nil"/>
              <w:bottom w:val="nil"/>
              <w:right w:val="nil"/>
            </w:tcBorders>
            <w:hideMark/>
          </w:tcPr>
          <w:p w14:paraId="34F52005"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796</w:t>
            </w:r>
            <w:r w:rsidRPr="007D699F">
              <w:rPr>
                <w:rFonts w:ascii="Times New Roman" w:hAnsi="Times New Roman" w:cs="Times New Roman"/>
                <w:sz w:val="24"/>
                <w:szCs w:val="24"/>
                <w:vertAlign w:val="superscript"/>
                <w:lang w:eastAsia="en-GB"/>
              </w:rPr>
              <w:t>[1]</w:t>
            </w:r>
          </w:p>
        </w:tc>
        <w:tc>
          <w:tcPr>
            <w:tcW w:w="2060" w:type="dxa"/>
            <w:tcBorders>
              <w:top w:val="nil"/>
              <w:left w:val="nil"/>
              <w:bottom w:val="nil"/>
              <w:right w:val="nil"/>
            </w:tcBorders>
            <w:hideMark/>
          </w:tcPr>
          <w:p w14:paraId="3ADA2A4C"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0.46</w:t>
            </w:r>
            <w:r w:rsidRPr="007D699F">
              <w:rPr>
                <w:rFonts w:ascii="Times New Roman" w:hAnsi="Times New Roman" w:cs="Times New Roman"/>
                <w:sz w:val="24"/>
                <w:szCs w:val="24"/>
                <w:vertAlign w:val="superscript"/>
                <w:lang w:eastAsia="en-GB"/>
              </w:rPr>
              <w:t>[4]</w:t>
            </w:r>
          </w:p>
        </w:tc>
        <w:tc>
          <w:tcPr>
            <w:tcW w:w="1450" w:type="dxa"/>
            <w:tcBorders>
              <w:top w:val="nil"/>
              <w:left w:val="nil"/>
              <w:bottom w:val="nil"/>
              <w:right w:val="nil"/>
            </w:tcBorders>
            <w:hideMark/>
          </w:tcPr>
          <w:p w14:paraId="5E956E37"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99.93</w:t>
            </w:r>
          </w:p>
        </w:tc>
      </w:tr>
      <w:tr w:rsidR="00F62F6B" w:rsidRPr="007D699F" w14:paraId="613C0C5C" w14:textId="77777777" w:rsidTr="006C247F">
        <w:trPr>
          <w:gridAfter w:val="1"/>
          <w:wAfter w:w="17" w:type="dxa"/>
          <w:trHeight w:val="21"/>
          <w:jc w:val="center"/>
        </w:trPr>
        <w:tc>
          <w:tcPr>
            <w:tcW w:w="1185" w:type="dxa"/>
            <w:tcBorders>
              <w:top w:val="nil"/>
              <w:left w:val="nil"/>
              <w:bottom w:val="single" w:sz="4" w:space="0" w:color="auto"/>
              <w:right w:val="nil"/>
            </w:tcBorders>
            <w:hideMark/>
          </w:tcPr>
          <w:p w14:paraId="3AD76251" w14:textId="77777777" w:rsidR="00F62F6B" w:rsidRPr="00A07220" w:rsidRDefault="00F62F6B" w:rsidP="00872636">
            <w:pPr>
              <w:tabs>
                <w:tab w:val="left" w:pos="567"/>
              </w:tabs>
              <w:spacing w:line="276" w:lineRule="auto"/>
              <w:ind w:right="-46"/>
              <w:rPr>
                <w:rFonts w:ascii="Times New Roman" w:hAnsi="Times New Roman" w:cs="Times New Roman"/>
                <w:sz w:val="24"/>
                <w:szCs w:val="24"/>
                <w:lang w:eastAsia="en-GB"/>
              </w:rPr>
            </w:pPr>
            <w:r w:rsidRPr="002201D7">
              <w:rPr>
                <w:rFonts w:ascii="Times New Roman" w:hAnsi="Times New Roman" w:cs="Times New Roman"/>
                <w:sz w:val="24"/>
                <w:szCs w:val="24"/>
                <w:lang w:eastAsia="en-GB"/>
              </w:rPr>
              <w:t>Ethanol</w:t>
            </w:r>
          </w:p>
        </w:tc>
        <w:tc>
          <w:tcPr>
            <w:tcW w:w="1962" w:type="dxa"/>
            <w:tcBorders>
              <w:top w:val="nil"/>
              <w:left w:val="nil"/>
              <w:bottom w:val="single" w:sz="4" w:space="0" w:color="auto"/>
              <w:right w:val="nil"/>
            </w:tcBorders>
            <w:hideMark/>
          </w:tcPr>
          <w:p w14:paraId="73E38235"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27.2</w:t>
            </w:r>
            <w:r w:rsidRPr="00CE68A4">
              <w:rPr>
                <w:rFonts w:ascii="Times New Roman" w:hAnsi="Times New Roman" w:cs="Times New Roman"/>
                <w:sz w:val="24"/>
                <w:szCs w:val="24"/>
                <w:vertAlign w:val="superscript"/>
                <w:lang w:eastAsia="en-GB"/>
              </w:rPr>
              <w:t>[1]</w:t>
            </w:r>
          </w:p>
        </w:tc>
        <w:tc>
          <w:tcPr>
            <w:tcW w:w="2632" w:type="dxa"/>
            <w:tcBorders>
              <w:top w:val="nil"/>
              <w:left w:val="nil"/>
              <w:bottom w:val="single" w:sz="4" w:space="0" w:color="auto"/>
              <w:right w:val="nil"/>
            </w:tcBorders>
            <w:hideMark/>
          </w:tcPr>
          <w:p w14:paraId="7A0721B6"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794</w:t>
            </w:r>
            <w:r w:rsidRPr="007D699F">
              <w:rPr>
                <w:rFonts w:ascii="Times New Roman" w:hAnsi="Times New Roman" w:cs="Times New Roman"/>
                <w:sz w:val="24"/>
                <w:szCs w:val="24"/>
                <w:vertAlign w:val="superscript"/>
                <w:lang w:eastAsia="en-GB"/>
              </w:rPr>
              <w:t>[1]</w:t>
            </w:r>
          </w:p>
        </w:tc>
        <w:tc>
          <w:tcPr>
            <w:tcW w:w="2060" w:type="dxa"/>
            <w:tcBorders>
              <w:top w:val="nil"/>
              <w:left w:val="nil"/>
              <w:bottom w:val="single" w:sz="4" w:space="0" w:color="auto"/>
              <w:right w:val="nil"/>
            </w:tcBorders>
            <w:hideMark/>
          </w:tcPr>
          <w:p w14:paraId="7EA54A0F"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0.63 ***</w:t>
            </w:r>
          </w:p>
        </w:tc>
        <w:tc>
          <w:tcPr>
            <w:tcW w:w="1450" w:type="dxa"/>
            <w:tcBorders>
              <w:top w:val="nil"/>
              <w:left w:val="nil"/>
              <w:bottom w:val="single" w:sz="4" w:space="0" w:color="auto"/>
              <w:right w:val="nil"/>
            </w:tcBorders>
            <w:hideMark/>
          </w:tcPr>
          <w:p w14:paraId="261726E6"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99.95 **</w:t>
            </w:r>
          </w:p>
        </w:tc>
      </w:tr>
      <w:tr w:rsidR="00F62F6B" w:rsidRPr="007D699F" w14:paraId="3695E36E" w14:textId="77777777" w:rsidTr="006C247F">
        <w:trPr>
          <w:trHeight w:val="4"/>
          <w:jc w:val="center"/>
        </w:trPr>
        <w:tc>
          <w:tcPr>
            <w:tcW w:w="9306" w:type="dxa"/>
            <w:gridSpan w:val="6"/>
            <w:tcBorders>
              <w:top w:val="single" w:sz="4" w:space="0" w:color="auto"/>
              <w:left w:val="nil"/>
              <w:bottom w:val="single" w:sz="4" w:space="0" w:color="auto"/>
              <w:right w:val="nil"/>
            </w:tcBorders>
            <w:vAlign w:val="center"/>
            <w:hideMark/>
          </w:tcPr>
          <w:p w14:paraId="57B31836" w14:textId="77777777" w:rsidR="00F62F6B" w:rsidRPr="00A07220" w:rsidRDefault="00F62F6B" w:rsidP="00872636">
            <w:pPr>
              <w:tabs>
                <w:tab w:val="left" w:pos="567"/>
              </w:tabs>
              <w:spacing w:line="276" w:lineRule="auto"/>
              <w:ind w:right="-46"/>
              <w:rPr>
                <w:rFonts w:ascii="Times New Roman" w:hAnsi="Times New Roman" w:cs="Times New Roman"/>
                <w:sz w:val="24"/>
                <w:szCs w:val="24"/>
                <w:lang w:eastAsia="en-GB"/>
              </w:rPr>
            </w:pPr>
            <w:r w:rsidRPr="002201D7">
              <w:rPr>
                <w:rFonts w:ascii="Times New Roman" w:hAnsi="Times New Roman" w:cs="Times New Roman"/>
                <w:sz w:val="24"/>
                <w:szCs w:val="24"/>
                <w:lang w:eastAsia="en-GB"/>
              </w:rPr>
              <w:t xml:space="preserve">* Calculated using GasTurb 13 </w:t>
            </w:r>
          </w:p>
          <w:p w14:paraId="0CB4B3F3" w14:textId="77777777" w:rsidR="00F62F6B" w:rsidRPr="007D699F" w:rsidRDefault="00F62F6B" w:rsidP="00872636">
            <w:pPr>
              <w:tabs>
                <w:tab w:val="left" w:pos="567"/>
              </w:tabs>
              <w:spacing w:line="276" w:lineRule="auto"/>
              <w:ind w:right="-46"/>
              <w:rPr>
                <w:rFonts w:ascii="Times New Roman" w:hAnsi="Times New Roman" w:cs="Times New Roman"/>
                <w:sz w:val="24"/>
                <w:szCs w:val="24"/>
                <w:lang w:eastAsia="en-GB"/>
              </w:rPr>
            </w:pPr>
            <w:r w:rsidRPr="00556067">
              <w:rPr>
                <w:rFonts w:ascii="Times New Roman" w:hAnsi="Times New Roman" w:cs="Times New Roman"/>
                <w:sz w:val="24"/>
                <w:szCs w:val="24"/>
                <w:lang w:eastAsia="en-GB"/>
              </w:rPr>
              <w:t xml:space="preserve">** is </w:t>
            </w:r>
            <w:r w:rsidRPr="00CE68A4">
              <w:rPr>
                <w:rFonts w:ascii="Times New Roman" w:hAnsi="Times New Roman" w:cs="Times New Roman"/>
                <w:sz w:val="24"/>
                <w:szCs w:val="24"/>
                <w:lang w:eastAsia="en-GB"/>
              </w:rPr>
              <w:t>assumed value and *** is calculated based on it</w:t>
            </w:r>
          </w:p>
          <w:p w14:paraId="0B682D13" w14:textId="0AB89146" w:rsidR="00F62F6B" w:rsidRPr="002201D7" w:rsidRDefault="00F62F6B" w:rsidP="00872636">
            <w:pPr>
              <w:tabs>
                <w:tab w:val="left" w:pos="567"/>
              </w:tabs>
              <w:spacing w:line="276" w:lineRule="auto"/>
              <w:ind w:right="-46"/>
              <w:rPr>
                <w:rFonts w:ascii="Times New Roman" w:hAnsi="Times New Roman" w:cs="Times New Roman"/>
                <w:sz w:val="24"/>
                <w:szCs w:val="24"/>
                <w:lang w:eastAsia="en-GB"/>
              </w:rPr>
            </w:pPr>
            <w:r w:rsidRPr="007D699F">
              <w:rPr>
                <w:rFonts w:ascii="Times New Roman" w:hAnsi="Times New Roman" w:cs="Times New Roman"/>
                <w:sz w:val="24"/>
                <w:szCs w:val="24"/>
                <w:vertAlign w:val="superscript"/>
                <w:lang w:eastAsia="en-GB"/>
              </w:rPr>
              <w:t>[1]</w:t>
            </w:r>
            <w:r w:rsidRPr="007D699F">
              <w:rPr>
                <w:rFonts w:ascii="Times New Roman" w:hAnsi="Times New Roman" w:cs="Times New Roman"/>
                <w:sz w:val="24"/>
                <w:szCs w:val="24"/>
                <w:lang w:eastAsia="en-GB"/>
              </w:rPr>
              <w:t xml:space="preserve"> </w:t>
            </w:r>
            <w:r w:rsidRPr="00A07220">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{"citationItems":[{"id":"ITEM-1","itemData":{"DOI":"10.1016/j.ijhydene.2016.12.119","ISSN":"03603199","abstract":"In the present study, hydrogen and some other alternative fuels (such as ammonia, methanol, ethanol, liquefied natural gas) are considered for aviation applications under a comprehensive life cycle assessment study and are evaluated comparatively with the conventional kerosene based jet fuel for various impact categories. Therefore, this study is performed with a well-to-wake approach to evaluate the overall life cycle of an aircraft running on these conventional and alternative fuels. Both conventional and renewable fuel routes are considered for the production of ammonia and hydrogen fuels. Although there are modifications required to fulfill the aviation fuel specifications for such alternative fuels, the long term viability and environmental sustainability make them attractive solutions for the future of aviation industry. This study uses a life cycle assessment of an average aircraft utilizing various alternative aviation fuels to determine the relative environmental impact of each life cycle phase. The life cycle phases included in the analyses are as follows: (i) production, operation and maintenance of the aircraft, (ii) construction, maintenance and disposal of the airport, (iii) production, transportation and utilization of the aviation fuel in the aircraft. The results show that hydrogen and liquefied natural gas represent more environmentally benign alternatives although fuel costs are higher compared to ammonia, jet fuel and methanol. The total GHG emissions from hydropower based ammonia and hydrogen are calculated to be about 0.24 kg CO2 eq. per traveled tonne-km and 0.03 kg CO2 eq. per traveled tonne-km, respectively. Renewable based ammonia and hydrogen fueled aircrafts can further decrease the overall environmental impact in many categories allowing a brighter future for aviation industry.","author":[{"dropping-particle":"","family":"Bicer","given":"Yusuf","non-dropping-particle":"","parse-names":false,"suffix":""},{"dropping-particle":"","family":"Dincer","given":"Ibrahim","non-dropping-particle":"","parse-names":false,"suffix":""}],"container-title":"International Journal of Hydrogen Energy","id":"ITEM-1","issue":"16","issued":{"date-parts":[["2017","4","20"]]},"page":"10722-10738","publisher":"Elsevier Ltd","title":"Life cycle evaluation of hydrogen and other potential fuels for aircrafts","type":"article-journal","volume":"42"},"uris":["http://www.mendeley.com/documents/?uuid=2a2cc1c3-f7c4-37da-9506-37d410e87790"]}],"mendeley":{"formattedCitation":"[2]","plainTextFormattedCitation":"[2]","previouslyFormattedCitation":"[2]"},"properties":{"noteIndex":0},"schema":"https://github.com/citation-style-language/schema/raw/master/csl-citation.json"}</w:instrText>
            </w:r>
            <w:r w:rsidRPr="00A07220">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[2]</w:t>
            </w:r>
            <w:r w:rsidRPr="00A07220">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xml:space="preserve">, </w:t>
            </w:r>
            <w:r w:rsidRPr="00A07220">
              <w:rPr>
                <w:rFonts w:ascii="Times New Roman" w:hAnsi="Times New Roman" w:cs="Times New Roman"/>
                <w:sz w:val="24"/>
                <w:szCs w:val="24"/>
                <w:vertAlign w:val="superscript"/>
                <w:lang w:eastAsia="en-GB"/>
              </w:rPr>
              <w:t>[2]</w:t>
            </w:r>
            <w:r w:rsidRPr="00556067">
              <w:rPr>
                <w:rFonts w:ascii="Times New Roman" w:hAnsi="Times New Roman" w:cs="Times New Roman"/>
                <w:sz w:val="24"/>
                <w:szCs w:val="24"/>
                <w:lang w:eastAsia="en-GB"/>
              </w:rPr>
              <w:t xml:space="preserve"> </w:t>
            </w:r>
            <w:r w:rsidRPr="00A07220">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{"citationItems":[{"id":"ITEM-1","itemData":{"URL":"https://greet.es.anl.gov/","author":[{"dropping-particle":"","family":"ANL","given":"","non-dropping-particle":"","parse-names":false,"suffix":""}],"container-title":"Argonne National Laboratory","edition":"2018","id":"ITEM-1","issued":{"date-parts":[["2021"]]},"publisher":"Argonne National Laboratory","title":"GREET 2021","type":"webpage"},"uris":["http://www.mendeley.com/documents/?uuid=949e8eba-2cad-421a-bac5-b87b571833ac"]}],"mendeley":{"formattedCitation":"[13]","plainTextFormattedCitation":"[13]","previouslyFormattedCitation":"[13]"},"properties":{"noteIndex":0},"schema":"https://github.com/citation-style-language/schema/raw/master/csl-citation.json"}</w:instrText>
            </w:r>
            <w:r w:rsidRPr="00A07220">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[13]</w:t>
            </w:r>
            <w:r w:rsidRPr="00A07220">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xml:space="preserve">, </w:t>
            </w:r>
            <w:r w:rsidRPr="00A07220">
              <w:rPr>
                <w:rFonts w:ascii="Times New Roman" w:hAnsi="Times New Roman" w:cs="Times New Roman"/>
                <w:sz w:val="24"/>
                <w:szCs w:val="24"/>
                <w:vertAlign w:val="superscript"/>
                <w:lang w:eastAsia="en-GB"/>
              </w:rPr>
              <w:t>[3]</w:t>
            </w:r>
            <w:r w:rsidRPr="00556067">
              <w:rPr>
                <w:rFonts w:ascii="Times New Roman" w:hAnsi="Times New Roman" w:cs="Times New Roman"/>
                <w:sz w:val="24"/>
                <w:szCs w:val="24"/>
                <w:lang w:eastAsia="en-GB"/>
              </w:rPr>
              <w:t xml:space="preserve"> </w:t>
            </w:r>
            <w:r w:rsidRPr="00A07220">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{"citationItems":[{"id":"ITEM-1","itemData":{"author":[{"dropping-particle":"","family":"Verstraete","given":"Dries","non-dropping-particle":"","parse-names":false,"suffix":""}],"id":"ITEM-1","issued":{"date-parts":[["2009"]]},"publisher":"Cranfield University","title":"The Potential of Liquid Hydrogen for long range aircraft propulsion","type":"report"},"uris":["http://www.mendeley.com/documents/?uuid=b6f425eb-0719-3b8b-955c-5bc2a00e9eb9"]}],"mendeley":{"formattedCitation":"[86]","plainTextFormattedCitation":"[86]","previouslyFormattedCitation":"[86]"},"properties":{"noteIndex":0},"schema":"https://github.com/citation-style-language/schema/raw/master/csl-citation.json"}</w:instrText>
            </w:r>
            <w:r w:rsidRPr="00A07220">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[86]</w:t>
            </w:r>
            <w:r w:rsidRPr="00A07220">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xml:space="preserve">, </w:t>
            </w:r>
            <w:r w:rsidRPr="00A07220">
              <w:rPr>
                <w:rFonts w:ascii="Times New Roman" w:hAnsi="Times New Roman" w:cs="Times New Roman"/>
                <w:sz w:val="24"/>
                <w:szCs w:val="24"/>
                <w:vertAlign w:val="superscript"/>
                <w:lang w:eastAsia="en-GB"/>
              </w:rPr>
              <w:t>[4]</w:t>
            </w:r>
            <w:r w:rsidRPr="00556067">
              <w:rPr>
                <w:rFonts w:ascii="Times New Roman" w:hAnsi="Times New Roman" w:cs="Times New Roman"/>
                <w:sz w:val="24"/>
                <w:szCs w:val="24"/>
                <w:lang w:eastAsia="en-GB"/>
              </w:rPr>
              <w:t xml:space="preserve"> </w:t>
            </w:r>
            <w:r w:rsidRPr="00A07220">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{"citationItems":[{"id":"ITEM-1","itemData":{"DOI":"10.3390/en11020392","ISSN":"1996-1073","abstract":"With the growth of aviation traffic and the demand for emission reduction, alternative fuels like the so-called electrofuels could comprise a sustainable solution. Electrofuels are understood as those that use renewable energy for fuel synthesis and that are carbon-neutral with respect to greenhouse gas emission. In this study, five potential electrofuels are discussed with respect to the potential application as aviation fuels, being n-octane, methanol, methane, hydrogen and ammonia, and compared to conventional Jet A-1 fuel. Three important aspects are illuminated. Firstly, the synthesis process of the electrofuel is described with its technological paths, its energy efficiency and the maturity or research need of the production. Secondly, the physico-chemical properties are compared with respect to specific energy, energy density, as well as those properties relevant to the combustion of the fuels, i.e., autoignition delay time, adiabatic flame temperature, laminar flame speed and extinction strain rate. Results show that the physical and combustion properties significantly differ from jet fuel, except for n-octane. The results describe how the different electrofuels perform with respect to important aspects such as fuel and air mass flow rates. In addition, the results help determine mixture properties of the exhaust gas for each electrofuel. Thirdly, a turbine configuration is investigated at a constant operating point to further analyze the drop-in potential of electrofuels in aircraft engines. It is found that electrofuels can generally substitute conventional kerosene-based fuels, but have some downsides in the form of higher structural loads and potentially lower efficiencies. Finally, a preliminary comparative evaluation matrix is developed. It contains specifically those fields for the different proposed electrofuels where special challenges and problematic points are seen that need more research for potential application. Synthetically-produced n-octane is seen as a potential candidate for a future electrofuel where even a drop-in capability is given. For the other fuels, more issues need further research to allow the application as electrofuels in aviation. Specifically interesting could be the combination of hydrogen with ammonia in the far future; however, the research is just at the beginning stage.","author":[{"dropping-particle":"","family":"Goldmann","given":"Andreas","non-dropping-particle":"","parse-names":false,"suffix":""},{"dropping-particle":"","family":"Sauter","given":"Waldemar","non-dropping-particle":"","parse-names":false,"suffix":""},{"dropping-particle":"","family":"Oettinger","given":"Marcel","non-dropping-particle":"","parse-names":false,"suffix":""},{"dropping-particle":"","family":"Kluge","given":"Tim","non-dropping-particle":"","parse-names":false,"suffix":""},{"dropping-particle":"","family":"Schröder","given":"Uwe","non-dropping-particle":"","parse-names":false,"suffix":""},{"dropping-particle":"","family":"Seume","given":"Joerg","non-dropping-particle":"","parse-names":false,"suffix":""},{"dropping-particle":"","family":"Friedrichs","given":"Jens","non-dropping-particle":"","parse-names":false,"suffix":""},{"dropping-particle":"","family":"Dinkelacker","given":"Friedrich","non-dropping-particle":"","parse-names":false,"suffix":""}],"container-title":"Energies","id":"ITEM-1","issue":"2","issued":{"date-parts":[["2018","2","8"]]},"page":"392","publisher":"MDPI AG","title":"A Study on Electrofuels in Aviation","type":"article-journal","volume":"11"},"uris":["http://www.mendeley.com/documents/?uuid=f9331192-d0e6-3153-b3b7-8464182babd3"]}],"mendeley":{"formattedCitation":"[85]","plainTextFormattedCitation":"[85]","previouslyFormattedCitation":"[85]"},"properties":{"noteIndex":0},"schema":"https://github.com/citation-style-language/schema/raw/master/csl-citation.json"}</w:instrText>
            </w:r>
            <w:r w:rsidRPr="00A07220">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[85]</w:t>
            </w:r>
            <w:r w:rsidRPr="00A07220">
              <w:rPr>
                <w:rFonts w:ascii="Times New Roman" w:hAnsi="Times New Roman" w:cs="Times New Roman"/>
                <w:sz w:val="24"/>
                <w:szCs w:val="24"/>
                <w:lang w:eastAsia="en-GB"/>
              </w:rPr>
              <w:fldChar w:fldCharType="end"/>
            </w:r>
          </w:p>
        </w:tc>
      </w:tr>
    </w:tbl>
    <w:p w14:paraId="2F42CF46" w14:textId="77777777" w:rsidR="00F62F6B" w:rsidRPr="002201D7" w:rsidRDefault="00F62F6B" w:rsidP="00F62F6B">
      <w:pPr>
        <w:spacing w:after="0" w:line="480" w:lineRule="auto"/>
        <w:rPr>
          <w:rFonts w:ascii="Times New Roman" w:hAnsi="Times New Roman" w:cs="Times New Roman"/>
          <w:sz w:val="24"/>
          <w:szCs w:val="24"/>
          <w:lang w:eastAsia="en-GB"/>
        </w:rPr>
      </w:pPr>
    </w:p>
    <w:p w14:paraId="311681E1" w14:textId="77777777" w:rsidR="00F62F6B" w:rsidRPr="00556067" w:rsidRDefault="00F62F6B" w:rsidP="00F62F6B">
      <w:pPr>
        <w:spacing w:line="480" w:lineRule="auto"/>
        <w:rPr>
          <w:rFonts w:ascii="Times New Roman" w:hAnsi="Times New Roman" w:cs="Times New Roman"/>
          <w:sz w:val="24"/>
          <w:szCs w:val="24"/>
          <w:lang w:eastAsia="en-GB"/>
        </w:rPr>
      </w:pPr>
      <w:r w:rsidRPr="00A07220">
        <w:rPr>
          <w:rFonts w:ascii="Times New Roman" w:hAnsi="Times New Roman" w:cs="Times New Roman"/>
          <w:sz w:val="24"/>
          <w:szCs w:val="24"/>
          <w:lang w:eastAsia="en-GB"/>
        </w:rPr>
        <w:t>Lost fuel factor</w:t>
      </w:r>
      <w:r w:rsidRPr="00556067">
        <w:rPr>
          <w:rFonts w:ascii="Times New Roman" w:hAnsi="Times New Roman" w:cs="Times New Roman"/>
          <w:sz w:val="24"/>
          <w:szCs w:val="24"/>
          <w:lang w:eastAsia="en-GB"/>
        </w:rPr>
        <w:t>:</w:t>
      </w:r>
    </w:p>
    <w:p w14:paraId="47815939" w14:textId="4FB585A2" w:rsidR="00F62F6B" w:rsidRPr="00872636" w:rsidRDefault="00F62F6B" w:rsidP="00F62F6B">
      <w:pPr>
        <w:spacing w:line="480" w:lineRule="auto"/>
        <w:jc w:val="both"/>
        <w:rPr>
          <w:sz w:val="24"/>
          <w:szCs w:val="24"/>
          <w:lang w:eastAsia="en-GB"/>
        </w:rPr>
      </w:pPr>
      <w:r w:rsidRPr="00CE68A4">
        <w:rPr>
          <w:rFonts w:ascii="Times New Roman" w:hAnsi="Times New Roman" w:cs="Times New Roman"/>
          <w:sz w:val="24"/>
          <w:szCs w:val="24"/>
          <w:lang w:eastAsia="en-GB"/>
        </w:rPr>
        <w:tab/>
        <w:t>Equatio</w:t>
      </w:r>
      <w:r w:rsidRPr="007D699F">
        <w:rPr>
          <w:rFonts w:ascii="Times New Roman" w:hAnsi="Times New Roman" w:cs="Times New Roman"/>
          <w:sz w:val="24"/>
          <w:szCs w:val="24"/>
          <w:lang w:eastAsia="en-GB"/>
        </w:rPr>
        <w:t>n 1</w:t>
      </w:r>
      <w:r w:rsidR="007D699F">
        <w:rPr>
          <w:rFonts w:ascii="Times New Roman" w:hAnsi="Times New Roman" w:cs="Times New Roman"/>
          <w:sz w:val="24"/>
          <w:szCs w:val="24"/>
          <w:lang w:eastAsia="en-GB"/>
        </w:rPr>
        <w:t xml:space="preserve"> (in paper)</w:t>
      </w:r>
      <w:r w:rsidRPr="002201D7">
        <w:rPr>
          <w:rFonts w:ascii="Times New Roman" w:hAnsi="Times New Roman" w:cs="Times New Roman"/>
          <w:sz w:val="24"/>
          <w:szCs w:val="24"/>
          <w:lang w:eastAsia="en-GB"/>
        </w:rPr>
        <w:t xml:space="preserve"> estimates t</w:t>
      </w:r>
      <w:r w:rsidRPr="00A07220">
        <w:rPr>
          <w:rFonts w:ascii="Times New Roman" w:hAnsi="Times New Roman" w:cs="Times New Roman"/>
          <w:sz w:val="24"/>
          <w:szCs w:val="24"/>
          <w:lang w:eastAsia="en-GB"/>
        </w:rPr>
        <w:t xml:space="preserve">he aircraft range and we quantify the fuel consumed in non-cruise phases using the lost fuel factor, which represents a percentage of the GTOW and varies for different fuels </w:t>
      </w:r>
      <w:r w:rsidRPr="00A07220">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{"citationItems":[{"id":"ITEM-1","itemData":{"DOI":"10.2514/6.2010-1015","ISBN":"978-1-60086-959-4","abstract":"More than 90% of high-traffic scheduled flights are less than 1,500 nautical miles; however, the majority of aircraft used on these routes have design ranges considerably longer than 1,500 nm. We show that the impact of civil aviation on climate change can be reduced by using large aircraft designed specifically for the majority of flights - Large Aircraft for Short Ranges (LASR). The reduction in greenhouse gas emissions per passenger kilometer achieved by LASR aircraft is approximately 5% with respect to narrow body aircraft and 13% with respect to wide body aircraft. The LASR approach achieves this by a reduction in the operational empty weight afforded by a reduction in the maximum take-off weight. Since this approach does not require novel technology, it can be implemented immediately, yet remains complementary with future technological innovations. Copyright © 2010 by Gaetan K.W Kenway, Ryan Henderson, Jason E. Hicken, Nimeesha B. Kuntawala, David W. Zingg, Joaquim R. R. A. Martins, Ross G. McKeand.","author":[{"dropping-particle":"","family":"Kenway","given":"Gaetan","non-dropping-particle":"","parse-names":false,"suffix":""},{"dropping-particle":"","family":"Henderson","given":"Ryan","non-dropping-particle":"","parse-names":false,"suffix":""},{"dropping-particle":"","family":"Hicken","given":"Jason","non-dropping-particle":"","parse-names":false,"suffix":""},{"dropping-particle":"","family":"Kuntawala","given":"Nimeesha","non-dropping-particle":"","parse-names":false,"suffix":""},{"dropping-particle":"","family":"Zingg","given":"David","non-dropping-particle":"","parse-names":false,"suffix":""},{"dropping-particle":"","family":"Martins","given":"Joaquim","non-dropping-particle":"","parse-names":false,"suffix":""},{"dropping-particle":"","family":"McKeand","given":"Ross","non-dropping-particle":"","parse-names":false,"suffix":""}],"container-title":"48th AIAA Aerospace Sciences Meeting Including the New Horizons Forum and Aerospace Exposition","id":"ITEM-1","issued":{"date-parts":[["2010","1","4"]]},"publisher":"American Institute of Aeronautics and Astronautics","publisher-place":"Reston, Virigina","title":"Reducing Aviation's Environmental Impact Through Large Aircraft for Short Ranges","type":"paper-conference"},"uris":["http://www.mendeley.com/documents/?uuid=05dfcaa7-0ee7-361f-8194-e59756029e97"]},{"id":"ITEM-2","itemData":{"author":[{"dropping-particle":"","family":"RAeS","given":"","non-dropping-particle":"","parse-names":false,"suffix":""}],"id":"ITEM-2","issued":{"date-parts":[["2003"]]},"title":"Air Travel - Greener by Design The Technology Challenge, Report of the Technology Sub-Group","type":"report"},"uris":["http://www.mendeley.com/documents/?uuid=8427fd08-9f63-397e-bd26-49352c7fb801"]}],"mendeley":{"formattedCitation":"[88], [89]","plainTextFormattedCitation":"[88], [89]","previouslyFormattedCitation":"[88], [89]"},"properties":{"noteIndex":0},"schema":"https://github.com/citation-style-language/schema/raw/master/csl-citation.json"}</w:instrText>
      </w:r>
      <w:r w:rsidRPr="00A07220">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[88], [89]</w:t>
      </w:r>
      <w:r w:rsidRPr="00A07220">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The lost fuel factor for Jet-A and LH</w:t>
      </w:r>
      <w:r w:rsidRPr="00A07220">
        <w:rPr>
          <w:rFonts w:ascii="Times New Roman" w:hAnsi="Times New Roman" w:cs="Times New Roman"/>
          <w:sz w:val="24"/>
          <w:szCs w:val="24"/>
          <w:vertAlign w:val="subscript"/>
          <w:lang w:eastAsia="en-GB"/>
        </w:rPr>
        <w:t>2</w:t>
      </w:r>
      <w:r w:rsidRPr="00556067">
        <w:rPr>
          <w:rFonts w:ascii="Times New Roman" w:hAnsi="Times New Roman" w:cs="Times New Roman"/>
          <w:sz w:val="24"/>
          <w:szCs w:val="24"/>
          <w:lang w:eastAsia="en-GB"/>
        </w:rPr>
        <w:t xml:space="preserve"> fuel is 2.2% and 1.4% of the GTOW of the aircraft </w:t>
      </w:r>
      <w:r w:rsidRPr="00A07220">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{"citationItems":[{"id":"ITEM-1","itemData":{"DOI":"10.2514/6.2010-1015","ISBN":"978-1-60086-959-4","abstract":"More than 90% of high-traffic scheduled flights are less than 1,500 nautical miles; however, the majority of aircraft used on these routes have design ranges considerably longer than 1,500 nm. We show that the impact of civil aviation on climate change can be reduced by using large aircraft designed specifically for the majority of flights - Large Aircraft for Short Ranges (LASR). The reduction in greenhouse gas emissions per passenger kilometer achieved by LASR aircraft is approximately 5% with respect to narrow body aircraft and 13% with respect to wide body aircraft. The LASR approach achieves this by a reduction in the operational empty weight afforded by a reduction in the maximum take-off weight. Since this approach does not require novel technology, it can be implemented immediately, yet remains complementary with future technological innovations. Copyright © 2010 by Gaetan K.W Kenway, Ryan Henderson, Jason E. Hicken, Nimeesha B. Kuntawala, David W. Zingg, Joaquim R. R. A. Martins, Ross G. McKeand.","author":[{"dropping-particle":"","family":"Kenway","given":"Gaetan","non-dropping-particle":"","parse-names":false,"suffix":""},{"dropping-particle":"","family":"Henderson","given":"Ryan","non-dropping-particle":"","parse-names":false,"suffix":""},{"dropping-particle":"","family":"Hicken","given":"Jason","non-dropping-particle":"","parse-names":false,"suffix":""},{"dropping-particle":"","family":"Kuntawala","given":"Nimeesha","non-dropping-particle":"","parse-names":false,"suffix":""},{"dropping-particle":"","family":"Zingg","given":"David","non-dropping-particle":"","parse-names":false,"suffix":""},{"dropping-particle":"","family":"Martins","given":"Joaquim","non-dropping-particle":"","parse-names":false,"suffix":""},{"dropping-particle":"","family":"McKeand","given":"Ross","non-dropping-particle":"","parse-names":false,"suffix":""}],"container-title":"48th AIAA Aerospace Sciences Meeting Including the New Horizons Forum and Aerospace Exposition","id":"ITEM-1","issued":{"date-parts":[["2010","1","4"]]},"publisher":"American Institute of Aeronautics and Astronautics","publisher-place":"Reston, Virigina","title":"Reducing Aviation's Environmental Impact Through Large Aircraft for Short Ranges","type":"paper-conference"},"uris":["http://www.mendeley.com/documents/?uuid=05dfcaa7-0ee7-361f-8194-e59756029e97"]},{"id":"ITEM-2","itemData":{"author":[{"dropping-particle":"","family":"RAeS","given":"","non-dropping-particle":"","parse-names":false,"suffix":""}],"id":"ITEM-2","issued":{"date-parts":[["2003"]]},"title":"Air Travel - Greener by Design The Technology Challenge, Report of the Technology Sub-Group","type":"report"},"uris":["http://www.mendeley.com/documents/?uuid=8427fd08-9f63-397e-bd26-49352c7fb801"]}],"mendeley":{"formattedCitation":"[88], [89]","plainTextFormattedCitation":"[88], [89]","previouslyFormattedCitation":"[88], [89]"},"properties":{"noteIndex":0},"schema":"https://github.com/citation-style-language/schema/raw/master/csl-citation.json"}</w:instrText>
      </w:r>
      <w:r w:rsidRPr="00A07220">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[88], [89]</w:t>
      </w:r>
      <w:r w:rsidRPr="00A07220">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xml:space="preserve">, respectively. Using the findings listed in Table </w:t>
      </w:r>
      <w:r w:rsidR="00E57EC3">
        <w:rPr>
          <w:rFonts w:ascii="Times New Roman" w:hAnsi="Times New Roman" w:cs="Times New Roman"/>
          <w:sz w:val="24"/>
          <w:szCs w:val="24"/>
          <w:lang w:eastAsia="en-GB"/>
        </w:rPr>
        <w:t>SI 2</w:t>
      </w:r>
      <w:r w:rsidRPr="002201D7">
        <w:rPr>
          <w:rFonts w:ascii="Times New Roman" w:hAnsi="Times New Roman" w:cs="Times New Roman"/>
          <w:sz w:val="24"/>
          <w:szCs w:val="24"/>
          <w:lang w:eastAsia="en-GB"/>
        </w:rPr>
        <w:t>, the lost fuel factor for other alternative fuels is calculated as a percentage of t</w:t>
      </w:r>
      <w:r w:rsidRPr="00A07220">
        <w:rPr>
          <w:rFonts w:ascii="Times New Roman" w:hAnsi="Times New Roman" w:cs="Times New Roman"/>
          <w:sz w:val="24"/>
          <w:szCs w:val="24"/>
          <w:lang w:eastAsia="en-GB"/>
        </w:rPr>
        <w:t>he (same) MTOW. For ex</w:t>
      </w:r>
      <w:r w:rsidRPr="00556067">
        <w:rPr>
          <w:rFonts w:ascii="Times New Roman" w:hAnsi="Times New Roman" w:cs="Times New Roman"/>
          <w:sz w:val="24"/>
          <w:szCs w:val="24"/>
          <w:lang w:eastAsia="en-GB"/>
        </w:rPr>
        <w:t xml:space="preserve">ample, the MTOW of the Airbus A350-1000 aircraft is 316 </w:t>
      </w:r>
      <w:r w:rsidR="004C57DE" w:rsidRPr="00556067">
        <w:rPr>
          <w:rFonts w:ascii="Times New Roman" w:hAnsi="Times New Roman" w:cs="Times New Roman"/>
          <w:sz w:val="24"/>
          <w:szCs w:val="24"/>
          <w:lang w:eastAsia="en-GB"/>
        </w:rPr>
        <w:t>tonnes</w:t>
      </w:r>
      <w:r w:rsidRPr="00556067">
        <w:rPr>
          <w:rFonts w:ascii="Times New Roman" w:hAnsi="Times New Roman" w:cs="Times New Roman"/>
          <w:sz w:val="24"/>
          <w:szCs w:val="24"/>
          <w:lang w:eastAsia="en-GB"/>
        </w:rPr>
        <w:t xml:space="preserve">. The lost fuel factors for other alternative fuels are listed in Table </w:t>
      </w:r>
      <w:r w:rsidR="00E57EC3">
        <w:rPr>
          <w:rFonts w:ascii="Times New Roman" w:hAnsi="Times New Roman" w:cs="Times New Roman"/>
          <w:sz w:val="24"/>
          <w:szCs w:val="24"/>
          <w:lang w:eastAsia="en-GB"/>
        </w:rPr>
        <w:t>SI 3</w:t>
      </w:r>
      <w:r w:rsidRPr="002201D7">
        <w:rPr>
          <w:rFonts w:ascii="Times New Roman" w:hAnsi="Times New Roman" w:cs="Times New Roman"/>
          <w:sz w:val="24"/>
          <w:szCs w:val="24"/>
          <w:lang w:eastAsia="en-GB"/>
        </w:rPr>
        <w:t xml:space="preserve">. Using the lost fuel factor of 2.2% of MTOW (316 </w:t>
      </w:r>
      <w:r w:rsidR="004C57DE" w:rsidRPr="002201D7">
        <w:rPr>
          <w:rFonts w:ascii="Times New Roman" w:hAnsi="Times New Roman" w:cs="Times New Roman"/>
          <w:sz w:val="24"/>
          <w:szCs w:val="24"/>
          <w:lang w:eastAsia="en-GB"/>
        </w:rPr>
        <w:t>tonnes</w:t>
      </w:r>
      <w:r w:rsidRPr="002201D7">
        <w:rPr>
          <w:rFonts w:ascii="Times New Roman" w:hAnsi="Times New Roman" w:cs="Times New Roman"/>
          <w:sz w:val="24"/>
          <w:szCs w:val="24"/>
          <w:lang w:eastAsia="en-GB"/>
        </w:rPr>
        <w:t xml:space="preserve"> for the A350-1000) Jet-A aircraft, the lost </w:t>
      </w:r>
      <w:r w:rsidRPr="00A07220">
        <w:rPr>
          <w:rFonts w:ascii="Times New Roman" w:hAnsi="Times New Roman" w:cs="Times New Roman"/>
          <w:sz w:val="24"/>
          <w:szCs w:val="24"/>
          <w:lang w:eastAsia="en-GB"/>
        </w:rPr>
        <w:t>fuel is calculated (to</w:t>
      </w:r>
      <w:r w:rsidRPr="00556067">
        <w:rPr>
          <w:rFonts w:ascii="Times New Roman" w:hAnsi="Times New Roman" w:cs="Times New Roman"/>
          <w:sz w:val="24"/>
          <w:szCs w:val="24"/>
          <w:lang w:eastAsia="en-GB"/>
        </w:rPr>
        <w:t xml:space="preserve"> be 6,952 kg). For the same period of operation, </w:t>
      </w:r>
      <m:oMath>
        <m:sSub>
          <m:sSubPr>
            <m:ctrlPr>
              <w:rPr>
                <w:rFonts w:ascii="Cambria Math" w:hAnsi="Cambria Math" w:cs="Times New Roman"/>
                <w:i/>
                <w:iCs/>
                <w:sz w:val="24"/>
                <w:szCs w:val="24"/>
                <w:lang w:eastAsia="en-GB"/>
              </w:rPr>
            </m:ctrlPr>
          </m:sSubPr>
          <m:e>
            <m:acc>
              <m:accPr>
                <m:chr m:val="̇"/>
                <m:ctrlPr>
                  <w:rPr>
                    <w:rFonts w:ascii="Cambria Math" w:hAnsi="Cambria Math" w:cs="Times New Roman"/>
                    <w:i/>
                    <w:iCs/>
                    <w:sz w:val="24"/>
                    <w:szCs w:val="24"/>
                    <w:lang w:eastAsia="en-GB"/>
                  </w:rPr>
                </m:ctrlPr>
              </m:accPr>
              <m:e>
                <m:r>
                  <w:rPr>
                    <w:rFonts w:ascii="Cambria Math" w:hAnsi="Cambria Math" w:cs="Times New Roman"/>
                    <w:sz w:val="24"/>
                    <w:szCs w:val="24"/>
                    <w:lang w:eastAsia="en-GB"/>
                  </w:rPr>
                  <m:t>m</m:t>
                </m:r>
              </m:e>
            </m:acc>
          </m:e>
          <m:sub>
            <m:r>
              <m:rPr>
                <m:sty m:val="p"/>
              </m:rPr>
              <w:rPr>
                <w:rFonts w:ascii="Cambria Math" w:hAnsi="Cambria Math" w:cs="Times New Roman"/>
                <w:sz w:val="24"/>
                <w:szCs w:val="24"/>
                <w:lang w:eastAsia="en-GB"/>
              </w:rPr>
              <m:t>f,Je</m:t>
            </m:r>
            <m:r>
              <w:rPr>
                <w:rFonts w:ascii="Cambria Math" w:hAnsi="Cambria Math" w:cs="Times New Roman"/>
                <w:sz w:val="24"/>
                <w:szCs w:val="24"/>
                <w:lang w:eastAsia="en-GB"/>
              </w:rPr>
              <m:t>t-A</m:t>
            </m:r>
          </m:sub>
        </m:sSub>
      </m:oMath>
      <w:r w:rsidRPr="002201D7">
        <w:rPr>
          <w:rFonts w:ascii="Times New Roman" w:hAnsi="Times New Roman" w:cs="Times New Roman"/>
          <w:sz w:val="24"/>
          <w:szCs w:val="24"/>
          <w:lang w:eastAsia="en-GB"/>
        </w:rPr>
        <w:t xml:space="preserve">/ </w:t>
      </w:r>
      <m:oMath>
        <m:sSub>
          <m:sSubPr>
            <m:ctrlPr>
              <w:rPr>
                <w:rFonts w:ascii="Cambria Math" w:hAnsi="Cambria Math" w:cs="Times New Roman"/>
                <w:i/>
                <w:iCs/>
                <w:sz w:val="24"/>
                <w:szCs w:val="24"/>
                <w:lang w:eastAsia="en-GB"/>
              </w:rPr>
            </m:ctrlPr>
          </m:sSubPr>
          <m:e>
            <m:acc>
              <m:accPr>
                <m:chr m:val="̇"/>
                <m:ctrlPr>
                  <w:rPr>
                    <w:rFonts w:ascii="Cambria Math" w:hAnsi="Cambria Math" w:cs="Times New Roman"/>
                    <w:i/>
                    <w:iCs/>
                    <w:sz w:val="24"/>
                    <w:szCs w:val="24"/>
                    <w:lang w:eastAsia="en-GB"/>
                  </w:rPr>
                </m:ctrlPr>
              </m:accPr>
              <m:e>
                <m:r>
                  <w:rPr>
                    <w:rFonts w:ascii="Cambria Math" w:hAnsi="Cambria Math" w:cs="Times New Roman"/>
                    <w:sz w:val="24"/>
                    <w:szCs w:val="24"/>
                    <w:lang w:eastAsia="en-GB"/>
                  </w:rPr>
                  <m:t>m</m:t>
                </m:r>
              </m:e>
            </m:acc>
          </m:e>
          <m:sub>
            <m:r>
              <m:rPr>
                <m:sty m:val="p"/>
              </m:rPr>
              <w:rPr>
                <w:rFonts w:ascii="Cambria Math" w:hAnsi="Cambria Math" w:cs="Times New Roman"/>
                <w:sz w:val="24"/>
                <w:szCs w:val="24"/>
                <w:lang w:eastAsia="en-GB"/>
              </w:rPr>
              <m:t>f</m:t>
            </m:r>
          </m:sub>
        </m:sSub>
      </m:oMath>
      <w:r w:rsidRPr="002201D7">
        <w:rPr>
          <w:rFonts w:ascii="Times New Roman" w:hAnsi="Times New Roman" w:cs="Times New Roman"/>
          <w:sz w:val="24"/>
          <w:szCs w:val="24"/>
          <w:lang w:eastAsia="en-GB"/>
        </w:rPr>
        <w:t xml:space="preserve"> calculated in Table </w:t>
      </w:r>
      <w:r w:rsidR="00E57EC3">
        <w:rPr>
          <w:rFonts w:ascii="Times New Roman" w:hAnsi="Times New Roman" w:cs="Times New Roman"/>
          <w:sz w:val="24"/>
          <w:szCs w:val="24"/>
          <w:lang w:eastAsia="en-GB"/>
        </w:rPr>
        <w:t>SI</w:t>
      </w:r>
      <w:r w:rsidR="00E57EC3" w:rsidRPr="002201D7">
        <w:rPr>
          <w:rFonts w:ascii="Times New Roman" w:hAnsi="Times New Roman" w:cs="Times New Roman"/>
          <w:sz w:val="24"/>
          <w:szCs w:val="24"/>
          <w:lang w:eastAsia="en-GB"/>
        </w:rPr>
        <w:t xml:space="preserve"> </w:t>
      </w:r>
      <w:r w:rsidR="00E57EC3">
        <w:rPr>
          <w:rFonts w:ascii="Times New Roman" w:hAnsi="Times New Roman" w:cs="Times New Roman"/>
          <w:sz w:val="24"/>
          <w:szCs w:val="24"/>
          <w:lang w:eastAsia="en-GB"/>
        </w:rPr>
        <w:t>2</w:t>
      </w:r>
      <w:r w:rsidRPr="002201D7">
        <w:rPr>
          <w:rFonts w:ascii="Times New Roman" w:hAnsi="Times New Roman" w:cs="Times New Roman"/>
          <w:sz w:val="24"/>
          <w:szCs w:val="24"/>
          <w:lang w:eastAsia="en-GB"/>
        </w:rPr>
        <w:t xml:space="preserve"> equals </w:t>
      </w:r>
      <w:r w:rsidRPr="00A07220">
        <w:rPr>
          <w:rFonts w:ascii="Times New Roman" w:hAnsi="Times New Roman" w:cs="Times New Roman"/>
          <w:i/>
          <w:iCs/>
          <w:sz w:val="24"/>
          <w:szCs w:val="24"/>
          <w:lang w:eastAsia="en-GB"/>
        </w:rPr>
        <w:t>M</w:t>
      </w:r>
      <w:r w:rsidRPr="00556067">
        <w:rPr>
          <w:rFonts w:ascii="Times New Roman" w:hAnsi="Times New Roman" w:cs="Times New Roman"/>
          <w:sz w:val="24"/>
          <w:szCs w:val="24"/>
          <w:vertAlign w:val="subscript"/>
          <w:lang w:eastAsia="en-GB"/>
        </w:rPr>
        <w:t xml:space="preserve">f,Jet-A </w:t>
      </w:r>
      <w:r w:rsidRPr="00CE68A4">
        <w:rPr>
          <w:rFonts w:ascii="Times New Roman" w:hAnsi="Times New Roman" w:cs="Times New Roman"/>
          <w:sz w:val="24"/>
          <w:szCs w:val="24"/>
          <w:lang w:eastAsia="en-GB"/>
        </w:rPr>
        <w:t xml:space="preserve">/ </w:t>
      </w:r>
      <w:r w:rsidRPr="007D699F">
        <w:rPr>
          <w:rFonts w:ascii="Times New Roman" w:hAnsi="Times New Roman" w:cs="Times New Roman"/>
          <w:i/>
          <w:iCs/>
          <w:sz w:val="24"/>
          <w:szCs w:val="24"/>
          <w:lang w:eastAsia="en-GB"/>
        </w:rPr>
        <w:t>M</w:t>
      </w:r>
      <w:r w:rsidRPr="007D699F">
        <w:rPr>
          <w:rFonts w:ascii="Times New Roman" w:hAnsi="Times New Roman" w:cs="Times New Roman"/>
          <w:sz w:val="24"/>
          <w:szCs w:val="24"/>
          <w:vertAlign w:val="subscript"/>
          <w:lang w:eastAsia="en-GB"/>
        </w:rPr>
        <w:t>f</w:t>
      </w:r>
      <w:r w:rsidRPr="007D699F">
        <w:rPr>
          <w:rFonts w:ascii="Times New Roman" w:hAnsi="Times New Roman" w:cs="Times New Roman"/>
          <w:sz w:val="24"/>
          <w:szCs w:val="24"/>
          <w:lang w:eastAsia="en-GB"/>
        </w:rPr>
        <w:t xml:space="preserve"> listed in Table </w:t>
      </w:r>
      <w:r w:rsidR="00E57EC3">
        <w:rPr>
          <w:rFonts w:ascii="Times New Roman" w:hAnsi="Times New Roman" w:cs="Times New Roman"/>
          <w:sz w:val="24"/>
          <w:szCs w:val="24"/>
          <w:lang w:eastAsia="en-GB"/>
        </w:rPr>
        <w:t>SI</w:t>
      </w:r>
      <w:r w:rsidR="00E57EC3" w:rsidRPr="002201D7">
        <w:rPr>
          <w:rFonts w:ascii="Times New Roman" w:hAnsi="Times New Roman" w:cs="Times New Roman"/>
          <w:sz w:val="24"/>
          <w:szCs w:val="24"/>
          <w:lang w:eastAsia="en-GB"/>
        </w:rPr>
        <w:t xml:space="preserve"> </w:t>
      </w:r>
      <w:r w:rsidR="00E57EC3">
        <w:rPr>
          <w:rFonts w:ascii="Times New Roman" w:hAnsi="Times New Roman" w:cs="Times New Roman"/>
          <w:sz w:val="24"/>
          <w:szCs w:val="24"/>
          <w:lang w:eastAsia="en-GB"/>
        </w:rPr>
        <w:t>3</w:t>
      </w:r>
      <w:r w:rsidRPr="002201D7">
        <w:rPr>
          <w:rFonts w:ascii="Times New Roman" w:hAnsi="Times New Roman" w:cs="Times New Roman"/>
          <w:sz w:val="24"/>
          <w:szCs w:val="24"/>
          <w:lang w:eastAsia="en-GB"/>
        </w:rPr>
        <w:t xml:space="preserve">. Knowing </w:t>
      </w:r>
      <w:r w:rsidRPr="00A07220">
        <w:rPr>
          <w:rFonts w:ascii="Times New Roman" w:hAnsi="Times New Roman" w:cs="Times New Roman"/>
          <w:i/>
          <w:iCs/>
          <w:sz w:val="24"/>
          <w:szCs w:val="24"/>
          <w:lang w:eastAsia="en-GB"/>
        </w:rPr>
        <w:t>M</w:t>
      </w:r>
      <w:r w:rsidRPr="00556067">
        <w:rPr>
          <w:rFonts w:ascii="Times New Roman" w:hAnsi="Times New Roman" w:cs="Times New Roman"/>
          <w:sz w:val="24"/>
          <w:szCs w:val="24"/>
          <w:vertAlign w:val="subscript"/>
          <w:lang w:eastAsia="en-GB"/>
        </w:rPr>
        <w:t xml:space="preserve">f,Jet-A </w:t>
      </w:r>
      <w:r w:rsidRPr="00CE68A4">
        <w:rPr>
          <w:rFonts w:ascii="Times New Roman" w:hAnsi="Times New Roman" w:cs="Times New Roman"/>
          <w:sz w:val="24"/>
          <w:szCs w:val="24"/>
          <w:lang w:eastAsia="en-GB"/>
        </w:rPr>
        <w:t xml:space="preserve">/ </w:t>
      </w:r>
      <w:r w:rsidRPr="007D699F">
        <w:rPr>
          <w:rFonts w:ascii="Times New Roman" w:hAnsi="Times New Roman" w:cs="Times New Roman"/>
          <w:i/>
          <w:iCs/>
          <w:sz w:val="24"/>
          <w:szCs w:val="24"/>
          <w:lang w:eastAsia="en-GB"/>
        </w:rPr>
        <w:t>M</w:t>
      </w:r>
      <w:r w:rsidRPr="007D699F">
        <w:rPr>
          <w:rFonts w:ascii="Times New Roman" w:hAnsi="Times New Roman" w:cs="Times New Roman"/>
          <w:sz w:val="24"/>
          <w:szCs w:val="24"/>
          <w:vertAlign w:val="subscript"/>
          <w:lang w:eastAsia="en-GB"/>
        </w:rPr>
        <w:t>f</w:t>
      </w:r>
      <w:r w:rsidRPr="007D699F">
        <w:rPr>
          <w:rFonts w:ascii="Times New Roman" w:hAnsi="Times New Roman" w:cs="Times New Roman"/>
          <w:sz w:val="24"/>
          <w:szCs w:val="24"/>
          <w:lang w:eastAsia="en-GB"/>
        </w:rPr>
        <w:t xml:space="preserve"> ratios for other alternative fuels and </w:t>
      </w:r>
      <w:r w:rsidRPr="007D699F">
        <w:rPr>
          <w:rFonts w:ascii="Times New Roman" w:hAnsi="Times New Roman" w:cs="Times New Roman"/>
          <w:i/>
          <w:iCs/>
          <w:sz w:val="24"/>
          <w:szCs w:val="24"/>
          <w:lang w:eastAsia="en-GB"/>
        </w:rPr>
        <w:t>M</w:t>
      </w:r>
      <w:r w:rsidRPr="007D699F">
        <w:rPr>
          <w:rFonts w:ascii="Times New Roman" w:hAnsi="Times New Roman" w:cs="Times New Roman"/>
          <w:sz w:val="24"/>
          <w:szCs w:val="24"/>
          <w:vertAlign w:val="subscript"/>
          <w:lang w:eastAsia="en-GB"/>
        </w:rPr>
        <w:t xml:space="preserve">f,Jet-A  </w:t>
      </w:r>
      <w:r w:rsidRPr="007D699F">
        <w:rPr>
          <w:rFonts w:ascii="Times New Roman" w:hAnsi="Times New Roman" w:cs="Times New Roman"/>
          <w:sz w:val="24"/>
          <w:szCs w:val="24"/>
          <w:lang w:eastAsia="en-GB"/>
        </w:rPr>
        <w:t xml:space="preserve">(6,952 </w:t>
      </w:r>
      <w:r w:rsidRPr="007D699F">
        <w:rPr>
          <w:rFonts w:ascii="Times New Roman" w:hAnsi="Times New Roman" w:cs="Times New Roman"/>
          <w:sz w:val="24"/>
          <w:szCs w:val="24"/>
          <w:lang w:eastAsia="en-GB"/>
        </w:rPr>
        <w:lastRenderedPageBreak/>
        <w:t xml:space="preserve">kg) for Jet-A, the </w:t>
      </w:r>
      <w:r w:rsidRPr="007D699F">
        <w:rPr>
          <w:rFonts w:ascii="Times New Roman" w:hAnsi="Times New Roman" w:cs="Times New Roman"/>
          <w:i/>
          <w:iCs/>
          <w:sz w:val="24"/>
          <w:szCs w:val="24"/>
          <w:lang w:eastAsia="en-GB"/>
        </w:rPr>
        <w:t>M</w:t>
      </w:r>
      <w:r w:rsidRPr="007D699F">
        <w:rPr>
          <w:rFonts w:ascii="Times New Roman" w:hAnsi="Times New Roman" w:cs="Times New Roman"/>
          <w:sz w:val="24"/>
          <w:szCs w:val="24"/>
          <w:vertAlign w:val="subscript"/>
          <w:lang w:eastAsia="en-GB"/>
        </w:rPr>
        <w:t>f</w:t>
      </w:r>
      <w:r w:rsidRPr="007D699F">
        <w:rPr>
          <w:rFonts w:ascii="Times New Roman" w:hAnsi="Times New Roman" w:cs="Times New Roman"/>
          <w:sz w:val="24"/>
          <w:szCs w:val="24"/>
          <w:lang w:eastAsia="en-GB"/>
        </w:rPr>
        <w:t xml:space="preserve"> for each of these alternative fuels is calculated. The lost fuel for each alternative fuel is then listed as a percent of the MTOW (316 tonne). As can be observed from Table </w:t>
      </w:r>
      <w:r w:rsidR="007E6496">
        <w:rPr>
          <w:rFonts w:ascii="Times New Roman" w:hAnsi="Times New Roman" w:cs="Times New Roman"/>
          <w:sz w:val="24"/>
          <w:szCs w:val="24"/>
          <w:lang w:eastAsia="en-GB"/>
        </w:rPr>
        <w:t>SI</w:t>
      </w:r>
      <w:r w:rsidR="007E6496" w:rsidRPr="002201D7">
        <w:rPr>
          <w:rFonts w:ascii="Times New Roman" w:hAnsi="Times New Roman" w:cs="Times New Roman"/>
          <w:sz w:val="24"/>
          <w:szCs w:val="24"/>
          <w:lang w:eastAsia="en-GB"/>
        </w:rPr>
        <w:t xml:space="preserve"> </w:t>
      </w:r>
      <w:r w:rsidR="007E6496">
        <w:rPr>
          <w:rFonts w:ascii="Times New Roman" w:hAnsi="Times New Roman" w:cs="Times New Roman"/>
          <w:sz w:val="24"/>
          <w:szCs w:val="24"/>
          <w:lang w:eastAsia="en-GB"/>
        </w:rPr>
        <w:t>3</w:t>
      </w:r>
      <w:r w:rsidRPr="002201D7">
        <w:rPr>
          <w:rFonts w:ascii="Times New Roman" w:hAnsi="Times New Roman" w:cs="Times New Roman"/>
          <w:sz w:val="24"/>
          <w:szCs w:val="24"/>
          <w:lang w:eastAsia="en-GB"/>
        </w:rPr>
        <w:t>, the alternative fuels with gravimetric energy dens</w:t>
      </w:r>
      <w:r w:rsidRPr="00A07220">
        <w:rPr>
          <w:rFonts w:ascii="Times New Roman" w:hAnsi="Times New Roman" w:cs="Times New Roman"/>
          <w:sz w:val="24"/>
          <w:szCs w:val="24"/>
          <w:lang w:eastAsia="en-GB"/>
        </w:rPr>
        <w:t>ities lesser than Jet-A, such as LNH</w:t>
      </w:r>
      <w:r w:rsidRPr="00556067">
        <w:rPr>
          <w:rFonts w:ascii="Times New Roman" w:hAnsi="Times New Roman" w:cs="Times New Roman"/>
          <w:sz w:val="24"/>
          <w:szCs w:val="24"/>
          <w:vertAlign w:val="subscript"/>
          <w:lang w:eastAsia="en-GB"/>
        </w:rPr>
        <w:t>3</w:t>
      </w:r>
      <w:r w:rsidRPr="00CE68A4">
        <w:rPr>
          <w:rFonts w:ascii="Times New Roman" w:hAnsi="Times New Roman" w:cs="Times New Roman"/>
          <w:sz w:val="24"/>
          <w:szCs w:val="24"/>
          <w:lang w:eastAsia="en-GB"/>
        </w:rPr>
        <w:t>, methanol and ethanol have higher lost fuel factor i.e. more</w:t>
      </w:r>
      <w:r w:rsidRPr="007D699F">
        <w:rPr>
          <w:rFonts w:ascii="Times New Roman" w:hAnsi="Times New Roman" w:cs="Times New Roman"/>
          <w:sz w:val="24"/>
          <w:szCs w:val="24"/>
          <w:lang w:eastAsia="en-GB"/>
        </w:rPr>
        <w:t xml:space="preserve"> of the respective fuel is consumed. This is an expected trend.</w:t>
      </w:r>
    </w:p>
    <w:tbl>
      <w:tblPr>
        <w:tblStyle w:val="TableGrid"/>
        <w:tblW w:w="7095" w:type="dxa"/>
        <w:jc w:val="center"/>
        <w:tblLayout w:type="fixed"/>
        <w:tblLook w:val="04A0" w:firstRow="1" w:lastRow="0" w:firstColumn="1" w:lastColumn="0" w:noHBand="0" w:noVBand="1"/>
      </w:tblPr>
      <w:tblGrid>
        <w:gridCol w:w="1411"/>
        <w:gridCol w:w="1370"/>
        <w:gridCol w:w="1515"/>
        <w:gridCol w:w="2799"/>
      </w:tblGrid>
      <w:tr w:rsidR="00F62F6B" w:rsidRPr="007D699F" w14:paraId="291FC03D" w14:textId="77777777" w:rsidTr="006C247F">
        <w:trPr>
          <w:trHeight w:val="140"/>
          <w:jc w:val="center"/>
        </w:trPr>
        <w:tc>
          <w:tcPr>
            <w:tcW w:w="7088" w:type="dxa"/>
            <w:gridSpan w:val="4"/>
            <w:tcBorders>
              <w:top w:val="nil"/>
              <w:left w:val="nil"/>
              <w:bottom w:val="single" w:sz="4" w:space="0" w:color="auto"/>
              <w:right w:val="nil"/>
            </w:tcBorders>
            <w:vAlign w:val="center"/>
            <w:hideMark/>
          </w:tcPr>
          <w:p w14:paraId="4848BA4C" w14:textId="38CFCC96" w:rsidR="00F62F6B" w:rsidRPr="00CE68A4" w:rsidRDefault="00F62F6B" w:rsidP="00872636">
            <w:pPr>
              <w:tabs>
                <w:tab w:val="left" w:pos="567"/>
              </w:tabs>
              <w:spacing w:line="276" w:lineRule="auto"/>
              <w:ind w:right="-46"/>
              <w:jc w:val="center"/>
              <w:rPr>
                <w:rFonts w:ascii="Times New Roman" w:hAnsi="Times New Roman" w:cs="Times New Roman"/>
                <w:b/>
                <w:bCs/>
                <w:sz w:val="24"/>
                <w:szCs w:val="24"/>
                <w:lang w:eastAsia="en-GB"/>
              </w:rPr>
            </w:pPr>
            <w:r w:rsidRPr="002201D7">
              <w:rPr>
                <w:rFonts w:ascii="Times New Roman" w:hAnsi="Times New Roman" w:cs="Times New Roman"/>
                <w:b/>
                <w:sz w:val="24"/>
                <w:szCs w:val="24"/>
                <w:lang w:eastAsia="en-GB"/>
              </w:rPr>
              <w:t xml:space="preserve">Table </w:t>
            </w:r>
            <w:r w:rsidR="00902F1E" w:rsidRPr="00A07220">
              <w:rPr>
                <w:rFonts w:ascii="Times New Roman" w:hAnsi="Times New Roman" w:cs="Times New Roman"/>
                <w:b/>
                <w:sz w:val="24"/>
                <w:szCs w:val="24"/>
                <w:lang w:eastAsia="en-GB"/>
              </w:rPr>
              <w:t>SI 3</w:t>
            </w:r>
            <w:r w:rsidRPr="00556067">
              <w:rPr>
                <w:rFonts w:ascii="Times New Roman" w:hAnsi="Times New Roman" w:cs="Times New Roman"/>
                <w:b/>
                <w:sz w:val="24"/>
                <w:szCs w:val="24"/>
                <w:lang w:eastAsia="en-GB"/>
              </w:rPr>
              <w:t>. Lost fuel factor for alternative fuels</w:t>
            </w:r>
          </w:p>
        </w:tc>
      </w:tr>
      <w:tr w:rsidR="00F62F6B" w:rsidRPr="007D699F" w14:paraId="163A6877" w14:textId="77777777" w:rsidTr="006C247F">
        <w:trPr>
          <w:trHeight w:val="140"/>
          <w:jc w:val="center"/>
        </w:trPr>
        <w:tc>
          <w:tcPr>
            <w:tcW w:w="1409" w:type="dxa"/>
            <w:tcBorders>
              <w:top w:val="single" w:sz="4" w:space="0" w:color="auto"/>
              <w:left w:val="nil"/>
              <w:bottom w:val="single" w:sz="4" w:space="0" w:color="auto"/>
              <w:right w:val="nil"/>
            </w:tcBorders>
            <w:vAlign w:val="center"/>
            <w:hideMark/>
          </w:tcPr>
          <w:p w14:paraId="421EBAB4" w14:textId="77777777" w:rsidR="00F62F6B" w:rsidRPr="00A07220" w:rsidRDefault="00F62F6B" w:rsidP="00872636">
            <w:pPr>
              <w:tabs>
                <w:tab w:val="left" w:pos="567"/>
              </w:tabs>
              <w:spacing w:line="276" w:lineRule="auto"/>
              <w:ind w:right="-46"/>
              <w:jc w:val="center"/>
              <w:rPr>
                <w:rFonts w:ascii="Times New Roman" w:hAnsi="Times New Roman" w:cs="Times New Roman"/>
                <w:sz w:val="24"/>
                <w:szCs w:val="24"/>
                <w:lang w:eastAsia="en-GB"/>
              </w:rPr>
            </w:pPr>
            <w:r w:rsidRPr="002201D7">
              <w:rPr>
                <w:rFonts w:ascii="Times New Roman" w:hAnsi="Times New Roman" w:cs="Times New Roman"/>
                <w:sz w:val="24"/>
                <w:szCs w:val="24"/>
                <w:lang w:eastAsia="en-GB"/>
              </w:rPr>
              <w:t>Fuel</w:t>
            </w:r>
          </w:p>
        </w:tc>
        <w:tc>
          <w:tcPr>
            <w:tcW w:w="1369" w:type="dxa"/>
            <w:tcBorders>
              <w:top w:val="single" w:sz="4" w:space="0" w:color="auto"/>
              <w:left w:val="nil"/>
              <w:bottom w:val="single" w:sz="4" w:space="0" w:color="auto"/>
              <w:right w:val="nil"/>
            </w:tcBorders>
            <w:vAlign w:val="center"/>
            <w:hideMark/>
          </w:tcPr>
          <w:p w14:paraId="2FED5D5D" w14:textId="77777777" w:rsidR="00F62F6B" w:rsidRPr="007D699F" w:rsidRDefault="00F62F6B" w:rsidP="00872636">
            <w:pPr>
              <w:tabs>
                <w:tab w:val="left" w:pos="567"/>
              </w:tabs>
              <w:spacing w:line="276" w:lineRule="auto"/>
              <w:ind w:right="-46"/>
              <w:jc w:val="center"/>
              <w:rPr>
                <w:rFonts w:ascii="Times New Roman" w:hAnsi="Times New Roman" w:cs="Times New Roman"/>
                <w:sz w:val="24"/>
                <w:szCs w:val="24"/>
                <w:lang w:eastAsia="en-GB"/>
              </w:rPr>
            </w:pPr>
            <w:r w:rsidRPr="00556067">
              <w:rPr>
                <w:rFonts w:ascii="Times New Roman" w:hAnsi="Times New Roman" w:cs="Times New Roman"/>
                <w:sz w:val="24"/>
                <w:szCs w:val="24"/>
                <w:lang w:eastAsia="en-GB"/>
              </w:rPr>
              <w:t>M</w:t>
            </w:r>
            <w:r w:rsidRPr="00CE68A4">
              <w:rPr>
                <w:rFonts w:ascii="Times New Roman" w:hAnsi="Times New Roman" w:cs="Times New Roman"/>
                <w:sz w:val="24"/>
                <w:szCs w:val="24"/>
                <w:vertAlign w:val="subscript"/>
                <w:lang w:eastAsia="en-GB"/>
              </w:rPr>
              <w:t xml:space="preserve">f,Jet-A </w:t>
            </w:r>
            <w:r w:rsidRPr="007D699F">
              <w:rPr>
                <w:rFonts w:ascii="Times New Roman" w:hAnsi="Times New Roman" w:cs="Times New Roman"/>
                <w:sz w:val="24"/>
                <w:szCs w:val="24"/>
                <w:lang w:eastAsia="en-GB"/>
              </w:rPr>
              <w:t>/ M</w:t>
            </w:r>
            <w:r w:rsidRPr="007D699F">
              <w:rPr>
                <w:rFonts w:ascii="Times New Roman" w:hAnsi="Times New Roman" w:cs="Times New Roman"/>
                <w:sz w:val="24"/>
                <w:szCs w:val="24"/>
                <w:vertAlign w:val="subscript"/>
                <w:lang w:eastAsia="en-GB"/>
              </w:rPr>
              <w:t>f</w:t>
            </w:r>
          </w:p>
        </w:tc>
        <w:tc>
          <w:tcPr>
            <w:tcW w:w="1514" w:type="dxa"/>
            <w:tcBorders>
              <w:top w:val="single" w:sz="4" w:space="0" w:color="auto"/>
              <w:left w:val="nil"/>
              <w:bottom w:val="single" w:sz="4" w:space="0" w:color="auto"/>
              <w:right w:val="nil"/>
            </w:tcBorders>
            <w:vAlign w:val="center"/>
            <w:hideMark/>
          </w:tcPr>
          <w:p w14:paraId="402387AF" w14:textId="77777777" w:rsidR="00F62F6B" w:rsidRPr="007D699F" w:rsidRDefault="00F62F6B" w:rsidP="00872636">
            <w:pPr>
              <w:tabs>
                <w:tab w:val="left" w:pos="567"/>
              </w:tabs>
              <w:spacing w:line="276" w:lineRule="auto"/>
              <w:ind w:right="-46"/>
              <w:jc w:val="center"/>
              <w:rPr>
                <w:rFonts w:ascii="Times New Roman" w:hAnsi="Times New Roman" w:cs="Times New Roman"/>
                <w:sz w:val="24"/>
                <w:szCs w:val="24"/>
                <w:lang w:eastAsia="en-GB"/>
              </w:rPr>
            </w:pPr>
            <w:r w:rsidRPr="007D699F">
              <w:rPr>
                <w:rFonts w:ascii="Times New Roman" w:hAnsi="Times New Roman" w:cs="Times New Roman"/>
                <w:sz w:val="24"/>
                <w:szCs w:val="24"/>
                <w:lang w:eastAsia="en-GB"/>
              </w:rPr>
              <w:t>Lost fuel (kg)</w:t>
            </w:r>
          </w:p>
        </w:tc>
        <w:tc>
          <w:tcPr>
            <w:tcW w:w="2796" w:type="dxa"/>
            <w:tcBorders>
              <w:top w:val="single" w:sz="4" w:space="0" w:color="auto"/>
              <w:left w:val="nil"/>
              <w:bottom w:val="single" w:sz="4" w:space="0" w:color="auto"/>
              <w:right w:val="nil"/>
            </w:tcBorders>
            <w:vAlign w:val="center"/>
            <w:hideMark/>
          </w:tcPr>
          <w:p w14:paraId="2E1928AE" w14:textId="77777777" w:rsidR="00F62F6B" w:rsidRPr="007D699F" w:rsidRDefault="00F62F6B" w:rsidP="00872636">
            <w:pPr>
              <w:tabs>
                <w:tab w:val="left" w:pos="567"/>
              </w:tabs>
              <w:spacing w:line="276" w:lineRule="auto"/>
              <w:ind w:right="-46"/>
              <w:jc w:val="center"/>
              <w:rPr>
                <w:rFonts w:ascii="Times New Roman" w:hAnsi="Times New Roman" w:cs="Times New Roman"/>
                <w:sz w:val="24"/>
                <w:szCs w:val="24"/>
                <w:lang w:eastAsia="en-GB"/>
              </w:rPr>
            </w:pPr>
            <w:r w:rsidRPr="007D699F">
              <w:rPr>
                <w:rFonts w:ascii="Times New Roman" w:hAnsi="Times New Roman" w:cs="Times New Roman"/>
                <w:sz w:val="24"/>
                <w:szCs w:val="24"/>
                <w:lang w:eastAsia="en-GB"/>
              </w:rPr>
              <w:t>% of MTOW (lost fuel)</w:t>
            </w:r>
          </w:p>
        </w:tc>
      </w:tr>
      <w:tr w:rsidR="00F62F6B" w:rsidRPr="007D699F" w14:paraId="3829F5C2" w14:textId="77777777" w:rsidTr="006C247F">
        <w:trPr>
          <w:trHeight w:val="69"/>
          <w:jc w:val="center"/>
        </w:trPr>
        <w:tc>
          <w:tcPr>
            <w:tcW w:w="1409" w:type="dxa"/>
            <w:tcBorders>
              <w:top w:val="single" w:sz="4" w:space="0" w:color="auto"/>
              <w:left w:val="nil"/>
              <w:bottom w:val="nil"/>
              <w:right w:val="nil"/>
            </w:tcBorders>
            <w:vAlign w:val="center"/>
            <w:hideMark/>
          </w:tcPr>
          <w:p w14:paraId="59C65B1F" w14:textId="77777777" w:rsidR="00F62F6B" w:rsidRPr="00A07220" w:rsidRDefault="00F62F6B" w:rsidP="00872636">
            <w:pPr>
              <w:tabs>
                <w:tab w:val="left" w:pos="567"/>
              </w:tabs>
              <w:spacing w:line="276" w:lineRule="auto"/>
              <w:ind w:right="-46"/>
              <w:rPr>
                <w:rFonts w:ascii="Times New Roman" w:hAnsi="Times New Roman" w:cs="Times New Roman"/>
                <w:sz w:val="24"/>
                <w:szCs w:val="24"/>
                <w:lang w:eastAsia="en-GB"/>
              </w:rPr>
            </w:pPr>
            <w:r w:rsidRPr="002201D7">
              <w:rPr>
                <w:rFonts w:ascii="Times New Roman" w:hAnsi="Times New Roman" w:cs="Times New Roman"/>
                <w:sz w:val="24"/>
                <w:szCs w:val="24"/>
                <w:lang w:eastAsia="en-GB"/>
              </w:rPr>
              <w:t>Jet-A</w:t>
            </w:r>
          </w:p>
        </w:tc>
        <w:tc>
          <w:tcPr>
            <w:tcW w:w="1369" w:type="dxa"/>
            <w:tcBorders>
              <w:top w:val="single" w:sz="4" w:space="0" w:color="auto"/>
              <w:left w:val="nil"/>
              <w:bottom w:val="nil"/>
              <w:right w:val="nil"/>
            </w:tcBorders>
            <w:vAlign w:val="center"/>
            <w:hideMark/>
          </w:tcPr>
          <w:p w14:paraId="29A28F73" w14:textId="77777777" w:rsidR="00F62F6B" w:rsidRPr="00CE68A4"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1</w:t>
            </w:r>
          </w:p>
        </w:tc>
        <w:tc>
          <w:tcPr>
            <w:tcW w:w="1514" w:type="dxa"/>
            <w:tcBorders>
              <w:top w:val="single" w:sz="4" w:space="0" w:color="auto"/>
              <w:left w:val="nil"/>
              <w:bottom w:val="nil"/>
              <w:right w:val="nil"/>
            </w:tcBorders>
            <w:vAlign w:val="center"/>
            <w:hideMark/>
          </w:tcPr>
          <w:p w14:paraId="5C660ACA"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6,952</w:t>
            </w:r>
          </w:p>
        </w:tc>
        <w:tc>
          <w:tcPr>
            <w:tcW w:w="2796" w:type="dxa"/>
            <w:tcBorders>
              <w:top w:val="single" w:sz="4" w:space="0" w:color="auto"/>
              <w:left w:val="nil"/>
              <w:bottom w:val="nil"/>
              <w:right w:val="nil"/>
            </w:tcBorders>
            <w:vAlign w:val="center"/>
            <w:hideMark/>
          </w:tcPr>
          <w:p w14:paraId="51B8C352"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2.20*</w:t>
            </w:r>
          </w:p>
        </w:tc>
      </w:tr>
      <w:tr w:rsidR="00F62F6B" w:rsidRPr="007D699F" w14:paraId="08BE3B25" w14:textId="77777777" w:rsidTr="006C247F">
        <w:trPr>
          <w:trHeight w:val="69"/>
          <w:jc w:val="center"/>
        </w:trPr>
        <w:tc>
          <w:tcPr>
            <w:tcW w:w="1409" w:type="dxa"/>
            <w:tcBorders>
              <w:top w:val="nil"/>
              <w:left w:val="nil"/>
              <w:bottom w:val="nil"/>
              <w:right w:val="nil"/>
            </w:tcBorders>
            <w:vAlign w:val="center"/>
            <w:hideMark/>
          </w:tcPr>
          <w:p w14:paraId="3CC5EC91" w14:textId="77777777" w:rsidR="00F62F6B" w:rsidRPr="00A07220" w:rsidRDefault="00F62F6B" w:rsidP="00872636">
            <w:pPr>
              <w:tabs>
                <w:tab w:val="left" w:pos="567"/>
              </w:tabs>
              <w:spacing w:line="276" w:lineRule="auto"/>
              <w:ind w:right="-46"/>
              <w:rPr>
                <w:rFonts w:ascii="Times New Roman" w:hAnsi="Times New Roman" w:cs="Times New Roman"/>
                <w:sz w:val="24"/>
                <w:szCs w:val="24"/>
                <w:lang w:eastAsia="en-GB"/>
              </w:rPr>
            </w:pPr>
            <w:r w:rsidRPr="002201D7">
              <w:rPr>
                <w:rFonts w:ascii="Times New Roman" w:hAnsi="Times New Roman" w:cs="Times New Roman"/>
                <w:sz w:val="24"/>
                <w:szCs w:val="24"/>
                <w:lang w:eastAsia="en-GB"/>
              </w:rPr>
              <w:t>100% SPK</w:t>
            </w:r>
          </w:p>
        </w:tc>
        <w:tc>
          <w:tcPr>
            <w:tcW w:w="1369" w:type="dxa"/>
            <w:tcBorders>
              <w:top w:val="nil"/>
              <w:left w:val="nil"/>
              <w:bottom w:val="nil"/>
              <w:right w:val="nil"/>
            </w:tcBorders>
            <w:vAlign w:val="center"/>
            <w:hideMark/>
          </w:tcPr>
          <w:p w14:paraId="10114F65" w14:textId="77777777" w:rsidR="00F62F6B" w:rsidRPr="00CE68A4"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1.02</w:t>
            </w:r>
          </w:p>
        </w:tc>
        <w:tc>
          <w:tcPr>
            <w:tcW w:w="1514" w:type="dxa"/>
            <w:tcBorders>
              <w:top w:val="nil"/>
              <w:left w:val="nil"/>
              <w:bottom w:val="nil"/>
              <w:right w:val="nil"/>
            </w:tcBorders>
            <w:vAlign w:val="center"/>
            <w:hideMark/>
          </w:tcPr>
          <w:p w14:paraId="031F8B92"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6,812</w:t>
            </w:r>
          </w:p>
        </w:tc>
        <w:tc>
          <w:tcPr>
            <w:tcW w:w="2796" w:type="dxa"/>
            <w:tcBorders>
              <w:top w:val="nil"/>
              <w:left w:val="nil"/>
              <w:bottom w:val="nil"/>
              <w:right w:val="nil"/>
            </w:tcBorders>
            <w:vAlign w:val="center"/>
            <w:hideMark/>
          </w:tcPr>
          <w:p w14:paraId="6C3A0427"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2.16</w:t>
            </w:r>
          </w:p>
        </w:tc>
      </w:tr>
      <w:tr w:rsidR="00F62F6B" w:rsidRPr="007D699F" w14:paraId="243576A0" w14:textId="77777777" w:rsidTr="006C247F">
        <w:trPr>
          <w:trHeight w:val="69"/>
          <w:jc w:val="center"/>
        </w:trPr>
        <w:tc>
          <w:tcPr>
            <w:tcW w:w="1409" w:type="dxa"/>
            <w:tcBorders>
              <w:top w:val="nil"/>
              <w:left w:val="nil"/>
              <w:bottom w:val="nil"/>
              <w:right w:val="nil"/>
            </w:tcBorders>
            <w:vAlign w:val="center"/>
            <w:hideMark/>
          </w:tcPr>
          <w:p w14:paraId="04EF9EEF" w14:textId="77777777" w:rsidR="00F62F6B" w:rsidRPr="00A07220" w:rsidRDefault="00F62F6B" w:rsidP="00872636">
            <w:pPr>
              <w:tabs>
                <w:tab w:val="left" w:pos="567"/>
              </w:tabs>
              <w:spacing w:line="276" w:lineRule="auto"/>
              <w:ind w:right="-46"/>
              <w:rPr>
                <w:rFonts w:ascii="Times New Roman" w:hAnsi="Times New Roman" w:cs="Times New Roman"/>
                <w:sz w:val="24"/>
                <w:szCs w:val="24"/>
                <w:lang w:eastAsia="en-GB"/>
              </w:rPr>
            </w:pPr>
            <w:r w:rsidRPr="002201D7">
              <w:rPr>
                <w:rFonts w:ascii="Times New Roman" w:hAnsi="Times New Roman" w:cs="Times New Roman"/>
                <w:sz w:val="24"/>
                <w:szCs w:val="24"/>
                <w:lang w:eastAsia="en-GB"/>
              </w:rPr>
              <w:t>LNG</w:t>
            </w:r>
          </w:p>
        </w:tc>
        <w:tc>
          <w:tcPr>
            <w:tcW w:w="1369" w:type="dxa"/>
            <w:tcBorders>
              <w:top w:val="nil"/>
              <w:left w:val="nil"/>
              <w:bottom w:val="nil"/>
              <w:right w:val="nil"/>
            </w:tcBorders>
            <w:vAlign w:val="center"/>
            <w:hideMark/>
          </w:tcPr>
          <w:p w14:paraId="77B0FBE8" w14:textId="77777777" w:rsidR="00F62F6B" w:rsidRPr="00CE68A4"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1.16</w:t>
            </w:r>
          </w:p>
        </w:tc>
        <w:tc>
          <w:tcPr>
            <w:tcW w:w="1514" w:type="dxa"/>
            <w:tcBorders>
              <w:top w:val="nil"/>
              <w:left w:val="nil"/>
              <w:bottom w:val="nil"/>
              <w:right w:val="nil"/>
            </w:tcBorders>
            <w:vAlign w:val="center"/>
            <w:hideMark/>
          </w:tcPr>
          <w:p w14:paraId="5BBCDF40"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5,981</w:t>
            </w:r>
          </w:p>
        </w:tc>
        <w:tc>
          <w:tcPr>
            <w:tcW w:w="2796" w:type="dxa"/>
            <w:tcBorders>
              <w:top w:val="nil"/>
              <w:left w:val="nil"/>
              <w:bottom w:val="nil"/>
              <w:right w:val="nil"/>
            </w:tcBorders>
            <w:vAlign w:val="center"/>
            <w:hideMark/>
          </w:tcPr>
          <w:p w14:paraId="77CD90B5"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1.89</w:t>
            </w:r>
          </w:p>
        </w:tc>
      </w:tr>
      <w:tr w:rsidR="00F62F6B" w:rsidRPr="007D699F" w14:paraId="1A1FC97F" w14:textId="77777777" w:rsidTr="006C247F">
        <w:trPr>
          <w:trHeight w:val="68"/>
          <w:jc w:val="center"/>
        </w:trPr>
        <w:tc>
          <w:tcPr>
            <w:tcW w:w="1409" w:type="dxa"/>
            <w:tcBorders>
              <w:top w:val="nil"/>
              <w:left w:val="nil"/>
              <w:bottom w:val="nil"/>
              <w:right w:val="nil"/>
            </w:tcBorders>
            <w:vAlign w:val="center"/>
            <w:hideMark/>
          </w:tcPr>
          <w:p w14:paraId="3214B02B" w14:textId="77777777" w:rsidR="00F62F6B" w:rsidRPr="00556067" w:rsidRDefault="00F62F6B" w:rsidP="00872636">
            <w:pPr>
              <w:tabs>
                <w:tab w:val="left" w:pos="567"/>
              </w:tabs>
              <w:spacing w:line="276" w:lineRule="auto"/>
              <w:ind w:right="-46"/>
              <w:rPr>
                <w:rFonts w:ascii="Times New Roman" w:hAnsi="Times New Roman" w:cs="Times New Roman"/>
                <w:sz w:val="24"/>
                <w:szCs w:val="24"/>
                <w:lang w:eastAsia="en-GB"/>
              </w:rPr>
            </w:pPr>
            <w:r w:rsidRPr="002201D7">
              <w:rPr>
                <w:rFonts w:ascii="Times New Roman" w:hAnsi="Times New Roman" w:cs="Times New Roman"/>
                <w:sz w:val="24"/>
                <w:szCs w:val="24"/>
                <w:lang w:eastAsia="en-GB"/>
              </w:rPr>
              <w:t>LNH</w:t>
            </w:r>
            <w:r w:rsidRPr="00A07220">
              <w:rPr>
                <w:rFonts w:ascii="Times New Roman" w:hAnsi="Times New Roman" w:cs="Times New Roman"/>
                <w:sz w:val="24"/>
                <w:szCs w:val="24"/>
                <w:vertAlign w:val="subscript"/>
                <w:lang w:eastAsia="en-GB"/>
              </w:rPr>
              <w:t>3</w:t>
            </w:r>
          </w:p>
        </w:tc>
        <w:tc>
          <w:tcPr>
            <w:tcW w:w="1369" w:type="dxa"/>
            <w:tcBorders>
              <w:top w:val="nil"/>
              <w:left w:val="nil"/>
              <w:bottom w:val="nil"/>
              <w:right w:val="nil"/>
            </w:tcBorders>
            <w:vAlign w:val="center"/>
            <w:hideMark/>
          </w:tcPr>
          <w:p w14:paraId="5EB72581"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CE68A4">
              <w:rPr>
                <w:rFonts w:ascii="Times New Roman" w:hAnsi="Times New Roman" w:cs="Times New Roman"/>
                <w:sz w:val="24"/>
                <w:szCs w:val="24"/>
                <w:lang w:eastAsia="en-GB"/>
              </w:rPr>
              <w:t>0.40</w:t>
            </w:r>
          </w:p>
        </w:tc>
        <w:tc>
          <w:tcPr>
            <w:tcW w:w="1514" w:type="dxa"/>
            <w:tcBorders>
              <w:top w:val="nil"/>
              <w:left w:val="nil"/>
              <w:bottom w:val="nil"/>
              <w:right w:val="nil"/>
            </w:tcBorders>
            <w:vAlign w:val="center"/>
            <w:hideMark/>
          </w:tcPr>
          <w:p w14:paraId="3326B56F"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17,380</w:t>
            </w:r>
          </w:p>
        </w:tc>
        <w:tc>
          <w:tcPr>
            <w:tcW w:w="2796" w:type="dxa"/>
            <w:tcBorders>
              <w:top w:val="nil"/>
              <w:left w:val="nil"/>
              <w:bottom w:val="nil"/>
              <w:right w:val="nil"/>
            </w:tcBorders>
            <w:vAlign w:val="center"/>
            <w:hideMark/>
          </w:tcPr>
          <w:p w14:paraId="6F0B288E"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5.5</w:t>
            </w:r>
          </w:p>
        </w:tc>
      </w:tr>
      <w:tr w:rsidR="00F62F6B" w:rsidRPr="007D699F" w14:paraId="33C68E3E" w14:textId="77777777" w:rsidTr="006C247F">
        <w:trPr>
          <w:trHeight w:val="69"/>
          <w:jc w:val="center"/>
        </w:trPr>
        <w:tc>
          <w:tcPr>
            <w:tcW w:w="1409" w:type="dxa"/>
            <w:tcBorders>
              <w:top w:val="nil"/>
              <w:left w:val="nil"/>
              <w:bottom w:val="nil"/>
              <w:right w:val="nil"/>
            </w:tcBorders>
            <w:vAlign w:val="center"/>
            <w:hideMark/>
          </w:tcPr>
          <w:p w14:paraId="5081D4FE" w14:textId="77777777" w:rsidR="00F62F6B" w:rsidRPr="00A07220" w:rsidRDefault="00F62F6B" w:rsidP="00872636">
            <w:pPr>
              <w:tabs>
                <w:tab w:val="left" w:pos="567"/>
              </w:tabs>
              <w:spacing w:line="276" w:lineRule="auto"/>
              <w:ind w:right="-46"/>
              <w:rPr>
                <w:rFonts w:ascii="Times New Roman" w:hAnsi="Times New Roman" w:cs="Times New Roman"/>
                <w:sz w:val="24"/>
                <w:szCs w:val="24"/>
                <w:lang w:eastAsia="en-GB"/>
              </w:rPr>
            </w:pPr>
            <w:r w:rsidRPr="002201D7">
              <w:rPr>
                <w:rFonts w:ascii="Times New Roman" w:hAnsi="Times New Roman" w:cs="Times New Roman"/>
                <w:sz w:val="24"/>
                <w:szCs w:val="24"/>
                <w:lang w:eastAsia="en-GB"/>
              </w:rPr>
              <w:t>Methanol</w:t>
            </w:r>
          </w:p>
        </w:tc>
        <w:tc>
          <w:tcPr>
            <w:tcW w:w="1369" w:type="dxa"/>
            <w:tcBorders>
              <w:top w:val="nil"/>
              <w:left w:val="nil"/>
              <w:bottom w:val="nil"/>
              <w:right w:val="nil"/>
            </w:tcBorders>
            <w:vAlign w:val="center"/>
            <w:hideMark/>
          </w:tcPr>
          <w:p w14:paraId="1FD4F588" w14:textId="77777777" w:rsidR="00F62F6B" w:rsidRPr="00CE68A4"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0.46</w:t>
            </w:r>
          </w:p>
        </w:tc>
        <w:tc>
          <w:tcPr>
            <w:tcW w:w="1514" w:type="dxa"/>
            <w:tcBorders>
              <w:top w:val="nil"/>
              <w:left w:val="nil"/>
              <w:bottom w:val="nil"/>
              <w:right w:val="nil"/>
            </w:tcBorders>
            <w:vAlign w:val="center"/>
            <w:hideMark/>
          </w:tcPr>
          <w:p w14:paraId="47DC3367"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15,103</w:t>
            </w:r>
          </w:p>
        </w:tc>
        <w:tc>
          <w:tcPr>
            <w:tcW w:w="2796" w:type="dxa"/>
            <w:tcBorders>
              <w:top w:val="nil"/>
              <w:left w:val="nil"/>
              <w:bottom w:val="nil"/>
              <w:right w:val="nil"/>
            </w:tcBorders>
            <w:vAlign w:val="center"/>
            <w:hideMark/>
          </w:tcPr>
          <w:p w14:paraId="65ACDDD1"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4.78</w:t>
            </w:r>
          </w:p>
        </w:tc>
      </w:tr>
      <w:tr w:rsidR="00F62F6B" w:rsidRPr="007D699F" w14:paraId="52DEDAA6" w14:textId="77777777" w:rsidTr="006C247F">
        <w:trPr>
          <w:trHeight w:val="69"/>
          <w:jc w:val="center"/>
        </w:trPr>
        <w:tc>
          <w:tcPr>
            <w:tcW w:w="1409" w:type="dxa"/>
            <w:tcBorders>
              <w:top w:val="nil"/>
              <w:left w:val="nil"/>
              <w:bottom w:val="single" w:sz="4" w:space="0" w:color="auto"/>
              <w:right w:val="nil"/>
            </w:tcBorders>
            <w:vAlign w:val="center"/>
            <w:hideMark/>
          </w:tcPr>
          <w:p w14:paraId="634BA8E7" w14:textId="77777777" w:rsidR="00F62F6B" w:rsidRPr="00A07220" w:rsidRDefault="00F62F6B" w:rsidP="00872636">
            <w:pPr>
              <w:tabs>
                <w:tab w:val="left" w:pos="567"/>
              </w:tabs>
              <w:spacing w:line="276" w:lineRule="auto"/>
              <w:ind w:right="-46"/>
              <w:rPr>
                <w:rFonts w:ascii="Times New Roman" w:hAnsi="Times New Roman" w:cs="Times New Roman"/>
                <w:sz w:val="24"/>
                <w:szCs w:val="24"/>
                <w:lang w:eastAsia="en-GB"/>
              </w:rPr>
            </w:pPr>
            <w:r w:rsidRPr="002201D7">
              <w:rPr>
                <w:rFonts w:ascii="Times New Roman" w:hAnsi="Times New Roman" w:cs="Times New Roman"/>
                <w:sz w:val="24"/>
                <w:szCs w:val="24"/>
                <w:lang w:eastAsia="en-GB"/>
              </w:rPr>
              <w:t>Ethanol</w:t>
            </w:r>
          </w:p>
        </w:tc>
        <w:tc>
          <w:tcPr>
            <w:tcW w:w="1369" w:type="dxa"/>
            <w:tcBorders>
              <w:top w:val="nil"/>
              <w:left w:val="nil"/>
              <w:bottom w:val="single" w:sz="4" w:space="0" w:color="auto"/>
              <w:right w:val="nil"/>
            </w:tcBorders>
            <w:vAlign w:val="center"/>
            <w:hideMark/>
          </w:tcPr>
          <w:p w14:paraId="689B9196" w14:textId="77777777" w:rsidR="00F62F6B" w:rsidRPr="00CE68A4"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0.63</w:t>
            </w:r>
          </w:p>
        </w:tc>
        <w:tc>
          <w:tcPr>
            <w:tcW w:w="1514" w:type="dxa"/>
            <w:tcBorders>
              <w:top w:val="nil"/>
              <w:left w:val="nil"/>
              <w:bottom w:val="single" w:sz="4" w:space="0" w:color="auto"/>
              <w:right w:val="nil"/>
            </w:tcBorders>
            <w:vAlign w:val="center"/>
            <w:hideMark/>
          </w:tcPr>
          <w:p w14:paraId="332D285F"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11,041</w:t>
            </w:r>
          </w:p>
        </w:tc>
        <w:tc>
          <w:tcPr>
            <w:tcW w:w="2796" w:type="dxa"/>
            <w:tcBorders>
              <w:top w:val="nil"/>
              <w:left w:val="nil"/>
              <w:bottom w:val="single" w:sz="4" w:space="0" w:color="auto"/>
              <w:right w:val="nil"/>
            </w:tcBorders>
            <w:vAlign w:val="center"/>
            <w:hideMark/>
          </w:tcPr>
          <w:p w14:paraId="6672882C" w14:textId="77777777" w:rsidR="00F62F6B" w:rsidRPr="007D699F" w:rsidRDefault="00F62F6B" w:rsidP="00872636">
            <w:pPr>
              <w:tabs>
                <w:tab w:val="left" w:pos="567"/>
              </w:tabs>
              <w:spacing w:line="276" w:lineRule="auto"/>
              <w:ind w:right="-46"/>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3.49</w:t>
            </w:r>
          </w:p>
        </w:tc>
      </w:tr>
      <w:tr w:rsidR="00F62F6B" w:rsidRPr="007D699F" w14:paraId="4E11E757" w14:textId="77777777" w:rsidTr="006C247F">
        <w:trPr>
          <w:trHeight w:val="69"/>
          <w:jc w:val="center"/>
        </w:trPr>
        <w:tc>
          <w:tcPr>
            <w:tcW w:w="7088" w:type="dxa"/>
            <w:gridSpan w:val="4"/>
            <w:tcBorders>
              <w:top w:val="single" w:sz="4" w:space="0" w:color="auto"/>
              <w:left w:val="nil"/>
              <w:bottom w:val="single" w:sz="4" w:space="0" w:color="auto"/>
              <w:right w:val="nil"/>
            </w:tcBorders>
            <w:vAlign w:val="center"/>
            <w:hideMark/>
          </w:tcPr>
          <w:p w14:paraId="4A76E3E7" w14:textId="789E1609" w:rsidR="00F62F6B" w:rsidRPr="002201D7" w:rsidRDefault="00F62F6B" w:rsidP="00872636">
            <w:pPr>
              <w:tabs>
                <w:tab w:val="left" w:pos="567"/>
              </w:tabs>
              <w:spacing w:line="276" w:lineRule="auto"/>
              <w:ind w:right="-46"/>
              <w:rPr>
                <w:rFonts w:ascii="Times New Roman" w:hAnsi="Times New Roman" w:cs="Times New Roman"/>
                <w:sz w:val="24"/>
                <w:szCs w:val="24"/>
                <w:lang w:eastAsia="en-GB"/>
              </w:rPr>
            </w:pPr>
            <w:r w:rsidRPr="002201D7">
              <w:rPr>
                <w:rFonts w:ascii="Times New Roman" w:hAnsi="Times New Roman" w:cs="Times New Roman"/>
                <w:sz w:val="24"/>
                <w:szCs w:val="24"/>
                <w:lang w:eastAsia="en-GB"/>
              </w:rPr>
              <w:t xml:space="preserve">* </w:t>
            </w:r>
            <w:r w:rsidRPr="00A07220">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{"citationItems":[{"id":"ITEM-1","itemData":{"DOI":"10.2514/6.2010-1015","ISBN":"978-1-60086-959-4","abstract":"More than 90% of high-traffic scheduled flights are less than 1,500 nautical miles; however, the majority of aircraft used on these routes have design ranges considerably longer than 1,500 nm. We show that the impact of civil aviation on climate change can be reduced by using large aircraft designed specifically for the majority of flights - Large Aircraft for Short Ranges (LASR). The reduction in greenhouse gas emissions per passenger kilometer achieved by LASR aircraft is approximately 5% with respect to narrow body aircraft and 13% with respect to wide body aircraft. The LASR approach achieves this by a reduction in the operational empty weight afforded by a reduction in the maximum take-off weight. Since this approach does not require novel technology, it can be implemented immediately, yet remains complementary with future technological innovations. Copyright © 2010 by Gaetan K.W Kenway, Ryan Henderson, Jason E. Hicken, Nimeesha B. Kuntawala, David W. Zingg, Joaquim R. R. A. Martins, Ross G. McKeand.","author":[{"dropping-particle":"","family":"Kenway","given":"Gaetan","non-dropping-particle":"","parse-names":false,"suffix":""},{"dropping-particle":"","family":"Henderson","given":"Ryan","non-dropping-particle":"","parse-names":false,"suffix":""},{"dropping-particle":"","family":"Hicken","given":"Jason","non-dropping-particle":"","parse-names":false,"suffix":""},{"dropping-particle":"","family":"Kuntawala","given":"Nimeesha","non-dropping-particle":"","parse-names":false,"suffix":""},{"dropping-particle":"","family":"Zingg","given":"David","non-dropping-particle":"","parse-names":false,"suffix":""},{"dropping-particle":"","family":"Martins","given":"Joaquim","non-dropping-particle":"","parse-names":false,"suffix":""},{"dropping-particle":"","family":"McKeand","given":"Ross","non-dropping-particle":"","parse-names":false,"suffix":""}],"container-title":"48th AIAA Aerospace Sciences Meeting Including the New Horizons Forum and Aerospace Exposition","id":"ITEM-1","issued":{"date-parts":[["2010","1","4"]]},"publisher":"American Institute of Aeronautics and Astronautics","publisher-place":"Reston, Virigina","title":"Reducing Aviation's Environmental Impact Through Large Aircraft for Short Ranges","type":"paper-conference"},"uris":["http://www.mendeley.com/documents/?uuid=05dfcaa7-0ee7-361f-8194-e59756029e97"]},{"id":"ITEM-2","itemData":{"author":[{"dropping-particle":"","family":"RAeS","given":"","non-dropping-particle":"","parse-names":false,"suffix":""}],"id":"ITEM-2","issued":{"date-parts":[["2003"]]},"title":"Air Travel - Greener by Design The Technology Challenge, Report of the Technology Sub-Group","type":"report"},"uris":["http://www.mendeley.com/documents/?uuid=8427fd08-9f63-397e-bd26-49352c7fb801"]}],"mendeley":{"formattedCitation":"[88], [89]","plainTextFormattedCitation":"[88], [89]","previouslyFormattedCitation":"[88], [89]"},"properties":{"noteIndex":0},"schema":"https://github.com/citation-style-language/schema/raw/master/csl-citation.json"}</w:instrText>
            </w:r>
            <w:r w:rsidRPr="00A07220">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[88], [89]</w:t>
            </w:r>
            <w:r w:rsidRPr="00A07220">
              <w:rPr>
                <w:rFonts w:ascii="Times New Roman" w:hAnsi="Times New Roman" w:cs="Times New Roman"/>
                <w:sz w:val="24"/>
                <w:szCs w:val="24"/>
                <w:lang w:eastAsia="en-GB"/>
              </w:rPr>
              <w:fldChar w:fldCharType="end"/>
            </w:r>
          </w:p>
        </w:tc>
      </w:tr>
    </w:tbl>
    <w:p w14:paraId="1FE4C6F4" w14:textId="77777777" w:rsidR="00F62F6B" w:rsidRPr="00872636" w:rsidRDefault="00F62F6B" w:rsidP="00F62F6B">
      <w:pPr>
        <w:rPr>
          <w:sz w:val="24"/>
          <w:szCs w:val="24"/>
          <w:lang w:eastAsia="en-GB"/>
        </w:rPr>
      </w:pPr>
    </w:p>
    <w:p w14:paraId="26B14A05" w14:textId="77777777" w:rsidR="00F62F6B" w:rsidRPr="00872636" w:rsidRDefault="00F62F6B" w:rsidP="00F62F6B">
      <w:pPr>
        <w:rPr>
          <w:sz w:val="24"/>
          <w:szCs w:val="24"/>
          <w:lang w:eastAsia="en-GB"/>
        </w:rPr>
      </w:pPr>
    </w:p>
    <w:p w14:paraId="7A717150" w14:textId="77777777" w:rsidR="00F62F6B" w:rsidRPr="00556067" w:rsidRDefault="00F62F6B" w:rsidP="00F62F6B">
      <w:pPr>
        <w:pStyle w:val="Heading2"/>
        <w:spacing w:after="240" w:line="480" w:lineRule="auto"/>
        <w:rPr>
          <w:rFonts w:ascii="Times New Roman" w:hAnsi="Times New Roman" w:cs="Times New Roman"/>
          <w:color w:val="auto"/>
          <w:sz w:val="24"/>
          <w:szCs w:val="24"/>
          <w:lang w:eastAsia="en-GB"/>
        </w:rPr>
      </w:pPr>
      <w:r w:rsidRPr="002201D7">
        <w:rPr>
          <w:rFonts w:ascii="Times New Roman" w:hAnsi="Times New Roman" w:cs="Times New Roman"/>
          <w:color w:val="auto"/>
          <w:sz w:val="24"/>
          <w:szCs w:val="24"/>
          <w:lang w:eastAsia="en-GB"/>
        </w:rPr>
        <w:t>Aerodynamics and add</w:t>
      </w:r>
      <w:r w:rsidRPr="00A07220">
        <w:rPr>
          <w:rFonts w:ascii="Times New Roman" w:hAnsi="Times New Roman" w:cs="Times New Roman"/>
          <w:color w:val="auto"/>
          <w:sz w:val="24"/>
          <w:szCs w:val="24"/>
          <w:lang w:eastAsia="en-GB"/>
        </w:rPr>
        <w:t>itional fuselage structure</w:t>
      </w:r>
    </w:p>
    <w:p w14:paraId="6D14FF8C" w14:textId="77777777" w:rsidR="00F62F6B" w:rsidRPr="007D699F" w:rsidRDefault="00F62F6B" w:rsidP="00F62F6B">
      <w:pPr>
        <w:spacing w:line="480" w:lineRule="auto"/>
        <w:rPr>
          <w:rFonts w:ascii="Times New Roman" w:hAnsi="Times New Roman" w:cs="Times New Roman"/>
          <w:sz w:val="24"/>
          <w:szCs w:val="24"/>
          <w:lang w:eastAsia="en-GB"/>
        </w:rPr>
      </w:pPr>
      <w:r w:rsidRPr="00CE68A4">
        <w:rPr>
          <w:rFonts w:ascii="Times New Roman" w:hAnsi="Times New Roman" w:cs="Times New Roman"/>
          <w:i/>
          <w:iCs/>
          <w:sz w:val="24"/>
          <w:szCs w:val="24"/>
          <w:lang w:eastAsia="en-GB"/>
        </w:rPr>
        <w:t>L/D</w:t>
      </w:r>
      <w:r w:rsidRPr="00CE68A4">
        <w:rPr>
          <w:rFonts w:ascii="Times New Roman" w:hAnsi="Times New Roman" w:cs="Times New Roman"/>
          <w:sz w:val="24"/>
          <w:szCs w:val="24"/>
          <w:lang w:eastAsia="en-GB"/>
        </w:rPr>
        <w:t xml:space="preserve"> ratio</w:t>
      </w:r>
      <w:r w:rsidRPr="007D699F">
        <w:rPr>
          <w:rFonts w:ascii="Times New Roman" w:hAnsi="Times New Roman" w:cs="Times New Roman"/>
          <w:sz w:val="24"/>
          <w:szCs w:val="24"/>
          <w:lang w:eastAsia="en-GB"/>
        </w:rPr>
        <w:t>:</w:t>
      </w:r>
    </w:p>
    <w:p w14:paraId="599C96DE" w14:textId="2DD195D3" w:rsidR="00F62F6B" w:rsidRPr="00A07220" w:rsidRDefault="00F62F6B" w:rsidP="00F62F6B">
      <w:pPr>
        <w:spacing w:after="0" w:line="480" w:lineRule="auto"/>
        <w:jc w:val="both"/>
        <w:rPr>
          <w:rFonts w:ascii="Times New Roman" w:hAnsi="Times New Roman" w:cs="Times New Roman"/>
          <w:sz w:val="24"/>
          <w:szCs w:val="24"/>
          <w:lang w:eastAsia="en-GB"/>
        </w:rPr>
      </w:pPr>
      <w:r w:rsidRPr="007D699F">
        <w:rPr>
          <w:rFonts w:ascii="Times New Roman" w:hAnsi="Times New Roman" w:cs="Times New Roman"/>
          <w:sz w:val="24"/>
          <w:szCs w:val="24"/>
          <w:lang w:eastAsia="en-GB"/>
        </w:rPr>
        <w:tab/>
        <w:t xml:space="preserve">The drag coefficient </w:t>
      </w:r>
      <w:r w:rsidRPr="007D699F">
        <w:rPr>
          <w:rFonts w:ascii="Times New Roman" w:eastAsiaTheme="minorEastAsia" w:hAnsi="Times New Roman" w:cs="Times New Roman"/>
          <w:sz w:val="24"/>
          <w:szCs w:val="24"/>
          <w:lang w:eastAsia="en-GB"/>
        </w:rPr>
        <w:t>(</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C</m:t>
            </m:r>
          </m:e>
          <m:sub>
            <m:r>
              <m:rPr>
                <m:sty m:val="p"/>
              </m:rPr>
              <w:rPr>
                <w:rFonts w:ascii="Cambria Math" w:hAnsi="Cambria Math" w:cs="Times New Roman"/>
                <w:sz w:val="24"/>
                <w:szCs w:val="24"/>
                <w:lang w:eastAsia="en-GB"/>
              </w:rPr>
              <m:t>D</m:t>
            </m:r>
          </m:sub>
        </m:sSub>
      </m:oMath>
      <w:r w:rsidRPr="002201D7">
        <w:rPr>
          <w:rFonts w:ascii="Times New Roman" w:eastAsiaTheme="minorEastAsia" w:hAnsi="Times New Roman" w:cs="Times New Roman"/>
          <w:sz w:val="24"/>
          <w:szCs w:val="24"/>
          <w:lang w:eastAsia="en-GB"/>
        </w:rPr>
        <w:t xml:space="preserve">) </w:t>
      </w:r>
      <w:r w:rsidRPr="00A07220">
        <w:rPr>
          <w:rFonts w:ascii="Times New Roman" w:hAnsi="Times New Roman" w:cs="Times New Roman"/>
          <w:sz w:val="24"/>
          <w:szCs w:val="24"/>
          <w:lang w:eastAsia="en-GB"/>
        </w:rPr>
        <w:t xml:space="preserve">is estimated using equation </w:t>
      </w:r>
      <w:r w:rsidR="00F216BF">
        <w:rPr>
          <w:rFonts w:ascii="Times New Roman" w:hAnsi="Times New Roman" w:cs="Times New Roman"/>
          <w:sz w:val="24"/>
          <w:szCs w:val="24"/>
          <w:lang w:eastAsia="en-GB"/>
        </w:rPr>
        <w:t>SI 1</w:t>
      </w:r>
      <w:r w:rsidRPr="002201D7">
        <w:rPr>
          <w:rFonts w:ascii="Times New Roman" w:hAnsi="Times New Roman" w:cs="Times New Roman"/>
          <w:sz w:val="24"/>
          <w:szCs w:val="24"/>
          <w:lang w:eastAsia="en-GB"/>
        </w:rPr>
        <w:t>, assuming that it is the sum of the zero-lift drag coefficient and lift-induced drag coefficient and that there is no wave drag,</w:t>
      </w:r>
    </w:p>
    <w:tbl>
      <w:tblPr>
        <w:tblStyle w:val="TableGrid"/>
        <w:tblW w:w="9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7478"/>
        <w:gridCol w:w="954"/>
      </w:tblGrid>
      <w:tr w:rsidR="00F62F6B" w:rsidRPr="007D699F" w14:paraId="1DC5568B" w14:textId="77777777" w:rsidTr="006C247F">
        <w:trPr>
          <w:trHeight w:val="503"/>
        </w:trPr>
        <w:tc>
          <w:tcPr>
            <w:tcW w:w="714" w:type="dxa"/>
          </w:tcPr>
          <w:p w14:paraId="6754A9F9" w14:textId="77777777" w:rsidR="00F62F6B" w:rsidRPr="00556067" w:rsidRDefault="00F62F6B" w:rsidP="006C247F">
            <w:pPr>
              <w:spacing w:after="240" w:line="480" w:lineRule="auto"/>
              <w:jc w:val="both"/>
              <w:rPr>
                <w:rFonts w:ascii="Times New Roman" w:hAnsi="Times New Roman" w:cs="Times New Roman"/>
                <w:sz w:val="24"/>
                <w:szCs w:val="24"/>
                <w:lang w:eastAsia="en-GB"/>
              </w:rPr>
            </w:pPr>
          </w:p>
        </w:tc>
        <w:tc>
          <w:tcPr>
            <w:tcW w:w="7478" w:type="dxa"/>
            <w:vAlign w:val="center"/>
            <w:hideMark/>
          </w:tcPr>
          <w:p w14:paraId="3609A1CE" w14:textId="77777777" w:rsidR="00F62F6B" w:rsidRPr="00A07220" w:rsidRDefault="00000000" w:rsidP="006C247F">
            <w:pPr>
              <w:spacing w:after="240" w:line="480" w:lineRule="auto"/>
              <w:jc w:val="center"/>
              <w:rPr>
                <w:rFonts w:ascii="Times New Roman" w:hAnsi="Times New Roman" w:cs="Times New Roman"/>
                <w:sz w:val="24"/>
                <w:szCs w:val="24"/>
                <w:lang w:eastAsia="en-GB"/>
              </w:rPr>
            </w:pP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C</m:t>
                  </m:r>
                </m:e>
                <m:sub>
                  <m:r>
                    <m:rPr>
                      <m:sty m:val="p"/>
                    </m:rPr>
                    <w:rPr>
                      <w:rFonts w:ascii="Cambria Math" w:hAnsi="Cambria Math" w:cs="Times New Roman"/>
                      <w:sz w:val="24"/>
                      <w:szCs w:val="24"/>
                      <w:lang w:eastAsia="en-GB"/>
                    </w:rPr>
                    <m:t>D</m:t>
                  </m:r>
                </m:sub>
              </m:sSub>
              <m:r>
                <w:rPr>
                  <w:rFonts w:ascii="Cambria Math" w:hAnsi="Cambria Math" w:cs="Times New Roman"/>
                  <w:sz w:val="24"/>
                  <w:szCs w:val="24"/>
                  <w:lang w:eastAsia="en-GB"/>
                </w:rPr>
                <m:t>=</m:t>
              </m:r>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C</m:t>
                  </m:r>
                </m:e>
                <m:sub>
                  <m:r>
                    <m:rPr>
                      <m:sty m:val="p"/>
                    </m:rPr>
                    <w:rPr>
                      <w:rFonts w:ascii="Cambria Math" w:hAnsi="Cambria Math" w:cs="Times New Roman"/>
                      <w:sz w:val="24"/>
                      <w:szCs w:val="24"/>
                      <w:lang w:eastAsia="en-GB"/>
                    </w:rPr>
                    <m:t>D,0</m:t>
                  </m:r>
                </m:sub>
              </m:sSub>
              <m:r>
                <w:rPr>
                  <w:rFonts w:ascii="Cambria Math" w:hAnsi="Cambria Math" w:cs="Times New Roman"/>
                  <w:sz w:val="24"/>
                  <w:szCs w:val="24"/>
                  <w:lang w:eastAsia="en-GB"/>
                </w:rPr>
                <m:t>+</m:t>
              </m:r>
              <m:f>
                <m:fPr>
                  <m:ctrlPr>
                    <w:rPr>
                      <w:rFonts w:ascii="Cambria Math" w:hAnsi="Cambria Math" w:cs="Times New Roman"/>
                      <w:i/>
                      <w:sz w:val="24"/>
                      <w:szCs w:val="24"/>
                      <w:lang w:eastAsia="en-GB"/>
                    </w:rPr>
                  </m:ctrlPr>
                </m:fPr>
                <m:num>
                  <m:sSubSup>
                    <m:sSubSupPr>
                      <m:ctrlPr>
                        <w:rPr>
                          <w:rFonts w:ascii="Cambria Math" w:hAnsi="Cambria Math" w:cs="Times New Roman"/>
                          <w:i/>
                          <w:sz w:val="24"/>
                          <w:szCs w:val="24"/>
                          <w:lang w:eastAsia="en-GB"/>
                        </w:rPr>
                      </m:ctrlPr>
                    </m:sSubSupPr>
                    <m:e>
                      <m:r>
                        <w:rPr>
                          <w:rFonts w:ascii="Cambria Math" w:hAnsi="Cambria Math" w:cs="Times New Roman"/>
                          <w:sz w:val="24"/>
                          <w:szCs w:val="24"/>
                          <w:lang w:eastAsia="en-GB"/>
                        </w:rPr>
                        <m:t>C</m:t>
                      </m:r>
                    </m:e>
                    <m:sub>
                      <m:r>
                        <m:rPr>
                          <m:sty m:val="p"/>
                        </m:rPr>
                        <w:rPr>
                          <w:rFonts w:ascii="Cambria Math" w:hAnsi="Cambria Math" w:cs="Times New Roman"/>
                          <w:sz w:val="24"/>
                          <w:szCs w:val="24"/>
                          <w:lang w:eastAsia="en-GB"/>
                        </w:rPr>
                        <m:t>L</m:t>
                      </m:r>
                    </m:sub>
                    <m:sup>
                      <m:r>
                        <w:rPr>
                          <w:rFonts w:ascii="Cambria Math" w:hAnsi="Cambria Math" w:cs="Times New Roman"/>
                          <w:sz w:val="24"/>
                          <w:szCs w:val="24"/>
                          <w:lang w:eastAsia="en-GB"/>
                        </w:rPr>
                        <m:t>2</m:t>
                      </m:r>
                    </m:sup>
                  </m:sSubSup>
                </m:num>
                <m:den>
                  <m:r>
                    <m:rPr>
                      <m:sty m:val="p"/>
                    </m:rPr>
                    <w:rPr>
                      <w:rFonts w:ascii="Cambria Math" w:hAnsi="Cambria Math" w:cs="Times New Roman"/>
                      <w:sz w:val="24"/>
                      <w:szCs w:val="24"/>
                      <w:lang w:eastAsia="en-GB"/>
                    </w:rPr>
                    <m:t>π AR e</m:t>
                  </m:r>
                </m:den>
              </m:f>
            </m:oMath>
            <w:r w:rsidR="00F62F6B" w:rsidRPr="002201D7">
              <w:rPr>
                <w:rFonts w:ascii="Times New Roman" w:hAnsi="Times New Roman" w:cs="Times New Roman"/>
                <w:sz w:val="24"/>
                <w:szCs w:val="24"/>
                <w:lang w:eastAsia="en-GB"/>
              </w:rPr>
              <w:t xml:space="preserve"> ,</w:t>
            </w:r>
          </w:p>
        </w:tc>
        <w:tc>
          <w:tcPr>
            <w:tcW w:w="954" w:type="dxa"/>
            <w:vAlign w:val="center"/>
            <w:hideMark/>
          </w:tcPr>
          <w:p w14:paraId="2A912857" w14:textId="503DF00F" w:rsidR="00F62F6B" w:rsidRPr="00A07220" w:rsidRDefault="00F62F6B" w:rsidP="006C247F">
            <w:pPr>
              <w:spacing w:after="240" w:line="480" w:lineRule="auto"/>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w:t>
            </w:r>
            <w:r w:rsidR="007D699F">
              <w:rPr>
                <w:rFonts w:ascii="Times New Roman" w:hAnsi="Times New Roman" w:cs="Times New Roman"/>
                <w:sz w:val="24"/>
                <w:szCs w:val="24"/>
                <w:lang w:eastAsia="en-GB"/>
              </w:rPr>
              <w:t>SI 1</w:t>
            </w:r>
            <w:r w:rsidRPr="002201D7">
              <w:rPr>
                <w:rFonts w:ascii="Times New Roman" w:hAnsi="Times New Roman" w:cs="Times New Roman"/>
                <w:sz w:val="24"/>
                <w:szCs w:val="24"/>
                <w:lang w:eastAsia="en-GB"/>
              </w:rPr>
              <w:t>)</w:t>
            </w:r>
          </w:p>
        </w:tc>
      </w:tr>
      <w:tr w:rsidR="00F62F6B" w:rsidRPr="007D699F" w14:paraId="7AB12CD1" w14:textId="77777777" w:rsidTr="006C247F">
        <w:trPr>
          <w:trHeight w:val="484"/>
        </w:trPr>
        <w:tc>
          <w:tcPr>
            <w:tcW w:w="714" w:type="dxa"/>
          </w:tcPr>
          <w:p w14:paraId="3695CA2B" w14:textId="77777777" w:rsidR="00F62F6B" w:rsidRPr="002201D7" w:rsidRDefault="00F62F6B" w:rsidP="006C247F">
            <w:pPr>
              <w:spacing w:after="240" w:line="480" w:lineRule="auto"/>
              <w:jc w:val="both"/>
              <w:rPr>
                <w:rFonts w:ascii="Times New Roman" w:hAnsi="Times New Roman" w:cs="Times New Roman"/>
                <w:sz w:val="24"/>
                <w:szCs w:val="24"/>
                <w:lang w:eastAsia="en-GB"/>
              </w:rPr>
            </w:pPr>
          </w:p>
        </w:tc>
        <w:tc>
          <w:tcPr>
            <w:tcW w:w="7478" w:type="dxa"/>
            <w:vAlign w:val="center"/>
            <w:hideMark/>
          </w:tcPr>
          <w:p w14:paraId="2B79ABE3" w14:textId="77777777" w:rsidR="00F62F6B" w:rsidRPr="00556067" w:rsidRDefault="00F62F6B" w:rsidP="006C247F">
            <w:pPr>
              <w:spacing w:after="240" w:line="480" w:lineRule="auto"/>
              <w:jc w:val="center"/>
              <w:rPr>
                <w:rFonts w:ascii="Times New Roman" w:hAnsi="Times New Roman" w:cs="Times New Roman"/>
                <w:sz w:val="24"/>
                <w:szCs w:val="24"/>
                <w:lang w:eastAsia="en-GB"/>
              </w:rPr>
            </w:pPr>
            <w:r w:rsidRPr="00A07220">
              <w:rPr>
                <w:rFonts w:ascii="Times New Roman" w:hAnsi="Times New Roman" w:cs="Times New Roman"/>
                <w:sz w:val="24"/>
                <w:szCs w:val="24"/>
                <w:lang w:eastAsia="en-GB"/>
              </w:rPr>
              <w:t xml:space="preserve">where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C</m:t>
                  </m:r>
                </m:e>
                <m:sub>
                  <m:r>
                    <m:rPr>
                      <m:sty m:val="p"/>
                    </m:rPr>
                    <w:rPr>
                      <w:rFonts w:ascii="Cambria Math" w:hAnsi="Cambria Math" w:cs="Times New Roman"/>
                      <w:sz w:val="24"/>
                      <w:szCs w:val="24"/>
                      <w:lang w:eastAsia="en-GB"/>
                    </w:rPr>
                    <m:t>D,0</m:t>
                  </m:r>
                </m:sub>
              </m:sSub>
            </m:oMath>
            <w:r w:rsidRPr="002201D7">
              <w:rPr>
                <w:rFonts w:ascii="Times New Roman" w:hAnsi="Times New Roman" w:cs="Times New Roman"/>
                <w:sz w:val="24"/>
                <w:szCs w:val="24"/>
                <w:vertAlign w:val="subscript"/>
                <w:lang w:eastAsia="en-GB"/>
              </w:rPr>
              <w:t xml:space="preserve"> </w:t>
            </w:r>
            <w:r w:rsidRPr="00A07220">
              <w:rPr>
                <w:rFonts w:ascii="Times New Roman" w:hAnsi="Times New Roman" w:cs="Times New Roman"/>
                <w:sz w:val="24"/>
                <w:szCs w:val="24"/>
                <w:lang w:eastAsia="en-GB"/>
              </w:rPr>
              <w:t xml:space="preserve">= </w:t>
            </w:r>
            <m:oMath>
              <m:f>
                <m:fPr>
                  <m:ctrlPr>
                    <w:rPr>
                      <w:rFonts w:ascii="Cambria Math" w:hAnsi="Cambria Math" w:cs="Times New Roman"/>
                      <w:i/>
                      <w:sz w:val="24"/>
                      <w:szCs w:val="24"/>
                      <w:lang w:eastAsia="en-GB"/>
                    </w:rPr>
                  </m:ctrlPr>
                </m:fPr>
                <m:num>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C</m:t>
                      </m:r>
                    </m:e>
                    <m:sub>
                      <m:r>
                        <m:rPr>
                          <m:sty m:val="p"/>
                        </m:rPr>
                        <w:rPr>
                          <w:rFonts w:ascii="Cambria Math" w:hAnsi="Cambria Math" w:cs="Times New Roman"/>
                          <w:sz w:val="24"/>
                          <w:szCs w:val="24"/>
                          <w:lang w:eastAsia="en-GB"/>
                        </w:rPr>
                        <m:t>f</m:t>
                      </m:r>
                      <m:r>
                        <w:rPr>
                          <w:rFonts w:ascii="Cambria Math" w:hAnsi="Cambria Math" w:cs="Times New Roman"/>
                          <w:sz w:val="24"/>
                          <w:szCs w:val="24"/>
                          <w:lang w:eastAsia="en-GB"/>
                        </w:rPr>
                        <m:t xml:space="preserve"> </m:t>
                      </m:r>
                    </m:sub>
                  </m:sSub>
                  <m:r>
                    <w:rPr>
                      <w:rFonts w:ascii="Cambria Math" w:hAnsi="Cambria Math" w:cs="Times New Roman"/>
                      <w:sz w:val="24"/>
                      <w:szCs w:val="24"/>
                      <w:lang w:eastAsia="en-GB"/>
                    </w:rPr>
                    <m:t xml:space="preserve"> </m:t>
                  </m:r>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S</m:t>
                      </m:r>
                    </m:e>
                    <m:sub>
                      <m:r>
                        <m:rPr>
                          <m:sty m:val="p"/>
                        </m:rPr>
                        <w:rPr>
                          <w:rFonts w:ascii="Cambria Math" w:hAnsi="Cambria Math" w:cs="Times New Roman"/>
                          <w:sz w:val="24"/>
                          <w:szCs w:val="24"/>
                          <w:lang w:eastAsia="en-GB"/>
                        </w:rPr>
                        <m:t>wet</m:t>
                      </m:r>
                      <m:r>
                        <w:rPr>
                          <w:rFonts w:ascii="Cambria Math" w:hAnsi="Cambria Math" w:cs="Times New Roman"/>
                          <w:sz w:val="24"/>
                          <w:szCs w:val="24"/>
                          <w:lang w:eastAsia="en-GB"/>
                        </w:rPr>
                        <m:t xml:space="preserve"> </m:t>
                      </m:r>
                    </m:sub>
                  </m:sSub>
                </m:num>
                <m:den>
                  <m:r>
                    <w:rPr>
                      <w:rFonts w:ascii="Cambria Math" w:hAnsi="Cambria Math" w:cs="Times New Roman"/>
                      <w:sz w:val="24"/>
                      <w:szCs w:val="24"/>
                      <w:lang w:eastAsia="en-GB"/>
                    </w:rPr>
                    <m:t>S</m:t>
                  </m:r>
                </m:den>
              </m:f>
              <m:r>
                <w:rPr>
                  <w:rFonts w:ascii="Cambria Math" w:hAnsi="Cambria Math" w:cs="Times New Roman"/>
                  <w:sz w:val="24"/>
                  <w:szCs w:val="24"/>
                  <w:lang w:eastAsia="en-GB"/>
                </w:rPr>
                <m:t xml:space="preserve"> </m:t>
              </m:r>
            </m:oMath>
            <w:r w:rsidRPr="00A07220">
              <w:rPr>
                <w:rFonts w:ascii="Times New Roman" w:hAnsi="Times New Roman" w:cs="Times New Roman"/>
                <w:sz w:val="24"/>
                <w:szCs w:val="24"/>
                <w:lang w:eastAsia="en-GB"/>
              </w:rPr>
              <w:t>, and</w:t>
            </w:r>
          </w:p>
        </w:tc>
        <w:tc>
          <w:tcPr>
            <w:tcW w:w="954" w:type="dxa"/>
            <w:vAlign w:val="center"/>
            <w:hideMark/>
          </w:tcPr>
          <w:p w14:paraId="75C3FC40" w14:textId="318EACA7" w:rsidR="00F62F6B" w:rsidRPr="00A07220" w:rsidRDefault="00F62F6B" w:rsidP="006C247F">
            <w:pPr>
              <w:spacing w:after="240" w:line="480" w:lineRule="auto"/>
              <w:jc w:val="right"/>
              <w:rPr>
                <w:rFonts w:ascii="Times New Roman" w:hAnsi="Times New Roman" w:cs="Times New Roman"/>
                <w:sz w:val="24"/>
                <w:szCs w:val="24"/>
                <w:lang w:eastAsia="en-GB"/>
              </w:rPr>
            </w:pPr>
            <w:r w:rsidRPr="00CE68A4">
              <w:rPr>
                <w:rFonts w:ascii="Times New Roman" w:hAnsi="Times New Roman" w:cs="Times New Roman"/>
                <w:sz w:val="24"/>
                <w:szCs w:val="24"/>
                <w:lang w:eastAsia="en-GB"/>
              </w:rPr>
              <w:t>(</w:t>
            </w:r>
            <w:r w:rsidR="007D699F">
              <w:rPr>
                <w:rFonts w:ascii="Times New Roman" w:hAnsi="Times New Roman" w:cs="Times New Roman"/>
                <w:sz w:val="24"/>
                <w:szCs w:val="24"/>
                <w:lang w:eastAsia="en-GB"/>
              </w:rPr>
              <w:t>SI 2</w:t>
            </w:r>
            <w:r w:rsidRPr="002201D7">
              <w:rPr>
                <w:rFonts w:ascii="Times New Roman" w:hAnsi="Times New Roman" w:cs="Times New Roman"/>
                <w:sz w:val="24"/>
                <w:szCs w:val="24"/>
                <w:lang w:eastAsia="en-GB"/>
              </w:rPr>
              <w:t>)</w:t>
            </w:r>
          </w:p>
        </w:tc>
      </w:tr>
      <w:tr w:rsidR="00F62F6B" w:rsidRPr="007D699F" w14:paraId="43885F4A" w14:textId="77777777" w:rsidTr="006C247F">
        <w:trPr>
          <w:trHeight w:val="571"/>
        </w:trPr>
        <w:tc>
          <w:tcPr>
            <w:tcW w:w="714" w:type="dxa"/>
          </w:tcPr>
          <w:p w14:paraId="7A113AA5" w14:textId="77777777" w:rsidR="00F62F6B" w:rsidRPr="002201D7" w:rsidRDefault="00F62F6B" w:rsidP="006C247F">
            <w:pPr>
              <w:spacing w:after="240" w:line="480" w:lineRule="auto"/>
              <w:jc w:val="both"/>
              <w:rPr>
                <w:rFonts w:ascii="Times New Roman" w:hAnsi="Times New Roman" w:cs="Times New Roman"/>
                <w:sz w:val="24"/>
                <w:szCs w:val="24"/>
                <w:lang w:eastAsia="en-GB"/>
              </w:rPr>
            </w:pPr>
          </w:p>
        </w:tc>
        <w:tc>
          <w:tcPr>
            <w:tcW w:w="7478" w:type="dxa"/>
            <w:vAlign w:val="center"/>
            <w:hideMark/>
          </w:tcPr>
          <w:p w14:paraId="0203BB5D" w14:textId="77777777" w:rsidR="00F62F6B" w:rsidRPr="00A07220" w:rsidRDefault="00000000" w:rsidP="006C247F">
            <w:pPr>
              <w:spacing w:after="240" w:line="480" w:lineRule="auto"/>
              <w:jc w:val="center"/>
              <w:rPr>
                <w:rFonts w:ascii="Times New Roman" w:hAnsi="Times New Roman" w:cs="Times New Roman"/>
                <w:sz w:val="24"/>
                <w:szCs w:val="24"/>
                <w:lang w:eastAsia="en-GB"/>
              </w:rPr>
            </w:pPr>
            <m:oMathPara>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C</m:t>
                    </m:r>
                  </m:e>
                  <m:sub>
                    <m:r>
                      <m:rPr>
                        <m:sty m:val="p"/>
                      </m:rPr>
                      <w:rPr>
                        <w:rFonts w:ascii="Cambria Math" w:hAnsi="Cambria Math" w:cs="Times New Roman"/>
                        <w:sz w:val="24"/>
                        <w:szCs w:val="24"/>
                        <w:lang w:eastAsia="en-GB"/>
                      </w:rPr>
                      <m:t>L</m:t>
                    </m:r>
                  </m:sub>
                </m:sSub>
                <m:r>
                  <w:rPr>
                    <w:rFonts w:ascii="Cambria Math" w:hAnsi="Cambria Math" w:cs="Times New Roman"/>
                    <w:sz w:val="24"/>
                    <w:szCs w:val="24"/>
                    <w:lang w:eastAsia="en-GB"/>
                  </w:rPr>
                  <m:t>=</m:t>
                </m:r>
                <m:f>
                  <m:fPr>
                    <m:ctrlPr>
                      <w:rPr>
                        <w:rFonts w:ascii="Cambria Math" w:hAnsi="Cambria Math" w:cs="Times New Roman"/>
                        <w:i/>
                        <w:sz w:val="24"/>
                        <w:szCs w:val="24"/>
                        <w:lang w:eastAsia="en-GB"/>
                      </w:rPr>
                    </m:ctrlPr>
                  </m:fPr>
                  <m:num>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W</m:t>
                        </m:r>
                      </m:e>
                      <m:sub>
                        <m:r>
                          <m:rPr>
                            <m:sty m:val="p"/>
                          </m:rPr>
                          <w:rPr>
                            <w:rFonts w:ascii="Cambria Math" w:hAnsi="Cambria Math" w:cs="Times New Roman"/>
                            <w:sz w:val="24"/>
                            <w:szCs w:val="24"/>
                            <w:lang w:eastAsia="en-GB"/>
                          </w:rPr>
                          <m:t>aircraft</m:t>
                        </m:r>
                        <m:r>
                          <w:rPr>
                            <w:rFonts w:ascii="Cambria Math" w:hAnsi="Cambria Math" w:cs="Times New Roman"/>
                            <w:sz w:val="24"/>
                            <w:szCs w:val="24"/>
                            <w:lang w:eastAsia="en-GB"/>
                          </w:rPr>
                          <m:t xml:space="preserve"> </m:t>
                        </m:r>
                      </m:sub>
                    </m:sSub>
                  </m:num>
                  <m:den>
                    <m:r>
                      <w:rPr>
                        <w:rFonts w:ascii="Cambria Math" w:hAnsi="Cambria Math" w:cs="Times New Roman"/>
                        <w:sz w:val="24"/>
                        <w:szCs w:val="24"/>
                        <w:lang w:eastAsia="en-GB"/>
                      </w:rPr>
                      <m:t xml:space="preserve">0.5 </m:t>
                    </m:r>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ρ</m:t>
                        </m:r>
                      </m:e>
                      <m:sub>
                        <m:r>
                          <m:rPr>
                            <m:sty m:val="p"/>
                          </m:rPr>
                          <w:rPr>
                            <w:rFonts w:ascii="Cambria Math" w:hAnsi="Cambria Math" w:cs="Times New Roman"/>
                            <w:sz w:val="24"/>
                            <w:szCs w:val="24"/>
                            <w:lang w:eastAsia="en-GB"/>
                          </w:rPr>
                          <m:t>a</m:t>
                        </m:r>
                      </m:sub>
                    </m:sSub>
                    <m:r>
                      <w:rPr>
                        <w:rFonts w:ascii="Cambria Math" w:hAnsi="Cambria Math" w:cs="Times New Roman"/>
                        <w:sz w:val="24"/>
                        <w:szCs w:val="24"/>
                        <w:lang w:eastAsia="en-GB"/>
                      </w:rPr>
                      <m:t xml:space="preserve"> S </m:t>
                    </m:r>
                    <m:sSup>
                      <m:sSupPr>
                        <m:ctrlPr>
                          <w:rPr>
                            <w:rFonts w:ascii="Cambria Math" w:hAnsi="Cambria Math" w:cs="Times New Roman"/>
                            <w:i/>
                            <w:iCs/>
                            <w:sz w:val="24"/>
                            <w:szCs w:val="24"/>
                            <w:lang w:eastAsia="en-GB"/>
                          </w:rPr>
                        </m:ctrlPr>
                      </m:sSupPr>
                      <m:e>
                        <m:r>
                          <w:rPr>
                            <w:rFonts w:ascii="Cambria Math" w:hAnsi="Cambria Math" w:cs="Times New Roman"/>
                            <w:sz w:val="24"/>
                            <w:szCs w:val="24"/>
                            <w:lang w:eastAsia="en-GB"/>
                          </w:rPr>
                          <m:t>V</m:t>
                        </m:r>
                      </m:e>
                      <m:sup>
                        <m:r>
                          <w:rPr>
                            <w:rFonts w:ascii="Cambria Math" w:hAnsi="Cambria Math" w:cs="Times New Roman"/>
                            <w:sz w:val="24"/>
                            <w:szCs w:val="24"/>
                            <w:lang w:eastAsia="en-GB"/>
                          </w:rPr>
                          <m:t>2</m:t>
                        </m:r>
                      </m:sup>
                    </m:sSup>
                  </m:den>
                </m:f>
                <m:r>
                  <w:rPr>
                    <w:rFonts w:ascii="Cambria Math" w:hAnsi="Cambria Math" w:cs="Times New Roman"/>
                    <w:sz w:val="24"/>
                    <w:szCs w:val="24"/>
                    <w:lang w:eastAsia="en-GB"/>
                  </w:rPr>
                  <m:t xml:space="preserve">  .</m:t>
                </m:r>
              </m:oMath>
            </m:oMathPara>
          </w:p>
        </w:tc>
        <w:tc>
          <w:tcPr>
            <w:tcW w:w="954" w:type="dxa"/>
            <w:vAlign w:val="center"/>
            <w:hideMark/>
          </w:tcPr>
          <w:p w14:paraId="64379628" w14:textId="107A4B82" w:rsidR="00F62F6B" w:rsidRPr="00A07220" w:rsidRDefault="00F62F6B" w:rsidP="006C247F">
            <w:pPr>
              <w:spacing w:after="240" w:line="480" w:lineRule="auto"/>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w:t>
            </w:r>
            <w:r w:rsidR="00F216BF">
              <w:rPr>
                <w:rFonts w:ascii="Times New Roman" w:hAnsi="Times New Roman" w:cs="Times New Roman"/>
                <w:sz w:val="24"/>
                <w:szCs w:val="24"/>
                <w:lang w:eastAsia="en-GB"/>
              </w:rPr>
              <w:t>SI 3</w:t>
            </w:r>
            <w:r w:rsidRPr="002201D7">
              <w:rPr>
                <w:rFonts w:ascii="Times New Roman" w:hAnsi="Times New Roman" w:cs="Times New Roman"/>
                <w:sz w:val="24"/>
                <w:szCs w:val="24"/>
                <w:lang w:eastAsia="en-GB"/>
              </w:rPr>
              <w:t>)</w:t>
            </w:r>
          </w:p>
        </w:tc>
      </w:tr>
    </w:tbl>
    <w:p w14:paraId="61BC73CC" w14:textId="3C3CC5F1" w:rsidR="00F62F6B" w:rsidRPr="00A07220" w:rsidRDefault="00000000" w:rsidP="00F62F6B">
      <w:pPr>
        <w:spacing w:after="240" w:line="480" w:lineRule="auto"/>
        <w:jc w:val="both"/>
        <w:rPr>
          <w:rFonts w:ascii="Times New Roman" w:hAnsi="Times New Roman" w:cs="Times New Roman"/>
          <w:sz w:val="24"/>
          <w:szCs w:val="24"/>
          <w:lang w:eastAsia="en-GB"/>
        </w:rPr>
      </w:pP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C</m:t>
            </m:r>
          </m:e>
          <m:sub>
            <m:r>
              <m:rPr>
                <m:sty m:val="p"/>
              </m:rPr>
              <w:rPr>
                <w:rFonts w:ascii="Cambria Math" w:hAnsi="Cambria Math" w:cs="Times New Roman"/>
                <w:sz w:val="24"/>
                <w:szCs w:val="24"/>
                <w:lang w:eastAsia="en-GB"/>
              </w:rPr>
              <m:t>D,0</m:t>
            </m:r>
          </m:sub>
        </m:sSub>
      </m:oMath>
      <w:r w:rsidR="00F62F6B" w:rsidRPr="002201D7">
        <w:rPr>
          <w:rFonts w:ascii="Times New Roman" w:eastAsiaTheme="minorEastAsia" w:hAnsi="Times New Roman" w:cs="Times New Roman"/>
          <w:sz w:val="24"/>
          <w:szCs w:val="24"/>
          <w:lang w:eastAsia="en-GB"/>
        </w:rPr>
        <w:t xml:space="preserve"> is the coefficient of </w:t>
      </w:r>
      <w:r w:rsidR="00F62F6B" w:rsidRPr="00A07220">
        <w:rPr>
          <w:rFonts w:ascii="Times New Roman" w:hAnsi="Times New Roman" w:cs="Times New Roman"/>
          <w:sz w:val="24"/>
          <w:szCs w:val="24"/>
          <w:lang w:eastAsia="en-GB"/>
        </w:rPr>
        <w:t xml:space="preserve">zero-lift </w:t>
      </w:r>
      <w:r w:rsidR="00F62F6B" w:rsidRPr="00556067">
        <w:rPr>
          <w:rFonts w:ascii="Times New Roman" w:eastAsiaTheme="minorEastAsia" w:hAnsi="Times New Roman" w:cs="Times New Roman"/>
          <w:sz w:val="24"/>
          <w:szCs w:val="24"/>
          <w:lang w:eastAsia="en-GB"/>
        </w:rPr>
        <w:t xml:space="preserve">drag,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C</m:t>
            </m:r>
          </m:e>
          <m:sub>
            <m:r>
              <m:rPr>
                <m:sty m:val="p"/>
              </m:rPr>
              <w:rPr>
                <w:rFonts w:ascii="Cambria Math" w:hAnsi="Cambria Math" w:cs="Times New Roman"/>
                <w:sz w:val="24"/>
                <w:szCs w:val="24"/>
                <w:lang w:eastAsia="en-GB"/>
              </w:rPr>
              <m:t>L</m:t>
            </m:r>
          </m:sub>
        </m:sSub>
      </m:oMath>
      <w:r w:rsidR="00F62F6B" w:rsidRPr="002201D7">
        <w:rPr>
          <w:rFonts w:ascii="Times New Roman" w:eastAsiaTheme="minorEastAsia" w:hAnsi="Times New Roman" w:cs="Times New Roman"/>
          <w:sz w:val="24"/>
          <w:szCs w:val="24"/>
          <w:lang w:eastAsia="en-GB"/>
        </w:rPr>
        <w:t xml:space="preserve"> is the coefficient of lift, </w:t>
      </w:r>
      <w:r w:rsidR="00F62F6B" w:rsidRPr="00A07220">
        <w:rPr>
          <w:rFonts w:ascii="Times New Roman" w:hAnsi="Times New Roman" w:cs="Times New Roman"/>
          <w:sz w:val="24"/>
          <w:szCs w:val="24"/>
          <w:lang w:eastAsia="en-GB"/>
        </w:rPr>
        <w:t>AR (see</w:t>
      </w:r>
      <w:r w:rsidR="002F73EC" w:rsidRPr="00556067">
        <w:rPr>
          <w:rFonts w:ascii="Times New Roman" w:hAnsi="Times New Roman" w:cs="Times New Roman"/>
          <w:sz w:val="24"/>
          <w:szCs w:val="24"/>
          <w:lang w:eastAsia="en-GB"/>
        </w:rPr>
        <w:t xml:space="preserve"> SI </w:t>
      </w:r>
      <w:r w:rsidR="002F73EC" w:rsidRPr="00CE68A4">
        <w:rPr>
          <w:rFonts w:ascii="Times New Roman" w:hAnsi="Times New Roman" w:cs="Times New Roman"/>
          <w:sz w:val="24"/>
          <w:szCs w:val="24"/>
          <w:lang w:eastAsia="en-GB"/>
        </w:rPr>
        <w:t>§4.4</w:t>
      </w:r>
      <w:r w:rsidR="00F62F6B" w:rsidRPr="007D699F">
        <w:rPr>
          <w:rFonts w:ascii="Times New Roman" w:hAnsi="Times New Roman" w:cs="Times New Roman"/>
          <w:sz w:val="24"/>
          <w:szCs w:val="24"/>
          <w:lang w:eastAsia="en-GB"/>
        </w:rPr>
        <w:t xml:space="preserve">), and </w:t>
      </w:r>
      <w:r w:rsidR="00F62F6B" w:rsidRPr="007D699F">
        <w:rPr>
          <w:rFonts w:ascii="Times New Roman" w:hAnsi="Times New Roman" w:cs="Times New Roman"/>
          <w:i/>
          <w:iCs/>
          <w:sz w:val="24"/>
          <w:szCs w:val="24"/>
          <w:lang w:eastAsia="en-GB"/>
        </w:rPr>
        <w:t>e</w:t>
      </w:r>
      <w:r w:rsidR="00F62F6B" w:rsidRPr="007D699F">
        <w:rPr>
          <w:rFonts w:ascii="Times New Roman" w:hAnsi="Times New Roman" w:cs="Times New Roman"/>
          <w:sz w:val="24"/>
          <w:szCs w:val="24"/>
          <w:lang w:eastAsia="en-GB"/>
        </w:rPr>
        <w:t xml:space="preserve"> is the Oswald’s efficiency factor, a correction factor that is representative of change in drag with lift of a 3D wing in comparison with an ideal wing that has same AR with an elliptical lift </w:t>
      </w:r>
      <w:r w:rsidR="00F62F6B" w:rsidRPr="007D699F">
        <w:rPr>
          <w:rFonts w:ascii="Times New Roman" w:hAnsi="Times New Roman" w:cs="Times New Roman"/>
          <w:sz w:val="24"/>
          <w:szCs w:val="24"/>
          <w:lang w:eastAsia="en-GB"/>
        </w:rPr>
        <w:lastRenderedPageBreak/>
        <w:t xml:space="preserve">distribution. An LTA aircraft such as the B777 has an ‘e’ value of 0.85 and this is used in the present study for the baseline aircraft </w:t>
      </w:r>
      <w:r w:rsidR="00F62F6B" w:rsidRPr="00A07220">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{"citationItems":[{"id":"ITEM-1","itemData":{"abstract":"This report introduces the aircraft design process of the Hamburg University of Applied Sciences (German: Hochschule für Angewandte Wissenschaften Hamburg, HAW) with focus on the preliminary sizing process of transport jet aircraft. For that purpose, the HAW's Aircraft Preliminary Sizing Tool PreSTo is used to redesign a reference aircraft, which was chosen to be the Boeing B777-200LR 'Worldliner'. The workflow of the aircraft preliminary sizing process within PreSTo is presented as well as the results of the redesign of the B777-200LR. The determined results like masses, wing area and engine takeoff thrust are of good accuracy. Three additions were made to the tool to further improve the results or to make the application of the sizing process more convenient respectively. These additions are the investigation of two instead of one reference mission, a sheet to collect 'target' values of the reference aircraft and a sketching tool for the quick graphical layout and change of the fuselage cross section and floor plan. Content","author":[{"dropping-particle":"","family":"Seeckt","given":"Kolja","non-dropping-particle":"","parse-names":false,"suffix":""}],"id":"ITEM-1","issued":{"date-parts":[["2008"]]},"title":"Aircraft Preliminary Sizing with PreSTo Re-Design of the Boeing B777-200LR Aircraft Preliminary Sizing with PreSTo","type":"report"},"uris":["http://www.mendeley.com/documents/?uuid=0e7abd50-1376-3c9b-9fb6-55a934940d30"]}],"mendeley":{"formattedCitation":"[90]","plainTextFormattedCitation":"[90]","previouslyFormattedCitation":"[90]"},"properties":{"noteIndex":0},"schema":"https://github.com/citation-style-language/schema/raw/master/csl-citation.json"}</w:instrText>
      </w:r>
      <w:r w:rsidR="00F62F6B" w:rsidRPr="00A07220">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[90]</w:t>
      </w:r>
      <w:r w:rsidR="00F62F6B" w:rsidRPr="00A07220">
        <w:rPr>
          <w:rFonts w:ascii="Times New Roman" w:hAnsi="Times New Roman" w:cs="Times New Roman"/>
          <w:sz w:val="24"/>
          <w:szCs w:val="24"/>
          <w:lang w:eastAsia="en-GB"/>
        </w:rPr>
        <w:fldChar w:fldCharType="end"/>
      </w:r>
      <w:r w:rsidR="00F62F6B" w:rsidRPr="002201D7">
        <w:rPr>
          <w:rFonts w:ascii="Times New Roman" w:hAnsi="Times New Roman" w:cs="Times New Roman"/>
          <w:sz w:val="24"/>
          <w:szCs w:val="24"/>
          <w:lang w:eastAsia="en-GB"/>
        </w:rPr>
        <w:t xml:space="preserve">. </w:t>
      </w:r>
      <w:r w:rsidR="00F62F6B" w:rsidRPr="00A07220">
        <w:rPr>
          <w:rFonts w:ascii="Times New Roman" w:hAnsi="Times New Roman" w:cs="Times New Roman"/>
          <w:i/>
          <w:iCs/>
          <w:sz w:val="24"/>
          <w:szCs w:val="24"/>
          <w:lang w:eastAsia="en-GB"/>
        </w:rPr>
        <w:t>C</w:t>
      </w:r>
      <w:r w:rsidR="00F62F6B" w:rsidRPr="00556067">
        <w:rPr>
          <w:rFonts w:ascii="Times New Roman" w:hAnsi="Times New Roman" w:cs="Times New Roman"/>
          <w:sz w:val="24"/>
          <w:szCs w:val="24"/>
          <w:vertAlign w:val="subscript"/>
          <w:lang w:eastAsia="en-GB"/>
        </w:rPr>
        <w:t>f</w:t>
      </w:r>
      <w:r w:rsidR="00F62F6B" w:rsidRPr="00CE68A4">
        <w:rPr>
          <w:rFonts w:ascii="Times New Roman" w:hAnsi="Times New Roman" w:cs="Times New Roman"/>
          <w:sz w:val="24"/>
          <w:szCs w:val="24"/>
          <w:lang w:eastAsia="en-GB"/>
        </w:rPr>
        <w:t xml:space="preserve"> is the skin friction coefficient, which for today’s large transport jets is typically 0.003 </w:t>
      </w:r>
      <w:r w:rsidR="00F62F6B" w:rsidRPr="00A07220">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URL":"http://www.ltas-cm3.ulg.ac.be/AERO0023-1/ConceptionAeroPerformances.pdf","accessed":{"date-parts":[["2020","2","13"]]},"author":[{"dropping-particle":"","family":"Dimitriadis","given":"G.","non-dropping-particle":"","parse-names":false,"suffix":""}],"container-title":"Université de Liège","id":"ITEM-1","issued":{"date-parts":[["2017"]]},"title":"Introduction to Aircraft Design: Aircraft Performance","type":"webpage"},"uris":["http://www.mendeley.com/documents/?uuid=8c08c742-657f-3cf3-9343-38abe3d73e6f"]},{"id":"ITEM-2","itemData":{"author":[{"dropping-particle":"","family":"Henn","given":"Jason","non-dropping-particle":"","parse-names":false,"suffix":""},{"dropping-particle":"","family":"Camm","given":"Justin","non-dropping-particle":"","parse-names":false,"suffix":""},{"dropping-particle":"","family":"Caporellie","given":"Michael","non-dropping-particle":"","parse-names":false,"suffix":""},{"dropping-particle":"","family":"Cox","given":"Justin","non-dropping-particle":"","parse-names":false,"suffix":""},{"dropping-particle":"","family":"Fenouil","given":"Julien","non-dropping-particle":"","parse-names":false,"suffix":""},{"dropping-particle":"","family":"Hofmeister","given":"Ryan","non-dropping-particle":"","parse-names":false,"suffix":""},{"dropping-particle":"","family":"Mohan","given":"Richie","non-dropping-particle":"","parse-names":false,"suffix":""},{"dropping-particle":"","family":"Sarrol","given":"August","non-dropping-particle":"","parse-names":false,"suffix":""},{"dropping-particle":"","family":"Mason","given":"William","non-dropping-particle":"","parse-names":false,"suffix":""}],"id":"ITEM-2","issued":{"date-parts":[["2010"]]},"title":"Environautics: AIAA Foundation Undergraduate Team Aircraft Design Competition 2009-10","type":"report"},"uris":["http://www.mendeley.com/documents/?uuid=55c68585-599c-3dda-b534-d59e014a570f"]}],"mendeley":{"formattedCitation":"[91], [92]","plainTextFormattedCitation":"[91], [92]","previouslyFormattedCitation":"[91], [92]"},"properties":{"noteIndex":0},"schema":"https://github.com/citation-style-language/schema/raw/master/csl-citation.json"}</w:instrText>
      </w:r>
      <w:r w:rsidR="00F62F6B" w:rsidRPr="00A07220">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[91], [92]</w:t>
      </w:r>
      <w:r w:rsidR="00F62F6B" w:rsidRPr="00A07220">
        <w:rPr>
          <w:rFonts w:ascii="Times New Roman" w:hAnsi="Times New Roman" w:cs="Times New Roman"/>
          <w:sz w:val="24"/>
          <w:szCs w:val="24"/>
          <w:lang w:eastAsia="en-GB"/>
        </w:rPr>
        <w:fldChar w:fldCharType="end"/>
      </w:r>
      <w:r w:rsidR="00F62F6B" w:rsidRPr="002201D7">
        <w:rPr>
          <w:rFonts w:ascii="Times New Roman" w:hAnsi="Times New Roman" w:cs="Times New Roman"/>
          <w:sz w:val="24"/>
          <w:szCs w:val="24"/>
          <w:lang w:eastAsia="en-GB"/>
        </w:rPr>
        <w:t xml:space="preserve">. </w:t>
      </w:r>
      <w:r w:rsidR="00F62F6B" w:rsidRPr="00A07220">
        <w:rPr>
          <w:rFonts w:ascii="Times New Roman" w:hAnsi="Times New Roman" w:cs="Times New Roman"/>
          <w:i/>
          <w:iCs/>
          <w:sz w:val="24"/>
          <w:szCs w:val="24"/>
          <w:lang w:eastAsia="en-GB"/>
        </w:rPr>
        <w:t>S</w:t>
      </w:r>
      <w:r w:rsidR="00F62F6B" w:rsidRPr="00556067">
        <w:rPr>
          <w:rFonts w:ascii="Times New Roman" w:hAnsi="Times New Roman" w:cs="Times New Roman"/>
          <w:sz w:val="24"/>
          <w:szCs w:val="24"/>
          <w:lang w:eastAsia="en-GB"/>
        </w:rPr>
        <w:t xml:space="preserve"> is the wing area known from aircraft data (see </w:t>
      </w:r>
      <w:r w:rsidR="002F73EC" w:rsidRPr="00CE68A4">
        <w:rPr>
          <w:rFonts w:ascii="Times New Roman" w:hAnsi="Times New Roman" w:cs="Times New Roman"/>
          <w:sz w:val="24"/>
          <w:szCs w:val="24"/>
          <w:lang w:eastAsia="en-GB"/>
        </w:rPr>
        <w:t xml:space="preserve">SI </w:t>
      </w:r>
      <w:r w:rsidR="002F73EC" w:rsidRPr="007D699F">
        <w:rPr>
          <w:rFonts w:ascii="Times New Roman" w:hAnsi="Times New Roman" w:cs="Times New Roman"/>
          <w:sz w:val="24"/>
          <w:szCs w:val="24"/>
          <w:lang w:eastAsia="en-GB"/>
        </w:rPr>
        <w:t>§4.4</w:t>
      </w:r>
      <w:r w:rsidR="00F62F6B" w:rsidRPr="007D699F">
        <w:rPr>
          <w:rFonts w:ascii="Times New Roman" w:hAnsi="Times New Roman" w:cs="Times New Roman"/>
          <w:sz w:val="24"/>
          <w:szCs w:val="24"/>
          <w:lang w:eastAsia="en-GB"/>
        </w:rPr>
        <w:t>). The wetted area (</w:t>
      </w:r>
      <w:r w:rsidR="00F62F6B" w:rsidRPr="007D699F">
        <w:rPr>
          <w:rFonts w:ascii="Times New Roman" w:hAnsi="Times New Roman" w:cs="Times New Roman"/>
          <w:i/>
          <w:iCs/>
          <w:sz w:val="24"/>
          <w:szCs w:val="24"/>
          <w:lang w:eastAsia="en-GB"/>
        </w:rPr>
        <w:t>S</w:t>
      </w:r>
      <w:r w:rsidR="00F62F6B" w:rsidRPr="007D699F">
        <w:rPr>
          <w:rFonts w:ascii="Times New Roman" w:hAnsi="Times New Roman" w:cs="Times New Roman"/>
          <w:sz w:val="24"/>
          <w:szCs w:val="24"/>
          <w:vertAlign w:val="subscript"/>
          <w:lang w:eastAsia="en-GB"/>
        </w:rPr>
        <w:t>wet</w:t>
      </w:r>
      <w:r w:rsidR="00F62F6B" w:rsidRPr="007D699F">
        <w:rPr>
          <w:rFonts w:ascii="Times New Roman" w:hAnsi="Times New Roman" w:cs="Times New Roman"/>
          <w:sz w:val="24"/>
          <w:szCs w:val="24"/>
          <w:lang w:eastAsia="en-GB"/>
        </w:rPr>
        <w:t>) is calculated separately using the model described in the next section. Assumed values for the airspeed (</w:t>
      </w:r>
      <w:r w:rsidR="00F62F6B" w:rsidRPr="007D699F">
        <w:rPr>
          <w:rFonts w:ascii="Times New Roman" w:hAnsi="Times New Roman" w:cs="Times New Roman"/>
          <w:i/>
          <w:iCs/>
          <w:sz w:val="24"/>
          <w:szCs w:val="24"/>
          <w:lang w:eastAsia="en-GB"/>
        </w:rPr>
        <w:t>V</w:t>
      </w:r>
      <w:r w:rsidR="00F62F6B" w:rsidRPr="007D699F">
        <w:rPr>
          <w:rFonts w:ascii="Times New Roman" w:hAnsi="Times New Roman" w:cs="Times New Roman"/>
          <w:sz w:val="24"/>
          <w:szCs w:val="24"/>
          <w:lang w:eastAsia="en-GB"/>
        </w:rPr>
        <w:t>) and air density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ρ</m:t>
            </m:r>
          </m:e>
          <m:sub>
            <m:r>
              <w:rPr>
                <w:rFonts w:ascii="Cambria Math" w:hAnsi="Cambria Math" w:cs="Times New Roman"/>
                <w:sz w:val="24"/>
                <w:szCs w:val="24"/>
                <w:lang w:eastAsia="en-GB"/>
              </w:rPr>
              <m:t>a</m:t>
            </m:r>
          </m:sub>
        </m:sSub>
      </m:oMath>
      <w:r w:rsidR="00F62F6B" w:rsidRPr="002201D7">
        <w:rPr>
          <w:rFonts w:ascii="Times New Roman" w:hAnsi="Times New Roman" w:cs="Times New Roman"/>
          <w:sz w:val="24"/>
          <w:szCs w:val="24"/>
          <w:lang w:eastAsia="en-GB"/>
        </w:rPr>
        <w:t xml:space="preserve">) are known from aircraft data (see </w:t>
      </w:r>
      <w:r w:rsidR="002F73EC" w:rsidRPr="00A07220">
        <w:rPr>
          <w:rFonts w:ascii="Times New Roman" w:hAnsi="Times New Roman" w:cs="Times New Roman"/>
          <w:sz w:val="24"/>
          <w:szCs w:val="24"/>
          <w:lang w:eastAsia="en-GB"/>
        </w:rPr>
        <w:t xml:space="preserve">SI </w:t>
      </w:r>
      <w:r w:rsidR="002F73EC" w:rsidRPr="00556067">
        <w:rPr>
          <w:rFonts w:ascii="Times New Roman" w:hAnsi="Times New Roman" w:cs="Times New Roman"/>
          <w:sz w:val="24"/>
          <w:szCs w:val="24"/>
          <w:lang w:eastAsia="en-GB"/>
        </w:rPr>
        <w:t>§</w:t>
      </w:r>
      <w:r w:rsidR="002F73EC" w:rsidRPr="00CE68A4">
        <w:rPr>
          <w:rFonts w:ascii="Times New Roman" w:hAnsi="Times New Roman" w:cs="Times New Roman"/>
          <w:sz w:val="24"/>
          <w:szCs w:val="24"/>
          <w:lang w:eastAsia="en-GB"/>
        </w:rPr>
        <w:t>4.4</w:t>
      </w:r>
      <w:r w:rsidR="00F62F6B" w:rsidRPr="007D699F">
        <w:rPr>
          <w:rFonts w:ascii="Times New Roman" w:hAnsi="Times New Roman" w:cs="Times New Roman"/>
          <w:sz w:val="24"/>
          <w:szCs w:val="24"/>
          <w:lang w:eastAsia="en-GB"/>
        </w:rPr>
        <w:t xml:space="preserve">). </w:t>
      </w:r>
      <w:r w:rsidR="00F62F6B" w:rsidRPr="007D699F">
        <w:rPr>
          <w:rFonts w:ascii="Times New Roman" w:hAnsi="Times New Roman" w:cs="Times New Roman"/>
          <w:i/>
          <w:iCs/>
          <w:sz w:val="24"/>
          <w:szCs w:val="24"/>
          <w:lang w:eastAsia="en-GB"/>
        </w:rPr>
        <w:t>W</w:t>
      </w:r>
      <w:r w:rsidR="00F62F6B" w:rsidRPr="007D699F">
        <w:rPr>
          <w:rFonts w:ascii="Times New Roman" w:hAnsi="Times New Roman" w:cs="Times New Roman"/>
          <w:sz w:val="24"/>
          <w:szCs w:val="24"/>
          <w:vertAlign w:val="subscript"/>
          <w:lang w:eastAsia="en-GB"/>
        </w:rPr>
        <w:t>aircraft</w:t>
      </w:r>
      <w:r w:rsidR="00F62F6B" w:rsidRPr="007D699F">
        <w:rPr>
          <w:rFonts w:ascii="Times New Roman" w:hAnsi="Times New Roman" w:cs="Times New Roman"/>
          <w:sz w:val="24"/>
          <w:szCs w:val="24"/>
          <w:lang w:eastAsia="en-GB"/>
        </w:rPr>
        <w:t xml:space="preserve"> is the aircraft weight at cruise, calculated as the average of the weight at the start and end of cruise. The wave drag modelling is a high order or high-fidelity analysis, which is beyond the scope of this work. For a present-day long-range sub-sonic aircraft like B787, the contribution of the wave drag (compressibility effects) to the total drag is small (2.9% at cruise altitude of 37,000 ft and Mach 0.85) </w:t>
      </w:r>
      <w:r w:rsidR="00F62F6B" w:rsidRPr="00A07220">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URL":"https://www.lissys.uk/samp1/index.html","accessed":{"date-parts":[["2020","8","28"]]},"author":[{"dropping-particle":"","family":"PIANO-X","given":"","non-dropping-particle":"","parse-names":false,"suffix":""}],"container-title":"PIANO-X","id":"ITEM-1","issued":{"date-parts":[["2005"]]},"title":"Boeing 787 Dreamliner : Analysis","type":"webpage"},"uris":["http://www.mendeley.com/documents/?uuid=84c2041e-95c2-39ab-8350-1cac8a545c03"]}],"mendeley":{"formattedCitation":"[93]","plainTextFormattedCitation":"[93]","previouslyFormattedCitation":"[93]"},"properties":{"noteIndex":0},"schema":"https://github.com/citation-style-language/schema/raw/master/csl-citation.json"}</w:instrText>
      </w:r>
      <w:r w:rsidR="00F62F6B" w:rsidRPr="00A07220">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[93]</w:t>
      </w:r>
      <w:r w:rsidR="00F62F6B" w:rsidRPr="00A07220">
        <w:rPr>
          <w:rFonts w:ascii="Times New Roman" w:hAnsi="Times New Roman" w:cs="Times New Roman"/>
          <w:sz w:val="24"/>
          <w:szCs w:val="24"/>
          <w:lang w:eastAsia="en-GB"/>
        </w:rPr>
        <w:fldChar w:fldCharType="end"/>
      </w:r>
      <w:r w:rsidR="00F62F6B" w:rsidRPr="002201D7">
        <w:rPr>
          <w:rFonts w:ascii="Times New Roman" w:hAnsi="Times New Roman" w:cs="Times New Roman"/>
          <w:sz w:val="24"/>
          <w:szCs w:val="24"/>
          <w:lang w:eastAsia="en-GB"/>
        </w:rPr>
        <w:t xml:space="preserve">. After both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C</m:t>
            </m:r>
          </m:e>
          <m:sub>
            <m:r>
              <m:rPr>
                <m:sty m:val="p"/>
              </m:rPr>
              <w:rPr>
                <w:rFonts w:ascii="Cambria Math" w:hAnsi="Cambria Math" w:cs="Times New Roman"/>
                <w:sz w:val="24"/>
                <w:szCs w:val="24"/>
                <w:lang w:eastAsia="en-GB"/>
              </w:rPr>
              <m:t>L</m:t>
            </m:r>
          </m:sub>
        </m:sSub>
      </m:oMath>
      <w:r w:rsidR="00F62F6B" w:rsidRPr="002201D7">
        <w:rPr>
          <w:rFonts w:ascii="Times New Roman" w:hAnsi="Times New Roman" w:cs="Times New Roman"/>
          <w:sz w:val="24"/>
          <w:szCs w:val="24"/>
          <w:lang w:eastAsia="en-GB"/>
        </w:rPr>
        <w:t xml:space="preserve"> and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C</m:t>
            </m:r>
          </m:e>
          <m:sub>
            <m:r>
              <m:rPr>
                <m:sty m:val="p"/>
              </m:rPr>
              <w:rPr>
                <w:rFonts w:ascii="Cambria Math" w:hAnsi="Cambria Math" w:cs="Times New Roman"/>
                <w:sz w:val="24"/>
                <w:szCs w:val="24"/>
                <w:lang w:eastAsia="en-GB"/>
              </w:rPr>
              <m:t>D</m:t>
            </m:r>
          </m:sub>
        </m:sSub>
        <m:r>
          <w:rPr>
            <w:rFonts w:ascii="Cambria Math" w:hAnsi="Cambria Math" w:cs="Times New Roman"/>
            <w:sz w:val="24"/>
            <w:szCs w:val="24"/>
            <w:lang w:eastAsia="en-GB"/>
          </w:rPr>
          <m:t xml:space="preserve"> </m:t>
        </m:r>
      </m:oMath>
      <w:r w:rsidR="00F62F6B" w:rsidRPr="00A07220">
        <w:rPr>
          <w:rFonts w:ascii="Times New Roman" w:hAnsi="Times New Roman" w:cs="Times New Roman"/>
          <w:sz w:val="24"/>
          <w:szCs w:val="24"/>
          <w:lang w:eastAsia="en-GB"/>
        </w:rPr>
        <w:t xml:space="preserve">are calculated, the </w:t>
      </w:r>
      <w:r w:rsidR="00F62F6B" w:rsidRPr="00556067">
        <w:rPr>
          <w:rFonts w:ascii="Times New Roman" w:hAnsi="Times New Roman" w:cs="Times New Roman"/>
          <w:i/>
          <w:iCs/>
          <w:sz w:val="24"/>
          <w:szCs w:val="24"/>
          <w:lang w:eastAsia="en-GB"/>
        </w:rPr>
        <w:t>L/D</w:t>
      </w:r>
      <w:r w:rsidR="00F62F6B" w:rsidRPr="00CE68A4">
        <w:rPr>
          <w:rFonts w:ascii="Times New Roman" w:hAnsi="Times New Roman" w:cs="Times New Roman"/>
          <w:sz w:val="24"/>
          <w:szCs w:val="24"/>
          <w:lang w:eastAsia="en-GB"/>
        </w:rPr>
        <w:t xml:space="preserve">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C</m:t>
            </m:r>
          </m:e>
          <m:sub>
            <m:r>
              <m:rPr>
                <m:sty m:val="p"/>
              </m:rPr>
              <w:rPr>
                <w:rFonts w:ascii="Cambria Math" w:hAnsi="Cambria Math" w:cs="Times New Roman"/>
                <w:sz w:val="24"/>
                <w:szCs w:val="24"/>
                <w:lang w:eastAsia="en-GB"/>
              </w:rPr>
              <m:t>L</m:t>
            </m:r>
          </m:sub>
        </m:sSub>
        <m:r>
          <w:rPr>
            <w:rFonts w:ascii="Cambria Math" w:hAnsi="Cambria Math" w:cs="Times New Roman"/>
            <w:sz w:val="24"/>
            <w:szCs w:val="24"/>
            <w:lang w:eastAsia="en-GB"/>
          </w:rPr>
          <m:t>/</m:t>
        </m:r>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C</m:t>
            </m:r>
          </m:e>
          <m:sub>
            <m:r>
              <m:rPr>
                <m:sty m:val="p"/>
              </m:rPr>
              <w:rPr>
                <w:rFonts w:ascii="Cambria Math" w:hAnsi="Cambria Math" w:cs="Times New Roman"/>
                <w:sz w:val="24"/>
                <w:szCs w:val="24"/>
                <w:lang w:eastAsia="en-GB"/>
              </w:rPr>
              <m:t>D</m:t>
            </m:r>
          </m:sub>
        </m:sSub>
      </m:oMath>
      <w:r w:rsidR="00F62F6B" w:rsidRPr="002201D7">
        <w:rPr>
          <w:rFonts w:ascii="Times New Roman" w:hAnsi="Times New Roman" w:cs="Times New Roman"/>
          <w:sz w:val="24"/>
          <w:szCs w:val="24"/>
          <w:lang w:eastAsia="en-GB"/>
        </w:rPr>
        <w:t xml:space="preserve">) is calculated for cruise. </w:t>
      </w:r>
    </w:p>
    <w:p w14:paraId="15B331C1" w14:textId="77777777" w:rsidR="00F62F6B" w:rsidRPr="007D699F" w:rsidRDefault="00F62F6B" w:rsidP="00F62F6B">
      <w:pPr>
        <w:spacing w:line="480" w:lineRule="auto"/>
        <w:rPr>
          <w:rFonts w:ascii="Times New Roman" w:hAnsi="Times New Roman" w:cs="Times New Roman"/>
          <w:sz w:val="24"/>
          <w:szCs w:val="24"/>
          <w:lang w:eastAsia="en-GB"/>
        </w:rPr>
      </w:pPr>
      <w:r w:rsidRPr="00556067">
        <w:rPr>
          <w:rFonts w:ascii="Times New Roman" w:hAnsi="Times New Roman" w:cs="Times New Roman"/>
          <w:sz w:val="24"/>
          <w:szCs w:val="24"/>
          <w:lang w:eastAsia="en-GB"/>
        </w:rPr>
        <w:t>Wetted area and fuselage weight prediction model</w:t>
      </w:r>
      <w:r w:rsidRPr="00CE68A4">
        <w:rPr>
          <w:rFonts w:ascii="Times New Roman" w:hAnsi="Times New Roman" w:cs="Times New Roman"/>
          <w:sz w:val="24"/>
          <w:szCs w:val="24"/>
          <w:lang w:eastAsia="en-GB"/>
        </w:rPr>
        <w:t>:</w:t>
      </w:r>
    </w:p>
    <w:p w14:paraId="16886805" w14:textId="77777777" w:rsidR="00F62F6B" w:rsidRPr="007D699F" w:rsidRDefault="00F62F6B" w:rsidP="00F62F6B">
      <w:pPr>
        <w:spacing w:after="240" w:line="480" w:lineRule="auto"/>
        <w:rPr>
          <w:rFonts w:ascii="Times New Roman" w:hAnsi="Times New Roman" w:cs="Times New Roman"/>
          <w:i/>
          <w:iCs/>
          <w:sz w:val="24"/>
          <w:szCs w:val="24"/>
          <w:lang w:eastAsia="en-GB"/>
        </w:rPr>
      </w:pPr>
      <w:r w:rsidRPr="007D699F">
        <w:rPr>
          <w:rFonts w:ascii="Times New Roman" w:hAnsi="Times New Roman" w:cs="Times New Roman"/>
          <w:i/>
          <w:iCs/>
          <w:sz w:val="24"/>
          <w:szCs w:val="24"/>
          <w:lang w:eastAsia="en-GB"/>
        </w:rPr>
        <w:t>Aircraft wetted area prediction:</w:t>
      </w:r>
    </w:p>
    <w:p w14:paraId="0A0B566B" w14:textId="495A4BB2" w:rsidR="00F62F6B" w:rsidRPr="00A07220" w:rsidRDefault="00F62F6B" w:rsidP="00F62F6B">
      <w:pPr>
        <w:spacing w:after="240" w:line="480" w:lineRule="auto"/>
        <w:jc w:val="both"/>
        <w:rPr>
          <w:rFonts w:ascii="Times New Roman" w:hAnsi="Times New Roman" w:cs="Times New Roman"/>
          <w:sz w:val="24"/>
          <w:szCs w:val="24"/>
          <w:lang w:eastAsia="en-GB"/>
        </w:rPr>
      </w:pPr>
      <w:r w:rsidRPr="007D699F">
        <w:rPr>
          <w:rFonts w:ascii="Times New Roman" w:hAnsi="Times New Roman" w:cs="Times New Roman"/>
          <w:sz w:val="24"/>
          <w:szCs w:val="24"/>
          <w:lang w:eastAsia="en-GB"/>
        </w:rPr>
        <w:tab/>
        <w:t xml:space="preserve">As observed from equations </w:t>
      </w:r>
      <w:r w:rsidR="00F216BF">
        <w:rPr>
          <w:rFonts w:ascii="Times New Roman" w:hAnsi="Times New Roman" w:cs="Times New Roman"/>
          <w:sz w:val="24"/>
          <w:szCs w:val="24"/>
          <w:lang w:eastAsia="en-GB"/>
        </w:rPr>
        <w:t>SI 1</w:t>
      </w:r>
      <w:r w:rsidRPr="002201D7">
        <w:rPr>
          <w:rFonts w:ascii="Times New Roman" w:hAnsi="Times New Roman" w:cs="Times New Roman"/>
          <w:sz w:val="24"/>
          <w:szCs w:val="24"/>
          <w:lang w:eastAsia="en-GB"/>
        </w:rPr>
        <w:t xml:space="preserve"> and </w:t>
      </w:r>
      <w:r w:rsidR="00F216BF">
        <w:rPr>
          <w:rFonts w:ascii="Times New Roman" w:hAnsi="Times New Roman" w:cs="Times New Roman"/>
          <w:sz w:val="24"/>
          <w:szCs w:val="24"/>
          <w:lang w:eastAsia="en-GB"/>
        </w:rPr>
        <w:t>SI 2</w:t>
      </w:r>
      <w:r w:rsidRPr="002201D7">
        <w:rPr>
          <w:rFonts w:ascii="Times New Roman" w:hAnsi="Times New Roman" w:cs="Times New Roman"/>
          <w:sz w:val="24"/>
          <w:szCs w:val="24"/>
          <w:lang w:eastAsia="en-GB"/>
        </w:rPr>
        <w:t xml:space="preserve">,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S</m:t>
            </m:r>
          </m:e>
          <m:sub>
            <m:r>
              <m:rPr>
                <m:sty m:val="p"/>
              </m:rPr>
              <w:rPr>
                <w:rFonts w:ascii="Cambria Math" w:hAnsi="Cambria Math" w:cs="Times New Roman"/>
                <w:sz w:val="24"/>
                <w:szCs w:val="24"/>
                <w:lang w:eastAsia="en-GB"/>
              </w:rPr>
              <m:t>wet</m:t>
            </m:r>
          </m:sub>
        </m:sSub>
      </m:oMath>
      <w:r w:rsidRPr="002201D7">
        <w:rPr>
          <w:rFonts w:ascii="Times New Roman" w:hAnsi="Times New Roman" w:cs="Times New Roman"/>
          <w:sz w:val="24"/>
          <w:szCs w:val="24"/>
          <w:lang w:eastAsia="en-GB"/>
        </w:rPr>
        <w:t xml:space="preserve"> is required for estimating the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C</m:t>
            </m:r>
          </m:e>
          <m:sub>
            <m:r>
              <m:rPr>
                <m:sty m:val="p"/>
              </m:rPr>
              <w:rPr>
                <w:rFonts w:ascii="Cambria Math" w:hAnsi="Cambria Math" w:cs="Times New Roman"/>
                <w:sz w:val="24"/>
                <w:szCs w:val="24"/>
                <w:lang w:eastAsia="en-GB"/>
              </w:rPr>
              <m:t>D</m:t>
            </m:r>
          </m:sub>
        </m:sSub>
      </m:oMath>
      <w:r w:rsidRPr="002201D7">
        <w:rPr>
          <w:rFonts w:ascii="Times New Roman" w:hAnsi="Times New Roman" w:cs="Times New Roman"/>
          <w:sz w:val="24"/>
          <w:szCs w:val="24"/>
          <w:lang w:eastAsia="en-GB"/>
        </w:rPr>
        <w:t xml:space="preserve">. For a tube-wing aircraft,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S</m:t>
            </m:r>
          </m:e>
          <m:sub>
            <m:r>
              <m:rPr>
                <m:sty m:val="p"/>
              </m:rPr>
              <w:rPr>
                <w:rFonts w:ascii="Cambria Math" w:hAnsi="Cambria Math" w:cs="Times New Roman"/>
                <w:sz w:val="24"/>
                <w:szCs w:val="24"/>
                <w:lang w:eastAsia="en-GB"/>
              </w:rPr>
              <m:t>wet</m:t>
            </m:r>
          </m:sub>
        </m:sSub>
      </m:oMath>
      <w:r w:rsidRPr="002201D7">
        <w:rPr>
          <w:rFonts w:ascii="Times New Roman" w:hAnsi="Times New Roman" w:cs="Times New Roman"/>
          <w:sz w:val="24"/>
          <w:szCs w:val="24"/>
          <w:lang w:eastAsia="en-GB"/>
        </w:rPr>
        <w:t xml:space="preserve"> is calculated from using an empirical equation from Roskam </w:t>
      </w:r>
      <w:r w:rsidRPr="00A07220">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{"citationItems":[{"id":"ITEM-1","itemData":{"author":[{"dropping-particle":"","family":"Roskam","given":"Jan","non-dropping-particle":"","parse-names":false,"suffix":""}],"id":"ITEM-1","issued":{"date-parts":[["2005"]]},"publisher":"DAR Corporation","title":"Airplane Design. Part I: Preliminary Sizing of Airplanes","type":"book"},"uris":["http://www.mendeley.com/documents/?uuid=82bd761a-9a46-45bc-9eac-fa82a74c85bb"]}],"mendeley":{"formattedCitation":"[94]","plainTextFormattedCitation":"[94]","previouslyFormattedCitation":"[94]"},"properties":{"noteIndex":0},"schema":"https://github.com/citation-style-language/schema/raw/master/csl-citation.json"}</w:instrText>
      </w:r>
      <w:r w:rsidRPr="00A07220">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[94]</w:t>
      </w:r>
      <w:r w:rsidRPr="00A07220">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xml:space="preserve"> that relates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S</m:t>
            </m:r>
          </m:e>
          <m:sub>
            <m:r>
              <m:rPr>
                <m:sty m:val="p"/>
              </m:rPr>
              <w:rPr>
                <w:rFonts w:ascii="Cambria Math" w:hAnsi="Cambria Math" w:cs="Times New Roman"/>
                <w:sz w:val="24"/>
                <w:szCs w:val="24"/>
                <w:lang w:eastAsia="en-GB"/>
              </w:rPr>
              <m:t>wet</m:t>
            </m:r>
          </m:sub>
        </m:sSub>
      </m:oMath>
      <w:r w:rsidRPr="002201D7">
        <w:rPr>
          <w:rFonts w:ascii="Times New Roman" w:hAnsi="Times New Roman" w:cs="Times New Roman"/>
          <w:sz w:val="24"/>
          <w:szCs w:val="24"/>
          <w:lang w:eastAsia="en-GB"/>
        </w:rPr>
        <w:t xml:space="preserve"> to GTOW, </w:t>
      </w:r>
    </w:p>
    <w:tbl>
      <w:tblPr>
        <w:tblStyle w:val="TableGrid"/>
        <w:tblW w:w="9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7447"/>
        <w:gridCol w:w="950"/>
      </w:tblGrid>
      <w:tr w:rsidR="00F62F6B" w:rsidRPr="007D699F" w14:paraId="4EAE4F60" w14:textId="77777777" w:rsidTr="006C247F">
        <w:trPr>
          <w:trHeight w:val="347"/>
        </w:trPr>
        <w:tc>
          <w:tcPr>
            <w:tcW w:w="710" w:type="dxa"/>
          </w:tcPr>
          <w:p w14:paraId="6FFF0F19" w14:textId="77777777" w:rsidR="00F62F6B" w:rsidRPr="00556067" w:rsidRDefault="00F62F6B" w:rsidP="006C247F">
            <w:pPr>
              <w:spacing w:after="240" w:line="480" w:lineRule="auto"/>
              <w:jc w:val="both"/>
              <w:rPr>
                <w:rFonts w:ascii="Times New Roman" w:hAnsi="Times New Roman" w:cs="Times New Roman"/>
                <w:sz w:val="24"/>
                <w:szCs w:val="24"/>
                <w:lang w:eastAsia="en-GB"/>
              </w:rPr>
            </w:pPr>
          </w:p>
        </w:tc>
        <w:tc>
          <w:tcPr>
            <w:tcW w:w="7447" w:type="dxa"/>
            <w:vAlign w:val="center"/>
            <w:hideMark/>
          </w:tcPr>
          <w:p w14:paraId="26F3362F" w14:textId="77777777" w:rsidR="00F62F6B" w:rsidRPr="00CE68A4" w:rsidRDefault="00000000" w:rsidP="006C247F">
            <w:pPr>
              <w:spacing w:after="240" w:line="480" w:lineRule="auto"/>
              <w:jc w:val="center"/>
              <w:rPr>
                <w:rFonts w:ascii="Times New Roman" w:hAnsi="Times New Roman" w:cs="Times New Roman"/>
                <w:sz w:val="24"/>
                <w:szCs w:val="24"/>
                <w:lang w:eastAsia="en-GB"/>
              </w:rPr>
            </w:pPr>
            <m:oMath>
              <m:func>
                <m:funcPr>
                  <m:ctrlPr>
                    <w:rPr>
                      <w:rFonts w:ascii="Cambria Math" w:hAnsi="Cambria Math" w:cs="Times New Roman"/>
                      <w:i/>
                      <w:sz w:val="24"/>
                      <w:szCs w:val="24"/>
                      <w:lang w:eastAsia="en-GB"/>
                    </w:rPr>
                  </m:ctrlPr>
                </m:funcPr>
                <m:fName>
                  <m:sSub>
                    <m:sSubPr>
                      <m:ctrlPr>
                        <w:rPr>
                          <w:rFonts w:ascii="Cambria Math" w:hAnsi="Cambria Math" w:cs="Times New Roman"/>
                          <w:i/>
                          <w:sz w:val="24"/>
                          <w:szCs w:val="24"/>
                          <w:lang w:eastAsia="en-GB"/>
                        </w:rPr>
                      </m:ctrlPr>
                    </m:sSubPr>
                    <m:e>
                      <m:r>
                        <m:rPr>
                          <m:sty m:val="p"/>
                        </m:rPr>
                        <w:rPr>
                          <w:rFonts w:ascii="Cambria Math" w:hAnsi="Cambria Math" w:cs="Times New Roman"/>
                          <w:sz w:val="24"/>
                          <w:szCs w:val="24"/>
                          <w:lang w:eastAsia="en-GB"/>
                        </w:rPr>
                        <m:t>log</m:t>
                      </m:r>
                      <m:ctrlPr>
                        <w:rPr>
                          <w:rFonts w:ascii="Cambria Math" w:hAnsi="Cambria Math" w:cs="Times New Roman"/>
                          <w:sz w:val="24"/>
                          <w:szCs w:val="24"/>
                          <w:lang w:eastAsia="en-GB"/>
                        </w:rPr>
                      </m:ctrlPr>
                    </m:e>
                    <m:sub>
                      <m:r>
                        <w:rPr>
                          <w:rFonts w:ascii="Cambria Math" w:hAnsi="Cambria Math" w:cs="Times New Roman"/>
                          <w:sz w:val="24"/>
                          <w:szCs w:val="24"/>
                          <w:lang w:eastAsia="en-GB"/>
                        </w:rPr>
                        <m:t>10</m:t>
                      </m:r>
                      <m:ctrlPr>
                        <w:rPr>
                          <w:rFonts w:ascii="Cambria Math" w:hAnsi="Cambria Math" w:cs="Times New Roman"/>
                          <w:sz w:val="24"/>
                          <w:szCs w:val="24"/>
                          <w:lang w:eastAsia="en-GB"/>
                        </w:rPr>
                      </m:ctrlPr>
                    </m:sub>
                  </m:sSub>
                </m:fName>
                <m:e>
                  <m:d>
                    <m:dPr>
                      <m:ctrlPr>
                        <w:rPr>
                          <w:rFonts w:ascii="Cambria Math" w:hAnsi="Cambria Math" w:cs="Times New Roman"/>
                          <w:i/>
                          <w:sz w:val="24"/>
                          <w:szCs w:val="24"/>
                          <w:lang w:eastAsia="en-GB"/>
                        </w:rPr>
                      </m:ctrlPr>
                    </m:dPr>
                    <m:e>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S</m:t>
                          </m:r>
                        </m:e>
                        <m:sub>
                          <m:r>
                            <m:rPr>
                              <m:sty m:val="p"/>
                            </m:rPr>
                            <w:rPr>
                              <w:rFonts w:ascii="Cambria Math" w:hAnsi="Cambria Math" w:cs="Times New Roman"/>
                              <w:sz w:val="24"/>
                              <w:szCs w:val="24"/>
                              <w:lang w:eastAsia="en-GB"/>
                            </w:rPr>
                            <m:t>wet</m:t>
                          </m:r>
                        </m:sub>
                      </m:sSub>
                      <m:r>
                        <w:rPr>
                          <w:rFonts w:ascii="Cambria Math" w:hAnsi="Cambria Math" w:cs="Times New Roman"/>
                          <w:sz w:val="24"/>
                          <w:szCs w:val="24"/>
                          <w:lang w:eastAsia="en-GB"/>
                        </w:rPr>
                        <m:t xml:space="preserve"> [</m:t>
                      </m:r>
                      <m:r>
                        <m:rPr>
                          <m:sty m:val="p"/>
                        </m:rPr>
                        <w:rPr>
                          <w:rFonts w:ascii="Cambria Math" w:hAnsi="Cambria Math" w:cs="Times New Roman"/>
                          <w:sz w:val="24"/>
                          <w:szCs w:val="24"/>
                          <w:lang w:eastAsia="en-GB"/>
                        </w:rPr>
                        <m:t>f</m:t>
                      </m:r>
                      <m:sSup>
                        <m:sSupPr>
                          <m:ctrlPr>
                            <w:rPr>
                              <w:rFonts w:ascii="Cambria Math" w:hAnsi="Cambria Math" w:cs="Times New Roman"/>
                              <w:iCs/>
                              <w:sz w:val="24"/>
                              <w:szCs w:val="24"/>
                              <w:lang w:eastAsia="en-GB"/>
                            </w:rPr>
                          </m:ctrlPr>
                        </m:sSupPr>
                        <m:e>
                          <m:r>
                            <m:rPr>
                              <m:sty m:val="p"/>
                            </m:rPr>
                            <w:rPr>
                              <w:rFonts w:ascii="Cambria Math" w:hAnsi="Cambria Math" w:cs="Times New Roman"/>
                              <w:sz w:val="24"/>
                              <w:szCs w:val="24"/>
                              <w:lang w:eastAsia="en-GB"/>
                            </w:rPr>
                            <m:t>t</m:t>
                          </m:r>
                        </m:e>
                        <m:sup>
                          <m:r>
                            <m:rPr>
                              <m:sty m:val="p"/>
                            </m:rPr>
                            <w:rPr>
                              <w:rFonts w:ascii="Cambria Math" w:hAnsi="Cambria Math" w:cs="Times New Roman"/>
                              <w:sz w:val="24"/>
                              <w:szCs w:val="24"/>
                              <w:lang w:eastAsia="en-GB"/>
                            </w:rPr>
                            <m:t>2</m:t>
                          </m:r>
                        </m:sup>
                      </m:sSup>
                      <m:r>
                        <w:rPr>
                          <w:rFonts w:ascii="Cambria Math" w:hAnsi="Cambria Math" w:cs="Times New Roman"/>
                          <w:sz w:val="24"/>
                          <w:szCs w:val="24"/>
                          <w:lang w:eastAsia="en-GB"/>
                        </w:rPr>
                        <m:t>]</m:t>
                      </m:r>
                    </m:e>
                  </m:d>
                </m:e>
              </m:func>
              <m:r>
                <w:rPr>
                  <w:rFonts w:ascii="Cambria Math" w:hAnsi="Cambria Math" w:cs="Times New Roman"/>
                  <w:sz w:val="24"/>
                  <w:szCs w:val="24"/>
                  <w:lang w:eastAsia="en-GB"/>
                </w:rPr>
                <m:t>=D</m:t>
              </m:r>
              <m:func>
                <m:funcPr>
                  <m:ctrlPr>
                    <w:rPr>
                      <w:rFonts w:ascii="Cambria Math" w:hAnsi="Cambria Math" w:cs="Times New Roman"/>
                      <w:i/>
                      <w:sz w:val="24"/>
                      <w:szCs w:val="24"/>
                      <w:lang w:eastAsia="en-GB"/>
                    </w:rPr>
                  </m:ctrlPr>
                </m:funcPr>
                <m:fName>
                  <m:sSub>
                    <m:sSubPr>
                      <m:ctrlPr>
                        <w:rPr>
                          <w:rFonts w:ascii="Cambria Math" w:hAnsi="Cambria Math" w:cs="Times New Roman"/>
                          <w:i/>
                          <w:sz w:val="24"/>
                          <w:szCs w:val="24"/>
                          <w:lang w:eastAsia="en-GB"/>
                        </w:rPr>
                      </m:ctrlPr>
                    </m:sSubPr>
                    <m:e>
                      <m:r>
                        <m:rPr>
                          <m:sty m:val="p"/>
                        </m:rPr>
                        <w:rPr>
                          <w:rFonts w:ascii="Cambria Math" w:hAnsi="Cambria Math" w:cs="Times New Roman"/>
                          <w:sz w:val="24"/>
                          <w:szCs w:val="24"/>
                          <w:lang w:eastAsia="en-GB"/>
                        </w:rPr>
                        <m:t>log</m:t>
                      </m:r>
                    </m:e>
                    <m:sub>
                      <m:r>
                        <w:rPr>
                          <w:rFonts w:ascii="Cambria Math" w:hAnsi="Cambria Math" w:cs="Times New Roman"/>
                          <w:sz w:val="24"/>
                          <w:szCs w:val="24"/>
                          <w:lang w:eastAsia="en-GB"/>
                        </w:rPr>
                        <m:t>10</m:t>
                      </m:r>
                      <m:ctrlPr>
                        <w:rPr>
                          <w:rFonts w:ascii="Cambria Math" w:hAnsi="Cambria Math" w:cs="Times New Roman"/>
                          <w:sz w:val="24"/>
                          <w:szCs w:val="24"/>
                          <w:lang w:eastAsia="en-GB"/>
                        </w:rPr>
                      </m:ctrlPr>
                    </m:sub>
                  </m:sSub>
                </m:fName>
                <m:e>
                  <m:d>
                    <m:dPr>
                      <m:ctrlPr>
                        <w:rPr>
                          <w:rFonts w:ascii="Cambria Math" w:hAnsi="Cambria Math" w:cs="Times New Roman"/>
                          <w:i/>
                          <w:sz w:val="24"/>
                          <w:szCs w:val="24"/>
                          <w:lang w:eastAsia="en-GB"/>
                        </w:rPr>
                      </m:ctrlPr>
                    </m:dPr>
                    <m:e>
                      <m:r>
                        <m:rPr>
                          <m:sty m:val="p"/>
                        </m:rPr>
                        <w:rPr>
                          <w:rFonts w:ascii="Cambria Math" w:hAnsi="Cambria Math" w:cs="Times New Roman"/>
                          <w:sz w:val="24"/>
                          <w:szCs w:val="24"/>
                          <w:lang w:eastAsia="en-GB"/>
                        </w:rPr>
                        <m:t>GTOW [lb]</m:t>
                      </m:r>
                    </m:e>
                  </m:d>
                </m:e>
              </m:func>
              <m:r>
                <w:rPr>
                  <w:rFonts w:ascii="Cambria Math" w:hAnsi="Cambria Math" w:cs="Times New Roman"/>
                  <w:sz w:val="24"/>
                  <w:szCs w:val="24"/>
                  <w:lang w:eastAsia="en-GB"/>
                </w:rPr>
                <m:t>+C</m:t>
              </m:r>
            </m:oMath>
            <w:r w:rsidR="00F62F6B" w:rsidRPr="00556067">
              <w:rPr>
                <w:rFonts w:ascii="Times New Roman" w:hAnsi="Times New Roman" w:cs="Times New Roman"/>
                <w:sz w:val="24"/>
                <w:szCs w:val="24"/>
                <w:lang w:eastAsia="en-GB"/>
              </w:rPr>
              <w:t xml:space="preserve"> ,</w:t>
            </w:r>
          </w:p>
        </w:tc>
        <w:tc>
          <w:tcPr>
            <w:tcW w:w="950" w:type="dxa"/>
            <w:vAlign w:val="center"/>
            <w:hideMark/>
          </w:tcPr>
          <w:p w14:paraId="5B72658A" w14:textId="564435AF" w:rsidR="00F62F6B" w:rsidRPr="00A07220" w:rsidRDefault="00F62F6B" w:rsidP="006C247F">
            <w:pPr>
              <w:spacing w:after="240" w:line="480"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w:t>
            </w:r>
            <w:r w:rsidR="00F216BF">
              <w:rPr>
                <w:rFonts w:ascii="Times New Roman" w:hAnsi="Times New Roman" w:cs="Times New Roman"/>
                <w:sz w:val="24"/>
                <w:szCs w:val="24"/>
                <w:lang w:eastAsia="en-GB"/>
              </w:rPr>
              <w:t>SI 4</w:t>
            </w:r>
            <w:r w:rsidRPr="002201D7">
              <w:rPr>
                <w:rFonts w:ascii="Times New Roman" w:hAnsi="Times New Roman" w:cs="Times New Roman"/>
                <w:sz w:val="24"/>
                <w:szCs w:val="24"/>
                <w:lang w:eastAsia="en-GB"/>
              </w:rPr>
              <w:t>)</w:t>
            </w:r>
          </w:p>
        </w:tc>
      </w:tr>
    </w:tbl>
    <w:p w14:paraId="1027F377" w14:textId="6FD87BB8" w:rsidR="00F62F6B" w:rsidRPr="00CE68A4" w:rsidRDefault="00F62F6B" w:rsidP="00F62F6B">
      <w:pPr>
        <w:spacing w:after="240" w:line="480" w:lineRule="auto"/>
        <w:jc w:val="both"/>
        <w:rPr>
          <w:rFonts w:ascii="Times New Roman" w:hAnsi="Times New Roman" w:cs="Times New Roman"/>
          <w:sz w:val="24"/>
          <w:szCs w:val="24"/>
          <w:lang w:eastAsia="en-GB"/>
        </w:rPr>
      </w:pPr>
      <w:r w:rsidRPr="002201D7">
        <w:rPr>
          <w:rFonts w:ascii="Times New Roman" w:hAnsi="Times New Roman" w:cs="Times New Roman"/>
          <w:sz w:val="24"/>
          <w:szCs w:val="24"/>
          <w:lang w:eastAsia="en-GB"/>
        </w:rPr>
        <w:t xml:space="preserve">where the coefficients </w:t>
      </w:r>
      <w:r w:rsidRPr="00A07220">
        <w:rPr>
          <w:rFonts w:ascii="Times New Roman" w:hAnsi="Times New Roman" w:cs="Times New Roman"/>
          <w:i/>
          <w:iCs/>
          <w:sz w:val="24"/>
          <w:szCs w:val="24"/>
          <w:lang w:eastAsia="en-GB"/>
        </w:rPr>
        <w:t>C</w:t>
      </w:r>
      <w:r w:rsidRPr="00556067">
        <w:rPr>
          <w:rFonts w:ascii="Times New Roman" w:hAnsi="Times New Roman" w:cs="Times New Roman"/>
          <w:sz w:val="24"/>
          <w:szCs w:val="24"/>
          <w:lang w:eastAsia="en-GB"/>
        </w:rPr>
        <w:t xml:space="preserve"> and </w:t>
      </w:r>
      <w:r w:rsidRPr="00CE68A4">
        <w:rPr>
          <w:rFonts w:ascii="Times New Roman" w:hAnsi="Times New Roman" w:cs="Times New Roman"/>
          <w:i/>
          <w:iCs/>
          <w:sz w:val="24"/>
          <w:szCs w:val="24"/>
          <w:lang w:eastAsia="en-GB"/>
        </w:rPr>
        <w:t>D</w:t>
      </w:r>
      <w:r w:rsidRPr="007D699F">
        <w:rPr>
          <w:rFonts w:ascii="Times New Roman" w:hAnsi="Times New Roman" w:cs="Times New Roman"/>
          <w:sz w:val="24"/>
          <w:szCs w:val="24"/>
          <w:lang w:eastAsia="en-GB"/>
        </w:rPr>
        <w:t xml:space="preserve"> are 0.0199 and 0.7531 respectively, for transport jets </w:t>
      </w:r>
      <w:r w:rsidRPr="00A07220">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{"citationItems":[{"id":"ITEM-1","itemData":{"author":[{"dropping-particle":"","family":"Roskam","given":"Jan","non-dropping-particle":"","parse-names":false,"suffix":""}],"id":"ITEM-1","issued":{"date-parts":[["2005"]]},"publisher":"DAR Corporation","title":"Airplane Design. Part I: Preliminary Sizing of Airplanes","type":"book"},"uris":["http://www.mendeley.com/documents/?uuid=82bd761a-9a46-45bc-9eac-fa82a74c85bb"]}],"mendeley":{"formattedCitation":"[94]","plainTextFormattedCitation":"[94]","previouslyFormattedCitation":"[94]"},"properties":{"noteIndex":0},"schema":"https://github.com/citation-style-language/schema/raw/master/csl-citation.json"}</w:instrText>
      </w:r>
      <w:r w:rsidRPr="00A07220">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[94]</w:t>
      </w:r>
      <w:r w:rsidRPr="00A07220">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A</w:t>
      </w:r>
      <w:r w:rsidRPr="00A07220">
        <w:rPr>
          <w:rFonts w:ascii="Times New Roman" w:hAnsi="Times New Roman" w:cs="Times New Roman"/>
          <w:sz w:val="24"/>
          <w:szCs w:val="24"/>
          <w:lang w:eastAsia="en-GB"/>
        </w:rPr>
        <w:t xml:space="preserve"> validation of equation </w:t>
      </w:r>
      <w:r w:rsidR="0057229F">
        <w:rPr>
          <w:rFonts w:ascii="Times New Roman" w:hAnsi="Times New Roman" w:cs="Times New Roman"/>
          <w:sz w:val="24"/>
          <w:szCs w:val="24"/>
          <w:lang w:eastAsia="en-GB"/>
        </w:rPr>
        <w:t>SI 4</w:t>
      </w:r>
      <w:r w:rsidRPr="002201D7">
        <w:rPr>
          <w:rFonts w:ascii="Times New Roman" w:hAnsi="Times New Roman" w:cs="Times New Roman"/>
          <w:sz w:val="24"/>
          <w:szCs w:val="24"/>
          <w:lang w:eastAsia="en-GB"/>
        </w:rPr>
        <w:t xml:space="preserve"> is conducted for two cases, a Boeing 787 </w:t>
      </w:r>
      <w:r w:rsidRPr="002201D7">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URL":"https://www.lissys.uk/samp1/index.html","accessed":{"date-parts":[["2020","8","28"]]},"author":[{"dropping-particle":"","family":"PIANO-X","given":"","non-dropping-particle":"","parse-names":false,"suffix":""}],"container-title":"PIANO-X","id":"ITEM-1","issued":{"date-parts":[["2005"]]},"title":"Boeing 787 Dreamliner : Analysis","type":"webpage"},"uris":["http://www.mendeley.com/documents/?uuid=84c2041e-95c2-39ab-8350-1cac8a545c03"]}],"mendeley":{"formattedCitation":"[93]","plainTextFormattedCitation":"[93]","previouslyFormattedCitation":"[93]"},"properties":{"noteIndex":0},"schema":"https://github.com/citation-style-language/schema/raw/master/csl-citation.json"}</w:instrText>
      </w:r>
      <w:r w:rsidRPr="002201D7">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[93]</w:t>
      </w:r>
      <w:r w:rsidRPr="002201D7">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xml:space="preserve"> and a tube-wing aircraft of future </w:t>
      </w:r>
      <w:r w:rsidRPr="002201D7">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{"citationItems":[{"id":"ITEM-1","itemData":{"DOI":"10.2514/6.2009-931","ISBN":"9781563479694","abstract":"The objective of this study was to develop a rapid hybrid wing body (HWB) sizing and analysis capability, apply that capability to estimate the fuel burn potential for an HWB concept, and identify associated technology requirements. The resulting HWB concept had a 39 percent lower block fuel burn than the reference vehicle and a 12 percent lower block fuel burn than an advanced tube-with-wings configuration. This fuel burn advantage is partially derived from assuming the high-risk technology of embedded engines with boundary-layer-ingesting inlets. The HWB concept also has the potential for significantly reduced noise as a result of the shielding advantages that are inherent with an over-body engine installation. The HWB fuel burn results were obtained by modifying NASA's Flight Optimization System (FLOPS) conceptual aircraft sizing and synthesis software to enable the rapid sizing and analysis of HWB concepts. The noncircular pressurized centerbody of the HWB concept was modeled, and several options were created for defining the outboard wing sections. Weight and drag estimation routines were modified to accommodate the unique aspects of an HWB configuration. A proprietary Boeing blended wing body (BWB) concept was initially modeled with the new analysis capability for comparison purposes. FLOPS predicted approximately a 15 percent greater drag, mainly caused by differences in compressibility drag estimation, and approximately a 5 percent greater takeoff gross weight, mainly caused by the additional fuel required, as compared with the Boeing data. Next, a 777-like reference vehicle was modeled in FLOPS and calibrated to published Boeing performance data; the same mission definition was then used to size an HWB in FLOPS. Advanced airframe and propulsion technology assumptions were applied to the HWB to develop an estimate for potential fuel burn savings from such a concept. The same technology assumptions, where applicable, were then applied to an advanced tube-with-wings concept. There are several ongoing NASA-funded efforts to improve FLOPS HWB sizing and analysis capabilities with a focus on reconciling the drag and weight discrepancies between FLOPS and the Boeing proprietary data which were identified during this effort.","author":[{"dropping-particle":"","family":"Nickol","given":"Craig L.","non-dropping-particle":"","parse-names":false,"suffix":""},{"dropping-particle":"","family":"McCullers","given":"Linwood A.","non-dropping-particle":"","parse-names":false,"suffix":""}],"container-title":"47th AIAA Aerospace Sciences Meeting including the New Horizons Forum and Aerospace Exposition","id":"ITEM-1","issued":{"date-parts":[["2009"]]},"publisher-place":"Orlando, Florida","title":"Hybrid Wing body configuration system studies","type":"paper-conference"},"uris":["http://www.mendeley.com/documents/?uuid=955963a6-e31b-335f-be16-93500506814a"]}],"mendeley":{"formattedCitation":"[95]","plainTextFormattedCitation":"[95]","previouslyFormattedCitation":"[95]"},"properties":{"noteIndex":0},"schema":"https://github.com/citation-style-language/schema/raw/master/csl-citation.json"}</w:instrText>
      </w:r>
      <w:r w:rsidRPr="002201D7">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[95]</w:t>
      </w:r>
      <w:r w:rsidRPr="002201D7">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xml:space="preserve"> , and gives agreement to within ±5% (&lt; + 2%) (SI §</w:t>
      </w:r>
      <w:r w:rsidR="00B40FCF" w:rsidRPr="00A07220">
        <w:rPr>
          <w:rFonts w:ascii="Times New Roman" w:hAnsi="Times New Roman" w:cs="Times New Roman"/>
          <w:sz w:val="24"/>
          <w:szCs w:val="24"/>
          <w:lang w:eastAsia="en-GB"/>
        </w:rPr>
        <w:t>7</w:t>
      </w:r>
      <w:r w:rsidRPr="00556067">
        <w:rPr>
          <w:rFonts w:ascii="Times New Roman" w:hAnsi="Times New Roman" w:cs="Times New Roman"/>
          <w:sz w:val="24"/>
          <w:szCs w:val="24"/>
          <w:lang w:eastAsia="en-GB"/>
        </w:rPr>
        <w:t xml:space="preserve">.1). </w:t>
      </w:r>
    </w:p>
    <w:p w14:paraId="67B3CAAF" w14:textId="77777777" w:rsidR="00F62F6B" w:rsidRPr="007D699F" w:rsidRDefault="00F62F6B" w:rsidP="00F62F6B">
      <w:pPr>
        <w:spacing w:after="240" w:line="480" w:lineRule="auto"/>
        <w:rPr>
          <w:rFonts w:ascii="Times New Roman" w:hAnsi="Times New Roman" w:cs="Times New Roman"/>
          <w:i/>
          <w:iCs/>
          <w:sz w:val="24"/>
          <w:szCs w:val="24"/>
          <w:lang w:eastAsia="en-GB"/>
        </w:rPr>
      </w:pPr>
      <w:r w:rsidRPr="007D699F">
        <w:rPr>
          <w:rFonts w:ascii="Times New Roman" w:hAnsi="Times New Roman" w:cs="Times New Roman"/>
          <w:i/>
          <w:iCs/>
          <w:sz w:val="24"/>
          <w:szCs w:val="24"/>
          <w:lang w:eastAsia="en-GB"/>
        </w:rPr>
        <w:t>Fuselage wetted area and weight prediction:</w:t>
      </w:r>
    </w:p>
    <w:p w14:paraId="77738D16" w14:textId="6A78DBC4" w:rsidR="00F62F6B" w:rsidRPr="002201D7" w:rsidRDefault="00F62F6B" w:rsidP="00F62F6B">
      <w:pPr>
        <w:spacing w:after="240" w:line="480" w:lineRule="auto"/>
        <w:jc w:val="both"/>
        <w:rPr>
          <w:rFonts w:ascii="Times New Roman" w:hAnsi="Times New Roman" w:cs="Times New Roman"/>
          <w:sz w:val="24"/>
          <w:szCs w:val="24"/>
          <w:lang w:eastAsia="en-GB"/>
        </w:rPr>
      </w:pPr>
      <w:r w:rsidRPr="007D699F">
        <w:rPr>
          <w:rFonts w:ascii="Times New Roman" w:hAnsi="Times New Roman" w:cs="Times New Roman"/>
          <w:sz w:val="24"/>
          <w:szCs w:val="24"/>
          <w:lang w:eastAsia="en-GB"/>
        </w:rPr>
        <w:lastRenderedPageBreak/>
        <w:tab/>
        <w:t xml:space="preserve">For alternative fuels that are being studied here, a fraction of (for non-cryogenic fuels) or the entire fuel tanks (for cryogenic fuels) are installed in the fuselage. The increase in the fuselage length increases the aircraft wetted area, drag and weight, and resultantly the fuel consumption. Therefore, the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S</m:t>
            </m:r>
          </m:e>
          <m:sub>
            <m:r>
              <m:rPr>
                <m:sty m:val="p"/>
              </m:rPr>
              <w:rPr>
                <w:rFonts w:ascii="Cambria Math" w:hAnsi="Cambria Math" w:cs="Times New Roman"/>
                <w:sz w:val="24"/>
                <w:szCs w:val="24"/>
                <w:lang w:eastAsia="en-GB"/>
              </w:rPr>
              <m:t>wet</m:t>
            </m:r>
          </m:sub>
        </m:sSub>
      </m:oMath>
      <w:r w:rsidRPr="002201D7">
        <w:rPr>
          <w:rFonts w:ascii="Times New Roman" w:hAnsi="Times New Roman" w:cs="Times New Roman"/>
          <w:sz w:val="24"/>
          <w:szCs w:val="24"/>
          <w:lang w:eastAsia="en-GB"/>
        </w:rPr>
        <w:t xml:space="preserve"> of the alternative fuel powered aircraft is the sum of the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S</m:t>
            </m:r>
          </m:e>
          <m:sub>
            <m:r>
              <m:rPr>
                <m:sty m:val="p"/>
              </m:rPr>
              <w:rPr>
                <w:rFonts w:ascii="Cambria Math" w:hAnsi="Cambria Math" w:cs="Times New Roman"/>
                <w:sz w:val="24"/>
                <w:szCs w:val="24"/>
                <w:lang w:eastAsia="en-GB"/>
              </w:rPr>
              <m:t>wet</m:t>
            </m:r>
          </m:sub>
        </m:sSub>
        <m:r>
          <w:rPr>
            <w:rFonts w:ascii="Cambria Math" w:hAnsi="Cambria Math" w:cs="Times New Roman"/>
            <w:sz w:val="24"/>
            <w:szCs w:val="24"/>
            <w:lang w:eastAsia="en-GB"/>
          </w:rPr>
          <m:t xml:space="preserve"> </m:t>
        </m:r>
      </m:oMath>
      <w:r w:rsidRPr="002201D7">
        <w:rPr>
          <w:rFonts w:ascii="Times New Roman" w:hAnsi="Times New Roman" w:cs="Times New Roman"/>
          <w:sz w:val="24"/>
          <w:szCs w:val="24"/>
          <w:lang w:eastAsia="en-GB"/>
        </w:rPr>
        <w:t xml:space="preserve">of baseline aircraft and the wetted area of the additional fuselage required to store the </w:t>
      </w:r>
      <w:r w:rsidRPr="00A07220">
        <w:rPr>
          <w:rFonts w:ascii="Times New Roman" w:hAnsi="Times New Roman" w:cs="Times New Roman"/>
          <w:sz w:val="24"/>
          <w:szCs w:val="24"/>
          <w:lang w:eastAsia="en-GB"/>
        </w:rPr>
        <w:t>alternative fuel. The fuselage wetted area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S</m:t>
            </m:r>
          </m:e>
          <m:sub>
            <m:r>
              <m:rPr>
                <m:sty m:val="p"/>
              </m:rPr>
              <w:rPr>
                <w:rFonts w:ascii="Cambria Math" w:hAnsi="Cambria Math" w:cs="Times New Roman"/>
                <w:sz w:val="24"/>
                <w:szCs w:val="24"/>
                <w:lang w:eastAsia="en-GB"/>
              </w:rPr>
              <m:t>wet,Fuselage</m:t>
            </m:r>
          </m:sub>
        </m:sSub>
      </m:oMath>
      <w:r w:rsidRPr="002201D7">
        <w:rPr>
          <w:rFonts w:ascii="Times New Roman" w:hAnsi="Times New Roman" w:cs="Times New Roman"/>
          <w:sz w:val="24"/>
          <w:szCs w:val="24"/>
          <w:lang w:eastAsia="en-GB"/>
        </w:rPr>
        <w:t xml:space="preserve">) is calculated as </w:t>
      </w:r>
      <w:r w:rsidRPr="002201D7">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URL":"https://www.fzt.haw-hamburg.de/pers/Scholz/HOOU/AircraftDesign_13_Drag.pdf","accessed":{"date-parts":[["2020","8","28"]]},"author":[{"dropping-particle":"","family":"Scholz","given":"Dieter","non-dropping-particle":"","parse-names":false,"suffix":""}],"container-title":"Lecture notes","id":"ITEM-1","issued":{"date-parts":[["2017"]]},"title":"Drag Prediction","type":"webpage"},"uris":["http://www.mendeley.com/documents/?uuid=fac4c728-3eb4-3ff4-9a8d-17414d856dc5"]}],"mendeley":{"formattedCitation":"[96]","plainTextFormattedCitation":"[96]","previouslyFormattedCitation":"[96]"},"properties":{"noteIndex":0},"schema":"https://github.com/citation-style-language/schema/raw/master/csl-citation.json"}</w:instrText>
      </w:r>
      <w:r w:rsidRPr="002201D7">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[96]</w:t>
      </w:r>
      <w:r w:rsidRPr="002201D7">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w:t>
      </w:r>
    </w:p>
    <w:tbl>
      <w:tblPr>
        <w:tblStyle w:val="TableGrid"/>
        <w:tblW w:w="9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2"/>
        <w:gridCol w:w="7463"/>
        <w:gridCol w:w="952"/>
      </w:tblGrid>
      <w:tr w:rsidR="00F62F6B" w:rsidRPr="007D699F" w14:paraId="772B7C9E" w14:textId="77777777" w:rsidTr="006C247F">
        <w:trPr>
          <w:trHeight w:val="524"/>
        </w:trPr>
        <w:tc>
          <w:tcPr>
            <w:tcW w:w="712" w:type="dxa"/>
          </w:tcPr>
          <w:p w14:paraId="26F88C51" w14:textId="77777777" w:rsidR="00F62F6B" w:rsidRPr="00A07220" w:rsidRDefault="00F62F6B" w:rsidP="006C247F">
            <w:pPr>
              <w:spacing w:after="240" w:line="480" w:lineRule="auto"/>
              <w:jc w:val="both"/>
              <w:rPr>
                <w:rFonts w:ascii="Times New Roman" w:hAnsi="Times New Roman" w:cs="Times New Roman"/>
                <w:sz w:val="24"/>
                <w:szCs w:val="24"/>
                <w:lang w:eastAsia="en-GB"/>
              </w:rPr>
            </w:pPr>
          </w:p>
        </w:tc>
        <w:tc>
          <w:tcPr>
            <w:tcW w:w="7463" w:type="dxa"/>
            <w:vAlign w:val="center"/>
            <w:hideMark/>
          </w:tcPr>
          <w:p w14:paraId="282BB4B4" w14:textId="77777777" w:rsidR="00F62F6B" w:rsidRPr="00A07220" w:rsidRDefault="00000000" w:rsidP="006C247F">
            <w:pPr>
              <w:spacing w:after="240" w:line="480" w:lineRule="auto"/>
              <w:jc w:val="center"/>
              <w:rPr>
                <w:rFonts w:ascii="Times New Roman" w:hAnsi="Times New Roman" w:cs="Times New Roman"/>
                <w:sz w:val="24"/>
                <w:szCs w:val="24"/>
                <w:lang w:eastAsia="en-GB"/>
              </w:rPr>
            </w:pP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S</m:t>
                  </m:r>
                </m:e>
                <m:sub>
                  <m:r>
                    <m:rPr>
                      <m:sty m:val="p"/>
                    </m:rPr>
                    <w:rPr>
                      <w:rFonts w:ascii="Cambria Math" w:hAnsi="Cambria Math" w:cs="Times New Roman"/>
                      <w:sz w:val="24"/>
                      <w:szCs w:val="24"/>
                      <w:lang w:eastAsia="en-GB"/>
                    </w:rPr>
                    <m:t xml:space="preserve">wet,Fuselage </m:t>
                  </m:r>
                </m:sub>
              </m:sSub>
              <m:r>
                <w:rPr>
                  <w:rFonts w:ascii="Cambria Math" w:hAnsi="Cambria Math" w:cs="Times New Roman"/>
                  <w:sz w:val="24"/>
                  <w:szCs w:val="24"/>
                  <w:lang w:eastAsia="en-GB"/>
                </w:rPr>
                <m:t>[</m:t>
              </m:r>
              <m:r>
                <m:rPr>
                  <m:sty m:val="p"/>
                </m:rPr>
                <w:rPr>
                  <w:rFonts w:ascii="Cambria Math" w:hAnsi="Cambria Math" w:cs="Times New Roman"/>
                  <w:sz w:val="24"/>
                  <w:szCs w:val="24"/>
                  <w:lang w:eastAsia="en-GB"/>
                </w:rPr>
                <m:t>f</m:t>
              </m:r>
              <m:sSup>
                <m:sSupPr>
                  <m:ctrlPr>
                    <w:rPr>
                      <w:rFonts w:ascii="Cambria Math" w:hAnsi="Cambria Math" w:cs="Times New Roman"/>
                      <w:iCs/>
                      <w:sz w:val="24"/>
                      <w:szCs w:val="24"/>
                      <w:lang w:eastAsia="en-GB"/>
                    </w:rPr>
                  </m:ctrlPr>
                </m:sSupPr>
                <m:e>
                  <m:r>
                    <m:rPr>
                      <m:sty m:val="p"/>
                    </m:rPr>
                    <w:rPr>
                      <w:rFonts w:ascii="Cambria Math" w:hAnsi="Cambria Math" w:cs="Times New Roman"/>
                      <w:sz w:val="24"/>
                      <w:szCs w:val="24"/>
                      <w:lang w:eastAsia="en-GB"/>
                    </w:rPr>
                    <m:t>t</m:t>
                  </m:r>
                </m:e>
                <m:sup>
                  <m:r>
                    <m:rPr>
                      <m:sty m:val="p"/>
                    </m:rPr>
                    <w:rPr>
                      <w:rFonts w:ascii="Cambria Math" w:hAnsi="Cambria Math" w:cs="Times New Roman"/>
                      <w:sz w:val="24"/>
                      <w:szCs w:val="24"/>
                      <w:lang w:eastAsia="en-GB"/>
                    </w:rPr>
                    <m:t>2</m:t>
                  </m:r>
                </m:sup>
              </m:sSup>
              <m:r>
                <w:rPr>
                  <w:rFonts w:ascii="Cambria Math" w:hAnsi="Cambria Math" w:cs="Times New Roman"/>
                  <w:sz w:val="24"/>
                  <w:szCs w:val="24"/>
                  <w:lang w:eastAsia="en-GB"/>
                </w:rPr>
                <m:t xml:space="preserve">]= π </m:t>
              </m:r>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d</m:t>
                  </m:r>
                </m:e>
                <m:sub>
                  <m:r>
                    <m:rPr>
                      <m:sty m:val="p"/>
                    </m:rPr>
                    <w:rPr>
                      <w:rFonts w:ascii="Cambria Math" w:hAnsi="Cambria Math" w:cs="Times New Roman"/>
                      <w:sz w:val="24"/>
                      <w:szCs w:val="24"/>
                      <w:lang w:eastAsia="en-GB"/>
                    </w:rPr>
                    <m:t>F</m:t>
                  </m:r>
                </m:sub>
              </m:sSub>
              <m:r>
                <w:rPr>
                  <w:rFonts w:ascii="Cambria Math" w:hAnsi="Cambria Math" w:cs="Times New Roman"/>
                  <w:sz w:val="24"/>
                  <w:szCs w:val="24"/>
                  <w:lang w:eastAsia="en-GB"/>
                </w:rPr>
                <m:t xml:space="preserve"> </m:t>
              </m:r>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l</m:t>
                  </m:r>
                </m:e>
                <m:sub>
                  <m:r>
                    <m:rPr>
                      <m:sty m:val="p"/>
                    </m:rPr>
                    <w:rPr>
                      <w:rFonts w:ascii="Cambria Math" w:hAnsi="Cambria Math" w:cs="Times New Roman"/>
                      <w:sz w:val="24"/>
                      <w:szCs w:val="24"/>
                      <w:lang w:eastAsia="en-GB"/>
                    </w:rPr>
                    <m:t>F</m:t>
                  </m:r>
                </m:sub>
              </m:sSub>
              <m:r>
                <w:rPr>
                  <w:rFonts w:ascii="Cambria Math" w:hAnsi="Cambria Math" w:cs="Times New Roman"/>
                  <w:sz w:val="24"/>
                  <w:szCs w:val="24"/>
                  <w:lang w:eastAsia="en-GB"/>
                </w:rPr>
                <m:t xml:space="preserve"> </m:t>
              </m:r>
              <m:sSup>
                <m:sSupPr>
                  <m:ctrlPr>
                    <w:rPr>
                      <w:rFonts w:ascii="Cambria Math" w:hAnsi="Cambria Math" w:cs="Times New Roman"/>
                      <w:i/>
                      <w:sz w:val="24"/>
                      <w:szCs w:val="24"/>
                      <w:lang w:eastAsia="en-GB"/>
                    </w:rPr>
                  </m:ctrlPr>
                </m:sSupPr>
                <m:e>
                  <m:d>
                    <m:dPr>
                      <m:ctrlPr>
                        <w:rPr>
                          <w:rFonts w:ascii="Cambria Math" w:hAnsi="Cambria Math" w:cs="Times New Roman"/>
                          <w:i/>
                          <w:sz w:val="24"/>
                          <w:szCs w:val="24"/>
                          <w:lang w:eastAsia="en-GB"/>
                        </w:rPr>
                      </m:ctrlPr>
                    </m:dPr>
                    <m:e>
                      <m:r>
                        <w:rPr>
                          <w:rFonts w:ascii="Cambria Math" w:hAnsi="Cambria Math" w:cs="Times New Roman"/>
                          <w:sz w:val="24"/>
                          <w:szCs w:val="24"/>
                          <w:lang w:eastAsia="en-GB"/>
                        </w:rPr>
                        <m:t>1-</m:t>
                      </m:r>
                      <m:f>
                        <m:fPr>
                          <m:ctrlPr>
                            <w:rPr>
                              <w:rFonts w:ascii="Cambria Math" w:hAnsi="Cambria Math" w:cs="Times New Roman"/>
                              <w:i/>
                              <w:sz w:val="24"/>
                              <w:szCs w:val="24"/>
                              <w:lang w:eastAsia="en-GB"/>
                            </w:rPr>
                          </m:ctrlPr>
                        </m:fPr>
                        <m:num>
                          <m:r>
                            <w:rPr>
                              <w:rFonts w:ascii="Cambria Math" w:hAnsi="Cambria Math" w:cs="Times New Roman"/>
                              <w:sz w:val="24"/>
                              <w:szCs w:val="24"/>
                              <w:lang w:eastAsia="en-GB"/>
                            </w:rPr>
                            <m:t xml:space="preserve">2 </m:t>
                          </m:r>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d</m:t>
                              </m:r>
                            </m:e>
                            <m:sub>
                              <m:r>
                                <m:rPr>
                                  <m:sty m:val="p"/>
                                </m:rPr>
                                <w:rPr>
                                  <w:rFonts w:ascii="Cambria Math" w:hAnsi="Cambria Math" w:cs="Times New Roman"/>
                                  <w:sz w:val="24"/>
                                  <w:szCs w:val="24"/>
                                  <w:lang w:eastAsia="en-GB"/>
                                </w:rPr>
                                <m:t>F</m:t>
                              </m:r>
                            </m:sub>
                          </m:sSub>
                        </m:num>
                        <m:den>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l</m:t>
                              </m:r>
                            </m:e>
                            <m:sub>
                              <m:r>
                                <m:rPr>
                                  <m:sty m:val="p"/>
                                </m:rPr>
                                <w:rPr>
                                  <w:rFonts w:ascii="Cambria Math" w:hAnsi="Cambria Math" w:cs="Times New Roman"/>
                                  <w:sz w:val="24"/>
                                  <w:szCs w:val="24"/>
                                  <w:lang w:eastAsia="en-GB"/>
                                </w:rPr>
                                <m:t>F</m:t>
                              </m:r>
                            </m:sub>
                          </m:sSub>
                        </m:den>
                      </m:f>
                    </m:e>
                  </m:d>
                </m:e>
                <m:sup>
                  <m:f>
                    <m:fPr>
                      <m:ctrlPr>
                        <w:rPr>
                          <w:rFonts w:ascii="Cambria Math" w:hAnsi="Cambria Math" w:cs="Times New Roman"/>
                          <w:i/>
                          <w:sz w:val="24"/>
                          <w:szCs w:val="24"/>
                          <w:lang w:eastAsia="en-GB"/>
                        </w:rPr>
                      </m:ctrlPr>
                    </m:fPr>
                    <m:num>
                      <m:r>
                        <w:rPr>
                          <w:rFonts w:ascii="Cambria Math" w:hAnsi="Cambria Math" w:cs="Times New Roman"/>
                          <w:sz w:val="24"/>
                          <w:szCs w:val="24"/>
                          <w:lang w:eastAsia="en-GB"/>
                        </w:rPr>
                        <m:t>2</m:t>
                      </m:r>
                    </m:num>
                    <m:den>
                      <m:r>
                        <w:rPr>
                          <w:rFonts w:ascii="Cambria Math" w:hAnsi="Cambria Math" w:cs="Times New Roman"/>
                          <w:sz w:val="24"/>
                          <w:szCs w:val="24"/>
                          <w:lang w:eastAsia="en-GB"/>
                        </w:rPr>
                        <m:t>3</m:t>
                      </m:r>
                    </m:den>
                  </m:f>
                </m:sup>
              </m:sSup>
              <m:d>
                <m:dPr>
                  <m:ctrlPr>
                    <w:rPr>
                      <w:rFonts w:ascii="Cambria Math" w:hAnsi="Cambria Math" w:cs="Times New Roman"/>
                      <w:i/>
                      <w:sz w:val="24"/>
                      <w:szCs w:val="24"/>
                      <w:lang w:eastAsia="en-GB"/>
                    </w:rPr>
                  </m:ctrlPr>
                </m:dPr>
                <m:e>
                  <m:r>
                    <w:rPr>
                      <w:rFonts w:ascii="Cambria Math" w:hAnsi="Cambria Math" w:cs="Times New Roman"/>
                      <w:sz w:val="24"/>
                      <w:szCs w:val="24"/>
                      <w:lang w:eastAsia="en-GB"/>
                    </w:rPr>
                    <m:t xml:space="preserve">1+ </m:t>
                  </m:r>
                  <m:sSup>
                    <m:sSupPr>
                      <m:ctrlPr>
                        <w:rPr>
                          <w:rFonts w:ascii="Cambria Math" w:hAnsi="Cambria Math" w:cs="Times New Roman"/>
                          <w:i/>
                          <w:sz w:val="24"/>
                          <w:szCs w:val="24"/>
                          <w:lang w:eastAsia="en-GB"/>
                        </w:rPr>
                      </m:ctrlPr>
                    </m:sSupPr>
                    <m:e>
                      <m:d>
                        <m:dPr>
                          <m:ctrlPr>
                            <w:rPr>
                              <w:rFonts w:ascii="Cambria Math" w:hAnsi="Cambria Math" w:cs="Times New Roman"/>
                              <w:i/>
                              <w:sz w:val="24"/>
                              <w:szCs w:val="24"/>
                              <w:lang w:eastAsia="en-GB"/>
                            </w:rPr>
                          </m:ctrlPr>
                        </m:dPr>
                        <m:e>
                          <m:f>
                            <m:fPr>
                              <m:ctrlPr>
                                <w:rPr>
                                  <w:rFonts w:ascii="Cambria Math" w:hAnsi="Cambria Math" w:cs="Times New Roman"/>
                                  <w:i/>
                                  <w:sz w:val="24"/>
                                  <w:szCs w:val="24"/>
                                  <w:lang w:eastAsia="en-GB"/>
                                </w:rPr>
                              </m:ctrlPr>
                            </m:fPr>
                            <m:num>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d</m:t>
                                  </m:r>
                                </m:e>
                                <m:sub>
                                  <m:r>
                                    <m:rPr>
                                      <m:sty m:val="p"/>
                                    </m:rPr>
                                    <w:rPr>
                                      <w:rFonts w:ascii="Cambria Math" w:hAnsi="Cambria Math" w:cs="Times New Roman"/>
                                      <w:sz w:val="24"/>
                                      <w:szCs w:val="24"/>
                                      <w:lang w:eastAsia="en-GB"/>
                                    </w:rPr>
                                    <m:t>F</m:t>
                                  </m:r>
                                </m:sub>
                              </m:sSub>
                            </m:num>
                            <m:den>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l</m:t>
                                  </m:r>
                                </m:e>
                                <m:sub>
                                  <m:r>
                                    <m:rPr>
                                      <m:sty m:val="p"/>
                                    </m:rPr>
                                    <w:rPr>
                                      <w:rFonts w:ascii="Cambria Math" w:hAnsi="Cambria Math" w:cs="Times New Roman"/>
                                      <w:sz w:val="24"/>
                                      <w:szCs w:val="24"/>
                                      <w:lang w:eastAsia="en-GB"/>
                                    </w:rPr>
                                    <m:t>F</m:t>
                                  </m:r>
                                </m:sub>
                              </m:sSub>
                            </m:den>
                          </m:f>
                        </m:e>
                      </m:d>
                    </m:e>
                    <m:sup>
                      <m:r>
                        <w:rPr>
                          <w:rFonts w:ascii="Cambria Math" w:hAnsi="Cambria Math" w:cs="Times New Roman"/>
                          <w:sz w:val="24"/>
                          <w:szCs w:val="24"/>
                          <w:lang w:eastAsia="en-GB"/>
                        </w:rPr>
                        <m:t>2</m:t>
                      </m:r>
                    </m:sup>
                  </m:sSup>
                </m:e>
              </m:d>
              <m:r>
                <w:rPr>
                  <w:rFonts w:ascii="Cambria Math" w:hAnsi="Cambria Math" w:cs="Times New Roman"/>
                  <w:sz w:val="24"/>
                  <w:szCs w:val="24"/>
                  <w:lang w:eastAsia="en-GB"/>
                </w:rPr>
                <m:t xml:space="preserve"> </m:t>
              </m:r>
            </m:oMath>
            <w:r w:rsidR="00F62F6B" w:rsidRPr="002201D7">
              <w:rPr>
                <w:rFonts w:ascii="Times New Roman" w:hAnsi="Times New Roman" w:cs="Times New Roman"/>
                <w:sz w:val="24"/>
                <w:szCs w:val="24"/>
                <w:lang w:eastAsia="en-GB"/>
              </w:rPr>
              <w:t>,</w:t>
            </w:r>
          </w:p>
        </w:tc>
        <w:tc>
          <w:tcPr>
            <w:tcW w:w="952" w:type="dxa"/>
            <w:vAlign w:val="center"/>
            <w:hideMark/>
          </w:tcPr>
          <w:p w14:paraId="2FC0167D" w14:textId="6A4D2A63" w:rsidR="00F62F6B" w:rsidRPr="002201D7" w:rsidRDefault="00F62F6B" w:rsidP="006C247F">
            <w:pPr>
              <w:spacing w:after="240" w:line="480" w:lineRule="auto"/>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w:t>
            </w:r>
            <w:r w:rsidR="00F216BF">
              <w:rPr>
                <w:rFonts w:ascii="Times New Roman" w:hAnsi="Times New Roman" w:cs="Times New Roman"/>
                <w:sz w:val="24"/>
                <w:szCs w:val="24"/>
                <w:lang w:eastAsia="en-GB"/>
              </w:rPr>
              <w:t>SI 5</w:t>
            </w:r>
            <w:r w:rsidRPr="002201D7">
              <w:rPr>
                <w:rFonts w:ascii="Times New Roman" w:hAnsi="Times New Roman" w:cs="Times New Roman"/>
                <w:sz w:val="24"/>
                <w:szCs w:val="24"/>
                <w:lang w:eastAsia="en-GB"/>
              </w:rPr>
              <w:t>)</w:t>
            </w:r>
          </w:p>
        </w:tc>
      </w:tr>
    </w:tbl>
    <w:p w14:paraId="5A58B6FA" w14:textId="09B7EDF2" w:rsidR="00F62F6B" w:rsidRPr="002201D7" w:rsidRDefault="00F62F6B" w:rsidP="00F62F6B">
      <w:pPr>
        <w:spacing w:after="240" w:line="480" w:lineRule="auto"/>
        <w:jc w:val="both"/>
        <w:rPr>
          <w:rFonts w:ascii="Times New Roman" w:hAnsi="Times New Roman" w:cs="Times New Roman"/>
          <w:sz w:val="24"/>
          <w:szCs w:val="24"/>
          <w:lang w:eastAsia="en-GB"/>
        </w:rPr>
      </w:pPr>
      <w:r w:rsidRPr="002201D7">
        <w:rPr>
          <w:rFonts w:ascii="Times New Roman" w:hAnsi="Times New Roman" w:cs="Times New Roman"/>
          <w:sz w:val="24"/>
          <w:szCs w:val="24"/>
          <w:lang w:eastAsia="en-GB"/>
        </w:rPr>
        <w:t xml:space="preserve">where the parameters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d</m:t>
            </m:r>
          </m:e>
          <m:sub>
            <m:r>
              <m:rPr>
                <m:sty m:val="p"/>
              </m:rPr>
              <w:rPr>
                <w:rFonts w:ascii="Cambria Math" w:hAnsi="Cambria Math" w:cs="Times New Roman"/>
                <w:sz w:val="24"/>
                <w:szCs w:val="24"/>
                <w:lang w:eastAsia="en-GB"/>
              </w:rPr>
              <m:t>F</m:t>
            </m:r>
          </m:sub>
        </m:sSub>
      </m:oMath>
      <w:r w:rsidRPr="002201D7">
        <w:rPr>
          <w:rFonts w:ascii="Times New Roman" w:hAnsi="Times New Roman" w:cs="Times New Roman"/>
          <w:sz w:val="24"/>
          <w:szCs w:val="24"/>
          <w:lang w:eastAsia="en-GB"/>
        </w:rPr>
        <w:t xml:space="preserve"> and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l</m:t>
            </m:r>
          </m:e>
          <m:sub>
            <m:r>
              <m:rPr>
                <m:sty m:val="p"/>
              </m:rPr>
              <w:rPr>
                <w:rFonts w:ascii="Cambria Math" w:hAnsi="Cambria Math" w:cs="Times New Roman"/>
                <w:sz w:val="24"/>
                <w:szCs w:val="24"/>
                <w:lang w:eastAsia="en-GB"/>
              </w:rPr>
              <m:t>F</m:t>
            </m:r>
          </m:sub>
        </m:sSub>
      </m:oMath>
      <w:r w:rsidRPr="002201D7">
        <w:rPr>
          <w:rFonts w:ascii="Times New Roman" w:hAnsi="Times New Roman" w:cs="Times New Roman"/>
          <w:sz w:val="24"/>
          <w:szCs w:val="24"/>
          <w:lang w:eastAsia="en-GB"/>
        </w:rPr>
        <w:t xml:space="preserve"> represent the cylindrical fuselage diameter and length (in ft). The fuselage weight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W</m:t>
            </m:r>
          </m:e>
          <m:sub>
            <m:r>
              <m:rPr>
                <m:sty m:val="p"/>
              </m:rPr>
              <w:rPr>
                <w:rFonts w:ascii="Cambria Math" w:hAnsi="Cambria Math" w:cs="Times New Roman"/>
                <w:sz w:val="24"/>
                <w:szCs w:val="24"/>
                <w:lang w:eastAsia="en-GB"/>
              </w:rPr>
              <m:t>Fuselage</m:t>
            </m:r>
          </m:sub>
        </m:sSub>
      </m:oMath>
      <w:r w:rsidRPr="002201D7">
        <w:rPr>
          <w:rFonts w:ascii="Times New Roman" w:hAnsi="Times New Roman" w:cs="Times New Roman"/>
          <w:sz w:val="24"/>
          <w:szCs w:val="24"/>
          <w:lang w:eastAsia="en-GB"/>
        </w:rPr>
        <w:t xml:space="preserve">) is then calculated as </w:t>
      </w:r>
      <w:r w:rsidRPr="002201D7">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10.2514/4.104909","ISBN":"978-1-62410-490-9","author":[{"dropping-particle":"","family":"Raymer","given":"Daniel","non-dropping-particle":"","parse-names":false,"suffix":""}],"id":"ITEM-1","issued":{"date-parts":[["2018","9","30"]]},"publisher":"American Institute of Aeronautics and Astronautics, Inc.","publisher-place":"Washington, DC","title":"Aircraft Design: A Conceptual Approach, Sixth Edition","type":"book"},"uris":["http://www.mendeley.com/documents/?uuid=f5099ab8-8a78-3f70-853c-0856ae251ad2"]},{"id":"ITEM-2","itemData":{"URL":"https://www.ae.utexas.edu/~plv955/class/aircraft/weights2.PDF","accessed":{"date-parts":[["2020","8","28"]]},"author":[{"dropping-particle":"","family":"Varghese","given":"Philip L.","non-dropping-particle":"","parse-names":false,"suffix":""}],"container-title":"Lecture notes University of Texas, Austin","id":"ITEM-2","issued":{"date-parts":[["1999"]]},"title":"Weight and CG estimation","type":"webpage"},"uris":["http://www.mendeley.com/documents/?uuid=e1bbc1c2-4232-34e6-9ccf-7891464d3624"]}],"mendeley":{"formattedCitation":"[97], [98]","plainTextFormattedCitation":"[97], [98]","previouslyFormattedCitation":"[97], [98]"},"properties":{"noteIndex":0},"schema":"https://github.com/citation-style-language/schema/raw/master/csl-citation.json"}</w:instrText>
      </w:r>
      <w:r w:rsidRPr="002201D7">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[97], [98]</w:t>
      </w:r>
      <w:r w:rsidRPr="002201D7">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xml:space="preserve">, </w:t>
      </w:r>
    </w:p>
    <w:tbl>
      <w:tblPr>
        <w:tblStyle w:val="TableGrid"/>
        <w:tblW w:w="9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7481"/>
        <w:gridCol w:w="955"/>
      </w:tblGrid>
      <w:tr w:rsidR="00F62F6B" w:rsidRPr="007D699F" w14:paraId="1DB35983" w14:textId="77777777" w:rsidTr="006C247F">
        <w:trPr>
          <w:trHeight w:val="901"/>
        </w:trPr>
        <w:tc>
          <w:tcPr>
            <w:tcW w:w="714" w:type="dxa"/>
          </w:tcPr>
          <w:p w14:paraId="18707F25" w14:textId="77777777" w:rsidR="00F62F6B" w:rsidRPr="00A07220" w:rsidRDefault="00F62F6B" w:rsidP="006C247F">
            <w:pPr>
              <w:spacing w:after="240" w:line="480" w:lineRule="auto"/>
              <w:jc w:val="both"/>
              <w:rPr>
                <w:rFonts w:ascii="Times New Roman" w:hAnsi="Times New Roman" w:cs="Times New Roman"/>
                <w:sz w:val="24"/>
                <w:szCs w:val="24"/>
                <w:lang w:eastAsia="en-GB"/>
              </w:rPr>
            </w:pPr>
          </w:p>
        </w:tc>
        <w:tc>
          <w:tcPr>
            <w:tcW w:w="7481" w:type="dxa"/>
            <w:vAlign w:val="center"/>
            <w:hideMark/>
          </w:tcPr>
          <w:p w14:paraId="2ECA7E9E" w14:textId="77777777" w:rsidR="00F62F6B" w:rsidRPr="00A07220" w:rsidRDefault="00000000" w:rsidP="006C247F">
            <w:pPr>
              <w:spacing w:after="240" w:line="480" w:lineRule="auto"/>
              <w:jc w:val="center"/>
              <w:rPr>
                <w:rFonts w:ascii="Times New Roman" w:hAnsi="Times New Roman" w:cs="Times New Roman"/>
                <w:sz w:val="24"/>
                <w:szCs w:val="24"/>
                <w:lang w:eastAsia="en-GB"/>
              </w:rPr>
            </w:pP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W</m:t>
                  </m:r>
                </m:e>
                <m:sub>
                  <m:r>
                    <m:rPr>
                      <m:sty m:val="p"/>
                    </m:rPr>
                    <w:rPr>
                      <w:rFonts w:ascii="Cambria Math" w:hAnsi="Cambria Math" w:cs="Times New Roman"/>
                      <w:sz w:val="24"/>
                      <w:szCs w:val="24"/>
                      <w:lang w:eastAsia="en-GB"/>
                    </w:rPr>
                    <m:t>Fuselage</m:t>
                  </m:r>
                </m:sub>
              </m:sSub>
              <m:d>
                <m:dPr>
                  <m:begChr m:val="["/>
                  <m:endChr m:val="]"/>
                  <m:ctrlPr>
                    <w:rPr>
                      <w:rFonts w:ascii="Cambria Math" w:hAnsi="Cambria Math" w:cs="Times New Roman"/>
                      <w:i/>
                      <w:sz w:val="24"/>
                      <w:szCs w:val="24"/>
                      <w:lang w:eastAsia="en-GB"/>
                    </w:rPr>
                  </m:ctrlPr>
                </m:dPr>
                <m:e>
                  <m:r>
                    <m:rPr>
                      <m:sty m:val="p"/>
                    </m:rPr>
                    <w:rPr>
                      <w:rFonts w:ascii="Cambria Math" w:hAnsi="Cambria Math" w:cs="Times New Roman"/>
                      <w:sz w:val="24"/>
                      <w:szCs w:val="24"/>
                      <w:lang w:eastAsia="en-GB"/>
                    </w:rPr>
                    <m:t>lb</m:t>
                  </m:r>
                </m:e>
              </m:d>
              <m:r>
                <w:rPr>
                  <w:rFonts w:ascii="Cambria Math" w:hAnsi="Cambria Math" w:cs="Times New Roman"/>
                  <w:sz w:val="24"/>
                  <w:szCs w:val="24"/>
                  <w:lang w:eastAsia="en-GB"/>
                </w:rPr>
                <m:t xml:space="preserve">=5  </m:t>
              </m:r>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S</m:t>
                  </m:r>
                </m:e>
                <m:sub>
                  <m:r>
                    <m:rPr>
                      <m:sty m:val="p"/>
                    </m:rPr>
                    <w:rPr>
                      <w:rFonts w:ascii="Cambria Math" w:hAnsi="Cambria Math" w:cs="Times New Roman"/>
                      <w:sz w:val="24"/>
                      <w:szCs w:val="24"/>
                      <w:lang w:eastAsia="en-GB"/>
                    </w:rPr>
                    <m:t>wet,Fuselage</m:t>
                  </m:r>
                </m:sub>
              </m:sSub>
              <m:r>
                <w:rPr>
                  <w:rFonts w:ascii="Cambria Math" w:hAnsi="Cambria Math" w:cs="Times New Roman"/>
                  <w:sz w:val="24"/>
                  <w:szCs w:val="24"/>
                  <w:lang w:eastAsia="en-GB"/>
                </w:rPr>
                <m:t xml:space="preserve"> [</m:t>
              </m:r>
              <m:r>
                <m:rPr>
                  <m:sty m:val="p"/>
                </m:rPr>
                <w:rPr>
                  <w:rFonts w:ascii="Cambria Math" w:hAnsi="Cambria Math" w:cs="Times New Roman"/>
                  <w:sz w:val="24"/>
                  <w:szCs w:val="24"/>
                  <w:lang w:eastAsia="en-GB"/>
                </w:rPr>
                <m:t>f</m:t>
              </m:r>
              <m:sSup>
                <m:sSupPr>
                  <m:ctrlPr>
                    <w:rPr>
                      <w:rFonts w:ascii="Cambria Math" w:hAnsi="Cambria Math" w:cs="Times New Roman"/>
                      <w:iCs/>
                      <w:sz w:val="24"/>
                      <w:szCs w:val="24"/>
                      <w:lang w:eastAsia="en-GB"/>
                    </w:rPr>
                  </m:ctrlPr>
                </m:sSupPr>
                <m:e>
                  <m:r>
                    <m:rPr>
                      <m:sty m:val="p"/>
                    </m:rPr>
                    <w:rPr>
                      <w:rFonts w:ascii="Cambria Math" w:hAnsi="Cambria Math" w:cs="Times New Roman"/>
                      <w:sz w:val="24"/>
                      <w:szCs w:val="24"/>
                      <w:lang w:eastAsia="en-GB"/>
                    </w:rPr>
                    <m:t>t</m:t>
                  </m:r>
                </m:e>
                <m:sup>
                  <m:r>
                    <m:rPr>
                      <m:sty m:val="p"/>
                    </m:rPr>
                    <w:rPr>
                      <w:rFonts w:ascii="Cambria Math" w:hAnsi="Cambria Math" w:cs="Times New Roman"/>
                      <w:sz w:val="24"/>
                      <w:szCs w:val="24"/>
                      <w:lang w:eastAsia="en-GB"/>
                    </w:rPr>
                    <m:t>2</m:t>
                  </m:r>
                </m:sup>
              </m:sSup>
              <m:r>
                <w:rPr>
                  <w:rFonts w:ascii="Cambria Math" w:hAnsi="Cambria Math" w:cs="Times New Roman"/>
                  <w:sz w:val="24"/>
                  <w:szCs w:val="24"/>
                  <w:lang w:eastAsia="en-GB"/>
                </w:rPr>
                <m:t>]</m:t>
              </m:r>
            </m:oMath>
            <w:r w:rsidR="00F62F6B" w:rsidRPr="002201D7">
              <w:rPr>
                <w:rFonts w:ascii="Times New Roman" w:eastAsiaTheme="minorEastAsia" w:hAnsi="Times New Roman" w:cs="Times New Roman"/>
                <w:sz w:val="24"/>
                <w:szCs w:val="24"/>
                <w:lang w:eastAsia="en-GB"/>
              </w:rPr>
              <w:t>.</w:t>
            </w:r>
          </w:p>
        </w:tc>
        <w:tc>
          <w:tcPr>
            <w:tcW w:w="955" w:type="dxa"/>
            <w:vAlign w:val="center"/>
            <w:hideMark/>
          </w:tcPr>
          <w:p w14:paraId="29683483" w14:textId="2861DBCC" w:rsidR="00F62F6B" w:rsidRPr="002201D7" w:rsidRDefault="00F62F6B" w:rsidP="006C247F">
            <w:pPr>
              <w:spacing w:after="240" w:line="480" w:lineRule="auto"/>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w:t>
            </w:r>
            <w:r w:rsidR="00F216BF">
              <w:rPr>
                <w:rFonts w:ascii="Times New Roman" w:hAnsi="Times New Roman" w:cs="Times New Roman"/>
                <w:sz w:val="24"/>
                <w:szCs w:val="24"/>
                <w:lang w:eastAsia="en-GB"/>
              </w:rPr>
              <w:t>SI 6</w:t>
            </w:r>
            <w:r w:rsidRPr="002201D7">
              <w:rPr>
                <w:rFonts w:ascii="Times New Roman" w:hAnsi="Times New Roman" w:cs="Times New Roman"/>
                <w:sz w:val="24"/>
                <w:szCs w:val="24"/>
                <w:lang w:eastAsia="en-GB"/>
              </w:rPr>
              <w:t>)</w:t>
            </w:r>
          </w:p>
        </w:tc>
      </w:tr>
    </w:tbl>
    <w:p w14:paraId="047DBADA" w14:textId="7985E1F8" w:rsidR="00F62F6B" w:rsidRPr="00872636" w:rsidRDefault="00F62F6B" w:rsidP="00872636">
      <w:pPr>
        <w:spacing w:line="480" w:lineRule="auto"/>
        <w:jc w:val="both"/>
        <w:rPr>
          <w:sz w:val="24"/>
          <w:szCs w:val="24"/>
          <w:lang w:eastAsia="en-GB"/>
        </w:rPr>
      </w:pPr>
      <w:r w:rsidRPr="002201D7">
        <w:rPr>
          <w:rFonts w:ascii="Times New Roman" w:hAnsi="Times New Roman" w:cs="Times New Roman"/>
          <w:sz w:val="24"/>
          <w:szCs w:val="24"/>
          <w:lang w:eastAsia="en-GB"/>
        </w:rPr>
        <w:t xml:space="preserve">Validation of equations </w:t>
      </w:r>
      <w:r w:rsidR="0057229F">
        <w:rPr>
          <w:rFonts w:ascii="Times New Roman" w:hAnsi="Times New Roman" w:cs="Times New Roman"/>
          <w:sz w:val="24"/>
          <w:szCs w:val="24"/>
          <w:lang w:eastAsia="en-GB"/>
        </w:rPr>
        <w:t>SI 5</w:t>
      </w:r>
      <w:r w:rsidRPr="002201D7">
        <w:rPr>
          <w:rFonts w:ascii="Times New Roman" w:hAnsi="Times New Roman" w:cs="Times New Roman"/>
          <w:sz w:val="24"/>
          <w:szCs w:val="24"/>
          <w:lang w:eastAsia="en-GB"/>
        </w:rPr>
        <w:t xml:space="preserve"> and </w:t>
      </w:r>
      <w:r w:rsidR="0057229F">
        <w:rPr>
          <w:rFonts w:ascii="Times New Roman" w:hAnsi="Times New Roman" w:cs="Times New Roman"/>
          <w:sz w:val="24"/>
          <w:szCs w:val="24"/>
          <w:lang w:eastAsia="en-GB"/>
        </w:rPr>
        <w:t>SI 6</w:t>
      </w:r>
      <w:r w:rsidRPr="002201D7">
        <w:rPr>
          <w:rFonts w:ascii="Times New Roman" w:hAnsi="Times New Roman" w:cs="Times New Roman"/>
          <w:sz w:val="24"/>
          <w:szCs w:val="24"/>
          <w:lang w:eastAsia="en-GB"/>
        </w:rPr>
        <w:t xml:space="preserve"> is included in the SI §</w:t>
      </w:r>
      <w:r w:rsidR="00B40FCF" w:rsidRPr="00A07220">
        <w:rPr>
          <w:rFonts w:ascii="Times New Roman" w:hAnsi="Times New Roman" w:cs="Times New Roman"/>
          <w:sz w:val="24"/>
          <w:szCs w:val="24"/>
          <w:lang w:eastAsia="en-GB"/>
        </w:rPr>
        <w:t>7</w:t>
      </w:r>
      <w:r w:rsidRPr="00556067">
        <w:rPr>
          <w:rFonts w:ascii="Times New Roman" w:hAnsi="Times New Roman" w:cs="Times New Roman"/>
          <w:sz w:val="24"/>
          <w:szCs w:val="24"/>
          <w:lang w:eastAsia="en-GB"/>
        </w:rPr>
        <w:t xml:space="preserve">.2, where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S</m:t>
            </m:r>
          </m:e>
          <m:sub>
            <m:r>
              <m:rPr>
                <m:sty m:val="p"/>
              </m:rPr>
              <w:rPr>
                <w:rFonts w:ascii="Cambria Math" w:hAnsi="Cambria Math" w:cs="Times New Roman"/>
                <w:sz w:val="24"/>
                <w:szCs w:val="24"/>
                <w:lang w:eastAsia="en-GB"/>
              </w:rPr>
              <m:t xml:space="preserve">wet,Fuselage </m:t>
            </m:r>
          </m:sub>
        </m:sSub>
      </m:oMath>
      <w:r w:rsidRPr="002201D7">
        <w:rPr>
          <w:rFonts w:ascii="Times New Roman" w:eastAsiaTheme="minorEastAsia" w:hAnsi="Times New Roman" w:cs="Times New Roman"/>
          <w:sz w:val="24"/>
          <w:szCs w:val="24"/>
          <w:lang w:eastAsia="en-GB"/>
        </w:rPr>
        <w:t xml:space="preserve">and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W</m:t>
            </m:r>
          </m:e>
          <m:sub>
            <m:r>
              <m:rPr>
                <m:sty m:val="p"/>
              </m:rPr>
              <w:rPr>
                <w:rFonts w:ascii="Cambria Math" w:hAnsi="Cambria Math" w:cs="Times New Roman"/>
                <w:sz w:val="24"/>
                <w:szCs w:val="24"/>
                <w:lang w:eastAsia="en-GB"/>
              </w:rPr>
              <m:t>Fuselage</m:t>
            </m:r>
          </m:sub>
        </m:sSub>
      </m:oMath>
      <w:r w:rsidRPr="002201D7">
        <w:rPr>
          <w:rFonts w:ascii="Times New Roman" w:eastAsiaTheme="minorEastAsia" w:hAnsi="Times New Roman" w:cs="Times New Roman"/>
          <w:sz w:val="24"/>
          <w:szCs w:val="24"/>
          <w:lang w:eastAsia="en-GB"/>
        </w:rPr>
        <w:t xml:space="preserve"> </w:t>
      </w:r>
      <w:r w:rsidRPr="00A07220">
        <w:rPr>
          <w:rFonts w:ascii="Times New Roman" w:hAnsi="Times New Roman" w:cs="Times New Roman"/>
          <w:sz w:val="24"/>
          <w:szCs w:val="24"/>
          <w:lang w:eastAsia="en-GB"/>
        </w:rPr>
        <w:t xml:space="preserve">of a Boeing 787 predicted using this method are within ±5% of their </w:t>
      </w:r>
      <w:r w:rsidRPr="00556067">
        <w:rPr>
          <w:rFonts w:ascii="Times New Roman" w:hAnsi="Times New Roman" w:cs="Times New Roman"/>
          <w:sz w:val="24"/>
          <w:szCs w:val="24"/>
          <w:lang w:eastAsia="en-GB"/>
        </w:rPr>
        <w:t>known values.</w:t>
      </w:r>
    </w:p>
    <w:p w14:paraId="667602E0" w14:textId="77777777" w:rsidR="00F62F6B" w:rsidRPr="00556067" w:rsidRDefault="00F62F6B" w:rsidP="00F62F6B">
      <w:pPr>
        <w:pStyle w:val="Heading2"/>
        <w:spacing w:after="240" w:line="480" w:lineRule="auto"/>
        <w:rPr>
          <w:rFonts w:ascii="Times New Roman" w:hAnsi="Times New Roman" w:cs="Times New Roman"/>
          <w:color w:val="auto"/>
          <w:sz w:val="24"/>
          <w:szCs w:val="24"/>
          <w:lang w:eastAsia="en-GB"/>
        </w:rPr>
      </w:pPr>
      <w:r w:rsidRPr="002201D7">
        <w:rPr>
          <w:rFonts w:ascii="Times New Roman" w:hAnsi="Times New Roman" w:cs="Times New Roman"/>
          <w:color w:val="auto"/>
          <w:sz w:val="24"/>
          <w:szCs w:val="24"/>
          <w:lang w:eastAsia="en-GB"/>
        </w:rPr>
        <w:t xml:space="preserve">Additional systems </w:t>
      </w:r>
      <w:r w:rsidRPr="00A07220">
        <w:rPr>
          <w:rFonts w:ascii="Times New Roman" w:hAnsi="Times New Roman" w:cs="Times New Roman"/>
          <w:color w:val="auto"/>
          <w:sz w:val="24"/>
          <w:szCs w:val="24"/>
          <w:lang w:eastAsia="en-GB"/>
        </w:rPr>
        <w:t>weight for alternative fuels</w:t>
      </w:r>
    </w:p>
    <w:p w14:paraId="585948BB" w14:textId="77777777" w:rsidR="00F62F6B" w:rsidRPr="007D699F" w:rsidRDefault="00F62F6B" w:rsidP="00F62F6B">
      <w:pPr>
        <w:spacing w:line="480" w:lineRule="auto"/>
        <w:jc w:val="both"/>
        <w:rPr>
          <w:rFonts w:ascii="Times New Roman" w:hAnsi="Times New Roman" w:cs="Times New Roman"/>
          <w:sz w:val="24"/>
          <w:szCs w:val="24"/>
          <w:lang w:eastAsia="en-GB"/>
        </w:rPr>
      </w:pPr>
      <w:r w:rsidRPr="00CE68A4">
        <w:rPr>
          <w:rFonts w:ascii="Times New Roman" w:hAnsi="Times New Roman" w:cs="Times New Roman"/>
          <w:sz w:val="24"/>
          <w:szCs w:val="24"/>
          <w:lang w:eastAsia="en-GB"/>
        </w:rPr>
        <w:tab/>
        <w:t>In all cases of alternative fuels studied here, the OEW of the aircraft is expected to change as a result of the need for additional fuel storage, or fuel tank systems and the structure require</w:t>
      </w:r>
      <w:r w:rsidRPr="007D699F">
        <w:rPr>
          <w:rFonts w:ascii="Times New Roman" w:hAnsi="Times New Roman" w:cs="Times New Roman"/>
          <w:sz w:val="24"/>
          <w:szCs w:val="24"/>
          <w:lang w:eastAsia="en-GB"/>
        </w:rPr>
        <w:t>d to support these tank systems. The additional fuselage length for all alternative fuels is estimated from the fuel volume that need to be stored in the fuselage tanks.</w:t>
      </w:r>
    </w:p>
    <w:p w14:paraId="74480359" w14:textId="77777777" w:rsidR="00F62F6B" w:rsidRPr="007D699F" w:rsidRDefault="00F62F6B" w:rsidP="00F62F6B">
      <w:pPr>
        <w:pStyle w:val="ListParagraph"/>
        <w:keepNext/>
        <w:keepLines/>
        <w:numPr>
          <w:ilvl w:val="0"/>
          <w:numId w:val="9"/>
        </w:numPr>
        <w:tabs>
          <w:tab w:val="left" w:pos="709"/>
        </w:tabs>
        <w:spacing w:before="40" w:after="240" w:line="480" w:lineRule="auto"/>
        <w:outlineLvl w:val="2"/>
        <w:rPr>
          <w:rFonts w:ascii="Times New Roman" w:eastAsiaTheme="majorEastAsia" w:hAnsi="Times New Roman" w:cs="Times New Roman"/>
          <w:i/>
          <w:iCs/>
          <w:vanish/>
          <w:sz w:val="24"/>
          <w:szCs w:val="24"/>
          <w:lang w:eastAsia="en-GB"/>
        </w:rPr>
      </w:pPr>
    </w:p>
    <w:p w14:paraId="09B5703C" w14:textId="77777777" w:rsidR="00F62F6B" w:rsidRPr="007D699F" w:rsidRDefault="00F62F6B" w:rsidP="00F62F6B">
      <w:pPr>
        <w:pStyle w:val="ListParagraph"/>
        <w:keepNext/>
        <w:keepLines/>
        <w:numPr>
          <w:ilvl w:val="1"/>
          <w:numId w:val="9"/>
        </w:numPr>
        <w:tabs>
          <w:tab w:val="left" w:pos="709"/>
        </w:tabs>
        <w:spacing w:before="40" w:after="240" w:line="480" w:lineRule="auto"/>
        <w:outlineLvl w:val="2"/>
        <w:rPr>
          <w:rFonts w:ascii="Times New Roman" w:eastAsiaTheme="majorEastAsia" w:hAnsi="Times New Roman" w:cs="Times New Roman"/>
          <w:i/>
          <w:iCs/>
          <w:vanish/>
          <w:sz w:val="24"/>
          <w:szCs w:val="24"/>
          <w:lang w:eastAsia="en-GB"/>
        </w:rPr>
      </w:pPr>
    </w:p>
    <w:p w14:paraId="109F6DDD" w14:textId="77777777" w:rsidR="00F62F6B" w:rsidRPr="007D699F" w:rsidRDefault="00F62F6B" w:rsidP="00F62F6B">
      <w:pPr>
        <w:pStyle w:val="ListParagraph"/>
        <w:keepNext/>
        <w:keepLines/>
        <w:numPr>
          <w:ilvl w:val="1"/>
          <w:numId w:val="9"/>
        </w:numPr>
        <w:tabs>
          <w:tab w:val="left" w:pos="709"/>
        </w:tabs>
        <w:spacing w:before="40" w:after="240" w:line="480" w:lineRule="auto"/>
        <w:outlineLvl w:val="2"/>
        <w:rPr>
          <w:rFonts w:ascii="Times New Roman" w:eastAsiaTheme="majorEastAsia" w:hAnsi="Times New Roman" w:cs="Times New Roman"/>
          <w:i/>
          <w:iCs/>
          <w:vanish/>
          <w:sz w:val="24"/>
          <w:szCs w:val="24"/>
          <w:lang w:eastAsia="en-GB"/>
        </w:rPr>
      </w:pPr>
    </w:p>
    <w:p w14:paraId="4F467660" w14:textId="77777777" w:rsidR="00F62F6B" w:rsidRPr="007D699F" w:rsidRDefault="00F62F6B" w:rsidP="00F62F6B">
      <w:pPr>
        <w:pStyle w:val="ListParagraph"/>
        <w:keepNext/>
        <w:keepLines/>
        <w:numPr>
          <w:ilvl w:val="1"/>
          <w:numId w:val="9"/>
        </w:numPr>
        <w:tabs>
          <w:tab w:val="left" w:pos="709"/>
        </w:tabs>
        <w:spacing w:before="40" w:after="240" w:line="480" w:lineRule="auto"/>
        <w:outlineLvl w:val="2"/>
        <w:rPr>
          <w:rFonts w:ascii="Times New Roman" w:eastAsiaTheme="majorEastAsia" w:hAnsi="Times New Roman" w:cs="Times New Roman"/>
          <w:i/>
          <w:iCs/>
          <w:vanish/>
          <w:sz w:val="24"/>
          <w:szCs w:val="24"/>
          <w:lang w:eastAsia="en-GB"/>
        </w:rPr>
      </w:pPr>
    </w:p>
    <w:p w14:paraId="5D381877" w14:textId="77777777" w:rsidR="00F62F6B" w:rsidRPr="007D699F" w:rsidRDefault="00F62F6B" w:rsidP="00F62F6B">
      <w:pPr>
        <w:spacing w:line="480" w:lineRule="auto"/>
        <w:rPr>
          <w:rFonts w:ascii="Times New Roman" w:hAnsi="Times New Roman" w:cs="Times New Roman"/>
          <w:sz w:val="24"/>
          <w:szCs w:val="24"/>
          <w:lang w:eastAsia="en-GB"/>
        </w:rPr>
      </w:pPr>
      <w:r w:rsidRPr="007D699F">
        <w:rPr>
          <w:rFonts w:ascii="Times New Roman" w:hAnsi="Times New Roman" w:cs="Times New Roman"/>
          <w:sz w:val="24"/>
          <w:szCs w:val="24"/>
          <w:lang w:eastAsia="en-GB"/>
        </w:rPr>
        <w:t>Non-cryogenic fuels:</w:t>
      </w:r>
    </w:p>
    <w:p w14:paraId="4C0F7408" w14:textId="77CB9A15" w:rsidR="00F62F6B" w:rsidRPr="007D699F" w:rsidRDefault="00F62F6B" w:rsidP="00F62F6B">
      <w:pPr>
        <w:spacing w:after="0" w:line="480" w:lineRule="auto"/>
        <w:jc w:val="both"/>
        <w:rPr>
          <w:rFonts w:ascii="Times New Roman" w:hAnsi="Times New Roman" w:cs="Times New Roman"/>
          <w:sz w:val="24"/>
          <w:szCs w:val="24"/>
          <w:lang w:eastAsia="en-GB"/>
        </w:rPr>
      </w:pPr>
      <w:r w:rsidRPr="007D699F">
        <w:rPr>
          <w:rFonts w:ascii="Times New Roman" w:hAnsi="Times New Roman" w:cs="Times New Roman"/>
          <w:sz w:val="24"/>
          <w:szCs w:val="24"/>
          <w:lang w:eastAsia="en-GB"/>
        </w:rPr>
        <w:tab/>
        <w:t xml:space="preserve">For non-cryogenic fuels, a substantial fraction of the </w:t>
      </w:r>
      <w:r w:rsidRPr="007D699F">
        <w:rPr>
          <w:rFonts w:ascii="Times New Roman" w:hAnsi="Times New Roman" w:cs="Times New Roman"/>
          <w:i/>
          <w:iCs/>
          <w:sz w:val="24"/>
          <w:szCs w:val="24"/>
          <w:lang w:eastAsia="en-GB"/>
        </w:rPr>
        <w:t>W</w:t>
      </w:r>
      <w:r w:rsidRPr="007D699F">
        <w:rPr>
          <w:rFonts w:ascii="Times New Roman" w:hAnsi="Times New Roman" w:cs="Times New Roman"/>
          <w:sz w:val="24"/>
          <w:szCs w:val="24"/>
          <w:vertAlign w:val="subscript"/>
          <w:lang w:eastAsia="en-GB"/>
        </w:rPr>
        <w:t>F,total</w:t>
      </w:r>
      <w:r w:rsidRPr="007D699F">
        <w:rPr>
          <w:rFonts w:ascii="Times New Roman" w:hAnsi="Times New Roman" w:cs="Times New Roman"/>
          <w:sz w:val="24"/>
          <w:szCs w:val="24"/>
          <w:lang w:eastAsia="en-GB"/>
        </w:rPr>
        <w:t xml:space="preserve"> fits inside the existing tanks in the wings based on the tank volume of the baseline aircraft. The remainder of the fuel must be accommodated in the (additional) fuselage. There are two components of additional weight </w:t>
      </w:r>
      <w:r w:rsidRPr="007D699F">
        <w:rPr>
          <w:rFonts w:ascii="Times New Roman" w:hAnsi="Times New Roman" w:cs="Times New Roman"/>
          <w:sz w:val="24"/>
          <w:szCs w:val="24"/>
          <w:lang w:eastAsia="en-GB"/>
        </w:rPr>
        <w:lastRenderedPageBreak/>
        <w:t xml:space="preserve">considered for non-cryogenic fuels: the additional tank weight required to hold the remaining fuel that cannot fit in the wing tanks and the additional fuselage weight required to accommodate this additional tank. The additional fuselage weight is calculated according to the approach described in </w:t>
      </w:r>
      <w:r w:rsidR="00B40FCF" w:rsidRPr="007D699F">
        <w:rPr>
          <w:rFonts w:ascii="Times New Roman" w:hAnsi="Times New Roman" w:cs="Times New Roman"/>
          <w:sz w:val="24"/>
          <w:szCs w:val="24"/>
          <w:lang w:eastAsia="en-GB"/>
        </w:rPr>
        <w:t>SI §4.2</w:t>
      </w:r>
      <w:r w:rsidRPr="007D699F">
        <w:rPr>
          <w:rFonts w:ascii="Times New Roman" w:hAnsi="Times New Roman" w:cs="Times New Roman"/>
          <w:sz w:val="24"/>
          <w:szCs w:val="24"/>
          <w:lang w:eastAsia="en-GB"/>
        </w:rPr>
        <w:t xml:space="preserve">. </w:t>
      </w:r>
    </w:p>
    <w:p w14:paraId="07E338D7" w14:textId="144E9817" w:rsidR="00F62F6B" w:rsidRPr="00A07220" w:rsidRDefault="00F62F6B" w:rsidP="00F62F6B">
      <w:pPr>
        <w:spacing w:line="480" w:lineRule="auto"/>
        <w:ind w:firstLine="720"/>
        <w:jc w:val="both"/>
        <w:rPr>
          <w:rFonts w:ascii="Times New Roman" w:hAnsi="Times New Roman" w:cs="Times New Roman"/>
          <w:sz w:val="24"/>
          <w:szCs w:val="24"/>
          <w:lang w:eastAsia="en-GB"/>
        </w:rPr>
      </w:pPr>
      <w:r w:rsidRPr="007D699F">
        <w:rPr>
          <w:rFonts w:ascii="Times New Roman" w:hAnsi="Times New Roman" w:cs="Times New Roman"/>
          <w:sz w:val="24"/>
          <w:szCs w:val="24"/>
          <w:lang w:eastAsia="en-GB"/>
        </w:rPr>
        <w:t xml:space="preserve">To estimate the additional tank weight for non-cryogenic fuels that have similar mass densities as Jet-A (100% SPK, ethanol, and methanol), we use the findings of Goraj </w:t>
      </w:r>
      <w:r w:rsidRPr="00A07220">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{"citationItems":[{"id":"ITEM-1","itemData":{"DOI":"10.1515/meceng-2016-0034","ISSN":"00040738","abstract":"This paper describes assumptions, goals, methods, results and conclusions related to fuel tank arrangement of a flying wing passenger airplane configuration. A short overview of various fuel tank systems in use today of different types of aircraft is treated as a starting point for designing a fuel tank system to be used on very large passenger airplanes. These systems may be used to move fuel around the aircraft to keep the centre of gravity within acceptable limits, to maintain pitch and lateral balance and stability. With increasing aircraft speed, the centre of lift moves aft, and for trimming the elevator or trimmer must be used thereby increasing aircraft drag. To avoid this, the centre of gravity can be shifted by pumping fuel from forward to aft tanks. The lesson learnt from this is applied to minimise trim drag by moving the fuel along the airplane. Such a task can be done within coming days if we know the minimum drag versus CG position and weight value. The main part of the paper is devoted to wing bending moment distribution. A number of arrangements of fuel in airplane tanks are investigated and a scenario of refuelling - minimising the root bending moments - is presented. These results were obtained under the assumption that aircraft is in long range flight (14 hours), CL is constant and equal to 0.279, Specific Fuel Consumption is also constant and that overall fuel consumption is equal to 20 tons per 1 hour. It was found that the average stress level in wing structure is lower if refuelling starts from fuel tanks located closer to longitudinal plane of symmetry. It can influence the rate of fatigue.","author":[{"dropping-particle":"","family":"Goraj","given":"Zdobyslaw","non-dropping-particle":"","parse-names":false,"suffix":""}],"container-title":"Archive of Mechanical Engineering","id":"ITEM-1","issue":"4","issued":{"date-parts":[["2016","12","1"]]},"page":"605-617","publisher":"De Gruyter Open Ltd","title":"Design and Optimisation of Fuel Tanks for BWB Configurations","type":"article-journal","volume":"63"},"uris":["http://www.mendeley.com/documents/?uuid=6ecd28f0-75aa-3971-a162-a8e95bf6b7ce"]}],"mendeley":{"formattedCitation":"[99]","plainTextFormattedCitation":"[99]","previouslyFormattedCitation":"[99]"},"properties":{"noteIndex":0},"schema":"https://github.com/citation-style-language/schema/raw/master/csl-citation.json"}</w:instrText>
      </w:r>
      <w:r w:rsidRPr="00A07220">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[99]</w:t>
      </w:r>
      <w:r w:rsidRPr="00A07220">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who reported that the structural weight of a conventional fuel tank is ~</w:t>
      </w:r>
      <w:r w:rsidRPr="00A07220">
        <w:rPr>
          <w:rFonts w:ascii="Times New Roman" w:hAnsi="Times New Roman" w:cs="Times New Roman"/>
          <w:sz w:val="24"/>
          <w:szCs w:val="24"/>
          <w:lang w:eastAsia="en-GB"/>
        </w:rPr>
        <w:t xml:space="preserve">1/70 of the fuel weight. Thus, </w:t>
      </w:r>
      <w:r w:rsidRPr="00556067">
        <w:rPr>
          <w:rFonts w:ascii="Times New Roman" w:hAnsi="Times New Roman" w:cs="Times New Roman"/>
          <w:sz w:val="24"/>
          <w:szCs w:val="24"/>
          <w:lang w:eastAsia="en-GB"/>
        </w:rPr>
        <w:t>the OEW calculation for non-cryogenic fuels (</w:t>
      </w:r>
      <m:oMath>
        <m:sSub>
          <m:sSubPr>
            <m:ctrlPr>
              <w:rPr>
                <w:rFonts w:ascii="Cambria Math" w:hAnsi="Cambria Math" w:cs="Times New Roman"/>
                <w:iCs/>
                <w:sz w:val="24"/>
                <w:szCs w:val="24"/>
                <w:lang w:eastAsia="en-GB"/>
              </w:rPr>
            </m:ctrlPr>
          </m:sSubPr>
          <m:e>
            <m:r>
              <m:rPr>
                <m:sty m:val="p"/>
              </m:rPr>
              <w:rPr>
                <w:rFonts w:ascii="Cambria Math" w:hAnsi="Cambria Math" w:cs="Times New Roman"/>
                <w:sz w:val="24"/>
                <w:szCs w:val="24"/>
                <w:lang w:eastAsia="en-GB"/>
              </w:rPr>
              <m:t>OEW</m:t>
            </m:r>
          </m:e>
          <m:sub>
            <m:r>
              <m:rPr>
                <m:sty m:val="p"/>
              </m:rPr>
              <w:rPr>
                <w:rFonts w:ascii="Cambria Math" w:hAnsi="Cambria Math" w:cs="Times New Roman"/>
                <w:sz w:val="24"/>
                <w:szCs w:val="24"/>
                <w:lang w:eastAsia="en-GB"/>
              </w:rPr>
              <m:t>non-cryogenic</m:t>
            </m:r>
          </m:sub>
        </m:sSub>
      </m:oMath>
      <w:r w:rsidRPr="002201D7">
        <w:rPr>
          <w:rFonts w:ascii="Times New Roman" w:hAnsi="Times New Roman" w:cs="Times New Roman"/>
          <w:sz w:val="24"/>
          <w:szCs w:val="24"/>
          <w:lang w:eastAsia="en-GB"/>
        </w:rPr>
        <w:t xml:space="preserve">) is given by,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1"/>
      </w:tblGrid>
      <w:tr w:rsidR="00F62F6B" w:rsidRPr="007D699F" w14:paraId="01513D3C" w14:textId="77777777" w:rsidTr="006C247F">
        <w:tc>
          <w:tcPr>
            <w:tcW w:w="8075" w:type="dxa"/>
            <w:vAlign w:val="center"/>
            <w:hideMark/>
          </w:tcPr>
          <w:p w14:paraId="33085318" w14:textId="77777777" w:rsidR="00F62F6B" w:rsidRPr="00CE68A4" w:rsidRDefault="00000000" w:rsidP="006C247F">
            <w:pPr>
              <w:spacing w:after="240" w:line="480" w:lineRule="auto"/>
              <w:rPr>
                <w:rFonts w:ascii="Times New Roman" w:hAnsi="Times New Roman" w:cs="Times New Roman"/>
                <w:sz w:val="24"/>
                <w:szCs w:val="24"/>
                <w:lang w:eastAsia="en-GB"/>
              </w:rPr>
            </w:pPr>
            <m:oMathPara>
              <m:oMathParaPr>
                <m:jc m:val="left"/>
              </m:oMathParaPr>
              <m:oMath>
                <m:sSub>
                  <m:sSubPr>
                    <m:ctrlPr>
                      <w:rPr>
                        <w:rFonts w:ascii="Cambria Math" w:hAnsi="Cambria Math" w:cs="Times New Roman"/>
                        <w:iCs/>
                        <w:sz w:val="24"/>
                        <w:szCs w:val="24"/>
                        <w:lang w:eastAsia="en-GB"/>
                      </w:rPr>
                    </m:ctrlPr>
                  </m:sSubPr>
                  <m:e>
                    <m:r>
                      <m:rPr>
                        <m:sty m:val="p"/>
                      </m:rPr>
                      <w:rPr>
                        <w:rFonts w:ascii="Cambria Math" w:hAnsi="Cambria Math" w:cs="Times New Roman"/>
                        <w:sz w:val="24"/>
                        <w:szCs w:val="24"/>
                        <w:lang w:eastAsia="en-GB"/>
                      </w:rPr>
                      <m:t>OEW</m:t>
                    </m:r>
                  </m:e>
                  <m:sub>
                    <m:r>
                      <m:rPr>
                        <m:sty m:val="p"/>
                      </m:rPr>
                      <w:rPr>
                        <w:rFonts w:ascii="Cambria Math" w:hAnsi="Cambria Math" w:cs="Times New Roman"/>
                        <w:sz w:val="24"/>
                        <w:szCs w:val="24"/>
                        <w:lang w:eastAsia="en-GB"/>
                      </w:rPr>
                      <m:t>non-cryogenic</m:t>
                    </m:r>
                  </m:sub>
                </m:sSub>
                <m:r>
                  <w:rPr>
                    <w:rFonts w:ascii="Cambria Math" w:hAnsi="Cambria Math" w:cs="Times New Roman"/>
                    <w:sz w:val="24"/>
                    <w:szCs w:val="24"/>
                    <w:lang w:eastAsia="en-GB"/>
                  </w:rPr>
                  <m:t>=</m:t>
                </m:r>
                <m:sSub>
                  <m:sSubPr>
                    <m:ctrlPr>
                      <w:rPr>
                        <w:rFonts w:ascii="Cambria Math" w:hAnsi="Cambria Math" w:cs="Times New Roman"/>
                        <w:iCs/>
                        <w:sz w:val="24"/>
                        <w:szCs w:val="24"/>
                        <w:lang w:eastAsia="en-GB"/>
                      </w:rPr>
                    </m:ctrlPr>
                  </m:sSubPr>
                  <m:e>
                    <m:r>
                      <m:rPr>
                        <m:sty m:val="p"/>
                      </m:rPr>
                      <w:rPr>
                        <w:rFonts w:ascii="Cambria Math" w:hAnsi="Cambria Math" w:cs="Times New Roman"/>
                        <w:sz w:val="24"/>
                        <w:szCs w:val="24"/>
                        <w:lang w:eastAsia="en-GB"/>
                      </w:rPr>
                      <m:t>OEW</m:t>
                    </m:r>
                  </m:e>
                  <m:sub>
                    <m:r>
                      <m:rPr>
                        <m:sty m:val="p"/>
                      </m:rPr>
                      <w:rPr>
                        <w:rFonts w:ascii="Cambria Math" w:hAnsi="Cambria Math" w:cs="Times New Roman"/>
                        <w:sz w:val="24"/>
                        <w:szCs w:val="24"/>
                        <w:lang w:eastAsia="en-GB"/>
                      </w:rPr>
                      <m:t>baseline</m:t>
                    </m:r>
                  </m:sub>
                </m:sSub>
                <m:r>
                  <w:rPr>
                    <w:rFonts w:ascii="Cambria Math" w:hAnsi="Cambria Math" w:cs="Times New Roman"/>
                    <w:sz w:val="24"/>
                    <w:szCs w:val="24"/>
                    <w:lang w:eastAsia="en-GB"/>
                  </w:rPr>
                  <m:t>(1-ω)+</m:t>
                </m:r>
                <m:f>
                  <m:fPr>
                    <m:ctrlPr>
                      <w:rPr>
                        <w:rFonts w:ascii="Cambria Math" w:hAnsi="Cambria Math" w:cs="Times New Roman"/>
                        <w:i/>
                        <w:sz w:val="24"/>
                        <w:szCs w:val="24"/>
                        <w:lang w:eastAsia="en-GB"/>
                      </w:rPr>
                    </m:ctrlPr>
                  </m:fPr>
                  <m:num>
                    <m:r>
                      <w:rPr>
                        <w:rFonts w:ascii="Cambria Math" w:hAnsi="Cambria Math" w:cs="Times New Roman"/>
                        <w:sz w:val="24"/>
                        <w:szCs w:val="24"/>
                        <w:lang w:eastAsia="en-GB"/>
                      </w:rPr>
                      <m:t>1</m:t>
                    </m:r>
                  </m:num>
                  <m:den>
                    <m:r>
                      <w:rPr>
                        <w:rFonts w:ascii="Cambria Math" w:hAnsi="Cambria Math" w:cs="Times New Roman"/>
                        <w:sz w:val="24"/>
                        <w:szCs w:val="24"/>
                        <w:lang w:eastAsia="en-GB"/>
                      </w:rPr>
                      <m:t>70</m:t>
                    </m:r>
                  </m:den>
                </m:f>
                <m:d>
                  <m:dPr>
                    <m:ctrlPr>
                      <w:rPr>
                        <w:rFonts w:ascii="Cambria Math" w:hAnsi="Cambria Math" w:cs="Times New Roman"/>
                        <w:i/>
                        <w:sz w:val="24"/>
                        <w:szCs w:val="24"/>
                        <w:lang w:eastAsia="en-GB"/>
                      </w:rPr>
                    </m:ctrlPr>
                  </m:dPr>
                  <m:e>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W</m:t>
                        </m:r>
                      </m:e>
                      <m:sub>
                        <m:r>
                          <m:rPr>
                            <m:sty m:val="p"/>
                          </m:rPr>
                          <w:rPr>
                            <w:rFonts w:ascii="Cambria Math" w:hAnsi="Cambria Math" w:cs="Times New Roman"/>
                            <w:sz w:val="24"/>
                            <w:szCs w:val="24"/>
                            <w:lang w:eastAsia="en-GB"/>
                          </w:rPr>
                          <m:t>F,total,non-cryogenic</m:t>
                        </m:r>
                      </m:sub>
                    </m:sSub>
                    <m:r>
                      <w:rPr>
                        <w:rFonts w:ascii="Cambria Math" w:hAnsi="Cambria Math" w:cs="Times New Roman"/>
                        <w:sz w:val="24"/>
                        <w:szCs w:val="24"/>
                        <w:lang w:eastAsia="en-GB"/>
                      </w:rPr>
                      <m:t>-</m:t>
                    </m:r>
                    <m:f>
                      <m:fPr>
                        <m:ctrlPr>
                          <w:rPr>
                            <w:rFonts w:ascii="Cambria Math" w:hAnsi="Cambria Math" w:cs="Times New Roman"/>
                            <w:i/>
                            <w:sz w:val="24"/>
                            <w:szCs w:val="24"/>
                            <w:lang w:eastAsia="en-GB"/>
                          </w:rPr>
                        </m:ctrlPr>
                      </m:fPr>
                      <m:num>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ρ</m:t>
                            </m:r>
                          </m:e>
                          <m:sub>
                            <m:r>
                              <m:rPr>
                                <m:sty m:val="p"/>
                              </m:rPr>
                              <w:rPr>
                                <w:rFonts w:ascii="Cambria Math" w:hAnsi="Cambria Math" w:cs="Times New Roman"/>
                                <w:sz w:val="24"/>
                                <w:szCs w:val="24"/>
                                <w:lang w:eastAsia="en-GB"/>
                              </w:rPr>
                              <m:t>non-cryogenic</m:t>
                            </m:r>
                          </m:sub>
                        </m:sSub>
                        <m:r>
                          <w:rPr>
                            <w:rFonts w:ascii="Cambria Math" w:hAnsi="Cambria Math" w:cs="Times New Roman"/>
                            <w:sz w:val="24"/>
                            <w:szCs w:val="24"/>
                            <w:lang w:eastAsia="en-GB"/>
                          </w:rPr>
                          <m:t xml:space="preserve"> </m:t>
                        </m:r>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 xml:space="preserve"> W</m:t>
                            </m:r>
                          </m:e>
                          <m:sub>
                            <m:r>
                              <m:rPr>
                                <m:sty m:val="p"/>
                              </m:rPr>
                              <w:rPr>
                                <w:rFonts w:ascii="Cambria Math" w:hAnsi="Cambria Math" w:cs="Times New Roman"/>
                                <w:sz w:val="24"/>
                                <w:szCs w:val="24"/>
                                <w:lang w:eastAsia="en-GB"/>
                              </w:rPr>
                              <m:t>F,total,baseline</m:t>
                            </m:r>
                          </m:sub>
                        </m:sSub>
                      </m:num>
                      <m:den>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ρ</m:t>
                            </m:r>
                          </m:e>
                          <m:sub>
                            <m:r>
                              <m:rPr>
                                <m:sty m:val="p"/>
                              </m:rPr>
                              <w:rPr>
                                <w:rFonts w:ascii="Cambria Math" w:hAnsi="Cambria Math" w:cs="Times New Roman"/>
                                <w:sz w:val="24"/>
                                <w:szCs w:val="24"/>
                                <w:lang w:eastAsia="en-GB"/>
                              </w:rPr>
                              <m:t>Jet-A</m:t>
                            </m:r>
                          </m:sub>
                        </m:sSub>
                      </m:den>
                    </m:f>
                  </m:e>
                </m:d>
                <m:r>
                  <w:rPr>
                    <w:rFonts w:ascii="Cambria Math" w:hAnsi="Cambria Math" w:cs="Times New Roman"/>
                    <w:sz w:val="24"/>
                    <w:szCs w:val="24"/>
                    <w:lang w:eastAsia="en-GB"/>
                  </w:rPr>
                  <m:t>+</m:t>
                </m:r>
                <m:d>
                  <m:dPr>
                    <m:ctrlPr>
                      <w:rPr>
                        <w:rFonts w:ascii="Cambria Math" w:hAnsi="Cambria Math" w:cs="Times New Roman"/>
                        <w:i/>
                        <w:sz w:val="24"/>
                        <w:szCs w:val="24"/>
                        <w:lang w:eastAsia="en-GB"/>
                      </w:rPr>
                    </m:ctrlPr>
                  </m:dPr>
                  <m:e>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W</m:t>
                        </m:r>
                      </m:e>
                      <m:sub>
                        <m:r>
                          <m:rPr>
                            <m:sty m:val="p"/>
                          </m:rPr>
                          <w:rPr>
                            <w:rFonts w:ascii="Cambria Math" w:hAnsi="Cambria Math" w:cs="Times New Roman"/>
                            <w:sz w:val="24"/>
                            <w:szCs w:val="24"/>
                            <w:lang w:eastAsia="en-GB"/>
                          </w:rPr>
                          <m:t>Fuselage,non-cryogenic</m:t>
                        </m:r>
                      </m:sub>
                    </m:sSub>
                    <m:r>
                      <w:rPr>
                        <w:rFonts w:ascii="Cambria Math" w:hAnsi="Cambria Math" w:cs="Times New Roman"/>
                        <w:sz w:val="24"/>
                        <w:szCs w:val="24"/>
                        <w:lang w:eastAsia="en-GB"/>
                      </w:rPr>
                      <m:t xml:space="preserve">- </m:t>
                    </m:r>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W</m:t>
                        </m:r>
                      </m:e>
                      <m:sub>
                        <m:r>
                          <m:rPr>
                            <m:sty m:val="p"/>
                          </m:rPr>
                          <w:rPr>
                            <w:rFonts w:ascii="Cambria Math" w:hAnsi="Cambria Math" w:cs="Times New Roman"/>
                            <w:sz w:val="24"/>
                            <w:szCs w:val="24"/>
                            <w:lang w:eastAsia="en-GB"/>
                          </w:rPr>
                          <m:t>Fuselage,baseline</m:t>
                        </m:r>
                      </m:sub>
                    </m:sSub>
                  </m:e>
                </m:d>
                <m:r>
                  <w:rPr>
                    <w:rFonts w:ascii="Cambria Math" w:hAnsi="Cambria Math" w:cs="Times New Roman"/>
                    <w:sz w:val="24"/>
                    <w:szCs w:val="24"/>
                    <w:lang w:eastAsia="en-GB"/>
                  </w:rPr>
                  <m:t>(1-ω)</m:t>
                </m:r>
                <m:r>
                  <m:rPr>
                    <m:sty m:val="p"/>
                  </m:rPr>
                  <w:rPr>
                    <w:rFonts w:ascii="Cambria Math" w:eastAsiaTheme="minorEastAsia" w:hAnsi="Cambria Math" w:cs="Times New Roman"/>
                    <w:sz w:val="24"/>
                    <w:szCs w:val="24"/>
                    <w:lang w:eastAsia="en-GB"/>
                  </w:rPr>
                  <m:t>,</m:t>
                </m:r>
              </m:oMath>
            </m:oMathPara>
          </w:p>
        </w:tc>
        <w:tc>
          <w:tcPr>
            <w:tcW w:w="941" w:type="dxa"/>
            <w:vAlign w:val="center"/>
            <w:hideMark/>
          </w:tcPr>
          <w:p w14:paraId="61688207" w14:textId="0137FD85" w:rsidR="00F62F6B" w:rsidRPr="00A07220" w:rsidRDefault="00F62F6B" w:rsidP="006C247F">
            <w:pPr>
              <w:spacing w:after="240" w:line="480"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w:t>
            </w:r>
            <w:r w:rsidR="00F216BF">
              <w:rPr>
                <w:rFonts w:ascii="Times New Roman" w:hAnsi="Times New Roman" w:cs="Times New Roman"/>
                <w:sz w:val="24"/>
                <w:szCs w:val="24"/>
                <w:lang w:eastAsia="en-GB"/>
              </w:rPr>
              <w:t>SI 7</w:t>
            </w:r>
            <w:r w:rsidRPr="002201D7">
              <w:rPr>
                <w:rFonts w:ascii="Times New Roman" w:hAnsi="Times New Roman" w:cs="Times New Roman"/>
                <w:sz w:val="24"/>
                <w:szCs w:val="24"/>
                <w:lang w:eastAsia="en-GB"/>
              </w:rPr>
              <w:t>)</w:t>
            </w:r>
          </w:p>
        </w:tc>
      </w:tr>
    </w:tbl>
    <w:p w14:paraId="24A6CF7C" w14:textId="77777777" w:rsidR="00F62F6B" w:rsidRPr="007D699F" w:rsidRDefault="00F62F6B" w:rsidP="00F62F6B">
      <w:pPr>
        <w:spacing w:line="480" w:lineRule="auto"/>
        <w:jc w:val="both"/>
        <w:rPr>
          <w:rFonts w:ascii="Times New Roman" w:hAnsi="Times New Roman" w:cs="Times New Roman"/>
          <w:sz w:val="24"/>
          <w:szCs w:val="24"/>
          <w:lang w:eastAsia="en-GB"/>
        </w:rPr>
      </w:pPr>
      <w:r w:rsidRPr="002201D7">
        <w:rPr>
          <w:rFonts w:ascii="Times New Roman" w:eastAsiaTheme="minorEastAsia" w:hAnsi="Times New Roman" w:cs="Times New Roman"/>
          <w:sz w:val="24"/>
          <w:szCs w:val="24"/>
          <w:lang w:eastAsia="en-GB"/>
        </w:rPr>
        <w:t xml:space="preserve">where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W</m:t>
            </m:r>
          </m:e>
          <m:sub>
            <m:r>
              <m:rPr>
                <m:sty m:val="p"/>
              </m:rPr>
              <w:rPr>
                <w:rFonts w:ascii="Cambria Math" w:hAnsi="Cambria Math" w:cs="Times New Roman"/>
                <w:sz w:val="24"/>
                <w:szCs w:val="24"/>
                <w:lang w:eastAsia="en-GB"/>
              </w:rPr>
              <m:t>F,total,non-cryogenic</m:t>
            </m:r>
          </m:sub>
        </m:sSub>
      </m:oMath>
      <w:r w:rsidRPr="002201D7">
        <w:rPr>
          <w:rFonts w:ascii="Times New Roman" w:eastAsiaTheme="minorEastAsia" w:hAnsi="Times New Roman" w:cs="Times New Roman"/>
          <w:sz w:val="24"/>
          <w:szCs w:val="24"/>
          <w:lang w:eastAsia="en-GB"/>
        </w:rPr>
        <w:t xml:space="preserve"> and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 xml:space="preserve"> W</m:t>
            </m:r>
          </m:e>
          <m:sub>
            <m:r>
              <m:rPr>
                <m:sty m:val="p"/>
              </m:rPr>
              <w:rPr>
                <w:rFonts w:ascii="Cambria Math" w:hAnsi="Cambria Math" w:cs="Times New Roman"/>
                <w:sz w:val="24"/>
                <w:szCs w:val="24"/>
                <w:lang w:eastAsia="en-GB"/>
              </w:rPr>
              <m:t>F,total,baseline</m:t>
            </m:r>
          </m:sub>
        </m:sSub>
      </m:oMath>
      <w:r w:rsidRPr="002201D7">
        <w:rPr>
          <w:rFonts w:ascii="Times New Roman" w:eastAsiaTheme="minorEastAsia" w:hAnsi="Times New Roman" w:cs="Times New Roman"/>
          <w:sz w:val="24"/>
          <w:szCs w:val="24"/>
          <w:lang w:eastAsia="en-GB"/>
        </w:rPr>
        <w:t xml:space="preserve"> are the </w:t>
      </w:r>
      <w:r w:rsidRPr="00A07220">
        <w:rPr>
          <w:rFonts w:ascii="Times New Roman" w:hAnsi="Times New Roman" w:cs="Times New Roman"/>
          <w:sz w:val="24"/>
          <w:szCs w:val="24"/>
          <w:lang w:eastAsia="en-GB"/>
        </w:rPr>
        <w:t xml:space="preserve">total fuel weights of the non-cryogenic fuel and Jet-A fuel respectively at mission start;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ρ</m:t>
            </m:r>
          </m:e>
          <m:sub>
            <m:r>
              <m:rPr>
                <m:sty m:val="p"/>
              </m:rPr>
              <w:rPr>
                <w:rFonts w:ascii="Cambria Math" w:hAnsi="Cambria Math" w:cs="Times New Roman"/>
                <w:sz w:val="24"/>
                <w:szCs w:val="24"/>
                <w:lang w:eastAsia="en-GB"/>
              </w:rPr>
              <m:t>non-cryogenic</m:t>
            </m:r>
          </m:sub>
        </m:sSub>
      </m:oMath>
      <w:r w:rsidRPr="002201D7">
        <w:rPr>
          <w:rFonts w:ascii="Times New Roman" w:eastAsiaTheme="minorEastAsia" w:hAnsi="Times New Roman" w:cs="Times New Roman"/>
          <w:sz w:val="24"/>
          <w:szCs w:val="24"/>
          <w:lang w:eastAsia="en-GB"/>
        </w:rPr>
        <w:t xml:space="preserve"> and</w:t>
      </w:r>
      <m:oMath>
        <m:r>
          <w:rPr>
            <w:rFonts w:ascii="Cambria Math" w:eastAsiaTheme="minorEastAsia" w:hAnsi="Cambria Math" w:cs="Times New Roman"/>
            <w:sz w:val="24"/>
            <w:szCs w:val="24"/>
            <w:lang w:eastAsia="en-GB"/>
          </w:rPr>
          <m:t xml:space="preserve"> </m:t>
        </m:r>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ρ</m:t>
            </m:r>
          </m:e>
          <m:sub>
            <m:r>
              <m:rPr>
                <m:sty m:val="p"/>
              </m:rPr>
              <w:rPr>
                <w:rFonts w:ascii="Cambria Math" w:hAnsi="Cambria Math" w:cs="Times New Roman"/>
                <w:sz w:val="24"/>
                <w:szCs w:val="24"/>
                <w:lang w:eastAsia="en-GB"/>
              </w:rPr>
              <m:t>Jet-A</m:t>
            </m:r>
          </m:sub>
        </m:sSub>
      </m:oMath>
      <w:r w:rsidRPr="002201D7">
        <w:rPr>
          <w:rFonts w:ascii="Times New Roman" w:eastAsiaTheme="minorEastAsia" w:hAnsi="Times New Roman" w:cs="Times New Roman"/>
          <w:sz w:val="24"/>
          <w:szCs w:val="24"/>
          <w:lang w:eastAsia="en-GB"/>
        </w:rPr>
        <w:t xml:space="preserve"> are the densities of </w:t>
      </w:r>
      <w:r w:rsidRPr="00A07220">
        <w:rPr>
          <w:rFonts w:ascii="Times New Roman" w:hAnsi="Times New Roman" w:cs="Times New Roman"/>
          <w:sz w:val="24"/>
          <w:szCs w:val="24"/>
          <w:lang w:eastAsia="en-GB"/>
        </w:rPr>
        <w:t xml:space="preserve">the non-cryogenic fuel and Jet-A fuel respectively; and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W</m:t>
            </m:r>
          </m:e>
          <m:sub>
            <m:r>
              <m:rPr>
                <m:sty m:val="p"/>
              </m:rPr>
              <w:rPr>
                <w:rFonts w:ascii="Cambria Math" w:hAnsi="Cambria Math" w:cs="Times New Roman"/>
                <w:sz w:val="24"/>
                <w:szCs w:val="24"/>
                <w:lang w:eastAsia="en-GB"/>
              </w:rPr>
              <m:t>Fuselage,non-cryogenic</m:t>
            </m:r>
          </m:sub>
        </m:sSub>
      </m:oMath>
      <w:r w:rsidRPr="002201D7">
        <w:rPr>
          <w:rFonts w:ascii="Times New Roman" w:eastAsiaTheme="minorEastAsia" w:hAnsi="Times New Roman" w:cs="Times New Roman"/>
          <w:sz w:val="24"/>
          <w:szCs w:val="24"/>
          <w:lang w:eastAsia="en-GB"/>
        </w:rPr>
        <w:t xml:space="preserve"> is the fuselage weight of the non-cryogenic aircraft. </w:t>
      </w:r>
      <w:r w:rsidRPr="00A07220">
        <w:rPr>
          <w:rFonts w:ascii="Times New Roman" w:eastAsiaTheme="minorEastAsia" w:hAnsi="Times New Roman" w:cs="Times New Roman"/>
          <w:i/>
          <w:iCs/>
          <w:sz w:val="24"/>
          <w:szCs w:val="24"/>
          <w:lang w:eastAsia="en-GB"/>
        </w:rPr>
        <w:t>ω</w:t>
      </w:r>
      <w:r w:rsidRPr="00556067">
        <w:rPr>
          <w:rFonts w:ascii="Times New Roman" w:eastAsiaTheme="minorEastAsia" w:hAnsi="Times New Roman" w:cs="Times New Roman"/>
          <w:sz w:val="24"/>
          <w:szCs w:val="24"/>
          <w:lang w:eastAsia="en-GB"/>
        </w:rPr>
        <w:t xml:space="preserve"> is the weight reduction factor for fuselage weight and OEW (in percentage), which </w:t>
      </w:r>
      <w:r w:rsidRPr="00CE68A4">
        <w:rPr>
          <w:rFonts w:ascii="Times New Roman" w:hAnsi="Times New Roman" w:cs="Times New Roman"/>
          <w:sz w:val="24"/>
          <w:szCs w:val="24"/>
          <w:lang w:eastAsia="en-GB"/>
        </w:rPr>
        <w:t>is dependent on technology improvement. We set it to zero by default for all non-cryogenic fuel cases dur</w:t>
      </w:r>
      <w:r w:rsidRPr="007D699F">
        <w:rPr>
          <w:rFonts w:ascii="Times New Roman" w:hAnsi="Times New Roman" w:cs="Times New Roman"/>
          <w:sz w:val="24"/>
          <w:szCs w:val="24"/>
          <w:lang w:eastAsia="en-GB"/>
        </w:rPr>
        <w:t>ing the performance evaluation of different alternative liquid fuels considered in this work.</w:t>
      </w:r>
    </w:p>
    <w:p w14:paraId="2E7293BA" w14:textId="77777777" w:rsidR="00F62F6B" w:rsidRPr="007D699F" w:rsidRDefault="00F62F6B" w:rsidP="00F62F6B">
      <w:pPr>
        <w:spacing w:line="480" w:lineRule="auto"/>
        <w:rPr>
          <w:rFonts w:ascii="Times New Roman" w:hAnsi="Times New Roman" w:cs="Times New Roman"/>
          <w:sz w:val="24"/>
          <w:szCs w:val="24"/>
          <w:lang w:eastAsia="en-GB"/>
        </w:rPr>
      </w:pPr>
      <w:r w:rsidRPr="007D699F">
        <w:rPr>
          <w:rFonts w:ascii="Times New Roman" w:hAnsi="Times New Roman" w:cs="Times New Roman"/>
          <w:sz w:val="24"/>
          <w:szCs w:val="24"/>
          <w:lang w:eastAsia="en-GB"/>
        </w:rPr>
        <w:t>Cryogenic fuels:</w:t>
      </w:r>
    </w:p>
    <w:p w14:paraId="7C9A1714" w14:textId="77777777" w:rsidR="00F62F6B" w:rsidRPr="007D699F" w:rsidRDefault="00F62F6B" w:rsidP="00F62F6B">
      <w:pPr>
        <w:spacing w:after="0" w:line="480" w:lineRule="auto"/>
        <w:jc w:val="both"/>
        <w:rPr>
          <w:rFonts w:ascii="Times New Roman" w:hAnsi="Times New Roman" w:cs="Times New Roman"/>
          <w:sz w:val="24"/>
          <w:szCs w:val="24"/>
          <w:lang w:eastAsia="en-GB"/>
        </w:rPr>
      </w:pPr>
      <w:r w:rsidRPr="007D699F">
        <w:rPr>
          <w:rFonts w:ascii="Times New Roman" w:hAnsi="Times New Roman" w:cs="Times New Roman"/>
          <w:sz w:val="24"/>
          <w:szCs w:val="24"/>
          <w:lang w:eastAsia="en-GB"/>
        </w:rPr>
        <w:tab/>
        <w:t>For cryogenic fuels (LH</w:t>
      </w:r>
      <w:r w:rsidRPr="007D699F">
        <w:rPr>
          <w:rFonts w:ascii="Times New Roman" w:hAnsi="Times New Roman" w:cs="Times New Roman"/>
          <w:sz w:val="24"/>
          <w:szCs w:val="24"/>
          <w:vertAlign w:val="subscript"/>
          <w:lang w:eastAsia="en-GB"/>
        </w:rPr>
        <w:t>2</w:t>
      </w:r>
      <w:r w:rsidRPr="007D699F">
        <w:rPr>
          <w:rFonts w:ascii="Times New Roman" w:hAnsi="Times New Roman" w:cs="Times New Roman"/>
          <w:sz w:val="24"/>
          <w:szCs w:val="24"/>
          <w:lang w:eastAsia="en-GB"/>
        </w:rPr>
        <w:t>, LNG and LNH</w:t>
      </w:r>
      <w:r w:rsidRPr="007D699F">
        <w:rPr>
          <w:rFonts w:ascii="Times New Roman" w:hAnsi="Times New Roman" w:cs="Times New Roman"/>
          <w:sz w:val="24"/>
          <w:szCs w:val="24"/>
          <w:vertAlign w:val="subscript"/>
          <w:lang w:eastAsia="en-GB"/>
        </w:rPr>
        <w:t>3</w:t>
      </w:r>
      <w:r w:rsidRPr="007D699F">
        <w:rPr>
          <w:rFonts w:ascii="Times New Roman" w:hAnsi="Times New Roman" w:cs="Times New Roman"/>
          <w:sz w:val="24"/>
          <w:szCs w:val="24"/>
          <w:lang w:eastAsia="en-GB"/>
        </w:rPr>
        <w:t xml:space="preserve">), in addition to the additional fuselage weight we also add the weight of cryogenic tank systems and structural weight added to support the cryogenic tank system to the OEW of the aircraft. </w:t>
      </w:r>
    </w:p>
    <w:p w14:paraId="3E744DEB" w14:textId="18B460E9" w:rsidR="00F62F6B" w:rsidRPr="00CE68A4" w:rsidRDefault="00F62F6B" w:rsidP="00F62F6B">
      <w:pPr>
        <w:spacing w:after="0" w:line="480" w:lineRule="auto"/>
        <w:ind w:firstLine="720"/>
        <w:jc w:val="both"/>
        <w:rPr>
          <w:rFonts w:ascii="Times New Roman" w:hAnsi="Times New Roman" w:cs="Times New Roman"/>
          <w:sz w:val="24"/>
          <w:szCs w:val="24"/>
          <w:lang w:eastAsia="en-GB"/>
        </w:rPr>
      </w:pPr>
      <w:r w:rsidRPr="007D699F">
        <w:rPr>
          <w:rFonts w:ascii="Times New Roman" w:hAnsi="Times New Roman" w:cs="Times New Roman"/>
          <w:sz w:val="24"/>
          <w:szCs w:val="24"/>
          <w:lang w:eastAsia="en-GB"/>
        </w:rPr>
        <w:lastRenderedPageBreak/>
        <w:t>The gravimetric index, gravimetric efficiency or gravimetric storage density (</w:t>
      </w:r>
      <w:r w:rsidRPr="007D699F">
        <w:rPr>
          <w:rFonts w:ascii="Times New Roman" w:eastAsia="Times New Roman" w:hAnsi="Times New Roman" w:cs="Times New Roman"/>
          <w:i/>
          <w:iCs/>
          <w:sz w:val="24"/>
          <w:szCs w:val="24"/>
          <w:lang w:eastAsia="en-GB"/>
        </w:rPr>
        <w:t>η</w:t>
      </w:r>
      <w:r w:rsidRPr="007D699F">
        <w:rPr>
          <w:rFonts w:ascii="Times New Roman" w:hAnsi="Times New Roman" w:cs="Times New Roman"/>
          <w:sz w:val="24"/>
          <w:szCs w:val="24"/>
          <w:lang w:eastAsia="en-GB"/>
        </w:rPr>
        <w:t xml:space="preserve">), defined as the ratio of </w:t>
      </w:r>
      <w:r w:rsidRPr="007D699F">
        <w:rPr>
          <w:rFonts w:ascii="Times New Roman" w:eastAsia="Times New Roman" w:hAnsi="Times New Roman" w:cs="Times New Roman"/>
          <w:sz w:val="24"/>
          <w:szCs w:val="24"/>
          <w:lang w:eastAsia="en-GB"/>
        </w:rPr>
        <w:t xml:space="preserve">cryogenic fuel </w:t>
      </w:r>
      <w:r w:rsidRPr="007D699F">
        <w:rPr>
          <w:rFonts w:ascii="Times New Roman" w:hAnsi="Times New Roman" w:cs="Times New Roman"/>
          <w:sz w:val="24"/>
          <w:szCs w:val="24"/>
          <w:lang w:eastAsia="en-GB"/>
        </w:rPr>
        <w:t xml:space="preserve">weight to the sum of the dry tank weight and </w:t>
      </w:r>
      <w:r w:rsidRPr="007D699F">
        <w:rPr>
          <w:rFonts w:ascii="Times New Roman" w:eastAsia="Times New Roman" w:hAnsi="Times New Roman" w:cs="Times New Roman"/>
          <w:sz w:val="24"/>
          <w:szCs w:val="24"/>
          <w:lang w:eastAsia="en-GB"/>
        </w:rPr>
        <w:t xml:space="preserve">cryogenic fuel </w:t>
      </w:r>
      <w:r w:rsidRPr="007D699F">
        <w:rPr>
          <w:rFonts w:ascii="Times New Roman" w:hAnsi="Times New Roman" w:cs="Times New Roman"/>
          <w:sz w:val="24"/>
          <w:szCs w:val="24"/>
          <w:lang w:eastAsia="en-GB"/>
        </w:rPr>
        <w:t xml:space="preserve">weight </w:t>
      </w:r>
      <w:r w:rsidRPr="00A07220">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Energy","id":"ITEM-1","issue":"20","issued":{"date-parts":[["2010","10"]]},"page":"11085-11098","title":"Hydrogen fuel tanks for subsonic transport aircraft","type":"article-journal","volume":"35"},"uris":["http://www.mendeley.com/documents/?uuid=2e4f2e04-44b7-30e2-b30e-88be179f6ee3"]},{"id":"ITEM-2","itemData":{"DOI":"10.2843/766989","ISBN":"9789292463410","URL":"https://www.fch.europa.eu/sites/default/files/FCH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Hydrogen","id":"ITEM-2","issued":{"date-parts":[["2020"]]},"title":"Hydrogen-powered aviation","type":"webpage"},"uris":["http://www.mendeley.com/documents/?uuid=a6d4f7ac-c449-3ac1-9ba9-624b7be2cd9e"]},{"id":"ITEM-3","itemData":{"DOI":"10.3390/en11010105","ISSN":"1996-1073","abstract":"In the near future, the challenges to reduce the economic and social dependency on fossil fuels must be faced increasingly. A sustainable and efficient energy supply based on renewable energies enables large-scale applications of electro-fuels for, e.g., the transport sector. The high gravimetric energy density makes liquefied hydrogen a reasonable candidate for energy storage in a light-weight application, such as aviation. Current aircraft structures are designed to accommodate jet fuel and gas turbines allowing a limited retrofitting only. New designs, such as the blended-wing-body, enable a more flexible integration of new storage technologies and energy converters, e.g., cryogenic hydrogen tanks and fuel cells. Against this background, a tank-design model is formulated, which considers geometrical, mechanical and thermal aspects, as well as specific mission profiles while considering a power supply by a fuel cell. This design approach enables the determination of required tank mass and storage density, respectively. A new evaluation value is defined including the vented hydrogen mass throughout the flight enabling more transparent insights on mass shares. Subsequently, a systematic approach in tank partitioning leads to associated compromises regarding the tank weight. The analysis shows that cryogenic hydrogen tanks are highly competitive with kerosene tanks in terms of overall mass, which is further improved by the use of a fuel cell.","author":[{"dropping-particle":"","family":"Winnefeld","given":"Christopher","non-dropping-particle":"","parse-names":false,"suffix":""},{"dropping-particle":"","family":"Kadyk","given":"Thomas","non-dropping-particle":"","parse-names":false,"suffix":""},{"dropping-particle":"","family":"Bensmann","given":"Boris","non-dropping-particle":"","parse-names":false,"suffix":""},{"dropping-particle":"","family":"Krewer","given":"Ulrike","non-dropping-particle":"","parse-names":false,"suffix":""},{"dropping-particle":"","family":"Hanke-Rauschenbach","given":"Richard","non-dropping-particle":"","parse-names":false,"suffix":""}],"container-title":"Energies","id":"ITEM-3","issue":"1","issued":{"date-parts":[["2018","1","3"]]},"page":"105","publisher":"Multidisciplinary Digital Publishing Institute","title":"Modelling and Designing Cryogenic Hydrogen Tanks for Future Aircraft Applications","type":"article-journal","volume":"11"},"uris":["http://www.mendeley.com/documents/?uuid=4c0cdb75-dc02-3721-b047-f245be1cc0ff"]},{"id":"ITEM-4","itemData":{"author":[{"dropping-particle":"","family":"Verstraete","given":"Dries","non-dropping-particle":"","parse-names":false,"suffix":""}],"id":"ITEM-4","issued":{"date-parts":[["2009"]]},"publisher":"Cranfield University","title":"The Potential of Liquid Hydrogen for long range aircraft propulsion","type":"report"},"uris":["http://www.mendeley.com/documents/?uuid=b6f425eb-0719-3b8b-955c-5bc2a00e9eb9"]}],"mendeley":{"formattedCitation":"[20], [86], [100], [101]","plainTextFormattedCitation":"[20], [86], [100], [101]","previouslyFormattedCitation":"[20], [86], [100], [101]"},"properties":{"noteIndex":0},"schema":"https://github.com/citation-style-language/schema/raw/master/csl-citation.json"}</w:instrText>
      </w:r>
      <w:r w:rsidRPr="00A07220">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[20], [86], [100], [101]</w:t>
      </w:r>
      <w:r w:rsidRPr="00A07220">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xml:space="preserve">. The tank weight is dependent on the type of the insulation system used in its design </w:t>
      </w:r>
      <w:r w:rsidRPr="00A07220">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{"citationItems":[{"id":"ITEM-1","itemData":{"DOI":"10.1016/j.paerosci.2012.12.002","ISSN":"03760421","abstract":"This paper investigates properties and traits of hydrogen with regard to environmental concerns and viability in near future applications. Hydrogen is the most likely energy carrier for the future of aviation, a fuel that has the potential of zero emissions. With investigation into the history of hydrogen, this study establishes issues and concerns made apparent when regarding the fuel in aero applications. Various strategies are analyzed in order to evaluate hydrogen's feasibility which includes production, storage, engine configurations and aircraft configurations. © 2012 Elsevier Ltd.","author":[{"dropping-particle":"","family":"Khandelwal","given":"Bhupendra","non-dropping-particle":"","parse-names":false,"suffix":""},{"dropping-particle":"","family":"Karakurt","given":"Adam","non-dropping-particle":"","parse-names":false,"suffix":""},{"dropping-particle":"","family":"Sekaran","given":"Paulas R.","non-dropping-particle":"","parse-names":false,"suffix":""},{"dropping-particle":"","family":"Sethi","given":"Vishal","non-dropping-particle":"","parse-names":false,"suffix":""},{"dropping-particle":"","family":"Singh","given":"Riti","non-dropping-particle":"","parse-names":false,"suffix":""}],"container-title":"Progress in Aerospace Sciences","id":"ITEM-1","issued":{"date-parts":[["2013"]]},"page":"45-59","publisher":"Elsevier Ltd","title":"Hydrogen powered aircraft: The future of air transport","type":"article","volume":"60"},"uris":["http://www.mendeley.com/documents/?uuid=fac06492-a707-394b-8c69-a30b18200d00"]}],"mendeley":{"formattedCitation":"[26]","plainTextFormattedCitation":"[26]","previouslyFormattedCitation":"[26]"},"properties":{"noteIndex":0},"schema":"https://github.com/citation-style-language/schema/raw/master/csl-citation.json"}</w:instrText>
      </w:r>
      <w:r w:rsidRPr="00A07220">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[26]</w:t>
      </w:r>
      <w:r w:rsidRPr="00A07220">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xml:space="preserve">. Therefore, </w:t>
      </w:r>
      <w:r w:rsidRPr="00A07220">
        <w:rPr>
          <w:rFonts w:ascii="Times New Roman" w:eastAsia="Times New Roman" w:hAnsi="Times New Roman" w:cs="Times New Roman"/>
          <w:i/>
          <w:iCs/>
          <w:sz w:val="24"/>
          <w:szCs w:val="24"/>
          <w:lang w:eastAsia="en-GB"/>
        </w:rPr>
        <w:t>η</w:t>
      </w:r>
      <w:r w:rsidRPr="00556067">
        <w:rPr>
          <w:rFonts w:ascii="Times New Roman" w:hAnsi="Times New Roman" w:cs="Times New Roman"/>
          <w:sz w:val="24"/>
          <w:szCs w:val="24"/>
          <w:lang w:eastAsia="en-GB"/>
        </w:rPr>
        <w:t xml:space="preserve"> is an important technology parameter that determines the feasibility of </w:t>
      </w:r>
      <w:r w:rsidRPr="00CE68A4">
        <w:rPr>
          <w:rFonts w:ascii="Times New Roman" w:eastAsia="Times New Roman" w:hAnsi="Times New Roman" w:cs="Times New Roman"/>
          <w:sz w:val="24"/>
          <w:szCs w:val="24"/>
          <w:lang w:eastAsia="en-GB"/>
        </w:rPr>
        <w:t xml:space="preserve">cryogenic-fuelled </w:t>
      </w:r>
      <w:r w:rsidRPr="00044DD7">
        <w:rPr>
          <w:rFonts w:ascii="Times New Roman" w:hAnsi="Times New Roman" w:cs="Times New Roman"/>
          <w:sz w:val="24"/>
          <w:szCs w:val="24"/>
          <w:lang w:eastAsia="en-GB"/>
        </w:rPr>
        <w:t xml:space="preserve">aircraft </w:t>
      </w:r>
      <w:r w:rsidRPr="00A07220">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mendeley":{"formattedCitation":"[100]","plainTextFormattedCitation":"[100]","previouslyFormattedCitation":"[100]"},"properties":{"noteIndex":0},"schema":"https://github.com/citation-style-language/schema/raw/master/csl-citation.json"}</w:instrText>
      </w:r>
      <w:r w:rsidRPr="00A07220">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[100]</w:t>
      </w:r>
      <w:r w:rsidRPr="00A07220">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xml:space="preserve">. </w:t>
      </w:r>
      <w:r w:rsidRPr="00A07220">
        <w:rPr>
          <w:rFonts w:ascii="Times New Roman" w:hAnsi="Times New Roman" w:cs="Times New Roman"/>
          <w:bCs/>
          <w:sz w:val="24"/>
          <w:szCs w:val="24"/>
          <w:lang w:eastAsia="en-GB"/>
        </w:rPr>
        <w:t>Advances in lighter and stronger composite materials have recently shown LH</w:t>
      </w:r>
      <w:r w:rsidRPr="00556067">
        <w:rPr>
          <w:rFonts w:ascii="Times New Roman" w:hAnsi="Times New Roman" w:cs="Times New Roman"/>
          <w:bCs/>
          <w:sz w:val="24"/>
          <w:szCs w:val="24"/>
          <w:vertAlign w:val="subscript"/>
          <w:lang w:eastAsia="en-GB"/>
        </w:rPr>
        <w:t>2</w:t>
      </w:r>
      <w:r w:rsidRPr="00CE68A4">
        <w:rPr>
          <w:rFonts w:ascii="Times New Roman" w:hAnsi="Times New Roman" w:cs="Times New Roman"/>
          <w:bCs/>
          <w:sz w:val="24"/>
          <w:szCs w:val="24"/>
          <w:lang w:eastAsia="en-GB"/>
        </w:rPr>
        <w:t xml:space="preserve"> cryogenic tank </w:t>
      </w:r>
      <w:r w:rsidRPr="00044DD7">
        <w:rPr>
          <w:rFonts w:ascii="Times New Roman" w:hAnsi="Times New Roman" w:cs="Times New Roman"/>
          <w:i/>
          <w:iCs/>
          <w:sz w:val="24"/>
          <w:szCs w:val="24"/>
          <w:lang w:eastAsia="en-GB"/>
        </w:rPr>
        <w:t>η</w:t>
      </w:r>
      <w:r w:rsidRPr="007D699F">
        <w:rPr>
          <w:rFonts w:ascii="Times New Roman" w:hAnsi="Times New Roman" w:cs="Times New Roman"/>
          <w:bCs/>
          <w:sz w:val="24"/>
          <w:szCs w:val="24"/>
          <w:lang w:eastAsia="en-GB"/>
        </w:rPr>
        <w:t xml:space="preserve"> = 0.92 for manufactured tanks </w:t>
      </w:r>
      <w:r w:rsidRPr="00A07220">
        <w:rPr>
          <w:rFonts w:ascii="Times New Roman" w:hAnsi="Times New Roman" w:cs="Times New Roman"/>
          <w:bCs/>
          <w:sz w:val="24"/>
          <w:szCs w:val="24"/>
          <w:lang w:eastAsia="en-GB"/>
        </w:rPr>
        <w:fldChar w:fldCharType="begin" w:fldLock="1"/>
      </w:r>
      <w:r w:rsidR="00C46200">
        <w:rPr>
          <w:rFonts w:ascii="Times New Roman" w:hAnsi="Times New Roman" w:cs="Times New Roman"/>
          <w:bCs/>
          <w:sz w:val="24"/>
          <w:szCs w:val="24"/>
          <w:lang w:eastAsia="en-GB"/>
        </w:rPr>
        <w:instrText>ADDIN CSL_CITATION {"citationItems":[{"id":"ITEM-1","itemData":{"URL":"https://www.futureflight.aero/news-article/2022-03-29/hypoint-extends-hydrogen-flight-range-new-ultralight-fuel-tanks","accessed":{"date-parts":[["2022","7","22"]]},"author":[{"dropping-particle":"","family":"Polek","given":"Gregory","non-dropping-particle":"","parse-names":false,"suffix":""}],"container-title":"FutureFlight","id":"ITEM-1","issued":{"date-parts":[["2022","3","29"]]},"title":"HyPoint Extends Hydrogen Flight Range with New Ultralight Fuel Tanks","type":"webpage"},"uris":["http://www.mendeley.com/documents/?uuid=2eed77c9-1c71-35b5-865e-fd1c549ab016"]}],"mendeley":{"formattedCitation":"[102]","plainTextFormattedCitation":"[102]","previouslyFormattedCitation":"[102]"},"properties":{"noteIndex":0},"schema":"https://github.com/citation-style-language/schema/raw/master/csl-citation.json"}</w:instrText>
      </w:r>
      <w:r w:rsidRPr="00A07220">
        <w:rPr>
          <w:rFonts w:ascii="Times New Roman" w:hAnsi="Times New Roman" w:cs="Times New Roman"/>
          <w:bCs/>
          <w:sz w:val="24"/>
          <w:szCs w:val="24"/>
          <w:lang w:eastAsia="en-GB"/>
        </w:rPr>
        <w:fldChar w:fldCharType="separate"/>
      </w:r>
      <w:r w:rsidR="00801BEA" w:rsidRPr="00801BEA">
        <w:rPr>
          <w:rFonts w:ascii="Times New Roman" w:hAnsi="Times New Roman" w:cs="Times New Roman"/>
          <w:bCs/>
          <w:noProof/>
          <w:sz w:val="24"/>
          <w:szCs w:val="24"/>
          <w:lang w:eastAsia="en-GB"/>
        </w:rPr>
        <w:t>[102]</w:t>
      </w:r>
      <w:r w:rsidRPr="00A07220">
        <w:rPr>
          <w:rFonts w:ascii="Times New Roman" w:hAnsi="Times New Roman" w:cs="Times New Roman"/>
          <w:sz w:val="24"/>
          <w:szCs w:val="24"/>
          <w:lang w:eastAsia="en-GB"/>
        </w:rPr>
        <w:fldChar w:fldCharType="end"/>
      </w:r>
      <w:r w:rsidRPr="002201D7">
        <w:rPr>
          <w:rFonts w:ascii="Times New Roman" w:hAnsi="Times New Roman" w:cs="Times New Roman"/>
          <w:bCs/>
          <w:sz w:val="24"/>
          <w:szCs w:val="24"/>
          <w:lang w:eastAsia="en-GB"/>
        </w:rPr>
        <w:t xml:space="preserve"> (which could improve in future), and that too for a sma</w:t>
      </w:r>
      <w:r w:rsidRPr="00A07220">
        <w:rPr>
          <w:rFonts w:ascii="Times New Roman" w:hAnsi="Times New Roman" w:cs="Times New Roman"/>
          <w:bCs/>
          <w:sz w:val="24"/>
          <w:szCs w:val="24"/>
          <w:lang w:eastAsia="en-GB"/>
        </w:rPr>
        <w:t>ll size tank (dia</w:t>
      </w:r>
      <w:r w:rsidRPr="00556067">
        <w:rPr>
          <w:rFonts w:ascii="Times New Roman" w:hAnsi="Times New Roman" w:cs="Times New Roman"/>
          <w:bCs/>
          <w:sz w:val="24"/>
          <w:szCs w:val="24"/>
          <w:lang w:eastAsia="en-GB"/>
        </w:rPr>
        <w:t xml:space="preserve">meter 1.2 m and length 2.4 m). A study by Sjöberg et al. </w:t>
      </w:r>
      <w:r w:rsidRPr="00556067">
        <w:rPr>
          <w:rFonts w:ascii="Times New Roman" w:hAnsi="Times New Roman" w:cs="Times New Roman"/>
          <w:bCs/>
          <w:sz w:val="24"/>
          <w:szCs w:val="24"/>
          <w:lang w:eastAsia="en-GB"/>
        </w:rPr>
        <w:fldChar w:fldCharType="begin" w:fldLock="1"/>
      </w:r>
      <w:r w:rsidR="00C46200">
        <w:rPr>
          <w:rFonts w:ascii="Times New Roman" w:hAnsi="Times New Roman" w:cs="Times New Roman"/>
          <w:bCs/>
          <w:sz w:val="24"/>
          <w:szCs w:val="24"/>
          <w:lang w:eastAsia="en-GB"/>
        </w:rPr>
        <w:instrText>ADDIN CSL_CITATION {"citationItems":[{"id":"ITEM-1","itemData":{"author":[{"dropping-particle":"","family":"Sjöberg","given":"Jacob","non-dropping-particle":"","parse-names":false,"suffix":""},{"dropping-particle":"","family":"Smith","given":"Joshua","non-dropping-particle":"","parse-names":false,"suffix":""},{"dropping-particle":"","family":"Haglund Nilsson","given":"Olle","non-dropping-particle":"","parse-names":false,"suffix":""},{"dropping-particle":"","family":"Emanuelsson","given":"Per","non-dropping-particle":"","parse-names":false,"suffix":""},{"dropping-particle":"","family":"Otlu","given":"Sena","non-dropping-particle":"","parse-names":false,"suffix":""}],"id":"ITEM-1","issued":{"date-parts":[["2021"]]},"publisher":"Chalmers University of Technology","title":"Liquid Hydrogen Tanks for Low-Emission Aircraft","type":"thesis"},"uris":["http://www.mendeley.com/documents/?uuid=4568efba-61b3-3758-aeec-6192ae5d32d6"]}],"mendeley":{"formattedCitation":"[103]","plainTextFormattedCitation":"[103]","previouslyFormattedCitation":"[103]"},"properties":{"noteIndex":0},"schema":"https://github.com/citation-style-language/schema/raw/master/csl-citation.json"}</w:instrText>
      </w:r>
      <w:r w:rsidRPr="00556067">
        <w:rPr>
          <w:rFonts w:ascii="Times New Roman" w:hAnsi="Times New Roman" w:cs="Times New Roman"/>
          <w:bCs/>
          <w:sz w:val="24"/>
          <w:szCs w:val="24"/>
          <w:lang w:eastAsia="en-GB"/>
        </w:rPr>
        <w:fldChar w:fldCharType="separate"/>
      </w:r>
      <w:r w:rsidR="00801BEA" w:rsidRPr="00801BEA">
        <w:rPr>
          <w:rFonts w:ascii="Times New Roman" w:hAnsi="Times New Roman" w:cs="Times New Roman"/>
          <w:bCs/>
          <w:noProof/>
          <w:sz w:val="24"/>
          <w:szCs w:val="24"/>
          <w:lang w:eastAsia="en-GB"/>
        </w:rPr>
        <w:t>[103]</w:t>
      </w:r>
      <w:r w:rsidRPr="00556067">
        <w:rPr>
          <w:rFonts w:ascii="Times New Roman" w:hAnsi="Times New Roman" w:cs="Times New Roman"/>
          <w:sz w:val="24"/>
          <w:szCs w:val="24"/>
          <w:lang w:eastAsia="en-GB"/>
        </w:rPr>
        <w:fldChar w:fldCharType="end"/>
      </w:r>
      <w:r w:rsidRPr="002201D7">
        <w:rPr>
          <w:rFonts w:ascii="Times New Roman" w:hAnsi="Times New Roman" w:cs="Times New Roman"/>
          <w:bCs/>
          <w:sz w:val="24"/>
          <w:szCs w:val="24"/>
          <w:lang w:eastAsia="en-GB"/>
        </w:rPr>
        <w:t xml:space="preserve"> models a light weight LH</w:t>
      </w:r>
      <w:r w:rsidRPr="00556067">
        <w:rPr>
          <w:rFonts w:ascii="Times New Roman" w:hAnsi="Times New Roman" w:cs="Times New Roman"/>
          <w:bCs/>
          <w:sz w:val="24"/>
          <w:szCs w:val="24"/>
          <w:vertAlign w:val="subscript"/>
          <w:lang w:eastAsia="en-GB"/>
        </w:rPr>
        <w:t>2</w:t>
      </w:r>
      <w:r w:rsidRPr="00556067">
        <w:rPr>
          <w:rFonts w:ascii="Times New Roman" w:hAnsi="Times New Roman" w:cs="Times New Roman"/>
          <w:bCs/>
          <w:sz w:val="24"/>
          <w:szCs w:val="24"/>
          <w:lang w:eastAsia="en-GB"/>
        </w:rPr>
        <w:t xml:space="preserve"> tank (4.7 m length and 3 m diameter) using composite materials with </w:t>
      </w:r>
      <w:r w:rsidRPr="00CE68A4">
        <w:rPr>
          <w:rFonts w:ascii="Times New Roman" w:hAnsi="Times New Roman" w:cs="Times New Roman"/>
          <w:i/>
          <w:iCs/>
          <w:sz w:val="24"/>
          <w:szCs w:val="24"/>
          <w:lang w:eastAsia="en-GB"/>
        </w:rPr>
        <w:t>η</w:t>
      </w:r>
      <w:r w:rsidRPr="00044DD7">
        <w:rPr>
          <w:rFonts w:ascii="Times New Roman" w:hAnsi="Times New Roman" w:cs="Times New Roman"/>
          <w:bCs/>
          <w:sz w:val="24"/>
          <w:szCs w:val="24"/>
          <w:lang w:eastAsia="en-GB"/>
        </w:rPr>
        <w:t xml:space="preserve"> = 0.94 for a full tank, in comparison with metallic tank having </w:t>
      </w:r>
      <w:r w:rsidRPr="007D699F">
        <w:rPr>
          <w:rFonts w:ascii="Times New Roman" w:hAnsi="Times New Roman" w:cs="Times New Roman"/>
          <w:i/>
          <w:iCs/>
          <w:sz w:val="24"/>
          <w:szCs w:val="24"/>
          <w:lang w:eastAsia="en-GB"/>
        </w:rPr>
        <w:t>η</w:t>
      </w:r>
      <w:r w:rsidRPr="007D699F">
        <w:rPr>
          <w:rFonts w:ascii="Times New Roman" w:hAnsi="Times New Roman" w:cs="Times New Roman"/>
          <w:bCs/>
          <w:sz w:val="24"/>
          <w:szCs w:val="24"/>
          <w:lang w:eastAsia="en-GB"/>
        </w:rPr>
        <w:t xml:space="preserve"> = 0.71. </w:t>
      </w:r>
      <w:r w:rsidRPr="007D699F">
        <w:rPr>
          <w:rFonts w:ascii="Times New Roman" w:hAnsi="Times New Roman" w:cs="Times New Roman"/>
          <w:sz w:val="24"/>
          <w:szCs w:val="24"/>
          <w:lang w:eastAsia="en-GB"/>
        </w:rPr>
        <w:t>For the LH</w:t>
      </w:r>
      <w:r w:rsidRPr="007D699F">
        <w:rPr>
          <w:rFonts w:ascii="Times New Roman" w:hAnsi="Times New Roman" w:cs="Times New Roman"/>
          <w:sz w:val="24"/>
          <w:szCs w:val="24"/>
          <w:vertAlign w:val="subscript"/>
          <w:lang w:eastAsia="en-GB"/>
        </w:rPr>
        <w:t>2</w:t>
      </w:r>
      <w:r w:rsidRPr="007D699F">
        <w:rPr>
          <w:rFonts w:ascii="Times New Roman" w:hAnsi="Times New Roman" w:cs="Times New Roman"/>
          <w:sz w:val="24"/>
          <w:szCs w:val="24"/>
          <w:lang w:eastAsia="en-GB"/>
        </w:rPr>
        <w:t xml:space="preserve"> fuel case in the present work, an integral type of cryogenic tank with foam-based insulation is selected in this study. An average value of </w:t>
      </w:r>
      <w:r w:rsidRPr="007D699F">
        <w:rPr>
          <w:rFonts w:ascii="Times New Roman" w:hAnsi="Times New Roman" w:cs="Times New Roman"/>
          <w:i/>
          <w:iCs/>
          <w:sz w:val="24"/>
          <w:szCs w:val="24"/>
          <w:lang w:eastAsia="en-GB"/>
        </w:rPr>
        <w:t>η</w:t>
      </w:r>
      <w:r w:rsidRPr="007D699F">
        <w:rPr>
          <w:rFonts w:ascii="Times New Roman" w:hAnsi="Times New Roman" w:cs="Times New Roman"/>
          <w:sz w:val="24"/>
          <w:szCs w:val="24"/>
          <w:lang w:eastAsia="en-GB"/>
        </w:rPr>
        <w:t xml:space="preserve"> of 0.78 for long-range LH</w:t>
      </w:r>
      <w:r w:rsidRPr="007D699F">
        <w:rPr>
          <w:rFonts w:ascii="Times New Roman" w:hAnsi="Times New Roman" w:cs="Times New Roman"/>
          <w:sz w:val="24"/>
          <w:szCs w:val="24"/>
          <w:vertAlign w:val="subscript"/>
          <w:lang w:eastAsia="en-GB"/>
        </w:rPr>
        <w:t>2</w:t>
      </w:r>
      <w:r w:rsidRPr="007D699F">
        <w:rPr>
          <w:rFonts w:ascii="Times New Roman" w:hAnsi="Times New Roman" w:cs="Times New Roman"/>
          <w:sz w:val="24"/>
          <w:szCs w:val="24"/>
          <w:lang w:eastAsia="en-GB"/>
        </w:rPr>
        <w:t xml:space="preserve"> aircraft is selected with an insulation thickness of 8.1 cm according to the study by Verstraete et al. </w:t>
      </w:r>
      <w:r w:rsidRPr="00556067">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Energy","id":"ITEM-1","issue":"20","issued":{"date-parts":[["2010","10"]]},"page":"11085-11098","title":"Hydrogen fuel tanks for subsonic transport aircraft","type":"article-journal","volume":"35"},"uris":["http://www.mendeley.com/documents/?uuid=2e4f2e04-44b7-30e2-b30e-88be179f6ee3"]}],"mendeley":{"formattedCitation":"[20]","plainTextFormattedCitation":"[20]","previouslyFormattedCitation":"[20]"},"properties":{"noteIndex":0},"schema":"https://github.com/citation-style-language/schema/raw/master/csl-citation.json"}</w:instrText>
      </w:r>
      <w:r w:rsidRPr="00556067">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[20]</w:t>
      </w:r>
      <w:r w:rsidRPr="00556067">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xml:space="preserve">. We acknowledge that there is significant uncertainty in the value of </w:t>
      </w:r>
      <w:r w:rsidRPr="00556067">
        <w:rPr>
          <w:rFonts w:ascii="Times New Roman" w:hAnsi="Times New Roman" w:cs="Times New Roman"/>
          <w:i/>
          <w:iCs/>
          <w:sz w:val="24"/>
          <w:szCs w:val="24"/>
          <w:lang w:eastAsia="en-GB"/>
        </w:rPr>
        <w:t>η</w:t>
      </w:r>
      <w:r w:rsidRPr="00556067">
        <w:rPr>
          <w:rFonts w:ascii="Times New Roman" w:hAnsi="Times New Roman" w:cs="Times New Roman"/>
          <w:sz w:val="24"/>
          <w:szCs w:val="24"/>
          <w:lang w:eastAsia="en-GB"/>
        </w:rPr>
        <w:t>;</w:t>
      </w:r>
      <w:r w:rsidRPr="00CE68A4">
        <w:rPr>
          <w:rFonts w:ascii="Times New Roman" w:hAnsi="Times New Roman" w:cs="Times New Roman"/>
          <w:i/>
          <w:iCs/>
          <w:sz w:val="24"/>
          <w:szCs w:val="24"/>
          <w:lang w:eastAsia="en-GB"/>
        </w:rPr>
        <w:t xml:space="preserve"> </w:t>
      </w:r>
      <w:r w:rsidRPr="00044DD7">
        <w:rPr>
          <w:rFonts w:ascii="Times New Roman" w:hAnsi="Times New Roman" w:cs="Times New Roman"/>
          <w:sz w:val="24"/>
          <w:szCs w:val="24"/>
          <w:lang w:eastAsia="en-GB"/>
        </w:rPr>
        <w:t>for example, foam based integral tanks are known to have higher </w:t>
      </w:r>
      <w:r w:rsidRPr="007D699F">
        <w:rPr>
          <w:rFonts w:ascii="Times New Roman" w:hAnsi="Times New Roman" w:cs="Times New Roman"/>
          <w:i/>
          <w:iCs/>
          <w:sz w:val="24"/>
          <w:szCs w:val="24"/>
          <w:lang w:eastAsia="en-GB"/>
        </w:rPr>
        <w:t>η</w:t>
      </w:r>
      <w:r w:rsidRPr="007D699F">
        <w:rPr>
          <w:rFonts w:ascii="Times New Roman" w:hAnsi="Times New Roman" w:cs="Times New Roman"/>
          <w:sz w:val="24"/>
          <w:szCs w:val="24"/>
          <w:lang w:eastAsia="en-GB"/>
        </w:rPr>
        <w:t> compared to other tank types, especially for larger tank volumes (on the order of 75%) </w:t>
      </w:r>
      <w:r w:rsidRPr="00556067">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Energy","id":"ITEM-1","issue":"20","issued":{"date-parts":[["2010","10"]]},"page":"11085-11098","title":"Hydrogen fuel tanks for subsonic transport aircraft","type":"article-journal","volume":"35"},"uris":["http://www.mendeley.com/documents/?uuid=2e4f2e04-44b7-30e2-b30e-88be179f6ee3"]}],"mendeley":{"formattedCitation":"[20]","plainTextFormattedCitation":"[20]","previouslyFormattedCitation":"[20]"},"properties":{"noteIndex":0},"schema":"https://github.com/citation-style-language/schema/raw/master/csl-citation.json"}</w:instrText>
      </w:r>
      <w:r w:rsidRPr="00556067">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[20]</w:t>
      </w:r>
      <w:r w:rsidRPr="00556067">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xml:space="preserve">, whereas a value of </w:t>
      </w:r>
      <w:r w:rsidRPr="00556067">
        <w:rPr>
          <w:rFonts w:ascii="Times New Roman" w:hAnsi="Times New Roman" w:cs="Times New Roman"/>
          <w:i/>
          <w:iCs/>
          <w:sz w:val="24"/>
          <w:szCs w:val="24"/>
          <w:lang w:eastAsia="en-GB"/>
        </w:rPr>
        <w:t>η</w:t>
      </w:r>
      <w:r w:rsidRPr="00556067">
        <w:rPr>
          <w:rFonts w:ascii="Times New Roman" w:hAnsi="Times New Roman" w:cs="Times New Roman"/>
          <w:sz w:val="24"/>
          <w:szCs w:val="24"/>
          <w:lang w:eastAsia="en-GB"/>
        </w:rPr>
        <w:t> = 0.38 was assumed to represent a double-wall evacuated tank with mu</w:t>
      </w:r>
      <w:r w:rsidRPr="00CE68A4">
        <w:rPr>
          <w:rFonts w:ascii="Times New Roman" w:hAnsi="Times New Roman" w:cs="Times New Roman"/>
          <w:sz w:val="24"/>
          <w:szCs w:val="24"/>
          <w:lang w:eastAsia="en-GB"/>
        </w:rPr>
        <w:t>lti-layer insulation for a large long-range aircraft by the Clean Sky 2 - Fuel Cells and Hydrogen (FCH) joint project </w:t>
      </w:r>
      <w:r w:rsidRPr="00556067">
        <w:rPr>
          <w:rFonts w:ascii="Times New Roman" w:eastAsia="Times New Roman" w:hAnsi="Times New Roman" w:cs="Times New Roman"/>
          <w:sz w:val="24"/>
          <w:szCs w:val="24"/>
          <w:lang w:eastAsia="en-GB"/>
        </w:rPr>
        <w:fldChar w:fldCharType="begin" w:fldLock="1"/>
      </w:r>
      <w:r w:rsidR="00C46200">
        <w:rPr>
          <w:rFonts w:ascii="Times New Roman" w:eastAsia="Times New Roman" w:hAnsi="Times New Roman" w:cs="Times New Roman"/>
          <w:sz w:val="24"/>
          <w:szCs w:val="24"/>
          <w:lang w:eastAsia="en-GB"/>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id":"ITEM-2","itemData":{"author":[{"dropping-particle":"","family":"Air-Liquide","given":"","non-dropping-particle":"","parse-names":false,"suffix":""}],"container-title":"FCH - CleanSky joint workshop","id":"ITEM-2","issued":{"date-parts":[["2015"]]},"title":"Hydrogen storage on board aeronef and ground infrastructure : Air Liquide Advanced Technologies-Workshop on aeronautical applications of fuel cell and hydrogen technologies","type":"webpage"},"uris":["http://www.mendeley.com/documents/?uuid=466cdc68-dd65-3f80-9a35-69825a72e3ac"]}],"mendeley":{"formattedCitation":"[100], [104]","plainTextFormattedCitation":"[100], [104]","previouslyFormattedCitation":"[100], [104]"},"properties":{"noteIndex":0},"schema":"https://github.com/citation-style-language/schema/raw/master/csl-citation.json"}</w:instrText>
      </w:r>
      <w:r w:rsidRPr="00556067">
        <w:rPr>
          <w:rFonts w:ascii="Times New Roman" w:eastAsia="Times New Roman" w:hAnsi="Times New Roman" w:cs="Times New Roman"/>
          <w:sz w:val="24"/>
          <w:szCs w:val="24"/>
          <w:lang w:eastAsia="en-GB"/>
        </w:rPr>
        <w:fldChar w:fldCharType="separate"/>
      </w:r>
      <w:r w:rsidR="00801BEA" w:rsidRPr="00801BEA">
        <w:rPr>
          <w:rFonts w:ascii="Times New Roman" w:eastAsia="Times New Roman" w:hAnsi="Times New Roman" w:cs="Times New Roman"/>
          <w:noProof/>
          <w:sz w:val="24"/>
          <w:szCs w:val="24"/>
          <w:lang w:eastAsia="en-GB"/>
        </w:rPr>
        <w:t>[100], [104]</w:t>
      </w:r>
      <w:r w:rsidRPr="00556067">
        <w:rPr>
          <w:rFonts w:ascii="Times New Roman" w:eastAsia="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xml:space="preserve">. In this study, we use an optimistic value and will explore the sensitivity due to this uncertainty in future work. For LNG, two cases are analysed, where the fuel tank is integral to the fuselage structure. The first LNG case uses a hypothetical value of </w:t>
      </w:r>
      <w:r w:rsidRPr="00556067">
        <w:rPr>
          <w:rFonts w:ascii="Times New Roman" w:hAnsi="Times New Roman" w:cs="Times New Roman"/>
          <w:i/>
          <w:iCs/>
          <w:sz w:val="24"/>
          <w:szCs w:val="24"/>
          <w:lang w:eastAsia="en-GB"/>
        </w:rPr>
        <w:t>η</w:t>
      </w:r>
      <w:r w:rsidRPr="00556067">
        <w:rPr>
          <w:rFonts w:ascii="Times New Roman" w:hAnsi="Times New Roman" w:cs="Times New Roman"/>
          <w:sz w:val="24"/>
          <w:szCs w:val="24"/>
          <w:lang w:eastAsia="en-GB"/>
        </w:rPr>
        <w:t xml:space="preserve"> = 0.78, like LH</w:t>
      </w:r>
      <w:r w:rsidRPr="00CE68A4">
        <w:rPr>
          <w:rFonts w:ascii="Times New Roman" w:hAnsi="Times New Roman" w:cs="Times New Roman"/>
          <w:sz w:val="24"/>
          <w:szCs w:val="24"/>
          <w:vertAlign w:val="subscript"/>
          <w:lang w:eastAsia="en-GB"/>
        </w:rPr>
        <w:t>2</w:t>
      </w:r>
      <w:r w:rsidRPr="00044DD7">
        <w:rPr>
          <w:rFonts w:ascii="Times New Roman" w:hAnsi="Times New Roman" w:cs="Times New Roman"/>
          <w:sz w:val="24"/>
          <w:szCs w:val="24"/>
          <w:lang w:eastAsia="en-GB"/>
        </w:rPr>
        <w:t xml:space="preserve"> case. In the second LNG case, a present-day (best) value of </w:t>
      </w:r>
      <w:r w:rsidRPr="007D699F">
        <w:rPr>
          <w:rFonts w:ascii="Times New Roman" w:hAnsi="Times New Roman" w:cs="Times New Roman"/>
          <w:i/>
          <w:iCs/>
          <w:sz w:val="24"/>
          <w:szCs w:val="24"/>
          <w:lang w:eastAsia="en-GB"/>
        </w:rPr>
        <w:t>η</w:t>
      </w:r>
      <w:r w:rsidRPr="007D699F">
        <w:rPr>
          <w:rFonts w:ascii="Times New Roman" w:hAnsi="Times New Roman" w:cs="Times New Roman"/>
          <w:sz w:val="24"/>
          <w:szCs w:val="24"/>
          <w:lang w:eastAsia="en-GB"/>
        </w:rPr>
        <w:t xml:space="preserve"> = 0.63 is used, which is similar to the values used in transportation of LNG fuel via trucks </w:t>
      </w:r>
      <w:r w:rsidRPr="002201D7">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URL":"https://wessingtoncryogenics.com/products/liquefied-natural-gas-containers/iso-vac-40-lng/","accessed":{"date-parts":[["2021","9","15"]]},"author":[{"dropping-particle":"","family":"Wessington-Cryogenics","given":"","non-dropping-particle":"","parse-names":false,"suffix":""}],"container-title":"Wessington Cryogenics","id":"ITEM-1","issued":{"date-parts":[["2020"]]},"title":"ISO VAC 40 LNG : 40 ft LNG Iso Container","type":"webpage"},"uris":["http://www.mendeley.com/documents/?uuid=c582b195-8009-3b4a-842d-c84f0e58c387"]}],"mendeley":{"formattedCitation":"[105]","plainTextFormattedCitation":"[105]","previouslyFormattedCitation":"[105]"},"properties":{"noteIndex":0},"schema":"https://github.com/citation-style-language/schema/raw/master/csl-citation.json"}</w:instrText>
      </w:r>
      <w:r w:rsidRPr="002201D7">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[105]</w:t>
      </w:r>
      <w:r w:rsidRPr="002201D7">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For LNH</w:t>
      </w:r>
      <w:r w:rsidRPr="002201D7">
        <w:rPr>
          <w:rFonts w:ascii="Times New Roman" w:hAnsi="Times New Roman" w:cs="Times New Roman"/>
          <w:sz w:val="24"/>
          <w:szCs w:val="24"/>
          <w:vertAlign w:val="subscript"/>
          <w:lang w:eastAsia="en-GB"/>
        </w:rPr>
        <w:t>3</w:t>
      </w:r>
      <w:r w:rsidRPr="00556067">
        <w:rPr>
          <w:rFonts w:ascii="Times New Roman" w:hAnsi="Times New Roman" w:cs="Times New Roman"/>
          <w:sz w:val="24"/>
          <w:szCs w:val="24"/>
          <w:lang w:eastAsia="en-GB"/>
        </w:rPr>
        <w:t xml:space="preserve">, the fuel the tank is assumed to be integral to the fuselage structure. The weight of cryogenic tank (assumed to be made of steel) is a quarter of the weight of required fuel (or </w:t>
      </w:r>
      <w:r w:rsidRPr="00CE68A4">
        <w:rPr>
          <w:rFonts w:ascii="Times New Roman" w:hAnsi="Times New Roman" w:cs="Times New Roman"/>
          <w:i/>
          <w:iCs/>
          <w:sz w:val="24"/>
          <w:szCs w:val="24"/>
          <w:lang w:eastAsia="en-GB"/>
        </w:rPr>
        <w:t>η</w:t>
      </w:r>
      <w:r w:rsidRPr="00044DD7">
        <w:rPr>
          <w:rFonts w:ascii="Times New Roman" w:hAnsi="Times New Roman" w:cs="Times New Roman"/>
          <w:sz w:val="24"/>
          <w:szCs w:val="24"/>
          <w:lang w:eastAsia="en-GB"/>
        </w:rPr>
        <w:t xml:space="preserve"> = 0.8) as a thumb rule according to Dincer et al. </w:t>
      </w:r>
      <w:r w:rsidRPr="002201D7">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URL":"https://books.google.co.uk/books/about/Sustainable_Hydrogen_Production.html?id=c7h0BgAAQBAJ&amp;redir_esc=y","accessed":{"date-parts":[["2020","8","28"]]},"author":[{"dropping-particle":"","family":"Dincer","given":"Ibrahim","non-dropping-particle":"","parse-names":false,"suffix":""},{"dropping-particle":"","family":"Zamfirescu","given":"Calin","non-dropping-particle":"","parse-names":false,"suffix":""}],"container-title":"Elsevier","id":"ITEM-1","issued":{"date-parts":[["2016"]]},"title":"Sustainable Hydrogen Production","type":"webpage"},"uris":["http://www.mendeley.com/documents/?uuid=4a200c52-31dd-3c58-af36-29977d88a66f"]}],"mendeley":{"formattedCitation":"[106]","plainTextFormattedCitation":"[106]","previouslyFormattedCitation":"[106]"},"properties":{"noteIndex":0},"schema":"https://github.com/citation-style-language/schema/raw/master/csl-citation.json"}</w:instrText>
      </w:r>
      <w:r w:rsidRPr="002201D7">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[106]</w:t>
      </w:r>
      <w:r w:rsidRPr="002201D7">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xml:space="preserve">. To calculate the tank internal volume, with the </w:t>
      </w:r>
      <w:r w:rsidRPr="002201D7">
        <w:rPr>
          <w:rFonts w:ascii="Times New Roman" w:hAnsi="Times New Roman" w:cs="Times New Roman"/>
          <w:sz w:val="24"/>
          <w:szCs w:val="24"/>
          <w:lang w:eastAsia="en-GB"/>
        </w:rPr>
        <w:lastRenderedPageBreak/>
        <w:t>outer diameter constrained by the fuselage diameter, we assume that the insulation thickness of 8.1 cm that we use for the LH</w:t>
      </w:r>
      <w:r w:rsidRPr="00556067">
        <w:rPr>
          <w:rFonts w:ascii="Times New Roman" w:hAnsi="Times New Roman" w:cs="Times New Roman"/>
          <w:sz w:val="24"/>
          <w:szCs w:val="24"/>
          <w:vertAlign w:val="subscript"/>
          <w:lang w:eastAsia="en-GB"/>
        </w:rPr>
        <w:t>2</w:t>
      </w:r>
      <w:r w:rsidRPr="00556067">
        <w:rPr>
          <w:rFonts w:ascii="Times New Roman" w:hAnsi="Times New Roman" w:cs="Times New Roman"/>
          <w:sz w:val="24"/>
          <w:szCs w:val="24"/>
          <w:lang w:eastAsia="en-GB"/>
        </w:rPr>
        <w:t xml:space="preserve"> case </w:t>
      </w:r>
      <w:r w:rsidRPr="002201D7">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Energy","id":"ITEM-1","issue":"20","issued":{"date-parts":[["2010","10"]]},"page":"11085-11098","title":"Hydrogen fuel tanks for subsonic transport aircraft","type":"article-journal","volume":"35"},"uris":["http://www.mendeley.com/documents/?uuid=2e4f2e04-44b7-30e2-b30e-88be179f6ee3"]}],"mendeley":{"formattedCitation":"[20]","plainTextFormattedCitation":"[20]","previouslyFormattedCitation":"[20]"},"properties":{"noteIndex":0},"schema":"https://github.com/citation-style-language/schema/raw/master/csl-citation.json"}</w:instrText>
      </w:r>
      <w:r w:rsidRPr="002201D7">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[20]</w:t>
      </w:r>
      <w:r w:rsidRPr="002201D7">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xml:space="preserve"> is also applicable to the LNH</w:t>
      </w:r>
      <w:r w:rsidRPr="002201D7">
        <w:rPr>
          <w:rFonts w:ascii="Times New Roman" w:hAnsi="Times New Roman" w:cs="Times New Roman"/>
          <w:sz w:val="24"/>
          <w:szCs w:val="24"/>
          <w:vertAlign w:val="subscript"/>
          <w:lang w:eastAsia="en-GB"/>
        </w:rPr>
        <w:t>3</w:t>
      </w:r>
      <w:r w:rsidRPr="00556067">
        <w:rPr>
          <w:rFonts w:ascii="Times New Roman" w:hAnsi="Times New Roman" w:cs="Times New Roman"/>
          <w:sz w:val="24"/>
          <w:szCs w:val="24"/>
          <w:lang w:eastAsia="en-GB"/>
        </w:rPr>
        <w:t xml:space="preserve"> and LNG cases.</w:t>
      </w:r>
    </w:p>
    <w:p w14:paraId="0EDE04F8" w14:textId="27F85FCE" w:rsidR="00F62F6B" w:rsidRPr="007D699F" w:rsidRDefault="00F62F6B" w:rsidP="00F62F6B">
      <w:pPr>
        <w:spacing w:line="480" w:lineRule="auto"/>
        <w:ind w:firstLine="720"/>
        <w:jc w:val="both"/>
        <w:rPr>
          <w:rFonts w:ascii="Times New Roman" w:hAnsi="Times New Roman" w:cs="Times New Roman"/>
          <w:sz w:val="24"/>
          <w:szCs w:val="24"/>
          <w:lang w:eastAsia="en-GB"/>
        </w:rPr>
      </w:pPr>
      <w:r w:rsidRPr="007D699F">
        <w:rPr>
          <w:rFonts w:ascii="Times New Roman" w:hAnsi="Times New Roman" w:cs="Times New Roman"/>
          <w:sz w:val="24"/>
          <w:szCs w:val="24"/>
          <w:lang w:eastAsia="en-GB"/>
        </w:rPr>
        <w:t>For all three cryogenic fuels (LH</w:t>
      </w:r>
      <w:r w:rsidRPr="007D699F">
        <w:rPr>
          <w:rFonts w:ascii="Times New Roman" w:hAnsi="Times New Roman" w:cs="Times New Roman"/>
          <w:sz w:val="24"/>
          <w:szCs w:val="24"/>
          <w:vertAlign w:val="subscript"/>
          <w:lang w:eastAsia="en-GB"/>
        </w:rPr>
        <w:t>2</w:t>
      </w:r>
      <w:r w:rsidRPr="007D699F">
        <w:rPr>
          <w:rFonts w:ascii="Times New Roman" w:hAnsi="Times New Roman" w:cs="Times New Roman"/>
          <w:sz w:val="24"/>
          <w:szCs w:val="24"/>
          <w:lang w:eastAsia="en-GB"/>
        </w:rPr>
        <w:t>, LNG and LNH</w:t>
      </w:r>
      <w:r w:rsidRPr="007D699F">
        <w:rPr>
          <w:rFonts w:ascii="Times New Roman" w:hAnsi="Times New Roman" w:cs="Times New Roman"/>
          <w:sz w:val="24"/>
          <w:szCs w:val="24"/>
          <w:vertAlign w:val="subscript"/>
          <w:lang w:eastAsia="en-GB"/>
        </w:rPr>
        <w:t>3</w:t>
      </w:r>
      <w:r w:rsidRPr="007D699F">
        <w:rPr>
          <w:rFonts w:ascii="Times New Roman" w:hAnsi="Times New Roman" w:cs="Times New Roman"/>
          <w:sz w:val="24"/>
          <w:szCs w:val="24"/>
          <w:lang w:eastAsia="en-GB"/>
        </w:rPr>
        <w:t xml:space="preserve">) to be installed in the fuselage, a structural support weight for the integral cryogenic tanks is added which is 6% of the fuselage weight according to the study by Verstraete et al. </w:t>
      </w:r>
      <w:r w:rsidRPr="002201D7">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Energy","id":"ITEM-1","issue":"20","issued":{"date-parts":[["2010","10"]]},"page":"11085-11098","title":"Hydrogen fuel tanks for subsonic transport aircraft","type":"article-journal","volume":"35"},"uris":["http://www.mendeley.com/documents/?uuid=2e4f2e04-44b7-30e2-b30e-88be179f6ee3"]}],"mendeley":{"formattedCitation":"[20]","plainTextFormattedCitation":"[20]","previouslyFormattedCitation":"[20]"},"properties":{"noteIndex":0},"schema":"https://github.com/citation-style-language/schema/raw/master/csl-citation.json"}</w:instrText>
      </w:r>
      <w:r w:rsidRPr="002201D7">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[20]</w:t>
      </w:r>
      <w:r w:rsidRPr="002201D7">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While this weight penalty was defined for a LH</w:t>
      </w:r>
      <w:r w:rsidRPr="00556067">
        <w:rPr>
          <w:rFonts w:ascii="Times New Roman" w:hAnsi="Times New Roman" w:cs="Times New Roman"/>
          <w:sz w:val="24"/>
          <w:szCs w:val="24"/>
          <w:vertAlign w:val="subscript"/>
          <w:lang w:eastAsia="en-GB"/>
        </w:rPr>
        <w:t>2</w:t>
      </w:r>
      <w:r w:rsidRPr="00556067">
        <w:rPr>
          <w:rFonts w:ascii="Times New Roman" w:hAnsi="Times New Roman" w:cs="Times New Roman"/>
          <w:sz w:val="24"/>
          <w:szCs w:val="24"/>
          <w:lang w:eastAsia="en-GB"/>
        </w:rPr>
        <w:t xml:space="preserve"> aircraft, we assume that the same penalty applies to both LNG and LNH</w:t>
      </w:r>
      <w:r w:rsidRPr="00CE68A4">
        <w:rPr>
          <w:rFonts w:ascii="Times New Roman" w:hAnsi="Times New Roman" w:cs="Times New Roman"/>
          <w:sz w:val="24"/>
          <w:szCs w:val="24"/>
          <w:vertAlign w:val="subscript"/>
          <w:lang w:eastAsia="en-GB"/>
        </w:rPr>
        <w:t xml:space="preserve">3 </w:t>
      </w:r>
      <w:r w:rsidRPr="00CE68A4">
        <w:rPr>
          <w:rFonts w:ascii="Times New Roman" w:hAnsi="Times New Roman" w:cs="Times New Roman"/>
          <w:sz w:val="24"/>
          <w:szCs w:val="24"/>
          <w:lang w:eastAsia="en-GB"/>
        </w:rPr>
        <w:t>aircraft since there are less published stu</w:t>
      </w:r>
      <w:r w:rsidRPr="00044DD7">
        <w:rPr>
          <w:rFonts w:ascii="Times New Roman" w:hAnsi="Times New Roman" w:cs="Times New Roman"/>
          <w:sz w:val="24"/>
          <w:szCs w:val="24"/>
          <w:lang w:eastAsia="en-GB"/>
        </w:rPr>
        <w:t xml:space="preserve">dies on these fuels. Therefore, the OEW calculation for cryogenic fuels is,  </w:t>
      </w:r>
    </w:p>
    <w:tbl>
      <w:tblPr>
        <w:tblStyle w:val="TableGrid"/>
        <w:tblW w:w="9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9"/>
        <w:gridCol w:w="956"/>
      </w:tblGrid>
      <w:tr w:rsidR="00F62F6B" w:rsidRPr="007D699F" w14:paraId="2421B08A" w14:textId="77777777" w:rsidTr="00872636">
        <w:trPr>
          <w:trHeight w:val="2209"/>
        </w:trPr>
        <w:tc>
          <w:tcPr>
            <w:tcW w:w="8209" w:type="dxa"/>
            <w:vAlign w:val="center"/>
            <w:hideMark/>
          </w:tcPr>
          <w:p w14:paraId="76715457" w14:textId="77777777" w:rsidR="00F62F6B" w:rsidRPr="00CE68A4" w:rsidRDefault="00000000" w:rsidP="006C247F">
            <w:pPr>
              <w:spacing w:after="240" w:line="480" w:lineRule="auto"/>
              <w:rPr>
                <w:rFonts w:ascii="Times New Roman" w:hAnsi="Times New Roman" w:cs="Times New Roman"/>
                <w:sz w:val="24"/>
                <w:szCs w:val="24"/>
                <w:lang w:eastAsia="en-GB"/>
              </w:rPr>
            </w:pPr>
            <m:oMathPara>
              <m:oMathParaPr>
                <m:jc m:val="left"/>
              </m:oMathParaPr>
              <m:oMath>
                <m:sSub>
                  <m:sSubPr>
                    <m:ctrlPr>
                      <w:rPr>
                        <w:rFonts w:ascii="Cambria Math" w:hAnsi="Cambria Math" w:cs="Times New Roman"/>
                        <w:iCs/>
                        <w:sz w:val="24"/>
                        <w:szCs w:val="24"/>
                        <w:lang w:eastAsia="en-GB"/>
                      </w:rPr>
                    </m:ctrlPr>
                  </m:sSubPr>
                  <m:e>
                    <m:r>
                      <m:rPr>
                        <m:sty m:val="p"/>
                      </m:rPr>
                      <w:rPr>
                        <w:rFonts w:ascii="Cambria Math" w:hAnsi="Cambria Math" w:cs="Times New Roman"/>
                        <w:sz w:val="24"/>
                        <w:szCs w:val="24"/>
                        <w:lang w:eastAsia="en-GB"/>
                      </w:rPr>
                      <m:t>OEW</m:t>
                    </m:r>
                  </m:e>
                  <m:sub>
                    <m:r>
                      <m:rPr>
                        <m:sty m:val="p"/>
                      </m:rPr>
                      <w:rPr>
                        <w:rFonts w:ascii="Cambria Math" w:hAnsi="Cambria Math" w:cs="Times New Roman"/>
                        <w:sz w:val="24"/>
                        <w:szCs w:val="24"/>
                        <w:lang w:eastAsia="en-GB"/>
                      </w:rPr>
                      <m:t>cryogenic</m:t>
                    </m:r>
                  </m:sub>
                </m:sSub>
                <m:r>
                  <w:rPr>
                    <w:rFonts w:ascii="Cambria Math" w:hAnsi="Cambria Math" w:cs="Times New Roman"/>
                    <w:sz w:val="24"/>
                    <w:szCs w:val="24"/>
                    <w:lang w:eastAsia="en-GB"/>
                  </w:rPr>
                  <m:t>=</m:t>
                </m:r>
                <m:sSub>
                  <m:sSubPr>
                    <m:ctrlPr>
                      <w:rPr>
                        <w:rFonts w:ascii="Cambria Math" w:hAnsi="Cambria Math" w:cs="Times New Roman"/>
                        <w:iCs/>
                        <w:sz w:val="24"/>
                        <w:szCs w:val="24"/>
                        <w:lang w:eastAsia="en-GB"/>
                      </w:rPr>
                    </m:ctrlPr>
                  </m:sSubPr>
                  <m:e>
                    <m:r>
                      <m:rPr>
                        <m:sty m:val="p"/>
                      </m:rPr>
                      <w:rPr>
                        <w:rFonts w:ascii="Cambria Math" w:hAnsi="Cambria Math" w:cs="Times New Roman"/>
                        <w:sz w:val="24"/>
                        <w:szCs w:val="24"/>
                        <w:lang w:eastAsia="en-GB"/>
                      </w:rPr>
                      <m:t>OEW</m:t>
                    </m:r>
                  </m:e>
                  <m:sub>
                    <m:r>
                      <m:rPr>
                        <m:sty m:val="p"/>
                      </m:rPr>
                      <w:rPr>
                        <w:rFonts w:ascii="Cambria Math" w:hAnsi="Cambria Math" w:cs="Times New Roman"/>
                        <w:sz w:val="24"/>
                        <w:szCs w:val="24"/>
                        <w:lang w:eastAsia="en-GB"/>
                      </w:rPr>
                      <m:t>baseline</m:t>
                    </m:r>
                  </m:sub>
                </m:sSub>
                <m:r>
                  <w:rPr>
                    <w:rFonts w:ascii="Cambria Math" w:hAnsi="Cambria Math" w:cs="Times New Roman"/>
                    <w:sz w:val="24"/>
                    <w:szCs w:val="24"/>
                    <w:lang w:eastAsia="en-GB"/>
                  </w:rPr>
                  <m:t xml:space="preserve"> </m:t>
                </m:r>
                <m:d>
                  <m:dPr>
                    <m:ctrlPr>
                      <w:rPr>
                        <w:rFonts w:ascii="Cambria Math" w:hAnsi="Cambria Math" w:cs="Times New Roman"/>
                        <w:i/>
                        <w:sz w:val="24"/>
                        <w:szCs w:val="24"/>
                        <w:lang w:eastAsia="en-GB"/>
                      </w:rPr>
                    </m:ctrlPr>
                  </m:dPr>
                  <m:e>
                    <m:r>
                      <w:rPr>
                        <w:rFonts w:ascii="Cambria Math" w:hAnsi="Cambria Math" w:cs="Times New Roman"/>
                        <w:sz w:val="24"/>
                        <w:szCs w:val="24"/>
                        <w:lang w:eastAsia="en-GB"/>
                      </w:rPr>
                      <m:t>1-ω</m:t>
                    </m:r>
                  </m:e>
                </m:d>
                <m:r>
                  <w:rPr>
                    <w:rFonts w:ascii="Cambria Math" w:hAnsi="Cambria Math" w:cs="Times New Roman"/>
                    <w:sz w:val="24"/>
                    <w:szCs w:val="24"/>
                    <w:lang w:eastAsia="en-GB"/>
                  </w:rPr>
                  <m:t>+</m:t>
                </m:r>
                <m:f>
                  <m:fPr>
                    <m:ctrlPr>
                      <w:rPr>
                        <w:rFonts w:ascii="Cambria Math" w:hAnsi="Cambria Math" w:cs="Times New Roman"/>
                        <w:i/>
                        <w:sz w:val="24"/>
                        <w:szCs w:val="24"/>
                        <w:lang w:eastAsia="en-GB"/>
                      </w:rPr>
                    </m:ctrlPr>
                  </m:fPr>
                  <m:num>
                    <m:d>
                      <m:dPr>
                        <m:ctrlPr>
                          <w:rPr>
                            <w:rFonts w:ascii="Cambria Math" w:hAnsi="Cambria Math" w:cs="Times New Roman"/>
                            <w:i/>
                            <w:sz w:val="24"/>
                            <w:szCs w:val="24"/>
                            <w:lang w:eastAsia="en-GB"/>
                          </w:rPr>
                        </m:ctrlPr>
                      </m:dPr>
                      <m:e>
                        <m:r>
                          <w:rPr>
                            <w:rFonts w:ascii="Cambria Math" w:hAnsi="Cambria Math" w:cs="Times New Roman"/>
                            <w:sz w:val="24"/>
                            <w:szCs w:val="24"/>
                            <w:lang w:eastAsia="en-GB"/>
                          </w:rPr>
                          <m:t>1-η</m:t>
                        </m:r>
                      </m:e>
                    </m:d>
                    <m:r>
                      <w:rPr>
                        <w:rFonts w:ascii="Cambria Math" w:hAnsi="Cambria Math" w:cs="Times New Roman"/>
                        <w:sz w:val="24"/>
                        <w:szCs w:val="24"/>
                        <w:lang w:eastAsia="en-GB"/>
                      </w:rPr>
                      <m:t xml:space="preserve">  </m:t>
                    </m:r>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W</m:t>
                        </m:r>
                      </m:e>
                      <m:sub>
                        <m:r>
                          <m:rPr>
                            <m:sty m:val="p"/>
                          </m:rPr>
                          <w:rPr>
                            <w:rFonts w:ascii="Cambria Math" w:hAnsi="Cambria Math" w:cs="Times New Roman"/>
                            <w:sz w:val="24"/>
                            <w:szCs w:val="24"/>
                            <w:lang w:eastAsia="en-GB"/>
                          </w:rPr>
                          <m:t>F,total,cryogenic</m:t>
                        </m:r>
                      </m:sub>
                    </m:sSub>
                  </m:num>
                  <m:den>
                    <m:r>
                      <w:rPr>
                        <w:rFonts w:ascii="Cambria Math" w:hAnsi="Cambria Math" w:cs="Times New Roman"/>
                        <w:sz w:val="24"/>
                        <w:szCs w:val="24"/>
                        <w:lang w:eastAsia="en-GB"/>
                      </w:rPr>
                      <m:t>η</m:t>
                    </m:r>
                  </m:den>
                </m:f>
                <m:r>
                  <w:rPr>
                    <w:rFonts w:ascii="Cambria Math" w:hAnsi="Cambria Math" w:cs="Times New Roman"/>
                    <w:sz w:val="24"/>
                    <w:szCs w:val="24"/>
                    <w:lang w:eastAsia="en-GB"/>
                  </w:rPr>
                  <m:t xml:space="preserve">+0.06 </m:t>
                </m:r>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W</m:t>
                    </m:r>
                  </m:e>
                  <m:sub>
                    <m:r>
                      <m:rPr>
                        <m:sty m:val="p"/>
                      </m:rPr>
                      <w:rPr>
                        <w:rFonts w:ascii="Cambria Math" w:hAnsi="Cambria Math" w:cs="Times New Roman"/>
                        <w:sz w:val="24"/>
                        <w:szCs w:val="24"/>
                        <w:lang w:eastAsia="en-GB"/>
                      </w:rPr>
                      <m:t>Fuselage,baseline</m:t>
                    </m:r>
                  </m:sub>
                </m:sSub>
                <m:r>
                  <w:rPr>
                    <w:rFonts w:ascii="Cambria Math" w:hAnsi="Cambria Math" w:cs="Times New Roman"/>
                    <w:sz w:val="24"/>
                    <w:szCs w:val="24"/>
                    <w:lang w:eastAsia="en-GB"/>
                  </w:rPr>
                  <m:t>(1-ω)+</m:t>
                </m:r>
                <m:d>
                  <m:dPr>
                    <m:ctrlPr>
                      <w:rPr>
                        <w:rFonts w:ascii="Cambria Math" w:hAnsi="Cambria Math" w:cs="Times New Roman"/>
                        <w:i/>
                        <w:sz w:val="24"/>
                        <w:szCs w:val="24"/>
                        <w:lang w:eastAsia="en-GB"/>
                      </w:rPr>
                    </m:ctrlPr>
                  </m:dPr>
                  <m:e>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W</m:t>
                        </m:r>
                      </m:e>
                      <m:sub>
                        <m:r>
                          <m:rPr>
                            <m:sty m:val="p"/>
                          </m:rPr>
                          <w:rPr>
                            <w:rFonts w:ascii="Cambria Math" w:hAnsi="Cambria Math" w:cs="Times New Roman"/>
                            <w:sz w:val="24"/>
                            <w:szCs w:val="24"/>
                            <w:lang w:eastAsia="en-GB"/>
                          </w:rPr>
                          <m:t>Fuselage,cryogenic</m:t>
                        </m:r>
                      </m:sub>
                    </m:sSub>
                    <m:r>
                      <w:rPr>
                        <w:rFonts w:ascii="Cambria Math" w:hAnsi="Cambria Math" w:cs="Times New Roman"/>
                        <w:sz w:val="24"/>
                        <w:szCs w:val="24"/>
                        <w:lang w:eastAsia="en-GB"/>
                      </w:rPr>
                      <m:t xml:space="preserve">- </m:t>
                    </m:r>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W</m:t>
                        </m:r>
                      </m:e>
                      <m:sub>
                        <m:r>
                          <m:rPr>
                            <m:sty m:val="p"/>
                          </m:rPr>
                          <w:rPr>
                            <w:rFonts w:ascii="Cambria Math" w:hAnsi="Cambria Math" w:cs="Times New Roman"/>
                            <w:sz w:val="24"/>
                            <w:szCs w:val="24"/>
                            <w:lang w:eastAsia="en-GB"/>
                          </w:rPr>
                          <m:t>Fuselage,baseline</m:t>
                        </m:r>
                      </m:sub>
                    </m:sSub>
                  </m:e>
                </m:d>
                <m:r>
                  <w:rPr>
                    <w:rFonts w:ascii="Cambria Math" w:hAnsi="Cambria Math" w:cs="Times New Roman"/>
                    <w:sz w:val="24"/>
                    <w:szCs w:val="24"/>
                    <w:lang w:eastAsia="en-GB"/>
                  </w:rPr>
                  <m:t>(1-ω)</m:t>
                </m:r>
                <m:r>
                  <m:rPr>
                    <m:sty m:val="p"/>
                  </m:rPr>
                  <w:rPr>
                    <w:rFonts w:ascii="Cambria Math" w:eastAsiaTheme="minorEastAsia" w:hAnsi="Cambria Math" w:cs="Times New Roman"/>
                    <w:sz w:val="24"/>
                    <w:szCs w:val="24"/>
                    <w:lang w:eastAsia="en-GB"/>
                  </w:rPr>
                  <m:t>,</m:t>
                </m:r>
              </m:oMath>
            </m:oMathPara>
          </w:p>
        </w:tc>
        <w:tc>
          <w:tcPr>
            <w:tcW w:w="956" w:type="dxa"/>
            <w:vAlign w:val="center"/>
            <w:hideMark/>
          </w:tcPr>
          <w:p w14:paraId="74BD7AEC" w14:textId="03FBE7A0" w:rsidR="00F62F6B" w:rsidRPr="002201D7" w:rsidRDefault="00F62F6B" w:rsidP="006C247F">
            <w:pPr>
              <w:spacing w:after="240" w:line="480" w:lineRule="auto"/>
              <w:jc w:val="right"/>
              <w:rPr>
                <w:rFonts w:ascii="Times New Roman" w:hAnsi="Times New Roman" w:cs="Times New Roman"/>
                <w:sz w:val="24"/>
                <w:szCs w:val="24"/>
                <w:lang w:eastAsia="en-GB"/>
              </w:rPr>
            </w:pPr>
            <w:r w:rsidRPr="00044DD7">
              <w:rPr>
                <w:rFonts w:ascii="Times New Roman" w:hAnsi="Times New Roman" w:cs="Times New Roman"/>
                <w:sz w:val="24"/>
                <w:szCs w:val="24"/>
                <w:lang w:eastAsia="en-GB"/>
              </w:rPr>
              <w:t>(</w:t>
            </w:r>
            <w:r w:rsidR="00F216BF">
              <w:rPr>
                <w:rFonts w:ascii="Times New Roman" w:hAnsi="Times New Roman" w:cs="Times New Roman"/>
                <w:sz w:val="24"/>
                <w:szCs w:val="24"/>
                <w:lang w:eastAsia="en-GB"/>
              </w:rPr>
              <w:t>SI 8</w:t>
            </w:r>
            <w:r w:rsidRPr="002201D7">
              <w:rPr>
                <w:rFonts w:ascii="Times New Roman" w:hAnsi="Times New Roman" w:cs="Times New Roman"/>
                <w:sz w:val="24"/>
                <w:szCs w:val="24"/>
                <w:lang w:eastAsia="en-GB"/>
              </w:rPr>
              <w:t>)</w:t>
            </w:r>
          </w:p>
        </w:tc>
      </w:tr>
    </w:tbl>
    <w:p w14:paraId="3B7E5AE6" w14:textId="77777777" w:rsidR="00F62F6B" w:rsidRPr="00872636" w:rsidRDefault="00F62F6B" w:rsidP="00872636">
      <w:pPr>
        <w:spacing w:line="480" w:lineRule="auto"/>
        <w:jc w:val="both"/>
        <w:rPr>
          <w:sz w:val="24"/>
          <w:szCs w:val="24"/>
          <w:lang w:eastAsia="en-GB"/>
        </w:rPr>
      </w:pPr>
      <w:r w:rsidRPr="002201D7">
        <w:rPr>
          <w:rFonts w:ascii="Times New Roman" w:hAnsi="Times New Roman" w:cs="Times New Roman"/>
          <w:sz w:val="24"/>
          <w:szCs w:val="24"/>
          <w:lang w:eastAsia="en-GB"/>
        </w:rPr>
        <w:t xml:space="preserve">where </w:t>
      </w:r>
      <m:oMath>
        <m:sSub>
          <m:sSubPr>
            <m:ctrlPr>
              <w:rPr>
                <w:rFonts w:ascii="Cambria Math" w:hAnsi="Cambria Math" w:cs="Times New Roman"/>
                <w:iCs/>
                <w:sz w:val="24"/>
                <w:szCs w:val="24"/>
                <w:lang w:eastAsia="en-GB"/>
              </w:rPr>
            </m:ctrlPr>
          </m:sSubPr>
          <m:e>
            <m:r>
              <m:rPr>
                <m:sty m:val="p"/>
              </m:rPr>
              <w:rPr>
                <w:rFonts w:ascii="Cambria Math" w:hAnsi="Cambria Math" w:cs="Times New Roman"/>
                <w:sz w:val="24"/>
                <w:szCs w:val="24"/>
                <w:lang w:eastAsia="en-GB"/>
              </w:rPr>
              <m:t>OEW</m:t>
            </m:r>
          </m:e>
          <m:sub>
            <m:r>
              <m:rPr>
                <m:sty m:val="p"/>
              </m:rPr>
              <w:rPr>
                <w:rFonts w:ascii="Cambria Math" w:hAnsi="Cambria Math" w:cs="Times New Roman"/>
                <w:sz w:val="24"/>
                <w:szCs w:val="24"/>
                <w:lang w:eastAsia="en-GB"/>
              </w:rPr>
              <m:t>baseline</m:t>
            </m:r>
          </m:sub>
        </m:sSub>
      </m:oMath>
      <w:r w:rsidRPr="002201D7">
        <w:rPr>
          <w:rFonts w:ascii="Times New Roman" w:hAnsi="Times New Roman" w:cs="Times New Roman"/>
          <w:sz w:val="24"/>
          <w:szCs w:val="24"/>
          <w:lang w:eastAsia="en-GB"/>
        </w:rPr>
        <w:t xml:space="preserve"> is the baseline aircraft OEW,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W</m:t>
            </m:r>
          </m:e>
          <m:sub>
            <m:r>
              <m:rPr>
                <m:sty m:val="p"/>
              </m:rPr>
              <w:rPr>
                <w:rFonts w:ascii="Cambria Math" w:hAnsi="Cambria Math" w:cs="Times New Roman"/>
                <w:sz w:val="24"/>
                <w:szCs w:val="24"/>
                <w:lang w:eastAsia="en-GB"/>
              </w:rPr>
              <m:t>F,total,cryogenic</m:t>
            </m:r>
          </m:sub>
        </m:sSub>
      </m:oMath>
      <w:r w:rsidRPr="002201D7">
        <w:rPr>
          <w:rFonts w:ascii="Times New Roman" w:hAnsi="Times New Roman" w:cs="Times New Roman"/>
          <w:sz w:val="24"/>
          <w:szCs w:val="24"/>
          <w:lang w:eastAsia="en-GB"/>
        </w:rPr>
        <w:t xml:space="preserve"> is the total fuel weight of the cryogenic fuel at mission start, and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W</m:t>
            </m:r>
          </m:e>
          <m:sub>
            <m:r>
              <m:rPr>
                <m:sty m:val="p"/>
              </m:rPr>
              <w:rPr>
                <w:rFonts w:ascii="Cambria Math" w:hAnsi="Cambria Math" w:cs="Times New Roman"/>
                <w:sz w:val="24"/>
                <w:szCs w:val="24"/>
                <w:lang w:eastAsia="en-GB"/>
              </w:rPr>
              <m:t>Fuselage,cryogenic</m:t>
            </m:r>
          </m:sub>
        </m:sSub>
      </m:oMath>
      <w:r w:rsidRPr="002201D7">
        <w:rPr>
          <w:rFonts w:ascii="Times New Roman" w:eastAsiaTheme="minorEastAsia" w:hAnsi="Times New Roman" w:cs="Times New Roman"/>
          <w:sz w:val="24"/>
          <w:szCs w:val="24"/>
          <w:lang w:eastAsia="en-GB"/>
        </w:rPr>
        <w:t xml:space="preserve"> and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W</m:t>
            </m:r>
          </m:e>
          <m:sub>
            <m:r>
              <m:rPr>
                <m:sty m:val="p"/>
              </m:rPr>
              <w:rPr>
                <w:rFonts w:ascii="Cambria Math" w:hAnsi="Cambria Math" w:cs="Times New Roman"/>
                <w:sz w:val="24"/>
                <w:szCs w:val="24"/>
                <w:lang w:eastAsia="en-GB"/>
              </w:rPr>
              <m:t>Fuselage,baseline</m:t>
            </m:r>
          </m:sub>
        </m:sSub>
      </m:oMath>
      <w:r w:rsidRPr="002201D7">
        <w:rPr>
          <w:rFonts w:ascii="Times New Roman" w:eastAsiaTheme="minorEastAsia" w:hAnsi="Times New Roman" w:cs="Times New Roman"/>
          <w:sz w:val="24"/>
          <w:szCs w:val="24"/>
          <w:lang w:eastAsia="en-GB"/>
        </w:rPr>
        <w:t xml:space="preserve"> are the fuselage weight of the cryogenic and baseline aircraft respectively. </w:t>
      </w:r>
      <w:r w:rsidRPr="00556067">
        <w:rPr>
          <w:rFonts w:ascii="Times New Roman" w:hAnsi="Times New Roman" w:cs="Times New Roman"/>
          <w:i/>
          <w:iCs/>
          <w:sz w:val="24"/>
          <w:szCs w:val="24"/>
          <w:lang w:eastAsia="en-GB"/>
        </w:rPr>
        <w:t>ω</w:t>
      </w:r>
      <w:r w:rsidRPr="00556067">
        <w:rPr>
          <w:rFonts w:ascii="Times New Roman" w:hAnsi="Times New Roman" w:cs="Times New Roman"/>
          <w:sz w:val="24"/>
          <w:szCs w:val="24"/>
          <w:lang w:eastAsia="en-GB"/>
        </w:rPr>
        <w:t xml:space="preserve"> is dependent on technology improvement and it is zero by default for all cryogenic fuel cases in this</w:t>
      </w:r>
      <w:r w:rsidRPr="00CE68A4">
        <w:rPr>
          <w:rFonts w:ascii="Times New Roman" w:hAnsi="Times New Roman" w:cs="Times New Roman"/>
          <w:sz w:val="24"/>
          <w:szCs w:val="24"/>
          <w:lang w:eastAsia="en-GB"/>
        </w:rPr>
        <w:t xml:space="preserve"> study.</w:t>
      </w:r>
    </w:p>
    <w:p w14:paraId="79720F4E" w14:textId="77777777" w:rsidR="00F62F6B" w:rsidRPr="00872636" w:rsidRDefault="00F62F6B" w:rsidP="00F62F6B">
      <w:pPr>
        <w:pStyle w:val="Heading2"/>
        <w:spacing w:after="240" w:line="480" w:lineRule="auto"/>
        <w:rPr>
          <w:rFonts w:ascii="Times New Roman" w:eastAsia="Times New Roman" w:hAnsi="Times New Roman" w:cs="Times New Roman"/>
          <w:color w:val="auto"/>
          <w:sz w:val="24"/>
          <w:szCs w:val="24"/>
          <w:bdr w:val="none" w:sz="0" w:space="0" w:color="auto" w:frame="1"/>
          <w:lang w:eastAsia="en-GB"/>
        </w:rPr>
      </w:pPr>
      <w:r w:rsidRPr="002201D7">
        <w:rPr>
          <w:rFonts w:ascii="Times New Roman" w:hAnsi="Times New Roman" w:cs="Times New Roman"/>
          <w:color w:val="auto"/>
          <w:sz w:val="24"/>
          <w:szCs w:val="24"/>
        </w:rPr>
        <w:t>Known and calculated aircraft data</w:t>
      </w:r>
    </w:p>
    <w:p w14:paraId="27C216CD" w14:textId="6351BAAA" w:rsidR="00F62F6B" w:rsidRPr="007D699F" w:rsidRDefault="00F62F6B" w:rsidP="00F62F6B">
      <w:pPr>
        <w:spacing w:line="480" w:lineRule="auto"/>
        <w:jc w:val="both"/>
        <w:rPr>
          <w:rFonts w:ascii="Times New Roman" w:hAnsi="Times New Roman" w:cs="Times New Roman"/>
          <w:sz w:val="24"/>
          <w:szCs w:val="24"/>
        </w:rPr>
      </w:pPr>
      <w:r w:rsidRPr="002201D7">
        <w:rPr>
          <w:rFonts w:ascii="Times New Roman" w:hAnsi="Times New Roman" w:cs="Times New Roman"/>
          <w:sz w:val="24"/>
          <w:szCs w:val="24"/>
          <w:lang w:eastAsia="en-GB"/>
        </w:rPr>
        <w:tab/>
        <w:t>The Airbus A350-1000 aircraft i</w:t>
      </w:r>
      <w:r w:rsidRPr="00556067">
        <w:rPr>
          <w:rFonts w:ascii="Times New Roman" w:hAnsi="Times New Roman" w:cs="Times New Roman"/>
          <w:sz w:val="24"/>
          <w:szCs w:val="24"/>
          <w:lang w:eastAsia="en-GB"/>
        </w:rPr>
        <w:t>s chosen as the baseline aircraft for the comparative assessment of the performance characteristics of the 100% SPK, LH</w:t>
      </w:r>
      <w:r w:rsidRPr="00556067">
        <w:rPr>
          <w:rFonts w:ascii="Times New Roman" w:hAnsi="Times New Roman" w:cs="Times New Roman"/>
          <w:sz w:val="24"/>
          <w:szCs w:val="24"/>
          <w:vertAlign w:val="subscript"/>
          <w:lang w:eastAsia="en-GB"/>
        </w:rPr>
        <w:t>2</w:t>
      </w:r>
      <w:r w:rsidRPr="00CE68A4">
        <w:rPr>
          <w:rFonts w:ascii="Times New Roman" w:hAnsi="Times New Roman" w:cs="Times New Roman"/>
          <w:sz w:val="24"/>
          <w:szCs w:val="24"/>
          <w:lang w:eastAsia="en-GB"/>
        </w:rPr>
        <w:t>, LNG, LNH</w:t>
      </w:r>
      <w:r w:rsidRPr="00044DD7">
        <w:rPr>
          <w:rFonts w:ascii="Times New Roman" w:hAnsi="Times New Roman" w:cs="Times New Roman"/>
          <w:sz w:val="24"/>
          <w:szCs w:val="24"/>
          <w:vertAlign w:val="subscript"/>
          <w:lang w:eastAsia="en-GB"/>
        </w:rPr>
        <w:t>3</w:t>
      </w:r>
      <w:r w:rsidRPr="00044DD7">
        <w:rPr>
          <w:rFonts w:ascii="Times New Roman" w:hAnsi="Times New Roman" w:cs="Times New Roman"/>
          <w:sz w:val="24"/>
          <w:szCs w:val="24"/>
          <w:lang w:eastAsia="en-GB"/>
        </w:rPr>
        <w:t>, ethanol and methanol in comparison with the perf</w:t>
      </w:r>
      <w:r w:rsidRPr="007D699F">
        <w:rPr>
          <w:rFonts w:ascii="Times New Roman" w:hAnsi="Times New Roman" w:cs="Times New Roman"/>
          <w:sz w:val="24"/>
          <w:szCs w:val="24"/>
          <w:lang w:eastAsia="en-GB"/>
        </w:rPr>
        <w:t xml:space="preserve">ormance of Jet-A. Table </w:t>
      </w:r>
      <w:r w:rsidR="007E6496">
        <w:rPr>
          <w:rFonts w:ascii="Times New Roman" w:hAnsi="Times New Roman" w:cs="Times New Roman"/>
          <w:sz w:val="24"/>
          <w:szCs w:val="24"/>
          <w:lang w:eastAsia="en-GB"/>
        </w:rPr>
        <w:t>SI 4</w:t>
      </w:r>
      <w:r w:rsidRPr="002201D7">
        <w:rPr>
          <w:rFonts w:ascii="Times New Roman" w:hAnsi="Times New Roman" w:cs="Times New Roman"/>
          <w:sz w:val="24"/>
          <w:szCs w:val="24"/>
          <w:lang w:eastAsia="en-GB"/>
        </w:rPr>
        <w:t xml:space="preserve"> lists the A350-1000 aircraft data which will be u</w:t>
      </w:r>
      <w:r w:rsidRPr="00556067">
        <w:rPr>
          <w:rFonts w:ascii="Times New Roman" w:hAnsi="Times New Roman" w:cs="Times New Roman"/>
          <w:sz w:val="24"/>
          <w:szCs w:val="24"/>
          <w:lang w:eastAsia="en-GB"/>
        </w:rPr>
        <w:t xml:space="preserve">sed for the aircraft performance modelling using Breguet’s range equation. The </w:t>
      </w:r>
      <w:r w:rsidRPr="00556067">
        <w:rPr>
          <w:rFonts w:ascii="Times New Roman" w:hAnsi="Times New Roman" w:cs="Times New Roman"/>
          <w:i/>
          <w:iCs/>
          <w:sz w:val="24"/>
          <w:szCs w:val="24"/>
          <w:lang w:eastAsia="en-GB"/>
        </w:rPr>
        <w:t>η</w:t>
      </w:r>
      <w:r w:rsidRPr="00CE68A4">
        <w:rPr>
          <w:rFonts w:ascii="Times New Roman" w:hAnsi="Times New Roman" w:cs="Times New Roman"/>
          <w:sz w:val="24"/>
          <w:szCs w:val="24"/>
          <w:vertAlign w:val="subscript"/>
          <w:lang w:eastAsia="en-GB"/>
        </w:rPr>
        <w:t>o</w:t>
      </w:r>
      <w:r w:rsidRPr="00044DD7">
        <w:rPr>
          <w:rFonts w:ascii="Times New Roman" w:hAnsi="Times New Roman" w:cs="Times New Roman"/>
          <w:sz w:val="24"/>
          <w:szCs w:val="24"/>
          <w:lang w:eastAsia="en-GB"/>
        </w:rPr>
        <w:t xml:space="preserve"> for the A350-1000 aircraft (Jet-A) is known to be 0.4. Knowing this and the </w:t>
      </w:r>
      <w:r w:rsidRPr="007D699F">
        <w:rPr>
          <w:rFonts w:ascii="Times New Roman" w:hAnsi="Times New Roman" w:cs="Times New Roman"/>
          <w:i/>
          <w:iCs/>
          <w:sz w:val="24"/>
          <w:szCs w:val="24"/>
          <w:lang w:eastAsia="en-GB"/>
        </w:rPr>
        <w:t>η</w:t>
      </w:r>
      <w:r w:rsidRPr="007D699F">
        <w:rPr>
          <w:rFonts w:ascii="Times New Roman" w:hAnsi="Times New Roman" w:cs="Times New Roman"/>
          <w:sz w:val="24"/>
          <w:szCs w:val="24"/>
          <w:vertAlign w:val="subscript"/>
          <w:lang w:eastAsia="en-GB"/>
        </w:rPr>
        <w:t xml:space="preserve">o,f </w:t>
      </w:r>
      <w:r w:rsidRPr="007D699F">
        <w:rPr>
          <w:rFonts w:ascii="Times New Roman" w:hAnsi="Times New Roman" w:cs="Times New Roman"/>
          <w:sz w:val="24"/>
          <w:szCs w:val="24"/>
          <w:lang w:eastAsia="en-GB"/>
        </w:rPr>
        <w:t xml:space="preserve">/ </w:t>
      </w:r>
      <w:r w:rsidRPr="007D699F">
        <w:rPr>
          <w:rFonts w:ascii="Times New Roman" w:hAnsi="Times New Roman" w:cs="Times New Roman"/>
          <w:i/>
          <w:iCs/>
          <w:sz w:val="24"/>
          <w:szCs w:val="24"/>
          <w:lang w:eastAsia="en-GB"/>
        </w:rPr>
        <w:t>η</w:t>
      </w:r>
      <w:r w:rsidRPr="007D699F">
        <w:rPr>
          <w:rFonts w:ascii="Times New Roman" w:hAnsi="Times New Roman" w:cs="Times New Roman"/>
          <w:sz w:val="24"/>
          <w:szCs w:val="24"/>
          <w:vertAlign w:val="subscript"/>
          <w:lang w:eastAsia="en-GB"/>
        </w:rPr>
        <w:t>o,Jet-A</w:t>
      </w:r>
      <w:r w:rsidRPr="007D699F">
        <w:rPr>
          <w:rFonts w:ascii="Times New Roman" w:hAnsi="Times New Roman" w:cs="Times New Roman"/>
          <w:sz w:val="24"/>
          <w:szCs w:val="24"/>
          <w:lang w:eastAsia="en-GB"/>
        </w:rPr>
        <w:t xml:space="preserve"> ratio for all fuels (known from </w:t>
      </w:r>
      <w:r w:rsidR="00B40FCF" w:rsidRPr="007D699F">
        <w:rPr>
          <w:rFonts w:ascii="Times New Roman" w:hAnsi="Times New Roman" w:cs="Times New Roman"/>
          <w:sz w:val="24"/>
          <w:szCs w:val="24"/>
          <w:lang w:eastAsia="en-GB"/>
        </w:rPr>
        <w:t>SI §4.1</w:t>
      </w:r>
      <w:r w:rsidRPr="007D699F">
        <w:rPr>
          <w:rFonts w:ascii="Times New Roman" w:hAnsi="Times New Roman" w:cs="Times New Roman"/>
          <w:sz w:val="24"/>
          <w:szCs w:val="24"/>
          <w:lang w:eastAsia="en-GB"/>
        </w:rPr>
        <w:t xml:space="preserve">), the </w:t>
      </w:r>
      <w:r w:rsidRPr="007D699F">
        <w:rPr>
          <w:rFonts w:ascii="Times New Roman" w:hAnsi="Times New Roman" w:cs="Times New Roman"/>
          <w:i/>
          <w:iCs/>
          <w:sz w:val="24"/>
          <w:szCs w:val="24"/>
          <w:lang w:eastAsia="en-GB"/>
        </w:rPr>
        <w:t>η</w:t>
      </w:r>
      <w:r w:rsidRPr="007D699F">
        <w:rPr>
          <w:rFonts w:ascii="Times New Roman" w:hAnsi="Times New Roman" w:cs="Times New Roman"/>
          <w:sz w:val="24"/>
          <w:szCs w:val="24"/>
          <w:vertAlign w:val="subscript"/>
          <w:lang w:eastAsia="en-GB"/>
        </w:rPr>
        <w:t>o</w:t>
      </w:r>
      <w:r w:rsidRPr="007D699F">
        <w:rPr>
          <w:rFonts w:ascii="Times New Roman" w:hAnsi="Times New Roman" w:cs="Times New Roman"/>
          <w:sz w:val="24"/>
          <w:szCs w:val="24"/>
          <w:lang w:eastAsia="en-GB"/>
        </w:rPr>
        <w:t xml:space="preserve"> is calculated for all alternative fuels to be used on the aircraft.</w:t>
      </w:r>
    </w:p>
    <w:tbl>
      <w:tblPr>
        <w:tblStyle w:val="TableGrid"/>
        <w:tblW w:w="9546" w:type="dxa"/>
        <w:jc w:val="center"/>
        <w:tblLook w:val="04A0" w:firstRow="1" w:lastRow="0" w:firstColumn="1" w:lastColumn="0" w:noHBand="0" w:noVBand="1"/>
      </w:tblPr>
      <w:tblGrid>
        <w:gridCol w:w="4654"/>
        <w:gridCol w:w="900"/>
        <w:gridCol w:w="3992"/>
      </w:tblGrid>
      <w:tr w:rsidR="00F62F6B" w:rsidRPr="007D699F" w14:paraId="5CB5E4AF" w14:textId="77777777" w:rsidTr="006C247F">
        <w:trPr>
          <w:trHeight w:val="441"/>
          <w:jc w:val="center"/>
        </w:trPr>
        <w:tc>
          <w:tcPr>
            <w:tcW w:w="9546" w:type="dxa"/>
            <w:gridSpan w:val="3"/>
            <w:tcBorders>
              <w:top w:val="nil"/>
              <w:left w:val="nil"/>
              <w:bottom w:val="single" w:sz="4" w:space="0" w:color="auto"/>
              <w:right w:val="nil"/>
            </w:tcBorders>
            <w:vAlign w:val="center"/>
            <w:hideMark/>
          </w:tcPr>
          <w:p w14:paraId="5BF18CDD" w14:textId="736F0787" w:rsidR="00F62F6B" w:rsidRPr="007D699F" w:rsidRDefault="00F62F6B" w:rsidP="00872636">
            <w:pPr>
              <w:spacing w:line="276" w:lineRule="auto"/>
              <w:jc w:val="center"/>
              <w:rPr>
                <w:rFonts w:ascii="Times New Roman" w:hAnsi="Times New Roman" w:cs="Times New Roman"/>
                <w:b/>
                <w:sz w:val="24"/>
                <w:szCs w:val="24"/>
                <w:lang w:eastAsia="en-GB"/>
              </w:rPr>
            </w:pPr>
            <w:r w:rsidRPr="007D699F">
              <w:rPr>
                <w:rFonts w:ascii="Times New Roman" w:hAnsi="Times New Roman" w:cs="Times New Roman"/>
                <w:b/>
                <w:sz w:val="24"/>
                <w:szCs w:val="24"/>
                <w:lang w:eastAsia="en-GB"/>
              </w:rPr>
              <w:lastRenderedPageBreak/>
              <w:t xml:space="preserve">Table </w:t>
            </w:r>
            <w:r w:rsidR="00902F1E" w:rsidRPr="007D699F">
              <w:rPr>
                <w:rFonts w:ascii="Times New Roman" w:hAnsi="Times New Roman" w:cs="Times New Roman"/>
                <w:b/>
                <w:sz w:val="24"/>
                <w:szCs w:val="24"/>
                <w:lang w:eastAsia="en-GB"/>
              </w:rPr>
              <w:t>SI 4</w:t>
            </w:r>
            <w:r w:rsidRPr="007D699F">
              <w:rPr>
                <w:rFonts w:ascii="Times New Roman" w:hAnsi="Times New Roman" w:cs="Times New Roman"/>
                <w:b/>
                <w:sz w:val="24"/>
                <w:szCs w:val="24"/>
                <w:lang w:eastAsia="en-GB"/>
              </w:rPr>
              <w:t>. Aircraft data (Airbus A350-1000 Jet-A) and cruise conditions</w:t>
            </w:r>
          </w:p>
        </w:tc>
      </w:tr>
      <w:tr w:rsidR="00F62F6B" w:rsidRPr="007D699F" w14:paraId="45F94972" w14:textId="77777777" w:rsidTr="006C247F">
        <w:trPr>
          <w:trHeight w:val="441"/>
          <w:jc w:val="center"/>
        </w:trPr>
        <w:tc>
          <w:tcPr>
            <w:tcW w:w="4654" w:type="dxa"/>
            <w:tcBorders>
              <w:top w:val="single" w:sz="4" w:space="0" w:color="auto"/>
              <w:left w:val="nil"/>
              <w:bottom w:val="single" w:sz="4" w:space="0" w:color="auto"/>
              <w:right w:val="nil"/>
            </w:tcBorders>
            <w:vAlign w:val="center"/>
            <w:hideMark/>
          </w:tcPr>
          <w:p w14:paraId="4912E4B7" w14:textId="77777777" w:rsidR="00F62F6B" w:rsidRPr="00556067" w:rsidRDefault="00F62F6B" w:rsidP="00872636">
            <w:pPr>
              <w:spacing w:line="276" w:lineRule="auto"/>
              <w:jc w:val="center"/>
              <w:rPr>
                <w:rFonts w:ascii="Times New Roman" w:hAnsi="Times New Roman" w:cs="Times New Roman"/>
                <w:sz w:val="24"/>
                <w:szCs w:val="24"/>
                <w:lang w:eastAsia="en-GB"/>
              </w:rPr>
            </w:pPr>
            <w:r w:rsidRPr="002201D7">
              <w:rPr>
                <w:rFonts w:ascii="Times New Roman" w:hAnsi="Times New Roman" w:cs="Times New Roman"/>
                <w:sz w:val="24"/>
                <w:szCs w:val="24"/>
                <w:lang w:eastAsia="en-GB"/>
              </w:rPr>
              <w:t>Parameters</w:t>
            </w:r>
          </w:p>
        </w:tc>
        <w:tc>
          <w:tcPr>
            <w:tcW w:w="900" w:type="dxa"/>
            <w:tcBorders>
              <w:top w:val="single" w:sz="4" w:space="0" w:color="auto"/>
              <w:left w:val="nil"/>
              <w:bottom w:val="single" w:sz="4" w:space="0" w:color="auto"/>
              <w:right w:val="nil"/>
            </w:tcBorders>
            <w:vAlign w:val="center"/>
            <w:hideMark/>
          </w:tcPr>
          <w:p w14:paraId="74DD23D5" w14:textId="77777777" w:rsidR="00F62F6B" w:rsidRPr="00CE68A4" w:rsidRDefault="00F62F6B" w:rsidP="00872636">
            <w:pPr>
              <w:spacing w:line="276" w:lineRule="auto"/>
              <w:jc w:val="center"/>
              <w:rPr>
                <w:rFonts w:ascii="Times New Roman" w:hAnsi="Times New Roman" w:cs="Times New Roman"/>
                <w:sz w:val="24"/>
                <w:szCs w:val="24"/>
                <w:lang w:eastAsia="en-GB"/>
              </w:rPr>
            </w:pPr>
            <w:r w:rsidRPr="00556067">
              <w:rPr>
                <w:rFonts w:ascii="Times New Roman" w:hAnsi="Times New Roman" w:cs="Times New Roman"/>
                <w:sz w:val="24"/>
                <w:szCs w:val="24"/>
                <w:lang w:eastAsia="en-GB"/>
              </w:rPr>
              <w:t>Units</w:t>
            </w:r>
          </w:p>
        </w:tc>
        <w:tc>
          <w:tcPr>
            <w:tcW w:w="3992" w:type="dxa"/>
            <w:tcBorders>
              <w:top w:val="single" w:sz="4" w:space="0" w:color="auto"/>
              <w:left w:val="nil"/>
              <w:bottom w:val="single" w:sz="4" w:space="0" w:color="auto"/>
              <w:right w:val="nil"/>
            </w:tcBorders>
            <w:vAlign w:val="center"/>
            <w:hideMark/>
          </w:tcPr>
          <w:p w14:paraId="62B49D09" w14:textId="77777777" w:rsidR="00F62F6B" w:rsidRPr="007D699F" w:rsidRDefault="00F62F6B" w:rsidP="00872636">
            <w:pPr>
              <w:spacing w:line="276" w:lineRule="auto"/>
              <w:jc w:val="center"/>
              <w:rPr>
                <w:rFonts w:ascii="Times New Roman" w:hAnsi="Times New Roman" w:cs="Times New Roman"/>
                <w:sz w:val="24"/>
                <w:szCs w:val="24"/>
                <w:lang w:eastAsia="en-GB"/>
              </w:rPr>
            </w:pPr>
            <w:r w:rsidRPr="007D699F">
              <w:rPr>
                <w:rFonts w:ascii="Times New Roman" w:hAnsi="Times New Roman" w:cs="Times New Roman"/>
                <w:sz w:val="24"/>
                <w:szCs w:val="24"/>
                <w:lang w:eastAsia="en-GB"/>
              </w:rPr>
              <w:t>Value</w:t>
            </w:r>
          </w:p>
        </w:tc>
      </w:tr>
      <w:tr w:rsidR="00F62F6B" w:rsidRPr="007D699F" w14:paraId="59BF0B65" w14:textId="77777777" w:rsidTr="006C247F">
        <w:trPr>
          <w:trHeight w:val="441"/>
          <w:jc w:val="center"/>
        </w:trPr>
        <w:tc>
          <w:tcPr>
            <w:tcW w:w="9546" w:type="dxa"/>
            <w:gridSpan w:val="3"/>
            <w:tcBorders>
              <w:top w:val="single" w:sz="4" w:space="0" w:color="auto"/>
              <w:left w:val="nil"/>
              <w:bottom w:val="single" w:sz="4" w:space="0" w:color="auto"/>
              <w:right w:val="nil"/>
            </w:tcBorders>
            <w:vAlign w:val="center"/>
            <w:hideMark/>
          </w:tcPr>
          <w:p w14:paraId="078378D4" w14:textId="77777777" w:rsidR="00F62F6B" w:rsidRPr="00556067" w:rsidRDefault="00F62F6B" w:rsidP="00872636">
            <w:pPr>
              <w:spacing w:line="276" w:lineRule="auto"/>
              <w:jc w:val="center"/>
              <w:rPr>
                <w:rFonts w:ascii="Times New Roman" w:hAnsi="Times New Roman" w:cs="Times New Roman"/>
                <w:sz w:val="24"/>
                <w:szCs w:val="24"/>
                <w:lang w:eastAsia="en-GB"/>
              </w:rPr>
            </w:pPr>
            <w:r w:rsidRPr="002201D7">
              <w:rPr>
                <w:rFonts w:ascii="Times New Roman" w:hAnsi="Times New Roman" w:cs="Times New Roman"/>
                <w:bCs/>
                <w:sz w:val="24"/>
                <w:szCs w:val="24"/>
                <w:lang w:eastAsia="en-GB"/>
              </w:rPr>
              <w:t xml:space="preserve">Aircraft data (Airbus </w:t>
            </w:r>
            <w:r w:rsidRPr="00556067">
              <w:rPr>
                <w:rFonts w:ascii="Times New Roman" w:hAnsi="Times New Roman" w:cs="Times New Roman"/>
                <w:bCs/>
                <w:sz w:val="24"/>
                <w:szCs w:val="24"/>
                <w:lang w:eastAsia="en-GB"/>
              </w:rPr>
              <w:t>A350-1000)</w:t>
            </w:r>
          </w:p>
        </w:tc>
      </w:tr>
      <w:tr w:rsidR="00F62F6B" w:rsidRPr="007D699F" w14:paraId="20FA427A" w14:textId="77777777" w:rsidTr="006C247F">
        <w:trPr>
          <w:trHeight w:val="219"/>
          <w:jc w:val="center"/>
        </w:trPr>
        <w:tc>
          <w:tcPr>
            <w:tcW w:w="4654" w:type="dxa"/>
            <w:tcBorders>
              <w:top w:val="single" w:sz="4" w:space="0" w:color="auto"/>
              <w:left w:val="nil"/>
              <w:bottom w:val="nil"/>
              <w:right w:val="nil"/>
            </w:tcBorders>
            <w:hideMark/>
          </w:tcPr>
          <w:p w14:paraId="11250C3E" w14:textId="77777777" w:rsidR="00F62F6B" w:rsidRPr="00556067" w:rsidRDefault="00F62F6B" w:rsidP="00872636">
            <w:pPr>
              <w:spacing w:line="276" w:lineRule="auto"/>
              <w:rPr>
                <w:rFonts w:ascii="Times New Roman" w:hAnsi="Times New Roman" w:cs="Times New Roman"/>
                <w:sz w:val="24"/>
                <w:szCs w:val="24"/>
                <w:lang w:eastAsia="en-GB"/>
              </w:rPr>
            </w:pPr>
            <w:r w:rsidRPr="002201D7">
              <w:rPr>
                <w:rFonts w:ascii="Times New Roman" w:hAnsi="Times New Roman" w:cs="Times New Roman"/>
                <w:sz w:val="24"/>
                <w:szCs w:val="24"/>
                <w:lang w:eastAsia="en-GB"/>
              </w:rPr>
              <w:t>Maximum take-off weight (MTOW)</w:t>
            </w:r>
          </w:p>
        </w:tc>
        <w:tc>
          <w:tcPr>
            <w:tcW w:w="900" w:type="dxa"/>
            <w:tcBorders>
              <w:top w:val="single" w:sz="4" w:space="0" w:color="auto"/>
              <w:left w:val="nil"/>
              <w:bottom w:val="nil"/>
              <w:right w:val="nil"/>
            </w:tcBorders>
            <w:vAlign w:val="center"/>
            <w:hideMark/>
          </w:tcPr>
          <w:p w14:paraId="5553653D" w14:textId="77777777" w:rsidR="00F62F6B" w:rsidRPr="00CE68A4" w:rsidRDefault="00F62F6B" w:rsidP="00872636">
            <w:pPr>
              <w:spacing w:line="276" w:lineRule="auto"/>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kg</w:t>
            </w:r>
          </w:p>
        </w:tc>
        <w:tc>
          <w:tcPr>
            <w:tcW w:w="3992" w:type="dxa"/>
            <w:tcBorders>
              <w:top w:val="single" w:sz="4" w:space="0" w:color="auto"/>
              <w:left w:val="nil"/>
              <w:bottom w:val="nil"/>
              <w:right w:val="nil"/>
            </w:tcBorders>
            <w:vAlign w:val="center"/>
            <w:hideMark/>
          </w:tcPr>
          <w:p w14:paraId="7B5FB045"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316,000</w:t>
            </w:r>
            <w:r w:rsidRPr="007D699F">
              <w:rPr>
                <w:rFonts w:ascii="Times New Roman" w:hAnsi="Times New Roman" w:cs="Times New Roman"/>
                <w:sz w:val="24"/>
                <w:szCs w:val="24"/>
                <w:vertAlign w:val="superscript"/>
                <w:lang w:eastAsia="en-GB"/>
              </w:rPr>
              <w:t>[1]</w:t>
            </w:r>
          </w:p>
        </w:tc>
      </w:tr>
      <w:tr w:rsidR="00F62F6B" w:rsidRPr="007D699F" w14:paraId="1D8BB9B2" w14:textId="77777777" w:rsidTr="006C247F">
        <w:trPr>
          <w:trHeight w:val="217"/>
          <w:jc w:val="center"/>
        </w:trPr>
        <w:tc>
          <w:tcPr>
            <w:tcW w:w="4654" w:type="dxa"/>
            <w:tcBorders>
              <w:top w:val="nil"/>
              <w:left w:val="nil"/>
              <w:bottom w:val="nil"/>
              <w:right w:val="nil"/>
            </w:tcBorders>
            <w:hideMark/>
          </w:tcPr>
          <w:p w14:paraId="3BD4FC17" w14:textId="77777777" w:rsidR="00F62F6B" w:rsidRPr="00556067" w:rsidRDefault="00F62F6B" w:rsidP="00872636">
            <w:pPr>
              <w:spacing w:line="276" w:lineRule="auto"/>
              <w:rPr>
                <w:rFonts w:ascii="Times New Roman" w:hAnsi="Times New Roman" w:cs="Times New Roman"/>
                <w:sz w:val="24"/>
                <w:szCs w:val="24"/>
                <w:lang w:eastAsia="en-GB"/>
              </w:rPr>
            </w:pPr>
            <w:r w:rsidRPr="002201D7">
              <w:rPr>
                <w:rFonts w:ascii="Times New Roman" w:hAnsi="Times New Roman" w:cs="Times New Roman"/>
                <w:sz w:val="24"/>
                <w:szCs w:val="24"/>
                <w:lang w:eastAsia="en-GB"/>
              </w:rPr>
              <w:t>Maximum PAX in a 3-class configuration</w:t>
            </w:r>
          </w:p>
        </w:tc>
        <w:tc>
          <w:tcPr>
            <w:tcW w:w="900" w:type="dxa"/>
            <w:tcBorders>
              <w:top w:val="nil"/>
              <w:left w:val="nil"/>
              <w:bottom w:val="nil"/>
              <w:right w:val="nil"/>
            </w:tcBorders>
            <w:vAlign w:val="center"/>
            <w:hideMark/>
          </w:tcPr>
          <w:p w14:paraId="74D7D9EA" w14:textId="77777777" w:rsidR="00F62F6B" w:rsidRPr="00CE68A4" w:rsidRDefault="00F62F6B" w:rsidP="00872636">
            <w:pPr>
              <w:spacing w:line="276" w:lineRule="auto"/>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w:t>
            </w:r>
          </w:p>
        </w:tc>
        <w:tc>
          <w:tcPr>
            <w:tcW w:w="3992" w:type="dxa"/>
            <w:tcBorders>
              <w:top w:val="nil"/>
              <w:left w:val="nil"/>
              <w:bottom w:val="nil"/>
              <w:right w:val="nil"/>
            </w:tcBorders>
            <w:vAlign w:val="center"/>
            <w:hideMark/>
          </w:tcPr>
          <w:p w14:paraId="17CFE4DD"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366</w:t>
            </w:r>
            <w:r w:rsidRPr="007D699F">
              <w:rPr>
                <w:rFonts w:ascii="Times New Roman" w:hAnsi="Times New Roman" w:cs="Times New Roman"/>
                <w:sz w:val="24"/>
                <w:szCs w:val="24"/>
                <w:vertAlign w:val="superscript"/>
                <w:lang w:eastAsia="en-GB"/>
              </w:rPr>
              <w:t>[1]</w:t>
            </w:r>
            <w:r w:rsidRPr="007D699F">
              <w:rPr>
                <w:rFonts w:ascii="Times New Roman" w:hAnsi="Times New Roman" w:cs="Times New Roman"/>
                <w:sz w:val="24"/>
                <w:szCs w:val="24"/>
                <w:lang w:eastAsia="en-GB"/>
              </w:rPr>
              <w:t xml:space="preserve"> </w:t>
            </w:r>
          </w:p>
        </w:tc>
      </w:tr>
      <w:tr w:rsidR="00F62F6B" w:rsidRPr="007D699F" w14:paraId="3407E00D" w14:textId="77777777" w:rsidTr="006C247F">
        <w:trPr>
          <w:trHeight w:val="219"/>
          <w:jc w:val="center"/>
        </w:trPr>
        <w:tc>
          <w:tcPr>
            <w:tcW w:w="4654" w:type="dxa"/>
            <w:tcBorders>
              <w:top w:val="nil"/>
              <w:left w:val="nil"/>
              <w:bottom w:val="nil"/>
              <w:right w:val="nil"/>
            </w:tcBorders>
            <w:hideMark/>
          </w:tcPr>
          <w:p w14:paraId="145F991D" w14:textId="77777777" w:rsidR="00F62F6B" w:rsidRPr="00556067" w:rsidRDefault="00F62F6B" w:rsidP="00872636">
            <w:pPr>
              <w:spacing w:line="276" w:lineRule="auto"/>
              <w:rPr>
                <w:rFonts w:ascii="Times New Roman" w:hAnsi="Times New Roman" w:cs="Times New Roman"/>
                <w:sz w:val="24"/>
                <w:szCs w:val="24"/>
                <w:lang w:eastAsia="en-GB"/>
              </w:rPr>
            </w:pPr>
            <w:r w:rsidRPr="002201D7">
              <w:rPr>
                <w:rFonts w:ascii="Times New Roman" w:hAnsi="Times New Roman" w:cs="Times New Roman"/>
                <w:sz w:val="24"/>
                <w:szCs w:val="24"/>
                <w:lang w:eastAsia="en-GB"/>
              </w:rPr>
              <w:t>Average weight of one passenger</w:t>
            </w:r>
          </w:p>
        </w:tc>
        <w:tc>
          <w:tcPr>
            <w:tcW w:w="900" w:type="dxa"/>
            <w:tcBorders>
              <w:top w:val="nil"/>
              <w:left w:val="nil"/>
              <w:bottom w:val="nil"/>
              <w:right w:val="nil"/>
            </w:tcBorders>
            <w:vAlign w:val="center"/>
            <w:hideMark/>
          </w:tcPr>
          <w:p w14:paraId="3281B0E6" w14:textId="77777777" w:rsidR="00F62F6B" w:rsidRPr="00CE68A4" w:rsidRDefault="00F62F6B" w:rsidP="00872636">
            <w:pPr>
              <w:spacing w:line="276" w:lineRule="auto"/>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kg</w:t>
            </w:r>
          </w:p>
        </w:tc>
        <w:tc>
          <w:tcPr>
            <w:tcW w:w="3992" w:type="dxa"/>
            <w:tcBorders>
              <w:top w:val="nil"/>
              <w:left w:val="nil"/>
              <w:bottom w:val="nil"/>
              <w:right w:val="nil"/>
            </w:tcBorders>
            <w:vAlign w:val="center"/>
            <w:hideMark/>
          </w:tcPr>
          <w:p w14:paraId="346C2658"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044DD7">
              <w:rPr>
                <w:rFonts w:ascii="Times New Roman" w:hAnsi="Times New Roman" w:cs="Times New Roman"/>
                <w:sz w:val="24"/>
                <w:szCs w:val="24"/>
                <w:lang w:eastAsia="en-GB"/>
              </w:rPr>
              <w:t>95</w:t>
            </w:r>
            <w:r w:rsidRPr="00044DD7">
              <w:rPr>
                <w:rFonts w:ascii="Times New Roman" w:hAnsi="Times New Roman" w:cs="Times New Roman"/>
                <w:sz w:val="24"/>
                <w:szCs w:val="24"/>
                <w:vertAlign w:val="superscript"/>
                <w:lang w:eastAsia="en-GB"/>
              </w:rPr>
              <w:t>[1], [2]</w:t>
            </w:r>
          </w:p>
        </w:tc>
      </w:tr>
      <w:tr w:rsidR="00F62F6B" w:rsidRPr="007D699F" w14:paraId="650C526E" w14:textId="77777777" w:rsidTr="006C247F">
        <w:trPr>
          <w:trHeight w:val="219"/>
          <w:jc w:val="center"/>
        </w:trPr>
        <w:tc>
          <w:tcPr>
            <w:tcW w:w="4654" w:type="dxa"/>
            <w:tcBorders>
              <w:top w:val="nil"/>
              <w:left w:val="nil"/>
              <w:bottom w:val="nil"/>
              <w:right w:val="nil"/>
            </w:tcBorders>
            <w:hideMark/>
          </w:tcPr>
          <w:p w14:paraId="2D2B23A6" w14:textId="77777777" w:rsidR="00F62F6B" w:rsidRPr="007D699F" w:rsidRDefault="00F62F6B" w:rsidP="00872636">
            <w:pPr>
              <w:spacing w:line="276" w:lineRule="auto"/>
              <w:rPr>
                <w:rFonts w:ascii="Times New Roman" w:hAnsi="Times New Roman" w:cs="Times New Roman"/>
                <w:sz w:val="24"/>
                <w:szCs w:val="24"/>
                <w:lang w:eastAsia="en-GB"/>
              </w:rPr>
            </w:pPr>
            <w:r w:rsidRPr="002201D7">
              <w:rPr>
                <w:rFonts w:ascii="Times New Roman" w:hAnsi="Times New Roman" w:cs="Times New Roman"/>
                <w:sz w:val="24"/>
                <w:szCs w:val="24"/>
                <w:lang w:eastAsia="en-GB"/>
              </w:rPr>
              <w:t>Passenger payload weight</w:t>
            </w:r>
            <w:r w:rsidRPr="00556067">
              <w:rPr>
                <w:rFonts w:ascii="Times New Roman" w:hAnsi="Times New Roman" w:cs="Times New Roman"/>
                <w:sz w:val="24"/>
                <w:szCs w:val="24"/>
                <w:lang w:eastAsia="en-GB"/>
              </w:rPr>
              <w:t xml:space="preserve"> (</w:t>
            </w:r>
            <w:r w:rsidRPr="00556067">
              <w:rPr>
                <w:rFonts w:ascii="Times New Roman" w:hAnsi="Times New Roman" w:cs="Times New Roman"/>
                <w:i/>
                <w:iCs/>
                <w:sz w:val="24"/>
                <w:szCs w:val="24"/>
                <w:lang w:eastAsia="en-GB"/>
              </w:rPr>
              <w:t>W</w:t>
            </w:r>
            <w:r w:rsidRPr="00CE68A4">
              <w:rPr>
                <w:rFonts w:ascii="Times New Roman" w:hAnsi="Times New Roman" w:cs="Times New Roman"/>
                <w:sz w:val="24"/>
                <w:szCs w:val="24"/>
                <w:vertAlign w:val="subscript"/>
                <w:lang w:eastAsia="en-GB"/>
              </w:rPr>
              <w:t>p</w:t>
            </w:r>
            <w:r w:rsidRPr="00044DD7">
              <w:rPr>
                <w:rFonts w:ascii="Times New Roman" w:hAnsi="Times New Roman" w:cs="Times New Roman"/>
                <w:sz w:val="24"/>
                <w:szCs w:val="24"/>
                <w:lang w:eastAsia="en-GB"/>
              </w:rPr>
              <w:t>)</w:t>
            </w:r>
          </w:p>
        </w:tc>
        <w:tc>
          <w:tcPr>
            <w:tcW w:w="900" w:type="dxa"/>
            <w:tcBorders>
              <w:top w:val="nil"/>
              <w:left w:val="nil"/>
              <w:bottom w:val="nil"/>
              <w:right w:val="nil"/>
            </w:tcBorders>
            <w:vAlign w:val="center"/>
            <w:hideMark/>
          </w:tcPr>
          <w:p w14:paraId="6B03515F"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kg</w:t>
            </w:r>
          </w:p>
        </w:tc>
        <w:tc>
          <w:tcPr>
            <w:tcW w:w="3992" w:type="dxa"/>
            <w:tcBorders>
              <w:top w:val="nil"/>
              <w:left w:val="nil"/>
              <w:bottom w:val="nil"/>
              <w:right w:val="nil"/>
            </w:tcBorders>
            <w:vAlign w:val="center"/>
            <w:hideMark/>
          </w:tcPr>
          <w:p w14:paraId="7955A0F2"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34,770 (= 366 x 95)</w:t>
            </w:r>
          </w:p>
        </w:tc>
      </w:tr>
      <w:tr w:rsidR="00F62F6B" w:rsidRPr="007D699F" w14:paraId="657FE262" w14:textId="77777777" w:rsidTr="006C247F">
        <w:trPr>
          <w:trHeight w:val="219"/>
          <w:jc w:val="center"/>
        </w:trPr>
        <w:tc>
          <w:tcPr>
            <w:tcW w:w="4654" w:type="dxa"/>
            <w:tcBorders>
              <w:top w:val="nil"/>
              <w:left w:val="nil"/>
              <w:bottom w:val="nil"/>
              <w:right w:val="nil"/>
            </w:tcBorders>
            <w:hideMark/>
          </w:tcPr>
          <w:p w14:paraId="24C3432B" w14:textId="77777777" w:rsidR="00F62F6B" w:rsidRPr="00CE68A4" w:rsidRDefault="00F62F6B" w:rsidP="00872636">
            <w:pPr>
              <w:spacing w:line="276" w:lineRule="auto"/>
              <w:rPr>
                <w:rFonts w:ascii="Times New Roman" w:hAnsi="Times New Roman" w:cs="Times New Roman"/>
                <w:sz w:val="24"/>
                <w:szCs w:val="24"/>
                <w:lang w:eastAsia="en-GB"/>
              </w:rPr>
            </w:pPr>
            <w:r w:rsidRPr="002201D7">
              <w:rPr>
                <w:rFonts w:ascii="Times New Roman" w:hAnsi="Times New Roman" w:cs="Times New Roman"/>
                <w:sz w:val="24"/>
                <w:szCs w:val="24"/>
                <w:lang w:eastAsia="en-GB"/>
              </w:rPr>
              <w:t>Total fuel weight (W</w:t>
            </w:r>
            <w:r w:rsidRPr="00556067">
              <w:rPr>
                <w:rFonts w:ascii="Times New Roman" w:hAnsi="Times New Roman" w:cs="Times New Roman"/>
                <w:sz w:val="24"/>
                <w:szCs w:val="24"/>
                <w:vertAlign w:val="subscript"/>
                <w:lang w:eastAsia="en-GB"/>
              </w:rPr>
              <w:t>F,total, Jet-A</w:t>
            </w:r>
            <w:r w:rsidRPr="00556067">
              <w:rPr>
                <w:rFonts w:ascii="Times New Roman" w:hAnsi="Times New Roman" w:cs="Times New Roman"/>
                <w:sz w:val="24"/>
                <w:szCs w:val="24"/>
                <w:lang w:eastAsia="en-GB"/>
              </w:rPr>
              <w:t xml:space="preserve">) at mission start </w:t>
            </w:r>
          </w:p>
        </w:tc>
        <w:tc>
          <w:tcPr>
            <w:tcW w:w="900" w:type="dxa"/>
            <w:tcBorders>
              <w:top w:val="nil"/>
              <w:left w:val="nil"/>
              <w:bottom w:val="nil"/>
              <w:right w:val="nil"/>
            </w:tcBorders>
            <w:vAlign w:val="center"/>
            <w:hideMark/>
          </w:tcPr>
          <w:p w14:paraId="71F4901A"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kg</w:t>
            </w:r>
          </w:p>
        </w:tc>
        <w:tc>
          <w:tcPr>
            <w:tcW w:w="3992" w:type="dxa"/>
            <w:tcBorders>
              <w:top w:val="nil"/>
              <w:left w:val="nil"/>
              <w:bottom w:val="nil"/>
              <w:right w:val="nil"/>
            </w:tcBorders>
            <w:vAlign w:val="center"/>
            <w:hideMark/>
          </w:tcPr>
          <w:p w14:paraId="4E491A39"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126,101</w:t>
            </w:r>
            <w:r w:rsidRPr="007D699F">
              <w:rPr>
                <w:rFonts w:ascii="Times New Roman" w:hAnsi="Times New Roman" w:cs="Times New Roman"/>
                <w:sz w:val="24"/>
                <w:szCs w:val="24"/>
                <w:vertAlign w:val="superscript"/>
                <w:lang w:eastAsia="en-GB"/>
              </w:rPr>
              <w:t>[1]</w:t>
            </w:r>
          </w:p>
        </w:tc>
      </w:tr>
      <w:tr w:rsidR="00F62F6B" w:rsidRPr="007D699F" w14:paraId="3BCC972B" w14:textId="77777777" w:rsidTr="006C247F">
        <w:trPr>
          <w:trHeight w:val="219"/>
          <w:jc w:val="center"/>
        </w:trPr>
        <w:tc>
          <w:tcPr>
            <w:tcW w:w="4654" w:type="dxa"/>
            <w:tcBorders>
              <w:top w:val="nil"/>
              <w:left w:val="nil"/>
              <w:bottom w:val="nil"/>
              <w:right w:val="nil"/>
            </w:tcBorders>
            <w:hideMark/>
          </w:tcPr>
          <w:p w14:paraId="761CB618" w14:textId="77777777" w:rsidR="00F62F6B" w:rsidRPr="007D699F" w:rsidRDefault="00F62F6B" w:rsidP="00872636">
            <w:pPr>
              <w:spacing w:line="276" w:lineRule="auto"/>
              <w:rPr>
                <w:rFonts w:ascii="Times New Roman" w:hAnsi="Times New Roman" w:cs="Times New Roman"/>
                <w:sz w:val="24"/>
                <w:szCs w:val="24"/>
                <w:lang w:eastAsia="en-GB"/>
              </w:rPr>
            </w:pPr>
            <w:r w:rsidRPr="002201D7">
              <w:rPr>
                <w:rFonts w:ascii="Times New Roman" w:hAnsi="Times New Roman" w:cs="Times New Roman"/>
                <w:sz w:val="24"/>
                <w:szCs w:val="24"/>
                <w:lang w:eastAsia="en-GB"/>
              </w:rPr>
              <w:t>Operating empty weight (OEW</w:t>
            </w:r>
            <w:r w:rsidRPr="00556067">
              <w:rPr>
                <w:rFonts w:ascii="Times New Roman" w:hAnsi="Times New Roman" w:cs="Times New Roman"/>
                <w:sz w:val="24"/>
                <w:szCs w:val="24"/>
                <w:vertAlign w:val="subscript"/>
                <w:lang w:eastAsia="en-GB"/>
              </w:rPr>
              <w:t>Baseline</w:t>
            </w:r>
            <w:r w:rsidRPr="00556067">
              <w:rPr>
                <w:rFonts w:ascii="Times New Roman" w:hAnsi="Times New Roman" w:cs="Times New Roman"/>
                <w:sz w:val="24"/>
                <w:szCs w:val="24"/>
                <w:lang w:eastAsia="en-GB"/>
              </w:rPr>
              <w:t>) (= MTOW – W</w:t>
            </w:r>
            <w:r w:rsidRPr="00CE68A4">
              <w:rPr>
                <w:rFonts w:ascii="Times New Roman" w:hAnsi="Times New Roman" w:cs="Times New Roman"/>
                <w:sz w:val="24"/>
                <w:szCs w:val="24"/>
                <w:vertAlign w:val="subscript"/>
                <w:lang w:eastAsia="en-GB"/>
              </w:rPr>
              <w:t>F,total, Jet-A</w:t>
            </w:r>
            <w:r w:rsidRPr="00044DD7">
              <w:rPr>
                <w:rFonts w:ascii="Times New Roman" w:hAnsi="Times New Roman" w:cs="Times New Roman"/>
                <w:sz w:val="24"/>
                <w:szCs w:val="24"/>
                <w:lang w:eastAsia="en-GB"/>
              </w:rPr>
              <w:t xml:space="preserve"> – </w:t>
            </w:r>
            <w:r w:rsidRPr="007D699F">
              <w:rPr>
                <w:rFonts w:ascii="Times New Roman" w:hAnsi="Times New Roman" w:cs="Times New Roman"/>
                <w:i/>
                <w:iCs/>
                <w:sz w:val="24"/>
                <w:szCs w:val="24"/>
                <w:lang w:eastAsia="en-GB"/>
              </w:rPr>
              <w:t>W</w:t>
            </w:r>
            <w:r w:rsidRPr="007D699F">
              <w:rPr>
                <w:rFonts w:ascii="Times New Roman" w:hAnsi="Times New Roman" w:cs="Times New Roman"/>
                <w:sz w:val="24"/>
                <w:szCs w:val="24"/>
                <w:vertAlign w:val="subscript"/>
                <w:lang w:eastAsia="en-GB"/>
              </w:rPr>
              <w:t>p</w:t>
            </w:r>
            <w:r w:rsidRPr="007D699F">
              <w:rPr>
                <w:rFonts w:ascii="Times New Roman" w:hAnsi="Times New Roman" w:cs="Times New Roman"/>
                <w:sz w:val="24"/>
                <w:szCs w:val="24"/>
                <w:lang w:eastAsia="en-GB"/>
              </w:rPr>
              <w:t>)</w:t>
            </w:r>
          </w:p>
        </w:tc>
        <w:tc>
          <w:tcPr>
            <w:tcW w:w="900" w:type="dxa"/>
            <w:tcBorders>
              <w:top w:val="nil"/>
              <w:left w:val="nil"/>
              <w:bottom w:val="nil"/>
              <w:right w:val="nil"/>
            </w:tcBorders>
            <w:vAlign w:val="center"/>
            <w:hideMark/>
          </w:tcPr>
          <w:p w14:paraId="4682B785"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kg</w:t>
            </w:r>
          </w:p>
        </w:tc>
        <w:tc>
          <w:tcPr>
            <w:tcW w:w="3992" w:type="dxa"/>
            <w:tcBorders>
              <w:top w:val="nil"/>
              <w:left w:val="nil"/>
              <w:bottom w:val="nil"/>
              <w:right w:val="nil"/>
            </w:tcBorders>
            <w:vAlign w:val="center"/>
            <w:hideMark/>
          </w:tcPr>
          <w:p w14:paraId="1FC74C73"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155,129</w:t>
            </w:r>
          </w:p>
        </w:tc>
      </w:tr>
      <w:tr w:rsidR="00F62F6B" w:rsidRPr="007D699F" w14:paraId="7CDEE982" w14:textId="77777777" w:rsidTr="006C247F">
        <w:trPr>
          <w:trHeight w:val="108"/>
          <w:jc w:val="center"/>
        </w:trPr>
        <w:tc>
          <w:tcPr>
            <w:tcW w:w="4654" w:type="dxa"/>
            <w:tcBorders>
              <w:top w:val="nil"/>
              <w:left w:val="nil"/>
              <w:bottom w:val="nil"/>
              <w:right w:val="nil"/>
            </w:tcBorders>
            <w:hideMark/>
          </w:tcPr>
          <w:p w14:paraId="32D019B9" w14:textId="77777777" w:rsidR="00F62F6B" w:rsidRPr="00556067" w:rsidRDefault="00F62F6B" w:rsidP="00872636">
            <w:pPr>
              <w:spacing w:line="276" w:lineRule="auto"/>
              <w:rPr>
                <w:rFonts w:ascii="Times New Roman" w:hAnsi="Times New Roman" w:cs="Times New Roman"/>
                <w:sz w:val="24"/>
                <w:szCs w:val="24"/>
                <w:lang w:eastAsia="en-GB"/>
              </w:rPr>
            </w:pPr>
            <w:r w:rsidRPr="002201D7">
              <w:rPr>
                <w:rFonts w:ascii="Times New Roman" w:hAnsi="Times New Roman" w:cs="Times New Roman"/>
                <w:sz w:val="24"/>
                <w:szCs w:val="24"/>
                <w:lang w:eastAsia="en-GB"/>
              </w:rPr>
              <w:t>Overall efficiency (</w:t>
            </w:r>
            <m:oMath>
              <m:sSub>
                <m:sSubPr>
                  <m:ctrlPr>
                    <w:rPr>
                      <w:rFonts w:ascii="Cambria Math" w:hAnsi="Cambria Math" w:cs="Times New Roman"/>
                      <w:i/>
                      <w:sz w:val="24"/>
                      <w:szCs w:val="24"/>
                    </w:rPr>
                  </m:ctrlPr>
                </m:sSubPr>
                <m:e>
                  <m:r>
                    <w:rPr>
                      <w:rFonts w:ascii="Cambria Math" w:hAnsi="Cambria Math" w:cs="Times New Roman"/>
                      <w:sz w:val="24"/>
                      <w:szCs w:val="24"/>
                      <w:lang w:eastAsia="en-GB"/>
                    </w:rPr>
                    <m:t>η</m:t>
                  </m:r>
                </m:e>
                <m:sub>
                  <m:r>
                    <m:rPr>
                      <m:sty m:val="p"/>
                    </m:rPr>
                    <w:rPr>
                      <w:rFonts w:ascii="Cambria Math" w:hAnsi="Cambria Math" w:cs="Times New Roman"/>
                      <w:sz w:val="24"/>
                      <w:szCs w:val="24"/>
                      <w:lang w:eastAsia="en-GB"/>
                    </w:rPr>
                    <m:t>o</m:t>
                  </m:r>
                </m:sub>
              </m:sSub>
            </m:oMath>
            <w:r w:rsidRPr="002201D7">
              <w:rPr>
                <w:rFonts w:ascii="Times New Roman" w:hAnsi="Times New Roman" w:cs="Times New Roman"/>
                <w:sz w:val="24"/>
                <w:szCs w:val="24"/>
                <w:lang w:eastAsia="en-GB"/>
              </w:rPr>
              <w:t>)</w:t>
            </w:r>
          </w:p>
        </w:tc>
        <w:tc>
          <w:tcPr>
            <w:tcW w:w="900" w:type="dxa"/>
            <w:tcBorders>
              <w:top w:val="nil"/>
              <w:left w:val="nil"/>
              <w:bottom w:val="nil"/>
              <w:right w:val="nil"/>
            </w:tcBorders>
            <w:vAlign w:val="center"/>
            <w:hideMark/>
          </w:tcPr>
          <w:p w14:paraId="7477A486" w14:textId="77777777" w:rsidR="00F62F6B" w:rsidRPr="00CE68A4" w:rsidRDefault="00F62F6B" w:rsidP="00872636">
            <w:pPr>
              <w:spacing w:line="276" w:lineRule="auto"/>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w:t>
            </w:r>
          </w:p>
        </w:tc>
        <w:tc>
          <w:tcPr>
            <w:tcW w:w="3992" w:type="dxa"/>
            <w:tcBorders>
              <w:top w:val="nil"/>
              <w:left w:val="nil"/>
              <w:bottom w:val="nil"/>
              <w:right w:val="nil"/>
            </w:tcBorders>
            <w:vAlign w:val="center"/>
            <w:hideMark/>
          </w:tcPr>
          <w:p w14:paraId="2CEF8C1C"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0.4</w:t>
            </w:r>
            <w:r w:rsidRPr="007D699F">
              <w:rPr>
                <w:rFonts w:ascii="Times New Roman" w:hAnsi="Times New Roman" w:cs="Times New Roman"/>
                <w:sz w:val="24"/>
                <w:szCs w:val="24"/>
                <w:vertAlign w:val="superscript"/>
                <w:lang w:eastAsia="en-GB"/>
              </w:rPr>
              <w:t>[3]</w:t>
            </w:r>
          </w:p>
        </w:tc>
      </w:tr>
      <w:tr w:rsidR="00F62F6B" w:rsidRPr="007D699F" w14:paraId="6CA6954E" w14:textId="77777777" w:rsidTr="006C247F">
        <w:trPr>
          <w:trHeight w:val="217"/>
          <w:jc w:val="center"/>
        </w:trPr>
        <w:tc>
          <w:tcPr>
            <w:tcW w:w="4654" w:type="dxa"/>
            <w:tcBorders>
              <w:top w:val="nil"/>
              <w:left w:val="nil"/>
              <w:bottom w:val="nil"/>
              <w:right w:val="nil"/>
            </w:tcBorders>
            <w:hideMark/>
          </w:tcPr>
          <w:p w14:paraId="0EB10A2E" w14:textId="77777777" w:rsidR="00F62F6B" w:rsidRPr="00044DD7" w:rsidRDefault="00F62F6B" w:rsidP="00872636">
            <w:pPr>
              <w:spacing w:line="276" w:lineRule="auto"/>
              <w:rPr>
                <w:rFonts w:ascii="Times New Roman" w:hAnsi="Times New Roman" w:cs="Times New Roman"/>
                <w:sz w:val="24"/>
                <w:szCs w:val="24"/>
                <w:lang w:eastAsia="en-GB"/>
              </w:rPr>
            </w:pPr>
            <w:r w:rsidRPr="002201D7">
              <w:rPr>
                <w:rFonts w:ascii="Times New Roman" w:hAnsi="Times New Roman" w:cs="Times New Roman"/>
                <w:sz w:val="24"/>
                <w:szCs w:val="24"/>
                <w:lang w:eastAsia="en-GB"/>
              </w:rPr>
              <w:t>Fuselage length (</w:t>
            </w:r>
            <w:r w:rsidRPr="00556067">
              <w:rPr>
                <w:rFonts w:ascii="Times New Roman" w:hAnsi="Times New Roman" w:cs="Times New Roman"/>
                <w:i/>
                <w:iCs/>
                <w:sz w:val="24"/>
                <w:szCs w:val="24"/>
                <w:lang w:eastAsia="en-GB"/>
              </w:rPr>
              <w:t>l</w:t>
            </w:r>
            <w:r w:rsidRPr="00556067">
              <w:rPr>
                <w:rFonts w:ascii="Times New Roman" w:hAnsi="Times New Roman" w:cs="Times New Roman"/>
                <w:sz w:val="24"/>
                <w:szCs w:val="24"/>
                <w:vertAlign w:val="subscript"/>
                <w:lang w:eastAsia="en-GB"/>
              </w:rPr>
              <w:t>f</w:t>
            </w:r>
            <w:r w:rsidRPr="00CE68A4">
              <w:rPr>
                <w:rFonts w:ascii="Times New Roman" w:hAnsi="Times New Roman" w:cs="Times New Roman"/>
                <w:sz w:val="24"/>
                <w:szCs w:val="24"/>
                <w:lang w:eastAsia="en-GB"/>
              </w:rPr>
              <w:t>)</w:t>
            </w:r>
          </w:p>
        </w:tc>
        <w:tc>
          <w:tcPr>
            <w:tcW w:w="900" w:type="dxa"/>
            <w:tcBorders>
              <w:top w:val="nil"/>
              <w:left w:val="nil"/>
              <w:bottom w:val="nil"/>
              <w:right w:val="nil"/>
            </w:tcBorders>
            <w:vAlign w:val="center"/>
            <w:hideMark/>
          </w:tcPr>
          <w:p w14:paraId="38E03431"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m</w:t>
            </w:r>
          </w:p>
        </w:tc>
        <w:tc>
          <w:tcPr>
            <w:tcW w:w="3992" w:type="dxa"/>
            <w:tcBorders>
              <w:top w:val="nil"/>
              <w:left w:val="nil"/>
              <w:bottom w:val="nil"/>
              <w:right w:val="nil"/>
            </w:tcBorders>
            <w:vAlign w:val="center"/>
            <w:hideMark/>
          </w:tcPr>
          <w:p w14:paraId="0C3F1F75"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72.25</w:t>
            </w:r>
            <w:r w:rsidRPr="007D699F">
              <w:rPr>
                <w:rFonts w:ascii="Times New Roman" w:hAnsi="Times New Roman" w:cs="Times New Roman"/>
                <w:sz w:val="24"/>
                <w:szCs w:val="24"/>
                <w:vertAlign w:val="superscript"/>
                <w:lang w:eastAsia="en-GB"/>
              </w:rPr>
              <w:t>[1]</w:t>
            </w:r>
            <w:r w:rsidRPr="007D699F">
              <w:rPr>
                <w:rFonts w:ascii="Times New Roman" w:hAnsi="Times New Roman" w:cs="Times New Roman"/>
                <w:sz w:val="24"/>
                <w:szCs w:val="24"/>
                <w:lang w:eastAsia="en-GB"/>
              </w:rPr>
              <w:t xml:space="preserve"> </w:t>
            </w:r>
          </w:p>
        </w:tc>
      </w:tr>
      <w:tr w:rsidR="00F62F6B" w:rsidRPr="007D699F" w14:paraId="6D73AA93" w14:textId="77777777" w:rsidTr="006C247F">
        <w:trPr>
          <w:trHeight w:val="217"/>
          <w:jc w:val="center"/>
        </w:trPr>
        <w:tc>
          <w:tcPr>
            <w:tcW w:w="4654" w:type="dxa"/>
            <w:tcBorders>
              <w:top w:val="nil"/>
              <w:left w:val="nil"/>
              <w:bottom w:val="nil"/>
              <w:right w:val="nil"/>
            </w:tcBorders>
            <w:hideMark/>
          </w:tcPr>
          <w:p w14:paraId="4DBACE51" w14:textId="77777777" w:rsidR="00F62F6B" w:rsidRPr="00044DD7" w:rsidRDefault="00F62F6B" w:rsidP="00872636">
            <w:pPr>
              <w:spacing w:line="276" w:lineRule="auto"/>
              <w:rPr>
                <w:rFonts w:ascii="Times New Roman" w:hAnsi="Times New Roman" w:cs="Times New Roman"/>
                <w:sz w:val="24"/>
                <w:szCs w:val="24"/>
                <w:lang w:eastAsia="en-GB"/>
              </w:rPr>
            </w:pPr>
            <w:r w:rsidRPr="002201D7">
              <w:rPr>
                <w:rFonts w:ascii="Times New Roman" w:hAnsi="Times New Roman" w:cs="Times New Roman"/>
                <w:sz w:val="24"/>
                <w:szCs w:val="24"/>
                <w:lang w:eastAsia="en-GB"/>
              </w:rPr>
              <w:t>Fuselage width (</w:t>
            </w:r>
            <w:r w:rsidRPr="00556067">
              <w:rPr>
                <w:rFonts w:ascii="Times New Roman" w:hAnsi="Times New Roman" w:cs="Times New Roman"/>
                <w:i/>
                <w:iCs/>
                <w:sz w:val="24"/>
                <w:szCs w:val="24"/>
                <w:lang w:eastAsia="en-GB"/>
              </w:rPr>
              <w:t>d</w:t>
            </w:r>
            <w:r w:rsidRPr="00556067">
              <w:rPr>
                <w:rFonts w:ascii="Times New Roman" w:hAnsi="Times New Roman" w:cs="Times New Roman"/>
                <w:sz w:val="24"/>
                <w:szCs w:val="24"/>
                <w:vertAlign w:val="subscript"/>
                <w:lang w:eastAsia="en-GB"/>
              </w:rPr>
              <w:t>f</w:t>
            </w:r>
            <w:r w:rsidRPr="00CE68A4">
              <w:rPr>
                <w:rFonts w:ascii="Times New Roman" w:hAnsi="Times New Roman" w:cs="Times New Roman"/>
                <w:sz w:val="24"/>
                <w:szCs w:val="24"/>
                <w:lang w:eastAsia="en-GB"/>
              </w:rPr>
              <w:t>)</w:t>
            </w:r>
          </w:p>
        </w:tc>
        <w:tc>
          <w:tcPr>
            <w:tcW w:w="900" w:type="dxa"/>
            <w:tcBorders>
              <w:top w:val="nil"/>
              <w:left w:val="nil"/>
              <w:bottom w:val="nil"/>
              <w:right w:val="nil"/>
            </w:tcBorders>
            <w:vAlign w:val="center"/>
            <w:hideMark/>
          </w:tcPr>
          <w:p w14:paraId="1289D25E"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m</w:t>
            </w:r>
          </w:p>
        </w:tc>
        <w:tc>
          <w:tcPr>
            <w:tcW w:w="3992" w:type="dxa"/>
            <w:tcBorders>
              <w:top w:val="nil"/>
              <w:left w:val="nil"/>
              <w:bottom w:val="nil"/>
              <w:right w:val="nil"/>
            </w:tcBorders>
            <w:vAlign w:val="center"/>
            <w:hideMark/>
          </w:tcPr>
          <w:p w14:paraId="4C582AED"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5.96</w:t>
            </w:r>
            <w:r w:rsidRPr="007D699F">
              <w:rPr>
                <w:rFonts w:ascii="Times New Roman" w:hAnsi="Times New Roman" w:cs="Times New Roman"/>
                <w:sz w:val="24"/>
                <w:szCs w:val="24"/>
                <w:vertAlign w:val="superscript"/>
                <w:lang w:eastAsia="en-GB"/>
              </w:rPr>
              <w:t>[1]</w:t>
            </w:r>
          </w:p>
        </w:tc>
      </w:tr>
      <w:tr w:rsidR="00F62F6B" w:rsidRPr="007D699F" w14:paraId="244AE809" w14:textId="77777777" w:rsidTr="006C247F">
        <w:trPr>
          <w:trHeight w:val="217"/>
          <w:jc w:val="center"/>
        </w:trPr>
        <w:tc>
          <w:tcPr>
            <w:tcW w:w="4654" w:type="dxa"/>
            <w:tcBorders>
              <w:top w:val="nil"/>
              <w:left w:val="nil"/>
              <w:bottom w:val="nil"/>
              <w:right w:val="nil"/>
            </w:tcBorders>
            <w:hideMark/>
          </w:tcPr>
          <w:p w14:paraId="0963B980" w14:textId="77777777" w:rsidR="00F62F6B" w:rsidRPr="007D699F" w:rsidRDefault="00F62F6B" w:rsidP="00872636">
            <w:pPr>
              <w:spacing w:line="276" w:lineRule="auto"/>
              <w:rPr>
                <w:rFonts w:ascii="Times New Roman" w:hAnsi="Times New Roman" w:cs="Times New Roman"/>
                <w:sz w:val="24"/>
                <w:szCs w:val="24"/>
                <w:lang w:eastAsia="en-GB"/>
              </w:rPr>
            </w:pPr>
            <w:r w:rsidRPr="002201D7">
              <w:rPr>
                <w:rFonts w:ascii="Times New Roman" w:hAnsi="Times New Roman" w:cs="Times New Roman"/>
                <w:sz w:val="24"/>
                <w:szCs w:val="24"/>
                <w:lang w:eastAsia="en-GB"/>
              </w:rPr>
              <w:t>Fuselage fineness ratio (</w:t>
            </w:r>
            <w:r w:rsidRPr="00556067">
              <w:rPr>
                <w:rFonts w:ascii="Times New Roman" w:hAnsi="Times New Roman" w:cs="Times New Roman"/>
                <w:i/>
                <w:iCs/>
                <w:sz w:val="24"/>
                <w:szCs w:val="24"/>
                <w:lang w:eastAsia="en-GB"/>
              </w:rPr>
              <w:t>l</w:t>
            </w:r>
            <w:r w:rsidRPr="00556067">
              <w:rPr>
                <w:rFonts w:ascii="Times New Roman" w:hAnsi="Times New Roman" w:cs="Times New Roman"/>
                <w:sz w:val="24"/>
                <w:szCs w:val="24"/>
                <w:vertAlign w:val="subscript"/>
                <w:lang w:eastAsia="en-GB"/>
              </w:rPr>
              <w:t xml:space="preserve">f </w:t>
            </w:r>
            <w:r w:rsidRPr="00CE68A4">
              <w:rPr>
                <w:rFonts w:ascii="Times New Roman" w:hAnsi="Times New Roman" w:cs="Times New Roman"/>
                <w:sz w:val="24"/>
                <w:szCs w:val="24"/>
                <w:lang w:eastAsia="en-GB"/>
              </w:rPr>
              <w:t>/</w:t>
            </w:r>
            <w:r w:rsidRPr="00044DD7">
              <w:rPr>
                <w:rFonts w:ascii="Times New Roman" w:hAnsi="Times New Roman" w:cs="Times New Roman"/>
                <w:i/>
                <w:iCs/>
                <w:sz w:val="24"/>
                <w:szCs w:val="24"/>
                <w:lang w:eastAsia="en-GB"/>
              </w:rPr>
              <w:t>d</w:t>
            </w:r>
            <w:r w:rsidRPr="007D699F">
              <w:rPr>
                <w:rFonts w:ascii="Times New Roman" w:hAnsi="Times New Roman" w:cs="Times New Roman"/>
                <w:sz w:val="24"/>
                <w:szCs w:val="24"/>
                <w:vertAlign w:val="subscript"/>
                <w:lang w:eastAsia="en-GB"/>
              </w:rPr>
              <w:t>f</w:t>
            </w:r>
            <w:r w:rsidRPr="007D699F">
              <w:rPr>
                <w:rFonts w:ascii="Times New Roman" w:hAnsi="Times New Roman" w:cs="Times New Roman"/>
                <w:sz w:val="24"/>
                <w:szCs w:val="24"/>
                <w:lang w:eastAsia="en-GB"/>
              </w:rPr>
              <w:t>)</w:t>
            </w:r>
          </w:p>
        </w:tc>
        <w:tc>
          <w:tcPr>
            <w:tcW w:w="900" w:type="dxa"/>
            <w:tcBorders>
              <w:top w:val="nil"/>
              <w:left w:val="nil"/>
              <w:bottom w:val="nil"/>
              <w:right w:val="nil"/>
            </w:tcBorders>
            <w:vAlign w:val="center"/>
            <w:hideMark/>
          </w:tcPr>
          <w:p w14:paraId="51D00CC9"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w:t>
            </w:r>
          </w:p>
        </w:tc>
        <w:tc>
          <w:tcPr>
            <w:tcW w:w="3992" w:type="dxa"/>
            <w:tcBorders>
              <w:top w:val="nil"/>
              <w:left w:val="nil"/>
              <w:bottom w:val="nil"/>
              <w:right w:val="nil"/>
            </w:tcBorders>
            <w:vAlign w:val="center"/>
            <w:hideMark/>
          </w:tcPr>
          <w:p w14:paraId="35875815"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12.12</w:t>
            </w:r>
          </w:p>
        </w:tc>
      </w:tr>
      <w:tr w:rsidR="00F62F6B" w:rsidRPr="007D699F" w14:paraId="00AC51CF" w14:textId="77777777" w:rsidTr="006C247F">
        <w:trPr>
          <w:trHeight w:val="217"/>
          <w:jc w:val="center"/>
        </w:trPr>
        <w:tc>
          <w:tcPr>
            <w:tcW w:w="4654" w:type="dxa"/>
            <w:tcBorders>
              <w:top w:val="nil"/>
              <w:left w:val="nil"/>
              <w:bottom w:val="nil"/>
              <w:right w:val="nil"/>
            </w:tcBorders>
            <w:hideMark/>
          </w:tcPr>
          <w:p w14:paraId="68B462E8" w14:textId="77777777" w:rsidR="00F62F6B" w:rsidRPr="00556067" w:rsidRDefault="00F62F6B" w:rsidP="00872636">
            <w:pPr>
              <w:spacing w:line="276" w:lineRule="auto"/>
              <w:rPr>
                <w:rFonts w:ascii="Times New Roman" w:hAnsi="Times New Roman" w:cs="Times New Roman"/>
                <w:sz w:val="24"/>
                <w:szCs w:val="24"/>
                <w:lang w:eastAsia="en-GB"/>
              </w:rPr>
            </w:pPr>
            <w:r w:rsidRPr="002201D7">
              <w:rPr>
                <w:rFonts w:ascii="Times New Roman" w:hAnsi="Times New Roman" w:cs="Times New Roman"/>
                <w:sz w:val="24"/>
                <w:szCs w:val="24"/>
                <w:lang w:eastAsia="en-GB"/>
              </w:rPr>
              <w:t>Wing area</w:t>
            </w:r>
          </w:p>
        </w:tc>
        <w:tc>
          <w:tcPr>
            <w:tcW w:w="900" w:type="dxa"/>
            <w:tcBorders>
              <w:top w:val="nil"/>
              <w:left w:val="nil"/>
              <w:bottom w:val="nil"/>
              <w:right w:val="nil"/>
            </w:tcBorders>
            <w:vAlign w:val="center"/>
            <w:hideMark/>
          </w:tcPr>
          <w:p w14:paraId="6B433C9D" w14:textId="77777777" w:rsidR="00F62F6B" w:rsidRPr="00044DD7" w:rsidRDefault="00F62F6B" w:rsidP="00872636">
            <w:pPr>
              <w:spacing w:line="276" w:lineRule="auto"/>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m</w:t>
            </w:r>
            <w:r w:rsidRPr="00CE68A4">
              <w:rPr>
                <w:rFonts w:ascii="Times New Roman" w:hAnsi="Times New Roman" w:cs="Times New Roman"/>
                <w:sz w:val="24"/>
                <w:szCs w:val="24"/>
                <w:vertAlign w:val="superscript"/>
                <w:lang w:eastAsia="en-GB"/>
              </w:rPr>
              <w:t>2</w:t>
            </w:r>
          </w:p>
        </w:tc>
        <w:tc>
          <w:tcPr>
            <w:tcW w:w="3992" w:type="dxa"/>
            <w:tcBorders>
              <w:top w:val="nil"/>
              <w:left w:val="nil"/>
              <w:bottom w:val="nil"/>
              <w:right w:val="nil"/>
            </w:tcBorders>
            <w:vAlign w:val="center"/>
            <w:hideMark/>
          </w:tcPr>
          <w:p w14:paraId="0D79472D"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465</w:t>
            </w:r>
            <w:r w:rsidRPr="007D699F">
              <w:rPr>
                <w:rFonts w:ascii="Times New Roman" w:hAnsi="Times New Roman" w:cs="Times New Roman"/>
                <w:sz w:val="24"/>
                <w:szCs w:val="24"/>
                <w:vertAlign w:val="superscript"/>
                <w:lang w:eastAsia="en-GB"/>
              </w:rPr>
              <w:t>[4], [5]</w:t>
            </w:r>
            <w:r w:rsidRPr="007D699F">
              <w:rPr>
                <w:rFonts w:ascii="Times New Roman" w:hAnsi="Times New Roman" w:cs="Times New Roman"/>
                <w:sz w:val="24"/>
                <w:szCs w:val="24"/>
                <w:lang w:eastAsia="en-GB"/>
              </w:rPr>
              <w:t xml:space="preserve"> </w:t>
            </w:r>
          </w:p>
        </w:tc>
      </w:tr>
      <w:tr w:rsidR="00F62F6B" w:rsidRPr="007D699F" w14:paraId="06F3F73D" w14:textId="77777777" w:rsidTr="006C247F">
        <w:trPr>
          <w:trHeight w:val="217"/>
          <w:jc w:val="center"/>
        </w:trPr>
        <w:tc>
          <w:tcPr>
            <w:tcW w:w="4654" w:type="dxa"/>
            <w:tcBorders>
              <w:top w:val="nil"/>
              <w:left w:val="nil"/>
              <w:bottom w:val="nil"/>
              <w:right w:val="nil"/>
            </w:tcBorders>
            <w:hideMark/>
          </w:tcPr>
          <w:p w14:paraId="6DCB181C" w14:textId="77777777" w:rsidR="00F62F6B" w:rsidRPr="00556067" w:rsidRDefault="00F62F6B" w:rsidP="00872636">
            <w:pPr>
              <w:spacing w:line="276" w:lineRule="auto"/>
              <w:rPr>
                <w:rFonts w:ascii="Times New Roman" w:hAnsi="Times New Roman" w:cs="Times New Roman"/>
                <w:sz w:val="24"/>
                <w:szCs w:val="24"/>
                <w:lang w:eastAsia="en-GB"/>
              </w:rPr>
            </w:pPr>
            <w:r w:rsidRPr="002201D7">
              <w:rPr>
                <w:rFonts w:ascii="Times New Roman" w:hAnsi="Times New Roman" w:cs="Times New Roman"/>
                <w:sz w:val="24"/>
                <w:szCs w:val="24"/>
                <w:lang w:eastAsia="en-GB"/>
              </w:rPr>
              <w:t>Span</w:t>
            </w:r>
          </w:p>
        </w:tc>
        <w:tc>
          <w:tcPr>
            <w:tcW w:w="900" w:type="dxa"/>
            <w:tcBorders>
              <w:top w:val="nil"/>
              <w:left w:val="nil"/>
              <w:bottom w:val="nil"/>
              <w:right w:val="nil"/>
            </w:tcBorders>
            <w:vAlign w:val="center"/>
            <w:hideMark/>
          </w:tcPr>
          <w:p w14:paraId="2368E6EE" w14:textId="77777777" w:rsidR="00F62F6B" w:rsidRPr="00CE68A4" w:rsidRDefault="00F62F6B" w:rsidP="00872636">
            <w:pPr>
              <w:spacing w:line="276" w:lineRule="auto"/>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m</w:t>
            </w:r>
          </w:p>
        </w:tc>
        <w:tc>
          <w:tcPr>
            <w:tcW w:w="3992" w:type="dxa"/>
            <w:tcBorders>
              <w:top w:val="nil"/>
              <w:left w:val="nil"/>
              <w:bottom w:val="nil"/>
              <w:right w:val="nil"/>
            </w:tcBorders>
            <w:vAlign w:val="center"/>
            <w:hideMark/>
          </w:tcPr>
          <w:p w14:paraId="0A70081D"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65</w:t>
            </w:r>
            <w:r w:rsidRPr="007D699F">
              <w:rPr>
                <w:rFonts w:ascii="Times New Roman" w:hAnsi="Times New Roman" w:cs="Times New Roman"/>
                <w:sz w:val="24"/>
                <w:szCs w:val="24"/>
                <w:vertAlign w:val="superscript"/>
                <w:lang w:eastAsia="en-GB"/>
              </w:rPr>
              <w:t>[1]</w:t>
            </w:r>
          </w:p>
        </w:tc>
      </w:tr>
      <w:tr w:rsidR="00F62F6B" w:rsidRPr="007D699F" w14:paraId="5B8FE703" w14:textId="77777777" w:rsidTr="006C247F">
        <w:trPr>
          <w:trHeight w:val="217"/>
          <w:jc w:val="center"/>
        </w:trPr>
        <w:tc>
          <w:tcPr>
            <w:tcW w:w="4654" w:type="dxa"/>
            <w:tcBorders>
              <w:top w:val="nil"/>
              <w:left w:val="nil"/>
              <w:bottom w:val="single" w:sz="4" w:space="0" w:color="auto"/>
              <w:right w:val="nil"/>
            </w:tcBorders>
            <w:hideMark/>
          </w:tcPr>
          <w:p w14:paraId="58608333" w14:textId="77777777" w:rsidR="00F62F6B" w:rsidRPr="00CE68A4" w:rsidRDefault="00F62F6B" w:rsidP="00872636">
            <w:pPr>
              <w:spacing w:line="276" w:lineRule="auto"/>
              <w:rPr>
                <w:rFonts w:ascii="Times New Roman" w:hAnsi="Times New Roman" w:cs="Times New Roman"/>
                <w:sz w:val="24"/>
                <w:szCs w:val="24"/>
                <w:lang w:eastAsia="en-GB"/>
              </w:rPr>
            </w:pPr>
            <w:r w:rsidRPr="002201D7">
              <w:rPr>
                <w:rFonts w:ascii="Times New Roman" w:hAnsi="Times New Roman" w:cs="Times New Roman"/>
                <w:sz w:val="24"/>
                <w:szCs w:val="24"/>
                <w:lang w:eastAsia="en-GB"/>
              </w:rPr>
              <w:t>Aspect ratio AR (= span</w:t>
            </w:r>
            <w:r w:rsidRPr="00556067">
              <w:rPr>
                <w:rFonts w:ascii="Times New Roman" w:hAnsi="Times New Roman" w:cs="Times New Roman"/>
                <w:sz w:val="24"/>
                <w:szCs w:val="24"/>
                <w:vertAlign w:val="superscript"/>
                <w:lang w:eastAsia="en-GB"/>
              </w:rPr>
              <w:t>2</w:t>
            </w:r>
            <w:r w:rsidRPr="00556067">
              <w:rPr>
                <w:rFonts w:ascii="Times New Roman" w:hAnsi="Times New Roman" w:cs="Times New Roman"/>
                <w:sz w:val="24"/>
                <w:szCs w:val="24"/>
                <w:lang w:eastAsia="en-GB"/>
              </w:rPr>
              <w:t>/wing area)</w:t>
            </w:r>
          </w:p>
        </w:tc>
        <w:tc>
          <w:tcPr>
            <w:tcW w:w="900" w:type="dxa"/>
            <w:tcBorders>
              <w:top w:val="nil"/>
              <w:left w:val="nil"/>
              <w:bottom w:val="single" w:sz="4" w:space="0" w:color="auto"/>
              <w:right w:val="nil"/>
            </w:tcBorders>
            <w:vAlign w:val="center"/>
            <w:hideMark/>
          </w:tcPr>
          <w:p w14:paraId="09962388"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w:t>
            </w:r>
          </w:p>
        </w:tc>
        <w:tc>
          <w:tcPr>
            <w:tcW w:w="3992" w:type="dxa"/>
            <w:tcBorders>
              <w:top w:val="nil"/>
              <w:left w:val="nil"/>
              <w:bottom w:val="single" w:sz="4" w:space="0" w:color="auto"/>
              <w:right w:val="nil"/>
            </w:tcBorders>
            <w:vAlign w:val="center"/>
            <w:hideMark/>
          </w:tcPr>
          <w:p w14:paraId="5FDDD060"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9.12</w:t>
            </w:r>
          </w:p>
        </w:tc>
      </w:tr>
      <w:tr w:rsidR="00F62F6B" w:rsidRPr="007D699F" w14:paraId="65F3932E" w14:textId="77777777" w:rsidTr="006C247F">
        <w:trPr>
          <w:trHeight w:val="217"/>
          <w:jc w:val="center"/>
        </w:trPr>
        <w:tc>
          <w:tcPr>
            <w:tcW w:w="9546" w:type="dxa"/>
            <w:gridSpan w:val="3"/>
            <w:tcBorders>
              <w:top w:val="single" w:sz="4" w:space="0" w:color="auto"/>
              <w:left w:val="nil"/>
              <w:bottom w:val="single" w:sz="4" w:space="0" w:color="auto"/>
              <w:right w:val="nil"/>
            </w:tcBorders>
            <w:hideMark/>
          </w:tcPr>
          <w:p w14:paraId="3A9E4CC2" w14:textId="77777777" w:rsidR="00F62F6B" w:rsidRPr="00556067" w:rsidRDefault="00F62F6B" w:rsidP="00872636">
            <w:pPr>
              <w:spacing w:line="276" w:lineRule="auto"/>
              <w:jc w:val="center"/>
              <w:rPr>
                <w:rFonts w:ascii="Times New Roman" w:hAnsi="Times New Roman" w:cs="Times New Roman"/>
                <w:sz w:val="24"/>
                <w:szCs w:val="24"/>
                <w:lang w:eastAsia="en-GB"/>
              </w:rPr>
            </w:pPr>
            <w:r w:rsidRPr="002201D7">
              <w:rPr>
                <w:rFonts w:ascii="Times New Roman" w:hAnsi="Times New Roman" w:cs="Times New Roman"/>
                <w:sz w:val="24"/>
                <w:szCs w:val="24"/>
                <w:lang w:eastAsia="en-GB"/>
              </w:rPr>
              <w:t>Typical cruise conditions for large transport j</w:t>
            </w:r>
            <w:r w:rsidRPr="00556067">
              <w:rPr>
                <w:rFonts w:ascii="Times New Roman" w:hAnsi="Times New Roman" w:cs="Times New Roman"/>
                <w:sz w:val="24"/>
                <w:szCs w:val="24"/>
                <w:lang w:eastAsia="en-GB"/>
              </w:rPr>
              <w:t>ets</w:t>
            </w:r>
          </w:p>
        </w:tc>
      </w:tr>
      <w:tr w:rsidR="00F62F6B" w:rsidRPr="007D699F" w14:paraId="63B92C67" w14:textId="77777777" w:rsidTr="006C247F">
        <w:trPr>
          <w:trHeight w:val="217"/>
          <w:jc w:val="center"/>
        </w:trPr>
        <w:tc>
          <w:tcPr>
            <w:tcW w:w="4654" w:type="dxa"/>
            <w:tcBorders>
              <w:top w:val="nil"/>
              <w:left w:val="nil"/>
              <w:bottom w:val="nil"/>
              <w:right w:val="nil"/>
            </w:tcBorders>
            <w:hideMark/>
          </w:tcPr>
          <w:p w14:paraId="4C622A58" w14:textId="77777777" w:rsidR="00F62F6B" w:rsidRPr="00556067" w:rsidRDefault="00F62F6B" w:rsidP="00872636">
            <w:pPr>
              <w:spacing w:line="276" w:lineRule="auto"/>
              <w:rPr>
                <w:rFonts w:ascii="Times New Roman" w:hAnsi="Times New Roman" w:cs="Times New Roman"/>
                <w:sz w:val="24"/>
                <w:szCs w:val="24"/>
                <w:lang w:eastAsia="en-GB"/>
              </w:rPr>
            </w:pPr>
            <w:r w:rsidRPr="002201D7">
              <w:rPr>
                <w:rFonts w:ascii="Times New Roman" w:hAnsi="Times New Roman" w:cs="Times New Roman"/>
                <w:sz w:val="24"/>
                <w:szCs w:val="24"/>
                <w:lang w:eastAsia="en-GB"/>
              </w:rPr>
              <w:t xml:space="preserve">Altitude </w:t>
            </w:r>
          </w:p>
        </w:tc>
        <w:tc>
          <w:tcPr>
            <w:tcW w:w="900" w:type="dxa"/>
            <w:tcBorders>
              <w:top w:val="nil"/>
              <w:left w:val="nil"/>
              <w:bottom w:val="nil"/>
              <w:right w:val="nil"/>
            </w:tcBorders>
            <w:vAlign w:val="center"/>
            <w:hideMark/>
          </w:tcPr>
          <w:p w14:paraId="6CFF5B9D" w14:textId="77777777" w:rsidR="00F62F6B" w:rsidRPr="00CE68A4" w:rsidRDefault="00F62F6B" w:rsidP="00872636">
            <w:pPr>
              <w:spacing w:line="276" w:lineRule="auto"/>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ft</w:t>
            </w:r>
          </w:p>
        </w:tc>
        <w:tc>
          <w:tcPr>
            <w:tcW w:w="3992" w:type="dxa"/>
            <w:tcBorders>
              <w:top w:val="nil"/>
              <w:left w:val="nil"/>
              <w:bottom w:val="nil"/>
              <w:right w:val="nil"/>
            </w:tcBorders>
            <w:vAlign w:val="center"/>
            <w:hideMark/>
          </w:tcPr>
          <w:p w14:paraId="1B6A9A96"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35,000</w:t>
            </w:r>
          </w:p>
        </w:tc>
      </w:tr>
      <w:tr w:rsidR="00F62F6B" w:rsidRPr="007D699F" w14:paraId="0D9FD76D" w14:textId="77777777" w:rsidTr="006C247F">
        <w:trPr>
          <w:trHeight w:val="217"/>
          <w:jc w:val="center"/>
        </w:trPr>
        <w:tc>
          <w:tcPr>
            <w:tcW w:w="4654" w:type="dxa"/>
            <w:tcBorders>
              <w:top w:val="nil"/>
              <w:left w:val="nil"/>
              <w:bottom w:val="nil"/>
              <w:right w:val="nil"/>
            </w:tcBorders>
          </w:tcPr>
          <w:p w14:paraId="51E9694C" w14:textId="77777777" w:rsidR="00F62F6B" w:rsidRPr="002201D7" w:rsidRDefault="00F62F6B" w:rsidP="00872636">
            <w:pPr>
              <w:spacing w:line="276" w:lineRule="auto"/>
              <w:rPr>
                <w:rFonts w:ascii="Times New Roman" w:hAnsi="Times New Roman" w:cs="Times New Roman"/>
                <w:sz w:val="24"/>
                <w:szCs w:val="24"/>
                <w:lang w:eastAsia="en-GB"/>
              </w:rPr>
            </w:pPr>
          </w:p>
        </w:tc>
        <w:tc>
          <w:tcPr>
            <w:tcW w:w="900" w:type="dxa"/>
            <w:tcBorders>
              <w:top w:val="nil"/>
              <w:left w:val="nil"/>
              <w:bottom w:val="nil"/>
              <w:right w:val="nil"/>
            </w:tcBorders>
            <w:vAlign w:val="center"/>
            <w:hideMark/>
          </w:tcPr>
          <w:p w14:paraId="02796872" w14:textId="77777777" w:rsidR="00F62F6B" w:rsidRPr="00556067" w:rsidRDefault="00F62F6B" w:rsidP="00872636">
            <w:pPr>
              <w:spacing w:line="276" w:lineRule="auto"/>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m</w:t>
            </w:r>
          </w:p>
        </w:tc>
        <w:tc>
          <w:tcPr>
            <w:tcW w:w="3992" w:type="dxa"/>
            <w:tcBorders>
              <w:top w:val="nil"/>
              <w:left w:val="nil"/>
              <w:bottom w:val="nil"/>
              <w:right w:val="nil"/>
            </w:tcBorders>
            <w:vAlign w:val="center"/>
            <w:hideMark/>
          </w:tcPr>
          <w:p w14:paraId="06A89D1B" w14:textId="77777777" w:rsidR="00F62F6B" w:rsidRPr="00044DD7" w:rsidRDefault="00F62F6B" w:rsidP="00872636">
            <w:pPr>
              <w:spacing w:line="276" w:lineRule="auto"/>
              <w:jc w:val="right"/>
              <w:rPr>
                <w:rFonts w:ascii="Times New Roman" w:hAnsi="Times New Roman" w:cs="Times New Roman"/>
                <w:sz w:val="24"/>
                <w:szCs w:val="24"/>
                <w:lang w:eastAsia="en-GB"/>
              </w:rPr>
            </w:pPr>
            <w:r w:rsidRPr="00CE68A4">
              <w:rPr>
                <w:rFonts w:ascii="Times New Roman" w:hAnsi="Times New Roman" w:cs="Times New Roman"/>
                <w:sz w:val="24"/>
                <w:szCs w:val="24"/>
                <w:lang w:eastAsia="en-GB"/>
              </w:rPr>
              <w:t>10,668</w:t>
            </w:r>
          </w:p>
        </w:tc>
      </w:tr>
      <w:tr w:rsidR="00F62F6B" w:rsidRPr="007D699F" w14:paraId="7BCB033A" w14:textId="77777777" w:rsidTr="006C247F">
        <w:trPr>
          <w:trHeight w:val="217"/>
          <w:jc w:val="center"/>
        </w:trPr>
        <w:tc>
          <w:tcPr>
            <w:tcW w:w="4654" w:type="dxa"/>
            <w:tcBorders>
              <w:top w:val="nil"/>
              <w:left w:val="nil"/>
              <w:bottom w:val="nil"/>
              <w:right w:val="nil"/>
            </w:tcBorders>
            <w:hideMark/>
          </w:tcPr>
          <w:p w14:paraId="48182710" w14:textId="77777777" w:rsidR="00F62F6B" w:rsidRPr="00556067" w:rsidRDefault="00F62F6B" w:rsidP="00872636">
            <w:pPr>
              <w:spacing w:line="276" w:lineRule="auto"/>
              <w:rPr>
                <w:rFonts w:ascii="Times New Roman" w:hAnsi="Times New Roman" w:cs="Times New Roman"/>
                <w:sz w:val="24"/>
                <w:szCs w:val="24"/>
                <w:lang w:eastAsia="en-GB"/>
              </w:rPr>
            </w:pPr>
            <w:r w:rsidRPr="002201D7">
              <w:rPr>
                <w:rFonts w:ascii="Times New Roman" w:hAnsi="Times New Roman" w:cs="Times New Roman"/>
                <w:sz w:val="24"/>
                <w:szCs w:val="24"/>
                <w:lang w:eastAsia="en-GB"/>
              </w:rPr>
              <w:t xml:space="preserve">Airspeed at 35,000 ft (10,668 m) </w:t>
            </w:r>
          </w:p>
        </w:tc>
        <w:tc>
          <w:tcPr>
            <w:tcW w:w="900" w:type="dxa"/>
            <w:tcBorders>
              <w:top w:val="nil"/>
              <w:left w:val="nil"/>
              <w:bottom w:val="nil"/>
              <w:right w:val="nil"/>
            </w:tcBorders>
            <w:vAlign w:val="center"/>
            <w:hideMark/>
          </w:tcPr>
          <w:p w14:paraId="619F5D6D" w14:textId="77777777" w:rsidR="00F62F6B" w:rsidRPr="00CE68A4" w:rsidRDefault="00F62F6B" w:rsidP="00872636">
            <w:pPr>
              <w:spacing w:line="276" w:lineRule="auto"/>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knots</w:t>
            </w:r>
          </w:p>
        </w:tc>
        <w:tc>
          <w:tcPr>
            <w:tcW w:w="3992" w:type="dxa"/>
            <w:tcBorders>
              <w:top w:val="nil"/>
              <w:left w:val="nil"/>
              <w:bottom w:val="nil"/>
              <w:right w:val="nil"/>
            </w:tcBorders>
            <w:vAlign w:val="center"/>
            <w:hideMark/>
          </w:tcPr>
          <w:p w14:paraId="39D00134"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490</w:t>
            </w:r>
            <w:r w:rsidRPr="007D699F">
              <w:rPr>
                <w:rFonts w:ascii="Times New Roman" w:hAnsi="Times New Roman" w:cs="Times New Roman"/>
                <w:sz w:val="24"/>
                <w:szCs w:val="24"/>
                <w:vertAlign w:val="superscript"/>
                <w:lang w:eastAsia="en-GB"/>
              </w:rPr>
              <w:t>[6]</w:t>
            </w:r>
          </w:p>
        </w:tc>
      </w:tr>
      <w:tr w:rsidR="00F62F6B" w:rsidRPr="007D699F" w14:paraId="5CC09CAD" w14:textId="77777777" w:rsidTr="006C247F">
        <w:trPr>
          <w:trHeight w:val="217"/>
          <w:jc w:val="center"/>
        </w:trPr>
        <w:tc>
          <w:tcPr>
            <w:tcW w:w="4654" w:type="dxa"/>
            <w:tcBorders>
              <w:top w:val="nil"/>
              <w:left w:val="nil"/>
              <w:bottom w:val="nil"/>
              <w:right w:val="nil"/>
            </w:tcBorders>
          </w:tcPr>
          <w:p w14:paraId="3647B205" w14:textId="77777777" w:rsidR="00F62F6B" w:rsidRPr="002201D7" w:rsidRDefault="00F62F6B" w:rsidP="00872636">
            <w:pPr>
              <w:spacing w:line="276" w:lineRule="auto"/>
              <w:rPr>
                <w:rFonts w:ascii="Times New Roman" w:hAnsi="Times New Roman" w:cs="Times New Roman"/>
                <w:sz w:val="24"/>
                <w:szCs w:val="24"/>
                <w:lang w:eastAsia="en-GB"/>
              </w:rPr>
            </w:pPr>
          </w:p>
        </w:tc>
        <w:tc>
          <w:tcPr>
            <w:tcW w:w="900" w:type="dxa"/>
            <w:tcBorders>
              <w:top w:val="nil"/>
              <w:left w:val="nil"/>
              <w:bottom w:val="nil"/>
              <w:right w:val="nil"/>
            </w:tcBorders>
            <w:vAlign w:val="center"/>
            <w:hideMark/>
          </w:tcPr>
          <w:p w14:paraId="77853DA8" w14:textId="77777777" w:rsidR="00F62F6B" w:rsidRPr="00556067" w:rsidRDefault="00F62F6B" w:rsidP="00872636">
            <w:pPr>
              <w:spacing w:line="276" w:lineRule="auto"/>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m/s</w:t>
            </w:r>
          </w:p>
        </w:tc>
        <w:tc>
          <w:tcPr>
            <w:tcW w:w="3992" w:type="dxa"/>
            <w:tcBorders>
              <w:top w:val="nil"/>
              <w:left w:val="nil"/>
              <w:bottom w:val="nil"/>
              <w:right w:val="nil"/>
            </w:tcBorders>
            <w:vAlign w:val="center"/>
            <w:hideMark/>
          </w:tcPr>
          <w:p w14:paraId="4D9B600C" w14:textId="77777777" w:rsidR="00F62F6B" w:rsidRPr="00044DD7" w:rsidRDefault="00F62F6B" w:rsidP="00872636">
            <w:pPr>
              <w:spacing w:line="276" w:lineRule="auto"/>
              <w:jc w:val="right"/>
              <w:rPr>
                <w:rFonts w:ascii="Times New Roman" w:hAnsi="Times New Roman" w:cs="Times New Roman"/>
                <w:sz w:val="24"/>
                <w:szCs w:val="24"/>
                <w:lang w:eastAsia="en-GB"/>
              </w:rPr>
            </w:pPr>
            <w:r w:rsidRPr="00CE68A4">
              <w:rPr>
                <w:rFonts w:ascii="Times New Roman" w:hAnsi="Times New Roman" w:cs="Times New Roman"/>
                <w:sz w:val="24"/>
                <w:szCs w:val="24"/>
                <w:lang w:eastAsia="en-GB"/>
              </w:rPr>
              <w:t xml:space="preserve">252.1 </w:t>
            </w:r>
          </w:p>
        </w:tc>
      </w:tr>
      <w:tr w:rsidR="00F62F6B" w:rsidRPr="007D699F" w14:paraId="3BDCC609" w14:textId="77777777" w:rsidTr="006C247F">
        <w:trPr>
          <w:trHeight w:val="217"/>
          <w:jc w:val="center"/>
        </w:trPr>
        <w:tc>
          <w:tcPr>
            <w:tcW w:w="4654" w:type="dxa"/>
            <w:tcBorders>
              <w:top w:val="nil"/>
              <w:left w:val="nil"/>
              <w:bottom w:val="nil"/>
              <w:right w:val="nil"/>
            </w:tcBorders>
            <w:hideMark/>
          </w:tcPr>
          <w:p w14:paraId="64477D66" w14:textId="77777777" w:rsidR="00F62F6B" w:rsidRPr="00556067" w:rsidRDefault="00F62F6B" w:rsidP="00872636">
            <w:pPr>
              <w:spacing w:line="276" w:lineRule="auto"/>
              <w:rPr>
                <w:rFonts w:ascii="Times New Roman" w:hAnsi="Times New Roman" w:cs="Times New Roman"/>
                <w:sz w:val="24"/>
                <w:szCs w:val="24"/>
                <w:lang w:eastAsia="en-GB"/>
              </w:rPr>
            </w:pPr>
            <w:r w:rsidRPr="002201D7">
              <w:rPr>
                <w:rFonts w:ascii="Times New Roman" w:hAnsi="Times New Roman" w:cs="Times New Roman"/>
                <w:sz w:val="24"/>
                <w:szCs w:val="24"/>
                <w:lang w:eastAsia="en-GB"/>
              </w:rPr>
              <w:t>Mach number</w:t>
            </w:r>
          </w:p>
        </w:tc>
        <w:tc>
          <w:tcPr>
            <w:tcW w:w="900" w:type="dxa"/>
            <w:tcBorders>
              <w:top w:val="nil"/>
              <w:left w:val="nil"/>
              <w:bottom w:val="nil"/>
              <w:right w:val="nil"/>
            </w:tcBorders>
            <w:vAlign w:val="center"/>
            <w:hideMark/>
          </w:tcPr>
          <w:p w14:paraId="25A2A91E" w14:textId="77777777" w:rsidR="00F62F6B" w:rsidRPr="00CE68A4" w:rsidRDefault="00F62F6B" w:rsidP="00872636">
            <w:pPr>
              <w:spacing w:line="276" w:lineRule="auto"/>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w:t>
            </w:r>
          </w:p>
        </w:tc>
        <w:tc>
          <w:tcPr>
            <w:tcW w:w="3992" w:type="dxa"/>
            <w:tcBorders>
              <w:top w:val="nil"/>
              <w:left w:val="nil"/>
              <w:bottom w:val="nil"/>
              <w:right w:val="nil"/>
            </w:tcBorders>
            <w:vAlign w:val="center"/>
            <w:hideMark/>
          </w:tcPr>
          <w:p w14:paraId="6C3EAF6C"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0.85</w:t>
            </w:r>
            <w:r w:rsidRPr="007D699F">
              <w:rPr>
                <w:rFonts w:ascii="Times New Roman" w:hAnsi="Times New Roman" w:cs="Times New Roman"/>
                <w:sz w:val="24"/>
                <w:szCs w:val="24"/>
                <w:vertAlign w:val="superscript"/>
                <w:lang w:eastAsia="en-GB"/>
              </w:rPr>
              <w:t>[6]</w:t>
            </w:r>
          </w:p>
        </w:tc>
      </w:tr>
      <w:tr w:rsidR="00F62F6B" w:rsidRPr="007D699F" w14:paraId="193ECE0D" w14:textId="77777777" w:rsidTr="006C247F">
        <w:trPr>
          <w:trHeight w:val="217"/>
          <w:jc w:val="center"/>
        </w:trPr>
        <w:tc>
          <w:tcPr>
            <w:tcW w:w="4654" w:type="dxa"/>
            <w:tcBorders>
              <w:top w:val="nil"/>
              <w:left w:val="nil"/>
              <w:bottom w:val="single" w:sz="4" w:space="0" w:color="auto"/>
              <w:right w:val="nil"/>
            </w:tcBorders>
            <w:hideMark/>
          </w:tcPr>
          <w:p w14:paraId="1FA60E3B" w14:textId="77777777" w:rsidR="00F62F6B" w:rsidRPr="00556067" w:rsidRDefault="00F62F6B" w:rsidP="00872636">
            <w:pPr>
              <w:spacing w:line="276" w:lineRule="auto"/>
              <w:rPr>
                <w:rFonts w:ascii="Times New Roman" w:hAnsi="Times New Roman" w:cs="Times New Roman"/>
                <w:sz w:val="24"/>
                <w:szCs w:val="24"/>
                <w:lang w:eastAsia="en-GB"/>
              </w:rPr>
            </w:pPr>
            <w:r w:rsidRPr="002201D7">
              <w:rPr>
                <w:rFonts w:ascii="Times New Roman" w:hAnsi="Times New Roman" w:cs="Times New Roman"/>
                <w:sz w:val="24"/>
                <w:szCs w:val="24"/>
                <w:lang w:eastAsia="en-GB"/>
              </w:rPr>
              <w:t xml:space="preserve">Air density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ρ</m:t>
                  </m:r>
                </m:e>
                <m:sub>
                  <m:r>
                    <w:rPr>
                      <w:rFonts w:ascii="Cambria Math" w:hAnsi="Cambria Math" w:cs="Times New Roman"/>
                      <w:sz w:val="24"/>
                      <w:szCs w:val="24"/>
                      <w:lang w:eastAsia="en-GB"/>
                    </w:rPr>
                    <m:t>a</m:t>
                  </m:r>
                </m:sub>
              </m:sSub>
            </m:oMath>
            <w:r w:rsidRPr="002201D7">
              <w:rPr>
                <w:rFonts w:ascii="Times New Roman" w:hAnsi="Times New Roman" w:cs="Times New Roman"/>
                <w:sz w:val="24"/>
                <w:szCs w:val="24"/>
                <w:lang w:eastAsia="en-GB"/>
              </w:rPr>
              <w:t xml:space="preserve"> at 35,000 ft</w:t>
            </w:r>
          </w:p>
        </w:tc>
        <w:tc>
          <w:tcPr>
            <w:tcW w:w="900" w:type="dxa"/>
            <w:tcBorders>
              <w:top w:val="nil"/>
              <w:left w:val="nil"/>
              <w:bottom w:val="single" w:sz="4" w:space="0" w:color="auto"/>
              <w:right w:val="nil"/>
            </w:tcBorders>
            <w:vAlign w:val="center"/>
            <w:hideMark/>
          </w:tcPr>
          <w:p w14:paraId="407CA16F" w14:textId="77777777" w:rsidR="00F62F6B" w:rsidRPr="00044DD7" w:rsidRDefault="00F62F6B" w:rsidP="00872636">
            <w:pPr>
              <w:spacing w:line="276" w:lineRule="auto"/>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kg/m</w:t>
            </w:r>
            <w:r w:rsidRPr="00CE68A4">
              <w:rPr>
                <w:rFonts w:ascii="Times New Roman" w:hAnsi="Times New Roman" w:cs="Times New Roman"/>
                <w:sz w:val="24"/>
                <w:szCs w:val="24"/>
                <w:vertAlign w:val="superscript"/>
                <w:lang w:eastAsia="en-GB"/>
              </w:rPr>
              <w:t>3</w:t>
            </w:r>
          </w:p>
        </w:tc>
        <w:tc>
          <w:tcPr>
            <w:tcW w:w="3992" w:type="dxa"/>
            <w:tcBorders>
              <w:top w:val="nil"/>
              <w:left w:val="nil"/>
              <w:bottom w:val="single" w:sz="4" w:space="0" w:color="auto"/>
              <w:right w:val="nil"/>
            </w:tcBorders>
            <w:vAlign w:val="center"/>
            <w:hideMark/>
          </w:tcPr>
          <w:p w14:paraId="0849FB6A"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 xml:space="preserve">0.38 </w:t>
            </w:r>
            <w:r w:rsidRPr="007D699F">
              <w:rPr>
                <w:rFonts w:ascii="Times New Roman" w:hAnsi="Times New Roman" w:cs="Times New Roman"/>
                <w:sz w:val="24"/>
                <w:szCs w:val="24"/>
                <w:vertAlign w:val="superscript"/>
                <w:lang w:eastAsia="en-GB"/>
              </w:rPr>
              <w:t>[7]</w:t>
            </w:r>
            <w:r w:rsidRPr="007D699F">
              <w:rPr>
                <w:rFonts w:ascii="Times New Roman" w:hAnsi="Times New Roman" w:cs="Times New Roman"/>
                <w:sz w:val="24"/>
                <w:szCs w:val="24"/>
                <w:lang w:eastAsia="en-GB"/>
              </w:rPr>
              <w:t xml:space="preserve"> </w:t>
            </w:r>
          </w:p>
        </w:tc>
      </w:tr>
      <w:tr w:rsidR="00F62F6B" w:rsidRPr="007D699F" w14:paraId="02D74F82" w14:textId="77777777" w:rsidTr="006C247F">
        <w:trPr>
          <w:trHeight w:val="217"/>
          <w:jc w:val="center"/>
        </w:trPr>
        <w:tc>
          <w:tcPr>
            <w:tcW w:w="9546" w:type="dxa"/>
            <w:gridSpan w:val="3"/>
            <w:tcBorders>
              <w:top w:val="single" w:sz="4" w:space="0" w:color="auto"/>
              <w:left w:val="nil"/>
              <w:bottom w:val="single" w:sz="4" w:space="0" w:color="auto"/>
              <w:right w:val="nil"/>
            </w:tcBorders>
            <w:vAlign w:val="center"/>
            <w:hideMark/>
          </w:tcPr>
          <w:p w14:paraId="19739993" w14:textId="77777777" w:rsidR="00F62F6B" w:rsidRPr="00556067" w:rsidRDefault="00F62F6B" w:rsidP="00872636">
            <w:pPr>
              <w:spacing w:line="276" w:lineRule="auto"/>
              <w:jc w:val="center"/>
              <w:rPr>
                <w:rFonts w:ascii="Times New Roman" w:hAnsi="Times New Roman" w:cs="Times New Roman"/>
                <w:sz w:val="24"/>
                <w:szCs w:val="24"/>
                <w:lang w:eastAsia="en-GB"/>
              </w:rPr>
            </w:pPr>
            <w:r w:rsidRPr="002201D7">
              <w:rPr>
                <w:rFonts w:ascii="Times New Roman" w:hAnsi="Times New Roman" w:cs="Times New Roman"/>
                <w:sz w:val="24"/>
                <w:szCs w:val="24"/>
                <w:lang w:eastAsia="en-GB"/>
              </w:rPr>
              <w:t>Calculated data</w:t>
            </w:r>
          </w:p>
        </w:tc>
      </w:tr>
      <w:tr w:rsidR="00F62F6B" w:rsidRPr="007D699F" w14:paraId="7A2E4FD7" w14:textId="77777777" w:rsidTr="006C247F">
        <w:trPr>
          <w:trHeight w:val="217"/>
          <w:jc w:val="center"/>
        </w:trPr>
        <w:tc>
          <w:tcPr>
            <w:tcW w:w="4654" w:type="dxa"/>
            <w:vMerge w:val="restart"/>
            <w:tcBorders>
              <w:top w:val="single" w:sz="4" w:space="0" w:color="auto"/>
              <w:left w:val="nil"/>
              <w:bottom w:val="nil"/>
              <w:right w:val="nil"/>
            </w:tcBorders>
            <w:hideMark/>
          </w:tcPr>
          <w:p w14:paraId="1911DD0F" w14:textId="77777777" w:rsidR="00F62F6B" w:rsidRPr="002201D7" w:rsidRDefault="00000000" w:rsidP="00872636">
            <w:pPr>
              <w:spacing w:line="276" w:lineRule="auto"/>
              <w:rPr>
                <w:rFonts w:ascii="Times New Roman" w:hAnsi="Times New Roman" w:cs="Times New Roman"/>
                <w:sz w:val="24"/>
                <w:szCs w:val="24"/>
                <w:lang w:eastAsia="en-GB"/>
              </w:rPr>
            </w:pPr>
            <m:oMathPara>
              <m:oMathParaPr>
                <m:jc m:val="left"/>
              </m:oMathParaP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S</m:t>
                    </m:r>
                  </m:e>
                  <m:sub>
                    <m:r>
                      <m:rPr>
                        <m:sty m:val="p"/>
                      </m:rPr>
                      <w:rPr>
                        <w:rFonts w:ascii="Cambria Math" w:hAnsi="Cambria Math" w:cs="Times New Roman"/>
                        <w:sz w:val="24"/>
                        <w:szCs w:val="24"/>
                        <w:lang w:eastAsia="en-GB"/>
                      </w:rPr>
                      <m:t xml:space="preserve">wet,Fuselage </m:t>
                    </m:r>
                  </m:sub>
                </m:sSub>
              </m:oMath>
            </m:oMathPara>
          </w:p>
        </w:tc>
        <w:tc>
          <w:tcPr>
            <w:tcW w:w="900" w:type="dxa"/>
            <w:tcBorders>
              <w:top w:val="single" w:sz="4" w:space="0" w:color="auto"/>
              <w:left w:val="nil"/>
              <w:bottom w:val="nil"/>
              <w:right w:val="nil"/>
            </w:tcBorders>
            <w:vAlign w:val="center"/>
            <w:hideMark/>
          </w:tcPr>
          <w:p w14:paraId="5D5A5015" w14:textId="77777777" w:rsidR="00F62F6B" w:rsidRPr="00CE68A4" w:rsidRDefault="00F62F6B" w:rsidP="00872636">
            <w:pPr>
              <w:spacing w:line="276" w:lineRule="auto"/>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m</w:t>
            </w:r>
            <w:r w:rsidRPr="00556067">
              <w:rPr>
                <w:rFonts w:ascii="Times New Roman" w:hAnsi="Times New Roman" w:cs="Times New Roman"/>
                <w:sz w:val="24"/>
                <w:szCs w:val="24"/>
                <w:vertAlign w:val="superscript"/>
                <w:lang w:eastAsia="en-GB"/>
              </w:rPr>
              <w:t>2</w:t>
            </w:r>
          </w:p>
        </w:tc>
        <w:tc>
          <w:tcPr>
            <w:tcW w:w="3992" w:type="dxa"/>
            <w:tcBorders>
              <w:top w:val="single" w:sz="4" w:space="0" w:color="auto"/>
              <w:left w:val="nil"/>
              <w:bottom w:val="nil"/>
              <w:right w:val="nil"/>
            </w:tcBorders>
            <w:vAlign w:val="center"/>
            <w:hideMark/>
          </w:tcPr>
          <w:p w14:paraId="6CBF18FB"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1,208</w:t>
            </w:r>
          </w:p>
        </w:tc>
      </w:tr>
      <w:tr w:rsidR="00F62F6B" w:rsidRPr="007D699F" w14:paraId="31775250" w14:textId="77777777" w:rsidTr="006C247F">
        <w:trPr>
          <w:trHeight w:val="217"/>
          <w:jc w:val="center"/>
        </w:trPr>
        <w:tc>
          <w:tcPr>
            <w:tcW w:w="0" w:type="auto"/>
            <w:vMerge/>
            <w:tcBorders>
              <w:top w:val="single" w:sz="4" w:space="0" w:color="auto"/>
              <w:left w:val="nil"/>
              <w:bottom w:val="nil"/>
              <w:right w:val="nil"/>
            </w:tcBorders>
            <w:vAlign w:val="center"/>
            <w:hideMark/>
          </w:tcPr>
          <w:p w14:paraId="5DB9D248" w14:textId="77777777" w:rsidR="00F62F6B" w:rsidRPr="007D699F" w:rsidRDefault="00F62F6B" w:rsidP="00872636">
            <w:pPr>
              <w:spacing w:line="276" w:lineRule="auto"/>
              <w:rPr>
                <w:rFonts w:ascii="Times New Roman" w:hAnsi="Times New Roman" w:cs="Times New Roman"/>
                <w:sz w:val="24"/>
                <w:szCs w:val="24"/>
                <w:lang w:eastAsia="en-GB"/>
              </w:rPr>
            </w:pPr>
          </w:p>
        </w:tc>
        <w:tc>
          <w:tcPr>
            <w:tcW w:w="900" w:type="dxa"/>
            <w:tcBorders>
              <w:top w:val="nil"/>
              <w:left w:val="nil"/>
              <w:bottom w:val="nil"/>
              <w:right w:val="nil"/>
            </w:tcBorders>
            <w:vAlign w:val="center"/>
            <w:hideMark/>
          </w:tcPr>
          <w:p w14:paraId="3CC4F2A4"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ft</w:t>
            </w:r>
            <w:r w:rsidRPr="007D699F">
              <w:rPr>
                <w:rFonts w:ascii="Times New Roman" w:hAnsi="Times New Roman" w:cs="Times New Roman"/>
                <w:sz w:val="24"/>
                <w:szCs w:val="24"/>
                <w:vertAlign w:val="superscript"/>
                <w:lang w:eastAsia="en-GB"/>
              </w:rPr>
              <w:t>2</w:t>
            </w:r>
          </w:p>
        </w:tc>
        <w:tc>
          <w:tcPr>
            <w:tcW w:w="3992" w:type="dxa"/>
            <w:tcBorders>
              <w:top w:val="nil"/>
              <w:left w:val="nil"/>
              <w:bottom w:val="nil"/>
              <w:right w:val="nil"/>
            </w:tcBorders>
            <w:vAlign w:val="center"/>
            <w:hideMark/>
          </w:tcPr>
          <w:p w14:paraId="6A9D594A"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13,000</w:t>
            </w:r>
          </w:p>
        </w:tc>
      </w:tr>
      <w:tr w:rsidR="00F62F6B" w:rsidRPr="007D699F" w14:paraId="44EEFFB9" w14:textId="77777777" w:rsidTr="006C247F">
        <w:trPr>
          <w:trHeight w:val="217"/>
          <w:jc w:val="center"/>
        </w:trPr>
        <w:tc>
          <w:tcPr>
            <w:tcW w:w="4654" w:type="dxa"/>
            <w:tcBorders>
              <w:top w:val="nil"/>
              <w:left w:val="nil"/>
              <w:bottom w:val="nil"/>
              <w:right w:val="nil"/>
            </w:tcBorders>
            <w:hideMark/>
          </w:tcPr>
          <w:p w14:paraId="499D8627" w14:textId="77777777" w:rsidR="00F62F6B" w:rsidRPr="002201D7" w:rsidRDefault="00000000" w:rsidP="00872636">
            <w:pPr>
              <w:spacing w:line="276" w:lineRule="auto"/>
              <w:rPr>
                <w:rFonts w:ascii="Times New Roman" w:hAnsi="Times New Roman" w:cs="Times New Roman"/>
                <w:sz w:val="24"/>
                <w:szCs w:val="24"/>
                <w:lang w:eastAsia="en-GB"/>
              </w:rPr>
            </w:pPr>
            <m:oMathPara>
              <m:oMathParaPr>
                <m:jc m:val="left"/>
              </m:oMathParaP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W</m:t>
                    </m:r>
                  </m:e>
                  <m:sub>
                    <m:r>
                      <m:rPr>
                        <m:sty m:val="p"/>
                      </m:rPr>
                      <w:rPr>
                        <w:rFonts w:ascii="Cambria Math" w:hAnsi="Cambria Math" w:cs="Times New Roman"/>
                        <w:sz w:val="24"/>
                        <w:szCs w:val="24"/>
                        <w:lang w:eastAsia="en-GB"/>
                      </w:rPr>
                      <m:t>Fuselage</m:t>
                    </m:r>
                  </m:sub>
                </m:sSub>
              </m:oMath>
            </m:oMathPara>
          </w:p>
        </w:tc>
        <w:tc>
          <w:tcPr>
            <w:tcW w:w="900" w:type="dxa"/>
            <w:tcBorders>
              <w:top w:val="nil"/>
              <w:left w:val="nil"/>
              <w:bottom w:val="nil"/>
              <w:right w:val="nil"/>
            </w:tcBorders>
            <w:vAlign w:val="center"/>
            <w:hideMark/>
          </w:tcPr>
          <w:p w14:paraId="3B305DC2" w14:textId="77777777" w:rsidR="00F62F6B" w:rsidRPr="00556067" w:rsidRDefault="00F62F6B" w:rsidP="00872636">
            <w:pPr>
              <w:spacing w:line="276" w:lineRule="auto"/>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kg</w:t>
            </w:r>
          </w:p>
        </w:tc>
        <w:tc>
          <w:tcPr>
            <w:tcW w:w="3992" w:type="dxa"/>
            <w:tcBorders>
              <w:top w:val="nil"/>
              <w:left w:val="nil"/>
              <w:bottom w:val="nil"/>
              <w:right w:val="nil"/>
            </w:tcBorders>
            <w:vAlign w:val="center"/>
            <w:hideMark/>
          </w:tcPr>
          <w:p w14:paraId="4989C247" w14:textId="77777777" w:rsidR="00F62F6B" w:rsidRPr="00044DD7" w:rsidRDefault="00F62F6B" w:rsidP="00872636">
            <w:pPr>
              <w:spacing w:line="276" w:lineRule="auto"/>
              <w:jc w:val="right"/>
              <w:rPr>
                <w:rFonts w:ascii="Times New Roman" w:hAnsi="Times New Roman" w:cs="Times New Roman"/>
                <w:sz w:val="24"/>
                <w:szCs w:val="24"/>
                <w:lang w:eastAsia="en-GB"/>
              </w:rPr>
            </w:pPr>
            <w:r w:rsidRPr="00CE68A4">
              <w:rPr>
                <w:rFonts w:ascii="Times New Roman" w:hAnsi="Times New Roman" w:cs="Times New Roman"/>
                <w:sz w:val="24"/>
                <w:szCs w:val="24"/>
                <w:lang w:eastAsia="en-GB"/>
              </w:rPr>
              <w:t>29,484 kg</w:t>
            </w:r>
          </w:p>
        </w:tc>
      </w:tr>
      <w:tr w:rsidR="00F62F6B" w:rsidRPr="007D699F" w14:paraId="4E2983CE" w14:textId="77777777" w:rsidTr="006C247F">
        <w:trPr>
          <w:trHeight w:val="217"/>
          <w:jc w:val="center"/>
        </w:trPr>
        <w:tc>
          <w:tcPr>
            <w:tcW w:w="4654" w:type="dxa"/>
            <w:vMerge w:val="restart"/>
            <w:tcBorders>
              <w:top w:val="nil"/>
              <w:left w:val="nil"/>
              <w:bottom w:val="single" w:sz="4" w:space="0" w:color="auto"/>
              <w:right w:val="nil"/>
            </w:tcBorders>
            <w:hideMark/>
          </w:tcPr>
          <w:p w14:paraId="1FD5458F" w14:textId="77777777" w:rsidR="00F62F6B" w:rsidRPr="002201D7" w:rsidRDefault="00000000" w:rsidP="00872636">
            <w:pPr>
              <w:spacing w:line="276" w:lineRule="auto"/>
              <w:rPr>
                <w:rFonts w:ascii="Times New Roman" w:hAnsi="Times New Roman" w:cs="Times New Roman"/>
                <w:sz w:val="24"/>
                <w:szCs w:val="24"/>
                <w:lang w:eastAsia="en-GB"/>
              </w:rPr>
            </w:pPr>
            <m:oMathPara>
              <m:oMathParaPr>
                <m:jc m:val="left"/>
              </m:oMathParaP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S</m:t>
                    </m:r>
                  </m:e>
                  <m:sub>
                    <m:r>
                      <m:rPr>
                        <m:sty m:val="p"/>
                      </m:rPr>
                      <w:rPr>
                        <w:rFonts w:ascii="Cambria Math" w:hAnsi="Cambria Math" w:cs="Times New Roman"/>
                        <w:sz w:val="24"/>
                        <w:szCs w:val="24"/>
                        <w:lang w:eastAsia="en-GB"/>
                      </w:rPr>
                      <m:t xml:space="preserve">wet,Fuselage </m:t>
                    </m:r>
                  </m:sub>
                </m:sSub>
              </m:oMath>
            </m:oMathPara>
          </w:p>
        </w:tc>
        <w:tc>
          <w:tcPr>
            <w:tcW w:w="900" w:type="dxa"/>
            <w:tcBorders>
              <w:top w:val="nil"/>
              <w:left w:val="nil"/>
              <w:bottom w:val="nil"/>
              <w:right w:val="nil"/>
            </w:tcBorders>
            <w:vAlign w:val="center"/>
            <w:hideMark/>
          </w:tcPr>
          <w:p w14:paraId="53DA4143" w14:textId="77777777" w:rsidR="00F62F6B" w:rsidRPr="00CE68A4" w:rsidRDefault="00F62F6B" w:rsidP="00872636">
            <w:pPr>
              <w:spacing w:line="276" w:lineRule="auto"/>
              <w:jc w:val="right"/>
              <w:rPr>
                <w:rFonts w:ascii="Times New Roman" w:hAnsi="Times New Roman" w:cs="Times New Roman"/>
                <w:sz w:val="24"/>
                <w:szCs w:val="24"/>
                <w:lang w:eastAsia="en-GB"/>
              </w:rPr>
            </w:pPr>
            <w:r w:rsidRPr="00556067">
              <w:rPr>
                <w:rFonts w:ascii="Times New Roman" w:hAnsi="Times New Roman" w:cs="Times New Roman"/>
                <w:sz w:val="24"/>
                <w:szCs w:val="24"/>
                <w:lang w:eastAsia="en-GB"/>
              </w:rPr>
              <w:t>m</w:t>
            </w:r>
            <w:r w:rsidRPr="00556067">
              <w:rPr>
                <w:rFonts w:ascii="Times New Roman" w:hAnsi="Times New Roman" w:cs="Times New Roman"/>
                <w:sz w:val="24"/>
                <w:szCs w:val="24"/>
                <w:vertAlign w:val="superscript"/>
                <w:lang w:eastAsia="en-GB"/>
              </w:rPr>
              <w:t>2</w:t>
            </w:r>
          </w:p>
        </w:tc>
        <w:tc>
          <w:tcPr>
            <w:tcW w:w="3992" w:type="dxa"/>
            <w:tcBorders>
              <w:top w:val="nil"/>
              <w:left w:val="nil"/>
              <w:bottom w:val="nil"/>
              <w:right w:val="nil"/>
            </w:tcBorders>
            <w:vAlign w:val="center"/>
            <w:hideMark/>
          </w:tcPr>
          <w:p w14:paraId="770677A9"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2,445</w:t>
            </w:r>
          </w:p>
        </w:tc>
      </w:tr>
      <w:tr w:rsidR="00F62F6B" w:rsidRPr="007D699F" w14:paraId="691473AC" w14:textId="77777777" w:rsidTr="006C247F">
        <w:trPr>
          <w:trHeight w:val="217"/>
          <w:jc w:val="center"/>
        </w:trPr>
        <w:tc>
          <w:tcPr>
            <w:tcW w:w="0" w:type="auto"/>
            <w:vMerge/>
            <w:tcBorders>
              <w:top w:val="nil"/>
              <w:left w:val="nil"/>
              <w:bottom w:val="single" w:sz="4" w:space="0" w:color="auto"/>
              <w:right w:val="nil"/>
            </w:tcBorders>
            <w:vAlign w:val="center"/>
            <w:hideMark/>
          </w:tcPr>
          <w:p w14:paraId="29B267F4" w14:textId="77777777" w:rsidR="00F62F6B" w:rsidRPr="007D699F" w:rsidRDefault="00F62F6B" w:rsidP="00872636">
            <w:pPr>
              <w:spacing w:line="276" w:lineRule="auto"/>
              <w:rPr>
                <w:rFonts w:ascii="Times New Roman" w:hAnsi="Times New Roman" w:cs="Times New Roman"/>
                <w:sz w:val="24"/>
                <w:szCs w:val="24"/>
                <w:lang w:eastAsia="en-GB"/>
              </w:rPr>
            </w:pPr>
          </w:p>
        </w:tc>
        <w:tc>
          <w:tcPr>
            <w:tcW w:w="900" w:type="dxa"/>
            <w:tcBorders>
              <w:top w:val="nil"/>
              <w:left w:val="nil"/>
              <w:bottom w:val="single" w:sz="4" w:space="0" w:color="auto"/>
              <w:right w:val="nil"/>
            </w:tcBorders>
            <w:vAlign w:val="center"/>
            <w:hideMark/>
          </w:tcPr>
          <w:p w14:paraId="3C4AC79E"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ft</w:t>
            </w:r>
            <w:r w:rsidRPr="007D699F">
              <w:rPr>
                <w:rFonts w:ascii="Times New Roman" w:hAnsi="Times New Roman" w:cs="Times New Roman"/>
                <w:sz w:val="24"/>
                <w:szCs w:val="24"/>
                <w:vertAlign w:val="superscript"/>
                <w:lang w:eastAsia="en-GB"/>
              </w:rPr>
              <w:t>2</w:t>
            </w:r>
          </w:p>
        </w:tc>
        <w:tc>
          <w:tcPr>
            <w:tcW w:w="3992" w:type="dxa"/>
            <w:tcBorders>
              <w:top w:val="nil"/>
              <w:left w:val="nil"/>
              <w:bottom w:val="single" w:sz="4" w:space="0" w:color="auto"/>
              <w:right w:val="nil"/>
            </w:tcBorders>
            <w:vAlign w:val="center"/>
            <w:hideMark/>
          </w:tcPr>
          <w:p w14:paraId="1BD8D949" w14:textId="77777777" w:rsidR="00F62F6B" w:rsidRPr="007D699F" w:rsidRDefault="00F62F6B" w:rsidP="00872636">
            <w:pPr>
              <w:spacing w:line="276" w:lineRule="auto"/>
              <w:jc w:val="right"/>
              <w:rPr>
                <w:rFonts w:ascii="Times New Roman" w:hAnsi="Times New Roman" w:cs="Times New Roman"/>
                <w:sz w:val="24"/>
                <w:szCs w:val="24"/>
                <w:lang w:eastAsia="en-GB"/>
              </w:rPr>
            </w:pPr>
            <w:r w:rsidRPr="007D699F">
              <w:rPr>
                <w:rFonts w:ascii="Times New Roman" w:hAnsi="Times New Roman" w:cs="Times New Roman"/>
                <w:sz w:val="24"/>
                <w:szCs w:val="24"/>
                <w:lang w:eastAsia="en-GB"/>
              </w:rPr>
              <w:t>26,320</w:t>
            </w:r>
          </w:p>
        </w:tc>
      </w:tr>
      <w:tr w:rsidR="00F62F6B" w:rsidRPr="007D699F" w14:paraId="577DF4AE" w14:textId="77777777" w:rsidTr="006C247F">
        <w:trPr>
          <w:trHeight w:val="217"/>
          <w:jc w:val="center"/>
        </w:trPr>
        <w:tc>
          <w:tcPr>
            <w:tcW w:w="9546" w:type="dxa"/>
            <w:gridSpan w:val="3"/>
            <w:tcBorders>
              <w:top w:val="single" w:sz="4" w:space="0" w:color="auto"/>
              <w:left w:val="nil"/>
              <w:bottom w:val="single" w:sz="4" w:space="0" w:color="auto"/>
              <w:right w:val="nil"/>
            </w:tcBorders>
            <w:vAlign w:val="center"/>
            <w:hideMark/>
          </w:tcPr>
          <w:p w14:paraId="50A6897D" w14:textId="5951DCBF" w:rsidR="00F62F6B" w:rsidRPr="00556067" w:rsidRDefault="00F62F6B" w:rsidP="00872636">
            <w:pPr>
              <w:spacing w:line="276" w:lineRule="auto"/>
              <w:rPr>
                <w:rFonts w:ascii="Times New Roman" w:hAnsi="Times New Roman" w:cs="Times New Roman"/>
                <w:sz w:val="24"/>
                <w:szCs w:val="24"/>
                <w:lang w:eastAsia="en-GB"/>
              </w:rPr>
            </w:pPr>
            <w:r w:rsidRPr="002201D7">
              <w:rPr>
                <w:rFonts w:ascii="Times New Roman" w:hAnsi="Times New Roman" w:cs="Times New Roman"/>
                <w:sz w:val="24"/>
                <w:szCs w:val="24"/>
                <w:vertAlign w:val="superscript"/>
                <w:lang w:eastAsia="en-GB"/>
              </w:rPr>
              <w:t xml:space="preserve">[1] </w:t>
            </w:r>
            <w:r w:rsidRPr="00556067">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URL":"https://www.airbus.com/sites/g/files/jlcbta136/files/2021-11/Airbus-Commercial-Aircraft-AC-A350-900-1000.pdf","author":[{"dropping-particle":"","family":"Airbus","given":"","non-dropping-particle":"","parse-names":false,"suffix":""}],"container-title":"Airbus","id":"ITEM-1","issued":{"date-parts":[["2020"]]},"title":"A350 AIRCRAFT CHARACTERISTICS AIRPORT AND MAINTENANCE PLANNING","type":"webpage"},"uris":["http://www.mendeley.com/documents/?uuid=fa282d36-ed91-4ed4-a030-cc4bb67c0450"]}],"mendeley":{"formattedCitation":"[107]","plainTextFormattedCitation":"[107]","previouslyFormattedCitation":"[107]"},"properties":{"noteIndex":0},"schema":"https://github.com/citation-style-language/schema/raw/master/csl-citation.json"}</w:instrText>
            </w:r>
            <w:r w:rsidRPr="00556067">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[107]</w:t>
            </w:r>
            <w:r w:rsidRPr="00556067">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xml:space="preserve">, </w:t>
            </w:r>
            <w:r w:rsidRPr="00556067">
              <w:rPr>
                <w:rFonts w:ascii="Times New Roman" w:hAnsi="Times New Roman" w:cs="Times New Roman"/>
                <w:sz w:val="24"/>
                <w:szCs w:val="24"/>
                <w:vertAlign w:val="superscript"/>
                <w:lang w:eastAsia="en-GB"/>
              </w:rPr>
              <w:t xml:space="preserve">[2] </w:t>
            </w:r>
            <w:r w:rsidRPr="00556067">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{"citationItems":[{"id":"ITEM-1","itemData":{"DOI":"10.7910/DVN/2HMEHB","author":[{"dropping-particle":"","family":"Burzlaff","given":"Marcus","non-dropping-particle":"","parse-names":false,"suffix":""},{"dropping-particle":"","family":"Scholz","given":"Ing Dieter","non-dropping-particle":"","parse-names":false,"suffix":""}],"id":"ITEM-1","issued":{"date-parts":[["2017"]]},"title":"Project Aircraft Fuel Consumption-Estimation and Visualization","type":"report"},"uris":["http://www.mendeley.com/documents/?uuid=ad26fe0f-9fa0-39bb-8894-bb535d470867"]}],"mendeley":{"formattedCitation":"[108]","plainTextFormattedCitation":"[108]","previouslyFormattedCitation":"[108]"},"properties":{"noteIndex":0},"schema":"https://github.com/citation-style-language/schema/raw/master/csl-citation.json"}</w:instrText>
            </w:r>
            <w:r w:rsidRPr="00556067">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[108]</w:t>
            </w:r>
            <w:r w:rsidRPr="00556067">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xml:space="preserve">, </w:t>
            </w:r>
          </w:p>
          <w:p w14:paraId="1FF571DB" w14:textId="43CB9BCB" w:rsidR="00F62F6B" w:rsidRPr="00556067" w:rsidRDefault="00F62F6B" w:rsidP="00872636">
            <w:pPr>
              <w:spacing w:line="276" w:lineRule="auto"/>
              <w:rPr>
                <w:rFonts w:ascii="Times New Roman" w:hAnsi="Times New Roman" w:cs="Times New Roman"/>
                <w:sz w:val="24"/>
                <w:szCs w:val="24"/>
                <w:lang w:eastAsia="en-GB"/>
              </w:rPr>
            </w:pPr>
            <w:r w:rsidRPr="00556067">
              <w:rPr>
                <w:rFonts w:ascii="Times New Roman" w:hAnsi="Times New Roman" w:cs="Times New Roman"/>
                <w:sz w:val="24"/>
                <w:szCs w:val="24"/>
                <w:vertAlign w:val="superscript"/>
                <w:lang w:eastAsia="en-GB"/>
              </w:rPr>
              <w:t>[3]</w:t>
            </w:r>
            <w:r w:rsidRPr="00CE68A4">
              <w:rPr>
                <w:rFonts w:ascii="Times New Roman" w:hAnsi="Times New Roman" w:cs="Times New Roman"/>
                <w:sz w:val="24"/>
                <w:szCs w:val="24"/>
                <w:lang w:eastAsia="en-GB"/>
              </w:rPr>
              <w:t xml:space="preserve"> </w:t>
            </w:r>
            <w:r w:rsidRPr="00556067">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10.17226/23490","ISBN":"978-0-309-44096-7","author":[{"dropping-particle":"","family":"National-Academies-of-Sciences-Engineering-and-Medicine","given":"","non-dropping-particle":"","parse-names":false,"suffix":""}],"id":"ITEM-1","issued":{"date-parts":[["2016"]]},"publisher":"National Academies Press","publisher-place":"Washington, D.C.","title":"Commercial Aircraft Propulsion and Energy Systems Research","type":"book"},"uris":["http://www.mendeley.com/documents/?uuid=922fb516-ec8a-3d0d-a931-86f4ad60d23d"]}],"mendeley":{"formattedCitation":"[109]","plainTextFormattedCitation":"[109]","previouslyFormattedCitation":"[109]"},"properties":{"noteIndex":0},"schema":"https://github.com/citation-style-language/schema/raw/master/csl-citation.json"}</w:instrText>
            </w:r>
            <w:r w:rsidRPr="00556067">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[109]</w:t>
            </w:r>
            <w:r w:rsidRPr="00556067">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w:t>
            </w:r>
          </w:p>
          <w:p w14:paraId="261D9230" w14:textId="499D27B2" w:rsidR="00F62F6B" w:rsidRPr="002201D7" w:rsidRDefault="00F62F6B" w:rsidP="00872636">
            <w:pPr>
              <w:spacing w:line="276" w:lineRule="auto"/>
              <w:rPr>
                <w:rFonts w:ascii="Times New Roman" w:hAnsi="Times New Roman" w:cs="Times New Roman"/>
                <w:sz w:val="24"/>
                <w:szCs w:val="24"/>
                <w:lang w:eastAsia="en-GB"/>
              </w:rPr>
            </w:pPr>
            <w:r w:rsidRPr="00556067">
              <w:rPr>
                <w:rFonts w:ascii="Times New Roman" w:hAnsi="Times New Roman" w:cs="Times New Roman"/>
                <w:sz w:val="24"/>
                <w:szCs w:val="24"/>
                <w:vertAlign w:val="superscript"/>
                <w:lang w:eastAsia="en-GB"/>
              </w:rPr>
              <w:t>[4]</w:t>
            </w:r>
            <w:r w:rsidRPr="00CE68A4">
              <w:rPr>
                <w:rFonts w:ascii="Times New Roman" w:hAnsi="Times New Roman" w:cs="Times New Roman"/>
                <w:sz w:val="24"/>
                <w:szCs w:val="24"/>
                <w:lang w:eastAsia="en-GB"/>
              </w:rPr>
              <w:t xml:space="preserve"> </w:t>
            </w:r>
            <w:r w:rsidRPr="00556067">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URL":"https://web.archive.org/web/20131129074833/http://www.airbus.com/aircraftfamilies/passengeraircraft/a350xwbfamily/technology-and-innovation/","accessed":{"date-parts":[["2022","11","9"]]},"author":[{"dropping-particle":"","family":"Airbus","given":"","non-dropping-particle":"","parse-names":false,"suffix":""}],"container-title":"Airbus","id":"ITEM-1","issued":{"date-parts":[["2014"]]},"title":"Airbus A350 XWB","type":"webpage"},"uris":["http://www.mendeley.com/documents/?uuid=bd2404ef-0d1d-3f93-b631-9b58f619f9d6"]}],"mendeley":{"formattedCitation":"[110]","plainTextFormattedCitation":"[110]","previouslyFormattedCitation":"[110]"},"properties":{"noteIndex":0},"schema":"https://github.com/citation-style-language/schema/raw/master/csl-citation.json"}</w:instrText>
            </w:r>
            <w:r w:rsidRPr="00556067">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[110]</w:t>
            </w:r>
            <w:r w:rsidRPr="00556067">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xml:space="preserve">, </w:t>
            </w:r>
            <w:r w:rsidRPr="00556067">
              <w:rPr>
                <w:rFonts w:ascii="Times New Roman" w:hAnsi="Times New Roman" w:cs="Times New Roman"/>
                <w:sz w:val="24"/>
                <w:szCs w:val="24"/>
                <w:vertAlign w:val="superscript"/>
                <w:lang w:eastAsia="en-GB"/>
              </w:rPr>
              <w:t xml:space="preserve">[5] </w:t>
            </w:r>
            <w:r w:rsidRPr="00556067">
              <w:rPr>
                <w:rFonts w:ascii="Times New Roman" w:hAnsi="Times New Roman" w:cs="Times New Roman"/>
                <w:sz w:val="24"/>
                <w:szCs w:val="24"/>
                <w:vertAlign w:val="superscript"/>
                <w:lang w:eastAsia="en-GB"/>
              </w:rPr>
              <w:fldChar w:fldCharType="begin" w:fldLock="1"/>
            </w:r>
            <w:r w:rsidR="00C46200">
              <w:rPr>
                <w:rFonts w:ascii="Times New Roman" w:hAnsi="Times New Roman" w:cs="Times New Roman"/>
                <w:sz w:val="24"/>
                <w:szCs w:val="24"/>
                <w:vertAlign w:val="superscript"/>
                <w:lang w:eastAsia="en-GB"/>
              </w:rPr>
              <w:instrText>ADDIN CSL_CITATION {"citationItems":[{"id":"ITEM-1","itemData":{"URL":"https://www.flightglobal.com/in-depth/flight-test-airbus-a350-1000-takes-growth-in-its-stride/128532.article","accessed":{"date-parts":[["2022","11","9"]]},"author":[{"dropping-particle":"","family":"Gerzanics","given":"Mike","non-dropping-particle":"","parse-names":false,"suffix":""}],"container-title":"Flight-Global","id":"ITEM-1","issued":{"date-parts":[["2018"]]},"title":"FLIGHT TEST: Airbus A350-1000 takes growth in its stride | In depth | Flight Global","type":"webpage"},"uris":["http://www.mendeley.com/documents/?uuid=0953c774-6ad7-3b2e-8d16-27a4c5338454"]}],"mendeley":{"formattedCitation":"[111]","plainTextFormattedCitation":"[111]","previouslyFormattedCitation":"[111]"},"properties":{"noteIndex":0},"schema":"https://github.com/citation-style-language/schema/raw/master/csl-citation.json"}</w:instrText>
            </w:r>
            <w:r w:rsidRPr="00556067">
              <w:rPr>
                <w:rFonts w:ascii="Times New Roman" w:hAnsi="Times New Roman" w:cs="Times New Roman"/>
                <w:sz w:val="24"/>
                <w:szCs w:val="24"/>
                <w:vertAlign w:val="superscript"/>
                <w:lang w:eastAsia="en-GB"/>
              </w:rPr>
              <w:fldChar w:fldCharType="separate"/>
            </w:r>
            <w:r w:rsidR="00801BEA" w:rsidRPr="00801BEA">
              <w:rPr>
                <w:rFonts w:ascii="Times New Roman" w:hAnsi="Times New Roman" w:cs="Times New Roman"/>
                <w:noProof/>
                <w:sz w:val="24"/>
                <w:szCs w:val="24"/>
                <w:lang w:eastAsia="en-GB"/>
              </w:rPr>
              <w:t>[111]</w:t>
            </w:r>
            <w:r w:rsidRPr="00556067">
              <w:rPr>
                <w:rFonts w:ascii="Times New Roman" w:hAnsi="Times New Roman" w:cs="Times New Roman"/>
                <w:sz w:val="24"/>
                <w:szCs w:val="24"/>
                <w:vertAlign w:val="superscript"/>
                <w:lang w:eastAsia="en-GB"/>
              </w:rPr>
              <w:fldChar w:fldCharType="end"/>
            </w:r>
            <w:r w:rsidRPr="002201D7">
              <w:rPr>
                <w:rFonts w:ascii="Times New Roman" w:hAnsi="Times New Roman" w:cs="Times New Roman"/>
                <w:sz w:val="24"/>
                <w:szCs w:val="24"/>
                <w:lang w:eastAsia="en-GB"/>
              </w:rPr>
              <w:t xml:space="preserve">, </w:t>
            </w:r>
            <w:r w:rsidRPr="00556067">
              <w:rPr>
                <w:rFonts w:ascii="Times New Roman" w:hAnsi="Times New Roman" w:cs="Times New Roman"/>
                <w:sz w:val="24"/>
                <w:szCs w:val="24"/>
                <w:vertAlign w:val="superscript"/>
                <w:lang w:eastAsia="en-GB"/>
              </w:rPr>
              <w:t>[6]</w:t>
            </w:r>
            <w:r w:rsidRPr="00556067">
              <w:rPr>
                <w:rFonts w:ascii="Times New Roman" w:hAnsi="Times New Roman" w:cs="Times New Roman"/>
                <w:sz w:val="24"/>
                <w:szCs w:val="24"/>
                <w:lang w:eastAsia="en-GB"/>
              </w:rPr>
              <w:t xml:space="preserve"> </w:t>
            </w:r>
            <w:r w:rsidRPr="00556067">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{"citationItems":[{"id":"ITEM-1","itemData":{"URL":"https://ntrs.nasa.gov/api/citations/19960003535/downloads/19960003535.pdf","accessed":{"date-parts":[["2022","11","9"]]},"author":[{"dropping-particle":"","family":"Gerren","given":"Donna S","non-dropping-particle":"","parse-names":false,"suffix":""}],"container-title":"NASA","id":"ITEM-1","issued":{"date-parts":[["1995"]]},"title":"Design, Analysis, and Control of a Large Transport Aircraft Utilizing Selective Engine Thrust as a Backup System for the Primary Flight Control","type":"webpage"},"uris":["http://www.mendeley.com/documents/?uuid=68cdc866-401a-37bb-9dde-ec49fd3b8eaa"]}],"mendeley":{"formattedCitation":"[112]","plainTextFormattedCitation":"[112]","previouslyFormattedCitation":"[112]"},"properties":{"noteIndex":0},"schema":"https://github.com/citation-style-language/schema/raw/master/csl-citation.json"}</w:instrText>
            </w:r>
            <w:r w:rsidRPr="00556067">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[112]</w:t>
            </w:r>
            <w:r w:rsidRPr="00556067">
              <w:rPr>
                <w:rFonts w:ascii="Times New Roman" w:hAnsi="Times New Roman" w:cs="Times New Roman"/>
                <w:sz w:val="24"/>
                <w:szCs w:val="24"/>
                <w:lang w:eastAsia="en-GB"/>
              </w:rPr>
              <w:fldChar w:fldCharType="end"/>
            </w:r>
            <w:r w:rsidRPr="002201D7">
              <w:rPr>
                <w:rFonts w:ascii="Times New Roman" w:hAnsi="Times New Roman" w:cs="Times New Roman"/>
                <w:sz w:val="24"/>
                <w:szCs w:val="24"/>
                <w:lang w:eastAsia="en-GB"/>
              </w:rPr>
              <w:t xml:space="preserve"> </w:t>
            </w:r>
            <w:r w:rsidRPr="00556067">
              <w:rPr>
                <w:rFonts w:ascii="Times New Roman" w:hAnsi="Times New Roman" w:cs="Times New Roman"/>
                <w:sz w:val="24"/>
                <w:szCs w:val="24"/>
                <w:vertAlign w:val="superscript"/>
                <w:lang w:eastAsia="en-GB"/>
              </w:rPr>
              <w:t>[7]</w:t>
            </w:r>
            <w:r w:rsidRPr="00556067">
              <w:rPr>
                <w:rFonts w:ascii="Times New Roman" w:hAnsi="Times New Roman" w:cs="Times New Roman"/>
                <w:sz w:val="24"/>
                <w:szCs w:val="24"/>
                <w:lang w:eastAsia="en-GB"/>
              </w:rPr>
              <w:t xml:space="preserve"> </w:t>
            </w:r>
            <w:r w:rsidRPr="00556067">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URL":"https://www.engineeringtoolbox.com/standard-atmosphere-d_604.html","accessed":{"date-parts":[["2020","8","27"]]},"author":[{"dropping-particle":"","family":"Engineering-toolbox","given":"","non-dropping-particle":"","parse-names":false,"suffix":""}],"container-title":"Engineering-toolbox","id":"ITEM-1","issued":{"date-parts":[["2003"]]},"title":"U.S. Standard Atmosphere","type":"webpage"},"uris":["http://www.mendeley.com/documents/?uuid=ad93b9c3-7908-3600-8dd6-088957d0c266"]}],"mendeley":{"formattedCitation":"[113]","plainTextFormattedCitation":"[113]","previouslyFormattedCitation":"[113]"},"properties":{"noteIndex":0},"schema":"https://github.com/citation-style-language/schema/raw/master/csl-citation.json"}</w:instrText>
            </w:r>
            <w:r w:rsidRPr="00556067">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[113]</w:t>
            </w:r>
            <w:r w:rsidRPr="00556067">
              <w:rPr>
                <w:rFonts w:ascii="Times New Roman" w:hAnsi="Times New Roman" w:cs="Times New Roman"/>
                <w:sz w:val="24"/>
                <w:szCs w:val="24"/>
                <w:lang w:eastAsia="en-GB"/>
              </w:rPr>
              <w:fldChar w:fldCharType="end"/>
            </w:r>
          </w:p>
        </w:tc>
      </w:tr>
    </w:tbl>
    <w:p w14:paraId="381D38AD" w14:textId="77777777" w:rsidR="00F62F6B" w:rsidRPr="00872636" w:rsidRDefault="00F62F6B" w:rsidP="00C525D8">
      <w:pPr>
        <w:spacing w:line="480" w:lineRule="auto"/>
        <w:jc w:val="both"/>
        <w:rPr>
          <w:rFonts w:ascii="Times New Roman" w:hAnsi="Times New Roman" w:cs="Times New Roman"/>
          <w:sz w:val="24"/>
          <w:szCs w:val="24"/>
        </w:rPr>
      </w:pPr>
    </w:p>
    <w:p w14:paraId="1609298F" w14:textId="79CB9162" w:rsidR="00906581" w:rsidRPr="00872636" w:rsidRDefault="00906581" w:rsidP="00C525D8">
      <w:pPr>
        <w:pStyle w:val="Heading1"/>
        <w:numPr>
          <w:ilvl w:val="0"/>
          <w:numId w:val="4"/>
        </w:numPr>
        <w:spacing w:after="240" w:line="480" w:lineRule="auto"/>
        <w:jc w:val="both"/>
        <w:rPr>
          <w:rFonts w:ascii="Times New Roman" w:eastAsia="Times New Roman" w:hAnsi="Times New Roman" w:cs="Times New Roman"/>
          <w:b/>
          <w:bCs/>
          <w:color w:val="auto"/>
          <w:sz w:val="24"/>
          <w:szCs w:val="24"/>
          <w:bdr w:val="none" w:sz="0" w:space="0" w:color="auto" w:frame="1"/>
          <w:lang w:eastAsia="en-GB"/>
        </w:rPr>
      </w:pPr>
      <w:r w:rsidRPr="00872636">
        <w:rPr>
          <w:rFonts w:ascii="Times New Roman" w:eastAsia="Times New Roman" w:hAnsi="Times New Roman" w:cs="Times New Roman"/>
          <w:b/>
          <w:bCs/>
          <w:color w:val="auto"/>
          <w:sz w:val="24"/>
          <w:szCs w:val="24"/>
          <w:bdr w:val="none" w:sz="0" w:space="0" w:color="auto" w:frame="1"/>
          <w:lang w:eastAsia="en-GB"/>
        </w:rPr>
        <w:lastRenderedPageBreak/>
        <w:t>Stepwise procedure of the range equation analysis for Jet-A (baseline) case and alternative fuel cases</w:t>
      </w:r>
      <w:r w:rsidR="00067CF4" w:rsidRPr="00872636">
        <w:rPr>
          <w:rFonts w:ascii="Times New Roman" w:eastAsia="Times New Roman" w:hAnsi="Times New Roman" w:cs="Times New Roman"/>
          <w:b/>
          <w:bCs/>
          <w:color w:val="auto"/>
          <w:sz w:val="24"/>
          <w:szCs w:val="24"/>
          <w:bdr w:val="none" w:sz="0" w:space="0" w:color="auto" w:frame="1"/>
          <w:lang w:eastAsia="en-GB"/>
        </w:rPr>
        <w:t xml:space="preserve"> at design point</w:t>
      </w:r>
    </w:p>
    <w:p w14:paraId="788C1C27" w14:textId="77777777" w:rsidR="00906581" w:rsidRPr="00872636" w:rsidRDefault="00906581" w:rsidP="00C525D8">
      <w:pPr>
        <w:pStyle w:val="Heading2"/>
        <w:spacing w:after="240" w:line="480" w:lineRule="auto"/>
        <w:rPr>
          <w:rFonts w:ascii="Times New Roman" w:eastAsia="Times New Roman" w:hAnsi="Times New Roman" w:cs="Times New Roman"/>
          <w:color w:val="auto"/>
          <w:sz w:val="24"/>
          <w:szCs w:val="24"/>
          <w:bdr w:val="none" w:sz="0" w:space="0" w:color="auto" w:frame="1"/>
          <w:lang w:eastAsia="en-GB"/>
        </w:rPr>
      </w:pPr>
      <w:r w:rsidRPr="00872636">
        <w:rPr>
          <w:rFonts w:ascii="Times New Roman" w:eastAsia="Times New Roman" w:hAnsi="Times New Roman" w:cs="Times New Roman"/>
          <w:color w:val="auto"/>
          <w:sz w:val="24"/>
          <w:szCs w:val="24"/>
          <w:bdr w:val="none" w:sz="0" w:space="0" w:color="auto" w:frame="1"/>
          <w:lang w:eastAsia="en-GB"/>
        </w:rPr>
        <w:t>Conventional jet fuel (Jet-A) case</w:t>
      </w:r>
    </w:p>
    <w:p w14:paraId="3220EFC4" w14:textId="488759A1" w:rsidR="00906581" w:rsidRPr="00872636" w:rsidRDefault="00906581" w:rsidP="00C525D8">
      <w:p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ab/>
        <w:t xml:space="preserve">The methodology description in </w:t>
      </w:r>
      <w:r w:rsidR="009E108B" w:rsidRPr="00872636">
        <w:rPr>
          <w:rFonts w:ascii="Times New Roman" w:hAnsi="Times New Roman" w:cs="Times New Roman"/>
          <w:sz w:val="24"/>
          <w:szCs w:val="24"/>
          <w:lang w:eastAsia="en-GB"/>
        </w:rPr>
        <w:t>§</w:t>
      </w:r>
      <w:r w:rsidRPr="00872636">
        <w:rPr>
          <w:rFonts w:ascii="Times New Roman" w:hAnsi="Times New Roman" w:cs="Times New Roman"/>
          <w:sz w:val="24"/>
          <w:szCs w:val="24"/>
          <w:lang w:eastAsia="en-GB"/>
        </w:rPr>
        <w:t xml:space="preserve">2 of the </w:t>
      </w:r>
      <w:r w:rsidR="00312CEA" w:rsidRPr="00872636">
        <w:rPr>
          <w:rFonts w:ascii="Times New Roman" w:hAnsi="Times New Roman" w:cs="Times New Roman"/>
          <w:sz w:val="24"/>
          <w:szCs w:val="24"/>
          <w:lang w:eastAsia="en-GB"/>
        </w:rPr>
        <w:t>paper</w:t>
      </w:r>
      <w:r w:rsidRPr="00872636">
        <w:rPr>
          <w:rFonts w:ascii="Times New Roman" w:hAnsi="Times New Roman" w:cs="Times New Roman"/>
          <w:sz w:val="24"/>
          <w:szCs w:val="24"/>
          <w:lang w:eastAsia="en-GB"/>
        </w:rPr>
        <w:t xml:space="preserve"> is listed/summarized below as a stepwise process of the range equation analysis for Jet-A (baseline) case (based on Figure 1</w:t>
      </w:r>
      <w:r w:rsidR="002143B6" w:rsidRPr="00872636">
        <w:rPr>
          <w:rFonts w:ascii="Times New Roman" w:hAnsi="Times New Roman" w:cs="Times New Roman"/>
          <w:sz w:val="24"/>
          <w:szCs w:val="24"/>
          <w:lang w:eastAsia="en-GB"/>
        </w:rPr>
        <w:t xml:space="preserve"> in the </w:t>
      </w:r>
      <w:r w:rsidR="00312CEA" w:rsidRPr="00872636">
        <w:rPr>
          <w:rFonts w:ascii="Times New Roman" w:hAnsi="Times New Roman" w:cs="Times New Roman"/>
          <w:sz w:val="24"/>
          <w:szCs w:val="24"/>
          <w:lang w:eastAsia="en-GB"/>
        </w:rPr>
        <w:t>paper</w:t>
      </w:r>
      <w:r w:rsidRPr="00872636">
        <w:rPr>
          <w:rFonts w:ascii="Times New Roman" w:hAnsi="Times New Roman" w:cs="Times New Roman"/>
          <w:sz w:val="24"/>
          <w:szCs w:val="24"/>
          <w:lang w:eastAsia="en-GB"/>
        </w:rPr>
        <w:t>):</w:t>
      </w:r>
    </w:p>
    <w:p w14:paraId="349B05C0" w14:textId="77777777" w:rsidR="00906581" w:rsidRPr="00872636" w:rsidRDefault="00906581" w:rsidP="00C525D8">
      <w:pPr>
        <w:numPr>
          <w:ilvl w:val="0"/>
          <w:numId w:val="5"/>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1: Use the known values of OEW,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p</w:t>
      </w:r>
      <w:r w:rsidRPr="00872636">
        <w:rPr>
          <w:rFonts w:ascii="Times New Roman" w:hAnsi="Times New Roman" w:cs="Times New Roman"/>
          <w:sz w:val="24"/>
          <w:szCs w:val="24"/>
          <w:lang w:eastAsia="en-GB"/>
        </w:rPr>
        <w:t xml:space="preserve">,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F,total</w:t>
      </w:r>
      <w:r w:rsidRPr="00872636">
        <w:rPr>
          <w:rFonts w:ascii="Times New Roman" w:hAnsi="Times New Roman" w:cs="Times New Roman"/>
          <w:sz w:val="24"/>
          <w:szCs w:val="24"/>
          <w:lang w:eastAsia="en-GB"/>
        </w:rPr>
        <w:t xml:space="preserve"> of the aircraft to estimate the aircraft GTOW (= OEW +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F,total</w:t>
      </w:r>
      <w:r w:rsidRPr="00872636">
        <w:rPr>
          <w:rFonts w:ascii="Times New Roman" w:hAnsi="Times New Roman" w:cs="Times New Roman"/>
          <w:sz w:val="24"/>
          <w:szCs w:val="24"/>
          <w:lang w:eastAsia="en-GB"/>
        </w:rPr>
        <w:t xml:space="preserve"> +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p</w:t>
      </w:r>
      <w:r w:rsidRPr="00872636">
        <w:rPr>
          <w:rFonts w:ascii="Times New Roman" w:hAnsi="Times New Roman" w:cs="Times New Roman"/>
          <w:sz w:val="24"/>
          <w:szCs w:val="24"/>
          <w:lang w:eastAsia="en-GB"/>
        </w:rPr>
        <w:t>).</w:t>
      </w:r>
    </w:p>
    <w:p w14:paraId="3A385E88" w14:textId="77777777" w:rsidR="00906581" w:rsidRPr="00872636" w:rsidRDefault="00906581" w:rsidP="00C525D8">
      <w:pPr>
        <w:numPr>
          <w:ilvl w:val="0"/>
          <w:numId w:val="5"/>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2: Input the known lost fuel value, </w:t>
      </w:r>
      <w:r w:rsidRPr="00872636">
        <w:rPr>
          <w:rFonts w:ascii="Times New Roman" w:hAnsi="Times New Roman" w:cs="Times New Roman"/>
          <w:i/>
          <w:iCs/>
          <w:sz w:val="24"/>
          <w:szCs w:val="24"/>
          <w:lang w:eastAsia="en-GB"/>
        </w:rPr>
        <w:t>h</w:t>
      </w:r>
      <w:r w:rsidRPr="00872636">
        <w:rPr>
          <w:rFonts w:ascii="Times New Roman" w:hAnsi="Times New Roman" w:cs="Times New Roman"/>
          <w:sz w:val="24"/>
          <w:szCs w:val="24"/>
          <w:lang w:eastAsia="en-GB"/>
        </w:rPr>
        <w:t xml:space="preserve"> and </w:t>
      </w:r>
      <w:r w:rsidRPr="00872636">
        <w:rPr>
          <w:rFonts w:ascii="Times New Roman" w:hAnsi="Times New Roman" w:cs="Times New Roman"/>
          <w:i/>
          <w:iCs/>
          <w:sz w:val="24"/>
          <w:szCs w:val="24"/>
          <w:lang w:eastAsia="en-GB"/>
        </w:rPr>
        <w:t>η</w:t>
      </w:r>
      <w:r w:rsidRPr="00872636">
        <w:rPr>
          <w:rFonts w:ascii="Times New Roman" w:hAnsi="Times New Roman" w:cs="Times New Roman"/>
          <w:sz w:val="24"/>
          <w:szCs w:val="24"/>
          <w:vertAlign w:val="subscript"/>
          <w:lang w:eastAsia="en-GB"/>
        </w:rPr>
        <w:t>o</w:t>
      </w:r>
      <w:r w:rsidRPr="00872636">
        <w:rPr>
          <w:rFonts w:ascii="Times New Roman" w:hAnsi="Times New Roman" w:cs="Times New Roman"/>
          <w:sz w:val="24"/>
          <w:szCs w:val="24"/>
          <w:lang w:eastAsia="en-GB"/>
        </w:rPr>
        <w:t>, for Jet-A aircraft being evaluated.</w:t>
      </w:r>
    </w:p>
    <w:p w14:paraId="1F8F61B2" w14:textId="77777777" w:rsidR="00906581" w:rsidRPr="00872636" w:rsidRDefault="00906581" w:rsidP="00C525D8">
      <w:pPr>
        <w:numPr>
          <w:ilvl w:val="0"/>
          <w:numId w:val="5"/>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3: Calculate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initial</w:t>
      </w:r>
      <w:r w:rsidRPr="00872636">
        <w:rPr>
          <w:rFonts w:ascii="Times New Roman" w:hAnsi="Times New Roman" w:cs="Times New Roman"/>
          <w:sz w:val="24"/>
          <w:szCs w:val="24"/>
          <w:lang w:eastAsia="en-GB"/>
        </w:rPr>
        <w:t xml:space="preserve"> and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final</w:t>
      </w:r>
      <w:r w:rsidRPr="00872636">
        <w:rPr>
          <w:rFonts w:ascii="Times New Roman" w:hAnsi="Times New Roman" w:cs="Times New Roman"/>
          <w:sz w:val="24"/>
          <w:szCs w:val="24"/>
          <w:lang w:eastAsia="en-GB"/>
        </w:rPr>
        <w:t xml:space="preserve"> </w:t>
      </w:r>
    </w:p>
    <w:p w14:paraId="5AA3BEC8" w14:textId="77777777" w:rsidR="00906581" w:rsidRPr="00872636" w:rsidRDefault="00906581" w:rsidP="00C525D8">
      <w:pPr>
        <w:spacing w:after="0" w:line="480" w:lineRule="auto"/>
        <w:ind w:left="720"/>
        <w:jc w:val="both"/>
        <w:rPr>
          <w:rFonts w:ascii="Times New Roman" w:hAnsi="Times New Roman" w:cs="Times New Roman"/>
          <w:sz w:val="24"/>
          <w:szCs w:val="24"/>
          <w:lang w:eastAsia="en-GB"/>
        </w:rPr>
      </w:pP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 xml:space="preserve">initial  </w:t>
      </w:r>
      <w:r w:rsidRPr="00872636">
        <w:rPr>
          <w:rFonts w:ascii="Times New Roman" w:hAnsi="Times New Roman" w:cs="Times New Roman"/>
          <w:sz w:val="24"/>
          <w:szCs w:val="24"/>
          <w:lang w:eastAsia="en-GB"/>
        </w:rPr>
        <w:t>= (1 – lost fuel value) x GTOW</w:t>
      </w:r>
    </w:p>
    <w:p w14:paraId="56DAE5AE" w14:textId="77777777" w:rsidR="00906581" w:rsidRPr="00872636" w:rsidRDefault="00906581" w:rsidP="00C525D8">
      <w:pPr>
        <w:spacing w:after="0" w:line="480" w:lineRule="auto"/>
        <w:ind w:left="720"/>
        <w:jc w:val="both"/>
        <w:rPr>
          <w:rFonts w:ascii="Times New Roman" w:hAnsi="Times New Roman" w:cs="Times New Roman"/>
          <w:sz w:val="24"/>
          <w:szCs w:val="24"/>
          <w:lang w:eastAsia="en-GB"/>
        </w:rPr>
      </w:pP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 xml:space="preserve">final </w:t>
      </w:r>
      <w:r w:rsidRPr="00872636">
        <w:rPr>
          <w:rFonts w:ascii="Times New Roman" w:hAnsi="Times New Roman" w:cs="Times New Roman"/>
          <w:sz w:val="24"/>
          <w:szCs w:val="24"/>
          <w:lang w:eastAsia="en-GB"/>
        </w:rPr>
        <w:t xml:space="preserve">= GTOW – 0.9 x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F,total</w:t>
      </w:r>
    </w:p>
    <w:p w14:paraId="26AA3B0D" w14:textId="77777777" w:rsidR="00906581" w:rsidRPr="00872636" w:rsidRDefault="00906581" w:rsidP="00C525D8">
      <w:pPr>
        <w:numPr>
          <w:ilvl w:val="0"/>
          <w:numId w:val="5"/>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4: Calculate the aircraft </w:t>
      </w:r>
      <w:r w:rsidRPr="00872636">
        <w:rPr>
          <w:rFonts w:ascii="Times New Roman" w:hAnsi="Times New Roman" w:cs="Times New Roman"/>
          <w:i/>
          <w:iCs/>
          <w:sz w:val="24"/>
          <w:szCs w:val="24"/>
          <w:lang w:eastAsia="en-GB"/>
        </w:rPr>
        <w:t>L/D</w:t>
      </w:r>
    </w:p>
    <w:p w14:paraId="2ABAD1C5" w14:textId="5F787B51" w:rsidR="00906581" w:rsidRPr="00872636" w:rsidRDefault="00906581" w:rsidP="005A63A4">
      <w:pPr>
        <w:numPr>
          <w:ilvl w:val="0"/>
          <w:numId w:val="5"/>
        </w:numPr>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5: Calculate the Jet-A aircraft range using Breguet’s range equation (equation 1) </w:t>
      </w:r>
    </w:p>
    <w:p w14:paraId="5C0E3853" w14:textId="77777777" w:rsidR="00906581" w:rsidRPr="00872636" w:rsidRDefault="00906581" w:rsidP="00C525D8">
      <w:pPr>
        <w:pStyle w:val="Heading2"/>
        <w:spacing w:after="240" w:line="480" w:lineRule="auto"/>
        <w:rPr>
          <w:rFonts w:ascii="Times New Roman" w:eastAsia="Times New Roman" w:hAnsi="Times New Roman" w:cs="Times New Roman"/>
          <w:color w:val="auto"/>
          <w:sz w:val="24"/>
          <w:szCs w:val="24"/>
          <w:bdr w:val="none" w:sz="0" w:space="0" w:color="auto" w:frame="1"/>
          <w:lang w:eastAsia="en-GB"/>
        </w:rPr>
      </w:pPr>
      <w:r w:rsidRPr="00872636">
        <w:rPr>
          <w:rFonts w:ascii="Times New Roman" w:eastAsia="Times New Roman" w:hAnsi="Times New Roman" w:cs="Times New Roman"/>
          <w:color w:val="auto"/>
          <w:sz w:val="24"/>
          <w:szCs w:val="24"/>
          <w:bdr w:val="none" w:sz="0" w:space="0" w:color="auto" w:frame="1"/>
          <w:lang w:eastAsia="en-GB"/>
        </w:rPr>
        <w:t>Alternative cryogenic fuel cases</w:t>
      </w:r>
    </w:p>
    <w:p w14:paraId="2893A61D" w14:textId="4E438E2F" w:rsidR="00906581" w:rsidRPr="00872636" w:rsidRDefault="00906581" w:rsidP="00C525D8">
      <w:p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ab/>
        <w:t>For alternative cryogenic fuel cases (based on Figure 2</w:t>
      </w:r>
      <w:r w:rsidR="002143B6" w:rsidRPr="00872636">
        <w:rPr>
          <w:rFonts w:ascii="Times New Roman" w:hAnsi="Times New Roman" w:cs="Times New Roman"/>
          <w:sz w:val="24"/>
          <w:szCs w:val="24"/>
          <w:lang w:eastAsia="en-GB"/>
        </w:rPr>
        <w:t xml:space="preserve"> in the </w:t>
      </w:r>
      <w:r w:rsidR="00312CEA" w:rsidRPr="00872636">
        <w:rPr>
          <w:rFonts w:ascii="Times New Roman" w:hAnsi="Times New Roman" w:cs="Times New Roman"/>
          <w:sz w:val="24"/>
          <w:szCs w:val="24"/>
          <w:lang w:eastAsia="en-GB"/>
        </w:rPr>
        <w:t>paper</w:t>
      </w:r>
      <w:r w:rsidRPr="00872636">
        <w:rPr>
          <w:rFonts w:ascii="Times New Roman" w:hAnsi="Times New Roman" w:cs="Times New Roman"/>
          <w:sz w:val="24"/>
          <w:szCs w:val="24"/>
          <w:lang w:eastAsia="en-GB"/>
        </w:rPr>
        <w:t xml:space="preserve">), the description in </w:t>
      </w:r>
      <w:r w:rsidR="00393511" w:rsidRPr="00872636">
        <w:rPr>
          <w:rFonts w:ascii="Times New Roman" w:hAnsi="Times New Roman" w:cs="Times New Roman"/>
          <w:sz w:val="24"/>
          <w:szCs w:val="24"/>
          <w:lang w:eastAsia="en-GB"/>
        </w:rPr>
        <w:t>§</w:t>
      </w:r>
      <w:r w:rsidRPr="00872636">
        <w:rPr>
          <w:rFonts w:ascii="Times New Roman" w:hAnsi="Times New Roman" w:cs="Times New Roman"/>
          <w:sz w:val="24"/>
          <w:szCs w:val="24"/>
          <w:lang w:eastAsia="en-GB"/>
        </w:rPr>
        <w:t xml:space="preserve">2 of the </w:t>
      </w:r>
      <w:r w:rsidR="00EC06C9" w:rsidRPr="00872636">
        <w:rPr>
          <w:rFonts w:ascii="Times New Roman" w:hAnsi="Times New Roman" w:cs="Times New Roman"/>
          <w:sz w:val="24"/>
          <w:szCs w:val="24"/>
          <w:lang w:eastAsia="en-GB"/>
        </w:rPr>
        <w:t>paper</w:t>
      </w:r>
      <w:r w:rsidRPr="00872636">
        <w:rPr>
          <w:rFonts w:ascii="Times New Roman" w:hAnsi="Times New Roman" w:cs="Times New Roman"/>
          <w:sz w:val="24"/>
          <w:szCs w:val="24"/>
          <w:lang w:eastAsia="en-GB"/>
        </w:rPr>
        <w:t xml:space="preserve"> is listed/summarized below as a stepwise process of the range equation analysis:</w:t>
      </w:r>
    </w:p>
    <w:p w14:paraId="435877D5" w14:textId="77777777" w:rsidR="00906581" w:rsidRPr="00872636" w:rsidRDefault="00906581" w:rsidP="00C525D8">
      <w:pPr>
        <w:numPr>
          <w:ilvl w:val="0"/>
          <w:numId w:val="6"/>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1: Guess a value (initial guess value of 1 kg) for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F,total</w:t>
      </w:r>
    </w:p>
    <w:p w14:paraId="33FA034B" w14:textId="77777777" w:rsidR="00906581" w:rsidRPr="00872636" w:rsidRDefault="00906581" w:rsidP="00C525D8">
      <w:pPr>
        <w:numPr>
          <w:ilvl w:val="0"/>
          <w:numId w:val="6"/>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2: The OEW for the alternative cryogenic fuel case is calculated based on the value of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F,total</w:t>
      </w:r>
      <w:r w:rsidRPr="00872636">
        <w:rPr>
          <w:rFonts w:ascii="Times New Roman" w:hAnsi="Times New Roman" w:cs="Times New Roman"/>
          <w:sz w:val="24"/>
          <w:szCs w:val="24"/>
          <w:lang w:eastAsia="en-GB"/>
        </w:rPr>
        <w:t xml:space="preserve"> as additional fuselage structure is required to store the said fuel in cryogenic tanks.</w:t>
      </w:r>
    </w:p>
    <w:p w14:paraId="195D10B7" w14:textId="77777777" w:rsidR="00906581" w:rsidRPr="00872636" w:rsidRDefault="00906581" w:rsidP="00C525D8">
      <w:pPr>
        <w:numPr>
          <w:ilvl w:val="0"/>
          <w:numId w:val="6"/>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3: The GTOW (= OEW +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F,total</w:t>
      </w:r>
      <w:r w:rsidRPr="00872636">
        <w:rPr>
          <w:rFonts w:ascii="Times New Roman" w:hAnsi="Times New Roman" w:cs="Times New Roman"/>
          <w:sz w:val="24"/>
          <w:szCs w:val="24"/>
          <w:lang w:eastAsia="en-GB"/>
        </w:rPr>
        <w:t xml:space="preserve"> +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p</w:t>
      </w:r>
      <w:r w:rsidRPr="00872636">
        <w:rPr>
          <w:rFonts w:ascii="Times New Roman" w:hAnsi="Times New Roman" w:cs="Times New Roman"/>
          <w:sz w:val="24"/>
          <w:szCs w:val="24"/>
          <w:lang w:eastAsia="en-GB"/>
        </w:rPr>
        <w:t>) is calculated for a given payload case</w:t>
      </w:r>
    </w:p>
    <w:p w14:paraId="2257065D" w14:textId="77777777" w:rsidR="00906581" w:rsidRPr="00872636" w:rsidRDefault="00906581" w:rsidP="00C525D8">
      <w:pPr>
        <w:numPr>
          <w:ilvl w:val="0"/>
          <w:numId w:val="6"/>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Step 4: Is the GTOW&lt;=MTOW of the aircraft?</w:t>
      </w:r>
    </w:p>
    <w:p w14:paraId="7F9BD501" w14:textId="77777777" w:rsidR="00906581" w:rsidRPr="00872636" w:rsidRDefault="00906581" w:rsidP="00C525D8">
      <w:pPr>
        <w:numPr>
          <w:ilvl w:val="0"/>
          <w:numId w:val="6"/>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lastRenderedPageBreak/>
        <w:t xml:space="preserve">Step 5: If ‘yes’ to question in step 4, estimate the lost fuel value, </w:t>
      </w:r>
      <w:r w:rsidRPr="00872636">
        <w:rPr>
          <w:rFonts w:ascii="Times New Roman" w:hAnsi="Times New Roman" w:cs="Times New Roman"/>
          <w:i/>
          <w:iCs/>
          <w:sz w:val="24"/>
          <w:szCs w:val="24"/>
          <w:lang w:eastAsia="en-GB"/>
        </w:rPr>
        <w:t>h</w:t>
      </w:r>
      <w:r w:rsidRPr="00872636">
        <w:rPr>
          <w:rFonts w:ascii="Times New Roman" w:hAnsi="Times New Roman" w:cs="Times New Roman"/>
          <w:sz w:val="24"/>
          <w:szCs w:val="24"/>
          <w:lang w:eastAsia="en-GB"/>
        </w:rPr>
        <w:t xml:space="preserve"> and </w:t>
      </w:r>
      <w:r w:rsidRPr="00872636">
        <w:rPr>
          <w:rFonts w:ascii="Times New Roman" w:hAnsi="Times New Roman" w:cs="Times New Roman"/>
          <w:i/>
          <w:iCs/>
          <w:sz w:val="24"/>
          <w:szCs w:val="24"/>
          <w:lang w:eastAsia="en-GB"/>
        </w:rPr>
        <w:t>η</w:t>
      </w:r>
      <w:r w:rsidRPr="00872636">
        <w:rPr>
          <w:rFonts w:ascii="Times New Roman" w:hAnsi="Times New Roman" w:cs="Times New Roman"/>
          <w:sz w:val="24"/>
          <w:szCs w:val="24"/>
          <w:vertAlign w:val="subscript"/>
          <w:lang w:eastAsia="en-GB"/>
        </w:rPr>
        <w:t>o</w:t>
      </w:r>
      <w:r w:rsidRPr="00872636">
        <w:rPr>
          <w:rFonts w:ascii="Times New Roman" w:hAnsi="Times New Roman" w:cs="Times New Roman"/>
          <w:sz w:val="24"/>
          <w:szCs w:val="24"/>
          <w:lang w:eastAsia="en-GB"/>
        </w:rPr>
        <w:t xml:space="preserve"> , for the alternative fuelled aircraft under consideration.</w:t>
      </w:r>
    </w:p>
    <w:p w14:paraId="1847828C" w14:textId="77777777" w:rsidR="00906581" w:rsidRPr="00872636" w:rsidRDefault="00906581" w:rsidP="00C525D8">
      <w:pPr>
        <w:numPr>
          <w:ilvl w:val="0"/>
          <w:numId w:val="6"/>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6: After step 5, calculate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initial</w:t>
      </w:r>
      <w:r w:rsidRPr="00872636">
        <w:rPr>
          <w:rFonts w:ascii="Times New Roman" w:hAnsi="Times New Roman" w:cs="Times New Roman"/>
          <w:sz w:val="24"/>
          <w:szCs w:val="24"/>
          <w:lang w:eastAsia="en-GB"/>
        </w:rPr>
        <w:t xml:space="preserve"> and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final</w:t>
      </w:r>
      <w:r w:rsidRPr="00872636">
        <w:rPr>
          <w:rFonts w:ascii="Times New Roman" w:hAnsi="Times New Roman" w:cs="Times New Roman"/>
          <w:sz w:val="24"/>
          <w:szCs w:val="24"/>
          <w:lang w:eastAsia="en-GB"/>
        </w:rPr>
        <w:t xml:space="preserve"> </w:t>
      </w:r>
    </w:p>
    <w:p w14:paraId="0A680004" w14:textId="77777777" w:rsidR="00906581" w:rsidRPr="00872636" w:rsidRDefault="00906581" w:rsidP="00C525D8">
      <w:pPr>
        <w:spacing w:after="0" w:line="480" w:lineRule="auto"/>
        <w:ind w:left="720"/>
        <w:jc w:val="both"/>
        <w:rPr>
          <w:rFonts w:ascii="Times New Roman" w:hAnsi="Times New Roman" w:cs="Times New Roman"/>
          <w:sz w:val="24"/>
          <w:szCs w:val="24"/>
          <w:lang w:eastAsia="en-GB"/>
        </w:rPr>
      </w:pP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 xml:space="preserve">initial  </w:t>
      </w:r>
      <w:r w:rsidRPr="00872636">
        <w:rPr>
          <w:rFonts w:ascii="Times New Roman" w:hAnsi="Times New Roman" w:cs="Times New Roman"/>
          <w:sz w:val="24"/>
          <w:szCs w:val="24"/>
          <w:lang w:eastAsia="en-GB"/>
        </w:rPr>
        <w:t>= (1 – lost fuel value) x GTOW</w:t>
      </w:r>
    </w:p>
    <w:p w14:paraId="52D5540C" w14:textId="77777777" w:rsidR="00906581" w:rsidRPr="00872636" w:rsidRDefault="00906581" w:rsidP="00C525D8">
      <w:pPr>
        <w:spacing w:after="0" w:line="480" w:lineRule="auto"/>
        <w:ind w:left="720"/>
        <w:jc w:val="both"/>
        <w:rPr>
          <w:rFonts w:ascii="Times New Roman" w:hAnsi="Times New Roman" w:cs="Times New Roman"/>
          <w:sz w:val="24"/>
          <w:szCs w:val="24"/>
          <w:lang w:eastAsia="en-GB"/>
        </w:rPr>
      </w:pP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 xml:space="preserve">final </w:t>
      </w:r>
      <w:r w:rsidRPr="00872636">
        <w:rPr>
          <w:rFonts w:ascii="Times New Roman" w:hAnsi="Times New Roman" w:cs="Times New Roman"/>
          <w:sz w:val="24"/>
          <w:szCs w:val="24"/>
          <w:lang w:eastAsia="en-GB"/>
        </w:rPr>
        <w:t xml:space="preserve">= GTOW – 0.9 x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F,total</w:t>
      </w:r>
    </w:p>
    <w:p w14:paraId="5D062BD8" w14:textId="77777777" w:rsidR="00906581" w:rsidRPr="00872636" w:rsidRDefault="00906581" w:rsidP="00C525D8">
      <w:pPr>
        <w:numPr>
          <w:ilvl w:val="0"/>
          <w:numId w:val="6"/>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7: After step 6, calculate the aircraft </w:t>
      </w:r>
      <w:r w:rsidRPr="00872636">
        <w:rPr>
          <w:rFonts w:ascii="Times New Roman" w:hAnsi="Times New Roman" w:cs="Times New Roman"/>
          <w:i/>
          <w:iCs/>
          <w:sz w:val="24"/>
          <w:szCs w:val="24"/>
          <w:lang w:eastAsia="en-GB"/>
        </w:rPr>
        <w:t>L/D</w:t>
      </w:r>
      <w:r w:rsidRPr="00872636">
        <w:rPr>
          <w:rFonts w:ascii="Times New Roman" w:hAnsi="Times New Roman" w:cs="Times New Roman"/>
          <w:sz w:val="24"/>
          <w:szCs w:val="24"/>
          <w:lang w:eastAsia="en-GB"/>
        </w:rPr>
        <w:t xml:space="preserve"> (includes penalty due to additional fuselage requirement)</w:t>
      </w:r>
    </w:p>
    <w:p w14:paraId="50CCF55A" w14:textId="4CA0DBD0" w:rsidR="00906581" w:rsidRPr="00872636" w:rsidRDefault="00906581" w:rsidP="00C525D8">
      <w:pPr>
        <w:numPr>
          <w:ilvl w:val="0"/>
          <w:numId w:val="6"/>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8: After step 7, calculate the aircraft range using Breguet’s range equation (equation 1) </w:t>
      </w:r>
    </w:p>
    <w:p w14:paraId="61ED6F82" w14:textId="77777777" w:rsidR="00906581" w:rsidRPr="00872636" w:rsidRDefault="00906581" w:rsidP="00C525D8">
      <w:pPr>
        <w:numPr>
          <w:ilvl w:val="0"/>
          <w:numId w:val="6"/>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Step 9: Does the calculated range of the alternative fuelled aircraft meet the target range of the Jet-A (baseline) aircraft?</w:t>
      </w:r>
    </w:p>
    <w:p w14:paraId="6CDBCB0E" w14:textId="77777777" w:rsidR="00906581" w:rsidRPr="00872636" w:rsidRDefault="00906581" w:rsidP="00C525D8">
      <w:pPr>
        <w:numPr>
          <w:ilvl w:val="0"/>
          <w:numId w:val="6"/>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Step 10: If ‘yes’ to the question in step 9, then the aircraft is fixed/finalized</w:t>
      </w:r>
    </w:p>
    <w:p w14:paraId="4709C974" w14:textId="77777777" w:rsidR="00906581" w:rsidRPr="00872636" w:rsidRDefault="00906581" w:rsidP="00C525D8">
      <w:pPr>
        <w:numPr>
          <w:ilvl w:val="0"/>
          <w:numId w:val="6"/>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11: If ‘no’ to the question in step 9, then increase the guess for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F,total</w:t>
      </w:r>
      <w:r w:rsidRPr="00872636">
        <w:rPr>
          <w:rFonts w:ascii="Times New Roman" w:hAnsi="Times New Roman" w:cs="Times New Roman"/>
          <w:sz w:val="24"/>
          <w:szCs w:val="24"/>
          <w:lang w:eastAsia="en-GB"/>
        </w:rPr>
        <w:t xml:space="preserve"> and execute step 1 to follow the steps thereafter</w:t>
      </w:r>
    </w:p>
    <w:p w14:paraId="6800FA7E" w14:textId="1FAA859F" w:rsidR="00906581" w:rsidRPr="00872636" w:rsidRDefault="00906581" w:rsidP="005A63A4">
      <w:pPr>
        <w:numPr>
          <w:ilvl w:val="0"/>
          <w:numId w:val="6"/>
        </w:numPr>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12: If ‘no’ to question in step 4, then restore values of all parameters from previous iteration (based on previous guess of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F,total</w:t>
      </w:r>
      <w:r w:rsidRPr="00872636">
        <w:rPr>
          <w:rFonts w:ascii="Times New Roman" w:hAnsi="Times New Roman" w:cs="Times New Roman"/>
          <w:sz w:val="24"/>
          <w:szCs w:val="24"/>
          <w:lang w:eastAsia="en-GB"/>
        </w:rPr>
        <w:t>), and the aircraft is fixed/finalized.</w:t>
      </w:r>
    </w:p>
    <w:p w14:paraId="0896A6CB" w14:textId="77777777" w:rsidR="00906581" w:rsidRPr="00872636" w:rsidRDefault="00906581" w:rsidP="00C525D8">
      <w:pPr>
        <w:pStyle w:val="Heading2"/>
        <w:spacing w:after="240" w:line="480" w:lineRule="auto"/>
        <w:rPr>
          <w:rFonts w:ascii="Times New Roman" w:eastAsia="Times New Roman" w:hAnsi="Times New Roman" w:cs="Times New Roman"/>
          <w:color w:val="auto"/>
          <w:sz w:val="24"/>
          <w:szCs w:val="24"/>
          <w:bdr w:val="none" w:sz="0" w:space="0" w:color="auto" w:frame="1"/>
          <w:lang w:eastAsia="en-GB"/>
        </w:rPr>
      </w:pPr>
      <w:r w:rsidRPr="00872636">
        <w:rPr>
          <w:rFonts w:ascii="Times New Roman" w:eastAsia="Times New Roman" w:hAnsi="Times New Roman" w:cs="Times New Roman"/>
          <w:color w:val="auto"/>
          <w:sz w:val="24"/>
          <w:szCs w:val="24"/>
          <w:bdr w:val="none" w:sz="0" w:space="0" w:color="auto" w:frame="1"/>
          <w:lang w:eastAsia="en-GB"/>
        </w:rPr>
        <w:t>Alternative non-cryogenic fuel cases</w:t>
      </w:r>
    </w:p>
    <w:p w14:paraId="16896642" w14:textId="2AF12B5F" w:rsidR="00906581" w:rsidRPr="00872636" w:rsidRDefault="00906581" w:rsidP="00C525D8">
      <w:p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ab/>
        <w:t>For alternative non-cryogenic fuel cases (based on Figure 2</w:t>
      </w:r>
      <w:r w:rsidR="00864B62" w:rsidRPr="00872636">
        <w:rPr>
          <w:rFonts w:ascii="Times New Roman" w:hAnsi="Times New Roman" w:cs="Times New Roman"/>
          <w:sz w:val="24"/>
          <w:szCs w:val="24"/>
          <w:lang w:eastAsia="en-GB"/>
        </w:rPr>
        <w:t xml:space="preserve"> in the </w:t>
      </w:r>
      <w:r w:rsidR="00312CEA" w:rsidRPr="00872636">
        <w:rPr>
          <w:rFonts w:ascii="Times New Roman" w:hAnsi="Times New Roman" w:cs="Times New Roman"/>
          <w:sz w:val="24"/>
          <w:szCs w:val="24"/>
          <w:lang w:eastAsia="en-GB"/>
        </w:rPr>
        <w:t>paper</w:t>
      </w:r>
      <w:r w:rsidRPr="00872636">
        <w:rPr>
          <w:rFonts w:ascii="Times New Roman" w:hAnsi="Times New Roman" w:cs="Times New Roman"/>
          <w:sz w:val="24"/>
          <w:szCs w:val="24"/>
          <w:lang w:eastAsia="en-GB"/>
        </w:rPr>
        <w:t xml:space="preserve">), the description in </w:t>
      </w:r>
      <w:r w:rsidR="005A11A9" w:rsidRPr="00872636">
        <w:rPr>
          <w:rFonts w:ascii="Times New Roman" w:hAnsi="Times New Roman" w:cs="Times New Roman"/>
          <w:sz w:val="24"/>
          <w:szCs w:val="24"/>
          <w:lang w:eastAsia="en-GB"/>
        </w:rPr>
        <w:t>§</w:t>
      </w:r>
      <w:r w:rsidRPr="00872636">
        <w:rPr>
          <w:rFonts w:ascii="Times New Roman" w:hAnsi="Times New Roman" w:cs="Times New Roman"/>
          <w:sz w:val="24"/>
          <w:szCs w:val="24"/>
          <w:lang w:eastAsia="en-GB"/>
        </w:rPr>
        <w:t xml:space="preserve">2 of the </w:t>
      </w:r>
      <w:r w:rsidR="00312CEA" w:rsidRPr="00872636">
        <w:rPr>
          <w:rFonts w:ascii="Times New Roman" w:hAnsi="Times New Roman" w:cs="Times New Roman"/>
          <w:sz w:val="24"/>
          <w:szCs w:val="24"/>
          <w:lang w:eastAsia="en-GB"/>
        </w:rPr>
        <w:t>paper</w:t>
      </w:r>
      <w:r w:rsidRPr="00872636">
        <w:rPr>
          <w:rFonts w:ascii="Times New Roman" w:hAnsi="Times New Roman" w:cs="Times New Roman"/>
          <w:sz w:val="24"/>
          <w:szCs w:val="24"/>
          <w:lang w:eastAsia="en-GB"/>
        </w:rPr>
        <w:t xml:space="preserve"> is listed/summarized below as a stepwise process of the range equation analysis:</w:t>
      </w:r>
    </w:p>
    <w:p w14:paraId="3024A168" w14:textId="77777777" w:rsidR="00906581" w:rsidRPr="00872636" w:rsidRDefault="00906581" w:rsidP="00C525D8">
      <w:pPr>
        <w:numPr>
          <w:ilvl w:val="0"/>
          <w:numId w:val="6"/>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1: Guess a value (initial guess value of 1 kg) for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F,total</w:t>
      </w:r>
    </w:p>
    <w:p w14:paraId="0850EBCD" w14:textId="77777777" w:rsidR="00906581" w:rsidRPr="00872636" w:rsidRDefault="00906581" w:rsidP="00C525D8">
      <w:pPr>
        <w:numPr>
          <w:ilvl w:val="0"/>
          <w:numId w:val="6"/>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Step 2: Does total fuel at mission start fit inside the wing tanks?</w:t>
      </w:r>
    </w:p>
    <w:p w14:paraId="2372C2DC" w14:textId="77777777" w:rsidR="00906581" w:rsidRPr="00872636" w:rsidRDefault="00906581" w:rsidP="00C525D8">
      <w:pPr>
        <w:numPr>
          <w:ilvl w:val="0"/>
          <w:numId w:val="6"/>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Step 3: If ‘yes’ to question in step 2, the OEW of aircraft is same as that of the Jet-A aircraft case i.e. no additional fuselage.</w:t>
      </w:r>
    </w:p>
    <w:p w14:paraId="04AA2BEC" w14:textId="77777777" w:rsidR="00906581" w:rsidRPr="00872636" w:rsidRDefault="00906581" w:rsidP="00C525D8">
      <w:pPr>
        <w:numPr>
          <w:ilvl w:val="0"/>
          <w:numId w:val="6"/>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lastRenderedPageBreak/>
        <w:t>Step 4: If ‘no’ to question in step 2, estimate (and store) the fuel volume that fits inside the wing tanks and for the remaining fuel (calculate the) additional fuselage is required for storing non-cryogenic fuel tank. The OEW of aircraft is calculated based on this additional fuselage requirement.</w:t>
      </w:r>
    </w:p>
    <w:p w14:paraId="0F63A07A" w14:textId="77777777" w:rsidR="00906581" w:rsidRPr="00872636" w:rsidRDefault="00906581" w:rsidP="00C525D8">
      <w:pPr>
        <w:numPr>
          <w:ilvl w:val="0"/>
          <w:numId w:val="6"/>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Step 5: Following step 3 or 4, the OEW for the alternative non-cryogenic fuel case is calculated.</w:t>
      </w:r>
    </w:p>
    <w:p w14:paraId="7C103472" w14:textId="77777777" w:rsidR="00906581" w:rsidRPr="00872636" w:rsidRDefault="00906581" w:rsidP="00C525D8">
      <w:pPr>
        <w:numPr>
          <w:ilvl w:val="0"/>
          <w:numId w:val="6"/>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6: The GTOW (= OEW +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F,total</w:t>
      </w:r>
      <w:r w:rsidRPr="00872636">
        <w:rPr>
          <w:rFonts w:ascii="Times New Roman" w:hAnsi="Times New Roman" w:cs="Times New Roman"/>
          <w:sz w:val="24"/>
          <w:szCs w:val="24"/>
          <w:lang w:eastAsia="en-GB"/>
        </w:rPr>
        <w:t xml:space="preserve"> +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p</w:t>
      </w:r>
      <w:r w:rsidRPr="00872636">
        <w:rPr>
          <w:rFonts w:ascii="Times New Roman" w:hAnsi="Times New Roman" w:cs="Times New Roman"/>
          <w:sz w:val="24"/>
          <w:szCs w:val="24"/>
          <w:lang w:eastAsia="en-GB"/>
        </w:rPr>
        <w:t>) is calculated for a given payload case</w:t>
      </w:r>
    </w:p>
    <w:p w14:paraId="14B8E83C" w14:textId="77777777" w:rsidR="00906581" w:rsidRPr="00872636" w:rsidRDefault="00906581" w:rsidP="00C525D8">
      <w:pPr>
        <w:numPr>
          <w:ilvl w:val="0"/>
          <w:numId w:val="6"/>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Step 7: Is the GTOW&lt;=MTOW of the aircraft?</w:t>
      </w:r>
    </w:p>
    <w:p w14:paraId="14B21227" w14:textId="77777777" w:rsidR="00906581" w:rsidRPr="00872636" w:rsidRDefault="00906581" w:rsidP="00C525D8">
      <w:pPr>
        <w:numPr>
          <w:ilvl w:val="0"/>
          <w:numId w:val="6"/>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8: If ‘yes’ to question in step 7, estimate the lost fuel value, </w:t>
      </w:r>
      <w:r w:rsidRPr="00872636">
        <w:rPr>
          <w:rFonts w:ascii="Times New Roman" w:hAnsi="Times New Roman" w:cs="Times New Roman"/>
          <w:i/>
          <w:iCs/>
          <w:sz w:val="24"/>
          <w:szCs w:val="24"/>
          <w:lang w:eastAsia="en-GB"/>
        </w:rPr>
        <w:t>h</w:t>
      </w:r>
      <w:r w:rsidRPr="00872636">
        <w:rPr>
          <w:rFonts w:ascii="Times New Roman" w:hAnsi="Times New Roman" w:cs="Times New Roman"/>
          <w:sz w:val="24"/>
          <w:szCs w:val="24"/>
          <w:lang w:eastAsia="en-GB"/>
        </w:rPr>
        <w:t xml:space="preserve"> and </w:t>
      </w:r>
      <w:r w:rsidRPr="00872636">
        <w:rPr>
          <w:rFonts w:ascii="Times New Roman" w:hAnsi="Times New Roman" w:cs="Times New Roman"/>
          <w:i/>
          <w:iCs/>
          <w:sz w:val="24"/>
          <w:szCs w:val="24"/>
          <w:lang w:eastAsia="en-GB"/>
        </w:rPr>
        <w:t>η</w:t>
      </w:r>
      <w:r w:rsidRPr="00872636">
        <w:rPr>
          <w:rFonts w:ascii="Times New Roman" w:hAnsi="Times New Roman" w:cs="Times New Roman"/>
          <w:sz w:val="24"/>
          <w:szCs w:val="24"/>
          <w:vertAlign w:val="subscript"/>
          <w:lang w:eastAsia="en-GB"/>
        </w:rPr>
        <w:t>o</w:t>
      </w:r>
      <w:r w:rsidRPr="00872636">
        <w:rPr>
          <w:rFonts w:ascii="Times New Roman" w:hAnsi="Times New Roman" w:cs="Times New Roman"/>
          <w:sz w:val="24"/>
          <w:szCs w:val="24"/>
          <w:lang w:eastAsia="en-GB"/>
        </w:rPr>
        <w:t xml:space="preserve"> , for the alternative fuelled aircraft under consideration.</w:t>
      </w:r>
    </w:p>
    <w:p w14:paraId="0E6F192B" w14:textId="77777777" w:rsidR="00906581" w:rsidRPr="00872636" w:rsidRDefault="00906581" w:rsidP="00C525D8">
      <w:pPr>
        <w:numPr>
          <w:ilvl w:val="0"/>
          <w:numId w:val="6"/>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9: After step 7, calculate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initial</w:t>
      </w:r>
      <w:r w:rsidRPr="00872636">
        <w:rPr>
          <w:rFonts w:ascii="Times New Roman" w:hAnsi="Times New Roman" w:cs="Times New Roman"/>
          <w:sz w:val="24"/>
          <w:szCs w:val="24"/>
          <w:lang w:eastAsia="en-GB"/>
        </w:rPr>
        <w:t xml:space="preserve"> and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final</w:t>
      </w:r>
      <w:r w:rsidRPr="00872636">
        <w:rPr>
          <w:rFonts w:ascii="Times New Roman" w:hAnsi="Times New Roman" w:cs="Times New Roman"/>
          <w:sz w:val="24"/>
          <w:szCs w:val="24"/>
          <w:lang w:eastAsia="en-GB"/>
        </w:rPr>
        <w:t xml:space="preserve"> </w:t>
      </w:r>
    </w:p>
    <w:p w14:paraId="57254689" w14:textId="77777777" w:rsidR="00906581" w:rsidRPr="00872636" w:rsidRDefault="00906581" w:rsidP="00C525D8">
      <w:pPr>
        <w:spacing w:after="0" w:line="480" w:lineRule="auto"/>
        <w:ind w:left="720"/>
        <w:jc w:val="both"/>
        <w:rPr>
          <w:rFonts w:ascii="Times New Roman" w:hAnsi="Times New Roman" w:cs="Times New Roman"/>
          <w:sz w:val="24"/>
          <w:szCs w:val="24"/>
          <w:lang w:eastAsia="en-GB"/>
        </w:rPr>
      </w:pP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 xml:space="preserve">initial  </w:t>
      </w:r>
      <w:r w:rsidRPr="00872636">
        <w:rPr>
          <w:rFonts w:ascii="Times New Roman" w:hAnsi="Times New Roman" w:cs="Times New Roman"/>
          <w:sz w:val="24"/>
          <w:szCs w:val="24"/>
          <w:lang w:eastAsia="en-GB"/>
        </w:rPr>
        <w:t>= (1 – lost fuel value) x GTOW</w:t>
      </w:r>
    </w:p>
    <w:p w14:paraId="4C0FCD49" w14:textId="77777777" w:rsidR="00906581" w:rsidRPr="00872636" w:rsidRDefault="00906581" w:rsidP="00C525D8">
      <w:pPr>
        <w:spacing w:after="0" w:line="480" w:lineRule="auto"/>
        <w:ind w:left="720"/>
        <w:jc w:val="both"/>
        <w:rPr>
          <w:rFonts w:ascii="Times New Roman" w:hAnsi="Times New Roman" w:cs="Times New Roman"/>
          <w:sz w:val="24"/>
          <w:szCs w:val="24"/>
          <w:lang w:eastAsia="en-GB"/>
        </w:rPr>
      </w:pP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 xml:space="preserve">final </w:t>
      </w:r>
      <w:r w:rsidRPr="00872636">
        <w:rPr>
          <w:rFonts w:ascii="Times New Roman" w:hAnsi="Times New Roman" w:cs="Times New Roman"/>
          <w:sz w:val="24"/>
          <w:szCs w:val="24"/>
          <w:lang w:eastAsia="en-GB"/>
        </w:rPr>
        <w:t xml:space="preserve">= GTOW – 0.9 x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F,total</w:t>
      </w:r>
    </w:p>
    <w:p w14:paraId="1543495B" w14:textId="77777777" w:rsidR="00906581" w:rsidRPr="00872636" w:rsidRDefault="00906581" w:rsidP="00C525D8">
      <w:pPr>
        <w:numPr>
          <w:ilvl w:val="0"/>
          <w:numId w:val="6"/>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10: After step 9, calculate the aircraft </w:t>
      </w:r>
      <w:r w:rsidRPr="00872636">
        <w:rPr>
          <w:rFonts w:ascii="Times New Roman" w:hAnsi="Times New Roman" w:cs="Times New Roman"/>
          <w:i/>
          <w:iCs/>
          <w:sz w:val="24"/>
          <w:szCs w:val="24"/>
          <w:lang w:eastAsia="en-GB"/>
        </w:rPr>
        <w:t>L/D</w:t>
      </w:r>
      <w:r w:rsidRPr="00872636">
        <w:rPr>
          <w:rFonts w:ascii="Times New Roman" w:hAnsi="Times New Roman" w:cs="Times New Roman"/>
          <w:sz w:val="24"/>
          <w:szCs w:val="24"/>
          <w:lang w:eastAsia="en-GB"/>
        </w:rPr>
        <w:t xml:space="preserve"> (includes penalty due to additional fuselage requirement)</w:t>
      </w:r>
    </w:p>
    <w:p w14:paraId="5161E7BF" w14:textId="62E413FD" w:rsidR="00906581" w:rsidRPr="00872636" w:rsidRDefault="00906581" w:rsidP="00C525D8">
      <w:pPr>
        <w:numPr>
          <w:ilvl w:val="0"/>
          <w:numId w:val="6"/>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11: After step 10, calculate the aircraft range using Breguet’s range equation (equation 1) </w:t>
      </w:r>
    </w:p>
    <w:p w14:paraId="3404735D" w14:textId="77777777" w:rsidR="00906581" w:rsidRPr="00872636" w:rsidRDefault="00906581" w:rsidP="00C525D8">
      <w:pPr>
        <w:numPr>
          <w:ilvl w:val="0"/>
          <w:numId w:val="6"/>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Step 12: Does the calculated range of the alternative fuelled aircraft meet the target range of the Jet-A (baseline) aircraft?</w:t>
      </w:r>
    </w:p>
    <w:p w14:paraId="29CA7C9F" w14:textId="77777777" w:rsidR="00906581" w:rsidRPr="00872636" w:rsidRDefault="00906581" w:rsidP="00C525D8">
      <w:pPr>
        <w:numPr>
          <w:ilvl w:val="0"/>
          <w:numId w:val="6"/>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Step 13: If ‘yes’ to the question in step 12, then the aircraft is fixed/finalized</w:t>
      </w:r>
    </w:p>
    <w:p w14:paraId="581B9E53" w14:textId="77777777" w:rsidR="00906581" w:rsidRPr="00872636" w:rsidRDefault="00906581" w:rsidP="00C525D8">
      <w:pPr>
        <w:numPr>
          <w:ilvl w:val="0"/>
          <w:numId w:val="6"/>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14: If ‘no’ to the question in step 12, then increase the guess for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F,total</w:t>
      </w:r>
      <w:r w:rsidRPr="00872636">
        <w:rPr>
          <w:rFonts w:ascii="Times New Roman" w:hAnsi="Times New Roman" w:cs="Times New Roman"/>
          <w:sz w:val="24"/>
          <w:szCs w:val="24"/>
          <w:lang w:eastAsia="en-GB"/>
        </w:rPr>
        <w:t xml:space="preserve"> and execute step 1 to follow the steps thereafter</w:t>
      </w:r>
    </w:p>
    <w:p w14:paraId="3695C9B1" w14:textId="77777777" w:rsidR="00906581" w:rsidRPr="00872636" w:rsidRDefault="00906581" w:rsidP="00C525D8">
      <w:pPr>
        <w:numPr>
          <w:ilvl w:val="0"/>
          <w:numId w:val="6"/>
        </w:num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15: If ‘no’ to question in step 7, then restore values of all parameters from previous iteration (based on previous guess of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F,total</w:t>
      </w:r>
      <w:r w:rsidRPr="00872636">
        <w:rPr>
          <w:rFonts w:ascii="Times New Roman" w:hAnsi="Times New Roman" w:cs="Times New Roman"/>
          <w:sz w:val="24"/>
          <w:szCs w:val="24"/>
          <w:lang w:eastAsia="en-GB"/>
        </w:rPr>
        <w:t>), and the aircraft is fixed/finalized.</w:t>
      </w:r>
    </w:p>
    <w:p w14:paraId="405182A0" w14:textId="77777777" w:rsidR="00864B62" w:rsidRPr="00872636" w:rsidRDefault="00864B62" w:rsidP="00C525D8">
      <w:pPr>
        <w:pStyle w:val="Heading1"/>
        <w:numPr>
          <w:ilvl w:val="0"/>
          <w:numId w:val="4"/>
        </w:numPr>
        <w:spacing w:after="240" w:line="480" w:lineRule="auto"/>
        <w:jc w:val="both"/>
        <w:rPr>
          <w:rFonts w:ascii="Times New Roman" w:eastAsia="Times New Roman" w:hAnsi="Times New Roman" w:cs="Times New Roman"/>
          <w:b/>
          <w:bCs/>
          <w:color w:val="auto"/>
          <w:sz w:val="24"/>
          <w:szCs w:val="24"/>
          <w:bdr w:val="none" w:sz="0" w:space="0" w:color="auto" w:frame="1"/>
          <w:lang w:eastAsia="en-GB"/>
        </w:rPr>
      </w:pPr>
      <w:r w:rsidRPr="00872636">
        <w:rPr>
          <w:rFonts w:ascii="Times New Roman" w:eastAsia="Times New Roman" w:hAnsi="Times New Roman" w:cs="Times New Roman"/>
          <w:b/>
          <w:bCs/>
          <w:color w:val="auto"/>
          <w:sz w:val="24"/>
          <w:szCs w:val="24"/>
          <w:bdr w:val="none" w:sz="0" w:space="0" w:color="auto" w:frame="1"/>
          <w:lang w:eastAsia="en-GB"/>
        </w:rPr>
        <w:lastRenderedPageBreak/>
        <w:t>Stepwise procedure of the range equation analysis at off-design point</w:t>
      </w:r>
    </w:p>
    <w:p w14:paraId="67C1EB0B" w14:textId="5B032436" w:rsidR="00864B62" w:rsidRPr="00872636" w:rsidRDefault="00864B62" w:rsidP="00C525D8">
      <w:pPr>
        <w:pStyle w:val="Heading2"/>
        <w:spacing w:after="240" w:line="480" w:lineRule="auto"/>
        <w:rPr>
          <w:rFonts w:ascii="Times New Roman" w:eastAsia="Times New Roman" w:hAnsi="Times New Roman" w:cs="Times New Roman"/>
          <w:color w:val="auto"/>
          <w:sz w:val="24"/>
          <w:szCs w:val="24"/>
          <w:bdr w:val="none" w:sz="0" w:space="0" w:color="auto" w:frame="1"/>
          <w:lang w:eastAsia="en-GB"/>
        </w:rPr>
      </w:pPr>
      <w:r w:rsidRPr="00872636">
        <w:rPr>
          <w:rFonts w:ascii="Times New Roman" w:eastAsia="Times New Roman" w:hAnsi="Times New Roman" w:cs="Times New Roman"/>
          <w:color w:val="auto"/>
          <w:sz w:val="24"/>
          <w:szCs w:val="24"/>
          <w:bdr w:val="none" w:sz="0" w:space="0" w:color="auto" w:frame="1"/>
          <w:lang w:eastAsia="en-GB"/>
        </w:rPr>
        <w:t>Maximum permissible range estimation with full fuel tank</w:t>
      </w:r>
    </w:p>
    <w:p w14:paraId="120CFA30" w14:textId="011998BB" w:rsidR="00864B62" w:rsidRPr="00872636" w:rsidRDefault="00D270BB" w:rsidP="00C525D8">
      <w:pPr>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ab/>
      </w:r>
      <w:r w:rsidR="00864B62" w:rsidRPr="00872636">
        <w:rPr>
          <w:rFonts w:ascii="Times New Roman" w:hAnsi="Times New Roman" w:cs="Times New Roman"/>
          <w:sz w:val="24"/>
          <w:szCs w:val="24"/>
          <w:lang w:eastAsia="en-GB"/>
        </w:rPr>
        <w:t xml:space="preserve">The stepwise process shown in Figure 3 in the </w:t>
      </w:r>
      <w:r w:rsidR="00312CEA" w:rsidRPr="00872636">
        <w:rPr>
          <w:rFonts w:ascii="Times New Roman" w:hAnsi="Times New Roman" w:cs="Times New Roman"/>
          <w:sz w:val="24"/>
          <w:szCs w:val="24"/>
          <w:lang w:eastAsia="en-GB"/>
        </w:rPr>
        <w:t>paper</w:t>
      </w:r>
      <w:r w:rsidR="00864B62" w:rsidRPr="00872636">
        <w:rPr>
          <w:rFonts w:ascii="Times New Roman" w:hAnsi="Times New Roman" w:cs="Times New Roman"/>
          <w:sz w:val="24"/>
          <w:szCs w:val="24"/>
          <w:lang w:eastAsia="en-GB"/>
        </w:rPr>
        <w:t xml:space="preserve"> is as follows:</w:t>
      </w:r>
    </w:p>
    <w:p w14:paraId="16E6B08C" w14:textId="77777777" w:rsidR="00864B62" w:rsidRPr="00872636" w:rsidRDefault="00864B62" w:rsidP="00C525D8">
      <w:pPr>
        <w:numPr>
          <w:ilvl w:val="0"/>
          <w:numId w:val="5"/>
        </w:numPr>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1: Use the fixed/designed aircraft where values of OEW, maximum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F,total</w:t>
      </w:r>
      <w:r w:rsidRPr="00872636">
        <w:rPr>
          <w:rFonts w:ascii="Times New Roman" w:hAnsi="Times New Roman" w:cs="Times New Roman"/>
          <w:sz w:val="24"/>
          <w:szCs w:val="24"/>
          <w:lang w:eastAsia="en-GB"/>
        </w:rPr>
        <w:t xml:space="preserve"> and maximum payload weight are known for fuel under consideration. Begin with full fuel tank capacity for a given payload case (weight) within the maximum payload limit and estimate the aircraft GTOW (= OEW +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F,total</w:t>
      </w:r>
      <w:r w:rsidRPr="00872636">
        <w:rPr>
          <w:rFonts w:ascii="Times New Roman" w:hAnsi="Times New Roman" w:cs="Times New Roman"/>
          <w:sz w:val="24"/>
          <w:szCs w:val="24"/>
          <w:lang w:eastAsia="en-GB"/>
        </w:rPr>
        <w:t xml:space="preserve"> (max.) +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p</w:t>
      </w:r>
      <w:r w:rsidRPr="00872636">
        <w:rPr>
          <w:rFonts w:ascii="Times New Roman" w:hAnsi="Times New Roman" w:cs="Times New Roman"/>
          <w:sz w:val="24"/>
          <w:szCs w:val="24"/>
          <w:lang w:eastAsia="en-GB"/>
        </w:rPr>
        <w:t>).</w:t>
      </w:r>
    </w:p>
    <w:p w14:paraId="2B0FABAD" w14:textId="77777777" w:rsidR="00864B62" w:rsidRPr="00872636" w:rsidRDefault="00864B62" w:rsidP="00C525D8">
      <w:pPr>
        <w:numPr>
          <w:ilvl w:val="0"/>
          <w:numId w:val="5"/>
        </w:numPr>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2: Input the known lost fuel value, </w:t>
      </w:r>
      <w:r w:rsidRPr="00872636">
        <w:rPr>
          <w:rFonts w:ascii="Times New Roman" w:hAnsi="Times New Roman" w:cs="Times New Roman"/>
          <w:i/>
          <w:iCs/>
          <w:sz w:val="24"/>
          <w:szCs w:val="24"/>
          <w:lang w:eastAsia="en-GB"/>
        </w:rPr>
        <w:t>h</w:t>
      </w:r>
      <w:r w:rsidRPr="00872636">
        <w:rPr>
          <w:rFonts w:ascii="Times New Roman" w:hAnsi="Times New Roman" w:cs="Times New Roman"/>
          <w:sz w:val="24"/>
          <w:szCs w:val="24"/>
          <w:lang w:eastAsia="en-GB"/>
        </w:rPr>
        <w:t xml:space="preserve"> and </w:t>
      </w:r>
      <w:r w:rsidRPr="00872636">
        <w:rPr>
          <w:rFonts w:ascii="Times New Roman" w:hAnsi="Times New Roman" w:cs="Times New Roman"/>
          <w:i/>
          <w:iCs/>
          <w:sz w:val="24"/>
          <w:szCs w:val="24"/>
          <w:lang w:eastAsia="en-GB"/>
        </w:rPr>
        <w:t>η</w:t>
      </w:r>
      <w:r w:rsidRPr="00872636">
        <w:rPr>
          <w:rFonts w:ascii="Times New Roman" w:hAnsi="Times New Roman" w:cs="Times New Roman"/>
          <w:sz w:val="24"/>
          <w:szCs w:val="24"/>
          <w:vertAlign w:val="subscript"/>
          <w:lang w:eastAsia="en-GB"/>
        </w:rPr>
        <w:t>o</w:t>
      </w:r>
      <w:r w:rsidRPr="00872636">
        <w:rPr>
          <w:rFonts w:ascii="Times New Roman" w:hAnsi="Times New Roman" w:cs="Times New Roman"/>
          <w:sz w:val="24"/>
          <w:szCs w:val="24"/>
          <w:lang w:eastAsia="en-GB"/>
        </w:rPr>
        <w:t>, for aircraft and fuel being evaluated.</w:t>
      </w:r>
    </w:p>
    <w:p w14:paraId="1339C3E6" w14:textId="77777777" w:rsidR="00864B62" w:rsidRPr="00872636" w:rsidRDefault="00864B62" w:rsidP="00C525D8">
      <w:pPr>
        <w:numPr>
          <w:ilvl w:val="0"/>
          <w:numId w:val="5"/>
        </w:numPr>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3: Calculate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initial</w:t>
      </w:r>
      <w:r w:rsidRPr="00872636">
        <w:rPr>
          <w:rFonts w:ascii="Times New Roman" w:hAnsi="Times New Roman" w:cs="Times New Roman"/>
          <w:sz w:val="24"/>
          <w:szCs w:val="24"/>
          <w:lang w:eastAsia="en-GB"/>
        </w:rPr>
        <w:t xml:space="preserve"> and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final</w:t>
      </w:r>
      <w:r w:rsidRPr="00872636">
        <w:rPr>
          <w:rFonts w:ascii="Times New Roman" w:hAnsi="Times New Roman" w:cs="Times New Roman"/>
          <w:sz w:val="24"/>
          <w:szCs w:val="24"/>
          <w:lang w:eastAsia="en-GB"/>
        </w:rPr>
        <w:t xml:space="preserve"> </w:t>
      </w:r>
    </w:p>
    <w:p w14:paraId="2A1CFCF0" w14:textId="7561BF3F" w:rsidR="00864B62" w:rsidRPr="00872636" w:rsidRDefault="00581A7C" w:rsidP="00C525D8">
      <w:pPr>
        <w:spacing w:line="480" w:lineRule="auto"/>
        <w:jc w:val="both"/>
        <w:rPr>
          <w:rFonts w:ascii="Times New Roman" w:hAnsi="Times New Roman" w:cs="Times New Roman"/>
          <w:sz w:val="24"/>
          <w:szCs w:val="24"/>
          <w:lang w:eastAsia="en-GB"/>
        </w:rPr>
      </w:pPr>
      <w:r w:rsidRPr="00872636">
        <w:rPr>
          <w:rFonts w:ascii="Times New Roman" w:hAnsi="Times New Roman" w:cs="Times New Roman"/>
          <w:i/>
          <w:iCs/>
          <w:sz w:val="24"/>
          <w:szCs w:val="24"/>
          <w:lang w:eastAsia="en-GB"/>
        </w:rPr>
        <w:tab/>
      </w:r>
      <w:r w:rsidR="00864B62" w:rsidRPr="00872636">
        <w:rPr>
          <w:rFonts w:ascii="Times New Roman" w:hAnsi="Times New Roman" w:cs="Times New Roman"/>
          <w:i/>
          <w:iCs/>
          <w:sz w:val="24"/>
          <w:szCs w:val="24"/>
          <w:lang w:eastAsia="en-GB"/>
        </w:rPr>
        <w:t>W</w:t>
      </w:r>
      <w:r w:rsidR="00864B62" w:rsidRPr="00872636">
        <w:rPr>
          <w:rFonts w:ascii="Times New Roman" w:hAnsi="Times New Roman" w:cs="Times New Roman"/>
          <w:sz w:val="24"/>
          <w:szCs w:val="24"/>
          <w:vertAlign w:val="subscript"/>
          <w:lang w:eastAsia="en-GB"/>
        </w:rPr>
        <w:t xml:space="preserve">initial  </w:t>
      </w:r>
      <w:r w:rsidR="00864B62" w:rsidRPr="00872636">
        <w:rPr>
          <w:rFonts w:ascii="Times New Roman" w:hAnsi="Times New Roman" w:cs="Times New Roman"/>
          <w:sz w:val="24"/>
          <w:szCs w:val="24"/>
          <w:lang w:eastAsia="en-GB"/>
        </w:rPr>
        <w:t>= (1 – lost fuel value) x GTOW</w:t>
      </w:r>
    </w:p>
    <w:p w14:paraId="35204760" w14:textId="41F2C7BA" w:rsidR="00864B62" w:rsidRPr="00872636" w:rsidRDefault="00581A7C" w:rsidP="00C525D8">
      <w:pPr>
        <w:spacing w:line="480" w:lineRule="auto"/>
        <w:jc w:val="both"/>
        <w:rPr>
          <w:rFonts w:ascii="Times New Roman" w:hAnsi="Times New Roman" w:cs="Times New Roman"/>
          <w:sz w:val="24"/>
          <w:szCs w:val="24"/>
          <w:lang w:eastAsia="en-GB"/>
        </w:rPr>
      </w:pPr>
      <w:r w:rsidRPr="00872636">
        <w:rPr>
          <w:rFonts w:ascii="Times New Roman" w:hAnsi="Times New Roman" w:cs="Times New Roman"/>
          <w:i/>
          <w:iCs/>
          <w:sz w:val="24"/>
          <w:szCs w:val="24"/>
          <w:lang w:eastAsia="en-GB"/>
        </w:rPr>
        <w:tab/>
      </w:r>
      <w:r w:rsidR="00864B62" w:rsidRPr="00872636">
        <w:rPr>
          <w:rFonts w:ascii="Times New Roman" w:hAnsi="Times New Roman" w:cs="Times New Roman"/>
          <w:i/>
          <w:iCs/>
          <w:sz w:val="24"/>
          <w:szCs w:val="24"/>
          <w:lang w:eastAsia="en-GB"/>
        </w:rPr>
        <w:t>W</w:t>
      </w:r>
      <w:r w:rsidR="00864B62" w:rsidRPr="00872636">
        <w:rPr>
          <w:rFonts w:ascii="Times New Roman" w:hAnsi="Times New Roman" w:cs="Times New Roman"/>
          <w:sz w:val="24"/>
          <w:szCs w:val="24"/>
          <w:vertAlign w:val="subscript"/>
          <w:lang w:eastAsia="en-GB"/>
        </w:rPr>
        <w:t xml:space="preserve">final </w:t>
      </w:r>
      <w:r w:rsidR="00864B62" w:rsidRPr="00872636">
        <w:rPr>
          <w:rFonts w:ascii="Times New Roman" w:hAnsi="Times New Roman" w:cs="Times New Roman"/>
          <w:sz w:val="24"/>
          <w:szCs w:val="24"/>
          <w:lang w:eastAsia="en-GB"/>
        </w:rPr>
        <w:t xml:space="preserve">= GTOW – 0.9 x </w:t>
      </w:r>
      <w:r w:rsidR="00864B62" w:rsidRPr="00872636">
        <w:rPr>
          <w:rFonts w:ascii="Times New Roman" w:hAnsi="Times New Roman" w:cs="Times New Roman"/>
          <w:i/>
          <w:iCs/>
          <w:sz w:val="24"/>
          <w:szCs w:val="24"/>
          <w:lang w:eastAsia="en-GB"/>
        </w:rPr>
        <w:t>W</w:t>
      </w:r>
      <w:r w:rsidR="00864B62" w:rsidRPr="00872636">
        <w:rPr>
          <w:rFonts w:ascii="Times New Roman" w:hAnsi="Times New Roman" w:cs="Times New Roman"/>
          <w:sz w:val="24"/>
          <w:szCs w:val="24"/>
          <w:vertAlign w:val="subscript"/>
          <w:lang w:eastAsia="en-GB"/>
        </w:rPr>
        <w:t>F,total</w:t>
      </w:r>
    </w:p>
    <w:p w14:paraId="325EEC97" w14:textId="77777777" w:rsidR="00864B62" w:rsidRPr="00872636" w:rsidRDefault="00864B62" w:rsidP="00C525D8">
      <w:pPr>
        <w:numPr>
          <w:ilvl w:val="0"/>
          <w:numId w:val="5"/>
        </w:numPr>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4: Calculate the aircraft L/D </w:t>
      </w:r>
    </w:p>
    <w:p w14:paraId="7EA737F7" w14:textId="31754FC9" w:rsidR="00864B62" w:rsidRPr="00872636" w:rsidRDefault="00864B62" w:rsidP="00C525D8">
      <w:pPr>
        <w:numPr>
          <w:ilvl w:val="0"/>
          <w:numId w:val="5"/>
        </w:numPr>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Step 5: Calculate and record the aircraft range using Breguet’s range equation (equation 1) with full fuel tank capacity for a given payload case (weight). This is the maximum permissible range for given payload case (with full fuel tank capacity).</w:t>
      </w:r>
    </w:p>
    <w:p w14:paraId="31EF6392" w14:textId="1C061D4E" w:rsidR="00864B62" w:rsidRPr="00872636" w:rsidRDefault="00ED215D" w:rsidP="00C525D8">
      <w:pPr>
        <w:pStyle w:val="Heading2"/>
        <w:spacing w:after="240" w:line="480" w:lineRule="auto"/>
        <w:rPr>
          <w:rFonts w:ascii="Times New Roman" w:eastAsia="Times New Roman" w:hAnsi="Times New Roman" w:cs="Times New Roman"/>
          <w:color w:val="auto"/>
          <w:sz w:val="24"/>
          <w:szCs w:val="24"/>
          <w:bdr w:val="none" w:sz="0" w:space="0" w:color="auto" w:frame="1"/>
          <w:lang w:eastAsia="en-GB"/>
        </w:rPr>
      </w:pPr>
      <w:r w:rsidRPr="00872636">
        <w:rPr>
          <w:rFonts w:ascii="Times New Roman" w:eastAsia="Times New Roman" w:hAnsi="Times New Roman" w:cs="Times New Roman"/>
          <w:color w:val="auto"/>
          <w:sz w:val="24"/>
          <w:szCs w:val="24"/>
          <w:bdr w:val="none" w:sz="0" w:space="0" w:color="auto" w:frame="1"/>
          <w:lang w:eastAsia="en-GB"/>
        </w:rPr>
        <w:t>E</w:t>
      </w:r>
      <w:r w:rsidR="00864B62" w:rsidRPr="00872636">
        <w:rPr>
          <w:rFonts w:ascii="Times New Roman" w:eastAsia="Times New Roman" w:hAnsi="Times New Roman" w:cs="Times New Roman"/>
          <w:color w:val="auto"/>
          <w:sz w:val="24"/>
          <w:szCs w:val="24"/>
          <w:bdr w:val="none" w:sz="0" w:space="0" w:color="auto" w:frame="1"/>
          <w:lang w:eastAsia="en-GB"/>
        </w:rPr>
        <w:t xml:space="preserve">stimation </w:t>
      </w:r>
      <w:r w:rsidRPr="00872636">
        <w:rPr>
          <w:rFonts w:ascii="Times New Roman" w:eastAsia="Times New Roman" w:hAnsi="Times New Roman" w:cs="Times New Roman"/>
          <w:color w:val="auto"/>
          <w:sz w:val="24"/>
          <w:szCs w:val="24"/>
          <w:bdr w:val="none" w:sz="0" w:space="0" w:color="auto" w:frame="1"/>
          <w:lang w:eastAsia="en-GB"/>
        </w:rPr>
        <w:t xml:space="preserve">of block energy consumption for given range and payload combination </w:t>
      </w:r>
    </w:p>
    <w:p w14:paraId="701AFA22" w14:textId="4E0500C5" w:rsidR="00864B62" w:rsidRPr="00872636" w:rsidRDefault="00D270BB" w:rsidP="00C525D8">
      <w:pPr>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ab/>
      </w:r>
      <w:r w:rsidR="00864B62" w:rsidRPr="00872636">
        <w:rPr>
          <w:rFonts w:ascii="Times New Roman" w:hAnsi="Times New Roman" w:cs="Times New Roman"/>
          <w:sz w:val="24"/>
          <w:szCs w:val="24"/>
          <w:lang w:eastAsia="en-GB"/>
        </w:rPr>
        <w:t xml:space="preserve">The stepwise process shown in Figure 4 in the </w:t>
      </w:r>
      <w:r w:rsidR="00312CEA" w:rsidRPr="00872636">
        <w:rPr>
          <w:rFonts w:ascii="Times New Roman" w:hAnsi="Times New Roman" w:cs="Times New Roman"/>
          <w:sz w:val="24"/>
          <w:szCs w:val="24"/>
          <w:lang w:eastAsia="en-GB"/>
        </w:rPr>
        <w:t>paper</w:t>
      </w:r>
      <w:r w:rsidR="00864B62" w:rsidRPr="00872636">
        <w:rPr>
          <w:rFonts w:ascii="Times New Roman" w:hAnsi="Times New Roman" w:cs="Times New Roman"/>
          <w:sz w:val="24"/>
          <w:szCs w:val="24"/>
          <w:lang w:eastAsia="en-GB"/>
        </w:rPr>
        <w:t xml:space="preserve"> is as follows:</w:t>
      </w:r>
    </w:p>
    <w:p w14:paraId="55FAF0D9" w14:textId="6BA67C6D" w:rsidR="00864B62" w:rsidRPr="00872636" w:rsidRDefault="00864B62" w:rsidP="00C525D8">
      <w:pPr>
        <w:numPr>
          <w:ilvl w:val="0"/>
          <w:numId w:val="6"/>
        </w:numPr>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1: Use the fixed/designed aircraft where values of OEW, maximum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F,total</w:t>
      </w:r>
      <w:r w:rsidRPr="00872636">
        <w:rPr>
          <w:rFonts w:ascii="Times New Roman" w:hAnsi="Times New Roman" w:cs="Times New Roman"/>
          <w:sz w:val="24"/>
          <w:szCs w:val="24"/>
          <w:lang w:eastAsia="en-GB"/>
        </w:rPr>
        <w:t xml:space="preserve"> and maximum payload weight are known for fuel under consideration. For a given payload case (weight) within the maximum payload limit, select the aircraft range at which fuel performance needs to be evaluated (example: 5000 km). This range selection should be </w:t>
      </w:r>
      <w:r w:rsidRPr="00872636">
        <w:rPr>
          <w:rFonts w:ascii="Times New Roman" w:hAnsi="Times New Roman" w:cs="Times New Roman"/>
          <w:sz w:val="24"/>
          <w:szCs w:val="24"/>
          <w:lang w:eastAsia="en-GB"/>
        </w:rPr>
        <w:lastRenderedPageBreak/>
        <w:t xml:space="preserve">within maximum range of aircraft for given payload, which is evaluated using schematic shown in </w:t>
      </w:r>
      <w:r w:rsidR="00F229C5" w:rsidRPr="00872636">
        <w:rPr>
          <w:rFonts w:ascii="Times New Roman" w:hAnsi="Times New Roman" w:cs="Times New Roman"/>
          <w:sz w:val="24"/>
          <w:szCs w:val="24"/>
          <w:lang w:eastAsia="en-GB"/>
        </w:rPr>
        <w:t>Figure 3</w:t>
      </w:r>
      <w:r w:rsidRPr="00872636">
        <w:rPr>
          <w:rFonts w:ascii="Times New Roman" w:hAnsi="Times New Roman" w:cs="Times New Roman"/>
          <w:sz w:val="24"/>
          <w:szCs w:val="24"/>
          <w:lang w:eastAsia="en-GB"/>
        </w:rPr>
        <w:t>.</w:t>
      </w:r>
    </w:p>
    <w:p w14:paraId="16F69079" w14:textId="77777777" w:rsidR="00864B62" w:rsidRPr="00872636" w:rsidRDefault="00864B62" w:rsidP="00C525D8">
      <w:pPr>
        <w:numPr>
          <w:ilvl w:val="0"/>
          <w:numId w:val="6"/>
        </w:numPr>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2: Begin with a guess value (initial guess value of 1 kg) for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F,total</w:t>
      </w:r>
      <w:r w:rsidRPr="00872636">
        <w:rPr>
          <w:rFonts w:ascii="Times New Roman" w:hAnsi="Times New Roman" w:cs="Times New Roman"/>
          <w:sz w:val="24"/>
          <w:szCs w:val="24"/>
          <w:lang w:eastAsia="en-GB"/>
        </w:rPr>
        <w:t>.</w:t>
      </w:r>
    </w:p>
    <w:p w14:paraId="0C112B0E" w14:textId="77777777" w:rsidR="00864B62" w:rsidRPr="00872636" w:rsidRDefault="00864B62" w:rsidP="00C525D8">
      <w:pPr>
        <w:numPr>
          <w:ilvl w:val="0"/>
          <w:numId w:val="6"/>
        </w:numPr>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3: The GTOW (= OEW +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F,total</w:t>
      </w:r>
      <w:r w:rsidRPr="00872636">
        <w:rPr>
          <w:rFonts w:ascii="Times New Roman" w:hAnsi="Times New Roman" w:cs="Times New Roman"/>
          <w:sz w:val="24"/>
          <w:szCs w:val="24"/>
          <w:lang w:eastAsia="en-GB"/>
        </w:rPr>
        <w:t xml:space="preserve"> +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p</w:t>
      </w:r>
      <w:r w:rsidRPr="00872636">
        <w:rPr>
          <w:rFonts w:ascii="Times New Roman" w:hAnsi="Times New Roman" w:cs="Times New Roman"/>
          <w:sz w:val="24"/>
          <w:szCs w:val="24"/>
          <w:lang w:eastAsia="en-GB"/>
        </w:rPr>
        <w:t>) is calculated for a given payload case</w:t>
      </w:r>
    </w:p>
    <w:p w14:paraId="09AD7B4D" w14:textId="77777777" w:rsidR="00864B62" w:rsidRPr="00872636" w:rsidRDefault="00864B62" w:rsidP="00C525D8">
      <w:pPr>
        <w:numPr>
          <w:ilvl w:val="0"/>
          <w:numId w:val="6"/>
        </w:numPr>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4: Use the lost fuel value, </w:t>
      </w:r>
      <w:r w:rsidRPr="00872636">
        <w:rPr>
          <w:rFonts w:ascii="Times New Roman" w:hAnsi="Times New Roman" w:cs="Times New Roman"/>
          <w:i/>
          <w:iCs/>
          <w:sz w:val="24"/>
          <w:szCs w:val="24"/>
          <w:lang w:eastAsia="en-GB"/>
        </w:rPr>
        <w:t>h</w:t>
      </w:r>
      <w:r w:rsidRPr="00872636">
        <w:rPr>
          <w:rFonts w:ascii="Times New Roman" w:hAnsi="Times New Roman" w:cs="Times New Roman"/>
          <w:sz w:val="24"/>
          <w:szCs w:val="24"/>
          <w:lang w:eastAsia="en-GB"/>
        </w:rPr>
        <w:t xml:space="preserve"> and </w:t>
      </w:r>
      <w:r w:rsidRPr="00872636">
        <w:rPr>
          <w:rFonts w:ascii="Times New Roman" w:hAnsi="Times New Roman" w:cs="Times New Roman"/>
          <w:i/>
          <w:iCs/>
          <w:sz w:val="24"/>
          <w:szCs w:val="24"/>
          <w:lang w:eastAsia="en-GB"/>
        </w:rPr>
        <w:t>η</w:t>
      </w:r>
      <w:r w:rsidRPr="00872636">
        <w:rPr>
          <w:rFonts w:ascii="Times New Roman" w:hAnsi="Times New Roman" w:cs="Times New Roman"/>
          <w:sz w:val="24"/>
          <w:szCs w:val="24"/>
          <w:vertAlign w:val="subscript"/>
          <w:lang w:eastAsia="en-GB"/>
        </w:rPr>
        <w:t>o</w:t>
      </w:r>
      <w:r w:rsidRPr="00872636">
        <w:rPr>
          <w:rFonts w:ascii="Times New Roman" w:hAnsi="Times New Roman" w:cs="Times New Roman"/>
          <w:sz w:val="24"/>
          <w:szCs w:val="24"/>
          <w:lang w:eastAsia="en-GB"/>
        </w:rPr>
        <w:t>, for the fuel case under consideration.</w:t>
      </w:r>
    </w:p>
    <w:p w14:paraId="5F5FE9D3" w14:textId="77777777" w:rsidR="00864B62" w:rsidRPr="00872636" w:rsidRDefault="00864B62" w:rsidP="00C525D8">
      <w:pPr>
        <w:numPr>
          <w:ilvl w:val="0"/>
          <w:numId w:val="6"/>
        </w:numPr>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5: Calculate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initial</w:t>
      </w:r>
      <w:r w:rsidRPr="00872636">
        <w:rPr>
          <w:rFonts w:ascii="Times New Roman" w:hAnsi="Times New Roman" w:cs="Times New Roman"/>
          <w:sz w:val="24"/>
          <w:szCs w:val="24"/>
          <w:lang w:eastAsia="en-GB"/>
        </w:rPr>
        <w:t xml:space="preserve"> and </w:t>
      </w:r>
      <w:r w:rsidRPr="00872636">
        <w:rPr>
          <w:rFonts w:ascii="Times New Roman" w:hAnsi="Times New Roman" w:cs="Times New Roman"/>
          <w:i/>
          <w:iCs/>
          <w:sz w:val="24"/>
          <w:szCs w:val="24"/>
          <w:lang w:eastAsia="en-GB"/>
        </w:rPr>
        <w:t>W</w:t>
      </w:r>
      <w:r w:rsidRPr="00872636">
        <w:rPr>
          <w:rFonts w:ascii="Times New Roman" w:hAnsi="Times New Roman" w:cs="Times New Roman"/>
          <w:sz w:val="24"/>
          <w:szCs w:val="24"/>
          <w:vertAlign w:val="subscript"/>
          <w:lang w:eastAsia="en-GB"/>
        </w:rPr>
        <w:t>final</w:t>
      </w:r>
      <w:r w:rsidRPr="00872636">
        <w:rPr>
          <w:rFonts w:ascii="Times New Roman" w:hAnsi="Times New Roman" w:cs="Times New Roman"/>
          <w:sz w:val="24"/>
          <w:szCs w:val="24"/>
          <w:lang w:eastAsia="en-GB"/>
        </w:rPr>
        <w:t xml:space="preserve"> </w:t>
      </w:r>
    </w:p>
    <w:p w14:paraId="7D9A2DF9" w14:textId="19E4FD85" w:rsidR="00864B62" w:rsidRPr="00872636" w:rsidRDefault="00581A7C" w:rsidP="00C525D8">
      <w:pPr>
        <w:spacing w:line="480" w:lineRule="auto"/>
        <w:jc w:val="both"/>
        <w:rPr>
          <w:rFonts w:ascii="Times New Roman" w:hAnsi="Times New Roman" w:cs="Times New Roman"/>
          <w:sz w:val="24"/>
          <w:szCs w:val="24"/>
          <w:lang w:eastAsia="en-GB"/>
        </w:rPr>
      </w:pPr>
      <w:r w:rsidRPr="00872636">
        <w:rPr>
          <w:rFonts w:ascii="Times New Roman" w:hAnsi="Times New Roman" w:cs="Times New Roman"/>
          <w:i/>
          <w:iCs/>
          <w:sz w:val="24"/>
          <w:szCs w:val="24"/>
          <w:lang w:eastAsia="en-GB"/>
        </w:rPr>
        <w:tab/>
      </w:r>
      <w:r w:rsidR="00864B62" w:rsidRPr="00872636">
        <w:rPr>
          <w:rFonts w:ascii="Times New Roman" w:hAnsi="Times New Roman" w:cs="Times New Roman"/>
          <w:i/>
          <w:iCs/>
          <w:sz w:val="24"/>
          <w:szCs w:val="24"/>
          <w:lang w:eastAsia="en-GB"/>
        </w:rPr>
        <w:t>W</w:t>
      </w:r>
      <w:r w:rsidR="00864B62" w:rsidRPr="00872636">
        <w:rPr>
          <w:rFonts w:ascii="Times New Roman" w:hAnsi="Times New Roman" w:cs="Times New Roman"/>
          <w:sz w:val="24"/>
          <w:szCs w:val="24"/>
          <w:vertAlign w:val="subscript"/>
          <w:lang w:eastAsia="en-GB"/>
        </w:rPr>
        <w:t xml:space="preserve">initial  </w:t>
      </w:r>
      <w:r w:rsidR="00864B62" w:rsidRPr="00872636">
        <w:rPr>
          <w:rFonts w:ascii="Times New Roman" w:hAnsi="Times New Roman" w:cs="Times New Roman"/>
          <w:sz w:val="24"/>
          <w:szCs w:val="24"/>
          <w:lang w:eastAsia="en-GB"/>
        </w:rPr>
        <w:t>= (1 – lost fuel value) x GTOW</w:t>
      </w:r>
    </w:p>
    <w:p w14:paraId="1EE29FFF" w14:textId="58396B73" w:rsidR="00864B62" w:rsidRPr="00872636" w:rsidRDefault="00581A7C" w:rsidP="00C525D8">
      <w:pPr>
        <w:spacing w:line="480" w:lineRule="auto"/>
        <w:jc w:val="both"/>
        <w:rPr>
          <w:rFonts w:ascii="Times New Roman" w:hAnsi="Times New Roman" w:cs="Times New Roman"/>
          <w:sz w:val="24"/>
          <w:szCs w:val="24"/>
          <w:lang w:eastAsia="en-GB"/>
        </w:rPr>
      </w:pPr>
      <w:r w:rsidRPr="00872636">
        <w:rPr>
          <w:rFonts w:ascii="Times New Roman" w:hAnsi="Times New Roman" w:cs="Times New Roman"/>
          <w:i/>
          <w:iCs/>
          <w:sz w:val="24"/>
          <w:szCs w:val="24"/>
          <w:lang w:eastAsia="en-GB"/>
        </w:rPr>
        <w:tab/>
      </w:r>
      <w:r w:rsidR="00864B62" w:rsidRPr="00872636">
        <w:rPr>
          <w:rFonts w:ascii="Times New Roman" w:hAnsi="Times New Roman" w:cs="Times New Roman"/>
          <w:i/>
          <w:iCs/>
          <w:sz w:val="24"/>
          <w:szCs w:val="24"/>
          <w:lang w:eastAsia="en-GB"/>
        </w:rPr>
        <w:t>W</w:t>
      </w:r>
      <w:r w:rsidR="00864B62" w:rsidRPr="00872636">
        <w:rPr>
          <w:rFonts w:ascii="Times New Roman" w:hAnsi="Times New Roman" w:cs="Times New Roman"/>
          <w:sz w:val="24"/>
          <w:szCs w:val="24"/>
          <w:vertAlign w:val="subscript"/>
          <w:lang w:eastAsia="en-GB"/>
        </w:rPr>
        <w:t xml:space="preserve">final </w:t>
      </w:r>
      <w:r w:rsidR="00864B62" w:rsidRPr="00872636">
        <w:rPr>
          <w:rFonts w:ascii="Times New Roman" w:hAnsi="Times New Roman" w:cs="Times New Roman"/>
          <w:sz w:val="24"/>
          <w:szCs w:val="24"/>
          <w:lang w:eastAsia="en-GB"/>
        </w:rPr>
        <w:t xml:space="preserve">= GTOW – 0.9 x </w:t>
      </w:r>
      <w:r w:rsidR="00864B62" w:rsidRPr="00872636">
        <w:rPr>
          <w:rFonts w:ascii="Times New Roman" w:hAnsi="Times New Roman" w:cs="Times New Roman"/>
          <w:i/>
          <w:iCs/>
          <w:sz w:val="24"/>
          <w:szCs w:val="24"/>
          <w:lang w:eastAsia="en-GB"/>
        </w:rPr>
        <w:t>W</w:t>
      </w:r>
      <w:r w:rsidR="00864B62" w:rsidRPr="00872636">
        <w:rPr>
          <w:rFonts w:ascii="Times New Roman" w:hAnsi="Times New Roman" w:cs="Times New Roman"/>
          <w:sz w:val="24"/>
          <w:szCs w:val="24"/>
          <w:vertAlign w:val="subscript"/>
          <w:lang w:eastAsia="en-GB"/>
        </w:rPr>
        <w:t>F,total</w:t>
      </w:r>
    </w:p>
    <w:p w14:paraId="7720BAE5" w14:textId="77777777" w:rsidR="00864B62" w:rsidRPr="00872636" w:rsidRDefault="00864B62" w:rsidP="00C525D8">
      <w:pPr>
        <w:numPr>
          <w:ilvl w:val="0"/>
          <w:numId w:val="6"/>
        </w:numPr>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6: Calculate the aircraft L/D </w:t>
      </w:r>
    </w:p>
    <w:p w14:paraId="3DAEEB69" w14:textId="4102FE6B" w:rsidR="00864B62" w:rsidRPr="00872636" w:rsidRDefault="00864B62" w:rsidP="00C525D8">
      <w:pPr>
        <w:numPr>
          <w:ilvl w:val="0"/>
          <w:numId w:val="6"/>
        </w:numPr>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 xml:space="preserve">Step 7: Calculate the aircraft range using Breguet’s range equation (equation 1) </w:t>
      </w:r>
    </w:p>
    <w:p w14:paraId="7A89FDAC" w14:textId="77777777" w:rsidR="00864B62" w:rsidRPr="00872636" w:rsidRDefault="00864B62" w:rsidP="00C525D8">
      <w:pPr>
        <w:numPr>
          <w:ilvl w:val="0"/>
          <w:numId w:val="6"/>
        </w:numPr>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Step 8: Does the calculated range of the aircraft meet the target (selected range) range (example: 5000 km considered in step 1)?</w:t>
      </w:r>
    </w:p>
    <w:p w14:paraId="1AD5AA38" w14:textId="77777777" w:rsidR="00864B62" w:rsidRPr="00872636" w:rsidRDefault="00864B62" w:rsidP="00C525D8">
      <w:pPr>
        <w:numPr>
          <w:ilvl w:val="0"/>
          <w:numId w:val="6"/>
        </w:numPr>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Step 9: If ‘yes’ to the question in step 8, then record the block fuel/energy consumption for given range and payload combination</w:t>
      </w:r>
    </w:p>
    <w:p w14:paraId="00216021" w14:textId="77777777" w:rsidR="00581A7C" w:rsidRPr="00872636" w:rsidRDefault="00581A7C" w:rsidP="00C525D8">
      <w:pPr>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ab/>
      </w:r>
      <w:r w:rsidR="00864B62" w:rsidRPr="00872636">
        <w:rPr>
          <w:rFonts w:ascii="Times New Roman" w:hAnsi="Times New Roman" w:cs="Times New Roman"/>
          <w:sz w:val="24"/>
          <w:szCs w:val="24"/>
          <w:lang w:eastAsia="en-GB"/>
        </w:rPr>
        <w:t xml:space="preserve">Block fuel consumption = 0.9 x </w:t>
      </w:r>
      <w:r w:rsidR="00864B62" w:rsidRPr="00872636">
        <w:rPr>
          <w:rFonts w:ascii="Times New Roman" w:hAnsi="Times New Roman" w:cs="Times New Roman"/>
          <w:i/>
          <w:iCs/>
          <w:sz w:val="24"/>
          <w:szCs w:val="24"/>
          <w:lang w:eastAsia="en-GB"/>
        </w:rPr>
        <w:t>W</w:t>
      </w:r>
      <w:r w:rsidR="00864B62" w:rsidRPr="00872636">
        <w:rPr>
          <w:rFonts w:ascii="Times New Roman" w:hAnsi="Times New Roman" w:cs="Times New Roman"/>
          <w:sz w:val="24"/>
          <w:szCs w:val="24"/>
          <w:vertAlign w:val="subscript"/>
          <w:lang w:eastAsia="en-GB"/>
        </w:rPr>
        <w:t>F,total</w:t>
      </w:r>
      <w:r w:rsidR="00864B62" w:rsidRPr="00872636">
        <w:rPr>
          <w:rFonts w:ascii="Times New Roman" w:hAnsi="Times New Roman" w:cs="Times New Roman"/>
          <w:sz w:val="24"/>
          <w:szCs w:val="24"/>
          <w:lang w:eastAsia="en-GB"/>
        </w:rPr>
        <w:t xml:space="preserve"> (as discussed in sub-section 4.3.1)</w:t>
      </w:r>
    </w:p>
    <w:p w14:paraId="3C91FBC9" w14:textId="585997CC" w:rsidR="00864B62" w:rsidRPr="00872636" w:rsidRDefault="00864B62" w:rsidP="00C525D8">
      <w:pPr>
        <w:pStyle w:val="ListParagraph"/>
        <w:numPr>
          <w:ilvl w:val="0"/>
          <w:numId w:val="7"/>
        </w:numPr>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Step 10: If ‘no’ to the question in step 8, then increase the guess within the maximum value of total fuel weight at mission start for given aircraft-fuel case and execute step 2 to follow the steps thereafter.</w:t>
      </w:r>
    </w:p>
    <w:p w14:paraId="5690F992" w14:textId="7651C2C0" w:rsidR="00D73C07" w:rsidRPr="00872636" w:rsidRDefault="00F60E44" w:rsidP="00C525D8">
      <w:pPr>
        <w:pStyle w:val="Heading1"/>
        <w:numPr>
          <w:ilvl w:val="0"/>
          <w:numId w:val="4"/>
        </w:numPr>
        <w:spacing w:after="240" w:line="480" w:lineRule="auto"/>
        <w:rPr>
          <w:rFonts w:ascii="Times New Roman" w:eastAsia="Times New Roman" w:hAnsi="Times New Roman" w:cs="Times New Roman"/>
          <w:b/>
          <w:bCs/>
          <w:color w:val="auto"/>
          <w:sz w:val="24"/>
          <w:szCs w:val="24"/>
          <w:bdr w:val="none" w:sz="0" w:space="0" w:color="auto" w:frame="1"/>
          <w:lang w:eastAsia="en-GB"/>
        </w:rPr>
      </w:pPr>
      <w:r w:rsidRPr="00872636">
        <w:rPr>
          <w:rFonts w:ascii="Times New Roman" w:eastAsia="Times New Roman" w:hAnsi="Times New Roman" w:cs="Times New Roman"/>
          <w:b/>
          <w:bCs/>
          <w:color w:val="auto"/>
          <w:sz w:val="24"/>
          <w:szCs w:val="24"/>
          <w:bdr w:val="none" w:sz="0" w:space="0" w:color="auto" w:frame="1"/>
          <w:lang w:eastAsia="en-GB"/>
        </w:rPr>
        <w:lastRenderedPageBreak/>
        <w:t>Validation of the used equations</w:t>
      </w:r>
    </w:p>
    <w:p w14:paraId="2CE4C6F1" w14:textId="0EF09C84" w:rsidR="00F60E44" w:rsidRPr="00872636" w:rsidRDefault="00F60E44" w:rsidP="00C525D8">
      <w:pPr>
        <w:pStyle w:val="Heading2"/>
        <w:spacing w:after="240" w:line="480" w:lineRule="auto"/>
        <w:rPr>
          <w:rFonts w:ascii="Times New Roman" w:hAnsi="Times New Roman" w:cs="Times New Roman"/>
          <w:color w:val="auto"/>
          <w:sz w:val="24"/>
          <w:szCs w:val="24"/>
        </w:rPr>
      </w:pPr>
      <w:r w:rsidRPr="00872636">
        <w:rPr>
          <w:rFonts w:ascii="Times New Roman" w:hAnsi="Times New Roman" w:cs="Times New Roman"/>
          <w:color w:val="auto"/>
          <w:sz w:val="24"/>
          <w:szCs w:val="24"/>
        </w:rPr>
        <w:t>Validation of aircraft wetted area prediction equation</w:t>
      </w:r>
    </w:p>
    <w:p w14:paraId="261FA630" w14:textId="3BE68BE9" w:rsidR="00F60E44" w:rsidRPr="00872636" w:rsidRDefault="00F60E44" w:rsidP="00C525D8">
      <w:pPr>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ab/>
        <w:t xml:space="preserve">The </w:t>
      </w:r>
      <w:r w:rsidR="35AA8F25" w:rsidRPr="00872636">
        <w:rPr>
          <w:rFonts w:ascii="Times New Roman" w:eastAsia="Times New Roman" w:hAnsi="Times New Roman" w:cs="Times New Roman"/>
          <w:sz w:val="24"/>
          <w:szCs w:val="24"/>
        </w:rPr>
        <w:t xml:space="preserve">aircraft wetted area </w:t>
      </w:r>
      <w:r w:rsidR="00A0398D" w:rsidRPr="00872636">
        <w:rPr>
          <w:rFonts w:ascii="Times New Roman" w:eastAsia="Times New Roman" w:hAnsi="Times New Roman" w:cs="Times New Roman"/>
          <w:sz w:val="24"/>
          <w:szCs w:val="24"/>
        </w:rPr>
        <w:t>(</w:t>
      </w:r>
      <w:r w:rsidR="00A0398D" w:rsidRPr="00872636">
        <w:rPr>
          <w:rFonts w:ascii="Times New Roman" w:hAnsi="Times New Roman" w:cs="Times New Roman"/>
          <w:i/>
          <w:iCs/>
          <w:sz w:val="24"/>
          <w:szCs w:val="24"/>
          <w:lang w:eastAsia="en-GB"/>
        </w:rPr>
        <w:t>S</w:t>
      </w:r>
      <w:r w:rsidR="00A0398D" w:rsidRPr="00872636">
        <w:rPr>
          <w:rFonts w:ascii="Times New Roman" w:hAnsi="Times New Roman" w:cs="Times New Roman"/>
          <w:sz w:val="24"/>
          <w:szCs w:val="24"/>
          <w:vertAlign w:val="subscript"/>
          <w:lang w:eastAsia="en-GB"/>
        </w:rPr>
        <w:t>wet</w:t>
      </w:r>
      <w:r w:rsidR="00A0398D" w:rsidRPr="00872636">
        <w:rPr>
          <w:rFonts w:ascii="Times New Roman" w:eastAsia="Times New Roman" w:hAnsi="Times New Roman" w:cs="Times New Roman"/>
          <w:sz w:val="24"/>
          <w:szCs w:val="24"/>
        </w:rPr>
        <w:t xml:space="preserve">) </w:t>
      </w:r>
      <w:r w:rsidR="35AA8F25" w:rsidRPr="00872636">
        <w:rPr>
          <w:rFonts w:ascii="Times New Roman" w:eastAsia="Times New Roman" w:hAnsi="Times New Roman" w:cs="Times New Roman"/>
          <w:sz w:val="24"/>
          <w:szCs w:val="24"/>
        </w:rPr>
        <w:t>prediction</w:t>
      </w:r>
      <w:r w:rsidRPr="00872636">
        <w:rPr>
          <w:rFonts w:ascii="Times New Roman" w:hAnsi="Times New Roman" w:cs="Times New Roman"/>
          <w:sz w:val="24"/>
          <w:szCs w:val="24"/>
          <w:lang w:eastAsia="en-GB"/>
        </w:rPr>
        <w:t xml:space="preserve"> equation needs to be tested for its accuracy while predicting </w:t>
      </w:r>
      <w:r w:rsidR="00911B15" w:rsidRPr="00872636">
        <w:rPr>
          <w:rFonts w:ascii="Times New Roman" w:hAnsi="Times New Roman" w:cs="Times New Roman"/>
          <w:i/>
          <w:iCs/>
          <w:sz w:val="24"/>
          <w:szCs w:val="24"/>
          <w:lang w:eastAsia="en-GB"/>
        </w:rPr>
        <w:t>S</w:t>
      </w:r>
      <w:r w:rsidR="00911B15" w:rsidRPr="00872636">
        <w:rPr>
          <w:rFonts w:ascii="Times New Roman" w:hAnsi="Times New Roman" w:cs="Times New Roman"/>
          <w:sz w:val="24"/>
          <w:szCs w:val="24"/>
          <w:vertAlign w:val="subscript"/>
          <w:lang w:eastAsia="en-GB"/>
        </w:rPr>
        <w:t>wet</w:t>
      </w:r>
      <w:r w:rsidR="00911B15" w:rsidRPr="00872636">
        <w:rPr>
          <w:rFonts w:ascii="Times New Roman" w:hAnsi="Times New Roman" w:cs="Times New Roman"/>
          <w:sz w:val="24"/>
          <w:szCs w:val="24"/>
          <w:lang w:eastAsia="en-GB"/>
        </w:rPr>
        <w:t xml:space="preserve"> </w:t>
      </w:r>
      <w:r w:rsidRPr="00872636">
        <w:rPr>
          <w:rFonts w:ascii="Times New Roman" w:hAnsi="Times New Roman" w:cs="Times New Roman"/>
          <w:sz w:val="24"/>
          <w:szCs w:val="24"/>
          <w:lang w:eastAsia="en-GB"/>
        </w:rPr>
        <w:t xml:space="preserve">of recent or advanced/NextGen tube-wing aircraft. Two validation cases are conducted here. According to the book by Kundu et al. </w:t>
      </w:r>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{"citationItems":[{"id":"ITEM-1","itemData":{"ISBN":"9781119500261","author":[{"dropping-particle":"","family":"Kundu","given":"Ajoy Kumar.","non-dropping-particle":"","parse-names":false,"suffix":""},{"dropping-particle":"","family":"Price","given":"Mark A.","non-dropping-particle":"","parse-names":false,"suffix":""},{"dropping-particle":"","family":"Riordan","given":"David.","non-dropping-particle":"","parse-names":false,"suffix":""}],"edition":"First","id":"ITEM-1","issued":{"date-parts":[["2019"]]},"number-of-pages":"1518","publisher":"John Wiley &amp; Sons, Incorporated","title":"Conceptual Aircraft Design : an Industrial Perspective.","type":"book"},"uris":["http://www.mendeley.com/documents/?uuid=25a6b7ac-1138-301b-8784-2a4bdcf83c41"]}],"mendeley":{"formattedCitation":"[114]","plainTextFormattedCitation":"[114]","previouslyFormattedCitation":"[114]"},"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[114]</w:t>
      </w:r>
      <w:r w:rsidRPr="00872636">
        <w:rPr>
          <w:rFonts w:ascii="Times New Roman" w:hAnsi="Times New Roman" w:cs="Times New Roman"/>
          <w:sz w:val="24"/>
          <w:szCs w:val="24"/>
          <w:lang w:eastAsia="en-GB"/>
        </w:rPr>
        <w:fldChar w:fldCharType="end"/>
      </w:r>
      <w:r w:rsidRPr="00872636">
        <w:rPr>
          <w:rFonts w:ascii="Times New Roman" w:hAnsi="Times New Roman" w:cs="Times New Roman"/>
          <w:sz w:val="24"/>
          <w:szCs w:val="24"/>
          <w:lang w:eastAsia="en-GB"/>
        </w:rPr>
        <w:t xml:space="preserve"> and thesis of Kirby </w:t>
      </w:r>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{"citationItems":[{"id":"ITEM-1","itemData":{"author":[{"dropping-particle":"","family":"Kirby","given":"Michelle Rene","non-dropping-particle":"","parse-names":false,"suffix":""}],"id":"ITEM-1","issued":{"date-parts":[["2001"]]},"publisher":"Georgia Institute of Technology","title":"A methodology for technology identification, evaluation, and selection in conceptual and preliminary aircraft design","type":"thesis"},"uris":["http://www.mendeley.com/documents/?uuid=16cdcdd7-af53-337a-9d4e-4308173937be"]}],"mendeley":{"formattedCitation":"[115]","plainTextFormattedCitation":"[115]","previouslyFormattedCitation":"[115]"},"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[115]</w:t>
      </w:r>
      <w:r w:rsidRPr="00872636">
        <w:rPr>
          <w:rFonts w:ascii="Times New Roman" w:hAnsi="Times New Roman" w:cs="Times New Roman"/>
          <w:sz w:val="24"/>
          <w:szCs w:val="24"/>
          <w:lang w:eastAsia="en-GB"/>
        </w:rPr>
        <w:fldChar w:fldCharType="end"/>
      </w:r>
      <w:r w:rsidRPr="00872636">
        <w:rPr>
          <w:rFonts w:ascii="Times New Roman" w:hAnsi="Times New Roman" w:cs="Times New Roman"/>
          <w:sz w:val="24"/>
          <w:szCs w:val="24"/>
          <w:lang w:eastAsia="en-GB"/>
        </w:rPr>
        <w:t xml:space="preserve">, a prediction difference of ±5% is an acceptable/typical industry trend in the conceptual design phase or for low-order modelling. The above criteria of ±5% prediction difference is used for establishing confidence in the model. The first case is </w:t>
      </w:r>
      <w:r w:rsidR="00911B15" w:rsidRPr="00872636">
        <w:rPr>
          <w:rFonts w:ascii="Times New Roman" w:hAnsi="Times New Roman" w:cs="Times New Roman"/>
          <w:i/>
          <w:iCs/>
          <w:sz w:val="24"/>
          <w:szCs w:val="24"/>
          <w:lang w:eastAsia="en-GB"/>
        </w:rPr>
        <w:t>S</w:t>
      </w:r>
      <w:r w:rsidR="00911B15" w:rsidRPr="00872636">
        <w:rPr>
          <w:rFonts w:ascii="Times New Roman" w:hAnsi="Times New Roman" w:cs="Times New Roman"/>
          <w:sz w:val="24"/>
          <w:szCs w:val="24"/>
          <w:vertAlign w:val="subscript"/>
          <w:lang w:eastAsia="en-GB"/>
        </w:rPr>
        <w:t>wet</w:t>
      </w:r>
      <w:r w:rsidR="00911B15" w:rsidRPr="00872636">
        <w:rPr>
          <w:rFonts w:ascii="Times New Roman" w:hAnsi="Times New Roman" w:cs="Times New Roman"/>
          <w:sz w:val="24"/>
          <w:szCs w:val="24"/>
          <w:lang w:eastAsia="en-GB"/>
        </w:rPr>
        <w:t xml:space="preserve"> </w:t>
      </w:r>
      <w:r w:rsidRPr="00872636">
        <w:rPr>
          <w:rFonts w:ascii="Times New Roman" w:hAnsi="Times New Roman" w:cs="Times New Roman"/>
          <w:sz w:val="24"/>
          <w:szCs w:val="24"/>
          <w:lang w:eastAsia="en-GB"/>
        </w:rPr>
        <w:t xml:space="preserve">estimation of Boeing 787-8 aircraft. Piano-X is an aircraft analysis tool and PIANO-X data for this aircraft with take-off weight of 476,000 lb (215,910 kg) estimates the </w:t>
      </w:r>
      <w:r w:rsidR="00911B15" w:rsidRPr="00872636">
        <w:rPr>
          <w:rFonts w:ascii="Times New Roman" w:hAnsi="Times New Roman" w:cs="Times New Roman"/>
          <w:i/>
          <w:iCs/>
          <w:sz w:val="24"/>
          <w:szCs w:val="24"/>
          <w:lang w:eastAsia="en-GB"/>
        </w:rPr>
        <w:t>S</w:t>
      </w:r>
      <w:r w:rsidR="00911B15" w:rsidRPr="00872636">
        <w:rPr>
          <w:rFonts w:ascii="Times New Roman" w:hAnsi="Times New Roman" w:cs="Times New Roman"/>
          <w:sz w:val="24"/>
          <w:szCs w:val="24"/>
          <w:vertAlign w:val="subscript"/>
          <w:lang w:eastAsia="en-GB"/>
        </w:rPr>
        <w:t>wet</w:t>
      </w:r>
      <w:r w:rsidR="00911B15" w:rsidRPr="00872636">
        <w:rPr>
          <w:rFonts w:ascii="Times New Roman" w:hAnsi="Times New Roman" w:cs="Times New Roman"/>
          <w:sz w:val="24"/>
          <w:szCs w:val="24"/>
          <w:lang w:eastAsia="en-GB"/>
        </w:rPr>
        <w:t xml:space="preserve"> </w:t>
      </w:r>
      <w:r w:rsidRPr="00872636">
        <w:rPr>
          <w:rFonts w:ascii="Times New Roman" w:hAnsi="Times New Roman" w:cs="Times New Roman"/>
          <w:sz w:val="24"/>
          <w:szCs w:val="24"/>
          <w:lang w:eastAsia="en-GB"/>
        </w:rPr>
        <w:t>to be 19,533 ft</w:t>
      </w:r>
      <w:r w:rsidRPr="00872636">
        <w:rPr>
          <w:rFonts w:ascii="Times New Roman" w:hAnsi="Times New Roman" w:cs="Times New Roman"/>
          <w:sz w:val="24"/>
          <w:szCs w:val="24"/>
          <w:vertAlign w:val="superscript"/>
          <w:lang w:eastAsia="en-GB"/>
        </w:rPr>
        <w:t>2</w:t>
      </w:r>
      <w:r w:rsidRPr="00872636">
        <w:rPr>
          <w:rFonts w:ascii="Times New Roman" w:hAnsi="Times New Roman" w:cs="Times New Roman"/>
          <w:sz w:val="24"/>
          <w:szCs w:val="24"/>
          <w:lang w:eastAsia="en-GB"/>
        </w:rPr>
        <w:t xml:space="preserve"> (1815 m</w:t>
      </w:r>
      <w:r w:rsidRPr="00872636">
        <w:rPr>
          <w:rFonts w:ascii="Times New Roman" w:hAnsi="Times New Roman" w:cs="Times New Roman"/>
          <w:sz w:val="24"/>
          <w:szCs w:val="24"/>
          <w:vertAlign w:val="superscript"/>
          <w:lang w:eastAsia="en-GB"/>
        </w:rPr>
        <w:t>2</w:t>
      </w:r>
      <w:r w:rsidRPr="00872636">
        <w:rPr>
          <w:rFonts w:ascii="Times New Roman" w:hAnsi="Times New Roman" w:cs="Times New Roman"/>
          <w:sz w:val="24"/>
          <w:szCs w:val="24"/>
          <w:lang w:eastAsia="en-GB"/>
        </w:rPr>
        <w:t xml:space="preserve">) </w:t>
      </w:r>
      <w:bookmarkStart w:id="11" w:name="_Hlk88158834"/>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URL":"https://www.lissys.uk/samp1/index.html","accessed":{"date-parts":[["2020","8","28"]]},"author":[{"dropping-particle":"","family":"PIANO-X","given":"","non-dropping-particle":"","parse-names":false,"suffix":""}],"container-title":"PIANO-X","id":"ITEM-1","issued":{"date-parts":[["2005"]]},"title":"Boeing 787 Dreamliner : Analysis","type":"webpage"},"uris":["http://www.mendeley.com/documents/?uuid=84c2041e-95c2-39ab-8350-1cac8a545c03"]}],"mendeley":{"formattedCitation":"[93]","plainTextFormattedCitation":"[93]","previouslyFormattedCitation":"[93]"},"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[93]</w:t>
      </w:r>
      <w:r w:rsidRPr="00872636">
        <w:rPr>
          <w:rFonts w:ascii="Times New Roman" w:hAnsi="Times New Roman" w:cs="Times New Roman"/>
          <w:sz w:val="24"/>
          <w:szCs w:val="24"/>
          <w:lang w:eastAsia="en-GB"/>
        </w:rPr>
        <w:fldChar w:fldCharType="end"/>
      </w:r>
      <w:bookmarkEnd w:id="11"/>
      <w:r w:rsidRPr="00872636">
        <w:rPr>
          <w:rFonts w:ascii="Times New Roman" w:hAnsi="Times New Roman" w:cs="Times New Roman"/>
          <w:sz w:val="24"/>
          <w:szCs w:val="24"/>
          <w:lang w:eastAsia="en-GB"/>
        </w:rPr>
        <w:t xml:space="preserve">. Substituting the take-off weight of 476,000 lb in equation </w:t>
      </w:r>
      <w:r w:rsidR="000135CE">
        <w:rPr>
          <w:rFonts w:ascii="Times New Roman" w:hAnsi="Times New Roman" w:cs="Times New Roman"/>
          <w:sz w:val="24"/>
          <w:szCs w:val="24"/>
          <w:lang w:eastAsia="en-GB"/>
        </w:rPr>
        <w:t>SI</w:t>
      </w:r>
      <w:r w:rsidR="000135CE" w:rsidRPr="002201D7" w:rsidDel="000135CE">
        <w:rPr>
          <w:rFonts w:ascii="Times New Roman" w:hAnsi="Times New Roman" w:cs="Times New Roman"/>
          <w:sz w:val="24"/>
          <w:szCs w:val="24"/>
          <w:lang w:eastAsia="en-GB"/>
        </w:rPr>
        <w:t xml:space="preserve"> </w:t>
      </w:r>
      <w:r w:rsidR="000135CE">
        <w:rPr>
          <w:rFonts w:ascii="Times New Roman" w:hAnsi="Times New Roman" w:cs="Times New Roman"/>
          <w:sz w:val="24"/>
          <w:szCs w:val="24"/>
          <w:lang w:eastAsia="en-GB"/>
        </w:rPr>
        <w:t xml:space="preserve">4 </w:t>
      </w:r>
      <w:r w:rsidRPr="00872636">
        <w:rPr>
          <w:rFonts w:ascii="Times New Roman" w:hAnsi="Times New Roman" w:cs="Times New Roman"/>
          <w:sz w:val="24"/>
          <w:szCs w:val="24"/>
          <w:lang w:eastAsia="en-GB"/>
        </w:rPr>
        <w:t>(</w:t>
      </w:r>
      <w:r w:rsidR="00911B15" w:rsidRPr="00872636">
        <w:rPr>
          <w:rFonts w:ascii="Times New Roman" w:hAnsi="Times New Roman" w:cs="Times New Roman"/>
          <w:i/>
          <w:iCs/>
          <w:sz w:val="24"/>
          <w:szCs w:val="24"/>
          <w:lang w:eastAsia="en-GB"/>
        </w:rPr>
        <w:t>S</w:t>
      </w:r>
      <w:r w:rsidR="00911B15" w:rsidRPr="00872636">
        <w:rPr>
          <w:rFonts w:ascii="Times New Roman" w:hAnsi="Times New Roman" w:cs="Times New Roman"/>
          <w:sz w:val="24"/>
          <w:szCs w:val="24"/>
          <w:vertAlign w:val="subscript"/>
          <w:lang w:eastAsia="en-GB"/>
        </w:rPr>
        <w:t>wet</w:t>
      </w:r>
      <w:r w:rsidR="00911B15" w:rsidRPr="00872636">
        <w:rPr>
          <w:rFonts w:ascii="Times New Roman" w:hAnsi="Times New Roman" w:cs="Times New Roman"/>
          <w:sz w:val="24"/>
          <w:szCs w:val="24"/>
          <w:lang w:eastAsia="en-GB"/>
        </w:rPr>
        <w:t xml:space="preserve"> </w:t>
      </w:r>
      <w:r w:rsidRPr="00872636">
        <w:rPr>
          <w:rFonts w:ascii="Times New Roman" w:hAnsi="Times New Roman" w:cs="Times New Roman"/>
          <w:sz w:val="24"/>
          <w:szCs w:val="24"/>
          <w:lang w:eastAsia="en-GB"/>
        </w:rPr>
        <w:t xml:space="preserve">prediction equation in </w:t>
      </w:r>
      <w:r w:rsidR="00200A85" w:rsidRPr="002201D7">
        <w:rPr>
          <w:rFonts w:ascii="Times New Roman" w:hAnsi="Times New Roman" w:cs="Times New Roman"/>
          <w:sz w:val="24"/>
          <w:szCs w:val="24"/>
          <w:lang w:eastAsia="en-GB"/>
        </w:rPr>
        <w:t xml:space="preserve">SI </w:t>
      </w:r>
      <w:r w:rsidR="00200A85" w:rsidRPr="00556067">
        <w:rPr>
          <w:rFonts w:ascii="Times New Roman" w:hAnsi="Times New Roman" w:cs="Times New Roman"/>
          <w:sz w:val="24"/>
          <w:szCs w:val="24"/>
          <w:lang w:eastAsia="en-GB"/>
        </w:rPr>
        <w:t>§4.2</w:t>
      </w:r>
      <w:r w:rsidRPr="00872636">
        <w:rPr>
          <w:rFonts w:ascii="Times New Roman" w:hAnsi="Times New Roman" w:cs="Times New Roman"/>
          <w:sz w:val="24"/>
          <w:szCs w:val="24"/>
          <w:lang w:eastAsia="en-GB"/>
        </w:rPr>
        <w:t xml:space="preserve">), </w:t>
      </w:r>
      <w:r w:rsidR="00911B15" w:rsidRPr="00872636">
        <w:rPr>
          <w:rFonts w:ascii="Times New Roman" w:hAnsi="Times New Roman" w:cs="Times New Roman"/>
          <w:i/>
          <w:iCs/>
          <w:sz w:val="24"/>
          <w:szCs w:val="24"/>
          <w:lang w:eastAsia="en-GB"/>
        </w:rPr>
        <w:t>S</w:t>
      </w:r>
      <w:r w:rsidR="00911B15" w:rsidRPr="00872636">
        <w:rPr>
          <w:rFonts w:ascii="Times New Roman" w:hAnsi="Times New Roman" w:cs="Times New Roman"/>
          <w:sz w:val="24"/>
          <w:szCs w:val="24"/>
          <w:vertAlign w:val="subscript"/>
          <w:lang w:eastAsia="en-GB"/>
        </w:rPr>
        <w:t>wet</w:t>
      </w:r>
      <w:r w:rsidR="00911B15" w:rsidRPr="00872636">
        <w:rPr>
          <w:rFonts w:ascii="Times New Roman" w:hAnsi="Times New Roman" w:cs="Times New Roman"/>
          <w:sz w:val="24"/>
          <w:szCs w:val="24"/>
          <w:lang w:eastAsia="en-GB"/>
        </w:rPr>
        <w:t xml:space="preserve"> </w:t>
      </w:r>
      <w:r w:rsidRPr="00872636">
        <w:rPr>
          <w:rFonts w:ascii="Times New Roman" w:hAnsi="Times New Roman" w:cs="Times New Roman"/>
          <w:sz w:val="24"/>
          <w:szCs w:val="24"/>
          <w:lang w:eastAsia="en-GB"/>
        </w:rPr>
        <w:t>is calculated to be 19,756 ft</w:t>
      </w:r>
      <w:r w:rsidRPr="00872636">
        <w:rPr>
          <w:rFonts w:ascii="Times New Roman" w:hAnsi="Times New Roman" w:cs="Times New Roman"/>
          <w:sz w:val="24"/>
          <w:szCs w:val="24"/>
          <w:vertAlign w:val="superscript"/>
          <w:lang w:eastAsia="en-GB"/>
        </w:rPr>
        <w:t>2</w:t>
      </w:r>
      <w:r w:rsidRPr="00872636">
        <w:rPr>
          <w:rFonts w:ascii="Times New Roman" w:hAnsi="Times New Roman" w:cs="Times New Roman"/>
          <w:sz w:val="24"/>
          <w:szCs w:val="24"/>
          <w:lang w:eastAsia="en-GB"/>
        </w:rPr>
        <w:t xml:space="preserve"> (1835 m</w:t>
      </w:r>
      <w:r w:rsidRPr="00872636">
        <w:rPr>
          <w:rFonts w:ascii="Times New Roman" w:hAnsi="Times New Roman" w:cs="Times New Roman"/>
          <w:sz w:val="24"/>
          <w:szCs w:val="24"/>
          <w:vertAlign w:val="superscript"/>
          <w:lang w:eastAsia="en-GB"/>
        </w:rPr>
        <w:t>2</w:t>
      </w:r>
      <w:r w:rsidRPr="00872636">
        <w:rPr>
          <w:rFonts w:ascii="Times New Roman" w:hAnsi="Times New Roman" w:cs="Times New Roman"/>
          <w:sz w:val="24"/>
          <w:szCs w:val="24"/>
          <w:lang w:eastAsia="en-GB"/>
        </w:rPr>
        <w:t xml:space="preserve">), compared to the </w:t>
      </w:r>
      <w:r w:rsidR="00911B15" w:rsidRPr="00872636">
        <w:rPr>
          <w:rFonts w:ascii="Times New Roman" w:hAnsi="Times New Roman" w:cs="Times New Roman"/>
          <w:i/>
          <w:iCs/>
          <w:sz w:val="24"/>
          <w:szCs w:val="24"/>
          <w:lang w:eastAsia="en-GB"/>
        </w:rPr>
        <w:t>S</w:t>
      </w:r>
      <w:r w:rsidR="00911B15" w:rsidRPr="00872636">
        <w:rPr>
          <w:rFonts w:ascii="Times New Roman" w:hAnsi="Times New Roman" w:cs="Times New Roman"/>
          <w:sz w:val="24"/>
          <w:szCs w:val="24"/>
          <w:vertAlign w:val="subscript"/>
          <w:lang w:eastAsia="en-GB"/>
        </w:rPr>
        <w:t>wet</w:t>
      </w:r>
      <w:r w:rsidR="00911B15" w:rsidRPr="00872636">
        <w:rPr>
          <w:rFonts w:ascii="Times New Roman" w:hAnsi="Times New Roman" w:cs="Times New Roman"/>
          <w:sz w:val="24"/>
          <w:szCs w:val="24"/>
          <w:lang w:eastAsia="en-GB"/>
        </w:rPr>
        <w:t xml:space="preserve"> </w:t>
      </w:r>
      <w:r w:rsidRPr="00872636">
        <w:rPr>
          <w:rFonts w:ascii="Times New Roman" w:hAnsi="Times New Roman" w:cs="Times New Roman"/>
          <w:sz w:val="24"/>
          <w:szCs w:val="24"/>
          <w:lang w:eastAsia="en-GB"/>
        </w:rPr>
        <w:t>estimate of 19,533 ft</w:t>
      </w:r>
      <w:r w:rsidRPr="00872636">
        <w:rPr>
          <w:rFonts w:ascii="Times New Roman" w:hAnsi="Times New Roman" w:cs="Times New Roman"/>
          <w:sz w:val="24"/>
          <w:szCs w:val="24"/>
          <w:vertAlign w:val="superscript"/>
          <w:lang w:eastAsia="en-GB"/>
        </w:rPr>
        <w:t>2</w:t>
      </w:r>
      <w:r w:rsidRPr="00872636">
        <w:rPr>
          <w:rFonts w:ascii="Times New Roman" w:hAnsi="Times New Roman" w:cs="Times New Roman"/>
          <w:sz w:val="24"/>
          <w:szCs w:val="24"/>
          <w:lang w:eastAsia="en-GB"/>
        </w:rPr>
        <w:t xml:space="preserve"> known from PIANO-X data. The prediction difference between PIANO-X data and prediction by using equation </w:t>
      </w:r>
      <w:r w:rsidR="000135CE">
        <w:rPr>
          <w:rFonts w:ascii="Times New Roman" w:hAnsi="Times New Roman" w:cs="Times New Roman"/>
          <w:sz w:val="24"/>
          <w:szCs w:val="24"/>
          <w:lang w:eastAsia="en-GB"/>
        </w:rPr>
        <w:t>SI</w:t>
      </w:r>
      <w:r w:rsidR="000135CE" w:rsidRPr="002201D7" w:rsidDel="000135CE">
        <w:rPr>
          <w:rFonts w:ascii="Times New Roman" w:hAnsi="Times New Roman" w:cs="Times New Roman"/>
          <w:sz w:val="24"/>
          <w:szCs w:val="24"/>
          <w:lang w:eastAsia="en-GB"/>
        </w:rPr>
        <w:t xml:space="preserve"> </w:t>
      </w:r>
      <w:r w:rsidR="000135CE">
        <w:rPr>
          <w:rFonts w:ascii="Times New Roman" w:hAnsi="Times New Roman" w:cs="Times New Roman"/>
          <w:sz w:val="24"/>
          <w:szCs w:val="24"/>
          <w:lang w:eastAsia="en-GB"/>
        </w:rPr>
        <w:t>4</w:t>
      </w:r>
      <w:r w:rsidRPr="00872636">
        <w:rPr>
          <w:rFonts w:ascii="Times New Roman" w:hAnsi="Times New Roman" w:cs="Times New Roman"/>
          <w:sz w:val="24"/>
          <w:szCs w:val="24"/>
          <w:lang w:eastAsia="en-GB"/>
        </w:rPr>
        <w:t xml:space="preserve"> is +1.14%. The second case is </w:t>
      </w:r>
      <w:r w:rsidR="00911B15" w:rsidRPr="00872636">
        <w:rPr>
          <w:rFonts w:ascii="Times New Roman" w:hAnsi="Times New Roman" w:cs="Times New Roman"/>
          <w:i/>
          <w:iCs/>
          <w:sz w:val="24"/>
          <w:szCs w:val="24"/>
          <w:lang w:eastAsia="en-GB"/>
        </w:rPr>
        <w:t>S</w:t>
      </w:r>
      <w:r w:rsidR="00911B15" w:rsidRPr="00872636">
        <w:rPr>
          <w:rFonts w:ascii="Times New Roman" w:hAnsi="Times New Roman" w:cs="Times New Roman"/>
          <w:sz w:val="24"/>
          <w:szCs w:val="24"/>
          <w:vertAlign w:val="subscript"/>
          <w:lang w:eastAsia="en-GB"/>
        </w:rPr>
        <w:t>wet</w:t>
      </w:r>
      <w:r w:rsidR="00911B15" w:rsidRPr="00872636">
        <w:rPr>
          <w:rFonts w:ascii="Times New Roman" w:hAnsi="Times New Roman" w:cs="Times New Roman"/>
          <w:sz w:val="24"/>
          <w:szCs w:val="24"/>
          <w:lang w:eastAsia="en-GB"/>
        </w:rPr>
        <w:t xml:space="preserve"> </w:t>
      </w:r>
      <w:r w:rsidRPr="00872636">
        <w:rPr>
          <w:rFonts w:ascii="Times New Roman" w:hAnsi="Times New Roman" w:cs="Times New Roman"/>
          <w:sz w:val="24"/>
          <w:szCs w:val="24"/>
          <w:lang w:eastAsia="en-GB"/>
        </w:rPr>
        <w:t xml:space="preserve">estimation of an advanced tube-wing aircraft. The study by Nickol et al. </w:t>
      </w:r>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{"citationItems":[{"id":"ITEM-1","itemData":{"DOI":"10.2514/6.2009-931","ISBN":"9781563479694","abstract":"The objective of this study was to develop a rapid hybrid wing body (HWB) sizing and analysis capability, apply that capability to estimate the fuel burn potential for an HWB concept, and identify associated technology requirements. The resulting HWB concept had a 39 percent lower block fuel burn than the reference vehicle and a 12 percent lower block fuel burn than an advanced tube-with-wings configuration. This fuel burn advantage is partially derived from assuming the high-risk technology of embedded engines with boundary-layer-ingesting inlets. The HWB concept also has the potential for significantly reduced noise as a result of the shielding advantages that are inherent with an over-body engine installation. The HWB fuel burn results were obtained by modifying NASA's Flight Optimization System (FLOPS) conceptual aircraft sizing and synthesis software to enable the rapid sizing and analysis of HWB concepts. The noncircular pressurized centerbody of the HWB concept was modeled, and several options were created for defining the outboard wing sections. Weight and drag estimation routines were modified to accommodate the unique aspects of an HWB configuration. A proprietary Boeing blended wing body (BWB) concept was initially modeled with the new analysis capability for comparison purposes. FLOPS predicted approximately a 15 percent greater drag, mainly caused by differences in compressibility drag estimation, and approximately a 5 percent greater takeoff gross weight, mainly caused by the additional fuel required, as compared with the Boeing data. Next, a 777-like reference vehicle was modeled in FLOPS and calibrated to published Boeing performance data; the same mission definition was then used to size an HWB in FLOPS. Advanced airframe and propulsion technology assumptions were applied to the HWB to develop an estimate for potential fuel burn savings from such a concept. The same technology assumptions, where applicable, were then applied to an advanced tube-with-wings concept. There are several ongoing NASA-funded efforts to improve FLOPS HWB sizing and analysis capabilities with a focus on reconciling the drag and weight discrepancies between FLOPS and the Boeing proprietary data which were identified during this effort.","author":[{"dropping-particle":"","family":"Nickol","given":"Craig L.","non-dropping-particle":"","parse-names":false,"suffix":""},{"dropping-particle":"","family":"McCullers","given":"Linwood A.","non-dropping-particle":"","parse-names":false,"suffix":""}],"container-title":"47th AIAA Aerospace Sciences Meeting including the New Horizons Forum and Aerospace Exposition","id":"ITEM-1","issued":{"date-parts":[["2009"]]},"publisher-place":"Orlando, Florida","title":"Hybrid Wing body configuration system studies","type":"paper-conference"},"uris":["http://www.mendeley.com/documents/?uuid=955963a6-e31b-335f-be16-93500506814a"]}],"mendeley":{"formattedCitation":"[95]","plainTextFormattedCitation":"[95]","previouslyFormattedCitation":"[95]"},"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[95]</w:t>
      </w:r>
      <w:r w:rsidRPr="00872636">
        <w:rPr>
          <w:rFonts w:ascii="Times New Roman" w:hAnsi="Times New Roman" w:cs="Times New Roman"/>
          <w:sz w:val="24"/>
          <w:szCs w:val="24"/>
          <w:lang w:eastAsia="en-GB"/>
        </w:rPr>
        <w:fldChar w:fldCharType="end"/>
      </w:r>
      <w:r w:rsidRPr="00872636">
        <w:rPr>
          <w:rFonts w:ascii="Times New Roman" w:hAnsi="Times New Roman" w:cs="Times New Roman"/>
          <w:sz w:val="24"/>
          <w:szCs w:val="24"/>
          <w:lang w:eastAsia="en-GB"/>
        </w:rPr>
        <w:t xml:space="preserve"> designs an advanced tube-wing aircraft for seating 300 passengers</w:t>
      </w:r>
      <w:r w:rsidR="00B76F26" w:rsidRPr="00872636">
        <w:rPr>
          <w:rFonts w:ascii="Times New Roman" w:hAnsi="Times New Roman" w:cs="Times New Roman"/>
          <w:sz w:val="24"/>
          <w:szCs w:val="24"/>
          <w:lang w:eastAsia="en-GB"/>
        </w:rPr>
        <w:t xml:space="preserve"> using FLOPS software</w:t>
      </w:r>
      <w:r w:rsidRPr="00872636">
        <w:rPr>
          <w:rFonts w:ascii="Times New Roman" w:hAnsi="Times New Roman" w:cs="Times New Roman"/>
          <w:sz w:val="24"/>
          <w:szCs w:val="24"/>
          <w:lang w:eastAsia="en-GB"/>
        </w:rPr>
        <w:t xml:space="preserve">. The GTOW of this aircraft is 503,350 lb (228,316 kg). Substituting this GTOW in equation </w:t>
      </w:r>
      <w:r w:rsidR="000B31AF">
        <w:rPr>
          <w:rFonts w:ascii="Times New Roman" w:hAnsi="Times New Roman" w:cs="Times New Roman"/>
          <w:sz w:val="24"/>
          <w:szCs w:val="24"/>
          <w:lang w:eastAsia="en-GB"/>
        </w:rPr>
        <w:t>SI</w:t>
      </w:r>
      <w:r w:rsidR="000B31AF" w:rsidRPr="002201D7" w:rsidDel="000B31AF">
        <w:rPr>
          <w:rFonts w:ascii="Times New Roman" w:hAnsi="Times New Roman" w:cs="Times New Roman"/>
          <w:sz w:val="24"/>
          <w:szCs w:val="24"/>
          <w:lang w:eastAsia="en-GB"/>
        </w:rPr>
        <w:t xml:space="preserve"> </w:t>
      </w:r>
      <w:r w:rsidR="000B31AF">
        <w:rPr>
          <w:rFonts w:ascii="Times New Roman" w:hAnsi="Times New Roman" w:cs="Times New Roman"/>
          <w:sz w:val="24"/>
          <w:szCs w:val="24"/>
          <w:lang w:eastAsia="en-GB"/>
        </w:rPr>
        <w:t>4</w:t>
      </w:r>
      <w:r w:rsidRPr="00872636">
        <w:rPr>
          <w:rFonts w:ascii="Times New Roman" w:hAnsi="Times New Roman" w:cs="Times New Roman"/>
          <w:sz w:val="24"/>
          <w:szCs w:val="24"/>
          <w:lang w:eastAsia="en-GB"/>
        </w:rPr>
        <w:t xml:space="preserve">, </w:t>
      </w:r>
      <w:r w:rsidR="00381C6E" w:rsidRPr="00872636">
        <w:rPr>
          <w:rFonts w:ascii="Times New Roman" w:hAnsi="Times New Roman" w:cs="Times New Roman"/>
          <w:i/>
          <w:iCs/>
          <w:sz w:val="24"/>
          <w:szCs w:val="24"/>
          <w:lang w:eastAsia="en-GB"/>
        </w:rPr>
        <w:t>S</w:t>
      </w:r>
      <w:r w:rsidR="00381C6E" w:rsidRPr="00872636">
        <w:rPr>
          <w:rFonts w:ascii="Times New Roman" w:hAnsi="Times New Roman" w:cs="Times New Roman"/>
          <w:sz w:val="24"/>
          <w:szCs w:val="24"/>
          <w:vertAlign w:val="subscript"/>
          <w:lang w:eastAsia="en-GB"/>
        </w:rPr>
        <w:t>wet</w:t>
      </w:r>
      <w:r w:rsidR="00381C6E" w:rsidRPr="00872636">
        <w:rPr>
          <w:rFonts w:ascii="Times New Roman" w:hAnsi="Times New Roman" w:cs="Times New Roman"/>
          <w:sz w:val="24"/>
          <w:szCs w:val="24"/>
          <w:lang w:eastAsia="en-GB"/>
        </w:rPr>
        <w:t xml:space="preserve"> </w:t>
      </w:r>
      <w:r w:rsidRPr="00872636">
        <w:rPr>
          <w:rFonts w:ascii="Times New Roman" w:hAnsi="Times New Roman" w:cs="Times New Roman"/>
          <w:sz w:val="24"/>
          <w:szCs w:val="24"/>
          <w:lang w:eastAsia="en-GB"/>
        </w:rPr>
        <w:t>is calculated to be 20,605 ft</w:t>
      </w:r>
      <w:r w:rsidRPr="00872636">
        <w:rPr>
          <w:rFonts w:ascii="Times New Roman" w:hAnsi="Times New Roman" w:cs="Times New Roman"/>
          <w:sz w:val="24"/>
          <w:szCs w:val="24"/>
          <w:vertAlign w:val="superscript"/>
          <w:lang w:eastAsia="en-GB"/>
        </w:rPr>
        <w:t>2</w:t>
      </w:r>
      <w:r w:rsidRPr="00872636">
        <w:rPr>
          <w:rFonts w:ascii="Times New Roman" w:hAnsi="Times New Roman" w:cs="Times New Roman"/>
          <w:sz w:val="24"/>
          <w:szCs w:val="24"/>
          <w:lang w:eastAsia="en-GB"/>
        </w:rPr>
        <w:t xml:space="preserve"> (1914 m</w:t>
      </w:r>
      <w:r w:rsidRPr="00872636">
        <w:rPr>
          <w:rFonts w:ascii="Times New Roman" w:hAnsi="Times New Roman" w:cs="Times New Roman"/>
          <w:sz w:val="24"/>
          <w:szCs w:val="24"/>
          <w:vertAlign w:val="superscript"/>
          <w:lang w:eastAsia="en-GB"/>
        </w:rPr>
        <w:t>2</w:t>
      </w:r>
      <w:r w:rsidRPr="00872636">
        <w:rPr>
          <w:rFonts w:ascii="Times New Roman" w:hAnsi="Times New Roman" w:cs="Times New Roman"/>
          <w:sz w:val="24"/>
          <w:szCs w:val="24"/>
          <w:lang w:eastAsia="en-GB"/>
        </w:rPr>
        <w:t>) compared to the wetted area estimation of 20,600 ft</w:t>
      </w:r>
      <w:r w:rsidRPr="00872636">
        <w:rPr>
          <w:rFonts w:ascii="Times New Roman" w:hAnsi="Times New Roman" w:cs="Times New Roman"/>
          <w:sz w:val="24"/>
          <w:szCs w:val="24"/>
          <w:vertAlign w:val="superscript"/>
          <w:lang w:eastAsia="en-GB"/>
        </w:rPr>
        <w:t>2</w:t>
      </w:r>
      <w:r w:rsidRPr="00872636">
        <w:rPr>
          <w:rFonts w:ascii="Times New Roman" w:hAnsi="Times New Roman" w:cs="Times New Roman"/>
          <w:sz w:val="24"/>
          <w:szCs w:val="24"/>
          <w:lang w:eastAsia="en-GB"/>
        </w:rPr>
        <w:t xml:space="preserve"> by Nickol et al. study. The Roskam’s model is found to be highly accurate as the prediction difference is +0.024%. For both cases, the Roskam’s model is found to be accurate with a prediction difference well within the criteria defined (prediction difference of ±5%) for accuracy during the conceptual design phase or low-order modelling.</w:t>
      </w:r>
      <w:r w:rsidR="00381C6E" w:rsidRPr="00872636">
        <w:rPr>
          <w:rFonts w:ascii="Times New Roman" w:hAnsi="Times New Roman" w:cs="Times New Roman"/>
          <w:sz w:val="24"/>
          <w:szCs w:val="24"/>
          <w:lang w:eastAsia="en-GB"/>
        </w:rPr>
        <w:t xml:space="preserve"> </w:t>
      </w:r>
    </w:p>
    <w:p w14:paraId="431EBD06" w14:textId="55D35E48" w:rsidR="00F60E44" w:rsidRPr="00872636" w:rsidRDefault="00F60E44" w:rsidP="00C525D8">
      <w:pPr>
        <w:pStyle w:val="Heading2"/>
        <w:spacing w:after="240" w:line="480" w:lineRule="auto"/>
        <w:rPr>
          <w:rFonts w:ascii="Times New Roman" w:hAnsi="Times New Roman" w:cs="Times New Roman"/>
          <w:color w:val="auto"/>
          <w:sz w:val="24"/>
          <w:szCs w:val="24"/>
        </w:rPr>
      </w:pPr>
      <w:r w:rsidRPr="00872636">
        <w:rPr>
          <w:rFonts w:ascii="Times New Roman" w:hAnsi="Times New Roman" w:cs="Times New Roman"/>
          <w:color w:val="auto"/>
          <w:sz w:val="24"/>
          <w:szCs w:val="24"/>
        </w:rPr>
        <w:lastRenderedPageBreak/>
        <w:t>Validation of fuselage wetted area and weight prediction equation</w:t>
      </w:r>
    </w:p>
    <w:p w14:paraId="0F01A625" w14:textId="0F321836" w:rsidR="00F60E44" w:rsidRPr="00872636" w:rsidRDefault="00F60E44" w:rsidP="00C525D8">
      <w:pPr>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ab/>
        <w:t xml:space="preserve">Before using equation </w:t>
      </w:r>
      <w:r w:rsidR="000B31AF">
        <w:rPr>
          <w:rFonts w:ascii="Times New Roman" w:hAnsi="Times New Roman" w:cs="Times New Roman"/>
          <w:sz w:val="24"/>
          <w:szCs w:val="24"/>
          <w:lang w:eastAsia="en-GB"/>
        </w:rPr>
        <w:t>SI 5</w:t>
      </w:r>
      <w:r w:rsidR="000B31AF" w:rsidRPr="00872636">
        <w:rPr>
          <w:rFonts w:ascii="Times New Roman" w:hAnsi="Times New Roman" w:cs="Times New Roman"/>
          <w:sz w:val="24"/>
          <w:szCs w:val="24"/>
          <w:lang w:eastAsia="en-GB"/>
        </w:rPr>
        <w:t xml:space="preserve"> </w:t>
      </w:r>
      <w:r w:rsidRPr="00872636">
        <w:rPr>
          <w:rFonts w:ascii="Times New Roman" w:hAnsi="Times New Roman" w:cs="Times New Roman"/>
          <w:sz w:val="24"/>
          <w:szCs w:val="24"/>
          <w:lang w:eastAsia="en-GB"/>
        </w:rPr>
        <w:t>(fuselage wetted area</w:t>
      </w:r>
      <w:r w:rsidR="00AC676F" w:rsidRPr="00872636">
        <w:rPr>
          <w:rFonts w:ascii="Times New Roman" w:hAnsi="Times New Roman" w:cs="Times New Roman"/>
          <w:sz w:val="24"/>
          <w:szCs w:val="24"/>
          <w:lang w:eastAsia="en-GB"/>
        </w:rPr>
        <w:t xml:space="preserve"> [</w:t>
      </w:r>
      <w:r w:rsidR="00AC676F" w:rsidRPr="00872636">
        <w:rPr>
          <w:rFonts w:ascii="Times New Roman" w:hAnsi="Times New Roman" w:cs="Times New Roman"/>
          <w:i/>
          <w:iCs/>
          <w:sz w:val="24"/>
          <w:szCs w:val="24"/>
          <w:lang w:eastAsia="en-GB"/>
        </w:rPr>
        <w:t>S</w:t>
      </w:r>
      <w:r w:rsidR="00AC676F" w:rsidRPr="00872636">
        <w:rPr>
          <w:rFonts w:ascii="Times New Roman" w:hAnsi="Times New Roman" w:cs="Times New Roman"/>
          <w:sz w:val="24"/>
          <w:szCs w:val="24"/>
          <w:vertAlign w:val="subscript"/>
          <w:lang w:eastAsia="en-GB"/>
        </w:rPr>
        <w:t>wet, Fuselage</w:t>
      </w:r>
      <w:r w:rsidR="00AC676F" w:rsidRPr="00872636">
        <w:rPr>
          <w:rFonts w:ascii="Times New Roman" w:hAnsi="Times New Roman" w:cs="Times New Roman"/>
          <w:sz w:val="24"/>
          <w:szCs w:val="24"/>
          <w:lang w:eastAsia="en-GB"/>
        </w:rPr>
        <w:t>]</w:t>
      </w:r>
      <w:r w:rsidRPr="00872636">
        <w:rPr>
          <w:rFonts w:ascii="Times New Roman" w:hAnsi="Times New Roman" w:cs="Times New Roman"/>
          <w:sz w:val="24"/>
          <w:szCs w:val="24"/>
          <w:lang w:eastAsia="en-GB"/>
        </w:rPr>
        <w:t xml:space="preserve"> prediction equation) and equation </w:t>
      </w:r>
      <w:r w:rsidR="000B31AF">
        <w:rPr>
          <w:rFonts w:ascii="Times New Roman" w:hAnsi="Times New Roman" w:cs="Times New Roman"/>
          <w:sz w:val="24"/>
          <w:szCs w:val="24"/>
          <w:lang w:eastAsia="en-GB"/>
        </w:rPr>
        <w:t>SI</w:t>
      </w:r>
      <w:r w:rsidR="000B31AF" w:rsidRPr="002201D7" w:rsidDel="000B31AF">
        <w:rPr>
          <w:rFonts w:ascii="Times New Roman" w:hAnsi="Times New Roman" w:cs="Times New Roman"/>
          <w:sz w:val="24"/>
          <w:szCs w:val="24"/>
          <w:lang w:eastAsia="en-GB"/>
        </w:rPr>
        <w:t xml:space="preserve"> </w:t>
      </w:r>
      <w:r w:rsidR="000B31AF">
        <w:rPr>
          <w:rFonts w:ascii="Times New Roman" w:hAnsi="Times New Roman" w:cs="Times New Roman"/>
          <w:sz w:val="24"/>
          <w:szCs w:val="24"/>
          <w:lang w:eastAsia="en-GB"/>
        </w:rPr>
        <w:t>6</w:t>
      </w:r>
      <w:r w:rsidRPr="00872636">
        <w:rPr>
          <w:rFonts w:ascii="Times New Roman" w:hAnsi="Times New Roman" w:cs="Times New Roman"/>
          <w:sz w:val="24"/>
          <w:szCs w:val="24"/>
          <w:lang w:eastAsia="en-GB"/>
        </w:rPr>
        <w:t xml:space="preserve"> (fuselage weight</w:t>
      </w:r>
      <w:r w:rsidR="001F1027" w:rsidRPr="00872636">
        <w:rPr>
          <w:rFonts w:ascii="Times New Roman" w:hAnsi="Times New Roman" w:cs="Times New Roman"/>
          <w:sz w:val="24"/>
          <w:szCs w:val="24"/>
          <w:lang w:eastAsia="en-GB"/>
        </w:rPr>
        <w:t xml:space="preserve"> [</w:t>
      </w:r>
      <w:r w:rsidR="001F1027" w:rsidRPr="00872636">
        <w:rPr>
          <w:rFonts w:ascii="Times New Roman" w:hAnsi="Times New Roman" w:cs="Times New Roman"/>
          <w:i/>
          <w:iCs/>
          <w:sz w:val="24"/>
          <w:szCs w:val="24"/>
          <w:lang w:eastAsia="en-GB"/>
        </w:rPr>
        <w:t>W</w:t>
      </w:r>
      <w:r w:rsidR="001F1027" w:rsidRPr="00872636">
        <w:rPr>
          <w:rFonts w:ascii="Times New Roman" w:hAnsi="Times New Roman" w:cs="Times New Roman"/>
          <w:sz w:val="24"/>
          <w:szCs w:val="24"/>
          <w:vertAlign w:val="subscript"/>
          <w:lang w:eastAsia="en-GB"/>
        </w:rPr>
        <w:t>Fuselage</w:t>
      </w:r>
      <w:r w:rsidR="001F1027" w:rsidRPr="00872636">
        <w:rPr>
          <w:rFonts w:ascii="Times New Roman" w:hAnsi="Times New Roman" w:cs="Times New Roman"/>
          <w:sz w:val="24"/>
          <w:szCs w:val="24"/>
          <w:lang w:eastAsia="en-GB"/>
        </w:rPr>
        <w:t>]</w:t>
      </w:r>
      <w:r w:rsidRPr="00872636">
        <w:rPr>
          <w:rFonts w:ascii="Times New Roman" w:hAnsi="Times New Roman" w:cs="Times New Roman"/>
          <w:sz w:val="24"/>
          <w:szCs w:val="24"/>
          <w:lang w:eastAsia="en-GB"/>
        </w:rPr>
        <w:t xml:space="preserve"> prediction equation) from </w:t>
      </w:r>
      <w:r w:rsidR="00E1005B" w:rsidRPr="002201D7">
        <w:rPr>
          <w:rFonts w:ascii="Times New Roman" w:hAnsi="Times New Roman" w:cs="Times New Roman"/>
          <w:sz w:val="24"/>
          <w:szCs w:val="24"/>
          <w:lang w:eastAsia="en-GB"/>
        </w:rPr>
        <w:t xml:space="preserve">SI </w:t>
      </w:r>
      <w:r w:rsidR="00E1005B" w:rsidRPr="00556067">
        <w:rPr>
          <w:rFonts w:ascii="Times New Roman" w:hAnsi="Times New Roman" w:cs="Times New Roman"/>
          <w:sz w:val="24"/>
          <w:szCs w:val="24"/>
          <w:lang w:eastAsia="en-GB"/>
        </w:rPr>
        <w:t>§4.2</w:t>
      </w:r>
      <w:r w:rsidRPr="00872636">
        <w:rPr>
          <w:rFonts w:ascii="Times New Roman" w:hAnsi="Times New Roman" w:cs="Times New Roman"/>
          <w:sz w:val="24"/>
          <w:szCs w:val="24"/>
          <w:lang w:eastAsia="en-GB"/>
        </w:rPr>
        <w:t xml:space="preserve">, these need to be tested for their accuracy using the above defined criteria. Piano-X data for B787-8 aircraft estimates </w:t>
      </w:r>
      <w:r w:rsidR="003E5638" w:rsidRPr="00872636">
        <w:rPr>
          <w:rFonts w:ascii="Times New Roman" w:hAnsi="Times New Roman" w:cs="Times New Roman"/>
          <w:i/>
          <w:iCs/>
          <w:sz w:val="24"/>
          <w:szCs w:val="24"/>
          <w:lang w:eastAsia="en-GB"/>
        </w:rPr>
        <w:t>S</w:t>
      </w:r>
      <w:r w:rsidR="003E5638" w:rsidRPr="00872636">
        <w:rPr>
          <w:rFonts w:ascii="Times New Roman" w:hAnsi="Times New Roman" w:cs="Times New Roman"/>
          <w:sz w:val="24"/>
          <w:szCs w:val="24"/>
          <w:vertAlign w:val="subscript"/>
          <w:lang w:eastAsia="en-GB"/>
        </w:rPr>
        <w:t>wet, Fuselage</w:t>
      </w:r>
      <w:r w:rsidR="003E5638" w:rsidRPr="00872636">
        <w:rPr>
          <w:rFonts w:ascii="Times New Roman" w:hAnsi="Times New Roman" w:cs="Times New Roman"/>
          <w:sz w:val="24"/>
          <w:szCs w:val="24"/>
          <w:lang w:eastAsia="en-GB"/>
        </w:rPr>
        <w:t xml:space="preserve"> </w:t>
      </w:r>
      <w:r w:rsidRPr="00872636">
        <w:rPr>
          <w:rFonts w:ascii="Times New Roman" w:hAnsi="Times New Roman" w:cs="Times New Roman"/>
          <w:sz w:val="24"/>
          <w:szCs w:val="24"/>
          <w:lang w:eastAsia="en-GB"/>
        </w:rPr>
        <w:t>of 9,484 ft</w:t>
      </w:r>
      <w:r w:rsidRPr="00872636">
        <w:rPr>
          <w:rFonts w:ascii="Times New Roman" w:hAnsi="Times New Roman" w:cs="Times New Roman"/>
          <w:sz w:val="24"/>
          <w:szCs w:val="24"/>
          <w:vertAlign w:val="superscript"/>
          <w:lang w:eastAsia="en-GB"/>
        </w:rPr>
        <w:t>2</w:t>
      </w:r>
      <w:r w:rsidRPr="00872636">
        <w:rPr>
          <w:rFonts w:ascii="Times New Roman" w:hAnsi="Times New Roman" w:cs="Times New Roman"/>
          <w:sz w:val="24"/>
          <w:szCs w:val="24"/>
          <w:lang w:eastAsia="en-GB"/>
        </w:rPr>
        <w:t xml:space="preserve"> (881 m</w:t>
      </w:r>
      <w:r w:rsidRPr="00872636">
        <w:rPr>
          <w:rFonts w:ascii="Times New Roman" w:hAnsi="Times New Roman" w:cs="Times New Roman"/>
          <w:sz w:val="24"/>
          <w:szCs w:val="24"/>
          <w:vertAlign w:val="superscript"/>
          <w:lang w:eastAsia="en-GB"/>
        </w:rPr>
        <w:t>2</w:t>
      </w:r>
      <w:r w:rsidRPr="00872636">
        <w:rPr>
          <w:rFonts w:ascii="Times New Roman" w:hAnsi="Times New Roman" w:cs="Times New Roman"/>
          <w:sz w:val="24"/>
          <w:szCs w:val="24"/>
          <w:lang w:eastAsia="en-GB"/>
        </w:rPr>
        <w:t xml:space="preserve">) and ‘fuselage group weight’ of 44,917 lb (20,374 kg) </w:t>
      </w:r>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URL":"https://www.lissys.uk/samp1/index.html","accessed":{"date-parts":[["2020","8","28"]]},"author":[{"dropping-particle":"","family":"PIANO-X","given":"","non-dropping-particle":"","parse-names":false,"suffix":""}],"container-title":"PIANO-X","id":"ITEM-1","issued":{"date-parts":[["2005"]]},"title":"Boeing 787 Dreamliner : Analysis","type":"webpage"},"uris":["http://www.mendeley.com/documents/?uuid=84c2041e-95c2-39ab-8350-1cac8a545c03"]}],"mendeley":{"formattedCitation":"[93]","plainTextFormattedCitation":"[93]","previouslyFormattedCitation":"[93]"},"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[93]</w:t>
      </w:r>
      <w:r w:rsidRPr="00872636">
        <w:rPr>
          <w:rFonts w:ascii="Times New Roman" w:hAnsi="Times New Roman" w:cs="Times New Roman"/>
          <w:sz w:val="24"/>
          <w:szCs w:val="24"/>
          <w:lang w:eastAsia="en-GB"/>
        </w:rPr>
        <w:fldChar w:fldCharType="end"/>
      </w:r>
      <w:r w:rsidRPr="00872636">
        <w:rPr>
          <w:rFonts w:ascii="Times New Roman" w:hAnsi="Times New Roman" w:cs="Times New Roman"/>
          <w:sz w:val="24"/>
          <w:szCs w:val="24"/>
          <w:lang w:eastAsia="en-GB"/>
        </w:rPr>
        <w:t xml:space="preserve">. For B787-8 aircraft, the values of </w:t>
      </w:r>
      <w:r w:rsidR="00CB517C" w:rsidRPr="00872636">
        <w:rPr>
          <w:rFonts w:ascii="Times New Roman" w:hAnsi="Times New Roman" w:cs="Times New Roman"/>
          <w:sz w:val="24"/>
          <w:szCs w:val="24"/>
          <w:lang w:eastAsia="en-GB"/>
        </w:rPr>
        <w:t xml:space="preserve">fuselage diameter </w:t>
      </w:r>
      <w:r w:rsidRPr="00872636">
        <w:rPr>
          <w:rFonts w:ascii="Times New Roman" w:hAnsi="Times New Roman" w:cs="Times New Roman"/>
          <w:i/>
          <w:iCs/>
          <w:sz w:val="24"/>
          <w:szCs w:val="24"/>
          <w:lang w:eastAsia="en-GB"/>
        </w:rPr>
        <w:t>d</w:t>
      </w:r>
      <w:r w:rsidRPr="00872636">
        <w:rPr>
          <w:rFonts w:ascii="Times New Roman" w:hAnsi="Times New Roman" w:cs="Times New Roman"/>
          <w:sz w:val="24"/>
          <w:szCs w:val="24"/>
          <w:vertAlign w:val="subscript"/>
          <w:lang w:eastAsia="en-GB"/>
        </w:rPr>
        <w:t>f</w:t>
      </w:r>
      <w:r w:rsidRPr="00872636">
        <w:rPr>
          <w:rFonts w:ascii="Times New Roman" w:hAnsi="Times New Roman" w:cs="Times New Roman"/>
          <w:sz w:val="24"/>
          <w:szCs w:val="24"/>
          <w:lang w:eastAsia="en-GB"/>
        </w:rPr>
        <w:t xml:space="preserve"> and</w:t>
      </w:r>
      <w:r w:rsidR="00CB517C" w:rsidRPr="00872636">
        <w:rPr>
          <w:rFonts w:ascii="Times New Roman" w:hAnsi="Times New Roman" w:cs="Times New Roman"/>
          <w:sz w:val="24"/>
          <w:szCs w:val="24"/>
          <w:lang w:eastAsia="en-GB"/>
        </w:rPr>
        <w:t xml:space="preserve"> fuselage length</w:t>
      </w:r>
      <w:r w:rsidRPr="00872636">
        <w:rPr>
          <w:rFonts w:ascii="Times New Roman" w:hAnsi="Times New Roman" w:cs="Times New Roman"/>
          <w:sz w:val="24"/>
          <w:szCs w:val="24"/>
          <w:lang w:eastAsia="en-GB"/>
        </w:rPr>
        <w:t xml:space="preserve"> </w:t>
      </w:r>
      <w:r w:rsidRPr="00872636">
        <w:rPr>
          <w:rFonts w:ascii="Times New Roman" w:hAnsi="Times New Roman" w:cs="Times New Roman"/>
          <w:i/>
          <w:iCs/>
          <w:sz w:val="24"/>
          <w:szCs w:val="24"/>
          <w:lang w:eastAsia="en-GB"/>
        </w:rPr>
        <w:t>l</w:t>
      </w:r>
      <w:r w:rsidRPr="00872636">
        <w:rPr>
          <w:rFonts w:ascii="Times New Roman" w:hAnsi="Times New Roman" w:cs="Times New Roman"/>
          <w:sz w:val="24"/>
          <w:szCs w:val="24"/>
          <w:vertAlign w:val="subscript"/>
          <w:lang w:eastAsia="en-GB"/>
        </w:rPr>
        <w:t>f</w:t>
      </w:r>
      <w:r w:rsidRPr="00872636">
        <w:rPr>
          <w:rFonts w:ascii="Times New Roman" w:hAnsi="Times New Roman" w:cs="Times New Roman"/>
          <w:sz w:val="24"/>
          <w:szCs w:val="24"/>
          <w:lang w:eastAsia="en-GB"/>
        </w:rPr>
        <w:t xml:space="preserve"> are 18.83 ft and 183.5 ft respectively </w:t>
      </w:r>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URL":"https://www.lissys.uk/samp1/index.html","accessed":{"date-parts":[["2020","8","28"]]},"author":[{"dropping-particle":"","family":"PIANO-X","given":"","non-dropping-particle":"","parse-names":false,"suffix":""}],"container-title":"PIANO-X","id":"ITEM-1","issued":{"date-parts":[["2005"]]},"title":"Boeing 787 Dreamliner : Analysis","type":"webpage"},"uris":["http://www.mendeley.com/documents/?uuid=84c2041e-95c2-39ab-8350-1cac8a545c03"]}],"mendeley":{"formattedCitation":"[93]","plainTextFormattedCitation":"[93]","previouslyFormattedCitation":"[93]"},"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[93]</w:t>
      </w:r>
      <w:r w:rsidRPr="00872636">
        <w:rPr>
          <w:rFonts w:ascii="Times New Roman" w:hAnsi="Times New Roman" w:cs="Times New Roman"/>
          <w:sz w:val="24"/>
          <w:szCs w:val="24"/>
          <w:lang w:eastAsia="en-GB"/>
        </w:rPr>
        <w:fldChar w:fldCharType="end"/>
      </w:r>
      <w:r w:rsidRPr="00872636">
        <w:rPr>
          <w:rFonts w:ascii="Times New Roman" w:hAnsi="Times New Roman" w:cs="Times New Roman"/>
          <w:sz w:val="24"/>
          <w:szCs w:val="24"/>
          <w:lang w:eastAsia="en-GB"/>
        </w:rPr>
        <w:t xml:space="preserve">. Substituting these values of </w:t>
      </w:r>
      <w:r w:rsidRPr="00872636">
        <w:rPr>
          <w:rFonts w:ascii="Times New Roman" w:hAnsi="Times New Roman" w:cs="Times New Roman"/>
          <w:i/>
          <w:iCs/>
          <w:sz w:val="24"/>
          <w:szCs w:val="24"/>
          <w:lang w:eastAsia="en-GB"/>
        </w:rPr>
        <w:t>d</w:t>
      </w:r>
      <w:r w:rsidRPr="00872636">
        <w:rPr>
          <w:rFonts w:ascii="Times New Roman" w:hAnsi="Times New Roman" w:cs="Times New Roman"/>
          <w:sz w:val="24"/>
          <w:szCs w:val="24"/>
          <w:vertAlign w:val="subscript"/>
          <w:lang w:eastAsia="en-GB"/>
        </w:rPr>
        <w:t>f</w:t>
      </w:r>
      <w:r w:rsidRPr="00872636">
        <w:rPr>
          <w:rFonts w:ascii="Times New Roman" w:hAnsi="Times New Roman" w:cs="Times New Roman"/>
          <w:sz w:val="24"/>
          <w:szCs w:val="24"/>
          <w:lang w:eastAsia="en-GB"/>
        </w:rPr>
        <w:t xml:space="preserve"> and </w:t>
      </w:r>
      <w:r w:rsidRPr="00872636">
        <w:rPr>
          <w:rFonts w:ascii="Times New Roman" w:hAnsi="Times New Roman" w:cs="Times New Roman"/>
          <w:i/>
          <w:iCs/>
          <w:sz w:val="24"/>
          <w:szCs w:val="24"/>
          <w:lang w:eastAsia="en-GB"/>
        </w:rPr>
        <w:t>l</w:t>
      </w:r>
      <w:r w:rsidRPr="00872636">
        <w:rPr>
          <w:rFonts w:ascii="Times New Roman" w:hAnsi="Times New Roman" w:cs="Times New Roman"/>
          <w:sz w:val="24"/>
          <w:szCs w:val="24"/>
          <w:vertAlign w:val="subscript"/>
          <w:lang w:eastAsia="en-GB"/>
        </w:rPr>
        <w:t>f</w:t>
      </w:r>
      <w:r w:rsidRPr="00872636">
        <w:rPr>
          <w:rFonts w:ascii="Times New Roman" w:hAnsi="Times New Roman" w:cs="Times New Roman"/>
          <w:sz w:val="24"/>
          <w:szCs w:val="24"/>
          <w:lang w:eastAsia="en-GB"/>
        </w:rPr>
        <w:t xml:space="preserve"> in equation </w:t>
      </w:r>
      <w:r w:rsidR="00FE1A57">
        <w:rPr>
          <w:rFonts w:ascii="Times New Roman" w:hAnsi="Times New Roman" w:cs="Times New Roman"/>
          <w:sz w:val="24"/>
          <w:szCs w:val="24"/>
          <w:lang w:eastAsia="en-GB"/>
        </w:rPr>
        <w:t>SI 5</w:t>
      </w:r>
      <w:r w:rsidRPr="00872636">
        <w:rPr>
          <w:rFonts w:ascii="Times New Roman" w:hAnsi="Times New Roman" w:cs="Times New Roman"/>
          <w:sz w:val="24"/>
          <w:szCs w:val="24"/>
          <w:lang w:eastAsia="en-GB"/>
        </w:rPr>
        <w:t xml:space="preserve">, the </w:t>
      </w:r>
      <w:r w:rsidR="008E32D9" w:rsidRPr="00872636">
        <w:rPr>
          <w:rFonts w:ascii="Times New Roman" w:hAnsi="Times New Roman" w:cs="Times New Roman"/>
          <w:i/>
          <w:iCs/>
          <w:sz w:val="24"/>
          <w:szCs w:val="24"/>
          <w:lang w:eastAsia="en-GB"/>
        </w:rPr>
        <w:t>S</w:t>
      </w:r>
      <w:r w:rsidR="008E32D9" w:rsidRPr="00872636">
        <w:rPr>
          <w:rFonts w:ascii="Times New Roman" w:hAnsi="Times New Roman" w:cs="Times New Roman"/>
          <w:sz w:val="24"/>
          <w:szCs w:val="24"/>
          <w:vertAlign w:val="subscript"/>
          <w:lang w:eastAsia="en-GB"/>
        </w:rPr>
        <w:t>wet, Fuselage</w:t>
      </w:r>
      <w:r w:rsidR="008E32D9" w:rsidRPr="00872636">
        <w:rPr>
          <w:rFonts w:ascii="Times New Roman" w:hAnsi="Times New Roman" w:cs="Times New Roman"/>
          <w:sz w:val="24"/>
          <w:szCs w:val="24"/>
          <w:lang w:eastAsia="en-GB"/>
        </w:rPr>
        <w:t xml:space="preserve"> </w:t>
      </w:r>
      <w:r w:rsidRPr="00872636">
        <w:rPr>
          <w:rFonts w:ascii="Times New Roman" w:hAnsi="Times New Roman" w:cs="Times New Roman"/>
          <w:sz w:val="24"/>
          <w:szCs w:val="24"/>
          <w:lang w:eastAsia="en-GB"/>
        </w:rPr>
        <w:t>is calculated to be 9,412 ft</w:t>
      </w:r>
      <w:r w:rsidRPr="00872636">
        <w:rPr>
          <w:rFonts w:ascii="Times New Roman" w:hAnsi="Times New Roman" w:cs="Times New Roman"/>
          <w:sz w:val="24"/>
          <w:szCs w:val="24"/>
          <w:vertAlign w:val="superscript"/>
          <w:lang w:eastAsia="en-GB"/>
        </w:rPr>
        <w:t>2</w:t>
      </w:r>
      <w:r w:rsidRPr="00872636">
        <w:rPr>
          <w:rFonts w:ascii="Times New Roman" w:hAnsi="Times New Roman" w:cs="Times New Roman"/>
          <w:sz w:val="24"/>
          <w:szCs w:val="24"/>
          <w:lang w:eastAsia="en-GB"/>
        </w:rPr>
        <w:t xml:space="preserve"> (874 m</w:t>
      </w:r>
      <w:r w:rsidRPr="00872636">
        <w:rPr>
          <w:rFonts w:ascii="Times New Roman" w:hAnsi="Times New Roman" w:cs="Times New Roman"/>
          <w:sz w:val="24"/>
          <w:szCs w:val="24"/>
          <w:vertAlign w:val="superscript"/>
          <w:lang w:eastAsia="en-GB"/>
        </w:rPr>
        <w:t>2</w:t>
      </w:r>
      <w:r w:rsidRPr="00872636">
        <w:rPr>
          <w:rFonts w:ascii="Times New Roman" w:hAnsi="Times New Roman" w:cs="Times New Roman"/>
          <w:sz w:val="24"/>
          <w:szCs w:val="24"/>
          <w:lang w:eastAsia="en-GB"/>
        </w:rPr>
        <w:t xml:space="preserve">), compared to the </w:t>
      </w:r>
      <w:r w:rsidR="008E32D9" w:rsidRPr="00872636">
        <w:rPr>
          <w:rFonts w:ascii="Times New Roman" w:hAnsi="Times New Roman" w:cs="Times New Roman"/>
          <w:i/>
          <w:iCs/>
          <w:sz w:val="24"/>
          <w:szCs w:val="24"/>
          <w:lang w:eastAsia="en-GB"/>
        </w:rPr>
        <w:t>S</w:t>
      </w:r>
      <w:r w:rsidR="008E32D9" w:rsidRPr="00872636">
        <w:rPr>
          <w:rFonts w:ascii="Times New Roman" w:hAnsi="Times New Roman" w:cs="Times New Roman"/>
          <w:sz w:val="24"/>
          <w:szCs w:val="24"/>
          <w:vertAlign w:val="subscript"/>
          <w:lang w:eastAsia="en-GB"/>
        </w:rPr>
        <w:t>wet, Fuselage</w:t>
      </w:r>
      <w:r w:rsidR="008E32D9" w:rsidRPr="00872636">
        <w:rPr>
          <w:rFonts w:ascii="Times New Roman" w:hAnsi="Times New Roman" w:cs="Times New Roman"/>
          <w:sz w:val="24"/>
          <w:szCs w:val="24"/>
          <w:lang w:eastAsia="en-GB"/>
        </w:rPr>
        <w:t xml:space="preserve"> </w:t>
      </w:r>
      <w:r w:rsidRPr="00872636">
        <w:rPr>
          <w:rFonts w:ascii="Times New Roman" w:hAnsi="Times New Roman" w:cs="Times New Roman"/>
          <w:sz w:val="24"/>
          <w:szCs w:val="24"/>
          <w:lang w:eastAsia="en-GB"/>
        </w:rPr>
        <w:t>value of 9,484 ft</w:t>
      </w:r>
      <w:r w:rsidRPr="00872636">
        <w:rPr>
          <w:rFonts w:ascii="Times New Roman" w:hAnsi="Times New Roman" w:cs="Times New Roman"/>
          <w:sz w:val="24"/>
          <w:szCs w:val="24"/>
          <w:vertAlign w:val="superscript"/>
          <w:lang w:eastAsia="en-GB"/>
        </w:rPr>
        <w:t>2</w:t>
      </w:r>
      <w:r w:rsidRPr="00872636">
        <w:rPr>
          <w:rFonts w:ascii="Times New Roman" w:hAnsi="Times New Roman" w:cs="Times New Roman"/>
          <w:sz w:val="24"/>
          <w:szCs w:val="24"/>
          <w:lang w:eastAsia="en-GB"/>
        </w:rPr>
        <w:t xml:space="preserve"> from Piano-X (prediction difference of -0.76%). Substituting this predicted </w:t>
      </w:r>
      <w:r w:rsidR="003E5638" w:rsidRPr="00872636">
        <w:rPr>
          <w:rFonts w:ascii="Times New Roman" w:hAnsi="Times New Roman" w:cs="Times New Roman"/>
          <w:i/>
          <w:iCs/>
          <w:sz w:val="24"/>
          <w:szCs w:val="24"/>
          <w:lang w:eastAsia="en-GB"/>
        </w:rPr>
        <w:t>S</w:t>
      </w:r>
      <w:r w:rsidR="003E5638" w:rsidRPr="00872636">
        <w:rPr>
          <w:rFonts w:ascii="Times New Roman" w:hAnsi="Times New Roman" w:cs="Times New Roman"/>
          <w:sz w:val="24"/>
          <w:szCs w:val="24"/>
          <w:vertAlign w:val="subscript"/>
          <w:lang w:eastAsia="en-GB"/>
        </w:rPr>
        <w:t>wet, Fuselage</w:t>
      </w:r>
      <w:r w:rsidR="003E5638" w:rsidRPr="00872636">
        <w:rPr>
          <w:rFonts w:ascii="Times New Roman" w:hAnsi="Times New Roman" w:cs="Times New Roman"/>
          <w:sz w:val="24"/>
          <w:szCs w:val="24"/>
          <w:lang w:eastAsia="en-GB"/>
        </w:rPr>
        <w:t xml:space="preserve"> </w:t>
      </w:r>
      <w:r w:rsidRPr="00872636">
        <w:rPr>
          <w:rFonts w:ascii="Times New Roman" w:hAnsi="Times New Roman" w:cs="Times New Roman"/>
          <w:sz w:val="24"/>
          <w:szCs w:val="24"/>
          <w:lang w:eastAsia="en-GB"/>
        </w:rPr>
        <w:t>of 9,412 ft</w:t>
      </w:r>
      <w:r w:rsidRPr="00872636">
        <w:rPr>
          <w:rFonts w:ascii="Times New Roman" w:hAnsi="Times New Roman" w:cs="Times New Roman"/>
          <w:sz w:val="24"/>
          <w:szCs w:val="24"/>
          <w:vertAlign w:val="superscript"/>
          <w:lang w:eastAsia="en-GB"/>
        </w:rPr>
        <w:t>2</w:t>
      </w:r>
      <w:r w:rsidRPr="00872636">
        <w:rPr>
          <w:rFonts w:ascii="Times New Roman" w:hAnsi="Times New Roman" w:cs="Times New Roman"/>
          <w:sz w:val="24"/>
          <w:szCs w:val="24"/>
          <w:lang w:eastAsia="en-GB"/>
        </w:rPr>
        <w:t xml:space="preserve"> in equation </w:t>
      </w:r>
      <w:r w:rsidR="0033385C">
        <w:rPr>
          <w:rFonts w:ascii="Times New Roman" w:hAnsi="Times New Roman" w:cs="Times New Roman"/>
          <w:sz w:val="24"/>
          <w:szCs w:val="24"/>
          <w:lang w:eastAsia="en-GB"/>
        </w:rPr>
        <w:t>SI</w:t>
      </w:r>
      <w:r w:rsidR="0033385C" w:rsidRPr="002201D7" w:rsidDel="0033385C">
        <w:rPr>
          <w:rFonts w:ascii="Times New Roman" w:hAnsi="Times New Roman" w:cs="Times New Roman"/>
          <w:sz w:val="24"/>
          <w:szCs w:val="24"/>
          <w:lang w:eastAsia="en-GB"/>
        </w:rPr>
        <w:t xml:space="preserve"> </w:t>
      </w:r>
      <w:r w:rsidR="0033385C">
        <w:rPr>
          <w:rFonts w:ascii="Times New Roman" w:hAnsi="Times New Roman" w:cs="Times New Roman"/>
          <w:sz w:val="24"/>
          <w:szCs w:val="24"/>
          <w:lang w:eastAsia="en-GB"/>
        </w:rPr>
        <w:t>6</w:t>
      </w:r>
      <w:r w:rsidRPr="00872636">
        <w:rPr>
          <w:rFonts w:ascii="Times New Roman" w:hAnsi="Times New Roman" w:cs="Times New Roman"/>
          <w:sz w:val="24"/>
          <w:szCs w:val="24"/>
          <w:lang w:eastAsia="en-GB"/>
        </w:rPr>
        <w:t xml:space="preserve">, results in </w:t>
      </w:r>
      <w:r w:rsidR="001F1027" w:rsidRPr="00872636">
        <w:rPr>
          <w:rFonts w:ascii="Times New Roman" w:hAnsi="Times New Roman" w:cs="Times New Roman"/>
          <w:i/>
          <w:iCs/>
          <w:sz w:val="24"/>
          <w:szCs w:val="24"/>
          <w:lang w:eastAsia="en-GB"/>
        </w:rPr>
        <w:t>W</w:t>
      </w:r>
      <w:r w:rsidR="001F1027" w:rsidRPr="00872636">
        <w:rPr>
          <w:rFonts w:ascii="Times New Roman" w:hAnsi="Times New Roman" w:cs="Times New Roman"/>
          <w:sz w:val="24"/>
          <w:szCs w:val="24"/>
          <w:vertAlign w:val="subscript"/>
          <w:lang w:eastAsia="en-GB"/>
        </w:rPr>
        <w:t>Fuselage</w:t>
      </w:r>
      <w:r w:rsidR="001F1027" w:rsidRPr="00872636">
        <w:rPr>
          <w:rFonts w:ascii="Times New Roman" w:hAnsi="Times New Roman" w:cs="Times New Roman"/>
          <w:sz w:val="24"/>
          <w:szCs w:val="24"/>
          <w:lang w:eastAsia="en-GB"/>
        </w:rPr>
        <w:t xml:space="preserve"> </w:t>
      </w:r>
      <w:r w:rsidRPr="00872636">
        <w:rPr>
          <w:rFonts w:ascii="Times New Roman" w:hAnsi="Times New Roman" w:cs="Times New Roman"/>
          <w:sz w:val="24"/>
          <w:szCs w:val="24"/>
          <w:lang w:eastAsia="en-GB"/>
        </w:rPr>
        <w:t xml:space="preserve">of 47,060 lb (21,346 kg) compared to the ‘fuselage group weight’ of 44,917 lb from Piano-X (prediction difference of +4.77%). The prediction difference by the use of equation </w:t>
      </w:r>
      <w:r w:rsidR="0033385C">
        <w:rPr>
          <w:rFonts w:ascii="Times New Roman" w:hAnsi="Times New Roman" w:cs="Times New Roman"/>
          <w:sz w:val="24"/>
          <w:szCs w:val="24"/>
          <w:lang w:eastAsia="en-GB"/>
        </w:rPr>
        <w:t>SI</w:t>
      </w:r>
      <w:r w:rsidR="0033385C" w:rsidRPr="002201D7" w:rsidDel="0033385C">
        <w:rPr>
          <w:rFonts w:ascii="Times New Roman" w:hAnsi="Times New Roman" w:cs="Times New Roman"/>
          <w:sz w:val="24"/>
          <w:szCs w:val="24"/>
          <w:lang w:eastAsia="en-GB"/>
        </w:rPr>
        <w:t xml:space="preserve"> </w:t>
      </w:r>
      <w:r w:rsidR="0033385C">
        <w:rPr>
          <w:rFonts w:ascii="Times New Roman" w:hAnsi="Times New Roman" w:cs="Times New Roman"/>
          <w:sz w:val="24"/>
          <w:szCs w:val="24"/>
          <w:lang w:eastAsia="en-GB"/>
        </w:rPr>
        <w:t>5</w:t>
      </w:r>
      <w:r w:rsidRPr="00872636">
        <w:rPr>
          <w:rFonts w:ascii="Times New Roman" w:hAnsi="Times New Roman" w:cs="Times New Roman"/>
          <w:sz w:val="24"/>
          <w:szCs w:val="24"/>
          <w:lang w:eastAsia="en-GB"/>
        </w:rPr>
        <w:t xml:space="preserve"> and equation </w:t>
      </w:r>
      <w:r w:rsidR="0033385C">
        <w:rPr>
          <w:rFonts w:ascii="Times New Roman" w:hAnsi="Times New Roman" w:cs="Times New Roman"/>
          <w:sz w:val="24"/>
          <w:szCs w:val="24"/>
          <w:lang w:eastAsia="en-GB"/>
        </w:rPr>
        <w:t>SI</w:t>
      </w:r>
      <w:r w:rsidR="0033385C" w:rsidRPr="002201D7" w:rsidDel="0033385C">
        <w:rPr>
          <w:rFonts w:ascii="Times New Roman" w:hAnsi="Times New Roman" w:cs="Times New Roman"/>
          <w:sz w:val="24"/>
          <w:szCs w:val="24"/>
          <w:lang w:eastAsia="en-GB"/>
        </w:rPr>
        <w:t xml:space="preserve"> </w:t>
      </w:r>
      <w:r w:rsidR="0033385C">
        <w:rPr>
          <w:rFonts w:ascii="Times New Roman" w:hAnsi="Times New Roman" w:cs="Times New Roman"/>
          <w:sz w:val="24"/>
          <w:szCs w:val="24"/>
          <w:lang w:eastAsia="en-GB"/>
        </w:rPr>
        <w:t>6</w:t>
      </w:r>
      <w:r w:rsidRPr="00872636">
        <w:rPr>
          <w:rFonts w:ascii="Times New Roman" w:hAnsi="Times New Roman" w:cs="Times New Roman"/>
          <w:sz w:val="24"/>
          <w:szCs w:val="24"/>
          <w:lang w:eastAsia="en-GB"/>
        </w:rPr>
        <w:t xml:space="preserve"> are within the criteria defined (prediction difference of ±5%) for accuracy during the conceptual design phase or low-order modelling.</w:t>
      </w:r>
    </w:p>
    <w:p w14:paraId="2B1447C6" w14:textId="7CE801BC" w:rsidR="00F60E44" w:rsidRPr="00872636" w:rsidRDefault="00F60E44" w:rsidP="00C525D8">
      <w:pPr>
        <w:pStyle w:val="Heading2"/>
        <w:spacing w:after="240" w:line="480" w:lineRule="auto"/>
        <w:rPr>
          <w:rFonts w:ascii="Times New Roman" w:hAnsi="Times New Roman" w:cs="Times New Roman"/>
          <w:color w:val="auto"/>
          <w:sz w:val="24"/>
          <w:szCs w:val="24"/>
        </w:rPr>
      </w:pPr>
      <w:r w:rsidRPr="00872636">
        <w:rPr>
          <w:rFonts w:ascii="Times New Roman" w:hAnsi="Times New Roman" w:cs="Times New Roman"/>
          <w:color w:val="auto"/>
          <w:sz w:val="24"/>
          <w:szCs w:val="24"/>
        </w:rPr>
        <w:t>Validation of Breguet’s range equation</w:t>
      </w:r>
    </w:p>
    <w:p w14:paraId="6F9AC2A7" w14:textId="080B786C" w:rsidR="002D1A69" w:rsidRPr="00872636" w:rsidRDefault="00F60E44" w:rsidP="00872636">
      <w:pPr>
        <w:spacing w:after="0" w:line="480" w:lineRule="auto"/>
        <w:jc w:val="both"/>
        <w:rPr>
          <w:rFonts w:ascii="Times New Roman" w:hAnsi="Times New Roman" w:cs="Times New Roman"/>
          <w:sz w:val="24"/>
          <w:szCs w:val="24"/>
        </w:rPr>
      </w:pPr>
      <w:r w:rsidRPr="00872636">
        <w:rPr>
          <w:rFonts w:ascii="Times New Roman" w:hAnsi="Times New Roman" w:cs="Times New Roman"/>
          <w:sz w:val="24"/>
          <w:szCs w:val="24"/>
        </w:rPr>
        <w:tab/>
        <w:t>Two aircraft are considered for validation of Breguet’s range equation. Each aircraft has two operational points of range and payload combinations. Overall, there are four validation points. Additionally, the lift to drag ratio estimation, which is an intermediate calculation step, is also validated for both aircraft. The two aircraft considered here are Airbus A320-200 and Boeing 767-300F. The A320-200 is a small narrow-body and single-aisle aircraft and the B767-300F is a small wide-body freighter aircraft. It is to be noted that both aircraft are small transport jets. The skin friction coefficient (</w:t>
      </w:r>
      <w:r w:rsidRPr="00872636">
        <w:rPr>
          <w:rFonts w:ascii="Times New Roman" w:hAnsi="Times New Roman" w:cs="Times New Roman"/>
          <w:i/>
          <w:iCs/>
          <w:sz w:val="24"/>
          <w:szCs w:val="24"/>
        </w:rPr>
        <w:t>C</w:t>
      </w:r>
      <w:r w:rsidRPr="00872636">
        <w:rPr>
          <w:rFonts w:ascii="Times New Roman" w:hAnsi="Times New Roman" w:cs="Times New Roman"/>
          <w:sz w:val="24"/>
          <w:szCs w:val="24"/>
          <w:vertAlign w:val="subscript"/>
        </w:rPr>
        <w:t>f</w:t>
      </w:r>
      <w:r w:rsidRPr="00872636">
        <w:rPr>
          <w:rFonts w:ascii="Times New Roman" w:hAnsi="Times New Roman" w:cs="Times New Roman"/>
          <w:sz w:val="24"/>
          <w:szCs w:val="24"/>
        </w:rPr>
        <w:t xml:space="preserve">) for small transport jets is 0.0035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www.ltas-cm3.ulg.ac.be/AERO0023-1/ConceptionAeroPerformances.pdf","accessed":{"date-parts":[["2020","2","13"]]},"author":[{"dropping-particle":"","family":"Dimitriadis","given":"G.","non-dropping-particle":"","parse-names":false,"suffix":""}],"container-title":"Université de Liège","id":"ITEM-1","issued":{"date-parts":[["2017"]]},"title":"Introduction to Aircraft Design: Aircraft Performance","type":"webpage"},"uris":["http://www.mendeley.com/documents/?uuid=8c08c742-657f-3cf3-9343-38abe3d73e6f"]}],"mendeley":{"formattedCitation":"[91]","plainTextFormattedCitation":"[91]","previouslyFormattedCitation":"[91]"},"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[91]</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in comparison with 0.003 for large transport jet (used in </w:t>
      </w:r>
      <w:r w:rsidR="00E1005B" w:rsidRPr="002201D7">
        <w:rPr>
          <w:rFonts w:ascii="Times New Roman" w:hAnsi="Times New Roman" w:cs="Times New Roman"/>
          <w:sz w:val="24"/>
          <w:szCs w:val="24"/>
          <w:lang w:eastAsia="en-GB"/>
        </w:rPr>
        <w:t xml:space="preserve">SI </w:t>
      </w:r>
      <w:r w:rsidR="00E1005B" w:rsidRPr="00556067">
        <w:rPr>
          <w:rFonts w:ascii="Times New Roman" w:hAnsi="Times New Roman" w:cs="Times New Roman"/>
          <w:sz w:val="24"/>
          <w:szCs w:val="24"/>
          <w:lang w:eastAsia="en-GB"/>
        </w:rPr>
        <w:t>§4.</w:t>
      </w:r>
      <w:r w:rsidR="00E1005B" w:rsidRPr="00CE68A4">
        <w:rPr>
          <w:rFonts w:ascii="Times New Roman" w:hAnsi="Times New Roman" w:cs="Times New Roman"/>
          <w:sz w:val="24"/>
          <w:szCs w:val="24"/>
          <w:lang w:eastAsia="en-GB"/>
        </w:rPr>
        <w:t>2</w:t>
      </w:r>
      <w:r w:rsidRPr="00872636">
        <w:rPr>
          <w:rFonts w:ascii="Times New Roman" w:hAnsi="Times New Roman" w:cs="Times New Roman"/>
          <w:sz w:val="24"/>
          <w:szCs w:val="24"/>
        </w:rPr>
        <w:t xml:space="preserve">). Table SI </w:t>
      </w:r>
      <w:r w:rsidR="007E6496">
        <w:rPr>
          <w:rFonts w:ascii="Times New Roman" w:hAnsi="Times New Roman" w:cs="Times New Roman"/>
          <w:sz w:val="24"/>
          <w:szCs w:val="24"/>
        </w:rPr>
        <w:t>5</w:t>
      </w:r>
      <w:r w:rsidRPr="00872636">
        <w:rPr>
          <w:rFonts w:ascii="Times New Roman" w:hAnsi="Times New Roman" w:cs="Times New Roman"/>
          <w:sz w:val="24"/>
          <w:szCs w:val="24"/>
        </w:rPr>
        <w:t xml:space="preserve"> and Table SI</w:t>
      </w:r>
      <w:r w:rsidR="00B6124A" w:rsidRPr="00872636">
        <w:rPr>
          <w:rFonts w:ascii="Times New Roman" w:hAnsi="Times New Roman" w:cs="Times New Roman"/>
          <w:sz w:val="24"/>
          <w:szCs w:val="24"/>
        </w:rPr>
        <w:t xml:space="preserve"> </w:t>
      </w:r>
      <w:r w:rsidR="007E6496">
        <w:rPr>
          <w:rFonts w:ascii="Times New Roman" w:hAnsi="Times New Roman" w:cs="Times New Roman"/>
          <w:sz w:val="24"/>
          <w:szCs w:val="24"/>
        </w:rPr>
        <w:t>6</w:t>
      </w:r>
      <w:r w:rsidR="007E6496" w:rsidRPr="00872636">
        <w:rPr>
          <w:rFonts w:ascii="Times New Roman" w:hAnsi="Times New Roman" w:cs="Times New Roman"/>
          <w:sz w:val="24"/>
          <w:szCs w:val="24"/>
        </w:rPr>
        <w:t xml:space="preserve"> </w:t>
      </w:r>
      <w:r w:rsidRPr="00872636">
        <w:rPr>
          <w:rFonts w:ascii="Times New Roman" w:hAnsi="Times New Roman" w:cs="Times New Roman"/>
          <w:sz w:val="24"/>
          <w:szCs w:val="24"/>
        </w:rPr>
        <w:t xml:space="preserve">below provide the characteristics of Airbus A320-200 and Boeing 767-300F aircraft </w:t>
      </w:r>
      <w:r w:rsidR="00FC0A19" w:rsidRPr="00872636">
        <w:rPr>
          <w:rFonts w:ascii="Times New Roman" w:hAnsi="Times New Roman" w:cs="Times New Roman"/>
          <w:sz w:val="24"/>
          <w:szCs w:val="24"/>
        </w:rPr>
        <w:t xml:space="preserve">respectively </w:t>
      </w:r>
      <w:r w:rsidRPr="00872636">
        <w:rPr>
          <w:rFonts w:ascii="Times New Roman" w:hAnsi="Times New Roman" w:cs="Times New Roman"/>
          <w:sz w:val="24"/>
          <w:szCs w:val="24"/>
        </w:rPr>
        <w:t>that are required for Breguet’s range equation analysis.</w:t>
      </w:r>
      <w:r w:rsidR="00336D50" w:rsidRPr="00872636">
        <w:rPr>
          <w:rFonts w:ascii="Times New Roman" w:hAnsi="Times New Roman" w:cs="Times New Roman"/>
          <w:sz w:val="24"/>
          <w:szCs w:val="24"/>
        </w:rPr>
        <w:t xml:space="preserve"> </w:t>
      </w:r>
    </w:p>
    <w:tbl>
      <w:tblPr>
        <w:tblpPr w:leftFromText="180" w:rightFromText="180" w:bottomFromText="160" w:vertAnchor="text" w:horzAnchor="margin" w:tblpXSpec="center" w:tblpY="4"/>
        <w:tblW w:w="9955" w:type="dxa"/>
        <w:tblCellMar>
          <w:left w:w="0" w:type="dxa"/>
          <w:right w:w="0" w:type="dxa"/>
        </w:tblCellMar>
        <w:tblLook w:val="0420" w:firstRow="1" w:lastRow="0" w:firstColumn="0" w:lastColumn="0" w:noHBand="0" w:noVBand="1"/>
      </w:tblPr>
      <w:tblGrid>
        <w:gridCol w:w="3178"/>
        <w:gridCol w:w="1210"/>
        <w:gridCol w:w="1815"/>
        <w:gridCol w:w="3738"/>
        <w:gridCol w:w="14"/>
      </w:tblGrid>
      <w:tr w:rsidR="00F60E44" w:rsidRPr="007D699F" w14:paraId="00EFD1D6" w14:textId="77777777" w:rsidTr="00EF3C28">
        <w:trPr>
          <w:trHeight w:val="57"/>
        </w:trPr>
        <w:tc>
          <w:tcPr>
            <w:tcW w:w="9955" w:type="dxa"/>
            <w:gridSpan w:val="5"/>
            <w:tcMar>
              <w:top w:w="72" w:type="dxa"/>
              <w:left w:w="144" w:type="dxa"/>
              <w:bottom w:w="72" w:type="dxa"/>
              <w:right w:w="144" w:type="dxa"/>
            </w:tcMar>
            <w:vAlign w:val="center"/>
            <w:hideMark/>
          </w:tcPr>
          <w:p w14:paraId="535BB9B2" w14:textId="47FC8956" w:rsidR="00F60E44" w:rsidRPr="00872636" w:rsidRDefault="00F60E44" w:rsidP="00872636">
            <w:pPr>
              <w:spacing w:after="0" w:line="276" w:lineRule="auto"/>
              <w:jc w:val="center"/>
              <w:rPr>
                <w:rFonts w:ascii="Times New Roman" w:hAnsi="Times New Roman" w:cs="Times New Roman"/>
                <w:b/>
                <w:sz w:val="24"/>
                <w:szCs w:val="24"/>
              </w:rPr>
            </w:pPr>
            <w:r w:rsidRPr="00872636">
              <w:rPr>
                <w:rFonts w:ascii="Times New Roman" w:hAnsi="Times New Roman" w:cs="Times New Roman"/>
                <w:b/>
                <w:sz w:val="24"/>
                <w:szCs w:val="24"/>
              </w:rPr>
              <w:lastRenderedPageBreak/>
              <w:t>Table SI</w:t>
            </w:r>
            <w:r w:rsidR="007E66B0" w:rsidRPr="00872636">
              <w:rPr>
                <w:rFonts w:ascii="Times New Roman" w:hAnsi="Times New Roman" w:cs="Times New Roman"/>
                <w:b/>
                <w:sz w:val="24"/>
                <w:szCs w:val="24"/>
              </w:rPr>
              <w:t xml:space="preserve"> </w:t>
            </w:r>
            <w:r w:rsidR="00286C0A" w:rsidRPr="00872636">
              <w:rPr>
                <w:rFonts w:ascii="Times New Roman" w:hAnsi="Times New Roman" w:cs="Times New Roman"/>
                <w:b/>
                <w:sz w:val="24"/>
                <w:szCs w:val="24"/>
              </w:rPr>
              <w:t>5</w:t>
            </w:r>
            <w:r w:rsidRPr="00872636">
              <w:rPr>
                <w:rFonts w:ascii="Times New Roman" w:hAnsi="Times New Roman" w:cs="Times New Roman"/>
                <w:b/>
                <w:sz w:val="24"/>
                <w:szCs w:val="24"/>
              </w:rPr>
              <w:t xml:space="preserve">. Airbus A320-200 aircraft characteristics </w:t>
            </w:r>
          </w:p>
        </w:tc>
      </w:tr>
      <w:tr w:rsidR="00F60E44" w:rsidRPr="007D699F" w14:paraId="61EE37D4" w14:textId="77777777" w:rsidTr="00EF3C28">
        <w:trPr>
          <w:gridAfter w:val="1"/>
          <w:wAfter w:w="14" w:type="dxa"/>
          <w:trHeight w:val="44"/>
        </w:trPr>
        <w:tc>
          <w:tcPr>
            <w:tcW w:w="3178"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0B51AF00"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Parameter</w:t>
            </w:r>
          </w:p>
        </w:tc>
        <w:tc>
          <w:tcPr>
            <w:tcW w:w="1210"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57B34594"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Units</w:t>
            </w:r>
          </w:p>
        </w:tc>
        <w:tc>
          <w:tcPr>
            <w:tcW w:w="1815"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1381150C"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Value</w:t>
            </w:r>
          </w:p>
        </w:tc>
        <w:tc>
          <w:tcPr>
            <w:tcW w:w="3738"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5A113A16"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Reference</w:t>
            </w:r>
          </w:p>
        </w:tc>
      </w:tr>
      <w:tr w:rsidR="00F60E44" w:rsidRPr="007D699F" w14:paraId="7FAC1131" w14:textId="77777777" w:rsidTr="00EF3C28">
        <w:trPr>
          <w:gridAfter w:val="1"/>
          <w:wAfter w:w="14" w:type="dxa"/>
          <w:trHeight w:val="44"/>
        </w:trPr>
        <w:tc>
          <w:tcPr>
            <w:tcW w:w="3178" w:type="dxa"/>
            <w:tcBorders>
              <w:top w:val="single" w:sz="4" w:space="0" w:color="auto"/>
              <w:left w:val="nil"/>
              <w:bottom w:val="nil"/>
              <w:right w:val="nil"/>
            </w:tcBorders>
            <w:tcMar>
              <w:top w:w="72" w:type="dxa"/>
              <w:left w:w="144" w:type="dxa"/>
              <w:bottom w:w="72" w:type="dxa"/>
              <w:right w:w="144" w:type="dxa"/>
            </w:tcMar>
            <w:vAlign w:val="center"/>
            <w:hideMark/>
          </w:tcPr>
          <w:p w14:paraId="0AE0B80E"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OEW</w:t>
            </w:r>
          </w:p>
        </w:tc>
        <w:tc>
          <w:tcPr>
            <w:tcW w:w="1210" w:type="dxa"/>
            <w:tcBorders>
              <w:top w:val="single" w:sz="4" w:space="0" w:color="auto"/>
              <w:left w:val="nil"/>
              <w:bottom w:val="nil"/>
              <w:right w:val="nil"/>
            </w:tcBorders>
            <w:tcMar>
              <w:top w:w="72" w:type="dxa"/>
              <w:left w:w="144" w:type="dxa"/>
              <w:bottom w:w="72" w:type="dxa"/>
              <w:right w:w="144" w:type="dxa"/>
            </w:tcMar>
            <w:vAlign w:val="center"/>
            <w:hideMark/>
          </w:tcPr>
          <w:p w14:paraId="6A01A41C"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kg</w:t>
            </w:r>
          </w:p>
        </w:tc>
        <w:tc>
          <w:tcPr>
            <w:tcW w:w="1815" w:type="dxa"/>
            <w:tcBorders>
              <w:top w:val="single" w:sz="4" w:space="0" w:color="auto"/>
              <w:left w:val="nil"/>
              <w:bottom w:val="nil"/>
              <w:right w:val="nil"/>
            </w:tcBorders>
            <w:tcMar>
              <w:top w:w="72" w:type="dxa"/>
              <w:left w:w="144" w:type="dxa"/>
              <w:bottom w:w="72" w:type="dxa"/>
              <w:right w:w="144" w:type="dxa"/>
            </w:tcMar>
            <w:vAlign w:val="center"/>
            <w:hideMark/>
          </w:tcPr>
          <w:p w14:paraId="5C01BAC2"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44,200</w:t>
            </w:r>
          </w:p>
        </w:tc>
        <w:tc>
          <w:tcPr>
            <w:tcW w:w="3738" w:type="dxa"/>
            <w:tcBorders>
              <w:top w:val="single" w:sz="4" w:space="0" w:color="auto"/>
              <w:left w:val="nil"/>
              <w:bottom w:val="nil"/>
              <w:right w:val="nil"/>
            </w:tcBorders>
            <w:tcMar>
              <w:top w:w="72" w:type="dxa"/>
              <w:left w:w="144" w:type="dxa"/>
              <w:bottom w:w="72" w:type="dxa"/>
              <w:right w:w="144" w:type="dxa"/>
            </w:tcMar>
            <w:vAlign w:val="center"/>
            <w:hideMark/>
          </w:tcPr>
          <w:p w14:paraId="49669698" w14:textId="67C08770"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{"citationItems":[{"id":"ITEM-1","itemData":{"author":[{"dropping-particle":"","family":"Mommsen","given":"Till","non-dropping-particle":"","parse-names":false,"suffix":""}],"container-title":"Master's Theses - Daytona Beach","id":"ITEM-1","issued":{"date-parts":[["1994","12","1"]]},"title":"Airbus A320/321 Quick Change Market Analysis - A Case Study","type":"article-journal"},"uris":["http://www.mendeley.com/documents/?uuid=9127971c-da28-3b8c-9211-d9cc883c70ae"]}],"mendeley":{"formattedCitation":"[116]","plainTextFormattedCitation":"[116]","previouslyFormattedCitation":"[116]"},"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[116]</w:t>
            </w:r>
            <w:r w:rsidRPr="00872636">
              <w:rPr>
                <w:rFonts w:ascii="Times New Roman" w:hAnsi="Times New Roman" w:cs="Times New Roman"/>
                <w:sz w:val="24"/>
                <w:szCs w:val="24"/>
              </w:rPr>
              <w:fldChar w:fldCharType="end"/>
            </w:r>
          </w:p>
        </w:tc>
      </w:tr>
      <w:tr w:rsidR="00F60E44" w:rsidRPr="007D699F" w14:paraId="131BB068" w14:textId="77777777" w:rsidTr="00EF3C28">
        <w:trPr>
          <w:gridAfter w:val="1"/>
          <w:wAfter w:w="14" w:type="dxa"/>
          <w:trHeight w:val="44"/>
        </w:trPr>
        <w:tc>
          <w:tcPr>
            <w:tcW w:w="3178" w:type="dxa"/>
            <w:tcMar>
              <w:top w:w="72" w:type="dxa"/>
              <w:left w:w="144" w:type="dxa"/>
              <w:bottom w:w="72" w:type="dxa"/>
              <w:right w:w="144" w:type="dxa"/>
            </w:tcMar>
            <w:vAlign w:val="center"/>
            <w:hideMark/>
          </w:tcPr>
          <w:p w14:paraId="071C8C0D"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MTOW</w:t>
            </w:r>
          </w:p>
        </w:tc>
        <w:tc>
          <w:tcPr>
            <w:tcW w:w="1210" w:type="dxa"/>
            <w:tcMar>
              <w:top w:w="72" w:type="dxa"/>
              <w:left w:w="144" w:type="dxa"/>
              <w:bottom w:w="72" w:type="dxa"/>
              <w:right w:w="144" w:type="dxa"/>
            </w:tcMar>
            <w:vAlign w:val="center"/>
            <w:hideMark/>
          </w:tcPr>
          <w:p w14:paraId="6D357CF3"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kg</w:t>
            </w:r>
          </w:p>
        </w:tc>
        <w:tc>
          <w:tcPr>
            <w:tcW w:w="1815" w:type="dxa"/>
            <w:tcMar>
              <w:top w:w="72" w:type="dxa"/>
              <w:left w:w="144" w:type="dxa"/>
              <w:bottom w:w="72" w:type="dxa"/>
              <w:right w:w="144" w:type="dxa"/>
            </w:tcMar>
            <w:vAlign w:val="center"/>
            <w:hideMark/>
          </w:tcPr>
          <w:p w14:paraId="38077941"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73,500</w:t>
            </w:r>
          </w:p>
        </w:tc>
        <w:tc>
          <w:tcPr>
            <w:tcW w:w="3738" w:type="dxa"/>
            <w:tcMar>
              <w:top w:w="72" w:type="dxa"/>
              <w:left w:w="144" w:type="dxa"/>
              <w:bottom w:w="72" w:type="dxa"/>
              <w:right w:w="144" w:type="dxa"/>
            </w:tcMar>
            <w:hideMark/>
          </w:tcPr>
          <w:p w14:paraId="11C37993" w14:textId="09A158F5"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{"citationItems":[{"id":"ITEM-1","itemData":{"author":[{"dropping-particle":"","family":"Mommsen","given":"Till","non-dropping-particle":"","parse-names":false,"suffix":""}],"container-title":"Master's Theses - Daytona Beach","id":"ITEM-1","issued":{"date-parts":[["1994","12","1"]]},"title":"Airbus A320/321 Quick Change Market Analysis - A Case Study","type":"article-journal"},"uris":["http://www.mendeley.com/documents/?uuid=9127971c-da28-3b8c-9211-d9cc883c70ae"]}],"mendeley":{"formattedCitation":"[116]","plainTextFormattedCitation":"[116]","previouslyFormattedCitation":"[116]"},"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[116]</w:t>
            </w:r>
            <w:r w:rsidRPr="00872636">
              <w:rPr>
                <w:rFonts w:ascii="Times New Roman" w:hAnsi="Times New Roman" w:cs="Times New Roman"/>
                <w:sz w:val="24"/>
                <w:szCs w:val="24"/>
              </w:rPr>
              <w:fldChar w:fldCharType="end"/>
            </w:r>
          </w:p>
        </w:tc>
      </w:tr>
      <w:tr w:rsidR="00F60E44" w:rsidRPr="007D699F" w14:paraId="09E0D8CE" w14:textId="77777777" w:rsidTr="00EF3C28">
        <w:trPr>
          <w:gridAfter w:val="1"/>
          <w:wAfter w:w="14" w:type="dxa"/>
          <w:trHeight w:val="44"/>
        </w:trPr>
        <w:tc>
          <w:tcPr>
            <w:tcW w:w="3178" w:type="dxa"/>
            <w:tcMar>
              <w:top w:w="72" w:type="dxa"/>
              <w:left w:w="144" w:type="dxa"/>
              <w:bottom w:w="72" w:type="dxa"/>
              <w:right w:w="144" w:type="dxa"/>
            </w:tcMar>
            <w:vAlign w:val="center"/>
            <w:hideMark/>
          </w:tcPr>
          <w:p w14:paraId="284B3B82"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Maximum payload</w:t>
            </w:r>
          </w:p>
        </w:tc>
        <w:tc>
          <w:tcPr>
            <w:tcW w:w="1210" w:type="dxa"/>
            <w:tcMar>
              <w:top w:w="72" w:type="dxa"/>
              <w:left w:w="144" w:type="dxa"/>
              <w:bottom w:w="72" w:type="dxa"/>
              <w:right w:w="144" w:type="dxa"/>
            </w:tcMar>
            <w:vAlign w:val="center"/>
            <w:hideMark/>
          </w:tcPr>
          <w:p w14:paraId="6936A6C4"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kg</w:t>
            </w:r>
          </w:p>
        </w:tc>
        <w:tc>
          <w:tcPr>
            <w:tcW w:w="1815" w:type="dxa"/>
            <w:tcMar>
              <w:top w:w="72" w:type="dxa"/>
              <w:left w:w="144" w:type="dxa"/>
              <w:bottom w:w="72" w:type="dxa"/>
              <w:right w:w="144" w:type="dxa"/>
            </w:tcMar>
            <w:vAlign w:val="center"/>
            <w:hideMark/>
          </w:tcPr>
          <w:p w14:paraId="70A8A469"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16,565</w:t>
            </w:r>
          </w:p>
        </w:tc>
        <w:tc>
          <w:tcPr>
            <w:tcW w:w="3738" w:type="dxa"/>
            <w:tcMar>
              <w:top w:w="72" w:type="dxa"/>
              <w:left w:w="144" w:type="dxa"/>
              <w:bottom w:w="72" w:type="dxa"/>
              <w:right w:w="144" w:type="dxa"/>
            </w:tcMar>
            <w:hideMark/>
          </w:tcPr>
          <w:p w14:paraId="10B84FFA" w14:textId="65B04A7D"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{"citationItems":[{"id":"ITEM-1","itemData":{"author":[{"dropping-particle":"","family":"Mommsen","given":"Till","non-dropping-particle":"","parse-names":false,"suffix":""}],"container-title":"Master's Theses - Daytona Beach","id":"ITEM-1","issued":{"date-parts":[["1994","12","1"]]},"title":"Airbus A320/321 Quick Change Market Analysis - A Case Study","type":"article-journal"},"uris":["http://www.mendeley.com/documents/?uuid=9127971c-da28-3b8c-9211-d9cc883c70ae"]}],"mendeley":{"formattedCitation":"[116]","plainTextFormattedCitation":"[116]","previouslyFormattedCitation":"[116]"},"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[116]</w:t>
            </w:r>
            <w:r w:rsidRPr="00872636">
              <w:rPr>
                <w:rFonts w:ascii="Times New Roman" w:hAnsi="Times New Roman" w:cs="Times New Roman"/>
                <w:sz w:val="24"/>
                <w:szCs w:val="24"/>
              </w:rPr>
              <w:fldChar w:fldCharType="end"/>
            </w:r>
          </w:p>
        </w:tc>
      </w:tr>
      <w:tr w:rsidR="00F60E44" w:rsidRPr="007D699F" w14:paraId="62BCF5FA" w14:textId="77777777" w:rsidTr="00EF3C28">
        <w:trPr>
          <w:gridAfter w:val="1"/>
          <w:wAfter w:w="14" w:type="dxa"/>
          <w:trHeight w:val="44"/>
        </w:trPr>
        <w:tc>
          <w:tcPr>
            <w:tcW w:w="3178" w:type="dxa"/>
            <w:vMerge w:val="restart"/>
            <w:tcMar>
              <w:top w:w="72" w:type="dxa"/>
              <w:left w:w="144" w:type="dxa"/>
              <w:bottom w:w="72" w:type="dxa"/>
              <w:right w:w="144" w:type="dxa"/>
            </w:tcMar>
            <w:vAlign w:val="center"/>
            <w:hideMark/>
          </w:tcPr>
          <w:p w14:paraId="11EA060B"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Range at maximum payload</w:t>
            </w:r>
          </w:p>
        </w:tc>
        <w:tc>
          <w:tcPr>
            <w:tcW w:w="1210" w:type="dxa"/>
            <w:tcMar>
              <w:top w:w="72" w:type="dxa"/>
              <w:left w:w="144" w:type="dxa"/>
              <w:bottom w:w="72" w:type="dxa"/>
              <w:right w:w="144" w:type="dxa"/>
            </w:tcMar>
            <w:vAlign w:val="center"/>
            <w:hideMark/>
          </w:tcPr>
          <w:p w14:paraId="59F6981B"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km</w:t>
            </w:r>
          </w:p>
        </w:tc>
        <w:tc>
          <w:tcPr>
            <w:tcW w:w="1815" w:type="dxa"/>
            <w:tcMar>
              <w:top w:w="72" w:type="dxa"/>
              <w:left w:w="144" w:type="dxa"/>
              <w:bottom w:w="72" w:type="dxa"/>
              <w:right w:w="144" w:type="dxa"/>
            </w:tcMar>
            <w:vAlign w:val="center"/>
            <w:hideMark/>
          </w:tcPr>
          <w:p w14:paraId="643621EB"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2,935</w:t>
            </w:r>
          </w:p>
        </w:tc>
        <w:tc>
          <w:tcPr>
            <w:tcW w:w="3738" w:type="dxa"/>
            <w:tcMar>
              <w:top w:w="72" w:type="dxa"/>
              <w:left w:w="144" w:type="dxa"/>
              <w:bottom w:w="72" w:type="dxa"/>
              <w:right w:w="144" w:type="dxa"/>
            </w:tcMar>
            <w:hideMark/>
          </w:tcPr>
          <w:p w14:paraId="0BC0139C" w14:textId="4FBE3FB9"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{"citationItems":[{"id":"ITEM-1","itemData":{"author":[{"dropping-particle":"","family":"Mommsen","given":"Till","non-dropping-particle":"","parse-names":false,"suffix":""}],"container-title":"Master's Theses - Daytona Beach","id":"ITEM-1","issued":{"date-parts":[["1994","12","1"]]},"title":"Airbus A320/321 Quick Change Market Analysis - A Case Study","type":"article-journal"},"uris":["http://www.mendeley.com/documents/?uuid=9127971c-da28-3b8c-9211-d9cc883c70ae"]}],"mendeley":{"formattedCitation":"[116]","plainTextFormattedCitation":"[116]","previouslyFormattedCitation":"[116]"},"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[116]</w:t>
            </w:r>
            <w:r w:rsidRPr="00872636">
              <w:rPr>
                <w:rFonts w:ascii="Times New Roman" w:hAnsi="Times New Roman" w:cs="Times New Roman"/>
                <w:sz w:val="24"/>
                <w:szCs w:val="24"/>
              </w:rPr>
              <w:fldChar w:fldCharType="end"/>
            </w:r>
          </w:p>
        </w:tc>
      </w:tr>
      <w:tr w:rsidR="00F60E44" w:rsidRPr="007D699F" w14:paraId="650456A3" w14:textId="77777777" w:rsidTr="00EF3C28">
        <w:trPr>
          <w:gridAfter w:val="1"/>
          <w:wAfter w:w="14" w:type="dxa"/>
          <w:trHeight w:val="44"/>
        </w:trPr>
        <w:tc>
          <w:tcPr>
            <w:tcW w:w="0" w:type="auto"/>
            <w:vMerge/>
            <w:vAlign w:val="center"/>
            <w:hideMark/>
          </w:tcPr>
          <w:p w14:paraId="06355B67" w14:textId="77777777" w:rsidR="00F60E44" w:rsidRPr="00872636" w:rsidRDefault="00F60E44" w:rsidP="00872636">
            <w:pPr>
              <w:spacing w:after="0" w:line="276" w:lineRule="auto"/>
              <w:rPr>
                <w:rFonts w:ascii="Times New Roman" w:hAnsi="Times New Roman" w:cs="Times New Roman"/>
                <w:sz w:val="24"/>
                <w:szCs w:val="24"/>
              </w:rPr>
            </w:pPr>
          </w:p>
        </w:tc>
        <w:tc>
          <w:tcPr>
            <w:tcW w:w="1210" w:type="dxa"/>
            <w:tcMar>
              <w:top w:w="72" w:type="dxa"/>
              <w:left w:w="144" w:type="dxa"/>
              <w:bottom w:w="72" w:type="dxa"/>
              <w:right w:w="144" w:type="dxa"/>
            </w:tcMar>
            <w:vAlign w:val="center"/>
            <w:hideMark/>
          </w:tcPr>
          <w:p w14:paraId="48004141"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nmi</w:t>
            </w:r>
          </w:p>
        </w:tc>
        <w:tc>
          <w:tcPr>
            <w:tcW w:w="1815" w:type="dxa"/>
            <w:tcMar>
              <w:top w:w="72" w:type="dxa"/>
              <w:left w:w="144" w:type="dxa"/>
              <w:bottom w:w="72" w:type="dxa"/>
              <w:right w:w="144" w:type="dxa"/>
            </w:tcMar>
            <w:vAlign w:val="center"/>
            <w:hideMark/>
          </w:tcPr>
          <w:p w14:paraId="4CD4355A"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1,585</w:t>
            </w:r>
          </w:p>
        </w:tc>
        <w:tc>
          <w:tcPr>
            <w:tcW w:w="3738" w:type="dxa"/>
            <w:tcMar>
              <w:top w:w="72" w:type="dxa"/>
              <w:left w:w="144" w:type="dxa"/>
              <w:bottom w:w="72" w:type="dxa"/>
              <w:right w:w="144" w:type="dxa"/>
            </w:tcMar>
            <w:hideMark/>
          </w:tcPr>
          <w:p w14:paraId="040F9644" w14:textId="7E7ACCA2"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{"citationItems":[{"id":"ITEM-1","itemData":{"author":[{"dropping-particle":"","family":"Mommsen","given":"Till","non-dropping-particle":"","parse-names":false,"suffix":""}],"container-title":"Master's Theses - Daytona Beach","id":"ITEM-1","issued":{"date-parts":[["1994","12","1"]]},"title":"Airbus A320/321 Quick Change Market Analysis - A Case Study","type":"article-journal"},"uris":["http://www.mendeley.com/documents/?uuid=9127971c-da28-3b8c-9211-d9cc883c70ae"]}],"mendeley":{"formattedCitation":"[116]","plainTextFormattedCitation":"[116]","previouslyFormattedCitation":"[116]"},"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[116]</w:t>
            </w:r>
            <w:r w:rsidRPr="00872636">
              <w:rPr>
                <w:rFonts w:ascii="Times New Roman" w:hAnsi="Times New Roman" w:cs="Times New Roman"/>
                <w:sz w:val="24"/>
                <w:szCs w:val="24"/>
              </w:rPr>
              <w:fldChar w:fldCharType="end"/>
            </w:r>
          </w:p>
        </w:tc>
      </w:tr>
      <w:tr w:rsidR="00F60E44" w:rsidRPr="007D699F" w14:paraId="648ACBE3" w14:textId="77777777" w:rsidTr="00EF3C28">
        <w:trPr>
          <w:gridAfter w:val="1"/>
          <w:wAfter w:w="14" w:type="dxa"/>
          <w:trHeight w:val="44"/>
        </w:trPr>
        <w:tc>
          <w:tcPr>
            <w:tcW w:w="3178" w:type="dxa"/>
            <w:tcMar>
              <w:top w:w="72" w:type="dxa"/>
              <w:left w:w="144" w:type="dxa"/>
              <w:bottom w:w="72" w:type="dxa"/>
              <w:right w:w="144" w:type="dxa"/>
            </w:tcMar>
            <w:vAlign w:val="center"/>
            <w:hideMark/>
          </w:tcPr>
          <w:p w14:paraId="727CA44C"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Payload at maximum range</w:t>
            </w:r>
          </w:p>
        </w:tc>
        <w:tc>
          <w:tcPr>
            <w:tcW w:w="1210" w:type="dxa"/>
            <w:tcMar>
              <w:top w:w="72" w:type="dxa"/>
              <w:left w:w="144" w:type="dxa"/>
              <w:bottom w:w="72" w:type="dxa"/>
              <w:right w:w="144" w:type="dxa"/>
            </w:tcMar>
            <w:vAlign w:val="center"/>
            <w:hideMark/>
          </w:tcPr>
          <w:p w14:paraId="32B7E5D4"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kg</w:t>
            </w:r>
          </w:p>
        </w:tc>
        <w:tc>
          <w:tcPr>
            <w:tcW w:w="1815" w:type="dxa"/>
            <w:tcMar>
              <w:top w:w="72" w:type="dxa"/>
              <w:left w:w="144" w:type="dxa"/>
              <w:bottom w:w="72" w:type="dxa"/>
              <w:right w:w="144" w:type="dxa"/>
            </w:tcMar>
            <w:vAlign w:val="center"/>
            <w:hideMark/>
          </w:tcPr>
          <w:p w14:paraId="53F8D759"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10,341</w:t>
            </w:r>
          </w:p>
        </w:tc>
        <w:tc>
          <w:tcPr>
            <w:tcW w:w="3738" w:type="dxa"/>
            <w:tcMar>
              <w:top w:w="72" w:type="dxa"/>
              <w:left w:w="144" w:type="dxa"/>
              <w:bottom w:w="72" w:type="dxa"/>
              <w:right w:w="144" w:type="dxa"/>
            </w:tcMar>
            <w:hideMark/>
          </w:tcPr>
          <w:p w14:paraId="0C6A494D" w14:textId="53E7B55A"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{"citationItems":[{"id":"ITEM-1","itemData":{"author":[{"dropping-particle":"","family":"Mommsen","given":"Till","non-dropping-particle":"","parse-names":false,"suffix":""}],"container-title":"Master's Theses - Daytona Beach","id":"ITEM-1","issued":{"date-parts":[["1994","12","1"]]},"title":"Airbus A320/321 Quick Change Market Analysis - A Case Study","type":"article-journal"},"uris":["http://www.mendeley.com/documents/?uuid=9127971c-da28-3b8c-9211-d9cc883c70ae"]}],"mendeley":{"formattedCitation":"[116]","plainTextFormattedCitation":"[116]","previouslyFormattedCitation":"[116]"},"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[116]</w:t>
            </w:r>
            <w:r w:rsidRPr="00872636">
              <w:rPr>
                <w:rFonts w:ascii="Times New Roman" w:hAnsi="Times New Roman" w:cs="Times New Roman"/>
                <w:sz w:val="24"/>
                <w:szCs w:val="24"/>
              </w:rPr>
              <w:fldChar w:fldCharType="end"/>
            </w:r>
          </w:p>
        </w:tc>
      </w:tr>
      <w:tr w:rsidR="00F60E44" w:rsidRPr="007D699F" w14:paraId="581D5BC1" w14:textId="77777777" w:rsidTr="00EF3C28">
        <w:trPr>
          <w:gridAfter w:val="1"/>
          <w:wAfter w:w="14" w:type="dxa"/>
          <w:trHeight w:val="44"/>
        </w:trPr>
        <w:tc>
          <w:tcPr>
            <w:tcW w:w="3178" w:type="dxa"/>
            <w:vMerge w:val="restart"/>
            <w:tcMar>
              <w:top w:w="72" w:type="dxa"/>
              <w:left w:w="144" w:type="dxa"/>
              <w:bottom w:w="72" w:type="dxa"/>
              <w:right w:w="144" w:type="dxa"/>
            </w:tcMar>
            <w:vAlign w:val="center"/>
            <w:hideMark/>
          </w:tcPr>
          <w:p w14:paraId="3BBCB728"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Maximum range</w:t>
            </w:r>
          </w:p>
        </w:tc>
        <w:tc>
          <w:tcPr>
            <w:tcW w:w="1210" w:type="dxa"/>
            <w:tcMar>
              <w:top w:w="72" w:type="dxa"/>
              <w:left w:w="144" w:type="dxa"/>
              <w:bottom w:w="72" w:type="dxa"/>
              <w:right w:w="144" w:type="dxa"/>
            </w:tcMar>
            <w:vAlign w:val="center"/>
            <w:hideMark/>
          </w:tcPr>
          <w:p w14:paraId="51CB3E64"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km</w:t>
            </w:r>
          </w:p>
        </w:tc>
        <w:tc>
          <w:tcPr>
            <w:tcW w:w="1815" w:type="dxa"/>
            <w:tcMar>
              <w:top w:w="72" w:type="dxa"/>
              <w:left w:w="144" w:type="dxa"/>
              <w:bottom w:w="72" w:type="dxa"/>
              <w:right w:w="144" w:type="dxa"/>
            </w:tcMar>
            <w:vAlign w:val="center"/>
            <w:hideMark/>
          </w:tcPr>
          <w:p w14:paraId="7D255964"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5,181</w:t>
            </w:r>
          </w:p>
        </w:tc>
        <w:tc>
          <w:tcPr>
            <w:tcW w:w="3738" w:type="dxa"/>
            <w:tcMar>
              <w:top w:w="72" w:type="dxa"/>
              <w:left w:w="144" w:type="dxa"/>
              <w:bottom w:w="72" w:type="dxa"/>
              <w:right w:w="144" w:type="dxa"/>
            </w:tcMar>
            <w:hideMark/>
          </w:tcPr>
          <w:p w14:paraId="1CE35415" w14:textId="1FB6E96D"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{"citationItems":[{"id":"ITEM-1","itemData":{"author":[{"dropping-particle":"","family":"Mommsen","given":"Till","non-dropping-particle":"","parse-names":false,"suffix":""}],"container-title":"Master's Theses - Daytona Beach","id":"ITEM-1","issued":{"date-parts":[["1994","12","1"]]},"title":"Airbus A320/321 Quick Change Market Analysis - A Case Study","type":"article-journal"},"uris":["http://www.mendeley.com/documents/?uuid=9127971c-da28-3b8c-9211-d9cc883c70ae"]}],"mendeley":{"formattedCitation":"[116]","plainTextFormattedCitation":"[116]","previouslyFormattedCitation":"[116]"},"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[116]</w:t>
            </w:r>
            <w:r w:rsidRPr="00872636">
              <w:rPr>
                <w:rFonts w:ascii="Times New Roman" w:hAnsi="Times New Roman" w:cs="Times New Roman"/>
                <w:sz w:val="24"/>
                <w:szCs w:val="24"/>
              </w:rPr>
              <w:fldChar w:fldCharType="end"/>
            </w:r>
          </w:p>
        </w:tc>
      </w:tr>
      <w:tr w:rsidR="00F60E44" w:rsidRPr="007D699F" w14:paraId="7B5D9071" w14:textId="77777777" w:rsidTr="00EF3C28">
        <w:trPr>
          <w:gridAfter w:val="1"/>
          <w:wAfter w:w="14" w:type="dxa"/>
          <w:trHeight w:val="44"/>
        </w:trPr>
        <w:tc>
          <w:tcPr>
            <w:tcW w:w="0" w:type="auto"/>
            <w:vMerge/>
            <w:vAlign w:val="center"/>
            <w:hideMark/>
          </w:tcPr>
          <w:p w14:paraId="7955E8CE" w14:textId="77777777" w:rsidR="00F60E44" w:rsidRPr="00872636" w:rsidRDefault="00F60E44" w:rsidP="00872636">
            <w:pPr>
              <w:spacing w:after="0" w:line="276" w:lineRule="auto"/>
              <w:rPr>
                <w:rFonts w:ascii="Times New Roman" w:hAnsi="Times New Roman" w:cs="Times New Roman"/>
                <w:sz w:val="24"/>
                <w:szCs w:val="24"/>
              </w:rPr>
            </w:pPr>
          </w:p>
        </w:tc>
        <w:tc>
          <w:tcPr>
            <w:tcW w:w="1210" w:type="dxa"/>
            <w:tcMar>
              <w:top w:w="72" w:type="dxa"/>
              <w:left w:w="144" w:type="dxa"/>
              <w:bottom w:w="72" w:type="dxa"/>
              <w:right w:w="144" w:type="dxa"/>
            </w:tcMar>
            <w:vAlign w:val="center"/>
            <w:hideMark/>
          </w:tcPr>
          <w:p w14:paraId="6FD1240A"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nmi</w:t>
            </w:r>
          </w:p>
        </w:tc>
        <w:tc>
          <w:tcPr>
            <w:tcW w:w="1815" w:type="dxa"/>
            <w:tcMar>
              <w:top w:w="72" w:type="dxa"/>
              <w:left w:w="144" w:type="dxa"/>
              <w:bottom w:w="72" w:type="dxa"/>
              <w:right w:w="144" w:type="dxa"/>
            </w:tcMar>
            <w:vAlign w:val="center"/>
            <w:hideMark/>
          </w:tcPr>
          <w:p w14:paraId="4560818D"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2,798</w:t>
            </w:r>
          </w:p>
        </w:tc>
        <w:tc>
          <w:tcPr>
            <w:tcW w:w="3738" w:type="dxa"/>
            <w:tcMar>
              <w:top w:w="72" w:type="dxa"/>
              <w:left w:w="144" w:type="dxa"/>
              <w:bottom w:w="72" w:type="dxa"/>
              <w:right w:w="144" w:type="dxa"/>
            </w:tcMar>
            <w:hideMark/>
          </w:tcPr>
          <w:p w14:paraId="2256EA0C" w14:textId="568DC62C"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{"citationItems":[{"id":"ITEM-1","itemData":{"author":[{"dropping-particle":"","family":"Mommsen","given":"Till","non-dropping-particle":"","parse-names":false,"suffix":""}],"container-title":"Master's Theses - Daytona Beach","id":"ITEM-1","issued":{"date-parts":[["1994","12","1"]]},"title":"Airbus A320/321 Quick Change Market Analysis - A Case Study","type":"article-journal"},"uris":["http://www.mendeley.com/documents/?uuid=9127971c-da28-3b8c-9211-d9cc883c70ae"]}],"mendeley":{"formattedCitation":"[116]","plainTextFormattedCitation":"[116]","previouslyFormattedCitation":"[116]"},"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[116]</w:t>
            </w:r>
            <w:r w:rsidRPr="00872636">
              <w:rPr>
                <w:rFonts w:ascii="Times New Roman" w:hAnsi="Times New Roman" w:cs="Times New Roman"/>
                <w:sz w:val="24"/>
                <w:szCs w:val="24"/>
              </w:rPr>
              <w:fldChar w:fldCharType="end"/>
            </w:r>
          </w:p>
        </w:tc>
      </w:tr>
      <w:tr w:rsidR="00F60E44" w:rsidRPr="007D699F" w14:paraId="7CEB9714" w14:textId="77777777" w:rsidTr="00EF3C28">
        <w:trPr>
          <w:gridAfter w:val="1"/>
          <w:wAfter w:w="14" w:type="dxa"/>
          <w:trHeight w:val="44"/>
        </w:trPr>
        <w:tc>
          <w:tcPr>
            <w:tcW w:w="3178" w:type="dxa"/>
            <w:tcMar>
              <w:top w:w="72" w:type="dxa"/>
              <w:left w:w="144" w:type="dxa"/>
              <w:bottom w:w="72" w:type="dxa"/>
              <w:right w:w="144" w:type="dxa"/>
            </w:tcMar>
            <w:vAlign w:val="center"/>
            <w:hideMark/>
          </w:tcPr>
          <w:p w14:paraId="4F7B4732"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 xml:space="preserve">Cruise </w:t>
            </w:r>
            <w:r w:rsidRPr="00872636">
              <w:rPr>
                <w:rFonts w:ascii="Times New Roman" w:hAnsi="Times New Roman" w:cs="Times New Roman"/>
                <w:i/>
                <w:iCs/>
                <w:sz w:val="24"/>
                <w:szCs w:val="24"/>
              </w:rPr>
              <w:t>L/D</w:t>
            </w:r>
          </w:p>
        </w:tc>
        <w:tc>
          <w:tcPr>
            <w:tcW w:w="1210" w:type="dxa"/>
            <w:tcMar>
              <w:top w:w="72" w:type="dxa"/>
              <w:left w:w="144" w:type="dxa"/>
              <w:bottom w:w="72" w:type="dxa"/>
              <w:right w:w="144" w:type="dxa"/>
            </w:tcMar>
            <w:vAlign w:val="center"/>
            <w:hideMark/>
          </w:tcPr>
          <w:p w14:paraId="476724A7"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w:t>
            </w:r>
          </w:p>
        </w:tc>
        <w:tc>
          <w:tcPr>
            <w:tcW w:w="1815" w:type="dxa"/>
            <w:tcMar>
              <w:top w:w="72" w:type="dxa"/>
              <w:left w:w="144" w:type="dxa"/>
              <w:bottom w:w="72" w:type="dxa"/>
              <w:right w:w="144" w:type="dxa"/>
            </w:tcMar>
            <w:vAlign w:val="center"/>
            <w:hideMark/>
          </w:tcPr>
          <w:p w14:paraId="5AF5EC30"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15 – 16</w:t>
            </w:r>
          </w:p>
        </w:tc>
        <w:tc>
          <w:tcPr>
            <w:tcW w:w="3738" w:type="dxa"/>
            <w:tcMar>
              <w:top w:w="72" w:type="dxa"/>
              <w:left w:w="144" w:type="dxa"/>
              <w:bottom w:w="72" w:type="dxa"/>
              <w:right w:w="144" w:type="dxa"/>
            </w:tcMar>
            <w:vAlign w:val="center"/>
            <w:hideMark/>
          </w:tcPr>
          <w:p w14:paraId="2772DF41" w14:textId="50989333"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{"citationItems":[{"id":"ITEM-1","itemData":{"author":[{"dropping-particle":"","family":"Babikian","given":"Raffi","non-dropping-particle":"","parse-names":false,"suffix":""}],"id":"ITEM-1","issued":{"date-parts":[["2001"]]},"title":"THE HISTORICAL FUEL EFFICIENCY CHARACTERISTICS OF REGIONAL AIRCRAFT FROM TECHNOLOGICAL, OPERATIONAL, AND COST PERSPECTIVES","type":"thesis"},"uris":["http://www.mendeley.com/documents/?uuid=d1337d73-66db-36c2-ba42-0f71d1dd585e"]}],"mendeley":{"formattedCitation":"[117]","plainTextFormattedCitation":"[117]","previouslyFormattedCitation":"[117]"},"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[117]</w:t>
            </w:r>
            <w:r w:rsidRPr="00872636">
              <w:rPr>
                <w:rFonts w:ascii="Times New Roman" w:hAnsi="Times New Roman" w:cs="Times New Roman"/>
                <w:sz w:val="24"/>
                <w:szCs w:val="24"/>
              </w:rPr>
              <w:fldChar w:fldCharType="end"/>
            </w:r>
          </w:p>
        </w:tc>
      </w:tr>
      <w:tr w:rsidR="00F60E44" w:rsidRPr="007D699F" w14:paraId="2F5AF992" w14:textId="77777777" w:rsidTr="00EF3C28">
        <w:trPr>
          <w:gridAfter w:val="1"/>
          <w:wAfter w:w="14" w:type="dxa"/>
          <w:trHeight w:val="44"/>
        </w:trPr>
        <w:tc>
          <w:tcPr>
            <w:tcW w:w="3178" w:type="dxa"/>
            <w:tcMar>
              <w:top w:w="72" w:type="dxa"/>
              <w:left w:w="144" w:type="dxa"/>
              <w:bottom w:w="72" w:type="dxa"/>
              <w:right w:w="144" w:type="dxa"/>
            </w:tcMar>
            <w:vAlign w:val="center"/>
            <w:hideMark/>
          </w:tcPr>
          <w:p w14:paraId="750FCBA1"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Overall efficiency</w:t>
            </w:r>
          </w:p>
        </w:tc>
        <w:tc>
          <w:tcPr>
            <w:tcW w:w="1210" w:type="dxa"/>
            <w:tcMar>
              <w:top w:w="72" w:type="dxa"/>
              <w:left w:w="144" w:type="dxa"/>
              <w:bottom w:w="72" w:type="dxa"/>
              <w:right w:w="144" w:type="dxa"/>
            </w:tcMar>
            <w:vAlign w:val="center"/>
            <w:hideMark/>
          </w:tcPr>
          <w:p w14:paraId="7A03D8F2"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w:t>
            </w:r>
          </w:p>
        </w:tc>
        <w:tc>
          <w:tcPr>
            <w:tcW w:w="1815" w:type="dxa"/>
            <w:tcMar>
              <w:top w:w="72" w:type="dxa"/>
              <w:left w:w="144" w:type="dxa"/>
              <w:bottom w:w="72" w:type="dxa"/>
              <w:right w:w="144" w:type="dxa"/>
            </w:tcMar>
            <w:vAlign w:val="center"/>
            <w:hideMark/>
          </w:tcPr>
          <w:p w14:paraId="00A6A6B1"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0.3</w:t>
            </w:r>
          </w:p>
        </w:tc>
        <w:tc>
          <w:tcPr>
            <w:tcW w:w="3738" w:type="dxa"/>
            <w:tcMar>
              <w:top w:w="72" w:type="dxa"/>
              <w:left w:w="144" w:type="dxa"/>
              <w:bottom w:w="72" w:type="dxa"/>
              <w:right w:w="144" w:type="dxa"/>
            </w:tcMar>
            <w:vAlign w:val="center"/>
            <w:hideMark/>
          </w:tcPr>
          <w:p w14:paraId="145581A3" w14:textId="68DAF442"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 xml:space="preserve">Calculated using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{"citationItems":[{"id":"ITEM-1","itemData":{"author":[{"dropping-particle":"","family":"Babikian","given":"Raffi","non-dropping-particle":"","parse-names":false,"suffix":""}],"id":"ITEM-1","issued":{"date-parts":[["2001"]]},"title":"THE HISTORICAL FUEL EFFICIENCY CHARACTERISTICS OF REGIONAL AIRCRAFT FROM TECHNOLOGICAL, OPERATIONAL, AND COST PERSPECTIVES","type":"thesis"},"uris":["http://www.mendeley.com/documents/?uuid=d1337d73-66db-36c2-ba42-0f71d1dd585e"]}],"mendeley":{"formattedCitation":"[117]","plainTextFormattedCitation":"[117]","previouslyFormattedCitation":"[117]"},"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[117]</w:t>
            </w:r>
            <w:r w:rsidRPr="00872636">
              <w:rPr>
                <w:rFonts w:ascii="Times New Roman" w:hAnsi="Times New Roman" w:cs="Times New Roman"/>
                <w:sz w:val="24"/>
                <w:szCs w:val="24"/>
              </w:rPr>
              <w:fldChar w:fldCharType="end"/>
            </w:r>
          </w:p>
        </w:tc>
      </w:tr>
      <w:tr w:rsidR="00F60E44" w:rsidRPr="007D699F" w14:paraId="1A8A5C36" w14:textId="77777777" w:rsidTr="00EF3C28">
        <w:trPr>
          <w:gridAfter w:val="1"/>
          <w:wAfter w:w="14" w:type="dxa"/>
          <w:trHeight w:val="44"/>
        </w:trPr>
        <w:tc>
          <w:tcPr>
            <w:tcW w:w="3178" w:type="dxa"/>
            <w:tcMar>
              <w:top w:w="72" w:type="dxa"/>
              <w:left w:w="144" w:type="dxa"/>
              <w:bottom w:w="72" w:type="dxa"/>
              <w:right w:w="144" w:type="dxa"/>
            </w:tcMar>
            <w:vAlign w:val="center"/>
            <w:hideMark/>
          </w:tcPr>
          <w:p w14:paraId="50253396"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Wing area</w:t>
            </w:r>
          </w:p>
        </w:tc>
        <w:tc>
          <w:tcPr>
            <w:tcW w:w="1210" w:type="dxa"/>
            <w:tcMar>
              <w:top w:w="72" w:type="dxa"/>
              <w:left w:w="144" w:type="dxa"/>
              <w:bottom w:w="72" w:type="dxa"/>
              <w:right w:w="144" w:type="dxa"/>
            </w:tcMar>
            <w:vAlign w:val="center"/>
            <w:hideMark/>
          </w:tcPr>
          <w:p w14:paraId="3E38E602"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m</w:t>
            </w:r>
            <w:r w:rsidRPr="00872636">
              <w:rPr>
                <w:rFonts w:ascii="Times New Roman" w:hAnsi="Times New Roman" w:cs="Times New Roman"/>
                <w:sz w:val="24"/>
                <w:szCs w:val="24"/>
                <w:vertAlign w:val="superscript"/>
              </w:rPr>
              <w:t>2</w:t>
            </w:r>
            <w:r w:rsidRPr="00872636">
              <w:rPr>
                <w:rFonts w:ascii="Times New Roman" w:hAnsi="Times New Roman" w:cs="Times New Roman"/>
                <w:sz w:val="24"/>
                <w:szCs w:val="24"/>
              </w:rPr>
              <w:t xml:space="preserve"> or ft</w:t>
            </w:r>
            <w:r w:rsidRPr="00872636">
              <w:rPr>
                <w:rFonts w:ascii="Times New Roman" w:hAnsi="Times New Roman" w:cs="Times New Roman"/>
                <w:sz w:val="24"/>
                <w:szCs w:val="24"/>
                <w:vertAlign w:val="superscript"/>
              </w:rPr>
              <w:t>2</w:t>
            </w:r>
          </w:p>
        </w:tc>
        <w:tc>
          <w:tcPr>
            <w:tcW w:w="1815" w:type="dxa"/>
            <w:tcMar>
              <w:top w:w="72" w:type="dxa"/>
              <w:left w:w="144" w:type="dxa"/>
              <w:bottom w:w="72" w:type="dxa"/>
              <w:right w:w="144" w:type="dxa"/>
            </w:tcMar>
            <w:vAlign w:val="center"/>
            <w:hideMark/>
          </w:tcPr>
          <w:p w14:paraId="27DCBB16"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122.4 or 1,317.5</w:t>
            </w:r>
          </w:p>
        </w:tc>
        <w:tc>
          <w:tcPr>
            <w:tcW w:w="3738" w:type="dxa"/>
            <w:tcMar>
              <w:top w:w="72" w:type="dxa"/>
              <w:left w:w="144" w:type="dxa"/>
              <w:bottom w:w="72" w:type="dxa"/>
              <w:right w:w="144" w:type="dxa"/>
            </w:tcMar>
            <w:hideMark/>
          </w:tcPr>
          <w:p w14:paraId="5A020518" w14:textId="5833E841"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www.aerospaceweb.org/aircraft/jetliner/a320/","accessed":{"date-parts":[["2021","2","9"]]},"author":[{"dropping-particle":"","family":"Aerospaceweb","given":"","non-dropping-particle":"","parse-names":false,"suffix":""}],"container-title":"Aerospaceweb","id":"ITEM-1","issued":{"date-parts":[["2011"]]},"title":"Airbus A320 Short to Medium-Range Jetliner","type":"webpage"},"uris":["http://www.mendeley.com/documents/?uuid=f5b4540f-510f-33e9-82dd-abf98a7056df"]},{"id":"ITEM-2","itemData":{"abstract":"Formation flight is a novel operational concept being explored within commercial aviation for its potential to reduce fuel burn. While the aerodynamics of reducing induced drag through the utilization of a lead aircraft's upwash is well understood, the aggregation of this effect in real air carrier fleets is an active area of study. The following research will introduce work towards this endeavor. A series of response surface models are introduced quantifying the individual impact of reduced drag at the vehicle level, based solely on easily measurable aircraft parameters. Further, a method for the determination of route pairing and selection is presented in relation to real air carrier operations, and is ultimately integrated into an established cost-effectiveness model of the global air transportation system. This work is used to study the potential impacts of including formation flight for a real air carrier, such as Lufthansa. The results from this work show that fuel burn reductions on the order of 3-4% may be likely.","author":[{"dropping-particle":"","family":"Boling","given":"Bryan","non-dropping-particle":"","parse-names":false,"suffix":""},{"dropping-particle":"","family":"Liu","given":"Yaolong","non-dropping-particle":"","parse-names":false,"suffix":""},{"dropping-particle":"","family":"Stumpf","given":"Eike","non-dropping-particle":"","parse-names":false,"suffix":""}],"container-title":"CEAS","id":"ITEM-2","issue":"67","issued":{"date-parts":[["2015"]]},"title":"Understanding Fleet Impacts of Formation Flight","type":"report"},"uris":["http://www.mendeley.com/documents/?uuid=ef6a9752-a2d7-3b71-8752-b47f5811a5a3"]}],"mendeley":{"formattedCitation":"[118], [119]","plainTextFormattedCitation":"[118], [119]","previouslyFormattedCitation":"[118], [119]"},"properties":{"noteIndex":0},"schema":"https://github.com/citation-style-language/schema/raw/master/csl-citation.json"}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[118], [119]</w:t>
            </w:r>
            <w:r w:rsidRPr="00872636">
              <w:rPr>
                <w:rFonts w:ascii="Times New Roman" w:hAnsi="Times New Roman" w:cs="Times New Roman"/>
                <w:sz w:val="24"/>
                <w:szCs w:val="24"/>
              </w:rPr>
              <w:fldChar w:fldCharType="end"/>
            </w:r>
          </w:p>
        </w:tc>
      </w:tr>
      <w:tr w:rsidR="00F60E44" w:rsidRPr="007D699F" w14:paraId="3E97809C" w14:textId="77777777" w:rsidTr="00EF3C28">
        <w:trPr>
          <w:gridAfter w:val="1"/>
          <w:wAfter w:w="14" w:type="dxa"/>
          <w:trHeight w:val="44"/>
        </w:trPr>
        <w:tc>
          <w:tcPr>
            <w:tcW w:w="3178" w:type="dxa"/>
            <w:tcMar>
              <w:top w:w="72" w:type="dxa"/>
              <w:left w:w="144" w:type="dxa"/>
              <w:bottom w:w="72" w:type="dxa"/>
              <w:right w:w="144" w:type="dxa"/>
            </w:tcMar>
            <w:vAlign w:val="center"/>
            <w:hideMark/>
          </w:tcPr>
          <w:p w14:paraId="49004C13"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Aspect ratio</w:t>
            </w:r>
          </w:p>
        </w:tc>
        <w:tc>
          <w:tcPr>
            <w:tcW w:w="1210" w:type="dxa"/>
            <w:tcMar>
              <w:top w:w="72" w:type="dxa"/>
              <w:left w:w="144" w:type="dxa"/>
              <w:bottom w:w="72" w:type="dxa"/>
              <w:right w:w="144" w:type="dxa"/>
            </w:tcMar>
            <w:vAlign w:val="center"/>
            <w:hideMark/>
          </w:tcPr>
          <w:p w14:paraId="2B73412E"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w:t>
            </w:r>
          </w:p>
        </w:tc>
        <w:tc>
          <w:tcPr>
            <w:tcW w:w="1815" w:type="dxa"/>
            <w:tcMar>
              <w:top w:w="72" w:type="dxa"/>
              <w:left w:w="144" w:type="dxa"/>
              <w:bottom w:w="72" w:type="dxa"/>
              <w:right w:w="144" w:type="dxa"/>
            </w:tcMar>
            <w:vAlign w:val="center"/>
            <w:hideMark/>
          </w:tcPr>
          <w:p w14:paraId="7F98581A"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9.5</w:t>
            </w:r>
          </w:p>
        </w:tc>
        <w:tc>
          <w:tcPr>
            <w:tcW w:w="3738" w:type="dxa"/>
            <w:tcMar>
              <w:top w:w="72" w:type="dxa"/>
              <w:left w:w="144" w:type="dxa"/>
              <w:bottom w:w="72" w:type="dxa"/>
              <w:right w:w="144" w:type="dxa"/>
            </w:tcMar>
            <w:hideMark/>
          </w:tcPr>
          <w:p w14:paraId="1278C7D9" w14:textId="39D0A962"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www.aerospaceweb.org/aircraft/jetliner/a320/","accessed":{"date-parts":[["2021","2","9"]]},"author":[{"dropping-particle":"","family":"Aerospaceweb","given":"","non-dropping-particle":"","parse-names":false,"suffix":""}],"container-title":"Aerospaceweb","id":"ITEM-1","issued":{"date-parts":[["2011"]]},"title":"Airbus A320 Short to Medium-Range Jetliner","type":"webpage"},"uris":["http://www.mendeley.com/documents/?uuid=f5b4540f-510f-33e9-82dd-abf98a7056df"]},{"id":"ITEM-2","itemData":{"abstract":"Formation flight is a novel operational concept being explored within commercial aviation for its potential to reduce fuel burn. While the aerodynamics of reducing induced drag through the utilization of a lead aircraft's upwash is well understood, the aggregation of this effect in real air carrier fleets is an active area of study. The following research will introduce work towards this endeavor. A series of response surface models are introduced quantifying the individual impact of reduced drag at the vehicle level, based solely on easily measurable aircraft parameters. Further, a method for the determination of route pairing and selection is presented in relation to real air carrier operations, and is ultimately integrated into an established cost-effectiveness model of the global air transportation system. This work is used to study the potential impacts of including formation flight for a real air carrier, such as Lufthansa. The results from this work show that fuel burn reductions on the order of 3-4% may be likely.","author":[{"dropping-particle":"","family":"Boling","given":"Bryan","non-dropping-particle":"","parse-names":false,"suffix":""},{"dropping-particle":"","family":"Liu","given":"Yaolong","non-dropping-particle":"","parse-names":false,"suffix":""},{"dropping-particle":"","family":"Stumpf","given":"Eike","non-dropping-particle":"","parse-names":false,"suffix":""}],"container-title":"CEAS","id":"ITEM-2","issue":"67","issued":{"date-parts":[["2015"]]},"title":"Understanding Fleet Impacts of Formation Flight","type":"report"},"uris":["http://www.mendeley.com/documents/?uuid=ef6a9752-a2d7-3b71-8752-b47f5811a5a3"]}],"mendeley":{"formattedCitation":"[118], [119]","plainTextFormattedCitation":"[118], [119]","previouslyFormattedCitation":"[118], [119]"},"properties":{"noteIndex":0},"schema":"https://github.com/citation-style-language/schema/raw/master/csl-citation.json"}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[118], [119]</w:t>
            </w:r>
            <w:r w:rsidRPr="00872636">
              <w:rPr>
                <w:rFonts w:ascii="Times New Roman" w:hAnsi="Times New Roman" w:cs="Times New Roman"/>
                <w:sz w:val="24"/>
                <w:szCs w:val="24"/>
              </w:rPr>
              <w:fldChar w:fldCharType="end"/>
            </w:r>
          </w:p>
        </w:tc>
      </w:tr>
      <w:tr w:rsidR="00F60E44" w:rsidRPr="007D699F" w14:paraId="345F2083" w14:textId="77777777" w:rsidTr="00EF3C28">
        <w:trPr>
          <w:gridAfter w:val="1"/>
          <w:wAfter w:w="14" w:type="dxa"/>
          <w:trHeight w:val="44"/>
        </w:trPr>
        <w:tc>
          <w:tcPr>
            <w:tcW w:w="3178" w:type="dxa"/>
            <w:tcMar>
              <w:top w:w="72" w:type="dxa"/>
              <w:left w:w="144" w:type="dxa"/>
              <w:bottom w:w="72" w:type="dxa"/>
              <w:right w:w="144" w:type="dxa"/>
            </w:tcMar>
            <w:vAlign w:val="center"/>
            <w:hideMark/>
          </w:tcPr>
          <w:p w14:paraId="552DC407"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Cruise Mach</w:t>
            </w:r>
          </w:p>
        </w:tc>
        <w:tc>
          <w:tcPr>
            <w:tcW w:w="1210" w:type="dxa"/>
            <w:tcMar>
              <w:top w:w="72" w:type="dxa"/>
              <w:left w:w="144" w:type="dxa"/>
              <w:bottom w:w="72" w:type="dxa"/>
              <w:right w:w="144" w:type="dxa"/>
            </w:tcMar>
            <w:vAlign w:val="center"/>
            <w:hideMark/>
          </w:tcPr>
          <w:p w14:paraId="57C614D6"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w:t>
            </w:r>
          </w:p>
        </w:tc>
        <w:tc>
          <w:tcPr>
            <w:tcW w:w="1815" w:type="dxa"/>
            <w:tcMar>
              <w:top w:w="72" w:type="dxa"/>
              <w:left w:w="144" w:type="dxa"/>
              <w:bottom w:w="72" w:type="dxa"/>
              <w:right w:w="144" w:type="dxa"/>
            </w:tcMar>
            <w:vAlign w:val="center"/>
            <w:hideMark/>
          </w:tcPr>
          <w:p w14:paraId="651A3CD7"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0.795</w:t>
            </w:r>
          </w:p>
        </w:tc>
        <w:tc>
          <w:tcPr>
            <w:tcW w:w="3738" w:type="dxa"/>
            <w:tcMar>
              <w:top w:w="72" w:type="dxa"/>
              <w:left w:w="144" w:type="dxa"/>
              <w:bottom w:w="72" w:type="dxa"/>
              <w:right w:w="144" w:type="dxa"/>
            </w:tcMar>
            <w:hideMark/>
          </w:tcPr>
          <w:p w14:paraId="3A9D01E9" w14:textId="0F9FBF6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www.aerospaceweb.org/aircraft/jetliner/a320/","accessed":{"date-parts":[["2021","2","9"]]},"author":[{"dropping-particle":"","family":"Aerospaceweb","given":"","non-dropping-particle":"","parse-names":false,"suffix":""}],"container-title":"Aerospaceweb","id":"ITEM-1","issued":{"date-parts":[["2011"]]},"title":"Airbus A320 Short to Medium-Range Jetliner","type":"webpage"},"uris":["http://www.mendeley.com/documents/?uuid=f5b4540f-510f-33e9-82dd-abf98a7056df"]},{"id":"ITEM-2","itemData":{"abstract":"Formation flight is a novel operational concept being explored within commercial aviation for its potential to reduce fuel burn. While the aerodynamics of reducing induced drag through the utilization of a lead aircraft's upwash is well understood, the aggregation of this effect in real air carrier fleets is an active area of study. The following research will introduce work towards this endeavor. A series of response surface models are introduced quantifying the individual impact of reduced drag at the vehicle level, based solely on easily measurable aircraft parameters. Further, a method for the determination of route pairing and selection is presented in relation to real air carrier operations, and is ultimately integrated into an established cost-effectiveness model of the global air transportation system. This work is used to study the potential impacts of including formation flight for a real air carrier, such as Lufthansa. The results from this work show that fuel burn reductions on the order of 3-4% may be likely.","author":[{"dropping-particle":"","family":"Boling","given":"Bryan","non-dropping-particle":"","parse-names":false,"suffix":""},{"dropping-particle":"","family":"Liu","given":"Yaolong","non-dropping-particle":"","parse-names":false,"suffix":""},{"dropping-particle":"","family":"Stumpf","given":"Eike","non-dropping-particle":"","parse-names":false,"suffix":""}],"container-title":"CEAS","id":"ITEM-2","issue":"67","issued":{"date-parts":[["2015"]]},"title":"Understanding Fleet Impacts of Formation Flight","type":"report"},"uris":["http://www.mendeley.com/documents/?uuid=ef6a9752-a2d7-3b71-8752-b47f5811a5a3"]}],"mendeley":{"formattedCitation":"[118], [119]","plainTextFormattedCitation":"[118], [119]","previouslyFormattedCitation":"[118], [119]"},"properties":{"noteIndex":0},"schema":"https://github.com/citation-style-language/schema/raw/master/csl-citation.json"}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[118], [119]</w:t>
            </w:r>
            <w:r w:rsidRPr="00872636">
              <w:rPr>
                <w:rFonts w:ascii="Times New Roman" w:hAnsi="Times New Roman" w:cs="Times New Roman"/>
                <w:sz w:val="24"/>
                <w:szCs w:val="24"/>
              </w:rPr>
              <w:fldChar w:fldCharType="end"/>
            </w:r>
          </w:p>
        </w:tc>
      </w:tr>
      <w:tr w:rsidR="00F60E44" w:rsidRPr="007D699F" w14:paraId="471E7EF7" w14:textId="77777777" w:rsidTr="00EF3C28">
        <w:trPr>
          <w:gridAfter w:val="1"/>
          <w:wAfter w:w="14" w:type="dxa"/>
          <w:trHeight w:val="44"/>
        </w:trPr>
        <w:tc>
          <w:tcPr>
            <w:tcW w:w="3178" w:type="dxa"/>
            <w:tcMar>
              <w:top w:w="72" w:type="dxa"/>
              <w:left w:w="144" w:type="dxa"/>
              <w:bottom w:w="72" w:type="dxa"/>
              <w:right w:w="144" w:type="dxa"/>
            </w:tcMar>
            <w:vAlign w:val="center"/>
            <w:hideMark/>
          </w:tcPr>
          <w:p w14:paraId="406F0566"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Cruise altitude</w:t>
            </w:r>
          </w:p>
        </w:tc>
        <w:tc>
          <w:tcPr>
            <w:tcW w:w="1210" w:type="dxa"/>
            <w:tcMar>
              <w:top w:w="72" w:type="dxa"/>
              <w:left w:w="144" w:type="dxa"/>
              <w:bottom w:w="72" w:type="dxa"/>
              <w:right w:w="144" w:type="dxa"/>
            </w:tcMar>
            <w:vAlign w:val="center"/>
            <w:hideMark/>
          </w:tcPr>
          <w:p w14:paraId="7E2F02A7"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ft or km</w:t>
            </w:r>
          </w:p>
        </w:tc>
        <w:tc>
          <w:tcPr>
            <w:tcW w:w="1815" w:type="dxa"/>
            <w:tcMar>
              <w:top w:w="72" w:type="dxa"/>
              <w:left w:w="144" w:type="dxa"/>
              <w:bottom w:w="72" w:type="dxa"/>
              <w:right w:w="144" w:type="dxa"/>
            </w:tcMar>
            <w:vAlign w:val="center"/>
            <w:hideMark/>
          </w:tcPr>
          <w:p w14:paraId="6C85B062"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37,000 or 11.28</w:t>
            </w:r>
          </w:p>
        </w:tc>
        <w:tc>
          <w:tcPr>
            <w:tcW w:w="3738" w:type="dxa"/>
            <w:tcMar>
              <w:top w:w="72" w:type="dxa"/>
              <w:left w:w="144" w:type="dxa"/>
              <w:bottom w:w="72" w:type="dxa"/>
              <w:right w:w="144" w:type="dxa"/>
            </w:tcMar>
            <w:hideMark/>
          </w:tcPr>
          <w:p w14:paraId="5FCC9935" w14:textId="4A581588"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www.aerospaceweb.org/aircraft/jetliner/a320/","accessed":{"date-parts":[["2021","2","9"]]},"author":[{"dropping-particle":"","family":"Aerospaceweb","given":"","non-dropping-particle":"","parse-names":false,"suffix":""}],"container-title":"Aerospaceweb","id":"ITEM-1","issued":{"date-parts":[["2011"]]},"title":"Airbus A320 Short to Medium-Range Jetliner","type":"webpage"},"uris":["http://www.mendeley.com/documents/?uuid=f5b4540f-510f-33e9-82dd-abf98a7056df"]},{"id":"ITEM-2","itemData":{"abstract":"Formation flight is a novel operational concept being explored within commercial aviation for its potential to reduce fuel burn. While the aerodynamics of reducing induced drag through the utilization of a lead aircraft's upwash is well understood, the aggregation of this effect in real air carrier fleets is an active area of study. The following research will introduce work towards this endeavor. A series of response surface models are introduced quantifying the individual impact of reduced drag at the vehicle level, based solely on easily measurable aircraft parameters. Further, a method for the determination of route pairing and selection is presented in relation to real air carrier operations, and is ultimately integrated into an established cost-effectiveness model of the global air transportation system. This work is used to study the potential impacts of including formation flight for a real air carrier, such as Lufthansa. The results from this work show that fuel burn reductions on the order of 3-4% may be likely.","author":[{"dropping-particle":"","family":"Boling","given":"Bryan","non-dropping-particle":"","parse-names":false,"suffix":""},{"dropping-particle":"","family":"Liu","given":"Yaolong","non-dropping-particle":"","parse-names":false,"suffix":""},{"dropping-particle":"","family":"Stumpf","given":"Eike","non-dropping-particle":"","parse-names":false,"suffix":""}],"container-title":"CEAS","id":"ITEM-2","issue":"67","issued":{"date-parts":[["2015"]]},"title":"Understanding Fleet Impacts of Formation Flight","type":"report"},"uris":["http://www.mendeley.com/documents/?uuid=ef6a9752-a2d7-3b71-8752-b47f5811a5a3"]}],"mendeley":{"formattedCitation":"[118], [119]","plainTextFormattedCitation":"[118], [119]","previouslyFormattedCitation":"[118], [119]"},"properties":{"noteIndex":0},"schema":"https://github.com/citation-style-language/schema/raw/master/csl-citation.json"}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[118], [119]</w:t>
            </w:r>
            <w:r w:rsidRPr="00872636">
              <w:rPr>
                <w:rFonts w:ascii="Times New Roman" w:hAnsi="Times New Roman" w:cs="Times New Roman"/>
                <w:sz w:val="24"/>
                <w:szCs w:val="24"/>
              </w:rPr>
              <w:fldChar w:fldCharType="end"/>
            </w:r>
          </w:p>
        </w:tc>
      </w:tr>
      <w:tr w:rsidR="00F60E44" w:rsidRPr="007D699F" w14:paraId="5E36A291" w14:textId="77777777" w:rsidTr="00EF3C28">
        <w:trPr>
          <w:gridAfter w:val="1"/>
          <w:wAfter w:w="14" w:type="dxa"/>
          <w:trHeight w:val="44"/>
        </w:trPr>
        <w:tc>
          <w:tcPr>
            <w:tcW w:w="3178" w:type="dxa"/>
            <w:tcMar>
              <w:top w:w="72" w:type="dxa"/>
              <w:left w:w="144" w:type="dxa"/>
              <w:bottom w:w="72" w:type="dxa"/>
              <w:right w:w="144" w:type="dxa"/>
            </w:tcMar>
            <w:vAlign w:val="center"/>
            <w:hideMark/>
          </w:tcPr>
          <w:p w14:paraId="77F9951B"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Air density at cruise altitude</w:t>
            </w:r>
          </w:p>
        </w:tc>
        <w:tc>
          <w:tcPr>
            <w:tcW w:w="1210" w:type="dxa"/>
            <w:tcMar>
              <w:top w:w="72" w:type="dxa"/>
              <w:left w:w="144" w:type="dxa"/>
              <w:bottom w:w="72" w:type="dxa"/>
              <w:right w:w="144" w:type="dxa"/>
            </w:tcMar>
            <w:vAlign w:val="center"/>
            <w:hideMark/>
          </w:tcPr>
          <w:p w14:paraId="3CDA22AC"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kg/m</w:t>
            </w:r>
            <w:r w:rsidRPr="00872636">
              <w:rPr>
                <w:rFonts w:ascii="Times New Roman" w:hAnsi="Times New Roman" w:cs="Times New Roman"/>
                <w:sz w:val="24"/>
                <w:szCs w:val="24"/>
                <w:vertAlign w:val="superscript"/>
              </w:rPr>
              <w:t>3</w:t>
            </w:r>
          </w:p>
        </w:tc>
        <w:tc>
          <w:tcPr>
            <w:tcW w:w="1815" w:type="dxa"/>
            <w:tcMar>
              <w:top w:w="72" w:type="dxa"/>
              <w:left w:w="144" w:type="dxa"/>
              <w:bottom w:w="72" w:type="dxa"/>
              <w:right w:w="144" w:type="dxa"/>
            </w:tcMar>
            <w:vAlign w:val="center"/>
            <w:hideMark/>
          </w:tcPr>
          <w:p w14:paraId="1770EFB0"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0.348</w:t>
            </w:r>
          </w:p>
        </w:tc>
        <w:tc>
          <w:tcPr>
            <w:tcW w:w="3738" w:type="dxa"/>
            <w:tcMar>
              <w:top w:w="72" w:type="dxa"/>
              <w:left w:w="144" w:type="dxa"/>
              <w:bottom w:w="72" w:type="dxa"/>
              <w:right w:w="144" w:type="dxa"/>
            </w:tcMar>
            <w:vAlign w:val="center"/>
            <w:hideMark/>
          </w:tcPr>
          <w:p w14:paraId="62A7E630" w14:textId="7DB4CAA3"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 xml:space="preserve">Calculated using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s://www.digitaldutch.com/atmoscalc/","accessed":{"date-parts":[["2021","2","9"]]},"author":[{"dropping-particle":"","family":"Digital-Dutch","given":"","non-dropping-particle":"","parse-names":false,"suffix":""}],"container-title":"Digital Dutch","id":"ITEM-1","issued":{"date-parts":[["1999"]]},"title":"1976 Standard Atmosphere Calculator","type":"webpage"},"uris":["http://www.mendeley.com/documents/?uuid=491bc11a-4410-350c-a8c6-92bed5784f3c"]}],"mendeley":{"formattedCitation":"[120]","plainTextFormattedCitation":"[120]","previouslyFormattedCitation":"[120]"},"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[120]</w:t>
            </w:r>
            <w:r w:rsidRPr="00872636">
              <w:rPr>
                <w:rFonts w:ascii="Times New Roman" w:hAnsi="Times New Roman" w:cs="Times New Roman"/>
                <w:sz w:val="24"/>
                <w:szCs w:val="24"/>
              </w:rPr>
              <w:fldChar w:fldCharType="end"/>
            </w:r>
          </w:p>
        </w:tc>
      </w:tr>
      <w:tr w:rsidR="00F60E44" w:rsidRPr="007D699F" w14:paraId="6388D206" w14:textId="77777777" w:rsidTr="00EF3C28">
        <w:trPr>
          <w:gridAfter w:val="1"/>
          <w:wAfter w:w="14" w:type="dxa"/>
          <w:trHeight w:val="44"/>
        </w:trPr>
        <w:tc>
          <w:tcPr>
            <w:tcW w:w="3178" w:type="dxa"/>
            <w:tcBorders>
              <w:top w:val="nil"/>
              <w:left w:val="nil"/>
              <w:bottom w:val="single" w:sz="4" w:space="0" w:color="auto"/>
              <w:right w:val="nil"/>
            </w:tcBorders>
            <w:tcMar>
              <w:top w:w="72" w:type="dxa"/>
              <w:left w:w="144" w:type="dxa"/>
              <w:bottom w:w="72" w:type="dxa"/>
              <w:right w:w="144" w:type="dxa"/>
            </w:tcMar>
            <w:vAlign w:val="center"/>
            <w:hideMark/>
          </w:tcPr>
          <w:p w14:paraId="71077A6D"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Speed of sound at cruise altitude</w:t>
            </w:r>
          </w:p>
        </w:tc>
        <w:tc>
          <w:tcPr>
            <w:tcW w:w="1210" w:type="dxa"/>
            <w:tcBorders>
              <w:top w:val="nil"/>
              <w:left w:val="nil"/>
              <w:bottom w:val="single" w:sz="4" w:space="0" w:color="auto"/>
              <w:right w:val="nil"/>
            </w:tcBorders>
            <w:tcMar>
              <w:top w:w="72" w:type="dxa"/>
              <w:left w:w="144" w:type="dxa"/>
              <w:bottom w:w="72" w:type="dxa"/>
              <w:right w:w="144" w:type="dxa"/>
            </w:tcMar>
            <w:vAlign w:val="center"/>
            <w:hideMark/>
          </w:tcPr>
          <w:p w14:paraId="46F09B10"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m/s</w:t>
            </w:r>
          </w:p>
        </w:tc>
        <w:tc>
          <w:tcPr>
            <w:tcW w:w="1815" w:type="dxa"/>
            <w:tcBorders>
              <w:top w:val="nil"/>
              <w:left w:val="nil"/>
              <w:bottom w:val="single" w:sz="4" w:space="0" w:color="auto"/>
              <w:right w:val="nil"/>
            </w:tcBorders>
            <w:tcMar>
              <w:top w:w="72" w:type="dxa"/>
              <w:left w:w="144" w:type="dxa"/>
              <w:bottom w:w="72" w:type="dxa"/>
              <w:right w:w="144" w:type="dxa"/>
            </w:tcMar>
            <w:vAlign w:val="center"/>
            <w:hideMark/>
          </w:tcPr>
          <w:p w14:paraId="17798B35"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295.07</w:t>
            </w:r>
          </w:p>
        </w:tc>
        <w:tc>
          <w:tcPr>
            <w:tcW w:w="3738" w:type="dxa"/>
            <w:tcBorders>
              <w:top w:val="nil"/>
              <w:left w:val="nil"/>
              <w:bottom w:val="single" w:sz="4" w:space="0" w:color="auto"/>
              <w:right w:val="nil"/>
            </w:tcBorders>
            <w:tcMar>
              <w:top w:w="72" w:type="dxa"/>
              <w:left w:w="144" w:type="dxa"/>
              <w:bottom w:w="72" w:type="dxa"/>
              <w:right w:w="144" w:type="dxa"/>
            </w:tcMar>
            <w:vAlign w:val="center"/>
            <w:hideMark/>
          </w:tcPr>
          <w:p w14:paraId="2CDE344A" w14:textId="0520F341"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 xml:space="preserve">Calculated using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s://www.digitaldutch.com/atmoscalc/","accessed":{"date-parts":[["2021","2","9"]]},"author":[{"dropping-particle":"","family":"Digital-Dutch","given":"","non-dropping-particle":"","parse-names":false,"suffix":""}],"container-title":"Digital Dutch","id":"ITEM-1","issued":{"date-parts":[["1999"]]},"title":"1976 Standard Atmosphere Calculator","type":"webpage"},"uris":["http://www.mendeley.com/documents/?uuid=491bc11a-4410-350c-a8c6-92bed5784f3c"]}],"mendeley":{"formattedCitation":"[120]","plainTextFormattedCitation":"[120]","previouslyFormattedCitation":"[120]"},"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[120]</w:t>
            </w:r>
            <w:r w:rsidRPr="00872636">
              <w:rPr>
                <w:rFonts w:ascii="Times New Roman" w:hAnsi="Times New Roman" w:cs="Times New Roman"/>
                <w:sz w:val="24"/>
                <w:szCs w:val="24"/>
              </w:rPr>
              <w:fldChar w:fldCharType="end"/>
            </w:r>
          </w:p>
        </w:tc>
      </w:tr>
    </w:tbl>
    <w:p w14:paraId="2743887A" w14:textId="77777777" w:rsidR="00665CB5" w:rsidRDefault="00665CB5" w:rsidP="00872636">
      <w:pPr>
        <w:spacing w:after="0" w:line="240" w:lineRule="auto"/>
        <w:jc w:val="both"/>
        <w:rPr>
          <w:rFonts w:ascii="Times New Roman" w:hAnsi="Times New Roman" w:cs="Times New Roman"/>
          <w:sz w:val="24"/>
          <w:szCs w:val="24"/>
        </w:rPr>
      </w:pPr>
    </w:p>
    <w:p w14:paraId="52704310" w14:textId="42676835" w:rsidR="00F60E44" w:rsidRPr="00872636" w:rsidRDefault="00556067" w:rsidP="00872636">
      <w:pPr>
        <w:spacing w:line="480" w:lineRule="auto"/>
        <w:jc w:val="both"/>
        <w:rPr>
          <w:rFonts w:ascii="Times New Roman" w:hAnsi="Times New Roman" w:cs="Times New Roman"/>
          <w:sz w:val="24"/>
          <w:szCs w:val="24"/>
        </w:rPr>
      </w:pPr>
      <w:r w:rsidRPr="006C247F">
        <w:rPr>
          <w:rFonts w:ascii="Times New Roman" w:hAnsi="Times New Roman" w:cs="Times New Roman"/>
          <w:sz w:val="24"/>
          <w:szCs w:val="24"/>
        </w:rPr>
        <w:tab/>
        <w:t xml:space="preserve">For the A320-200 aircraft, overall efficiency </w:t>
      </w:r>
      <w:r w:rsidRPr="006C247F">
        <w:rPr>
          <w:rFonts w:ascii="Times New Roman" w:hAnsi="Times New Roman" w:cs="Times New Roman"/>
          <w:i/>
          <w:iCs/>
          <w:sz w:val="24"/>
          <w:szCs w:val="24"/>
        </w:rPr>
        <w:t>η</w:t>
      </w:r>
      <w:r w:rsidRPr="006C247F">
        <w:rPr>
          <w:rFonts w:ascii="Times New Roman" w:hAnsi="Times New Roman" w:cs="Times New Roman"/>
          <w:sz w:val="24"/>
          <w:szCs w:val="24"/>
          <w:vertAlign w:val="subscript"/>
        </w:rPr>
        <w:t>o</w:t>
      </w:r>
      <w:r w:rsidRPr="006C247F">
        <w:rPr>
          <w:rFonts w:ascii="Times New Roman" w:hAnsi="Times New Roman" w:cs="Times New Roman"/>
          <w:sz w:val="24"/>
          <w:szCs w:val="24"/>
        </w:rPr>
        <w:t xml:space="preserve"> is not known directly. However, the cruise thrust specific fuel consumption (TSFC) of this aircraft is known to be ~17.5 mg/N-s from resource </w:t>
      </w:r>
      <w:r w:rsidRPr="006C247F">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{"citationItems":[{"id":"ITEM-1","itemData":{"URL":"http://web.mit.edu/aeroastro/sites/waitz/publications/Babikian.pdf","abstract":"To develop approaches that effectively reduce aircraft emissions, it is necessary to understand the mechanisms that have enabled historical improvements in aircraft efficiency. This paper focuses on the impact of regional aircraft on the U.S. aviation system and examines the technological, operational and cost characteristics of turboprop and regional jet aircraft. Regional aircraft are 40% to 60% less fuel efficient than their larger narrow-and wide-body counterparts, while regional jets are 10% to 60% less fuel efficient than turboprops. Fuel efficiency differences can be explained largely by differences in aircraft operations, not technology. Direct operating costs per revenue passenger kilometer are 2.5 to 6 times higher for regional aircraft because they operate at lower load factors and perform fewer miles over which to spread fixed costs. Further, despite incurring higher fuel costs, regional jets are shown to have operating costs similar to turboprops when flown over comparable stage lengths.","accessed":{"date-parts":[["2021","2","8"]]},"author":[{"dropping-particle":"","family":"Babikian","given":"Raffi","non-dropping-particle":"","parse-names":false,"suffix":""},{"dropping-particle":"","family":"Lukachko","given":"Stephen P","non-dropping-particle":"","parse-names":false,"suffix":""},{"dropping-particle":"","family":"Waitz","given":"Ian A","non-dropping-particle":"","parse-names":false,"suffix":""}],"id":"ITEM-1","issued":{"date-parts":[["2001"]]},"title":"The Historical Fuel Efficiency Characteristics of Regional Aircraft from Technological, Operational, and Cost Perspectives","type":"webpage"},"uris":["http://www.mendeley.com/documents/?uuid=0c25fa9f-c1db-3fd8-8734-9a416a674fb6"]}],"mendeley":{"formattedCitation":"[121]","plainTextFormattedCitation":"[121]","previouslyFormattedCitation":"[121]"},"properties":{"noteIndex":0},"schema":"https://github.com/citation-style-language/schema/raw/master/csl-citation.json"}</w:instrText>
      </w:r>
      <w:r w:rsidRPr="006C247F">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[121]</w:t>
      </w:r>
      <w:r w:rsidRPr="006C247F">
        <w:rPr>
          <w:rFonts w:ascii="Times New Roman" w:hAnsi="Times New Roman" w:cs="Times New Roman"/>
          <w:sz w:val="24"/>
          <w:szCs w:val="24"/>
        </w:rPr>
        <w:fldChar w:fldCharType="end"/>
      </w:r>
      <w:r w:rsidRPr="006C247F">
        <w:rPr>
          <w:rFonts w:ascii="Times New Roman" w:hAnsi="Times New Roman" w:cs="Times New Roman"/>
          <w:sz w:val="24"/>
          <w:szCs w:val="24"/>
        </w:rPr>
        <w:t xml:space="preserve">. Using the definition of </w:t>
      </w:r>
      <w:r w:rsidRPr="006C247F">
        <w:rPr>
          <w:rFonts w:ascii="Times New Roman" w:hAnsi="Times New Roman" w:cs="Times New Roman"/>
          <w:i/>
          <w:iCs/>
          <w:sz w:val="24"/>
          <w:szCs w:val="24"/>
        </w:rPr>
        <w:t>η</w:t>
      </w:r>
      <w:r w:rsidRPr="006C247F">
        <w:rPr>
          <w:rFonts w:ascii="Times New Roman" w:hAnsi="Times New Roman" w:cs="Times New Roman"/>
          <w:sz w:val="24"/>
          <w:szCs w:val="24"/>
          <w:vertAlign w:val="subscript"/>
        </w:rPr>
        <w:t>o</w:t>
      </w:r>
      <w:r w:rsidRPr="006C247F">
        <w:rPr>
          <w:rFonts w:ascii="Times New Roman" w:hAnsi="Times New Roman" w:cs="Times New Roman"/>
          <w:sz w:val="24"/>
          <w:szCs w:val="24"/>
        </w:rPr>
        <w:t xml:space="preserve">,[flight speed/(TSFC x LCV)] its value is estimated. The flight speed in cruise is 234 m/s [= 0.8 (Mach) x 295.54 (speed of sound)]. The </w:t>
      </w:r>
      <w:r w:rsidRPr="006C247F">
        <w:rPr>
          <w:rFonts w:ascii="Times New Roman" w:hAnsi="Times New Roman" w:cs="Times New Roman"/>
          <w:i/>
          <w:iCs/>
          <w:sz w:val="24"/>
          <w:szCs w:val="24"/>
        </w:rPr>
        <w:t>η</w:t>
      </w:r>
      <w:r w:rsidRPr="006C247F">
        <w:rPr>
          <w:rFonts w:ascii="Times New Roman" w:hAnsi="Times New Roman" w:cs="Times New Roman"/>
          <w:sz w:val="24"/>
          <w:szCs w:val="24"/>
          <w:vertAlign w:val="subscript"/>
        </w:rPr>
        <w:t>o</w:t>
      </w:r>
      <w:r w:rsidRPr="006C247F">
        <w:rPr>
          <w:rFonts w:ascii="Times New Roman" w:hAnsi="Times New Roman" w:cs="Times New Roman"/>
          <w:sz w:val="24"/>
          <w:szCs w:val="24"/>
        </w:rPr>
        <w:t xml:space="preserve"> is estimated to be 0.3 for A320-200 aircraft (as listed in Table SI </w:t>
      </w:r>
      <w:r>
        <w:rPr>
          <w:rFonts w:ascii="Times New Roman" w:hAnsi="Times New Roman" w:cs="Times New Roman"/>
          <w:sz w:val="24"/>
          <w:szCs w:val="24"/>
        </w:rPr>
        <w:t>5</w:t>
      </w:r>
      <w:r w:rsidRPr="006C247F">
        <w:rPr>
          <w:rFonts w:ascii="Times New Roman" w:hAnsi="Times New Roman" w:cs="Times New Roman"/>
          <w:sz w:val="24"/>
          <w:szCs w:val="24"/>
        </w:rPr>
        <w:t xml:space="preserve">). Additionally, the cruise </w:t>
      </w:r>
      <w:r w:rsidRPr="006C247F">
        <w:rPr>
          <w:rFonts w:ascii="Times New Roman" w:hAnsi="Times New Roman" w:cs="Times New Roman"/>
          <w:i/>
          <w:iCs/>
          <w:sz w:val="24"/>
          <w:szCs w:val="24"/>
        </w:rPr>
        <w:t>L/D</w:t>
      </w:r>
      <w:r w:rsidRPr="006C247F">
        <w:rPr>
          <w:rFonts w:ascii="Times New Roman" w:hAnsi="Times New Roman" w:cs="Times New Roman"/>
          <w:sz w:val="24"/>
          <w:szCs w:val="24"/>
        </w:rPr>
        <w:t xml:space="preserve"> for A320-200 is known to be (approximately) 15 – 16 </w:t>
      </w:r>
      <w:r w:rsidRPr="006C247F">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{"citationItems":[{"id":"ITEM-1","itemData":{"author":[{"dropping-particle":"","family":"Babikian","given":"Raffi","non-dropping-particle":"","parse-names":false,"suffix":""}],"id":"ITEM-1","issued":{"date-parts":[["2001"]]},"title":"THE HISTORICAL FUEL EFFICIENCY CHARACTERISTICS OF REGIONAL AIRCRAFT FROM TECHNOLOGICAL, OPERATIONAL, AND COST PERSPECTIVES","type":"thesis"},"uris":["http://www.mendeley.com/documents/?uuid=d1337d73-66db-36c2-ba42-0f71d1dd585e"]}],"mendeley":{"formattedCitation":"[117]","plainTextFormattedCitation":"[117]","previouslyFormattedCitation":"[117]"},"properties":{"noteIndex":0},"schema":"https://github.com/citation-style-language/schema/raw/master/csl-citation.json"}</w:instrText>
      </w:r>
      <w:r w:rsidRPr="006C247F">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[117]</w:t>
      </w:r>
      <w:r w:rsidRPr="006C247F">
        <w:rPr>
          <w:rFonts w:ascii="Times New Roman" w:hAnsi="Times New Roman" w:cs="Times New Roman"/>
          <w:sz w:val="24"/>
          <w:szCs w:val="24"/>
        </w:rPr>
        <w:fldChar w:fldCharType="end"/>
      </w:r>
      <w:r w:rsidRPr="006C247F">
        <w:rPr>
          <w:rFonts w:ascii="Times New Roman" w:hAnsi="Times New Roman" w:cs="Times New Roman"/>
          <w:sz w:val="24"/>
          <w:szCs w:val="24"/>
        </w:rPr>
        <w:t xml:space="preserve">. The cruise </w:t>
      </w:r>
      <w:r w:rsidRPr="006C247F">
        <w:rPr>
          <w:rFonts w:ascii="Times New Roman" w:hAnsi="Times New Roman" w:cs="Times New Roman"/>
          <w:i/>
          <w:iCs/>
          <w:sz w:val="24"/>
          <w:szCs w:val="24"/>
        </w:rPr>
        <w:t>L/D</w:t>
      </w:r>
      <w:r w:rsidRPr="006C247F">
        <w:rPr>
          <w:rFonts w:ascii="Times New Roman" w:hAnsi="Times New Roman" w:cs="Times New Roman"/>
          <w:sz w:val="24"/>
          <w:szCs w:val="24"/>
        </w:rPr>
        <w:t xml:space="preserve"> is plotted in a figure in resource </w:t>
      </w:r>
      <w:r w:rsidRPr="006C247F">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{"citationItems":[{"id":"ITEM-1","itemData":{"author":[{"dropping-particle":"","family":"Babikian","given":"Raffi","non-dropping-particle":"","parse-names":false,"suffix":""}],"id":"ITEM-1","issued":{"date-parts":[["2001"]]},"title":"THE HISTORICAL FUEL EFFICIENCY CHARACTERISTICS OF REGIONAL AIRCRAFT FROM TECHNOLOGICAL, OPERATIONAL, AND COST PERSPECTIVES","type":"thesis"},"uris":["http://www.mendeley.com/documents/?uuid=d1337d73-66db-36c2-ba42-0f71d1dd585e"]}],"mendeley":{"formattedCitation":"[117]","plainTextFormattedCitation":"[117]","previouslyFormattedCitation":"[117]"},"properties":{"noteIndex":0},"schema":"https://github.com/citation-style-language/schema/raw/master/csl-citation.json"}</w:instrText>
      </w:r>
      <w:r w:rsidRPr="006C247F">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[117]</w:t>
      </w:r>
      <w:r w:rsidRPr="006C247F">
        <w:rPr>
          <w:rFonts w:ascii="Times New Roman" w:hAnsi="Times New Roman" w:cs="Times New Roman"/>
          <w:sz w:val="24"/>
          <w:szCs w:val="24"/>
        </w:rPr>
        <w:fldChar w:fldCharType="end"/>
      </w:r>
      <w:r w:rsidRPr="006C247F">
        <w:rPr>
          <w:rFonts w:ascii="Times New Roman" w:hAnsi="Times New Roman" w:cs="Times New Roman"/>
          <w:sz w:val="24"/>
          <w:szCs w:val="24"/>
        </w:rPr>
        <w:t xml:space="preserve">, and so the exact value is not known. This approximate value of cruise </w:t>
      </w:r>
      <w:r w:rsidRPr="006C247F">
        <w:rPr>
          <w:rFonts w:ascii="Times New Roman" w:hAnsi="Times New Roman" w:cs="Times New Roman"/>
          <w:i/>
          <w:iCs/>
          <w:sz w:val="24"/>
          <w:szCs w:val="24"/>
        </w:rPr>
        <w:t>L/D</w:t>
      </w:r>
      <w:r w:rsidRPr="006C247F">
        <w:rPr>
          <w:rFonts w:ascii="Times New Roman" w:hAnsi="Times New Roman" w:cs="Times New Roman"/>
          <w:sz w:val="24"/>
          <w:szCs w:val="24"/>
        </w:rPr>
        <w:t xml:space="preserve"> for A320-200 listed in Table SI </w:t>
      </w:r>
      <w:r>
        <w:rPr>
          <w:rFonts w:ascii="Times New Roman" w:hAnsi="Times New Roman" w:cs="Times New Roman"/>
          <w:sz w:val="24"/>
          <w:szCs w:val="24"/>
        </w:rPr>
        <w:t>5</w:t>
      </w:r>
      <w:r w:rsidRPr="006C247F">
        <w:rPr>
          <w:rFonts w:ascii="Times New Roman" w:hAnsi="Times New Roman" w:cs="Times New Roman"/>
          <w:sz w:val="24"/>
          <w:szCs w:val="24"/>
        </w:rPr>
        <w:t>.</w:t>
      </w:r>
    </w:p>
    <w:tbl>
      <w:tblPr>
        <w:tblpPr w:leftFromText="180" w:rightFromText="180" w:bottomFromText="160" w:vertAnchor="text" w:horzAnchor="margin" w:tblpXSpec="center" w:tblpY="-24"/>
        <w:tblW w:w="9923" w:type="dxa"/>
        <w:tblCellMar>
          <w:left w:w="0" w:type="dxa"/>
          <w:right w:w="0" w:type="dxa"/>
        </w:tblCellMar>
        <w:tblLook w:val="0420" w:firstRow="1" w:lastRow="0" w:firstColumn="0" w:lastColumn="0" w:noHBand="0" w:noVBand="1"/>
      </w:tblPr>
      <w:tblGrid>
        <w:gridCol w:w="3220"/>
        <w:gridCol w:w="1033"/>
        <w:gridCol w:w="1843"/>
        <w:gridCol w:w="3827"/>
      </w:tblGrid>
      <w:tr w:rsidR="00F60E44" w:rsidRPr="007D699F" w14:paraId="4DA21F73" w14:textId="77777777" w:rsidTr="005F13D3">
        <w:trPr>
          <w:trHeight w:val="48"/>
        </w:trPr>
        <w:tc>
          <w:tcPr>
            <w:tcW w:w="9923" w:type="dxa"/>
            <w:gridSpan w:val="4"/>
            <w:tcBorders>
              <w:top w:val="nil"/>
              <w:left w:val="nil"/>
              <w:bottom w:val="single" w:sz="4" w:space="0" w:color="auto"/>
              <w:right w:val="nil"/>
            </w:tcBorders>
            <w:tcMar>
              <w:top w:w="72" w:type="dxa"/>
              <w:left w:w="144" w:type="dxa"/>
              <w:bottom w:w="72" w:type="dxa"/>
              <w:right w:w="144" w:type="dxa"/>
            </w:tcMar>
            <w:vAlign w:val="center"/>
            <w:hideMark/>
          </w:tcPr>
          <w:p w14:paraId="37C9A3EA" w14:textId="03B31C57" w:rsidR="00F60E44" w:rsidRPr="00872636" w:rsidRDefault="00F60E44" w:rsidP="00872636">
            <w:pPr>
              <w:spacing w:after="0" w:line="276" w:lineRule="auto"/>
              <w:jc w:val="center"/>
              <w:rPr>
                <w:rFonts w:ascii="Times New Roman" w:hAnsi="Times New Roman" w:cs="Times New Roman"/>
                <w:b/>
                <w:sz w:val="24"/>
                <w:szCs w:val="24"/>
              </w:rPr>
            </w:pPr>
            <w:r w:rsidRPr="00872636">
              <w:rPr>
                <w:rFonts w:ascii="Times New Roman" w:hAnsi="Times New Roman" w:cs="Times New Roman"/>
                <w:b/>
                <w:sz w:val="24"/>
                <w:szCs w:val="24"/>
              </w:rPr>
              <w:lastRenderedPageBreak/>
              <w:t xml:space="preserve">Table SI </w:t>
            </w:r>
            <w:r w:rsidR="00286C0A" w:rsidRPr="00872636">
              <w:rPr>
                <w:rFonts w:ascii="Times New Roman" w:hAnsi="Times New Roman" w:cs="Times New Roman"/>
                <w:b/>
                <w:sz w:val="24"/>
                <w:szCs w:val="24"/>
              </w:rPr>
              <w:t>6</w:t>
            </w:r>
            <w:r w:rsidRPr="00872636">
              <w:rPr>
                <w:rFonts w:ascii="Times New Roman" w:hAnsi="Times New Roman" w:cs="Times New Roman"/>
                <w:b/>
                <w:sz w:val="24"/>
                <w:szCs w:val="24"/>
              </w:rPr>
              <w:t>. Boeing 767-300F aircraft characteristics</w:t>
            </w:r>
          </w:p>
        </w:tc>
      </w:tr>
      <w:tr w:rsidR="00F60E44" w:rsidRPr="007D699F" w14:paraId="5B0649E4" w14:textId="77777777" w:rsidTr="005F13D3">
        <w:trPr>
          <w:trHeight w:val="48"/>
        </w:trPr>
        <w:tc>
          <w:tcPr>
            <w:tcW w:w="3220"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5F9D57A4"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Parameter</w:t>
            </w:r>
          </w:p>
        </w:tc>
        <w:tc>
          <w:tcPr>
            <w:tcW w:w="1033"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323818C1"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Units</w:t>
            </w:r>
          </w:p>
        </w:tc>
        <w:tc>
          <w:tcPr>
            <w:tcW w:w="1843"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2D1A665A"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Value</w:t>
            </w:r>
          </w:p>
        </w:tc>
        <w:tc>
          <w:tcPr>
            <w:tcW w:w="3827"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68D5540C"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Source</w:t>
            </w:r>
          </w:p>
        </w:tc>
      </w:tr>
      <w:tr w:rsidR="00F60E44" w:rsidRPr="007D699F" w14:paraId="6BB107A4" w14:textId="77777777" w:rsidTr="005F13D3">
        <w:trPr>
          <w:trHeight w:val="48"/>
        </w:trPr>
        <w:tc>
          <w:tcPr>
            <w:tcW w:w="3220" w:type="dxa"/>
            <w:tcBorders>
              <w:top w:val="single" w:sz="4" w:space="0" w:color="auto"/>
              <w:left w:val="nil"/>
              <w:bottom w:val="nil"/>
              <w:right w:val="nil"/>
            </w:tcBorders>
            <w:tcMar>
              <w:top w:w="72" w:type="dxa"/>
              <w:left w:w="144" w:type="dxa"/>
              <w:bottom w:w="72" w:type="dxa"/>
              <w:right w:w="144" w:type="dxa"/>
            </w:tcMar>
            <w:vAlign w:val="center"/>
            <w:hideMark/>
          </w:tcPr>
          <w:p w14:paraId="1B4DA17F"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MTOW</w:t>
            </w:r>
          </w:p>
        </w:tc>
        <w:tc>
          <w:tcPr>
            <w:tcW w:w="1033" w:type="dxa"/>
            <w:tcBorders>
              <w:top w:val="single" w:sz="4" w:space="0" w:color="auto"/>
              <w:left w:val="nil"/>
              <w:bottom w:val="nil"/>
              <w:right w:val="nil"/>
            </w:tcBorders>
            <w:tcMar>
              <w:top w:w="72" w:type="dxa"/>
              <w:left w:w="144" w:type="dxa"/>
              <w:bottom w:w="72" w:type="dxa"/>
              <w:right w:w="144" w:type="dxa"/>
            </w:tcMar>
            <w:vAlign w:val="center"/>
            <w:hideMark/>
          </w:tcPr>
          <w:p w14:paraId="0C394DAC"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kg</w:t>
            </w:r>
          </w:p>
        </w:tc>
        <w:tc>
          <w:tcPr>
            <w:tcW w:w="1843" w:type="dxa"/>
            <w:tcBorders>
              <w:top w:val="single" w:sz="4" w:space="0" w:color="auto"/>
              <w:left w:val="nil"/>
              <w:bottom w:val="nil"/>
              <w:right w:val="nil"/>
            </w:tcBorders>
            <w:tcMar>
              <w:top w:w="72" w:type="dxa"/>
              <w:left w:w="144" w:type="dxa"/>
              <w:bottom w:w="72" w:type="dxa"/>
              <w:right w:w="144" w:type="dxa"/>
            </w:tcMar>
            <w:vAlign w:val="center"/>
            <w:hideMark/>
          </w:tcPr>
          <w:p w14:paraId="0D656C5F"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185,065</w:t>
            </w:r>
          </w:p>
        </w:tc>
        <w:tc>
          <w:tcPr>
            <w:tcW w:w="3827" w:type="dxa"/>
            <w:tcBorders>
              <w:top w:val="single" w:sz="4" w:space="0" w:color="auto"/>
              <w:left w:val="nil"/>
              <w:bottom w:val="nil"/>
              <w:right w:val="nil"/>
            </w:tcBorders>
            <w:tcMar>
              <w:top w:w="72" w:type="dxa"/>
              <w:left w:w="144" w:type="dxa"/>
              <w:bottom w:w="72" w:type="dxa"/>
              <w:right w:w="144" w:type="dxa"/>
            </w:tcMar>
            <w:vAlign w:val="center"/>
            <w:hideMark/>
          </w:tcPr>
          <w:p w14:paraId="06FB246C" w14:textId="28CADD2D"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janes.migavia.com/usa/boeing/boeing-767-300.html","accessed":{"date-parts":[["2021","2","9"]]},"author":[{"dropping-particle":"","family":"All-the-world's-aircraft","given":"","non-dropping-particle":"","parse-names":false,"suffix":""}],"container-title":"All the world's aircraft","id":"ITEM-1","issued":{"date-parts":[["2011"]]},"title":"BOEING 767-300 GENERAL MARKET FREIGHTER","type":"webpage"},"uris":["http://www.mendeley.com/documents/?uuid=00a47045-8d78-3337-abc4-37b5f37c633f"]}],"mendeley":{"formattedCitation":"[122]","plainTextFormattedCitation":"[122]","previouslyFormattedCitation":"[122]"},"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[122]</w:t>
            </w:r>
            <w:r w:rsidRPr="00872636">
              <w:rPr>
                <w:rFonts w:ascii="Times New Roman" w:hAnsi="Times New Roman" w:cs="Times New Roman"/>
                <w:sz w:val="24"/>
                <w:szCs w:val="24"/>
              </w:rPr>
              <w:fldChar w:fldCharType="end"/>
            </w:r>
          </w:p>
        </w:tc>
      </w:tr>
      <w:tr w:rsidR="00F60E44" w:rsidRPr="007D699F" w14:paraId="5712229B" w14:textId="77777777" w:rsidTr="005F13D3">
        <w:trPr>
          <w:trHeight w:val="48"/>
        </w:trPr>
        <w:tc>
          <w:tcPr>
            <w:tcW w:w="3220" w:type="dxa"/>
            <w:tcMar>
              <w:top w:w="72" w:type="dxa"/>
              <w:left w:w="144" w:type="dxa"/>
              <w:bottom w:w="72" w:type="dxa"/>
              <w:right w:w="144" w:type="dxa"/>
            </w:tcMar>
            <w:vAlign w:val="center"/>
            <w:hideMark/>
          </w:tcPr>
          <w:p w14:paraId="017F1891"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Maximum zero fuel weight (MZFW)</w:t>
            </w:r>
          </w:p>
        </w:tc>
        <w:tc>
          <w:tcPr>
            <w:tcW w:w="1033" w:type="dxa"/>
            <w:tcMar>
              <w:top w:w="72" w:type="dxa"/>
              <w:left w:w="144" w:type="dxa"/>
              <w:bottom w:w="72" w:type="dxa"/>
              <w:right w:w="144" w:type="dxa"/>
            </w:tcMar>
            <w:vAlign w:val="center"/>
            <w:hideMark/>
          </w:tcPr>
          <w:p w14:paraId="03DE1B11"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kg</w:t>
            </w:r>
          </w:p>
        </w:tc>
        <w:tc>
          <w:tcPr>
            <w:tcW w:w="1843" w:type="dxa"/>
            <w:tcMar>
              <w:top w:w="72" w:type="dxa"/>
              <w:left w:w="144" w:type="dxa"/>
              <w:bottom w:w="72" w:type="dxa"/>
              <w:right w:w="144" w:type="dxa"/>
            </w:tcMar>
            <w:vAlign w:val="center"/>
            <w:hideMark/>
          </w:tcPr>
          <w:p w14:paraId="7AC10AFA"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140,160</w:t>
            </w:r>
          </w:p>
        </w:tc>
        <w:tc>
          <w:tcPr>
            <w:tcW w:w="3827" w:type="dxa"/>
            <w:tcMar>
              <w:top w:w="72" w:type="dxa"/>
              <w:left w:w="144" w:type="dxa"/>
              <w:bottom w:w="72" w:type="dxa"/>
              <w:right w:w="144" w:type="dxa"/>
            </w:tcMar>
            <w:vAlign w:val="center"/>
            <w:hideMark/>
          </w:tcPr>
          <w:p w14:paraId="5ACF202C" w14:textId="64B031D6"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janes.migavia.com/usa/boeing/boeing-767-300.html","accessed":{"date-parts":[["2021","2","9"]]},"author":[{"dropping-particle":"","family":"All-the-world's-aircraft","given":"","non-dropping-particle":"","parse-names":false,"suffix":""}],"container-title":"All the world's aircraft","id":"ITEM-1","issued":{"date-parts":[["2011"]]},"title":"BOEING 767-300 GENERAL MARKET FREIGHTER","type":"webpage"},"uris":["http://www.mendeley.com/documents/?uuid=00a47045-8d78-3337-abc4-37b5f37c633f"]}],"mendeley":{"formattedCitation":"[122]","plainTextFormattedCitation":"[122]","previouslyFormattedCitation":"[122]"},"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[122]</w:t>
            </w:r>
            <w:r w:rsidRPr="00872636">
              <w:rPr>
                <w:rFonts w:ascii="Times New Roman" w:hAnsi="Times New Roman" w:cs="Times New Roman"/>
                <w:sz w:val="24"/>
                <w:szCs w:val="24"/>
              </w:rPr>
              <w:fldChar w:fldCharType="end"/>
            </w:r>
          </w:p>
        </w:tc>
      </w:tr>
      <w:tr w:rsidR="00F60E44" w:rsidRPr="007D699F" w14:paraId="365B3E26" w14:textId="77777777" w:rsidTr="005F13D3">
        <w:trPr>
          <w:trHeight w:val="48"/>
        </w:trPr>
        <w:tc>
          <w:tcPr>
            <w:tcW w:w="3220" w:type="dxa"/>
            <w:tcMar>
              <w:top w:w="72" w:type="dxa"/>
              <w:left w:w="144" w:type="dxa"/>
              <w:bottom w:w="72" w:type="dxa"/>
              <w:right w:w="144" w:type="dxa"/>
            </w:tcMar>
            <w:vAlign w:val="center"/>
            <w:hideMark/>
          </w:tcPr>
          <w:p w14:paraId="6DC6805A"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Maximum payload (PL</w:t>
            </w:r>
            <w:r w:rsidRPr="00872636">
              <w:rPr>
                <w:rFonts w:ascii="Times New Roman" w:hAnsi="Times New Roman" w:cs="Times New Roman"/>
                <w:sz w:val="24"/>
                <w:szCs w:val="24"/>
                <w:vertAlign w:val="subscript"/>
              </w:rPr>
              <w:t>max</w:t>
            </w:r>
            <w:r w:rsidRPr="00872636">
              <w:rPr>
                <w:rFonts w:ascii="Times New Roman" w:hAnsi="Times New Roman" w:cs="Times New Roman"/>
                <w:sz w:val="24"/>
                <w:szCs w:val="24"/>
              </w:rPr>
              <w:t>)</w:t>
            </w:r>
          </w:p>
        </w:tc>
        <w:tc>
          <w:tcPr>
            <w:tcW w:w="1033" w:type="dxa"/>
            <w:tcMar>
              <w:top w:w="72" w:type="dxa"/>
              <w:left w:w="144" w:type="dxa"/>
              <w:bottom w:w="72" w:type="dxa"/>
              <w:right w:w="144" w:type="dxa"/>
            </w:tcMar>
            <w:vAlign w:val="center"/>
            <w:hideMark/>
          </w:tcPr>
          <w:p w14:paraId="7336FA0C"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kg</w:t>
            </w:r>
          </w:p>
        </w:tc>
        <w:tc>
          <w:tcPr>
            <w:tcW w:w="1843" w:type="dxa"/>
            <w:tcMar>
              <w:top w:w="72" w:type="dxa"/>
              <w:left w:w="144" w:type="dxa"/>
              <w:bottom w:w="72" w:type="dxa"/>
              <w:right w:w="144" w:type="dxa"/>
            </w:tcMar>
            <w:vAlign w:val="center"/>
            <w:hideMark/>
          </w:tcPr>
          <w:p w14:paraId="1F239A38"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52,700</w:t>
            </w:r>
          </w:p>
        </w:tc>
        <w:tc>
          <w:tcPr>
            <w:tcW w:w="3827" w:type="dxa"/>
            <w:tcMar>
              <w:top w:w="72" w:type="dxa"/>
              <w:left w:w="144" w:type="dxa"/>
              <w:bottom w:w="72" w:type="dxa"/>
              <w:right w:w="144" w:type="dxa"/>
            </w:tcMar>
            <w:vAlign w:val="center"/>
            <w:hideMark/>
          </w:tcPr>
          <w:p w14:paraId="33E01390" w14:textId="7D7A5B2A"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www.boeing.com/farnborough2014/pdf/BCA/bck-767_5_13_2014.pdf","accessed":{"date-parts":[["2021","2","9"]]},"author":[{"dropping-particle":"","family":"Boeing","given":"","non-dropping-particle":"","parse-names":false,"suffix":""}],"container-title":"Boeing","id":"ITEM-1","issued":{"date-parts":[["2014"]]},"title":"The Boeing 767-300 Freighter - The newest member of the Boeing Frieghter Family","type":"webpage"},"uris":["http://www.mendeley.com/documents/?uuid=ed9485e3-d8a1-3dff-ac02-4cd2c0e5eb7e"]}],"mendeley":{"formattedCitation":"[123]","plainTextFormattedCitation":"[123]","previouslyFormattedCitation":"[123]"},"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[123]</w:t>
            </w:r>
            <w:r w:rsidRPr="00872636">
              <w:rPr>
                <w:rFonts w:ascii="Times New Roman" w:hAnsi="Times New Roman" w:cs="Times New Roman"/>
                <w:sz w:val="24"/>
                <w:szCs w:val="24"/>
              </w:rPr>
              <w:fldChar w:fldCharType="end"/>
            </w:r>
          </w:p>
        </w:tc>
      </w:tr>
      <w:tr w:rsidR="00F60E44" w:rsidRPr="007D699F" w14:paraId="375511B4" w14:textId="77777777" w:rsidTr="005F13D3">
        <w:trPr>
          <w:trHeight w:val="48"/>
        </w:trPr>
        <w:tc>
          <w:tcPr>
            <w:tcW w:w="3220" w:type="dxa"/>
            <w:tcMar>
              <w:top w:w="72" w:type="dxa"/>
              <w:left w:w="144" w:type="dxa"/>
              <w:bottom w:w="72" w:type="dxa"/>
              <w:right w:w="144" w:type="dxa"/>
            </w:tcMar>
            <w:vAlign w:val="center"/>
            <w:hideMark/>
          </w:tcPr>
          <w:p w14:paraId="656C128A"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OEW (= MZFW - PL</w:t>
            </w:r>
            <w:r w:rsidRPr="00872636">
              <w:rPr>
                <w:rFonts w:ascii="Times New Roman" w:hAnsi="Times New Roman" w:cs="Times New Roman"/>
                <w:sz w:val="24"/>
                <w:szCs w:val="24"/>
                <w:vertAlign w:val="subscript"/>
              </w:rPr>
              <w:t>max</w:t>
            </w:r>
            <w:r w:rsidRPr="00872636">
              <w:rPr>
                <w:rFonts w:ascii="Times New Roman" w:hAnsi="Times New Roman" w:cs="Times New Roman"/>
                <w:sz w:val="24"/>
                <w:szCs w:val="24"/>
              </w:rPr>
              <w:t>)</w:t>
            </w:r>
          </w:p>
        </w:tc>
        <w:tc>
          <w:tcPr>
            <w:tcW w:w="1033" w:type="dxa"/>
            <w:tcMar>
              <w:top w:w="72" w:type="dxa"/>
              <w:left w:w="144" w:type="dxa"/>
              <w:bottom w:w="72" w:type="dxa"/>
              <w:right w:w="144" w:type="dxa"/>
            </w:tcMar>
            <w:vAlign w:val="center"/>
            <w:hideMark/>
          </w:tcPr>
          <w:p w14:paraId="7E10370F"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kg</w:t>
            </w:r>
          </w:p>
        </w:tc>
        <w:tc>
          <w:tcPr>
            <w:tcW w:w="1843" w:type="dxa"/>
            <w:tcMar>
              <w:top w:w="72" w:type="dxa"/>
              <w:left w:w="144" w:type="dxa"/>
              <w:bottom w:w="72" w:type="dxa"/>
              <w:right w:w="144" w:type="dxa"/>
            </w:tcMar>
            <w:vAlign w:val="center"/>
            <w:hideMark/>
          </w:tcPr>
          <w:p w14:paraId="4F1D2F1D"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87,460</w:t>
            </w:r>
          </w:p>
        </w:tc>
        <w:tc>
          <w:tcPr>
            <w:tcW w:w="3827" w:type="dxa"/>
            <w:tcMar>
              <w:top w:w="72" w:type="dxa"/>
              <w:left w:w="144" w:type="dxa"/>
              <w:bottom w:w="72" w:type="dxa"/>
              <w:right w:w="144" w:type="dxa"/>
            </w:tcMar>
            <w:vAlign w:val="center"/>
            <w:hideMark/>
          </w:tcPr>
          <w:p w14:paraId="2DA53E55"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Calculated</w:t>
            </w:r>
          </w:p>
        </w:tc>
      </w:tr>
      <w:tr w:rsidR="00F60E44" w:rsidRPr="007D699F" w14:paraId="4296401A" w14:textId="77777777" w:rsidTr="005F13D3">
        <w:trPr>
          <w:trHeight w:val="48"/>
        </w:trPr>
        <w:tc>
          <w:tcPr>
            <w:tcW w:w="3220" w:type="dxa"/>
            <w:vMerge w:val="restart"/>
            <w:tcMar>
              <w:top w:w="72" w:type="dxa"/>
              <w:left w:w="144" w:type="dxa"/>
              <w:bottom w:w="72" w:type="dxa"/>
              <w:right w:w="144" w:type="dxa"/>
            </w:tcMar>
            <w:vAlign w:val="center"/>
            <w:hideMark/>
          </w:tcPr>
          <w:p w14:paraId="55950387"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Range with 40,823 kg payload</w:t>
            </w:r>
          </w:p>
        </w:tc>
        <w:tc>
          <w:tcPr>
            <w:tcW w:w="1033" w:type="dxa"/>
            <w:tcMar>
              <w:top w:w="72" w:type="dxa"/>
              <w:left w:w="144" w:type="dxa"/>
              <w:bottom w:w="72" w:type="dxa"/>
              <w:right w:w="144" w:type="dxa"/>
            </w:tcMar>
            <w:vAlign w:val="center"/>
            <w:hideMark/>
          </w:tcPr>
          <w:p w14:paraId="50B5236A"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km</w:t>
            </w:r>
          </w:p>
        </w:tc>
        <w:tc>
          <w:tcPr>
            <w:tcW w:w="1843" w:type="dxa"/>
            <w:tcMar>
              <w:top w:w="72" w:type="dxa"/>
              <w:left w:w="144" w:type="dxa"/>
              <w:bottom w:w="72" w:type="dxa"/>
              <w:right w:w="144" w:type="dxa"/>
            </w:tcMar>
            <w:vAlign w:val="center"/>
            <w:hideMark/>
          </w:tcPr>
          <w:p w14:paraId="501C7D63"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7,408</w:t>
            </w:r>
          </w:p>
        </w:tc>
        <w:tc>
          <w:tcPr>
            <w:tcW w:w="3827" w:type="dxa"/>
            <w:tcMar>
              <w:top w:w="72" w:type="dxa"/>
              <w:left w:w="144" w:type="dxa"/>
              <w:bottom w:w="72" w:type="dxa"/>
              <w:right w:w="144" w:type="dxa"/>
            </w:tcMar>
            <w:vAlign w:val="center"/>
            <w:hideMark/>
          </w:tcPr>
          <w:p w14:paraId="70031DAC" w14:textId="7884488F"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janes.migavia.com/usa/boeing/boeing-767-300.html","accessed":{"date-parts":[["2021","2","9"]]},"author":[{"dropping-particle":"","family":"All-the-world's-aircraft","given":"","non-dropping-particle":"","parse-names":false,"suffix":""}],"container-title":"All the world's aircraft","id":"ITEM-1","issued":{"date-parts":[["2011"]]},"title":"BOEING 767-300 GENERAL MARKET FREIGHTER","type":"webpage"},"uris":["http://www.mendeley.com/documents/?uuid=00a47045-8d78-3337-abc4-37b5f37c633f"]}],"mendeley":{"formattedCitation":"[122]","plainTextFormattedCitation":"[122]","previouslyFormattedCitation":"[122]"},"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[122]</w:t>
            </w:r>
            <w:r w:rsidRPr="00872636">
              <w:rPr>
                <w:rFonts w:ascii="Times New Roman" w:hAnsi="Times New Roman" w:cs="Times New Roman"/>
                <w:sz w:val="24"/>
                <w:szCs w:val="24"/>
              </w:rPr>
              <w:fldChar w:fldCharType="end"/>
            </w:r>
          </w:p>
        </w:tc>
      </w:tr>
      <w:tr w:rsidR="00F60E44" w:rsidRPr="007D699F" w14:paraId="723375C5" w14:textId="77777777" w:rsidTr="005F13D3">
        <w:trPr>
          <w:trHeight w:val="48"/>
        </w:trPr>
        <w:tc>
          <w:tcPr>
            <w:tcW w:w="3220" w:type="dxa"/>
            <w:vMerge/>
            <w:vAlign w:val="center"/>
            <w:hideMark/>
          </w:tcPr>
          <w:p w14:paraId="1925FF96" w14:textId="77777777" w:rsidR="00F60E44" w:rsidRPr="00872636" w:rsidRDefault="00F60E44" w:rsidP="00872636">
            <w:pPr>
              <w:spacing w:after="0" w:line="276" w:lineRule="auto"/>
              <w:rPr>
                <w:rFonts w:ascii="Times New Roman" w:hAnsi="Times New Roman" w:cs="Times New Roman"/>
                <w:sz w:val="24"/>
                <w:szCs w:val="24"/>
              </w:rPr>
            </w:pPr>
          </w:p>
        </w:tc>
        <w:tc>
          <w:tcPr>
            <w:tcW w:w="1033" w:type="dxa"/>
            <w:tcMar>
              <w:top w:w="72" w:type="dxa"/>
              <w:left w:w="144" w:type="dxa"/>
              <w:bottom w:w="72" w:type="dxa"/>
              <w:right w:w="144" w:type="dxa"/>
            </w:tcMar>
            <w:vAlign w:val="center"/>
            <w:hideMark/>
          </w:tcPr>
          <w:p w14:paraId="61CAE4AC"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nmi</w:t>
            </w:r>
          </w:p>
        </w:tc>
        <w:tc>
          <w:tcPr>
            <w:tcW w:w="1843" w:type="dxa"/>
            <w:tcMar>
              <w:top w:w="72" w:type="dxa"/>
              <w:left w:w="144" w:type="dxa"/>
              <w:bottom w:w="72" w:type="dxa"/>
              <w:right w:w="144" w:type="dxa"/>
            </w:tcMar>
            <w:vAlign w:val="center"/>
            <w:hideMark/>
          </w:tcPr>
          <w:p w14:paraId="3FB389C1"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4,000</w:t>
            </w:r>
          </w:p>
        </w:tc>
        <w:tc>
          <w:tcPr>
            <w:tcW w:w="3827" w:type="dxa"/>
            <w:tcMar>
              <w:top w:w="72" w:type="dxa"/>
              <w:left w:w="144" w:type="dxa"/>
              <w:bottom w:w="72" w:type="dxa"/>
              <w:right w:w="144" w:type="dxa"/>
            </w:tcMar>
            <w:hideMark/>
          </w:tcPr>
          <w:p w14:paraId="65B880D6" w14:textId="19AA39C3"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janes.migavia.com/usa/boeing/boeing-767-300.html","accessed":{"date-parts":[["2021","2","9"]]},"author":[{"dropping-particle":"","family":"All-the-world's-aircraft","given":"","non-dropping-particle":"","parse-names":false,"suffix":""}],"container-title":"All the world's aircraft","id":"ITEM-1","issued":{"date-parts":[["2011"]]},"title":"BOEING 767-300 GENERAL MARKET FREIGHTER","type":"webpage"},"uris":["http://www.mendeley.com/documents/?uuid=00a47045-8d78-3337-abc4-37b5f37c633f"]}],"mendeley":{"formattedCitation":"[122]","plainTextFormattedCitation":"[122]","previouslyFormattedCitation":"[122]"},"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[122]</w:t>
            </w:r>
            <w:r w:rsidRPr="00872636">
              <w:rPr>
                <w:rFonts w:ascii="Times New Roman" w:hAnsi="Times New Roman" w:cs="Times New Roman"/>
                <w:sz w:val="24"/>
                <w:szCs w:val="24"/>
              </w:rPr>
              <w:fldChar w:fldCharType="end"/>
            </w:r>
          </w:p>
        </w:tc>
      </w:tr>
      <w:tr w:rsidR="00F60E44" w:rsidRPr="007D699F" w14:paraId="4B2A25A1" w14:textId="77777777" w:rsidTr="005F13D3">
        <w:trPr>
          <w:trHeight w:val="48"/>
        </w:trPr>
        <w:tc>
          <w:tcPr>
            <w:tcW w:w="3220" w:type="dxa"/>
            <w:vMerge w:val="restart"/>
            <w:tcMar>
              <w:top w:w="72" w:type="dxa"/>
              <w:left w:w="144" w:type="dxa"/>
              <w:bottom w:w="72" w:type="dxa"/>
              <w:right w:w="144" w:type="dxa"/>
            </w:tcMar>
            <w:vAlign w:val="center"/>
            <w:hideMark/>
          </w:tcPr>
          <w:p w14:paraId="3B39F337"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Range with 50,800 kg payload</w:t>
            </w:r>
          </w:p>
        </w:tc>
        <w:tc>
          <w:tcPr>
            <w:tcW w:w="1033" w:type="dxa"/>
            <w:tcMar>
              <w:top w:w="72" w:type="dxa"/>
              <w:left w:w="144" w:type="dxa"/>
              <w:bottom w:w="72" w:type="dxa"/>
              <w:right w:w="144" w:type="dxa"/>
            </w:tcMar>
            <w:vAlign w:val="center"/>
            <w:hideMark/>
          </w:tcPr>
          <w:p w14:paraId="39344725"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km</w:t>
            </w:r>
          </w:p>
        </w:tc>
        <w:tc>
          <w:tcPr>
            <w:tcW w:w="1843" w:type="dxa"/>
            <w:tcMar>
              <w:top w:w="72" w:type="dxa"/>
              <w:left w:w="144" w:type="dxa"/>
              <w:bottom w:w="72" w:type="dxa"/>
              <w:right w:w="144" w:type="dxa"/>
            </w:tcMar>
            <w:vAlign w:val="center"/>
            <w:hideMark/>
          </w:tcPr>
          <w:p w14:paraId="259A18D4"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5,556</w:t>
            </w:r>
          </w:p>
        </w:tc>
        <w:tc>
          <w:tcPr>
            <w:tcW w:w="3827" w:type="dxa"/>
            <w:tcMar>
              <w:top w:w="72" w:type="dxa"/>
              <w:left w:w="144" w:type="dxa"/>
              <w:bottom w:w="72" w:type="dxa"/>
              <w:right w:w="144" w:type="dxa"/>
            </w:tcMar>
            <w:hideMark/>
          </w:tcPr>
          <w:p w14:paraId="23B7544F" w14:textId="2DBC53C8"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janes.migavia.com/usa/boeing/boeing-767-300.html","accessed":{"date-parts":[["2021","2","9"]]},"author":[{"dropping-particle":"","family":"All-the-world's-aircraft","given":"","non-dropping-particle":"","parse-names":false,"suffix":""}],"container-title":"All the world's aircraft","id":"ITEM-1","issued":{"date-parts":[["2011"]]},"title":"BOEING 767-300 GENERAL MARKET FREIGHTER","type":"webpage"},"uris":["http://www.mendeley.com/documents/?uuid=00a47045-8d78-3337-abc4-37b5f37c633f"]}],"mendeley":{"formattedCitation":"[122]","plainTextFormattedCitation":"[122]","previouslyFormattedCitation":"[122]"},"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[122]</w:t>
            </w:r>
            <w:r w:rsidRPr="00872636">
              <w:rPr>
                <w:rFonts w:ascii="Times New Roman" w:hAnsi="Times New Roman" w:cs="Times New Roman"/>
                <w:sz w:val="24"/>
                <w:szCs w:val="24"/>
              </w:rPr>
              <w:fldChar w:fldCharType="end"/>
            </w:r>
          </w:p>
        </w:tc>
      </w:tr>
      <w:tr w:rsidR="00F60E44" w:rsidRPr="007D699F" w14:paraId="6A51EE61" w14:textId="77777777" w:rsidTr="005F13D3">
        <w:trPr>
          <w:trHeight w:val="48"/>
        </w:trPr>
        <w:tc>
          <w:tcPr>
            <w:tcW w:w="3220" w:type="dxa"/>
            <w:vMerge/>
            <w:vAlign w:val="center"/>
            <w:hideMark/>
          </w:tcPr>
          <w:p w14:paraId="2AF25D8B" w14:textId="77777777" w:rsidR="00F60E44" w:rsidRPr="00872636" w:rsidRDefault="00F60E44" w:rsidP="00872636">
            <w:pPr>
              <w:spacing w:after="0" w:line="276" w:lineRule="auto"/>
              <w:rPr>
                <w:rFonts w:ascii="Times New Roman" w:hAnsi="Times New Roman" w:cs="Times New Roman"/>
                <w:sz w:val="24"/>
                <w:szCs w:val="24"/>
              </w:rPr>
            </w:pPr>
          </w:p>
        </w:tc>
        <w:tc>
          <w:tcPr>
            <w:tcW w:w="1033" w:type="dxa"/>
            <w:tcMar>
              <w:top w:w="72" w:type="dxa"/>
              <w:left w:w="144" w:type="dxa"/>
              <w:bottom w:w="72" w:type="dxa"/>
              <w:right w:w="144" w:type="dxa"/>
            </w:tcMar>
            <w:vAlign w:val="center"/>
            <w:hideMark/>
          </w:tcPr>
          <w:p w14:paraId="2EFB5EFC"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nmi</w:t>
            </w:r>
          </w:p>
        </w:tc>
        <w:tc>
          <w:tcPr>
            <w:tcW w:w="1843" w:type="dxa"/>
            <w:tcMar>
              <w:top w:w="72" w:type="dxa"/>
              <w:left w:w="144" w:type="dxa"/>
              <w:bottom w:w="72" w:type="dxa"/>
              <w:right w:w="144" w:type="dxa"/>
            </w:tcMar>
            <w:vAlign w:val="center"/>
            <w:hideMark/>
          </w:tcPr>
          <w:p w14:paraId="7C77B9F1"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3,000</w:t>
            </w:r>
          </w:p>
        </w:tc>
        <w:tc>
          <w:tcPr>
            <w:tcW w:w="3827" w:type="dxa"/>
            <w:tcMar>
              <w:top w:w="72" w:type="dxa"/>
              <w:left w:w="144" w:type="dxa"/>
              <w:bottom w:w="72" w:type="dxa"/>
              <w:right w:w="144" w:type="dxa"/>
            </w:tcMar>
            <w:hideMark/>
          </w:tcPr>
          <w:p w14:paraId="18254EEF" w14:textId="54EC950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janes.migavia.com/usa/boeing/boeing-767-300.html","accessed":{"date-parts":[["2021","2","9"]]},"author":[{"dropping-particle":"","family":"All-the-world's-aircraft","given":"","non-dropping-particle":"","parse-names":false,"suffix":""}],"container-title":"All the world's aircraft","id":"ITEM-1","issued":{"date-parts":[["2011"]]},"title":"BOEING 767-300 GENERAL MARKET FREIGHTER","type":"webpage"},"uris":["http://www.mendeley.com/documents/?uuid=00a47045-8d78-3337-abc4-37b5f37c633f"]}],"mendeley":{"formattedCitation":"[122]","plainTextFormattedCitation":"[122]","previouslyFormattedCitation":"[122]"},"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[122]</w:t>
            </w:r>
            <w:r w:rsidRPr="00872636">
              <w:rPr>
                <w:rFonts w:ascii="Times New Roman" w:hAnsi="Times New Roman" w:cs="Times New Roman"/>
                <w:sz w:val="24"/>
                <w:szCs w:val="24"/>
              </w:rPr>
              <w:fldChar w:fldCharType="end"/>
            </w:r>
          </w:p>
        </w:tc>
      </w:tr>
      <w:tr w:rsidR="00F60E44" w:rsidRPr="007D699F" w14:paraId="1FD7A538" w14:textId="77777777" w:rsidTr="005F13D3">
        <w:trPr>
          <w:trHeight w:val="48"/>
        </w:trPr>
        <w:tc>
          <w:tcPr>
            <w:tcW w:w="3220" w:type="dxa"/>
            <w:tcMar>
              <w:top w:w="72" w:type="dxa"/>
              <w:left w:w="144" w:type="dxa"/>
              <w:bottom w:w="72" w:type="dxa"/>
              <w:right w:w="144" w:type="dxa"/>
            </w:tcMar>
            <w:vAlign w:val="center"/>
            <w:hideMark/>
          </w:tcPr>
          <w:p w14:paraId="6432EAFC"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 xml:space="preserve">Cruise </w:t>
            </w:r>
            <w:r w:rsidRPr="00872636">
              <w:rPr>
                <w:rFonts w:ascii="Times New Roman" w:hAnsi="Times New Roman" w:cs="Times New Roman"/>
                <w:i/>
                <w:iCs/>
                <w:sz w:val="24"/>
                <w:szCs w:val="24"/>
              </w:rPr>
              <w:t>L/D</w:t>
            </w:r>
          </w:p>
        </w:tc>
        <w:tc>
          <w:tcPr>
            <w:tcW w:w="1033" w:type="dxa"/>
            <w:tcMar>
              <w:top w:w="72" w:type="dxa"/>
              <w:left w:w="144" w:type="dxa"/>
              <w:bottom w:w="72" w:type="dxa"/>
              <w:right w:w="144" w:type="dxa"/>
            </w:tcMar>
            <w:vAlign w:val="center"/>
            <w:hideMark/>
          </w:tcPr>
          <w:p w14:paraId="106DA708"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w:t>
            </w:r>
          </w:p>
        </w:tc>
        <w:tc>
          <w:tcPr>
            <w:tcW w:w="1843" w:type="dxa"/>
            <w:tcMar>
              <w:top w:w="72" w:type="dxa"/>
              <w:left w:w="144" w:type="dxa"/>
              <w:bottom w:w="72" w:type="dxa"/>
              <w:right w:w="144" w:type="dxa"/>
            </w:tcMar>
            <w:vAlign w:val="center"/>
            <w:hideMark/>
          </w:tcPr>
          <w:p w14:paraId="59AD9D72"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15-16</w:t>
            </w:r>
          </w:p>
        </w:tc>
        <w:tc>
          <w:tcPr>
            <w:tcW w:w="3827" w:type="dxa"/>
            <w:tcMar>
              <w:top w:w="72" w:type="dxa"/>
              <w:left w:w="144" w:type="dxa"/>
              <w:bottom w:w="72" w:type="dxa"/>
              <w:right w:w="144" w:type="dxa"/>
            </w:tcMar>
            <w:vAlign w:val="center"/>
            <w:hideMark/>
          </w:tcPr>
          <w:p w14:paraId="747DF973" w14:textId="3E35B46A"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 xml:space="preserve">Estimated using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{"citationItems":[{"id":"ITEM-1","itemData":{"URL":"http://web.mit.edu/aeroastro/sites/waitz/publications/Babikian.pdf","abstract":"To develop approaches that effectively reduce aircraft emissions, it is necessary to understand the mechanisms that have enabled historical improvements in aircraft efficiency. This paper focuses on the impact of regional aircraft on the U.S. aviation system and examines the technological, operational and cost characteristics of turboprop and regional jet aircraft. Regional aircraft are 40% to 60% less fuel efficient than their larger narrow-and wide-body counterparts, while regional jets are 10% to 60% less fuel efficient than turboprops. Fuel efficiency differences can be explained largely by differences in aircraft operations, not technology. Direct operating costs per revenue passenger kilometer are 2.5 to 6 times higher for regional aircraft because they operate at lower load factors and perform fewer miles over which to spread fixed costs. Further, despite incurring higher fuel costs, regional jets are shown to have operating costs similar to turboprops when flown over comparable stage lengths.","accessed":{"date-parts":[["2021","2","8"]]},"author":[{"dropping-particle":"","family":"Babikian","given":"Raffi","non-dropping-particle":"","parse-names":false,"suffix":""},{"dropping-particle":"","family":"Lukachko","given":"Stephen P","non-dropping-particle":"","parse-names":false,"suffix":""},{"dropping-particle":"","family":"Waitz","given":"Ian A","non-dropping-particle":"","parse-names":false,"suffix":""}],"id":"ITEM-1","issued":{"date-parts":[["2001"]]},"title":"The Historical Fuel Efficiency Characteristics of Regional Aircraft from Technological, Operational, and Cost Perspectives","type":"webpage"},"uris":["http://www.mendeley.com/documents/?uuid=0c25fa9f-c1db-3fd8-8734-9a416a674fb6"]}],"mendeley":{"formattedCitation":"[121]","plainTextFormattedCitation":"[121]","previouslyFormattedCitation":"[121]"},"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[121]</w:t>
            </w:r>
            <w:r w:rsidRPr="00872636">
              <w:rPr>
                <w:rFonts w:ascii="Times New Roman" w:hAnsi="Times New Roman" w:cs="Times New Roman"/>
                <w:sz w:val="24"/>
                <w:szCs w:val="24"/>
              </w:rPr>
              <w:fldChar w:fldCharType="end"/>
            </w:r>
          </w:p>
        </w:tc>
      </w:tr>
      <w:tr w:rsidR="00F60E44" w:rsidRPr="007D699F" w14:paraId="6A27C7CD" w14:textId="77777777" w:rsidTr="005F13D3">
        <w:trPr>
          <w:trHeight w:val="48"/>
        </w:trPr>
        <w:tc>
          <w:tcPr>
            <w:tcW w:w="3220" w:type="dxa"/>
            <w:tcMar>
              <w:top w:w="72" w:type="dxa"/>
              <w:left w:w="144" w:type="dxa"/>
              <w:bottom w:w="72" w:type="dxa"/>
              <w:right w:w="144" w:type="dxa"/>
            </w:tcMar>
            <w:vAlign w:val="center"/>
            <w:hideMark/>
          </w:tcPr>
          <w:p w14:paraId="2EEA1350"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Overall efficiency (</w:t>
            </w:r>
            <w:r w:rsidRPr="00872636">
              <w:rPr>
                <w:rFonts w:ascii="Times New Roman" w:hAnsi="Times New Roman" w:cs="Times New Roman"/>
                <w:i/>
                <w:iCs/>
                <w:sz w:val="24"/>
                <w:szCs w:val="24"/>
              </w:rPr>
              <w:t>η</w:t>
            </w:r>
            <w:r w:rsidRPr="00872636">
              <w:rPr>
                <w:rFonts w:ascii="Times New Roman" w:hAnsi="Times New Roman" w:cs="Times New Roman"/>
                <w:sz w:val="24"/>
                <w:szCs w:val="24"/>
                <w:vertAlign w:val="subscript"/>
              </w:rPr>
              <w:t>o</w:t>
            </w:r>
            <w:r w:rsidRPr="00872636">
              <w:rPr>
                <w:rFonts w:ascii="Times New Roman" w:hAnsi="Times New Roman" w:cs="Times New Roman"/>
                <w:sz w:val="24"/>
                <w:szCs w:val="24"/>
              </w:rPr>
              <w:t>)</w:t>
            </w:r>
          </w:p>
        </w:tc>
        <w:tc>
          <w:tcPr>
            <w:tcW w:w="1033" w:type="dxa"/>
            <w:tcMar>
              <w:top w:w="72" w:type="dxa"/>
              <w:left w:w="144" w:type="dxa"/>
              <w:bottom w:w="72" w:type="dxa"/>
              <w:right w:w="144" w:type="dxa"/>
            </w:tcMar>
            <w:vAlign w:val="center"/>
            <w:hideMark/>
          </w:tcPr>
          <w:p w14:paraId="64F39FDA"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w:t>
            </w:r>
          </w:p>
        </w:tc>
        <w:tc>
          <w:tcPr>
            <w:tcW w:w="1843" w:type="dxa"/>
            <w:tcMar>
              <w:top w:w="72" w:type="dxa"/>
              <w:left w:w="144" w:type="dxa"/>
              <w:bottom w:w="72" w:type="dxa"/>
              <w:right w:w="144" w:type="dxa"/>
            </w:tcMar>
            <w:vAlign w:val="center"/>
            <w:hideMark/>
          </w:tcPr>
          <w:p w14:paraId="71486C72"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0.34</w:t>
            </w:r>
          </w:p>
        </w:tc>
        <w:tc>
          <w:tcPr>
            <w:tcW w:w="3827" w:type="dxa"/>
            <w:tcMar>
              <w:top w:w="72" w:type="dxa"/>
              <w:left w:w="144" w:type="dxa"/>
              <w:bottom w:w="72" w:type="dxa"/>
              <w:right w:w="144" w:type="dxa"/>
            </w:tcMar>
            <w:vAlign w:val="center"/>
            <w:hideMark/>
          </w:tcPr>
          <w:p w14:paraId="02755418" w14:textId="087C12D5"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 xml:space="preserve">Estimated using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10.17226/23490","ISBN":"978-0-309-44096-7","author":[{"dropping-particle":"","family":"National-Academies-of-Sciences-Engineering-and-Medicine","given":"","non-dropping-particle":"","parse-names":false,"suffix":""}],"id":"ITEM-1","issued":{"date-parts":[["2016"]]},"publisher":"National Academies Press","publisher-place":"Washington, D.C.","title":"Commercial Aircraft Propulsion and Energy Systems Research","type":"book"},"uris":["http://www.mendeley.com/documents/?uuid=922fb516-ec8a-3d0d-a931-86f4ad60d23d"]},{"id":"ITEM-2","itemData":{"author":[{"dropping-particle":"","family":"Lironi","given":"Paolo","non-dropping-particle":"","parse-names":false,"suffix":""}],"id":"ITEM-2","issued":{"date-parts":[["2007"]]},"title":"CF6-80C2 engine history and evolution","type":"report"},"uris":["http://www.mendeley.com/documents/?uuid=fc12459d-10fa-3946-b246-a8b5d3999141"]}],"mendeley":{"formattedCitation":"[109], [124]","plainTextFormattedCitation":"[109], [124]","previouslyFormattedCitation":"[109], [124]"},"properties":{"noteIndex":0},"schema":"https://github.com/citation-style-language/schema/raw/master/csl-citation.json"}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[109], [124]</w:t>
            </w:r>
            <w:r w:rsidRPr="00872636">
              <w:rPr>
                <w:rFonts w:ascii="Times New Roman" w:hAnsi="Times New Roman" w:cs="Times New Roman"/>
                <w:sz w:val="24"/>
                <w:szCs w:val="24"/>
              </w:rPr>
              <w:fldChar w:fldCharType="end"/>
            </w:r>
          </w:p>
        </w:tc>
      </w:tr>
      <w:tr w:rsidR="00F60E44" w:rsidRPr="007D699F" w14:paraId="5CDF5405" w14:textId="77777777" w:rsidTr="005F13D3">
        <w:trPr>
          <w:trHeight w:val="48"/>
        </w:trPr>
        <w:tc>
          <w:tcPr>
            <w:tcW w:w="3220" w:type="dxa"/>
            <w:tcMar>
              <w:top w:w="72" w:type="dxa"/>
              <w:left w:w="144" w:type="dxa"/>
              <w:bottom w:w="72" w:type="dxa"/>
              <w:right w:w="144" w:type="dxa"/>
            </w:tcMar>
            <w:vAlign w:val="center"/>
            <w:hideMark/>
          </w:tcPr>
          <w:p w14:paraId="1328EE53"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Wing area</w:t>
            </w:r>
          </w:p>
        </w:tc>
        <w:tc>
          <w:tcPr>
            <w:tcW w:w="1033" w:type="dxa"/>
            <w:tcMar>
              <w:top w:w="72" w:type="dxa"/>
              <w:left w:w="144" w:type="dxa"/>
              <w:bottom w:w="72" w:type="dxa"/>
              <w:right w:w="144" w:type="dxa"/>
            </w:tcMar>
            <w:vAlign w:val="center"/>
            <w:hideMark/>
          </w:tcPr>
          <w:p w14:paraId="244BB162"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m</w:t>
            </w:r>
            <w:r w:rsidRPr="00872636">
              <w:rPr>
                <w:rFonts w:ascii="Times New Roman" w:hAnsi="Times New Roman" w:cs="Times New Roman"/>
                <w:sz w:val="24"/>
                <w:szCs w:val="24"/>
                <w:vertAlign w:val="superscript"/>
              </w:rPr>
              <w:t>2</w:t>
            </w:r>
            <w:r w:rsidRPr="00872636">
              <w:rPr>
                <w:rFonts w:ascii="Times New Roman" w:hAnsi="Times New Roman" w:cs="Times New Roman"/>
                <w:sz w:val="24"/>
                <w:szCs w:val="24"/>
              </w:rPr>
              <w:t xml:space="preserve"> or ft</w:t>
            </w:r>
            <w:r w:rsidRPr="00872636">
              <w:rPr>
                <w:rFonts w:ascii="Times New Roman" w:hAnsi="Times New Roman" w:cs="Times New Roman"/>
                <w:sz w:val="24"/>
                <w:szCs w:val="24"/>
                <w:vertAlign w:val="superscript"/>
              </w:rPr>
              <w:t>2</w:t>
            </w:r>
          </w:p>
        </w:tc>
        <w:tc>
          <w:tcPr>
            <w:tcW w:w="1843" w:type="dxa"/>
            <w:tcMar>
              <w:top w:w="72" w:type="dxa"/>
              <w:left w:w="144" w:type="dxa"/>
              <w:bottom w:w="72" w:type="dxa"/>
              <w:right w:w="144" w:type="dxa"/>
            </w:tcMar>
            <w:vAlign w:val="center"/>
            <w:hideMark/>
          </w:tcPr>
          <w:p w14:paraId="06E0BE2B"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282.3 or 3,050</w:t>
            </w:r>
          </w:p>
        </w:tc>
        <w:tc>
          <w:tcPr>
            <w:tcW w:w="3827" w:type="dxa"/>
            <w:tcMar>
              <w:top w:w="72" w:type="dxa"/>
              <w:left w:w="144" w:type="dxa"/>
              <w:bottom w:w="72" w:type="dxa"/>
              <w:right w:w="144" w:type="dxa"/>
            </w:tcMar>
            <w:vAlign w:val="center"/>
            <w:hideMark/>
          </w:tcPr>
          <w:p w14:paraId="76EC289F" w14:textId="799E007A"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s://booksite.elsevier.com/9780340741528/appendices/data-a/table-3/table.htm","accessed":{"date-parts":[["2021","2","9"]]},"author":[{"dropping-particle":"","family":"Butterworth-Heinemann","given":"","non-dropping-particle":"","parse-names":false,"suffix":""}],"container-title":"Elsevier","id":"ITEM-1","issued":{"date-parts":[["2001"]]},"title":"Civil Jet Aircraft Design - Aircraft Data File - Boeing Aircraft","type":"webpage"},"uris":["http://www.mendeley.com/documents/?uuid=e23124b7-b36e-3cd9-b4a4-505de74d775d"]}],"mendeley":{"formattedCitation":"[125]","plainTextFormattedCitation":"[125]","previouslyFormattedCitation":"[125]"},"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[125]</w:t>
            </w:r>
            <w:r w:rsidRPr="00872636">
              <w:rPr>
                <w:rFonts w:ascii="Times New Roman" w:hAnsi="Times New Roman" w:cs="Times New Roman"/>
                <w:sz w:val="24"/>
                <w:szCs w:val="24"/>
              </w:rPr>
              <w:fldChar w:fldCharType="end"/>
            </w:r>
          </w:p>
        </w:tc>
      </w:tr>
      <w:tr w:rsidR="00F60E44" w:rsidRPr="007D699F" w14:paraId="24DB7FD5" w14:textId="77777777" w:rsidTr="005F13D3">
        <w:trPr>
          <w:trHeight w:val="48"/>
        </w:trPr>
        <w:tc>
          <w:tcPr>
            <w:tcW w:w="3220" w:type="dxa"/>
            <w:tcMar>
              <w:top w:w="72" w:type="dxa"/>
              <w:left w:w="144" w:type="dxa"/>
              <w:bottom w:w="72" w:type="dxa"/>
              <w:right w:w="144" w:type="dxa"/>
            </w:tcMar>
            <w:vAlign w:val="center"/>
            <w:hideMark/>
          </w:tcPr>
          <w:p w14:paraId="7EA7322F"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Aspect ratio</w:t>
            </w:r>
          </w:p>
        </w:tc>
        <w:tc>
          <w:tcPr>
            <w:tcW w:w="1033" w:type="dxa"/>
            <w:tcMar>
              <w:top w:w="72" w:type="dxa"/>
              <w:left w:w="144" w:type="dxa"/>
              <w:bottom w:w="72" w:type="dxa"/>
              <w:right w:w="144" w:type="dxa"/>
            </w:tcMar>
            <w:vAlign w:val="center"/>
            <w:hideMark/>
          </w:tcPr>
          <w:p w14:paraId="6F3D2444"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w:t>
            </w:r>
          </w:p>
        </w:tc>
        <w:tc>
          <w:tcPr>
            <w:tcW w:w="1843" w:type="dxa"/>
            <w:tcMar>
              <w:top w:w="72" w:type="dxa"/>
              <w:left w:w="144" w:type="dxa"/>
              <w:bottom w:w="72" w:type="dxa"/>
              <w:right w:w="144" w:type="dxa"/>
            </w:tcMar>
            <w:vAlign w:val="center"/>
            <w:hideMark/>
          </w:tcPr>
          <w:p w14:paraId="17A533D3"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7.99</w:t>
            </w:r>
          </w:p>
        </w:tc>
        <w:tc>
          <w:tcPr>
            <w:tcW w:w="3827" w:type="dxa"/>
            <w:tcMar>
              <w:top w:w="72" w:type="dxa"/>
              <w:left w:w="144" w:type="dxa"/>
              <w:bottom w:w="72" w:type="dxa"/>
              <w:right w:w="144" w:type="dxa"/>
            </w:tcMar>
            <w:vAlign w:val="center"/>
            <w:hideMark/>
          </w:tcPr>
          <w:p w14:paraId="37C1E784" w14:textId="322522F1"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s://booksite.elsevier.com/9780340741528/appendices/data-a/table-3/table.htm","accessed":{"date-parts":[["2021","2","9"]]},"author":[{"dropping-particle":"","family":"Butterworth-Heinemann","given":"","non-dropping-particle":"","parse-names":false,"suffix":""}],"container-title":"Elsevier","id":"ITEM-1","issued":{"date-parts":[["2001"]]},"title":"Civil Jet Aircraft Design - Aircraft Data File - Boeing Aircraft","type":"webpage"},"uris":["http://www.mendeley.com/documents/?uuid=e23124b7-b36e-3cd9-b4a4-505de74d775d"]}],"mendeley":{"formattedCitation":"[125]","plainTextFormattedCitation":"[125]","previouslyFormattedCitation":"[125]"},"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[125]</w:t>
            </w:r>
            <w:r w:rsidRPr="00872636">
              <w:rPr>
                <w:rFonts w:ascii="Times New Roman" w:hAnsi="Times New Roman" w:cs="Times New Roman"/>
                <w:sz w:val="24"/>
                <w:szCs w:val="24"/>
              </w:rPr>
              <w:fldChar w:fldCharType="end"/>
            </w:r>
          </w:p>
        </w:tc>
      </w:tr>
      <w:tr w:rsidR="00F60E44" w:rsidRPr="007D699F" w14:paraId="07E12A21" w14:textId="77777777" w:rsidTr="005F13D3">
        <w:trPr>
          <w:trHeight w:val="48"/>
        </w:trPr>
        <w:tc>
          <w:tcPr>
            <w:tcW w:w="3220" w:type="dxa"/>
            <w:tcMar>
              <w:top w:w="72" w:type="dxa"/>
              <w:left w:w="144" w:type="dxa"/>
              <w:bottom w:w="72" w:type="dxa"/>
              <w:right w:w="144" w:type="dxa"/>
            </w:tcMar>
            <w:vAlign w:val="center"/>
            <w:hideMark/>
          </w:tcPr>
          <w:p w14:paraId="13C3CFCB"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Cruise Mach</w:t>
            </w:r>
          </w:p>
        </w:tc>
        <w:tc>
          <w:tcPr>
            <w:tcW w:w="1033" w:type="dxa"/>
            <w:tcMar>
              <w:top w:w="72" w:type="dxa"/>
              <w:left w:w="144" w:type="dxa"/>
              <w:bottom w:w="72" w:type="dxa"/>
              <w:right w:w="144" w:type="dxa"/>
            </w:tcMar>
            <w:vAlign w:val="center"/>
            <w:hideMark/>
          </w:tcPr>
          <w:p w14:paraId="5A07682D"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w:t>
            </w:r>
          </w:p>
        </w:tc>
        <w:tc>
          <w:tcPr>
            <w:tcW w:w="1843" w:type="dxa"/>
            <w:tcMar>
              <w:top w:w="72" w:type="dxa"/>
              <w:left w:w="144" w:type="dxa"/>
              <w:bottom w:w="72" w:type="dxa"/>
              <w:right w:w="144" w:type="dxa"/>
            </w:tcMar>
            <w:vAlign w:val="center"/>
            <w:hideMark/>
          </w:tcPr>
          <w:p w14:paraId="6934607C"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0.8</w:t>
            </w:r>
          </w:p>
        </w:tc>
        <w:tc>
          <w:tcPr>
            <w:tcW w:w="3827" w:type="dxa"/>
            <w:tcMar>
              <w:top w:w="72" w:type="dxa"/>
              <w:left w:w="144" w:type="dxa"/>
              <w:bottom w:w="72" w:type="dxa"/>
              <w:right w:w="144" w:type="dxa"/>
            </w:tcMar>
            <w:vAlign w:val="center"/>
            <w:hideMark/>
          </w:tcPr>
          <w:p w14:paraId="19666298" w14:textId="3BDBDC71"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www.boeing.com/farnborough2014/pdf/BCA/bck-767_5_13_2014.pdf","accessed":{"date-parts":[["2021","2","9"]]},"author":[{"dropping-particle":"","family":"Boeing","given":"","non-dropping-particle":"","parse-names":false,"suffix":""}],"container-title":"Boeing","id":"ITEM-1","issued":{"date-parts":[["2014"]]},"title":"The Boeing 767-300 Freighter - The newest member of the Boeing Frieghter Family","type":"webpage"},"uris":["http://www.mendeley.com/documents/?uuid=ed9485e3-d8a1-3dff-ac02-4cd2c0e5eb7e"]}],"mendeley":{"formattedCitation":"[123]","plainTextFormattedCitation":"[123]","previouslyFormattedCitation":"[123]"},"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[123]</w:t>
            </w:r>
            <w:r w:rsidRPr="00872636">
              <w:rPr>
                <w:rFonts w:ascii="Times New Roman" w:hAnsi="Times New Roman" w:cs="Times New Roman"/>
                <w:sz w:val="24"/>
                <w:szCs w:val="24"/>
              </w:rPr>
              <w:fldChar w:fldCharType="end"/>
            </w:r>
          </w:p>
        </w:tc>
      </w:tr>
      <w:tr w:rsidR="00F60E44" w:rsidRPr="007D699F" w14:paraId="1929951D" w14:textId="77777777" w:rsidTr="005F13D3">
        <w:trPr>
          <w:trHeight w:val="48"/>
        </w:trPr>
        <w:tc>
          <w:tcPr>
            <w:tcW w:w="3220" w:type="dxa"/>
            <w:tcMar>
              <w:top w:w="72" w:type="dxa"/>
              <w:left w:w="144" w:type="dxa"/>
              <w:bottom w:w="72" w:type="dxa"/>
              <w:right w:w="144" w:type="dxa"/>
            </w:tcMar>
            <w:vAlign w:val="center"/>
            <w:hideMark/>
          </w:tcPr>
          <w:p w14:paraId="6419DD59"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Cruise altitude</w:t>
            </w:r>
          </w:p>
        </w:tc>
        <w:tc>
          <w:tcPr>
            <w:tcW w:w="1033" w:type="dxa"/>
            <w:tcMar>
              <w:top w:w="72" w:type="dxa"/>
              <w:left w:w="144" w:type="dxa"/>
              <w:bottom w:w="72" w:type="dxa"/>
              <w:right w:w="144" w:type="dxa"/>
            </w:tcMar>
            <w:vAlign w:val="center"/>
            <w:hideMark/>
          </w:tcPr>
          <w:p w14:paraId="4F4D835C"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ft or km</w:t>
            </w:r>
          </w:p>
        </w:tc>
        <w:tc>
          <w:tcPr>
            <w:tcW w:w="1843" w:type="dxa"/>
            <w:tcMar>
              <w:top w:w="72" w:type="dxa"/>
              <w:left w:w="144" w:type="dxa"/>
              <w:bottom w:w="72" w:type="dxa"/>
              <w:right w:w="144" w:type="dxa"/>
            </w:tcMar>
            <w:vAlign w:val="center"/>
            <w:hideMark/>
          </w:tcPr>
          <w:p w14:paraId="6BB54D11"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35,000 or 10.67</w:t>
            </w:r>
          </w:p>
        </w:tc>
        <w:tc>
          <w:tcPr>
            <w:tcW w:w="3827" w:type="dxa"/>
            <w:tcMar>
              <w:top w:w="72" w:type="dxa"/>
              <w:left w:w="144" w:type="dxa"/>
              <w:bottom w:w="72" w:type="dxa"/>
              <w:right w:w="144" w:type="dxa"/>
            </w:tcMar>
            <w:vAlign w:val="center"/>
            <w:hideMark/>
          </w:tcPr>
          <w:p w14:paraId="255A6D8E" w14:textId="6521FCDA"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www.boeing.com/farnborough2014/pdf/BCA/bck-767_5_13_2014.pdf","accessed":{"date-parts":[["2021","2","9"]]},"author":[{"dropping-particle":"","family":"Boeing","given":"","non-dropping-particle":"","parse-names":false,"suffix":""}],"container-title":"Boeing","id":"ITEM-1","issued":{"date-parts":[["2014"]]},"title":"The Boeing 767-300 Freighter - The newest member of the Boeing Frieghter Family","type":"webpage"},"uris":["http://www.mendeley.com/documents/?uuid=ed9485e3-d8a1-3dff-ac02-4cd2c0e5eb7e"]}],"mendeley":{"formattedCitation":"[123]","plainTextFormattedCitation":"[123]","previouslyFormattedCitation":"[123]"},"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[123]</w:t>
            </w:r>
            <w:r w:rsidRPr="00872636">
              <w:rPr>
                <w:rFonts w:ascii="Times New Roman" w:hAnsi="Times New Roman" w:cs="Times New Roman"/>
                <w:sz w:val="24"/>
                <w:szCs w:val="24"/>
              </w:rPr>
              <w:fldChar w:fldCharType="end"/>
            </w:r>
          </w:p>
        </w:tc>
      </w:tr>
      <w:tr w:rsidR="00F60E44" w:rsidRPr="007D699F" w14:paraId="4853DA66" w14:textId="77777777" w:rsidTr="005F13D3">
        <w:trPr>
          <w:trHeight w:val="48"/>
        </w:trPr>
        <w:tc>
          <w:tcPr>
            <w:tcW w:w="3220" w:type="dxa"/>
            <w:tcMar>
              <w:top w:w="72" w:type="dxa"/>
              <w:left w:w="144" w:type="dxa"/>
              <w:bottom w:w="72" w:type="dxa"/>
              <w:right w:w="144" w:type="dxa"/>
            </w:tcMar>
            <w:vAlign w:val="center"/>
            <w:hideMark/>
          </w:tcPr>
          <w:p w14:paraId="6B4A39AC"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Air density at cruise altitude</w:t>
            </w:r>
          </w:p>
        </w:tc>
        <w:tc>
          <w:tcPr>
            <w:tcW w:w="1033" w:type="dxa"/>
            <w:tcMar>
              <w:top w:w="72" w:type="dxa"/>
              <w:left w:w="144" w:type="dxa"/>
              <w:bottom w:w="72" w:type="dxa"/>
              <w:right w:w="144" w:type="dxa"/>
            </w:tcMar>
            <w:vAlign w:val="center"/>
            <w:hideMark/>
          </w:tcPr>
          <w:p w14:paraId="199367E9"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kg/m</w:t>
            </w:r>
            <w:r w:rsidRPr="00872636">
              <w:rPr>
                <w:rFonts w:ascii="Times New Roman" w:hAnsi="Times New Roman" w:cs="Times New Roman"/>
                <w:sz w:val="24"/>
                <w:szCs w:val="24"/>
                <w:vertAlign w:val="superscript"/>
              </w:rPr>
              <w:t>3</w:t>
            </w:r>
          </w:p>
        </w:tc>
        <w:tc>
          <w:tcPr>
            <w:tcW w:w="1843" w:type="dxa"/>
            <w:tcMar>
              <w:top w:w="72" w:type="dxa"/>
              <w:left w:w="144" w:type="dxa"/>
              <w:bottom w:w="72" w:type="dxa"/>
              <w:right w:w="144" w:type="dxa"/>
            </w:tcMar>
            <w:vAlign w:val="center"/>
            <w:hideMark/>
          </w:tcPr>
          <w:p w14:paraId="470602D4"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0.38</w:t>
            </w:r>
          </w:p>
        </w:tc>
        <w:tc>
          <w:tcPr>
            <w:tcW w:w="3827" w:type="dxa"/>
            <w:tcMar>
              <w:top w:w="72" w:type="dxa"/>
              <w:left w:w="144" w:type="dxa"/>
              <w:bottom w:w="72" w:type="dxa"/>
              <w:right w:w="144" w:type="dxa"/>
            </w:tcMar>
            <w:vAlign w:val="center"/>
            <w:hideMark/>
          </w:tcPr>
          <w:p w14:paraId="4CA746CC" w14:textId="170F0D7F"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 xml:space="preserve">Calculated using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s://www.digitaldutch.com/atmoscalc/","accessed":{"date-parts":[["2021","2","9"]]},"author":[{"dropping-particle":"","family":"Digital-Dutch","given":"","non-dropping-particle":"","parse-names":false,"suffix":""}],"container-title":"Digital Dutch","id":"ITEM-1","issued":{"date-parts":[["1999"]]},"title":"1976 Standard Atmosphere Calculator","type":"webpage"},"uris":["http://www.mendeley.com/documents/?uuid=491bc11a-4410-350c-a8c6-92bed5784f3c"]}],"mendeley":{"formattedCitation":"[120]","plainTextFormattedCitation":"[120]","previouslyFormattedCitation":"[120]"},"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[120]</w:t>
            </w:r>
            <w:r w:rsidRPr="00872636">
              <w:rPr>
                <w:rFonts w:ascii="Times New Roman" w:hAnsi="Times New Roman" w:cs="Times New Roman"/>
                <w:sz w:val="24"/>
                <w:szCs w:val="24"/>
              </w:rPr>
              <w:fldChar w:fldCharType="end"/>
            </w:r>
          </w:p>
        </w:tc>
      </w:tr>
      <w:tr w:rsidR="00F60E44" w:rsidRPr="007D699F" w14:paraId="6FA08026" w14:textId="77777777" w:rsidTr="005F13D3">
        <w:trPr>
          <w:trHeight w:val="48"/>
        </w:trPr>
        <w:tc>
          <w:tcPr>
            <w:tcW w:w="3220" w:type="dxa"/>
            <w:tcBorders>
              <w:top w:val="nil"/>
              <w:left w:val="nil"/>
              <w:bottom w:val="single" w:sz="4" w:space="0" w:color="auto"/>
              <w:right w:val="nil"/>
            </w:tcBorders>
            <w:tcMar>
              <w:top w:w="72" w:type="dxa"/>
              <w:left w:w="144" w:type="dxa"/>
              <w:bottom w:w="72" w:type="dxa"/>
              <w:right w:w="144" w:type="dxa"/>
            </w:tcMar>
            <w:vAlign w:val="center"/>
            <w:hideMark/>
          </w:tcPr>
          <w:p w14:paraId="53EE502C"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Speed of sound at cruise altitude</w:t>
            </w:r>
          </w:p>
        </w:tc>
        <w:tc>
          <w:tcPr>
            <w:tcW w:w="1033" w:type="dxa"/>
            <w:tcBorders>
              <w:top w:val="nil"/>
              <w:left w:val="nil"/>
              <w:bottom w:val="single" w:sz="4" w:space="0" w:color="auto"/>
              <w:right w:val="nil"/>
            </w:tcBorders>
            <w:tcMar>
              <w:top w:w="72" w:type="dxa"/>
              <w:left w:w="144" w:type="dxa"/>
              <w:bottom w:w="72" w:type="dxa"/>
              <w:right w:w="144" w:type="dxa"/>
            </w:tcMar>
            <w:vAlign w:val="center"/>
            <w:hideMark/>
          </w:tcPr>
          <w:p w14:paraId="78868F02"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m/s</w:t>
            </w:r>
          </w:p>
        </w:tc>
        <w:tc>
          <w:tcPr>
            <w:tcW w:w="1843" w:type="dxa"/>
            <w:tcBorders>
              <w:top w:val="nil"/>
              <w:left w:val="nil"/>
              <w:bottom w:val="single" w:sz="4" w:space="0" w:color="auto"/>
              <w:right w:val="nil"/>
            </w:tcBorders>
            <w:tcMar>
              <w:top w:w="72" w:type="dxa"/>
              <w:left w:w="144" w:type="dxa"/>
              <w:bottom w:w="72" w:type="dxa"/>
              <w:right w:w="144" w:type="dxa"/>
            </w:tcMar>
            <w:vAlign w:val="center"/>
            <w:hideMark/>
          </w:tcPr>
          <w:p w14:paraId="5D293690"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296.54</w:t>
            </w:r>
          </w:p>
        </w:tc>
        <w:tc>
          <w:tcPr>
            <w:tcW w:w="3827" w:type="dxa"/>
            <w:tcBorders>
              <w:top w:val="nil"/>
              <w:left w:val="nil"/>
              <w:bottom w:val="single" w:sz="4" w:space="0" w:color="auto"/>
              <w:right w:val="nil"/>
            </w:tcBorders>
            <w:tcMar>
              <w:top w:w="72" w:type="dxa"/>
              <w:left w:w="144" w:type="dxa"/>
              <w:bottom w:w="72" w:type="dxa"/>
              <w:right w:w="144" w:type="dxa"/>
            </w:tcMar>
            <w:vAlign w:val="center"/>
            <w:hideMark/>
          </w:tcPr>
          <w:p w14:paraId="111F0F74" w14:textId="3524FA2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 xml:space="preserve">Calculated using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s://www.digitaldutch.com/atmoscalc/","accessed":{"date-parts":[["2021","2","9"]]},"author":[{"dropping-particle":"","family":"Digital-Dutch","given":"","non-dropping-particle":"","parse-names":false,"suffix":""}],"container-title":"Digital Dutch","id":"ITEM-1","issued":{"date-parts":[["1999"]]},"title":"1976 Standard Atmosphere Calculator","type":"webpage"},"uris":["http://www.mendeley.com/documents/?uuid=491bc11a-4410-350c-a8c6-92bed5784f3c"]}],"mendeley":{"formattedCitation":"[120]","plainTextFormattedCitation":"[120]","previouslyFormattedCitation":"[120]"},"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[120]</w:t>
            </w:r>
            <w:r w:rsidRPr="00872636">
              <w:rPr>
                <w:rFonts w:ascii="Times New Roman" w:hAnsi="Times New Roman" w:cs="Times New Roman"/>
                <w:sz w:val="24"/>
                <w:szCs w:val="24"/>
              </w:rPr>
              <w:fldChar w:fldCharType="end"/>
            </w:r>
          </w:p>
        </w:tc>
      </w:tr>
    </w:tbl>
    <w:p w14:paraId="11DE0D2A" w14:textId="3E2620EB" w:rsidR="000764C5" w:rsidRPr="00872636" w:rsidRDefault="00F60E44" w:rsidP="005F13D3">
      <w:pPr>
        <w:tabs>
          <w:tab w:val="left" w:pos="567"/>
        </w:tabs>
        <w:spacing w:line="480" w:lineRule="auto"/>
        <w:jc w:val="both"/>
        <w:rPr>
          <w:rFonts w:ascii="Times New Roman" w:hAnsi="Times New Roman" w:cs="Times New Roman"/>
          <w:sz w:val="24"/>
          <w:szCs w:val="24"/>
        </w:rPr>
      </w:pPr>
      <w:r w:rsidRPr="00872636">
        <w:rPr>
          <w:rFonts w:ascii="Times New Roman" w:hAnsi="Times New Roman" w:cs="Times New Roman"/>
          <w:sz w:val="24"/>
          <w:szCs w:val="24"/>
        </w:rPr>
        <w:t xml:space="preserve"> </w:t>
      </w:r>
    </w:p>
    <w:tbl>
      <w:tblPr>
        <w:tblW w:w="9424" w:type="dxa"/>
        <w:jc w:val="center"/>
        <w:tblCellMar>
          <w:left w:w="0" w:type="dxa"/>
          <w:right w:w="0" w:type="dxa"/>
        </w:tblCellMar>
        <w:tblLook w:val="0420" w:firstRow="1" w:lastRow="0" w:firstColumn="0" w:lastColumn="0" w:noHBand="0" w:noVBand="1"/>
      </w:tblPr>
      <w:tblGrid>
        <w:gridCol w:w="3119"/>
        <w:gridCol w:w="1559"/>
        <w:gridCol w:w="2410"/>
        <w:gridCol w:w="2336"/>
      </w:tblGrid>
      <w:tr w:rsidR="00F60E44" w:rsidRPr="007D699F" w14:paraId="7C98CFB7" w14:textId="77777777" w:rsidTr="00F60E44">
        <w:trPr>
          <w:trHeight w:val="224"/>
          <w:jc w:val="center"/>
        </w:trPr>
        <w:tc>
          <w:tcPr>
            <w:tcW w:w="9424" w:type="dxa"/>
            <w:gridSpan w:val="4"/>
            <w:tcBorders>
              <w:top w:val="nil"/>
              <w:left w:val="nil"/>
              <w:bottom w:val="single" w:sz="4" w:space="0" w:color="auto"/>
              <w:right w:val="nil"/>
            </w:tcBorders>
            <w:tcMar>
              <w:top w:w="72" w:type="dxa"/>
              <w:left w:w="144" w:type="dxa"/>
              <w:bottom w:w="72" w:type="dxa"/>
              <w:right w:w="144" w:type="dxa"/>
            </w:tcMar>
            <w:vAlign w:val="center"/>
            <w:hideMark/>
          </w:tcPr>
          <w:p w14:paraId="5689B95C" w14:textId="0952F107" w:rsidR="00F60E44" w:rsidRPr="00872636" w:rsidRDefault="00F60E44" w:rsidP="00872636">
            <w:pPr>
              <w:spacing w:after="0" w:line="276" w:lineRule="auto"/>
              <w:jc w:val="center"/>
              <w:rPr>
                <w:rFonts w:ascii="Times New Roman" w:hAnsi="Times New Roman" w:cs="Times New Roman"/>
                <w:b/>
                <w:sz w:val="24"/>
                <w:szCs w:val="24"/>
              </w:rPr>
            </w:pPr>
            <w:r w:rsidRPr="00872636">
              <w:rPr>
                <w:rFonts w:ascii="Times New Roman" w:hAnsi="Times New Roman" w:cs="Times New Roman"/>
                <w:b/>
                <w:sz w:val="24"/>
                <w:szCs w:val="24"/>
              </w:rPr>
              <w:t xml:space="preserve">Table SI </w:t>
            </w:r>
            <w:r w:rsidR="00286C0A" w:rsidRPr="00872636">
              <w:rPr>
                <w:rFonts w:ascii="Times New Roman" w:hAnsi="Times New Roman" w:cs="Times New Roman"/>
                <w:b/>
                <w:sz w:val="24"/>
                <w:szCs w:val="24"/>
              </w:rPr>
              <w:t>7</w:t>
            </w:r>
            <w:r w:rsidRPr="00872636">
              <w:rPr>
                <w:rFonts w:ascii="Times New Roman" w:hAnsi="Times New Roman" w:cs="Times New Roman"/>
                <w:b/>
                <w:sz w:val="24"/>
                <w:szCs w:val="24"/>
              </w:rPr>
              <w:t>. Airbus A320-200 and Boeing 767-300F aircraft performance validation</w:t>
            </w:r>
          </w:p>
        </w:tc>
      </w:tr>
      <w:tr w:rsidR="00F60E44" w:rsidRPr="007D699F" w14:paraId="38AD93B3" w14:textId="77777777" w:rsidTr="00F60E44">
        <w:trPr>
          <w:trHeight w:val="177"/>
          <w:jc w:val="center"/>
        </w:trPr>
        <w:tc>
          <w:tcPr>
            <w:tcW w:w="3119"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0D65A2C2"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Parameter</w:t>
            </w:r>
          </w:p>
        </w:tc>
        <w:tc>
          <w:tcPr>
            <w:tcW w:w="1559"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0F21A8F2"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Published</w:t>
            </w:r>
          </w:p>
        </w:tc>
        <w:tc>
          <w:tcPr>
            <w:tcW w:w="2410"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195B15CC"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Calculated in this study</w:t>
            </w:r>
          </w:p>
        </w:tc>
        <w:tc>
          <w:tcPr>
            <w:tcW w:w="2336" w:type="dxa"/>
            <w:tcBorders>
              <w:top w:val="single" w:sz="4" w:space="0" w:color="auto"/>
              <w:left w:val="nil"/>
              <w:bottom w:val="single" w:sz="4" w:space="0" w:color="auto"/>
              <w:right w:val="nil"/>
            </w:tcBorders>
            <w:vAlign w:val="center"/>
            <w:hideMark/>
          </w:tcPr>
          <w:p w14:paraId="565FEA55"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Prediction difference</w:t>
            </w:r>
          </w:p>
        </w:tc>
      </w:tr>
      <w:tr w:rsidR="00F60E44" w:rsidRPr="007D699F" w14:paraId="2CBB96AB" w14:textId="77777777" w:rsidTr="00F60E44">
        <w:trPr>
          <w:trHeight w:val="177"/>
          <w:jc w:val="center"/>
        </w:trPr>
        <w:tc>
          <w:tcPr>
            <w:tcW w:w="9424" w:type="dxa"/>
            <w:gridSpan w:val="4"/>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7608052D" w14:textId="77777777" w:rsidR="00F60E44" w:rsidRPr="00872636" w:rsidRDefault="00F60E44" w:rsidP="00872636">
            <w:pPr>
              <w:spacing w:after="0" w:line="276" w:lineRule="auto"/>
              <w:jc w:val="center"/>
              <w:rPr>
                <w:rFonts w:ascii="Times New Roman" w:hAnsi="Times New Roman" w:cs="Times New Roman"/>
                <w:bCs/>
                <w:sz w:val="24"/>
                <w:szCs w:val="24"/>
              </w:rPr>
            </w:pPr>
            <w:r w:rsidRPr="00872636">
              <w:rPr>
                <w:rFonts w:ascii="Times New Roman" w:hAnsi="Times New Roman" w:cs="Times New Roman"/>
                <w:bCs/>
                <w:sz w:val="24"/>
                <w:szCs w:val="24"/>
              </w:rPr>
              <w:t>Airbus A320-200</w:t>
            </w:r>
          </w:p>
        </w:tc>
      </w:tr>
      <w:tr w:rsidR="00F60E44" w:rsidRPr="007D699F" w14:paraId="4E75E964" w14:textId="77777777" w:rsidTr="00F60E44">
        <w:trPr>
          <w:trHeight w:val="177"/>
          <w:jc w:val="center"/>
        </w:trPr>
        <w:tc>
          <w:tcPr>
            <w:tcW w:w="3119" w:type="dxa"/>
            <w:tcBorders>
              <w:top w:val="single" w:sz="4" w:space="0" w:color="auto"/>
              <w:left w:val="nil"/>
              <w:bottom w:val="nil"/>
              <w:right w:val="nil"/>
            </w:tcBorders>
            <w:tcMar>
              <w:top w:w="72" w:type="dxa"/>
              <w:left w:w="144" w:type="dxa"/>
              <w:bottom w:w="72" w:type="dxa"/>
              <w:right w:w="144" w:type="dxa"/>
            </w:tcMar>
            <w:vAlign w:val="center"/>
            <w:hideMark/>
          </w:tcPr>
          <w:p w14:paraId="338FF9C2"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Range with 16,565 kg payload (1)</w:t>
            </w:r>
          </w:p>
        </w:tc>
        <w:tc>
          <w:tcPr>
            <w:tcW w:w="1559" w:type="dxa"/>
            <w:tcBorders>
              <w:top w:val="single" w:sz="4" w:space="0" w:color="auto"/>
              <w:left w:val="nil"/>
              <w:bottom w:val="nil"/>
              <w:right w:val="nil"/>
            </w:tcBorders>
            <w:tcMar>
              <w:top w:w="72" w:type="dxa"/>
              <w:left w:w="144" w:type="dxa"/>
              <w:bottom w:w="72" w:type="dxa"/>
              <w:right w:w="144" w:type="dxa"/>
            </w:tcMar>
            <w:vAlign w:val="center"/>
            <w:hideMark/>
          </w:tcPr>
          <w:p w14:paraId="356D66F0"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2,935 km</w:t>
            </w:r>
          </w:p>
        </w:tc>
        <w:tc>
          <w:tcPr>
            <w:tcW w:w="2410" w:type="dxa"/>
            <w:tcBorders>
              <w:top w:val="single" w:sz="4" w:space="0" w:color="auto"/>
              <w:left w:val="nil"/>
              <w:bottom w:val="nil"/>
              <w:right w:val="nil"/>
            </w:tcBorders>
            <w:tcMar>
              <w:top w:w="72" w:type="dxa"/>
              <w:left w:w="144" w:type="dxa"/>
              <w:bottom w:w="72" w:type="dxa"/>
              <w:right w:w="144" w:type="dxa"/>
            </w:tcMar>
            <w:vAlign w:val="center"/>
            <w:hideMark/>
          </w:tcPr>
          <w:p w14:paraId="4112C866"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3,054 km</w:t>
            </w:r>
          </w:p>
        </w:tc>
        <w:tc>
          <w:tcPr>
            <w:tcW w:w="2336" w:type="dxa"/>
            <w:tcBorders>
              <w:top w:val="single" w:sz="4" w:space="0" w:color="auto"/>
              <w:left w:val="nil"/>
              <w:bottom w:val="nil"/>
              <w:right w:val="nil"/>
            </w:tcBorders>
            <w:vAlign w:val="center"/>
            <w:hideMark/>
          </w:tcPr>
          <w:p w14:paraId="089EC846"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+4.05%</w:t>
            </w:r>
          </w:p>
        </w:tc>
      </w:tr>
      <w:tr w:rsidR="00F60E44" w:rsidRPr="007D699F" w14:paraId="1951A348" w14:textId="77777777" w:rsidTr="00F60E44">
        <w:trPr>
          <w:trHeight w:val="177"/>
          <w:jc w:val="center"/>
        </w:trPr>
        <w:tc>
          <w:tcPr>
            <w:tcW w:w="3119" w:type="dxa"/>
            <w:tcMar>
              <w:top w:w="72" w:type="dxa"/>
              <w:left w:w="144" w:type="dxa"/>
              <w:bottom w:w="72" w:type="dxa"/>
              <w:right w:w="144" w:type="dxa"/>
            </w:tcMar>
            <w:vAlign w:val="center"/>
            <w:hideMark/>
          </w:tcPr>
          <w:p w14:paraId="1C877181"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i/>
                <w:iCs/>
                <w:sz w:val="24"/>
                <w:szCs w:val="24"/>
              </w:rPr>
              <w:t>L/D</w:t>
            </w:r>
            <w:r w:rsidRPr="00872636">
              <w:rPr>
                <w:rFonts w:ascii="Times New Roman" w:hAnsi="Times New Roman" w:cs="Times New Roman"/>
                <w:sz w:val="24"/>
                <w:szCs w:val="24"/>
              </w:rPr>
              <w:t xml:space="preserve"> for (1)</w:t>
            </w:r>
          </w:p>
        </w:tc>
        <w:tc>
          <w:tcPr>
            <w:tcW w:w="1559" w:type="dxa"/>
            <w:tcMar>
              <w:top w:w="72" w:type="dxa"/>
              <w:left w:w="144" w:type="dxa"/>
              <w:bottom w:w="72" w:type="dxa"/>
              <w:right w:w="144" w:type="dxa"/>
            </w:tcMar>
            <w:vAlign w:val="center"/>
            <w:hideMark/>
          </w:tcPr>
          <w:p w14:paraId="131A22FB"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15-16*</w:t>
            </w:r>
          </w:p>
        </w:tc>
        <w:tc>
          <w:tcPr>
            <w:tcW w:w="2410" w:type="dxa"/>
            <w:tcMar>
              <w:top w:w="72" w:type="dxa"/>
              <w:left w:w="144" w:type="dxa"/>
              <w:bottom w:w="72" w:type="dxa"/>
              <w:right w:w="144" w:type="dxa"/>
            </w:tcMar>
            <w:vAlign w:val="center"/>
            <w:hideMark/>
          </w:tcPr>
          <w:p w14:paraId="6CBCA4BD"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15.7</w:t>
            </w:r>
          </w:p>
        </w:tc>
        <w:tc>
          <w:tcPr>
            <w:tcW w:w="2336" w:type="dxa"/>
            <w:vAlign w:val="center"/>
            <w:hideMark/>
          </w:tcPr>
          <w:p w14:paraId="1C08D149"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w:t>
            </w:r>
          </w:p>
        </w:tc>
      </w:tr>
      <w:tr w:rsidR="00F60E44" w:rsidRPr="007D699F" w14:paraId="706AA423" w14:textId="77777777" w:rsidTr="00F60E44">
        <w:trPr>
          <w:trHeight w:val="177"/>
          <w:jc w:val="center"/>
        </w:trPr>
        <w:tc>
          <w:tcPr>
            <w:tcW w:w="3119" w:type="dxa"/>
            <w:tcMar>
              <w:top w:w="72" w:type="dxa"/>
              <w:left w:w="144" w:type="dxa"/>
              <w:bottom w:w="72" w:type="dxa"/>
              <w:right w:w="144" w:type="dxa"/>
            </w:tcMar>
            <w:vAlign w:val="center"/>
            <w:hideMark/>
          </w:tcPr>
          <w:p w14:paraId="6BF1B8C0"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lastRenderedPageBreak/>
              <w:t>Range with 10,341 kg payload (2)</w:t>
            </w:r>
          </w:p>
        </w:tc>
        <w:tc>
          <w:tcPr>
            <w:tcW w:w="1559" w:type="dxa"/>
            <w:tcMar>
              <w:top w:w="72" w:type="dxa"/>
              <w:left w:w="144" w:type="dxa"/>
              <w:bottom w:w="72" w:type="dxa"/>
              <w:right w:w="144" w:type="dxa"/>
            </w:tcMar>
            <w:vAlign w:val="center"/>
            <w:hideMark/>
          </w:tcPr>
          <w:p w14:paraId="33499569"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5,181 km</w:t>
            </w:r>
          </w:p>
        </w:tc>
        <w:tc>
          <w:tcPr>
            <w:tcW w:w="2410" w:type="dxa"/>
            <w:tcMar>
              <w:top w:w="72" w:type="dxa"/>
              <w:left w:w="144" w:type="dxa"/>
              <w:bottom w:w="72" w:type="dxa"/>
              <w:right w:w="144" w:type="dxa"/>
            </w:tcMar>
            <w:vAlign w:val="center"/>
            <w:hideMark/>
          </w:tcPr>
          <w:p w14:paraId="28F5BA22"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4,947</w:t>
            </w:r>
          </w:p>
        </w:tc>
        <w:tc>
          <w:tcPr>
            <w:tcW w:w="2336" w:type="dxa"/>
            <w:vAlign w:val="center"/>
            <w:hideMark/>
          </w:tcPr>
          <w:p w14:paraId="75F26DC9"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-4.52%</w:t>
            </w:r>
          </w:p>
        </w:tc>
      </w:tr>
      <w:tr w:rsidR="00F60E44" w:rsidRPr="007D699F" w14:paraId="3E0F85E2" w14:textId="77777777" w:rsidTr="00F60E44">
        <w:trPr>
          <w:trHeight w:val="177"/>
          <w:jc w:val="center"/>
        </w:trPr>
        <w:tc>
          <w:tcPr>
            <w:tcW w:w="3119" w:type="dxa"/>
            <w:tcBorders>
              <w:top w:val="nil"/>
              <w:left w:val="nil"/>
              <w:bottom w:val="single" w:sz="4" w:space="0" w:color="auto"/>
              <w:right w:val="nil"/>
            </w:tcBorders>
            <w:tcMar>
              <w:top w:w="72" w:type="dxa"/>
              <w:left w:w="144" w:type="dxa"/>
              <w:bottom w:w="72" w:type="dxa"/>
              <w:right w:w="144" w:type="dxa"/>
            </w:tcMar>
            <w:vAlign w:val="center"/>
            <w:hideMark/>
          </w:tcPr>
          <w:p w14:paraId="4627D71D"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i/>
                <w:iCs/>
                <w:sz w:val="24"/>
                <w:szCs w:val="24"/>
              </w:rPr>
              <w:t>L/D</w:t>
            </w:r>
            <w:r w:rsidRPr="00872636">
              <w:rPr>
                <w:rFonts w:ascii="Times New Roman" w:hAnsi="Times New Roman" w:cs="Times New Roman"/>
                <w:sz w:val="24"/>
                <w:szCs w:val="24"/>
              </w:rPr>
              <w:t xml:space="preserve"> for (2)</w:t>
            </w:r>
          </w:p>
        </w:tc>
        <w:tc>
          <w:tcPr>
            <w:tcW w:w="1559" w:type="dxa"/>
            <w:tcBorders>
              <w:top w:val="nil"/>
              <w:left w:val="nil"/>
              <w:bottom w:val="single" w:sz="4" w:space="0" w:color="auto"/>
              <w:right w:val="nil"/>
            </w:tcBorders>
            <w:tcMar>
              <w:top w:w="72" w:type="dxa"/>
              <w:left w:w="144" w:type="dxa"/>
              <w:bottom w:w="72" w:type="dxa"/>
              <w:right w:w="144" w:type="dxa"/>
            </w:tcMar>
            <w:vAlign w:val="center"/>
            <w:hideMark/>
          </w:tcPr>
          <w:p w14:paraId="01744BE1"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15-16*</w:t>
            </w:r>
          </w:p>
        </w:tc>
        <w:tc>
          <w:tcPr>
            <w:tcW w:w="2410" w:type="dxa"/>
            <w:tcBorders>
              <w:top w:val="nil"/>
              <w:left w:val="nil"/>
              <w:bottom w:val="single" w:sz="4" w:space="0" w:color="auto"/>
              <w:right w:val="nil"/>
            </w:tcBorders>
            <w:tcMar>
              <w:top w:w="72" w:type="dxa"/>
              <w:left w:w="144" w:type="dxa"/>
              <w:bottom w:w="72" w:type="dxa"/>
              <w:right w:w="144" w:type="dxa"/>
            </w:tcMar>
            <w:vAlign w:val="center"/>
            <w:hideMark/>
          </w:tcPr>
          <w:p w14:paraId="658FB022"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15.48</w:t>
            </w:r>
          </w:p>
        </w:tc>
        <w:tc>
          <w:tcPr>
            <w:tcW w:w="2336" w:type="dxa"/>
            <w:tcBorders>
              <w:top w:val="nil"/>
              <w:left w:val="nil"/>
              <w:bottom w:val="single" w:sz="4" w:space="0" w:color="auto"/>
              <w:right w:val="nil"/>
            </w:tcBorders>
            <w:vAlign w:val="center"/>
            <w:hideMark/>
          </w:tcPr>
          <w:p w14:paraId="5464E770"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w:t>
            </w:r>
          </w:p>
        </w:tc>
      </w:tr>
      <w:tr w:rsidR="00F60E44" w:rsidRPr="007D699F" w14:paraId="56322605" w14:textId="77777777" w:rsidTr="00F60E44">
        <w:trPr>
          <w:trHeight w:val="177"/>
          <w:jc w:val="center"/>
        </w:trPr>
        <w:tc>
          <w:tcPr>
            <w:tcW w:w="9424" w:type="dxa"/>
            <w:gridSpan w:val="4"/>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749012E7"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b/>
                <w:sz w:val="24"/>
                <w:szCs w:val="24"/>
              </w:rPr>
              <w:t>Boeing 767-300F</w:t>
            </w:r>
          </w:p>
        </w:tc>
      </w:tr>
      <w:tr w:rsidR="00F60E44" w:rsidRPr="007D699F" w14:paraId="3EC563B1" w14:textId="77777777" w:rsidTr="00F60E44">
        <w:trPr>
          <w:trHeight w:val="177"/>
          <w:jc w:val="center"/>
        </w:trPr>
        <w:tc>
          <w:tcPr>
            <w:tcW w:w="3119" w:type="dxa"/>
            <w:tcBorders>
              <w:top w:val="single" w:sz="4" w:space="0" w:color="auto"/>
              <w:left w:val="nil"/>
              <w:bottom w:val="nil"/>
              <w:right w:val="nil"/>
            </w:tcBorders>
            <w:tcMar>
              <w:top w:w="72" w:type="dxa"/>
              <w:left w:w="144" w:type="dxa"/>
              <w:bottom w:w="72" w:type="dxa"/>
              <w:right w:w="144" w:type="dxa"/>
            </w:tcMar>
            <w:vAlign w:val="center"/>
            <w:hideMark/>
          </w:tcPr>
          <w:p w14:paraId="5CE982A1"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Range with 40,823 kg payload (3)</w:t>
            </w:r>
          </w:p>
        </w:tc>
        <w:tc>
          <w:tcPr>
            <w:tcW w:w="1559" w:type="dxa"/>
            <w:tcBorders>
              <w:top w:val="single" w:sz="4" w:space="0" w:color="auto"/>
              <w:left w:val="nil"/>
              <w:bottom w:val="nil"/>
              <w:right w:val="nil"/>
            </w:tcBorders>
            <w:tcMar>
              <w:top w:w="72" w:type="dxa"/>
              <w:left w:w="144" w:type="dxa"/>
              <w:bottom w:w="72" w:type="dxa"/>
              <w:right w:w="144" w:type="dxa"/>
            </w:tcMar>
            <w:vAlign w:val="center"/>
            <w:hideMark/>
          </w:tcPr>
          <w:p w14:paraId="05453B26"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7,408 km</w:t>
            </w:r>
          </w:p>
        </w:tc>
        <w:tc>
          <w:tcPr>
            <w:tcW w:w="2410" w:type="dxa"/>
            <w:tcBorders>
              <w:top w:val="single" w:sz="4" w:space="0" w:color="auto"/>
              <w:left w:val="nil"/>
              <w:bottom w:val="nil"/>
              <w:right w:val="nil"/>
            </w:tcBorders>
            <w:tcMar>
              <w:top w:w="72" w:type="dxa"/>
              <w:left w:w="144" w:type="dxa"/>
              <w:bottom w:w="72" w:type="dxa"/>
              <w:right w:w="144" w:type="dxa"/>
            </w:tcMar>
            <w:vAlign w:val="center"/>
            <w:hideMark/>
          </w:tcPr>
          <w:p w14:paraId="4BFAE06B"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7,098 km</w:t>
            </w:r>
          </w:p>
        </w:tc>
        <w:tc>
          <w:tcPr>
            <w:tcW w:w="2336" w:type="dxa"/>
            <w:tcBorders>
              <w:top w:val="single" w:sz="4" w:space="0" w:color="auto"/>
              <w:left w:val="nil"/>
              <w:bottom w:val="nil"/>
              <w:right w:val="nil"/>
            </w:tcBorders>
            <w:vAlign w:val="center"/>
            <w:hideMark/>
          </w:tcPr>
          <w:p w14:paraId="72804AE0"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-4.19</w:t>
            </w:r>
          </w:p>
        </w:tc>
      </w:tr>
      <w:tr w:rsidR="00F60E44" w:rsidRPr="007D699F" w14:paraId="2F92143A" w14:textId="77777777" w:rsidTr="00F60E44">
        <w:trPr>
          <w:trHeight w:val="177"/>
          <w:jc w:val="center"/>
        </w:trPr>
        <w:tc>
          <w:tcPr>
            <w:tcW w:w="3119" w:type="dxa"/>
            <w:tcMar>
              <w:top w:w="72" w:type="dxa"/>
              <w:left w:w="144" w:type="dxa"/>
              <w:bottom w:w="72" w:type="dxa"/>
              <w:right w:w="144" w:type="dxa"/>
            </w:tcMar>
            <w:vAlign w:val="center"/>
            <w:hideMark/>
          </w:tcPr>
          <w:p w14:paraId="358E61EE"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i/>
                <w:iCs/>
                <w:sz w:val="24"/>
                <w:szCs w:val="24"/>
              </w:rPr>
              <w:t>L/D</w:t>
            </w:r>
            <w:r w:rsidRPr="00872636">
              <w:rPr>
                <w:rFonts w:ascii="Times New Roman" w:hAnsi="Times New Roman" w:cs="Times New Roman"/>
                <w:sz w:val="24"/>
                <w:szCs w:val="24"/>
              </w:rPr>
              <w:t xml:space="preserve"> for (3)</w:t>
            </w:r>
          </w:p>
        </w:tc>
        <w:tc>
          <w:tcPr>
            <w:tcW w:w="1559" w:type="dxa"/>
            <w:tcMar>
              <w:top w:w="72" w:type="dxa"/>
              <w:left w:w="144" w:type="dxa"/>
              <w:bottom w:w="72" w:type="dxa"/>
              <w:right w:w="144" w:type="dxa"/>
            </w:tcMar>
            <w:vAlign w:val="center"/>
            <w:hideMark/>
          </w:tcPr>
          <w:p w14:paraId="324FBF21"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15-16*</w:t>
            </w:r>
          </w:p>
        </w:tc>
        <w:tc>
          <w:tcPr>
            <w:tcW w:w="2410" w:type="dxa"/>
            <w:tcMar>
              <w:top w:w="72" w:type="dxa"/>
              <w:left w:w="144" w:type="dxa"/>
              <w:bottom w:w="72" w:type="dxa"/>
              <w:right w:w="144" w:type="dxa"/>
            </w:tcMar>
            <w:vAlign w:val="center"/>
            <w:hideMark/>
          </w:tcPr>
          <w:p w14:paraId="38641C65"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15.75</w:t>
            </w:r>
          </w:p>
        </w:tc>
        <w:tc>
          <w:tcPr>
            <w:tcW w:w="2336" w:type="dxa"/>
            <w:vAlign w:val="center"/>
            <w:hideMark/>
          </w:tcPr>
          <w:p w14:paraId="73A22C80"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w:t>
            </w:r>
          </w:p>
        </w:tc>
      </w:tr>
      <w:tr w:rsidR="00F60E44" w:rsidRPr="007D699F" w14:paraId="282C1D15" w14:textId="77777777" w:rsidTr="00F60E44">
        <w:trPr>
          <w:trHeight w:val="177"/>
          <w:jc w:val="center"/>
        </w:trPr>
        <w:tc>
          <w:tcPr>
            <w:tcW w:w="3119" w:type="dxa"/>
            <w:tcMar>
              <w:top w:w="72" w:type="dxa"/>
              <w:left w:w="144" w:type="dxa"/>
              <w:bottom w:w="72" w:type="dxa"/>
              <w:right w:w="144" w:type="dxa"/>
            </w:tcMar>
            <w:vAlign w:val="center"/>
            <w:hideMark/>
          </w:tcPr>
          <w:p w14:paraId="121EB3F0"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Range with 50,800 kg payload (4)</w:t>
            </w:r>
          </w:p>
        </w:tc>
        <w:tc>
          <w:tcPr>
            <w:tcW w:w="1559" w:type="dxa"/>
            <w:tcMar>
              <w:top w:w="72" w:type="dxa"/>
              <w:left w:w="144" w:type="dxa"/>
              <w:bottom w:w="72" w:type="dxa"/>
              <w:right w:w="144" w:type="dxa"/>
            </w:tcMar>
            <w:vAlign w:val="center"/>
            <w:hideMark/>
          </w:tcPr>
          <w:p w14:paraId="3EE9C0E0"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5,556 km</w:t>
            </w:r>
          </w:p>
        </w:tc>
        <w:tc>
          <w:tcPr>
            <w:tcW w:w="2410" w:type="dxa"/>
            <w:tcMar>
              <w:top w:w="72" w:type="dxa"/>
              <w:left w:w="144" w:type="dxa"/>
              <w:bottom w:w="72" w:type="dxa"/>
              <w:right w:w="144" w:type="dxa"/>
            </w:tcMar>
            <w:vAlign w:val="center"/>
            <w:hideMark/>
          </w:tcPr>
          <w:p w14:paraId="28991E2E"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5,604</w:t>
            </w:r>
          </w:p>
        </w:tc>
        <w:tc>
          <w:tcPr>
            <w:tcW w:w="2336" w:type="dxa"/>
            <w:vAlign w:val="center"/>
            <w:hideMark/>
          </w:tcPr>
          <w:p w14:paraId="15278528"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+0.86%</w:t>
            </w:r>
          </w:p>
        </w:tc>
      </w:tr>
      <w:tr w:rsidR="00F60E44" w:rsidRPr="007D699F" w14:paraId="58AF294C" w14:textId="77777777" w:rsidTr="00F60E44">
        <w:trPr>
          <w:trHeight w:val="177"/>
          <w:jc w:val="center"/>
        </w:trPr>
        <w:tc>
          <w:tcPr>
            <w:tcW w:w="3119" w:type="dxa"/>
            <w:tcBorders>
              <w:top w:val="nil"/>
              <w:left w:val="nil"/>
              <w:bottom w:val="single" w:sz="4" w:space="0" w:color="auto"/>
              <w:right w:val="nil"/>
            </w:tcBorders>
            <w:tcMar>
              <w:top w:w="72" w:type="dxa"/>
              <w:left w:w="144" w:type="dxa"/>
              <w:bottom w:w="72" w:type="dxa"/>
              <w:right w:w="144" w:type="dxa"/>
            </w:tcMar>
            <w:vAlign w:val="center"/>
            <w:hideMark/>
          </w:tcPr>
          <w:p w14:paraId="3F648865"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i/>
                <w:iCs/>
                <w:sz w:val="24"/>
                <w:szCs w:val="24"/>
              </w:rPr>
              <w:t xml:space="preserve">L/D </w:t>
            </w:r>
            <w:r w:rsidRPr="00872636">
              <w:rPr>
                <w:rFonts w:ascii="Times New Roman" w:hAnsi="Times New Roman" w:cs="Times New Roman"/>
                <w:sz w:val="24"/>
                <w:szCs w:val="24"/>
              </w:rPr>
              <w:t>for (4)</w:t>
            </w:r>
          </w:p>
        </w:tc>
        <w:tc>
          <w:tcPr>
            <w:tcW w:w="1559" w:type="dxa"/>
            <w:tcBorders>
              <w:top w:val="nil"/>
              <w:left w:val="nil"/>
              <w:bottom w:val="single" w:sz="4" w:space="0" w:color="auto"/>
              <w:right w:val="nil"/>
            </w:tcBorders>
            <w:tcMar>
              <w:top w:w="72" w:type="dxa"/>
              <w:left w:w="144" w:type="dxa"/>
              <w:bottom w:w="72" w:type="dxa"/>
              <w:right w:w="144" w:type="dxa"/>
            </w:tcMar>
            <w:vAlign w:val="center"/>
            <w:hideMark/>
          </w:tcPr>
          <w:p w14:paraId="0ED15566" w14:textId="77777777" w:rsidR="00F60E44" w:rsidRPr="00872636" w:rsidRDefault="00F60E44" w:rsidP="00872636">
            <w:pPr>
              <w:spacing w:after="0" w:line="276" w:lineRule="auto"/>
              <w:jc w:val="center"/>
              <w:rPr>
                <w:rFonts w:ascii="Times New Roman" w:hAnsi="Times New Roman" w:cs="Times New Roman"/>
                <w:b/>
                <w:bCs/>
                <w:sz w:val="24"/>
                <w:szCs w:val="24"/>
              </w:rPr>
            </w:pPr>
            <w:r w:rsidRPr="00872636">
              <w:rPr>
                <w:rFonts w:ascii="Times New Roman" w:hAnsi="Times New Roman" w:cs="Times New Roman"/>
                <w:sz w:val="24"/>
                <w:szCs w:val="24"/>
              </w:rPr>
              <w:t>15-16*</w:t>
            </w:r>
          </w:p>
        </w:tc>
        <w:tc>
          <w:tcPr>
            <w:tcW w:w="2410" w:type="dxa"/>
            <w:tcBorders>
              <w:top w:val="nil"/>
              <w:left w:val="nil"/>
              <w:bottom w:val="single" w:sz="4" w:space="0" w:color="auto"/>
              <w:right w:val="nil"/>
            </w:tcBorders>
            <w:tcMar>
              <w:top w:w="72" w:type="dxa"/>
              <w:left w:w="144" w:type="dxa"/>
              <w:bottom w:w="72" w:type="dxa"/>
              <w:right w:w="144" w:type="dxa"/>
            </w:tcMar>
            <w:vAlign w:val="center"/>
            <w:hideMark/>
          </w:tcPr>
          <w:p w14:paraId="0FC5E135"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15.86</w:t>
            </w:r>
          </w:p>
        </w:tc>
        <w:tc>
          <w:tcPr>
            <w:tcW w:w="2336" w:type="dxa"/>
            <w:tcBorders>
              <w:top w:val="nil"/>
              <w:left w:val="nil"/>
              <w:bottom w:val="single" w:sz="4" w:space="0" w:color="auto"/>
              <w:right w:val="nil"/>
            </w:tcBorders>
            <w:vAlign w:val="center"/>
            <w:hideMark/>
          </w:tcPr>
          <w:p w14:paraId="355D55BE"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w:t>
            </w:r>
          </w:p>
        </w:tc>
      </w:tr>
      <w:tr w:rsidR="00F60E44" w:rsidRPr="007D699F" w14:paraId="16C91BD0" w14:textId="77777777" w:rsidTr="00F60E44">
        <w:trPr>
          <w:trHeight w:val="177"/>
          <w:jc w:val="center"/>
        </w:trPr>
        <w:tc>
          <w:tcPr>
            <w:tcW w:w="9424" w:type="dxa"/>
            <w:gridSpan w:val="4"/>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52D02931"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 xml:space="preserve">* Typical cruise </w:t>
            </w:r>
            <w:r w:rsidRPr="00872636">
              <w:rPr>
                <w:rFonts w:ascii="Times New Roman" w:hAnsi="Times New Roman" w:cs="Times New Roman"/>
                <w:i/>
                <w:iCs/>
                <w:sz w:val="24"/>
                <w:szCs w:val="24"/>
              </w:rPr>
              <w:t>L/D</w:t>
            </w:r>
          </w:p>
        </w:tc>
      </w:tr>
    </w:tbl>
    <w:p w14:paraId="3C3CBA54" w14:textId="57C9B10F" w:rsidR="00F60E44" w:rsidRDefault="00F60E44" w:rsidP="00C525D8">
      <w:pPr>
        <w:pStyle w:val="ListParagraph"/>
        <w:tabs>
          <w:tab w:val="left" w:pos="709"/>
        </w:tabs>
        <w:spacing w:after="240" w:line="480" w:lineRule="auto"/>
        <w:ind w:left="0"/>
        <w:jc w:val="both"/>
        <w:rPr>
          <w:rFonts w:ascii="Times New Roman" w:hAnsi="Times New Roman" w:cs="Times New Roman"/>
          <w:sz w:val="24"/>
          <w:szCs w:val="24"/>
        </w:rPr>
      </w:pPr>
    </w:p>
    <w:p w14:paraId="13C2BA7E" w14:textId="32D0AFE1" w:rsidR="000764C5" w:rsidRPr="006C247F" w:rsidRDefault="000764C5" w:rsidP="000764C5">
      <w:pPr>
        <w:tabs>
          <w:tab w:val="left" w:pos="567"/>
        </w:tabs>
        <w:spacing w:after="0" w:line="480" w:lineRule="auto"/>
        <w:jc w:val="both"/>
        <w:rPr>
          <w:rFonts w:ascii="Times New Roman" w:hAnsi="Times New Roman" w:cs="Times New Roman"/>
          <w:bCs/>
          <w:sz w:val="24"/>
          <w:szCs w:val="24"/>
        </w:rPr>
      </w:pPr>
      <w:r w:rsidRPr="006C247F">
        <w:rPr>
          <w:rFonts w:ascii="Times New Roman" w:hAnsi="Times New Roman" w:cs="Times New Roman"/>
          <w:sz w:val="24"/>
          <w:szCs w:val="24"/>
        </w:rPr>
        <w:tab/>
        <w:t xml:space="preserve">Similarly, for the B767-300F aircraft, </w:t>
      </w:r>
      <w:r w:rsidRPr="006C247F">
        <w:rPr>
          <w:rFonts w:ascii="Times New Roman" w:hAnsi="Times New Roman" w:cs="Times New Roman"/>
          <w:i/>
          <w:iCs/>
          <w:sz w:val="24"/>
          <w:szCs w:val="24"/>
        </w:rPr>
        <w:t>η</w:t>
      </w:r>
      <w:r w:rsidRPr="006C247F">
        <w:rPr>
          <w:rFonts w:ascii="Times New Roman" w:hAnsi="Times New Roman" w:cs="Times New Roman"/>
          <w:sz w:val="24"/>
          <w:szCs w:val="24"/>
          <w:vertAlign w:val="subscript"/>
        </w:rPr>
        <w:t>o</w:t>
      </w:r>
      <w:r w:rsidRPr="006C247F">
        <w:rPr>
          <w:rFonts w:ascii="Times New Roman" w:hAnsi="Times New Roman" w:cs="Times New Roman"/>
          <w:sz w:val="24"/>
          <w:szCs w:val="24"/>
        </w:rPr>
        <w:t xml:space="preserve"> is not known directly. However, the </w:t>
      </w:r>
      <w:r w:rsidRPr="006C247F">
        <w:rPr>
          <w:rFonts w:ascii="Times New Roman" w:hAnsi="Times New Roman" w:cs="Times New Roman"/>
          <w:i/>
          <w:iCs/>
          <w:sz w:val="24"/>
          <w:szCs w:val="24"/>
        </w:rPr>
        <w:t>η</w:t>
      </w:r>
      <w:r w:rsidRPr="006C247F">
        <w:rPr>
          <w:rFonts w:ascii="Times New Roman" w:hAnsi="Times New Roman" w:cs="Times New Roman"/>
          <w:sz w:val="24"/>
          <w:szCs w:val="24"/>
          <w:vertAlign w:val="subscript"/>
        </w:rPr>
        <w:t>o</w:t>
      </w:r>
      <w:r w:rsidRPr="006C247F">
        <w:rPr>
          <w:rFonts w:ascii="Times New Roman" w:hAnsi="Times New Roman" w:cs="Times New Roman"/>
          <w:sz w:val="24"/>
          <w:szCs w:val="24"/>
        </w:rPr>
        <w:t xml:space="preserve"> of Boeing 747-400 aircraft is known to be ~0.34 from resource </w:t>
      </w:r>
      <w:r w:rsidRPr="006C247F">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10.17226/23490","ISBN":"978-0-309-44096-7","author":[{"dropping-particle":"","family":"National-Academies-of-Sciences-Engineering-and-Medicine","given":"","non-dropping-particle":"","parse-names":false,"suffix":""}],"id":"ITEM-1","issued":{"date-parts":[["2016"]]},"publisher":"National Academies Press","publisher-place":"Washington, D.C.","title":"Commercial Aircraft Propulsion and Energy Systems Research","type":"book"},"uris":["http://www.mendeley.com/documents/?uuid=922fb516-ec8a-3d0d-a931-86f4ad60d23d"]}],"mendeley":{"formattedCitation":"[109]","plainTextFormattedCitation":"[109]","previouslyFormattedCitation":"[109]"},"properties":{"noteIndex":0},"schema":"https://github.com/citation-style-language/schema/raw/master/csl-citation.json"}</w:instrText>
      </w:r>
      <w:r w:rsidRPr="006C247F">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[109]</w:t>
      </w:r>
      <w:r w:rsidRPr="006C247F">
        <w:rPr>
          <w:rFonts w:ascii="Times New Roman" w:hAnsi="Times New Roman" w:cs="Times New Roman"/>
          <w:sz w:val="24"/>
          <w:szCs w:val="24"/>
        </w:rPr>
        <w:fldChar w:fldCharType="end"/>
      </w:r>
      <w:r w:rsidRPr="006C247F">
        <w:rPr>
          <w:rFonts w:ascii="Times New Roman" w:hAnsi="Times New Roman" w:cs="Times New Roman"/>
          <w:sz w:val="24"/>
          <w:szCs w:val="24"/>
        </w:rPr>
        <w:t xml:space="preserve">. The B747-400 aircraft uses four CF6 – 80C2 engines and B767-300F uses two CF6 – 80C2 engines </w:t>
      </w:r>
      <w:r w:rsidRPr="006C247F">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{"citationItems":[{"id":"ITEM-1","itemData":{"author":[{"dropping-particle":"","family":"Lironi","given":"Paolo","non-dropping-particle":"","parse-names":false,"suffix":""}],"id":"ITEM-1","issued":{"date-parts":[["2007"]]},"title":"CF6-80C2 engine history and evolution","type":"report"},"uris":["http://www.mendeley.com/documents/?uuid=fc12459d-10fa-3946-b246-a8b5d3999141"]}],"mendeley":{"formattedCitation":"[124]","plainTextFormattedCitation":"[124]","previouslyFormattedCitation":"[124]"},"properties":{"noteIndex":0},"schema":"https://github.com/citation-style-language/schema/raw/master/csl-citation.json"}</w:instrText>
      </w:r>
      <w:r w:rsidRPr="006C247F">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[124]</w:t>
      </w:r>
      <w:r w:rsidRPr="006C247F">
        <w:rPr>
          <w:rFonts w:ascii="Times New Roman" w:hAnsi="Times New Roman" w:cs="Times New Roman"/>
          <w:sz w:val="24"/>
          <w:szCs w:val="24"/>
        </w:rPr>
        <w:fldChar w:fldCharType="end"/>
      </w:r>
      <w:r w:rsidRPr="006C247F">
        <w:rPr>
          <w:rFonts w:ascii="Times New Roman" w:hAnsi="Times New Roman" w:cs="Times New Roman"/>
          <w:sz w:val="24"/>
          <w:szCs w:val="24"/>
        </w:rPr>
        <w:t xml:space="preserve">. Hence, the </w:t>
      </w:r>
      <w:r w:rsidRPr="006C247F">
        <w:rPr>
          <w:rFonts w:ascii="Times New Roman" w:hAnsi="Times New Roman" w:cs="Times New Roman"/>
          <w:i/>
          <w:iCs/>
          <w:sz w:val="24"/>
          <w:szCs w:val="24"/>
        </w:rPr>
        <w:t>η</w:t>
      </w:r>
      <w:r w:rsidRPr="006C247F">
        <w:rPr>
          <w:rFonts w:ascii="Times New Roman" w:hAnsi="Times New Roman" w:cs="Times New Roman"/>
          <w:sz w:val="24"/>
          <w:szCs w:val="24"/>
          <w:vertAlign w:val="subscript"/>
        </w:rPr>
        <w:t>o</w:t>
      </w:r>
      <w:r w:rsidRPr="006C247F">
        <w:rPr>
          <w:rFonts w:ascii="Times New Roman" w:hAnsi="Times New Roman" w:cs="Times New Roman"/>
          <w:sz w:val="24"/>
          <w:szCs w:val="24"/>
        </w:rPr>
        <w:t xml:space="preserve"> of B767-300F aircraft is expected to be 0.34 and is listed in Table SI </w:t>
      </w:r>
      <w:r>
        <w:rPr>
          <w:rFonts w:ascii="Times New Roman" w:hAnsi="Times New Roman" w:cs="Times New Roman"/>
          <w:sz w:val="24"/>
          <w:szCs w:val="24"/>
        </w:rPr>
        <w:t>6</w:t>
      </w:r>
      <w:r w:rsidRPr="006C247F">
        <w:rPr>
          <w:rFonts w:ascii="Times New Roman" w:hAnsi="Times New Roman" w:cs="Times New Roman"/>
          <w:sz w:val="24"/>
          <w:szCs w:val="24"/>
        </w:rPr>
        <w:t xml:space="preserve">. Additionally, the cruise </w:t>
      </w:r>
      <w:r w:rsidRPr="006C247F">
        <w:rPr>
          <w:rFonts w:ascii="Times New Roman" w:hAnsi="Times New Roman" w:cs="Times New Roman"/>
          <w:i/>
          <w:iCs/>
          <w:sz w:val="24"/>
          <w:szCs w:val="24"/>
        </w:rPr>
        <w:t>L/D</w:t>
      </w:r>
      <w:r w:rsidRPr="006C247F">
        <w:rPr>
          <w:rFonts w:ascii="Times New Roman" w:hAnsi="Times New Roman" w:cs="Times New Roman"/>
          <w:sz w:val="24"/>
          <w:szCs w:val="24"/>
        </w:rPr>
        <w:t xml:space="preserve"> for B767-300F is not known directly. However, the cruise </w:t>
      </w:r>
      <w:r w:rsidRPr="006C247F">
        <w:rPr>
          <w:rFonts w:ascii="Times New Roman" w:hAnsi="Times New Roman" w:cs="Times New Roman"/>
          <w:i/>
          <w:iCs/>
          <w:sz w:val="24"/>
          <w:szCs w:val="24"/>
        </w:rPr>
        <w:t>L/D</w:t>
      </w:r>
      <w:r w:rsidRPr="006C247F">
        <w:rPr>
          <w:rFonts w:ascii="Times New Roman" w:hAnsi="Times New Roman" w:cs="Times New Roman"/>
          <w:sz w:val="24"/>
          <w:szCs w:val="24"/>
        </w:rPr>
        <w:t xml:space="preserve"> of similar size/type aircraft viz. Airbus A310 and B767-300ER are known to be about 15 – 16 from resource </w:t>
      </w:r>
      <w:r w:rsidRPr="006C247F">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{"citationItems":[{"id":"ITEM-1","itemData":{"author":[{"dropping-particle":"","family":"Babikian","given":"Raffi","non-dropping-particle":"","parse-names":false,"suffix":""}],"id":"ITEM-1","issued":{"date-parts":[["2001"]]},"title":"THE HISTORICAL FUEL EFFICIENCY CHARACTERISTICS OF REGIONAL AIRCRAFT FROM TECHNOLOGICAL, OPERATIONAL, AND COST PERSPECTIVES","type":"thesis"},"uris":["http://www.mendeley.com/documents/?uuid=d1337d73-66db-36c2-ba42-0f71d1dd585e"]}],"mendeley":{"formattedCitation":"[117]","plainTextFormattedCitation":"[117]","previouslyFormattedCitation":"[117]"},"properties":{"noteIndex":0},"schema":"https://github.com/citation-style-language/schema/raw/master/csl-citation.json"}</w:instrText>
      </w:r>
      <w:r w:rsidRPr="006C247F">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[117]</w:t>
      </w:r>
      <w:r w:rsidRPr="006C247F">
        <w:rPr>
          <w:rFonts w:ascii="Times New Roman" w:hAnsi="Times New Roman" w:cs="Times New Roman"/>
          <w:sz w:val="24"/>
          <w:szCs w:val="24"/>
        </w:rPr>
        <w:fldChar w:fldCharType="end"/>
      </w:r>
      <w:r w:rsidRPr="006C247F">
        <w:rPr>
          <w:rFonts w:ascii="Times New Roman" w:hAnsi="Times New Roman" w:cs="Times New Roman"/>
          <w:sz w:val="24"/>
          <w:szCs w:val="24"/>
        </w:rPr>
        <w:t xml:space="preserve">. The cruise </w:t>
      </w:r>
      <w:r w:rsidRPr="006C247F">
        <w:rPr>
          <w:rFonts w:ascii="Times New Roman" w:hAnsi="Times New Roman" w:cs="Times New Roman"/>
          <w:i/>
          <w:iCs/>
          <w:sz w:val="24"/>
          <w:szCs w:val="24"/>
        </w:rPr>
        <w:t>L/D</w:t>
      </w:r>
      <w:r w:rsidRPr="006C247F">
        <w:rPr>
          <w:rFonts w:ascii="Times New Roman" w:hAnsi="Times New Roman" w:cs="Times New Roman"/>
          <w:sz w:val="24"/>
          <w:szCs w:val="24"/>
        </w:rPr>
        <w:t xml:space="preserve"> is plotted in a figure in resource </w:t>
      </w:r>
      <w:r w:rsidRPr="006C247F">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{"citationItems":[{"id":"ITEM-1","itemData":{"author":[{"dropping-particle":"","family":"Babikian","given":"Raffi","non-dropping-particle":"","parse-names":false,"suffix":""}],"id":"ITEM-1","issued":{"date-parts":[["2001"]]},"title":"THE HISTORICAL FUEL EFFICIENCY CHARACTERISTICS OF REGIONAL AIRCRAFT FROM TECHNOLOGICAL, OPERATIONAL, AND COST PERSPECTIVES","type":"thesis"},"uris":["http://www.mendeley.com/documents/?uuid=d1337d73-66db-36c2-ba42-0f71d1dd585e"]}],"mendeley":{"formattedCitation":"[117]","plainTextFormattedCitation":"[117]","previouslyFormattedCitation":"[117]"},"properties":{"noteIndex":0},"schema":"https://github.com/citation-style-language/schema/raw/master/csl-citation.json"}</w:instrText>
      </w:r>
      <w:r w:rsidRPr="006C247F">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[117]</w:t>
      </w:r>
      <w:r w:rsidRPr="006C247F">
        <w:rPr>
          <w:rFonts w:ascii="Times New Roman" w:hAnsi="Times New Roman" w:cs="Times New Roman"/>
          <w:sz w:val="24"/>
          <w:szCs w:val="24"/>
        </w:rPr>
        <w:fldChar w:fldCharType="end"/>
      </w:r>
      <w:r w:rsidRPr="006C247F">
        <w:rPr>
          <w:rFonts w:ascii="Times New Roman" w:hAnsi="Times New Roman" w:cs="Times New Roman"/>
          <w:sz w:val="24"/>
          <w:szCs w:val="24"/>
        </w:rPr>
        <w:t xml:space="preserve">, and so the exact value is not known. This approximate value of cruise </w:t>
      </w:r>
      <w:r w:rsidRPr="006C247F">
        <w:rPr>
          <w:rFonts w:ascii="Times New Roman" w:hAnsi="Times New Roman" w:cs="Times New Roman"/>
          <w:i/>
          <w:iCs/>
          <w:sz w:val="24"/>
          <w:szCs w:val="24"/>
        </w:rPr>
        <w:t>L/D</w:t>
      </w:r>
      <w:r w:rsidRPr="006C247F">
        <w:rPr>
          <w:rFonts w:ascii="Times New Roman" w:hAnsi="Times New Roman" w:cs="Times New Roman"/>
          <w:sz w:val="24"/>
          <w:szCs w:val="24"/>
        </w:rPr>
        <w:t xml:space="preserve"> (of 15 – 16) is expected to be same for B767-300F aircraft and this value is listed in Table SI </w:t>
      </w:r>
      <w:r>
        <w:rPr>
          <w:rFonts w:ascii="Times New Roman" w:hAnsi="Times New Roman" w:cs="Times New Roman"/>
          <w:sz w:val="24"/>
          <w:szCs w:val="24"/>
        </w:rPr>
        <w:t>6</w:t>
      </w:r>
      <w:r w:rsidRPr="006C247F">
        <w:rPr>
          <w:rFonts w:ascii="Times New Roman" w:hAnsi="Times New Roman" w:cs="Times New Roman"/>
          <w:sz w:val="24"/>
          <w:szCs w:val="24"/>
        </w:rPr>
        <w:t>. The required data for Breguet’s range analysis of the above two aircraft are now known.</w:t>
      </w:r>
    </w:p>
    <w:p w14:paraId="6F9A768C" w14:textId="44B2066A" w:rsidR="000764C5" w:rsidRPr="00872636" w:rsidRDefault="000764C5" w:rsidP="00C525D8">
      <w:pPr>
        <w:pStyle w:val="ListParagraph"/>
        <w:tabs>
          <w:tab w:val="left" w:pos="709"/>
        </w:tabs>
        <w:spacing w:after="240" w:line="480" w:lineRule="auto"/>
        <w:ind w:left="0"/>
        <w:jc w:val="both"/>
        <w:rPr>
          <w:rFonts w:ascii="Times New Roman" w:hAnsi="Times New Roman" w:cs="Times New Roman"/>
          <w:sz w:val="24"/>
          <w:szCs w:val="24"/>
        </w:rPr>
      </w:pPr>
      <w:r w:rsidRPr="006C247F">
        <w:rPr>
          <w:rFonts w:ascii="Times New Roman" w:hAnsi="Times New Roman" w:cs="Times New Roman"/>
          <w:bCs/>
          <w:sz w:val="24"/>
          <w:szCs w:val="24"/>
        </w:rPr>
        <w:tab/>
      </w:r>
      <w:r w:rsidRPr="006C247F">
        <w:rPr>
          <w:rFonts w:ascii="Times New Roman" w:hAnsi="Times New Roman" w:cs="Times New Roman"/>
          <w:sz w:val="24"/>
          <w:szCs w:val="24"/>
        </w:rPr>
        <w:t xml:space="preserve">Table SI </w:t>
      </w:r>
      <w:r>
        <w:rPr>
          <w:rFonts w:ascii="Times New Roman" w:hAnsi="Times New Roman" w:cs="Times New Roman"/>
          <w:sz w:val="24"/>
          <w:szCs w:val="24"/>
        </w:rPr>
        <w:t>7</w:t>
      </w:r>
      <w:r w:rsidRPr="006C247F">
        <w:rPr>
          <w:rFonts w:ascii="Times New Roman" w:hAnsi="Times New Roman" w:cs="Times New Roman"/>
          <w:sz w:val="24"/>
          <w:szCs w:val="24"/>
        </w:rPr>
        <w:t xml:space="preserve"> lists the Airbus A320-200 and Boeing 767-300F aircraft performance validation. As discussed before, each aircraft has two operational points of range and payload combinations, and overall there are four validation points. It can be observed from Table SI </w:t>
      </w:r>
      <w:r>
        <w:rPr>
          <w:rFonts w:ascii="Times New Roman" w:hAnsi="Times New Roman" w:cs="Times New Roman"/>
          <w:sz w:val="24"/>
          <w:szCs w:val="24"/>
        </w:rPr>
        <w:t>7</w:t>
      </w:r>
      <w:r w:rsidRPr="006C247F">
        <w:rPr>
          <w:rFonts w:ascii="Times New Roman" w:hAnsi="Times New Roman" w:cs="Times New Roman"/>
          <w:sz w:val="24"/>
          <w:szCs w:val="24"/>
        </w:rPr>
        <w:t xml:space="preserve"> that Breguet’s range equation for the estimation of range is accurate to within ±5%, which is acceptable for conceptual design phase or low-order modelling used in this work. Additionally, </w:t>
      </w:r>
      <w:r w:rsidRPr="006C247F">
        <w:rPr>
          <w:rFonts w:ascii="Times New Roman" w:hAnsi="Times New Roman" w:cs="Times New Roman"/>
          <w:sz w:val="24"/>
          <w:szCs w:val="24"/>
        </w:rPr>
        <w:lastRenderedPageBreak/>
        <w:t xml:space="preserve">the cruise </w:t>
      </w:r>
      <w:r w:rsidRPr="006C247F">
        <w:rPr>
          <w:rFonts w:ascii="Times New Roman" w:hAnsi="Times New Roman" w:cs="Times New Roman"/>
          <w:i/>
          <w:iCs/>
          <w:sz w:val="24"/>
          <w:szCs w:val="24"/>
        </w:rPr>
        <w:t>L/D</w:t>
      </w:r>
      <w:r w:rsidRPr="006C247F">
        <w:rPr>
          <w:rFonts w:ascii="Times New Roman" w:hAnsi="Times New Roman" w:cs="Times New Roman"/>
          <w:sz w:val="24"/>
          <w:szCs w:val="24"/>
        </w:rPr>
        <w:t xml:space="preserve"> for both aircraft at each of the four points is in reasonable agreement with the published values.</w:t>
      </w:r>
    </w:p>
    <w:p w14:paraId="7275D30C" w14:textId="17B276EB" w:rsidR="00F60E44" w:rsidRPr="00872636" w:rsidRDefault="00F60E44" w:rsidP="00C525D8">
      <w:pPr>
        <w:pStyle w:val="Heading2"/>
        <w:spacing w:after="240" w:line="480" w:lineRule="auto"/>
        <w:rPr>
          <w:rFonts w:ascii="Times New Roman" w:hAnsi="Times New Roman" w:cs="Times New Roman"/>
          <w:color w:val="auto"/>
          <w:sz w:val="24"/>
          <w:szCs w:val="24"/>
        </w:rPr>
      </w:pPr>
      <w:r w:rsidRPr="00872636">
        <w:rPr>
          <w:rFonts w:ascii="Times New Roman" w:hAnsi="Times New Roman" w:cs="Times New Roman"/>
          <w:color w:val="auto"/>
          <w:sz w:val="24"/>
          <w:szCs w:val="24"/>
        </w:rPr>
        <w:t>Validation of the LH</w:t>
      </w:r>
      <w:r w:rsidRPr="00872636">
        <w:rPr>
          <w:rFonts w:ascii="Times New Roman" w:hAnsi="Times New Roman" w:cs="Times New Roman"/>
          <w:color w:val="auto"/>
          <w:sz w:val="24"/>
          <w:szCs w:val="24"/>
          <w:vertAlign w:val="subscript"/>
        </w:rPr>
        <w:t>2</w:t>
      </w:r>
      <w:r w:rsidRPr="00872636">
        <w:rPr>
          <w:rFonts w:ascii="Times New Roman" w:hAnsi="Times New Roman" w:cs="Times New Roman"/>
          <w:color w:val="auto"/>
          <w:sz w:val="24"/>
          <w:szCs w:val="24"/>
        </w:rPr>
        <w:t xml:space="preserve"> aircraft from the Clean Sky 2 – </w:t>
      </w:r>
      <w:r w:rsidR="003552CE" w:rsidRPr="00872636">
        <w:rPr>
          <w:rFonts w:ascii="Times New Roman" w:hAnsi="Times New Roman" w:cs="Times New Roman"/>
          <w:color w:val="auto"/>
          <w:sz w:val="24"/>
          <w:szCs w:val="24"/>
        </w:rPr>
        <w:t xml:space="preserve">Fuel Cells and Hydrogen </w:t>
      </w:r>
      <w:r w:rsidRPr="00872636">
        <w:rPr>
          <w:rFonts w:ascii="Times New Roman" w:hAnsi="Times New Roman" w:cs="Times New Roman"/>
          <w:color w:val="auto"/>
          <w:sz w:val="24"/>
          <w:szCs w:val="24"/>
        </w:rPr>
        <w:t>joint project</w:t>
      </w:r>
    </w:p>
    <w:p w14:paraId="2D2E6EE1" w14:textId="67C55CCE" w:rsidR="00F60E44" w:rsidRPr="00872636" w:rsidRDefault="00F60E44" w:rsidP="00C525D8">
      <w:pPr>
        <w:spacing w:line="480" w:lineRule="auto"/>
        <w:jc w:val="both"/>
        <w:rPr>
          <w:rFonts w:ascii="Times New Roman" w:hAnsi="Times New Roman" w:cs="Times New Roman"/>
          <w:sz w:val="24"/>
          <w:szCs w:val="24"/>
        </w:rPr>
      </w:pPr>
      <w:r w:rsidRPr="00872636">
        <w:rPr>
          <w:rFonts w:ascii="Times New Roman" w:hAnsi="Times New Roman" w:cs="Times New Roman"/>
          <w:sz w:val="24"/>
          <w:szCs w:val="24"/>
          <w:lang w:eastAsia="en-GB"/>
        </w:rPr>
        <w:tab/>
        <w:t>A</w:t>
      </w:r>
      <w:r w:rsidRPr="00872636">
        <w:rPr>
          <w:rFonts w:ascii="Times New Roman" w:hAnsi="Times New Roman" w:cs="Times New Roman"/>
          <w:sz w:val="24"/>
          <w:szCs w:val="24"/>
        </w:rPr>
        <w:t>n attempt is made below to replicate the long-range LH</w:t>
      </w:r>
      <w:r w:rsidRPr="00872636">
        <w:rPr>
          <w:rFonts w:ascii="Times New Roman" w:hAnsi="Times New Roman" w:cs="Times New Roman"/>
          <w:sz w:val="24"/>
          <w:szCs w:val="24"/>
          <w:vertAlign w:val="subscript"/>
        </w:rPr>
        <w:t xml:space="preserve">2 </w:t>
      </w:r>
      <w:r w:rsidRPr="00872636">
        <w:rPr>
          <w:rFonts w:ascii="Times New Roman" w:hAnsi="Times New Roman" w:cs="Times New Roman"/>
          <w:sz w:val="24"/>
          <w:szCs w:val="24"/>
        </w:rPr>
        <w:t xml:space="preserve">aircraft design in the Clean Sky 2 - Fuel Cells and Hydrogen (FCH) joint project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mendeley":{"formattedCitation":"[100]","plainTextFormattedCitation":"[100]","previouslyFormattedCitation":"[100]"},"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[100]</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where very few/limited design details or aircraft characteristics are revealed.</w:t>
      </w:r>
    </w:p>
    <w:tbl>
      <w:tblPr>
        <w:tblpPr w:leftFromText="180" w:rightFromText="180" w:bottomFromText="160" w:vertAnchor="text" w:horzAnchor="margin" w:tblpXSpec="center" w:tblpY="18"/>
        <w:tblW w:w="9214" w:type="dxa"/>
        <w:tblCellMar>
          <w:left w:w="0" w:type="dxa"/>
          <w:right w:w="0" w:type="dxa"/>
        </w:tblCellMar>
        <w:tblLook w:val="0420" w:firstRow="1" w:lastRow="0" w:firstColumn="0" w:lastColumn="0" w:noHBand="0" w:noVBand="1"/>
      </w:tblPr>
      <w:tblGrid>
        <w:gridCol w:w="3042"/>
        <w:gridCol w:w="1000"/>
        <w:gridCol w:w="1426"/>
        <w:gridCol w:w="1142"/>
        <w:gridCol w:w="828"/>
        <w:gridCol w:w="828"/>
        <w:gridCol w:w="948"/>
      </w:tblGrid>
      <w:tr w:rsidR="00F60E44" w:rsidRPr="007D699F" w14:paraId="36E20E94" w14:textId="77777777" w:rsidTr="00F60E44">
        <w:trPr>
          <w:trHeight w:val="353"/>
        </w:trPr>
        <w:tc>
          <w:tcPr>
            <w:tcW w:w="9214" w:type="dxa"/>
            <w:gridSpan w:val="7"/>
            <w:tcBorders>
              <w:top w:val="nil"/>
              <w:left w:val="nil"/>
              <w:bottom w:val="single" w:sz="4" w:space="0" w:color="auto"/>
              <w:right w:val="nil"/>
            </w:tcBorders>
            <w:tcMar>
              <w:top w:w="72" w:type="dxa"/>
              <w:left w:w="144" w:type="dxa"/>
              <w:bottom w:w="72" w:type="dxa"/>
              <w:right w:w="144" w:type="dxa"/>
            </w:tcMar>
            <w:vAlign w:val="center"/>
            <w:hideMark/>
          </w:tcPr>
          <w:p w14:paraId="6960852D" w14:textId="56D4E7C5"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b/>
                <w:sz w:val="24"/>
                <w:szCs w:val="24"/>
              </w:rPr>
              <w:t xml:space="preserve">Table SI </w:t>
            </w:r>
            <w:r w:rsidR="00286C0A" w:rsidRPr="00872636">
              <w:rPr>
                <w:rFonts w:ascii="Times New Roman" w:hAnsi="Times New Roman" w:cs="Times New Roman"/>
                <w:b/>
                <w:sz w:val="24"/>
                <w:szCs w:val="24"/>
              </w:rPr>
              <w:t>8</w:t>
            </w:r>
            <w:r w:rsidRPr="00872636">
              <w:rPr>
                <w:rFonts w:ascii="Times New Roman" w:hAnsi="Times New Roman" w:cs="Times New Roman"/>
                <w:b/>
                <w:sz w:val="24"/>
                <w:szCs w:val="24"/>
                <w:lang w:eastAsia="en-GB"/>
              </w:rPr>
              <w:t>.</w:t>
            </w:r>
            <w:r w:rsidRPr="00872636">
              <w:rPr>
                <w:rFonts w:ascii="Times New Roman" w:hAnsi="Times New Roman" w:cs="Times New Roman"/>
                <w:b/>
                <w:sz w:val="24"/>
                <w:szCs w:val="24"/>
              </w:rPr>
              <w:t xml:space="preserve"> Comparison of LH</w:t>
            </w:r>
            <w:r w:rsidRPr="00872636">
              <w:rPr>
                <w:rFonts w:ascii="Times New Roman" w:hAnsi="Times New Roman" w:cs="Times New Roman"/>
                <w:b/>
                <w:sz w:val="24"/>
                <w:szCs w:val="24"/>
                <w:vertAlign w:val="subscript"/>
              </w:rPr>
              <w:t>2</w:t>
            </w:r>
            <w:r w:rsidRPr="00872636">
              <w:rPr>
                <w:rFonts w:ascii="Times New Roman" w:hAnsi="Times New Roman" w:cs="Times New Roman"/>
                <w:b/>
                <w:sz w:val="24"/>
                <w:szCs w:val="24"/>
              </w:rPr>
              <w:t xml:space="preserve"> aircraft characteristics for passenger payload of 30,875 kg (325 passengers) between the </w:t>
            </w:r>
            <w:r w:rsidRPr="00872636">
              <w:rPr>
                <w:rFonts w:ascii="Times New Roman" w:hAnsi="Times New Roman" w:cs="Times New Roman"/>
                <w:b/>
                <w:bCs/>
                <w:sz w:val="24"/>
                <w:szCs w:val="24"/>
              </w:rPr>
              <w:t>Clean Sky 2 – FCH joint project and the present study</w:t>
            </w:r>
          </w:p>
        </w:tc>
      </w:tr>
      <w:tr w:rsidR="00F60E44" w:rsidRPr="007D699F" w14:paraId="1EAD928C" w14:textId="77777777" w:rsidTr="00F60E44">
        <w:trPr>
          <w:trHeight w:val="353"/>
        </w:trPr>
        <w:tc>
          <w:tcPr>
            <w:tcW w:w="3439"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19560794"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Fuel and study</w:t>
            </w:r>
          </w:p>
        </w:tc>
        <w:tc>
          <w:tcPr>
            <w:tcW w:w="834" w:type="dxa"/>
            <w:tcBorders>
              <w:top w:val="single" w:sz="4" w:space="0" w:color="auto"/>
              <w:left w:val="nil"/>
              <w:bottom w:val="single" w:sz="4" w:space="0" w:color="auto"/>
              <w:right w:val="nil"/>
            </w:tcBorders>
            <w:vAlign w:val="center"/>
            <w:hideMark/>
          </w:tcPr>
          <w:p w14:paraId="146D7B01"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 xml:space="preserve">Cryogenic tank </w:t>
            </w:r>
            <w:r w:rsidRPr="00872636">
              <w:rPr>
                <w:rFonts w:ascii="Times New Roman" w:hAnsi="Times New Roman" w:cs="Times New Roman"/>
                <w:i/>
                <w:iCs/>
                <w:sz w:val="24"/>
                <w:szCs w:val="24"/>
              </w:rPr>
              <w:t>η</w:t>
            </w:r>
          </w:p>
        </w:tc>
        <w:tc>
          <w:tcPr>
            <w:tcW w:w="1496"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47149EB8"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 xml:space="preserve">Payload weight </w:t>
            </w:r>
            <w:r w:rsidRPr="00872636">
              <w:rPr>
                <w:rFonts w:ascii="Times New Roman" w:hAnsi="Times New Roman" w:cs="Times New Roman"/>
                <w:i/>
                <w:iCs/>
                <w:sz w:val="24"/>
                <w:szCs w:val="24"/>
              </w:rPr>
              <w:t>W</w:t>
            </w:r>
            <w:r w:rsidRPr="00872636">
              <w:rPr>
                <w:rFonts w:ascii="Times New Roman" w:hAnsi="Times New Roman" w:cs="Times New Roman"/>
                <w:sz w:val="24"/>
                <w:szCs w:val="24"/>
                <w:vertAlign w:val="subscript"/>
              </w:rPr>
              <w:t xml:space="preserve">p </w:t>
            </w:r>
            <w:r w:rsidRPr="00872636">
              <w:rPr>
                <w:rFonts w:ascii="Times New Roman" w:hAnsi="Times New Roman" w:cs="Times New Roman"/>
                <w:sz w:val="24"/>
                <w:szCs w:val="24"/>
              </w:rPr>
              <w:t>(kg)</w:t>
            </w:r>
          </w:p>
        </w:tc>
        <w:tc>
          <w:tcPr>
            <w:tcW w:w="1127"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7D19CC03" w14:textId="77777777" w:rsidR="00F60E44" w:rsidRPr="00872636" w:rsidRDefault="00F60E44" w:rsidP="00872636">
            <w:pPr>
              <w:spacing w:after="0" w:line="276" w:lineRule="auto"/>
              <w:jc w:val="center"/>
              <w:rPr>
                <w:rFonts w:ascii="Times New Roman" w:hAnsi="Times New Roman" w:cs="Times New Roman"/>
                <w:i/>
                <w:iCs/>
                <w:sz w:val="24"/>
                <w:szCs w:val="24"/>
              </w:rPr>
            </w:pPr>
            <w:r w:rsidRPr="00872636">
              <w:rPr>
                <w:rFonts w:ascii="Times New Roman" w:hAnsi="Times New Roman" w:cs="Times New Roman"/>
                <w:sz w:val="24"/>
                <w:szCs w:val="24"/>
              </w:rPr>
              <w:t>Fuselage length</w:t>
            </w:r>
            <w:r w:rsidRPr="00872636">
              <w:rPr>
                <w:rFonts w:ascii="Times New Roman" w:hAnsi="Times New Roman" w:cs="Times New Roman"/>
                <w:i/>
                <w:iCs/>
                <w:sz w:val="24"/>
                <w:szCs w:val="24"/>
              </w:rPr>
              <w:t xml:space="preserve"> </w:t>
            </w:r>
            <w:r w:rsidRPr="00872636">
              <w:rPr>
                <w:rFonts w:ascii="Times New Roman" w:hAnsi="Times New Roman" w:cs="Times New Roman"/>
                <w:sz w:val="24"/>
                <w:szCs w:val="24"/>
              </w:rPr>
              <w:t>(m)</w:t>
            </w:r>
          </w:p>
        </w:tc>
        <w:tc>
          <w:tcPr>
            <w:tcW w:w="742"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61B480C1"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ΔL</w:t>
            </w:r>
          </w:p>
          <w:p w14:paraId="64BC5B15" w14:textId="77777777" w:rsidR="00F60E44" w:rsidRPr="00872636" w:rsidRDefault="00F60E4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(m)</w:t>
            </w:r>
          </w:p>
        </w:tc>
        <w:tc>
          <w:tcPr>
            <w:tcW w:w="738"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28FF0ED8" w14:textId="77777777" w:rsidR="00F60E44" w:rsidRPr="00872636" w:rsidRDefault="00F60E44" w:rsidP="00872636">
            <w:pPr>
              <w:spacing w:after="0" w:line="276" w:lineRule="auto"/>
              <w:jc w:val="center"/>
              <w:rPr>
                <w:rFonts w:ascii="Times New Roman" w:hAnsi="Times New Roman" w:cs="Times New Roman"/>
                <w:i/>
                <w:iCs/>
                <w:sz w:val="24"/>
                <w:szCs w:val="24"/>
              </w:rPr>
            </w:pPr>
            <w:r w:rsidRPr="00872636">
              <w:rPr>
                <w:rFonts w:ascii="Times New Roman" w:hAnsi="Times New Roman" w:cs="Times New Roman"/>
                <w:sz w:val="24"/>
                <w:szCs w:val="24"/>
              </w:rPr>
              <w:t>ΔL (%)</w:t>
            </w:r>
          </w:p>
        </w:tc>
        <w:tc>
          <w:tcPr>
            <w:tcW w:w="838"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5BE9429E" w14:textId="2478A31C" w:rsidR="00F60E44" w:rsidRPr="00872636" w:rsidRDefault="005133F6"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Range</w:t>
            </w:r>
            <w:r w:rsidR="00F60E44" w:rsidRPr="00872636">
              <w:rPr>
                <w:rFonts w:ascii="Times New Roman" w:hAnsi="Times New Roman" w:cs="Times New Roman"/>
                <w:i/>
                <w:iCs/>
                <w:sz w:val="24"/>
                <w:szCs w:val="24"/>
              </w:rPr>
              <w:t xml:space="preserve"> </w:t>
            </w:r>
            <w:r w:rsidR="00F60E44" w:rsidRPr="00872636">
              <w:rPr>
                <w:rFonts w:ascii="Times New Roman" w:hAnsi="Times New Roman" w:cs="Times New Roman"/>
                <w:sz w:val="24"/>
                <w:szCs w:val="24"/>
              </w:rPr>
              <w:t>(km)</w:t>
            </w:r>
          </w:p>
        </w:tc>
      </w:tr>
      <w:tr w:rsidR="00F60E44" w:rsidRPr="007D699F" w14:paraId="1C93797C" w14:textId="77777777" w:rsidTr="00F60E44">
        <w:trPr>
          <w:trHeight w:val="232"/>
        </w:trPr>
        <w:tc>
          <w:tcPr>
            <w:tcW w:w="3439" w:type="dxa"/>
            <w:tcBorders>
              <w:top w:val="single" w:sz="4" w:space="0" w:color="auto"/>
              <w:left w:val="nil"/>
              <w:bottom w:val="nil"/>
              <w:right w:val="nil"/>
            </w:tcBorders>
            <w:tcMar>
              <w:top w:w="72" w:type="dxa"/>
              <w:left w:w="144" w:type="dxa"/>
              <w:bottom w:w="72" w:type="dxa"/>
              <w:right w:w="144" w:type="dxa"/>
            </w:tcMar>
            <w:vAlign w:val="center"/>
            <w:hideMark/>
          </w:tcPr>
          <w:p w14:paraId="03DBD4F6" w14:textId="77777777" w:rsidR="00F60E44" w:rsidRPr="00872636" w:rsidRDefault="00F60E44" w:rsidP="00872636">
            <w:pPr>
              <w:spacing w:after="0" w:line="276" w:lineRule="auto"/>
              <w:rPr>
                <w:rFonts w:ascii="Times New Roman" w:hAnsi="Times New Roman" w:cs="Times New Roman"/>
                <w:sz w:val="24"/>
                <w:szCs w:val="24"/>
                <w:vertAlign w:val="subscript"/>
              </w:rPr>
            </w:pPr>
            <w:r w:rsidRPr="00872636">
              <w:rPr>
                <w:rFonts w:ascii="Times New Roman" w:hAnsi="Times New Roman" w:cs="Times New Roman"/>
                <w:sz w:val="24"/>
                <w:szCs w:val="24"/>
              </w:rPr>
              <w:t>LH</w:t>
            </w:r>
            <w:r w:rsidRPr="00872636">
              <w:rPr>
                <w:rFonts w:ascii="Times New Roman" w:hAnsi="Times New Roman" w:cs="Times New Roman"/>
                <w:sz w:val="24"/>
                <w:szCs w:val="24"/>
                <w:vertAlign w:val="subscript"/>
              </w:rPr>
              <w:t xml:space="preserve">2 </w:t>
            </w:r>
          </w:p>
          <w:p w14:paraId="23859B83" w14:textId="7C281840"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 xml:space="preserve">(Clean Sky 2 – FCH joint project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mendeley":{"formattedCitation":"[100]","plainTextFormattedCitation":"[100]","previouslyFormattedCitation":"[100]"},"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[100]</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w:t>
            </w:r>
          </w:p>
        </w:tc>
        <w:tc>
          <w:tcPr>
            <w:tcW w:w="834" w:type="dxa"/>
            <w:tcBorders>
              <w:top w:val="single" w:sz="4" w:space="0" w:color="auto"/>
              <w:left w:val="nil"/>
              <w:bottom w:val="nil"/>
              <w:right w:val="nil"/>
            </w:tcBorders>
            <w:vAlign w:val="center"/>
            <w:hideMark/>
          </w:tcPr>
          <w:p w14:paraId="57ABC8A1"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0.38</w:t>
            </w:r>
          </w:p>
        </w:tc>
        <w:tc>
          <w:tcPr>
            <w:tcW w:w="1496" w:type="dxa"/>
            <w:tcBorders>
              <w:top w:val="single" w:sz="4" w:space="0" w:color="auto"/>
              <w:left w:val="nil"/>
              <w:bottom w:val="nil"/>
              <w:right w:val="nil"/>
            </w:tcBorders>
            <w:tcMar>
              <w:top w:w="72" w:type="dxa"/>
              <w:left w:w="144" w:type="dxa"/>
              <w:bottom w:w="72" w:type="dxa"/>
              <w:right w:w="144" w:type="dxa"/>
            </w:tcMar>
            <w:vAlign w:val="center"/>
            <w:hideMark/>
          </w:tcPr>
          <w:p w14:paraId="743CB2BC"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30,875</w:t>
            </w:r>
          </w:p>
        </w:tc>
        <w:tc>
          <w:tcPr>
            <w:tcW w:w="1127" w:type="dxa"/>
            <w:tcBorders>
              <w:top w:val="single" w:sz="4" w:space="0" w:color="auto"/>
              <w:left w:val="nil"/>
              <w:bottom w:val="nil"/>
              <w:right w:val="nil"/>
            </w:tcBorders>
            <w:tcMar>
              <w:top w:w="72" w:type="dxa"/>
              <w:left w:w="144" w:type="dxa"/>
              <w:bottom w:w="72" w:type="dxa"/>
              <w:right w:w="144" w:type="dxa"/>
            </w:tcMar>
            <w:vAlign w:val="center"/>
            <w:hideMark/>
          </w:tcPr>
          <w:p w14:paraId="57A1C5DD"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w:t>
            </w:r>
          </w:p>
        </w:tc>
        <w:tc>
          <w:tcPr>
            <w:tcW w:w="742" w:type="dxa"/>
            <w:tcBorders>
              <w:top w:val="single" w:sz="4" w:space="0" w:color="auto"/>
              <w:left w:val="nil"/>
              <w:bottom w:val="nil"/>
              <w:right w:val="nil"/>
            </w:tcBorders>
            <w:tcMar>
              <w:top w:w="72" w:type="dxa"/>
              <w:left w:w="144" w:type="dxa"/>
              <w:bottom w:w="72" w:type="dxa"/>
              <w:right w:w="144" w:type="dxa"/>
            </w:tcMar>
            <w:vAlign w:val="center"/>
            <w:hideMark/>
          </w:tcPr>
          <w:p w14:paraId="74309AF4"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w:t>
            </w:r>
          </w:p>
        </w:tc>
        <w:tc>
          <w:tcPr>
            <w:tcW w:w="738" w:type="dxa"/>
            <w:tcBorders>
              <w:top w:val="single" w:sz="4" w:space="0" w:color="auto"/>
              <w:left w:val="nil"/>
              <w:bottom w:val="nil"/>
              <w:right w:val="nil"/>
            </w:tcBorders>
            <w:tcMar>
              <w:top w:w="72" w:type="dxa"/>
              <w:left w:w="144" w:type="dxa"/>
              <w:bottom w:w="72" w:type="dxa"/>
              <w:right w:w="144" w:type="dxa"/>
            </w:tcMar>
            <w:vAlign w:val="center"/>
            <w:hideMark/>
          </w:tcPr>
          <w:p w14:paraId="07B58385"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30.00</w:t>
            </w:r>
          </w:p>
        </w:tc>
        <w:tc>
          <w:tcPr>
            <w:tcW w:w="838" w:type="dxa"/>
            <w:tcBorders>
              <w:top w:val="single" w:sz="4" w:space="0" w:color="auto"/>
              <w:left w:val="nil"/>
              <w:bottom w:val="nil"/>
              <w:right w:val="nil"/>
            </w:tcBorders>
            <w:tcMar>
              <w:top w:w="72" w:type="dxa"/>
              <w:left w:w="144" w:type="dxa"/>
              <w:bottom w:w="72" w:type="dxa"/>
              <w:right w:w="144" w:type="dxa"/>
            </w:tcMar>
            <w:vAlign w:val="center"/>
            <w:hideMark/>
          </w:tcPr>
          <w:p w14:paraId="598348FA"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10,000</w:t>
            </w:r>
          </w:p>
        </w:tc>
      </w:tr>
      <w:tr w:rsidR="00F60E44" w:rsidRPr="007D699F" w14:paraId="0B3C404D" w14:textId="77777777" w:rsidTr="00F60E44">
        <w:trPr>
          <w:trHeight w:val="232"/>
        </w:trPr>
        <w:tc>
          <w:tcPr>
            <w:tcW w:w="3439" w:type="dxa"/>
            <w:tcBorders>
              <w:top w:val="nil"/>
              <w:left w:val="nil"/>
              <w:bottom w:val="single" w:sz="4" w:space="0" w:color="auto"/>
              <w:right w:val="nil"/>
            </w:tcBorders>
            <w:tcMar>
              <w:top w:w="72" w:type="dxa"/>
              <w:left w:w="144" w:type="dxa"/>
              <w:bottom w:w="72" w:type="dxa"/>
              <w:right w:w="144" w:type="dxa"/>
            </w:tcMar>
            <w:vAlign w:val="center"/>
            <w:hideMark/>
          </w:tcPr>
          <w:p w14:paraId="60A85BA4" w14:textId="77777777" w:rsidR="00F60E44" w:rsidRPr="00872636" w:rsidRDefault="00F60E44" w:rsidP="00872636">
            <w:pPr>
              <w:spacing w:after="0" w:line="276" w:lineRule="auto"/>
              <w:rPr>
                <w:rFonts w:ascii="Times New Roman" w:hAnsi="Times New Roman" w:cs="Times New Roman"/>
                <w:sz w:val="24"/>
                <w:szCs w:val="24"/>
                <w:vertAlign w:val="subscript"/>
              </w:rPr>
            </w:pPr>
            <w:r w:rsidRPr="00872636">
              <w:rPr>
                <w:rFonts w:ascii="Times New Roman" w:hAnsi="Times New Roman" w:cs="Times New Roman"/>
                <w:sz w:val="24"/>
                <w:szCs w:val="24"/>
              </w:rPr>
              <w:t>LH</w:t>
            </w:r>
            <w:r w:rsidRPr="00872636">
              <w:rPr>
                <w:rFonts w:ascii="Times New Roman" w:hAnsi="Times New Roman" w:cs="Times New Roman"/>
                <w:sz w:val="24"/>
                <w:szCs w:val="24"/>
                <w:vertAlign w:val="subscript"/>
              </w:rPr>
              <w:t xml:space="preserve">2 </w:t>
            </w:r>
          </w:p>
          <w:p w14:paraId="35D09B5D" w14:textId="77777777" w:rsidR="00F60E44" w:rsidRPr="00872636" w:rsidRDefault="00F60E4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(Using present model)</w:t>
            </w:r>
          </w:p>
        </w:tc>
        <w:tc>
          <w:tcPr>
            <w:tcW w:w="834" w:type="dxa"/>
            <w:tcBorders>
              <w:top w:val="nil"/>
              <w:left w:val="nil"/>
              <w:bottom w:val="single" w:sz="4" w:space="0" w:color="auto"/>
              <w:right w:val="nil"/>
            </w:tcBorders>
            <w:vAlign w:val="center"/>
            <w:hideMark/>
          </w:tcPr>
          <w:p w14:paraId="1EE51122"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0.38</w:t>
            </w:r>
          </w:p>
        </w:tc>
        <w:tc>
          <w:tcPr>
            <w:tcW w:w="1496" w:type="dxa"/>
            <w:tcBorders>
              <w:top w:val="nil"/>
              <w:left w:val="nil"/>
              <w:bottom w:val="single" w:sz="4" w:space="0" w:color="auto"/>
              <w:right w:val="nil"/>
            </w:tcBorders>
            <w:tcMar>
              <w:top w:w="72" w:type="dxa"/>
              <w:left w:w="144" w:type="dxa"/>
              <w:bottom w:w="72" w:type="dxa"/>
              <w:right w:w="144" w:type="dxa"/>
            </w:tcMar>
            <w:vAlign w:val="center"/>
            <w:hideMark/>
          </w:tcPr>
          <w:p w14:paraId="54CF10BA"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30,875</w:t>
            </w:r>
          </w:p>
        </w:tc>
        <w:tc>
          <w:tcPr>
            <w:tcW w:w="1127" w:type="dxa"/>
            <w:tcBorders>
              <w:top w:val="nil"/>
              <w:left w:val="nil"/>
              <w:bottom w:val="single" w:sz="4" w:space="0" w:color="auto"/>
              <w:right w:val="nil"/>
            </w:tcBorders>
            <w:tcMar>
              <w:top w:w="72" w:type="dxa"/>
              <w:left w:w="144" w:type="dxa"/>
              <w:bottom w:w="72" w:type="dxa"/>
              <w:right w:w="144" w:type="dxa"/>
            </w:tcMar>
            <w:vAlign w:val="center"/>
            <w:hideMark/>
          </w:tcPr>
          <w:p w14:paraId="26C1A56F"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93.99</w:t>
            </w:r>
          </w:p>
        </w:tc>
        <w:tc>
          <w:tcPr>
            <w:tcW w:w="742" w:type="dxa"/>
            <w:tcBorders>
              <w:top w:val="nil"/>
              <w:left w:val="nil"/>
              <w:bottom w:val="single" w:sz="4" w:space="0" w:color="auto"/>
              <w:right w:val="nil"/>
            </w:tcBorders>
            <w:tcMar>
              <w:top w:w="72" w:type="dxa"/>
              <w:left w:w="144" w:type="dxa"/>
              <w:bottom w:w="72" w:type="dxa"/>
              <w:right w:w="144" w:type="dxa"/>
            </w:tcMar>
            <w:vAlign w:val="center"/>
            <w:hideMark/>
          </w:tcPr>
          <w:p w14:paraId="6DF46272"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21.74</w:t>
            </w:r>
          </w:p>
        </w:tc>
        <w:tc>
          <w:tcPr>
            <w:tcW w:w="738" w:type="dxa"/>
            <w:tcBorders>
              <w:top w:val="nil"/>
              <w:left w:val="nil"/>
              <w:bottom w:val="single" w:sz="4" w:space="0" w:color="auto"/>
              <w:right w:val="nil"/>
            </w:tcBorders>
            <w:tcMar>
              <w:top w:w="72" w:type="dxa"/>
              <w:left w:w="144" w:type="dxa"/>
              <w:bottom w:w="72" w:type="dxa"/>
              <w:right w:w="144" w:type="dxa"/>
            </w:tcMar>
            <w:vAlign w:val="center"/>
            <w:hideMark/>
          </w:tcPr>
          <w:p w14:paraId="5371A86C"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30.09</w:t>
            </w:r>
          </w:p>
        </w:tc>
        <w:tc>
          <w:tcPr>
            <w:tcW w:w="838" w:type="dxa"/>
            <w:tcBorders>
              <w:top w:val="nil"/>
              <w:left w:val="nil"/>
              <w:bottom w:val="single" w:sz="4" w:space="0" w:color="auto"/>
              <w:right w:val="nil"/>
            </w:tcBorders>
            <w:tcMar>
              <w:top w:w="72" w:type="dxa"/>
              <w:left w:w="144" w:type="dxa"/>
              <w:bottom w:w="72" w:type="dxa"/>
              <w:right w:w="144" w:type="dxa"/>
            </w:tcMar>
            <w:vAlign w:val="center"/>
            <w:hideMark/>
          </w:tcPr>
          <w:p w14:paraId="4A571E8F" w14:textId="77777777" w:rsidR="00F60E44" w:rsidRPr="00872636" w:rsidRDefault="00F60E4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10,000</w:t>
            </w:r>
          </w:p>
        </w:tc>
      </w:tr>
    </w:tbl>
    <w:p w14:paraId="2FFB3BE7" w14:textId="357A34D8" w:rsidR="00654376" w:rsidRPr="00872636" w:rsidRDefault="00F60E44" w:rsidP="00C525D8">
      <w:pPr>
        <w:spacing w:before="240" w:line="480" w:lineRule="auto"/>
        <w:jc w:val="both"/>
        <w:rPr>
          <w:rFonts w:ascii="Times New Roman" w:hAnsi="Times New Roman" w:cs="Times New Roman"/>
          <w:sz w:val="24"/>
          <w:szCs w:val="24"/>
        </w:rPr>
      </w:pPr>
      <w:r w:rsidRPr="00872636">
        <w:rPr>
          <w:rFonts w:ascii="Times New Roman" w:hAnsi="Times New Roman" w:cs="Times New Roman"/>
          <w:sz w:val="24"/>
          <w:szCs w:val="24"/>
        </w:rPr>
        <w:tab/>
        <w:t>It is known from the project report</w:t>
      </w:r>
      <w:r w:rsidR="00143FB7" w:rsidRPr="00872636">
        <w:rPr>
          <w:rFonts w:ascii="Times New Roman" w:hAnsi="Times New Roman" w:cs="Times New Roman"/>
          <w:sz w:val="24"/>
          <w:szCs w:val="24"/>
        </w:rPr>
        <w:t xml:space="preserve"> </w:t>
      </w:r>
      <w:r w:rsidRPr="00872636">
        <w:rPr>
          <w:rFonts w:ascii="Times New Roman" w:hAnsi="Times New Roman" w:cs="Times New Roman"/>
          <w:sz w:val="24"/>
          <w:szCs w:val="24"/>
        </w:rPr>
        <w:t>that the long-range LH</w:t>
      </w:r>
      <w:r w:rsidRPr="00872636">
        <w:rPr>
          <w:rFonts w:ascii="Times New Roman" w:hAnsi="Times New Roman" w:cs="Times New Roman"/>
          <w:sz w:val="24"/>
          <w:szCs w:val="24"/>
          <w:vertAlign w:val="subscript"/>
        </w:rPr>
        <w:t xml:space="preserve">2 </w:t>
      </w:r>
      <w:r w:rsidRPr="00872636">
        <w:rPr>
          <w:rFonts w:ascii="Times New Roman" w:hAnsi="Times New Roman" w:cs="Times New Roman"/>
          <w:sz w:val="24"/>
          <w:szCs w:val="24"/>
        </w:rPr>
        <w:t xml:space="preserve">aircraft from the Clean Sky 2 – FCH joint project seats 325 passengers and has a design range of 10,000 km, where the </w:t>
      </w:r>
      <w:r w:rsidRPr="00872636">
        <w:rPr>
          <w:rFonts w:ascii="Times New Roman" w:hAnsi="Times New Roman" w:cs="Times New Roman"/>
          <w:sz w:val="24"/>
          <w:szCs w:val="24"/>
          <w:lang w:eastAsia="en-GB"/>
        </w:rPr>
        <w:t xml:space="preserve">cryogenic tank </w:t>
      </w:r>
      <w:r w:rsidRPr="00872636">
        <w:rPr>
          <w:rFonts w:ascii="Times New Roman" w:hAnsi="Times New Roman" w:cs="Times New Roman"/>
          <w:i/>
          <w:iCs/>
          <w:sz w:val="24"/>
          <w:szCs w:val="24"/>
          <w:lang w:eastAsia="en-GB"/>
        </w:rPr>
        <w:t xml:space="preserve">η </w:t>
      </w:r>
      <w:r w:rsidRPr="00872636">
        <w:rPr>
          <w:rFonts w:ascii="Times New Roman" w:hAnsi="Times New Roman" w:cs="Times New Roman"/>
          <w:sz w:val="24"/>
          <w:szCs w:val="24"/>
          <w:lang w:eastAsia="en-GB"/>
        </w:rPr>
        <w:t xml:space="preserve">is 0.38 for an integral tank with double walled multi-layer insulation system </w:t>
      </w:r>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id":"ITEM-2","itemData":{"author":[{"dropping-particle":"","family":"Air-Liquide","given":"","non-dropping-particle":"","parse-names":false,"suffix":""}],"container-title":"FCH - CleanSky joint workshop","id":"ITEM-2","issued":{"date-parts":[["2015"]]},"title":"Hydrogen storage on board aeronef and ground infrastructure : Air Liquide Advanced Technologies-Workshop on aeronautical applications of fuel cell and hydrogen technologies","type":"webpage"},"uris":["http://www.mendeley.com/documents/?uuid=466cdc68-dd65-3f80-9a35-69825a72e3ac"]}],"mendeley":{"formattedCitation":"[100], [104]","plainTextFormattedCitation":"[100], [104]","previouslyFormattedCitation":"[100], [104]"},"properties":{"noteIndex":0},"schema":"https://github.com/citation-style-language/schema/raw/master/csl-citation.json"}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[100], [104]</w:t>
      </w:r>
      <w:r w:rsidRPr="00872636">
        <w:rPr>
          <w:rFonts w:ascii="Times New Roman" w:hAnsi="Times New Roman" w:cs="Times New Roman"/>
          <w:sz w:val="24"/>
          <w:szCs w:val="24"/>
          <w:lang w:eastAsia="en-GB"/>
        </w:rPr>
        <w:fldChar w:fldCharType="end"/>
      </w:r>
      <w:r w:rsidRPr="00872636">
        <w:rPr>
          <w:rFonts w:ascii="Times New Roman" w:hAnsi="Times New Roman" w:cs="Times New Roman"/>
          <w:sz w:val="24"/>
          <w:szCs w:val="24"/>
          <w:lang w:eastAsia="en-GB"/>
        </w:rPr>
        <w:t xml:space="preserve">. Using the model of the A350-1000 aircraft developed in the present work, an </w:t>
      </w:r>
      <w:r w:rsidRPr="00872636">
        <w:rPr>
          <w:rFonts w:ascii="Times New Roman" w:hAnsi="Times New Roman" w:cs="Times New Roman"/>
          <w:sz w:val="24"/>
          <w:szCs w:val="24"/>
        </w:rPr>
        <w:t>LH</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rPr>
        <w:t xml:space="preserve"> powered large aircraft</w:t>
      </w:r>
      <w:r w:rsidRPr="00872636">
        <w:rPr>
          <w:rFonts w:ascii="Times New Roman" w:hAnsi="Times New Roman" w:cs="Times New Roman"/>
          <w:sz w:val="24"/>
          <w:szCs w:val="24"/>
          <w:lang w:eastAsia="en-GB"/>
        </w:rPr>
        <w:t xml:space="preserve"> is designed for 325 passenger-payload (30,875 kg) with a target design range of 10,000 km and a cryogenic </w:t>
      </w:r>
      <w:r w:rsidRPr="00872636">
        <w:rPr>
          <w:rFonts w:ascii="Times New Roman" w:hAnsi="Times New Roman" w:cs="Times New Roman"/>
          <w:sz w:val="24"/>
          <w:szCs w:val="24"/>
        </w:rPr>
        <w:t>LH</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lang w:eastAsia="en-GB"/>
        </w:rPr>
        <w:t xml:space="preserve"> tank </w:t>
      </w:r>
      <w:r w:rsidRPr="00872636">
        <w:rPr>
          <w:rFonts w:ascii="Times New Roman" w:hAnsi="Times New Roman" w:cs="Times New Roman"/>
          <w:i/>
          <w:iCs/>
          <w:sz w:val="24"/>
          <w:szCs w:val="24"/>
          <w:lang w:eastAsia="en-GB"/>
        </w:rPr>
        <w:t xml:space="preserve">η </w:t>
      </w:r>
      <w:r w:rsidRPr="00872636">
        <w:rPr>
          <w:rFonts w:ascii="Times New Roman" w:hAnsi="Times New Roman" w:cs="Times New Roman"/>
          <w:sz w:val="24"/>
          <w:szCs w:val="24"/>
          <w:lang w:eastAsia="en-GB"/>
        </w:rPr>
        <w:t xml:space="preserve">value of 0.38 is used. The aircraft performance characteristics of the said aircraft is listed in </w:t>
      </w:r>
      <w:r w:rsidRPr="00872636">
        <w:rPr>
          <w:rFonts w:ascii="Times New Roman" w:hAnsi="Times New Roman" w:cs="Times New Roman"/>
          <w:bCs/>
          <w:sz w:val="24"/>
          <w:szCs w:val="24"/>
        </w:rPr>
        <w:t xml:space="preserve">Table SI </w:t>
      </w:r>
      <w:r w:rsidR="001977D7">
        <w:rPr>
          <w:rFonts w:ascii="Times New Roman" w:hAnsi="Times New Roman" w:cs="Times New Roman"/>
          <w:bCs/>
          <w:sz w:val="24"/>
          <w:szCs w:val="24"/>
        </w:rPr>
        <w:t>8</w:t>
      </w:r>
      <w:r w:rsidRPr="00872636">
        <w:rPr>
          <w:rFonts w:ascii="Times New Roman" w:hAnsi="Times New Roman" w:cs="Times New Roman"/>
          <w:sz w:val="24"/>
          <w:szCs w:val="24"/>
          <w:lang w:eastAsia="en-GB"/>
        </w:rPr>
        <w:t xml:space="preserve">. It can be observed from </w:t>
      </w:r>
      <w:r w:rsidRPr="00872636">
        <w:rPr>
          <w:rFonts w:ascii="Times New Roman" w:hAnsi="Times New Roman" w:cs="Times New Roman"/>
          <w:bCs/>
          <w:sz w:val="24"/>
          <w:szCs w:val="24"/>
        </w:rPr>
        <w:t xml:space="preserve">Table SI </w:t>
      </w:r>
      <w:r w:rsidR="001977D7">
        <w:rPr>
          <w:rFonts w:ascii="Times New Roman" w:hAnsi="Times New Roman" w:cs="Times New Roman"/>
          <w:bCs/>
          <w:sz w:val="24"/>
          <w:szCs w:val="24"/>
        </w:rPr>
        <w:t>8</w:t>
      </w:r>
      <w:r w:rsidR="001977D7" w:rsidRPr="00872636">
        <w:rPr>
          <w:rFonts w:ascii="Times New Roman" w:hAnsi="Times New Roman" w:cs="Times New Roman"/>
          <w:bCs/>
          <w:sz w:val="24"/>
          <w:szCs w:val="24"/>
        </w:rPr>
        <w:t xml:space="preserve"> </w:t>
      </w:r>
      <w:r w:rsidRPr="00872636">
        <w:rPr>
          <w:rFonts w:ascii="Times New Roman" w:hAnsi="Times New Roman" w:cs="Times New Roman"/>
          <w:bCs/>
          <w:sz w:val="24"/>
          <w:szCs w:val="24"/>
        </w:rPr>
        <w:t xml:space="preserve">that the magnitude of increase in </w:t>
      </w:r>
      <w:r w:rsidRPr="00872636">
        <w:rPr>
          <w:rFonts w:ascii="Times New Roman" w:hAnsi="Times New Roman" w:cs="Times New Roman"/>
          <w:sz w:val="24"/>
          <w:szCs w:val="24"/>
        </w:rPr>
        <w:t>LH</w:t>
      </w:r>
      <w:r w:rsidRPr="00872636">
        <w:rPr>
          <w:rFonts w:ascii="Times New Roman" w:hAnsi="Times New Roman" w:cs="Times New Roman"/>
          <w:sz w:val="24"/>
          <w:szCs w:val="24"/>
          <w:vertAlign w:val="subscript"/>
        </w:rPr>
        <w:t xml:space="preserve">2 </w:t>
      </w:r>
      <w:r w:rsidRPr="00872636">
        <w:rPr>
          <w:rFonts w:ascii="Times New Roman" w:hAnsi="Times New Roman" w:cs="Times New Roman"/>
          <w:bCs/>
          <w:sz w:val="24"/>
          <w:szCs w:val="24"/>
        </w:rPr>
        <w:t xml:space="preserve">aircraft fuselage length calculated in this work and the published value in </w:t>
      </w:r>
      <w:r w:rsidRPr="00872636">
        <w:rPr>
          <w:rFonts w:ascii="Times New Roman" w:hAnsi="Times New Roman" w:cs="Times New Roman"/>
          <w:sz w:val="24"/>
          <w:szCs w:val="24"/>
        </w:rPr>
        <w:t xml:space="preserve">Clean Sky 2 – FCH joint project are similar for the same </w:t>
      </w:r>
      <w:r w:rsidRPr="00872636">
        <w:rPr>
          <w:rFonts w:ascii="Times New Roman" w:hAnsi="Times New Roman" w:cs="Times New Roman"/>
          <w:sz w:val="24"/>
          <w:szCs w:val="24"/>
          <w:lang w:eastAsia="en-GB"/>
        </w:rPr>
        <w:t xml:space="preserve">cryogenic tank </w:t>
      </w:r>
      <w:r w:rsidRPr="00872636">
        <w:rPr>
          <w:rFonts w:ascii="Times New Roman" w:hAnsi="Times New Roman" w:cs="Times New Roman"/>
          <w:i/>
          <w:iCs/>
          <w:sz w:val="24"/>
          <w:szCs w:val="24"/>
          <w:lang w:eastAsia="en-GB"/>
        </w:rPr>
        <w:t xml:space="preserve">η </w:t>
      </w:r>
      <w:r w:rsidRPr="00872636">
        <w:rPr>
          <w:rFonts w:ascii="Times New Roman" w:hAnsi="Times New Roman" w:cs="Times New Roman"/>
          <w:sz w:val="24"/>
          <w:szCs w:val="24"/>
        </w:rPr>
        <w:t>and passenger payload.</w:t>
      </w:r>
    </w:p>
    <w:p w14:paraId="07CAF403" w14:textId="4F250A6E" w:rsidR="00654376" w:rsidRPr="00872636" w:rsidRDefault="004363B2" w:rsidP="00C525D8">
      <w:pPr>
        <w:pStyle w:val="Heading1"/>
        <w:numPr>
          <w:ilvl w:val="0"/>
          <w:numId w:val="4"/>
        </w:numPr>
        <w:spacing w:after="240" w:line="480" w:lineRule="auto"/>
        <w:rPr>
          <w:rFonts w:ascii="Times New Roman" w:hAnsi="Times New Roman" w:cs="Times New Roman"/>
          <w:b/>
          <w:bCs/>
          <w:sz w:val="24"/>
          <w:szCs w:val="24"/>
          <w:lang w:eastAsia="en-GB"/>
        </w:rPr>
      </w:pPr>
      <w:r w:rsidRPr="00872636">
        <w:rPr>
          <w:rFonts w:ascii="Times New Roman" w:hAnsi="Times New Roman" w:cs="Times New Roman"/>
          <w:b/>
          <w:bCs/>
          <w:color w:val="auto"/>
          <w:sz w:val="24"/>
          <w:szCs w:val="24"/>
          <w:lang w:eastAsia="en-GB"/>
        </w:rPr>
        <w:lastRenderedPageBreak/>
        <w:t>Results of the p</w:t>
      </w:r>
      <w:r w:rsidR="00654376" w:rsidRPr="00872636">
        <w:rPr>
          <w:rFonts w:ascii="Times New Roman" w:hAnsi="Times New Roman" w:cs="Times New Roman"/>
          <w:b/>
          <w:bCs/>
          <w:color w:val="auto"/>
          <w:sz w:val="24"/>
          <w:szCs w:val="24"/>
          <w:lang w:eastAsia="en-GB"/>
        </w:rPr>
        <w:t>erformance characteristics of aircraft powered by different fuels</w:t>
      </w:r>
    </w:p>
    <w:p w14:paraId="40AEF33E" w14:textId="2F0A3AFC" w:rsidR="004363B2" w:rsidRPr="00872636" w:rsidRDefault="004363B2" w:rsidP="00C525D8">
      <w:pPr>
        <w:pStyle w:val="Heading2"/>
        <w:spacing w:after="240" w:line="480" w:lineRule="auto"/>
        <w:rPr>
          <w:rFonts w:ascii="Times New Roman" w:hAnsi="Times New Roman" w:cs="Times New Roman"/>
          <w:sz w:val="24"/>
          <w:szCs w:val="24"/>
          <w:lang w:eastAsia="en-GB"/>
        </w:rPr>
      </w:pPr>
      <w:r w:rsidRPr="00872636">
        <w:rPr>
          <w:rFonts w:ascii="Times New Roman" w:hAnsi="Times New Roman" w:cs="Times New Roman"/>
          <w:color w:val="auto"/>
          <w:sz w:val="24"/>
          <w:szCs w:val="24"/>
          <w:lang w:eastAsia="en-GB"/>
        </w:rPr>
        <w:t>Miscellaneous results of the performance characteristics</w:t>
      </w:r>
      <w:r w:rsidR="00295445" w:rsidRPr="00872636">
        <w:rPr>
          <w:rFonts w:ascii="Times New Roman" w:hAnsi="Times New Roman" w:cs="Times New Roman"/>
          <w:color w:val="auto"/>
          <w:sz w:val="24"/>
          <w:szCs w:val="24"/>
          <w:lang w:eastAsia="en-GB"/>
        </w:rPr>
        <w:t xml:space="preserve"> at design point</w:t>
      </w:r>
    </w:p>
    <w:p w14:paraId="0FFFD057" w14:textId="4FA84653" w:rsidR="00654376" w:rsidRPr="00872636" w:rsidRDefault="00654376" w:rsidP="00C525D8">
      <w:pPr>
        <w:spacing w:after="0" w:line="480" w:lineRule="auto"/>
        <w:jc w:val="both"/>
        <w:rPr>
          <w:rFonts w:ascii="Times New Roman" w:hAnsi="Times New Roman" w:cs="Times New Roman"/>
          <w:sz w:val="24"/>
          <w:szCs w:val="24"/>
        </w:rPr>
      </w:pPr>
      <w:r w:rsidRPr="00872636">
        <w:rPr>
          <w:rFonts w:ascii="Times New Roman" w:hAnsi="Times New Roman" w:cs="Times New Roman"/>
          <w:sz w:val="24"/>
          <w:szCs w:val="24"/>
        </w:rPr>
        <w:tab/>
        <w:t xml:space="preserve">The performance characteristics of Airbus A350-1000 aircraft modified for the use of alternative fuels (for same payload of 34,770 kg i.e. 366 passenger payload) is listed in Table </w:t>
      </w:r>
      <w:r w:rsidR="00672FD5" w:rsidRPr="00872636">
        <w:rPr>
          <w:rFonts w:ascii="Times New Roman" w:hAnsi="Times New Roman" w:cs="Times New Roman"/>
          <w:sz w:val="24"/>
          <w:szCs w:val="24"/>
        </w:rPr>
        <w:t xml:space="preserve">SI </w:t>
      </w:r>
      <w:r w:rsidR="001977D7">
        <w:rPr>
          <w:rFonts w:ascii="Times New Roman" w:hAnsi="Times New Roman" w:cs="Times New Roman"/>
          <w:sz w:val="24"/>
          <w:szCs w:val="24"/>
        </w:rPr>
        <w:t>9</w:t>
      </w:r>
      <w:r w:rsidRPr="00872636">
        <w:rPr>
          <w:rFonts w:ascii="Times New Roman" w:hAnsi="Times New Roman" w:cs="Times New Roman"/>
          <w:sz w:val="24"/>
          <w:szCs w:val="24"/>
        </w:rPr>
        <w:t xml:space="preserve">. ΔL in Table </w:t>
      </w:r>
      <w:r w:rsidR="00672FD5" w:rsidRPr="00872636">
        <w:rPr>
          <w:rFonts w:ascii="Times New Roman" w:hAnsi="Times New Roman" w:cs="Times New Roman"/>
          <w:sz w:val="24"/>
          <w:szCs w:val="24"/>
        </w:rPr>
        <w:t xml:space="preserve">SI </w:t>
      </w:r>
      <w:r w:rsidR="001977D7">
        <w:rPr>
          <w:rFonts w:ascii="Times New Roman" w:hAnsi="Times New Roman" w:cs="Times New Roman"/>
          <w:sz w:val="24"/>
          <w:szCs w:val="24"/>
        </w:rPr>
        <w:t>9</w:t>
      </w:r>
      <w:r w:rsidR="001977D7" w:rsidRPr="00872636">
        <w:rPr>
          <w:rFonts w:ascii="Times New Roman" w:hAnsi="Times New Roman" w:cs="Times New Roman"/>
          <w:sz w:val="24"/>
          <w:szCs w:val="24"/>
        </w:rPr>
        <w:t xml:space="preserve"> </w:t>
      </w:r>
      <w:r w:rsidRPr="00872636">
        <w:rPr>
          <w:rFonts w:ascii="Times New Roman" w:hAnsi="Times New Roman" w:cs="Times New Roman"/>
          <w:sz w:val="24"/>
          <w:szCs w:val="24"/>
        </w:rPr>
        <w:t xml:space="preserve">represents the additional fuselage length for accommodating the alternative liquid fuel. The fuselage and aircraft modification data of Airbus A350-1000 aircraft for the use of alternative liquid fuels is listed in Table </w:t>
      </w:r>
      <w:r w:rsidR="00672FD5" w:rsidRPr="00872636">
        <w:rPr>
          <w:rFonts w:ascii="Times New Roman" w:hAnsi="Times New Roman" w:cs="Times New Roman"/>
          <w:sz w:val="24"/>
          <w:szCs w:val="24"/>
        </w:rPr>
        <w:t xml:space="preserve">SI </w:t>
      </w:r>
      <w:r w:rsidR="001977D7">
        <w:rPr>
          <w:rFonts w:ascii="Times New Roman" w:hAnsi="Times New Roman" w:cs="Times New Roman"/>
          <w:sz w:val="24"/>
          <w:szCs w:val="24"/>
        </w:rPr>
        <w:t>10</w:t>
      </w:r>
      <w:r w:rsidRPr="00872636">
        <w:rPr>
          <w:rFonts w:ascii="Times New Roman" w:hAnsi="Times New Roman" w:cs="Times New Roman"/>
          <w:sz w:val="24"/>
          <w:szCs w:val="24"/>
        </w:rPr>
        <w:t>. It is to be noted that the wing planform (area, span and/or aspect ratio) is maintained constant for different fuel cases. This is similar to or in-line with the approach used in the Cryoplane study of minimal change to the wing planform, and the positive effects of this approach on the wing loading are observed later.</w:t>
      </w:r>
    </w:p>
    <w:p w14:paraId="63E84463" w14:textId="58545380" w:rsidR="00654376" w:rsidRPr="00872636" w:rsidRDefault="00654376" w:rsidP="00C525D8">
      <w:pPr>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rPr>
        <w:tab/>
        <w:t xml:space="preserve">As discussed in </w:t>
      </w:r>
      <w:r w:rsidR="000552B7" w:rsidRPr="002201D7">
        <w:rPr>
          <w:rFonts w:ascii="Times New Roman" w:hAnsi="Times New Roman" w:cs="Times New Roman"/>
          <w:sz w:val="24"/>
          <w:szCs w:val="24"/>
          <w:lang w:eastAsia="en-GB"/>
        </w:rPr>
        <w:t>SI §</w:t>
      </w:r>
      <w:r w:rsidR="000552B7" w:rsidRPr="00CE68A4">
        <w:rPr>
          <w:rFonts w:ascii="Times New Roman" w:hAnsi="Times New Roman" w:cs="Times New Roman"/>
          <w:sz w:val="24"/>
          <w:szCs w:val="24"/>
          <w:lang w:eastAsia="en-GB"/>
        </w:rPr>
        <w:t>4.3</w:t>
      </w:r>
      <w:r w:rsidRPr="00872636">
        <w:rPr>
          <w:rFonts w:ascii="Times New Roman" w:hAnsi="Times New Roman" w:cs="Times New Roman"/>
          <w:sz w:val="24"/>
          <w:szCs w:val="24"/>
        </w:rPr>
        <w:t>, for LNG two cases are evaluated - t</w:t>
      </w:r>
      <w:r w:rsidRPr="00872636">
        <w:rPr>
          <w:rFonts w:ascii="Times New Roman" w:hAnsi="Times New Roman" w:cs="Times New Roman"/>
          <w:sz w:val="24"/>
          <w:szCs w:val="24"/>
          <w:lang w:eastAsia="en-GB"/>
        </w:rPr>
        <w:t xml:space="preserve">he first LNG case uses a hypothetical (futuristic) </w:t>
      </w:r>
      <w:r w:rsidRPr="00872636">
        <w:rPr>
          <w:rFonts w:ascii="Times New Roman" w:hAnsi="Times New Roman" w:cs="Times New Roman"/>
          <w:i/>
          <w:iCs/>
          <w:sz w:val="24"/>
          <w:szCs w:val="24"/>
          <w:lang w:eastAsia="en-GB"/>
        </w:rPr>
        <w:t>η</w:t>
      </w:r>
      <w:r w:rsidRPr="00872636">
        <w:rPr>
          <w:rFonts w:ascii="Times New Roman" w:hAnsi="Times New Roman" w:cs="Times New Roman"/>
          <w:sz w:val="24"/>
          <w:szCs w:val="24"/>
          <w:lang w:eastAsia="en-GB"/>
        </w:rPr>
        <w:t xml:space="preserve"> of 0.78 similar to LH</w:t>
      </w:r>
      <w:r w:rsidRPr="00872636">
        <w:rPr>
          <w:rFonts w:ascii="Times New Roman" w:hAnsi="Times New Roman" w:cs="Times New Roman"/>
          <w:sz w:val="24"/>
          <w:szCs w:val="24"/>
          <w:vertAlign w:val="subscript"/>
          <w:lang w:eastAsia="en-GB"/>
        </w:rPr>
        <w:t>2</w:t>
      </w:r>
      <w:r w:rsidRPr="00872636">
        <w:rPr>
          <w:rFonts w:ascii="Times New Roman" w:hAnsi="Times New Roman" w:cs="Times New Roman"/>
          <w:sz w:val="24"/>
          <w:szCs w:val="24"/>
          <w:lang w:eastAsia="en-GB"/>
        </w:rPr>
        <w:t xml:space="preserve"> case and in the second LNG case a present-day value of </w:t>
      </w:r>
      <w:r w:rsidRPr="00872636">
        <w:rPr>
          <w:rFonts w:ascii="Times New Roman" w:hAnsi="Times New Roman" w:cs="Times New Roman"/>
          <w:i/>
          <w:iCs/>
          <w:sz w:val="24"/>
          <w:szCs w:val="24"/>
          <w:lang w:eastAsia="en-GB"/>
        </w:rPr>
        <w:t>η</w:t>
      </w:r>
      <w:r w:rsidRPr="00872636">
        <w:rPr>
          <w:rFonts w:ascii="Times New Roman" w:hAnsi="Times New Roman" w:cs="Times New Roman"/>
          <w:sz w:val="24"/>
          <w:szCs w:val="24"/>
          <w:lang w:eastAsia="en-GB"/>
        </w:rPr>
        <w:t xml:space="preserve"> of 0.6274 is used which is similar to the values used in transportation of LNG fuel via trucks. The effect of LNG cryogenic tank </w:t>
      </w:r>
      <w:r w:rsidRPr="00872636">
        <w:rPr>
          <w:rFonts w:ascii="Times New Roman" w:hAnsi="Times New Roman" w:cs="Times New Roman"/>
          <w:i/>
          <w:iCs/>
          <w:sz w:val="24"/>
          <w:szCs w:val="24"/>
          <w:lang w:eastAsia="en-GB"/>
        </w:rPr>
        <w:t>η</w:t>
      </w:r>
      <w:r w:rsidRPr="00872636">
        <w:rPr>
          <w:rFonts w:ascii="Times New Roman" w:hAnsi="Times New Roman" w:cs="Times New Roman"/>
          <w:sz w:val="24"/>
          <w:szCs w:val="24"/>
          <w:lang w:eastAsia="en-GB"/>
        </w:rPr>
        <w:t xml:space="preserve"> can be observed from </w:t>
      </w:r>
      <w:r w:rsidRPr="00872636">
        <w:rPr>
          <w:rFonts w:ascii="Times New Roman" w:hAnsi="Times New Roman" w:cs="Times New Roman"/>
          <w:sz w:val="24"/>
          <w:szCs w:val="24"/>
        </w:rPr>
        <w:t>Table</w:t>
      </w:r>
      <w:r w:rsidR="00672FD5" w:rsidRPr="00872636">
        <w:rPr>
          <w:rFonts w:ascii="Times New Roman" w:hAnsi="Times New Roman" w:cs="Times New Roman"/>
          <w:sz w:val="24"/>
          <w:szCs w:val="24"/>
        </w:rPr>
        <w:t xml:space="preserve"> SI </w:t>
      </w:r>
      <w:r w:rsidR="001977D7">
        <w:rPr>
          <w:rFonts w:ascii="Times New Roman" w:hAnsi="Times New Roman" w:cs="Times New Roman"/>
          <w:sz w:val="24"/>
          <w:szCs w:val="24"/>
        </w:rPr>
        <w:t>9</w:t>
      </w:r>
      <w:r w:rsidRPr="00872636">
        <w:rPr>
          <w:rFonts w:ascii="Times New Roman" w:hAnsi="Times New Roman" w:cs="Times New Roman"/>
          <w:sz w:val="24"/>
          <w:szCs w:val="24"/>
          <w:lang w:eastAsia="en-GB"/>
        </w:rPr>
        <w:t xml:space="preserve">. With increasing </w:t>
      </w:r>
      <w:r w:rsidRPr="00872636">
        <w:rPr>
          <w:rFonts w:ascii="Times New Roman" w:hAnsi="Times New Roman" w:cs="Times New Roman"/>
          <w:i/>
          <w:iCs/>
          <w:sz w:val="24"/>
          <w:szCs w:val="24"/>
          <w:lang w:eastAsia="en-GB"/>
        </w:rPr>
        <w:t>η</w:t>
      </w:r>
      <w:r w:rsidRPr="00872636">
        <w:rPr>
          <w:rFonts w:ascii="Times New Roman" w:hAnsi="Times New Roman" w:cs="Times New Roman"/>
          <w:sz w:val="24"/>
          <w:szCs w:val="24"/>
          <w:lang w:eastAsia="en-GB"/>
        </w:rPr>
        <w:t xml:space="preserve">, the aircraft range and </w:t>
      </w:r>
      <w:r w:rsidRPr="00872636">
        <w:rPr>
          <w:rFonts w:ascii="Times New Roman" w:hAnsi="Times New Roman" w:cs="Times New Roman"/>
          <w:i/>
          <w:iCs/>
          <w:sz w:val="24"/>
          <w:szCs w:val="24"/>
        </w:rPr>
        <w:t>W</w:t>
      </w:r>
      <w:r w:rsidRPr="00872636">
        <w:rPr>
          <w:rFonts w:ascii="Times New Roman" w:hAnsi="Times New Roman" w:cs="Times New Roman"/>
          <w:sz w:val="24"/>
          <w:szCs w:val="24"/>
          <w:vertAlign w:val="subscript"/>
        </w:rPr>
        <w:t>F,total</w:t>
      </w:r>
      <w:r w:rsidRPr="00872636">
        <w:rPr>
          <w:rFonts w:ascii="Times New Roman" w:hAnsi="Times New Roman" w:cs="Times New Roman"/>
          <w:sz w:val="24"/>
          <w:szCs w:val="24"/>
        </w:rPr>
        <w:t xml:space="preserve"> </w:t>
      </w:r>
      <w:r w:rsidRPr="00872636">
        <w:rPr>
          <w:rFonts w:ascii="Times New Roman" w:hAnsi="Times New Roman" w:cs="Times New Roman"/>
          <w:sz w:val="24"/>
          <w:szCs w:val="24"/>
          <w:lang w:eastAsia="en-GB"/>
        </w:rPr>
        <w:t>increases, and the OEW decreases.</w:t>
      </w:r>
    </w:p>
    <w:tbl>
      <w:tblPr>
        <w:tblpPr w:leftFromText="180" w:rightFromText="180" w:bottomFromText="160" w:vertAnchor="text" w:horzAnchor="margin" w:tblpXSpec="center" w:tblpY="18"/>
        <w:tblW w:w="10119" w:type="dxa"/>
        <w:tblCellMar>
          <w:left w:w="0" w:type="dxa"/>
          <w:right w:w="0" w:type="dxa"/>
        </w:tblCellMar>
        <w:tblLook w:val="0420" w:firstRow="1" w:lastRow="0" w:firstColumn="0" w:lastColumn="0" w:noHBand="0" w:noVBand="1"/>
      </w:tblPr>
      <w:tblGrid>
        <w:gridCol w:w="1264"/>
        <w:gridCol w:w="948"/>
        <w:gridCol w:w="1000"/>
        <w:gridCol w:w="1077"/>
        <w:gridCol w:w="1068"/>
        <w:gridCol w:w="1068"/>
        <w:gridCol w:w="1090"/>
        <w:gridCol w:w="828"/>
        <w:gridCol w:w="828"/>
        <w:gridCol w:w="948"/>
      </w:tblGrid>
      <w:tr w:rsidR="00654376" w:rsidRPr="007D699F" w14:paraId="3BE4980C" w14:textId="77777777" w:rsidTr="00654376">
        <w:trPr>
          <w:trHeight w:val="708"/>
        </w:trPr>
        <w:tc>
          <w:tcPr>
            <w:tcW w:w="10119" w:type="dxa"/>
            <w:gridSpan w:val="10"/>
            <w:tcBorders>
              <w:top w:val="nil"/>
              <w:left w:val="nil"/>
              <w:bottom w:val="single" w:sz="4" w:space="0" w:color="auto"/>
              <w:right w:val="nil"/>
            </w:tcBorders>
            <w:hideMark/>
          </w:tcPr>
          <w:p w14:paraId="60947F4D" w14:textId="43AD3D22" w:rsidR="00654376" w:rsidRPr="00872636" w:rsidRDefault="00654376" w:rsidP="00872636">
            <w:pPr>
              <w:spacing w:after="0" w:line="276" w:lineRule="auto"/>
              <w:jc w:val="center"/>
              <w:rPr>
                <w:rFonts w:ascii="Times New Roman" w:hAnsi="Times New Roman" w:cs="Times New Roman"/>
                <w:b/>
                <w:sz w:val="24"/>
                <w:szCs w:val="24"/>
              </w:rPr>
            </w:pPr>
            <w:r w:rsidRPr="00872636">
              <w:rPr>
                <w:rFonts w:ascii="Times New Roman" w:hAnsi="Times New Roman" w:cs="Times New Roman"/>
                <w:b/>
                <w:sz w:val="24"/>
                <w:szCs w:val="24"/>
              </w:rPr>
              <w:t xml:space="preserve">Table </w:t>
            </w:r>
            <w:r w:rsidR="00672FD5" w:rsidRPr="00872636">
              <w:rPr>
                <w:rFonts w:ascii="Times New Roman" w:hAnsi="Times New Roman" w:cs="Times New Roman"/>
                <w:b/>
                <w:sz w:val="24"/>
                <w:szCs w:val="24"/>
              </w:rPr>
              <w:t xml:space="preserve">SI </w:t>
            </w:r>
            <w:r w:rsidR="00286C0A" w:rsidRPr="00872636">
              <w:rPr>
                <w:rFonts w:ascii="Times New Roman" w:hAnsi="Times New Roman" w:cs="Times New Roman"/>
                <w:b/>
                <w:sz w:val="24"/>
                <w:szCs w:val="24"/>
              </w:rPr>
              <w:t>9</w:t>
            </w:r>
            <w:r w:rsidRPr="00872636">
              <w:rPr>
                <w:rFonts w:ascii="Times New Roman" w:hAnsi="Times New Roman" w:cs="Times New Roman"/>
                <w:b/>
                <w:sz w:val="24"/>
                <w:szCs w:val="24"/>
              </w:rPr>
              <w:t>. Airbus A350-1000 performance characteristics using alternative liquid fuels for passenger payload of 34,770 kg (366 passengers)</w:t>
            </w:r>
            <w:r w:rsidRPr="00872636">
              <w:rPr>
                <w:rFonts w:ascii="Times New Roman" w:hAnsi="Times New Roman" w:cs="Times New Roman"/>
                <w:b/>
                <w:bCs/>
                <w:sz w:val="24"/>
                <w:szCs w:val="24"/>
              </w:rPr>
              <w:t xml:space="preserve"> for same wing area (465 m</w:t>
            </w:r>
            <w:r w:rsidRPr="00872636">
              <w:rPr>
                <w:rFonts w:ascii="Times New Roman" w:hAnsi="Times New Roman" w:cs="Times New Roman"/>
                <w:b/>
                <w:bCs/>
                <w:sz w:val="24"/>
                <w:szCs w:val="24"/>
                <w:vertAlign w:val="superscript"/>
              </w:rPr>
              <w:t>2</w:t>
            </w:r>
            <w:r w:rsidRPr="00872636">
              <w:rPr>
                <w:rFonts w:ascii="Times New Roman" w:hAnsi="Times New Roman" w:cs="Times New Roman"/>
                <w:b/>
                <w:bCs/>
                <w:sz w:val="24"/>
                <w:szCs w:val="24"/>
              </w:rPr>
              <w:t>) and aspect ratio (9.12)</w:t>
            </w:r>
          </w:p>
        </w:tc>
      </w:tr>
      <w:tr w:rsidR="00654376" w:rsidRPr="007D699F" w14:paraId="5C63442C" w14:textId="77777777" w:rsidTr="00654376">
        <w:trPr>
          <w:trHeight w:val="339"/>
        </w:trPr>
        <w:tc>
          <w:tcPr>
            <w:tcW w:w="1525"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4BA9CD7D" w14:textId="77777777" w:rsidR="00654376" w:rsidRPr="00872636" w:rsidRDefault="00654376"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Fuel</w:t>
            </w:r>
          </w:p>
        </w:tc>
        <w:tc>
          <w:tcPr>
            <w:tcW w:w="895"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4C3D190A" w14:textId="77777777" w:rsidR="00654376" w:rsidRPr="00872636" w:rsidRDefault="00654376"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i/>
                <w:iCs/>
                <w:sz w:val="24"/>
                <w:szCs w:val="24"/>
              </w:rPr>
              <w:t>h/g</w:t>
            </w:r>
            <w:r w:rsidRPr="00872636">
              <w:rPr>
                <w:rFonts w:ascii="Times New Roman" w:hAnsi="Times New Roman" w:cs="Times New Roman"/>
                <w:sz w:val="24"/>
                <w:szCs w:val="24"/>
              </w:rPr>
              <w:t xml:space="preserve"> (km)</w:t>
            </w:r>
          </w:p>
        </w:tc>
        <w:tc>
          <w:tcPr>
            <w:tcW w:w="996" w:type="dxa"/>
            <w:tcBorders>
              <w:top w:val="single" w:sz="4" w:space="0" w:color="auto"/>
              <w:left w:val="nil"/>
              <w:bottom w:val="single" w:sz="4" w:space="0" w:color="auto"/>
              <w:right w:val="nil"/>
            </w:tcBorders>
            <w:vAlign w:val="center"/>
            <w:hideMark/>
          </w:tcPr>
          <w:p w14:paraId="5EF66C4C" w14:textId="77777777" w:rsidR="00654376" w:rsidRPr="00872636" w:rsidRDefault="00654376"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 xml:space="preserve">Cryogenic tank </w:t>
            </w:r>
            <w:r w:rsidRPr="00872636">
              <w:rPr>
                <w:rFonts w:ascii="Times New Roman" w:hAnsi="Times New Roman" w:cs="Times New Roman"/>
                <w:i/>
                <w:iCs/>
                <w:sz w:val="24"/>
                <w:szCs w:val="24"/>
              </w:rPr>
              <w:t>η</w:t>
            </w:r>
          </w:p>
        </w:tc>
        <w:tc>
          <w:tcPr>
            <w:tcW w:w="1120"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2EA58D61" w14:textId="77777777" w:rsidR="00654376" w:rsidRPr="00872636" w:rsidRDefault="00654376"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OEW (kg)</w:t>
            </w:r>
          </w:p>
        </w:tc>
        <w:tc>
          <w:tcPr>
            <w:tcW w:w="1006"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202DA00D" w14:textId="77777777" w:rsidR="00654376" w:rsidRPr="00872636" w:rsidRDefault="00654376"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i/>
                <w:iCs/>
                <w:sz w:val="24"/>
                <w:szCs w:val="24"/>
              </w:rPr>
              <w:t>W</w:t>
            </w:r>
            <w:r w:rsidRPr="00872636">
              <w:rPr>
                <w:rFonts w:ascii="Times New Roman" w:hAnsi="Times New Roman" w:cs="Times New Roman"/>
                <w:sz w:val="24"/>
                <w:szCs w:val="24"/>
                <w:vertAlign w:val="subscript"/>
              </w:rPr>
              <w:t>F,total</w:t>
            </w:r>
            <w:r w:rsidRPr="00872636">
              <w:rPr>
                <w:rFonts w:ascii="Times New Roman" w:hAnsi="Times New Roman" w:cs="Times New Roman"/>
                <w:sz w:val="24"/>
                <w:szCs w:val="24"/>
              </w:rPr>
              <w:t xml:space="preserve"> (kg)</w:t>
            </w:r>
          </w:p>
        </w:tc>
        <w:tc>
          <w:tcPr>
            <w:tcW w:w="1006"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1161D616" w14:textId="77777777" w:rsidR="00654376" w:rsidRPr="00872636" w:rsidRDefault="00654376"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GTOW</w:t>
            </w:r>
          </w:p>
          <w:p w14:paraId="715EC8C8" w14:textId="77777777" w:rsidR="00654376" w:rsidRPr="00872636" w:rsidRDefault="00654376"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(kg)</w:t>
            </w:r>
          </w:p>
        </w:tc>
        <w:tc>
          <w:tcPr>
            <w:tcW w:w="1101"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5C4982BC" w14:textId="77777777" w:rsidR="00654376" w:rsidRPr="00872636" w:rsidRDefault="00654376"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Fuel in fuselage tank (kg)</w:t>
            </w:r>
          </w:p>
        </w:tc>
        <w:tc>
          <w:tcPr>
            <w:tcW w:w="0" w:type="auto"/>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0B295DA9" w14:textId="77777777" w:rsidR="00654376" w:rsidRPr="00872636" w:rsidRDefault="00654376"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ΔL (m)</w:t>
            </w:r>
          </w:p>
        </w:tc>
        <w:tc>
          <w:tcPr>
            <w:tcW w:w="0" w:type="auto"/>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4CFADD6F" w14:textId="77777777" w:rsidR="00654376" w:rsidRPr="00872636" w:rsidRDefault="00654376" w:rsidP="00872636">
            <w:pPr>
              <w:spacing w:after="0" w:line="276" w:lineRule="auto"/>
              <w:jc w:val="center"/>
              <w:rPr>
                <w:rFonts w:ascii="Times New Roman" w:hAnsi="Times New Roman" w:cs="Times New Roman"/>
                <w:i/>
                <w:iCs/>
                <w:sz w:val="24"/>
                <w:szCs w:val="24"/>
              </w:rPr>
            </w:pPr>
            <w:r w:rsidRPr="00872636">
              <w:rPr>
                <w:rFonts w:ascii="Times New Roman" w:hAnsi="Times New Roman" w:cs="Times New Roman"/>
                <w:i/>
                <w:iCs/>
                <w:sz w:val="24"/>
                <w:szCs w:val="24"/>
              </w:rPr>
              <w:t>L/D</w:t>
            </w:r>
          </w:p>
        </w:tc>
        <w:tc>
          <w:tcPr>
            <w:tcW w:w="0" w:type="auto"/>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4F0DB846" w14:textId="77777777" w:rsidR="00654376" w:rsidRPr="00872636" w:rsidRDefault="00654376"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i/>
                <w:iCs/>
                <w:sz w:val="24"/>
                <w:szCs w:val="24"/>
              </w:rPr>
              <w:t xml:space="preserve">R </w:t>
            </w:r>
            <w:r w:rsidRPr="00872636">
              <w:rPr>
                <w:rFonts w:ascii="Times New Roman" w:hAnsi="Times New Roman" w:cs="Times New Roman"/>
                <w:sz w:val="24"/>
                <w:szCs w:val="24"/>
              </w:rPr>
              <w:t>(km)</w:t>
            </w:r>
          </w:p>
        </w:tc>
      </w:tr>
      <w:tr w:rsidR="00654376" w:rsidRPr="007D699F" w14:paraId="0E47A75B" w14:textId="77777777" w:rsidTr="00654376">
        <w:trPr>
          <w:trHeight w:val="223"/>
        </w:trPr>
        <w:tc>
          <w:tcPr>
            <w:tcW w:w="1525" w:type="dxa"/>
            <w:tcBorders>
              <w:top w:val="single" w:sz="4" w:space="0" w:color="auto"/>
              <w:left w:val="nil"/>
              <w:bottom w:val="nil"/>
              <w:right w:val="nil"/>
            </w:tcBorders>
            <w:tcMar>
              <w:top w:w="72" w:type="dxa"/>
              <w:left w:w="144" w:type="dxa"/>
              <w:bottom w:w="72" w:type="dxa"/>
              <w:right w:w="144" w:type="dxa"/>
            </w:tcMar>
            <w:vAlign w:val="center"/>
            <w:hideMark/>
          </w:tcPr>
          <w:p w14:paraId="673B37A7" w14:textId="77777777" w:rsidR="00654376" w:rsidRPr="00872636" w:rsidRDefault="00654376"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Jet-A</w:t>
            </w:r>
          </w:p>
        </w:tc>
        <w:tc>
          <w:tcPr>
            <w:tcW w:w="895" w:type="dxa"/>
            <w:tcBorders>
              <w:top w:val="single" w:sz="4" w:space="0" w:color="auto"/>
              <w:left w:val="nil"/>
              <w:bottom w:val="nil"/>
              <w:right w:val="nil"/>
            </w:tcBorders>
            <w:tcMar>
              <w:top w:w="72" w:type="dxa"/>
              <w:left w:w="144" w:type="dxa"/>
              <w:bottom w:w="72" w:type="dxa"/>
              <w:right w:w="144" w:type="dxa"/>
            </w:tcMar>
            <w:vAlign w:val="center"/>
            <w:hideMark/>
          </w:tcPr>
          <w:p w14:paraId="65D3028B"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4,404</w:t>
            </w:r>
          </w:p>
        </w:tc>
        <w:tc>
          <w:tcPr>
            <w:tcW w:w="996" w:type="dxa"/>
            <w:tcBorders>
              <w:top w:val="single" w:sz="4" w:space="0" w:color="auto"/>
              <w:left w:val="nil"/>
              <w:bottom w:val="nil"/>
              <w:right w:val="nil"/>
            </w:tcBorders>
            <w:vAlign w:val="center"/>
            <w:hideMark/>
          </w:tcPr>
          <w:p w14:paraId="6B157884"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w:t>
            </w:r>
          </w:p>
        </w:tc>
        <w:tc>
          <w:tcPr>
            <w:tcW w:w="1120" w:type="dxa"/>
            <w:tcBorders>
              <w:top w:val="single" w:sz="4" w:space="0" w:color="auto"/>
              <w:left w:val="nil"/>
              <w:bottom w:val="nil"/>
              <w:right w:val="nil"/>
            </w:tcBorders>
            <w:tcMar>
              <w:top w:w="72" w:type="dxa"/>
              <w:left w:w="144" w:type="dxa"/>
              <w:bottom w:w="72" w:type="dxa"/>
              <w:right w:w="144" w:type="dxa"/>
            </w:tcMar>
            <w:vAlign w:val="center"/>
            <w:hideMark/>
          </w:tcPr>
          <w:p w14:paraId="31BD60FB"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155,129</w:t>
            </w:r>
          </w:p>
        </w:tc>
        <w:tc>
          <w:tcPr>
            <w:tcW w:w="1006" w:type="dxa"/>
            <w:tcBorders>
              <w:top w:val="single" w:sz="4" w:space="0" w:color="auto"/>
              <w:left w:val="nil"/>
              <w:bottom w:val="nil"/>
              <w:right w:val="nil"/>
            </w:tcBorders>
            <w:tcMar>
              <w:top w:w="72" w:type="dxa"/>
              <w:left w:w="144" w:type="dxa"/>
              <w:bottom w:w="72" w:type="dxa"/>
              <w:right w:w="144" w:type="dxa"/>
            </w:tcMar>
            <w:vAlign w:val="center"/>
            <w:hideMark/>
          </w:tcPr>
          <w:p w14:paraId="493E4EEE"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126,101</w:t>
            </w:r>
          </w:p>
        </w:tc>
        <w:tc>
          <w:tcPr>
            <w:tcW w:w="1006" w:type="dxa"/>
            <w:tcBorders>
              <w:top w:val="single" w:sz="4" w:space="0" w:color="auto"/>
              <w:left w:val="nil"/>
              <w:bottom w:val="nil"/>
              <w:right w:val="nil"/>
            </w:tcBorders>
            <w:tcMar>
              <w:top w:w="72" w:type="dxa"/>
              <w:left w:w="144" w:type="dxa"/>
              <w:bottom w:w="72" w:type="dxa"/>
              <w:right w:w="144" w:type="dxa"/>
            </w:tcMar>
            <w:vAlign w:val="center"/>
            <w:hideMark/>
          </w:tcPr>
          <w:p w14:paraId="7666E0D1"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315,999</w:t>
            </w:r>
          </w:p>
        </w:tc>
        <w:tc>
          <w:tcPr>
            <w:tcW w:w="1101" w:type="dxa"/>
            <w:tcBorders>
              <w:top w:val="single" w:sz="4" w:space="0" w:color="auto"/>
              <w:left w:val="nil"/>
              <w:bottom w:val="nil"/>
              <w:right w:val="nil"/>
            </w:tcBorders>
            <w:tcMar>
              <w:top w:w="72" w:type="dxa"/>
              <w:left w:w="144" w:type="dxa"/>
              <w:bottom w:w="72" w:type="dxa"/>
              <w:right w:w="144" w:type="dxa"/>
            </w:tcMar>
            <w:vAlign w:val="center"/>
            <w:hideMark/>
          </w:tcPr>
          <w:p w14:paraId="63CBA264"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w:t>
            </w:r>
          </w:p>
        </w:tc>
        <w:tc>
          <w:tcPr>
            <w:tcW w:w="0" w:type="auto"/>
            <w:tcBorders>
              <w:top w:val="single" w:sz="4" w:space="0" w:color="auto"/>
              <w:left w:val="nil"/>
              <w:bottom w:val="nil"/>
              <w:right w:val="nil"/>
            </w:tcBorders>
            <w:tcMar>
              <w:top w:w="72" w:type="dxa"/>
              <w:left w:w="144" w:type="dxa"/>
              <w:bottom w:w="72" w:type="dxa"/>
              <w:right w:w="144" w:type="dxa"/>
            </w:tcMar>
            <w:vAlign w:val="center"/>
            <w:hideMark/>
          </w:tcPr>
          <w:p w14:paraId="1621C8E5"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w:t>
            </w:r>
          </w:p>
        </w:tc>
        <w:tc>
          <w:tcPr>
            <w:tcW w:w="0" w:type="auto"/>
            <w:tcBorders>
              <w:top w:val="single" w:sz="4" w:space="0" w:color="auto"/>
              <w:left w:val="nil"/>
              <w:bottom w:val="nil"/>
              <w:right w:val="nil"/>
            </w:tcBorders>
            <w:tcMar>
              <w:top w:w="72" w:type="dxa"/>
              <w:left w:w="144" w:type="dxa"/>
              <w:bottom w:w="72" w:type="dxa"/>
              <w:right w:w="144" w:type="dxa"/>
            </w:tcMar>
            <w:vAlign w:val="center"/>
            <w:hideMark/>
          </w:tcPr>
          <w:p w14:paraId="2924C89E"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18.63</w:t>
            </w:r>
          </w:p>
        </w:tc>
        <w:tc>
          <w:tcPr>
            <w:tcW w:w="0" w:type="auto"/>
            <w:tcBorders>
              <w:top w:val="single" w:sz="4" w:space="0" w:color="auto"/>
              <w:left w:val="nil"/>
              <w:bottom w:val="nil"/>
              <w:right w:val="nil"/>
            </w:tcBorders>
            <w:tcMar>
              <w:top w:w="72" w:type="dxa"/>
              <w:left w:w="144" w:type="dxa"/>
              <w:bottom w:w="72" w:type="dxa"/>
              <w:right w:w="144" w:type="dxa"/>
            </w:tcMar>
            <w:vAlign w:val="center"/>
            <w:hideMark/>
          </w:tcPr>
          <w:p w14:paraId="03311D8F"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13,870</w:t>
            </w:r>
          </w:p>
        </w:tc>
      </w:tr>
      <w:tr w:rsidR="00654376" w:rsidRPr="007D699F" w14:paraId="1162E20D" w14:textId="77777777" w:rsidTr="00654376">
        <w:trPr>
          <w:trHeight w:val="223"/>
        </w:trPr>
        <w:tc>
          <w:tcPr>
            <w:tcW w:w="1525" w:type="dxa"/>
            <w:tcMar>
              <w:top w:w="72" w:type="dxa"/>
              <w:left w:w="144" w:type="dxa"/>
              <w:bottom w:w="72" w:type="dxa"/>
              <w:right w:w="144" w:type="dxa"/>
            </w:tcMar>
            <w:vAlign w:val="center"/>
            <w:hideMark/>
          </w:tcPr>
          <w:p w14:paraId="6DEC0E92" w14:textId="77777777" w:rsidR="00654376" w:rsidRPr="00872636" w:rsidRDefault="00654376"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100% SPK</w:t>
            </w:r>
          </w:p>
        </w:tc>
        <w:tc>
          <w:tcPr>
            <w:tcW w:w="895" w:type="dxa"/>
            <w:tcMar>
              <w:top w:w="72" w:type="dxa"/>
              <w:left w:w="144" w:type="dxa"/>
              <w:bottom w:w="72" w:type="dxa"/>
              <w:right w:w="144" w:type="dxa"/>
            </w:tcMar>
            <w:vAlign w:val="center"/>
            <w:hideMark/>
          </w:tcPr>
          <w:p w14:paraId="13F7F6F2"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4,496</w:t>
            </w:r>
          </w:p>
        </w:tc>
        <w:tc>
          <w:tcPr>
            <w:tcW w:w="996" w:type="dxa"/>
            <w:vAlign w:val="center"/>
            <w:hideMark/>
          </w:tcPr>
          <w:p w14:paraId="2AC957CA"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w:t>
            </w:r>
          </w:p>
        </w:tc>
        <w:tc>
          <w:tcPr>
            <w:tcW w:w="1120" w:type="dxa"/>
            <w:tcMar>
              <w:top w:w="72" w:type="dxa"/>
              <w:left w:w="144" w:type="dxa"/>
              <w:bottom w:w="72" w:type="dxa"/>
              <w:right w:w="144" w:type="dxa"/>
            </w:tcMar>
            <w:vAlign w:val="center"/>
            <w:hideMark/>
          </w:tcPr>
          <w:p w14:paraId="0939AADD"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155,314</w:t>
            </w:r>
          </w:p>
        </w:tc>
        <w:tc>
          <w:tcPr>
            <w:tcW w:w="1006" w:type="dxa"/>
            <w:tcMar>
              <w:top w:w="72" w:type="dxa"/>
              <w:left w:w="144" w:type="dxa"/>
              <w:bottom w:w="72" w:type="dxa"/>
              <w:right w:w="144" w:type="dxa"/>
            </w:tcMar>
            <w:vAlign w:val="center"/>
            <w:hideMark/>
          </w:tcPr>
          <w:p w14:paraId="045CA8E5"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123,320</w:t>
            </w:r>
          </w:p>
        </w:tc>
        <w:tc>
          <w:tcPr>
            <w:tcW w:w="1006" w:type="dxa"/>
            <w:tcMar>
              <w:top w:w="72" w:type="dxa"/>
              <w:left w:w="144" w:type="dxa"/>
              <w:bottom w:w="72" w:type="dxa"/>
              <w:right w:w="144" w:type="dxa"/>
            </w:tcMar>
            <w:vAlign w:val="center"/>
            <w:hideMark/>
          </w:tcPr>
          <w:p w14:paraId="71C80D0A"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313,404</w:t>
            </w:r>
          </w:p>
        </w:tc>
        <w:tc>
          <w:tcPr>
            <w:tcW w:w="1101" w:type="dxa"/>
            <w:tcMar>
              <w:top w:w="72" w:type="dxa"/>
              <w:left w:w="144" w:type="dxa"/>
              <w:bottom w:w="72" w:type="dxa"/>
              <w:right w:w="144" w:type="dxa"/>
            </w:tcMar>
            <w:vAlign w:val="center"/>
            <w:hideMark/>
          </w:tcPr>
          <w:p w14:paraId="22A92D26"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5,178</w:t>
            </w:r>
          </w:p>
        </w:tc>
        <w:tc>
          <w:tcPr>
            <w:tcW w:w="0" w:type="auto"/>
            <w:tcMar>
              <w:top w:w="72" w:type="dxa"/>
              <w:left w:w="144" w:type="dxa"/>
              <w:bottom w:w="72" w:type="dxa"/>
              <w:right w:w="144" w:type="dxa"/>
            </w:tcMar>
            <w:vAlign w:val="center"/>
            <w:hideMark/>
          </w:tcPr>
          <w:p w14:paraId="4F35CFAA"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0.25</w:t>
            </w:r>
          </w:p>
        </w:tc>
        <w:tc>
          <w:tcPr>
            <w:tcW w:w="0" w:type="auto"/>
            <w:tcMar>
              <w:top w:w="72" w:type="dxa"/>
              <w:left w:w="144" w:type="dxa"/>
              <w:bottom w:w="72" w:type="dxa"/>
              <w:right w:w="144" w:type="dxa"/>
            </w:tcMar>
            <w:vAlign w:val="center"/>
            <w:hideMark/>
          </w:tcPr>
          <w:p w14:paraId="5E6C83D3"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18.57</w:t>
            </w:r>
          </w:p>
        </w:tc>
        <w:tc>
          <w:tcPr>
            <w:tcW w:w="0" w:type="auto"/>
            <w:tcMar>
              <w:top w:w="72" w:type="dxa"/>
              <w:left w:w="144" w:type="dxa"/>
              <w:bottom w:w="72" w:type="dxa"/>
              <w:right w:w="144" w:type="dxa"/>
            </w:tcMar>
            <w:vAlign w:val="center"/>
            <w:hideMark/>
          </w:tcPr>
          <w:p w14:paraId="040A120B"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13,870</w:t>
            </w:r>
          </w:p>
        </w:tc>
      </w:tr>
      <w:tr w:rsidR="00654376" w:rsidRPr="007D699F" w14:paraId="272055D0" w14:textId="77777777" w:rsidTr="00654376">
        <w:trPr>
          <w:trHeight w:val="223"/>
        </w:trPr>
        <w:tc>
          <w:tcPr>
            <w:tcW w:w="1525" w:type="dxa"/>
            <w:tcMar>
              <w:top w:w="72" w:type="dxa"/>
              <w:left w:w="144" w:type="dxa"/>
              <w:bottom w:w="72" w:type="dxa"/>
              <w:right w:w="144" w:type="dxa"/>
            </w:tcMar>
            <w:vAlign w:val="center"/>
            <w:hideMark/>
          </w:tcPr>
          <w:p w14:paraId="1986CD17" w14:textId="77777777" w:rsidR="00654376" w:rsidRPr="00872636" w:rsidRDefault="00654376"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LH</w:t>
            </w:r>
            <w:r w:rsidRPr="00872636">
              <w:rPr>
                <w:rFonts w:ascii="Times New Roman" w:hAnsi="Times New Roman" w:cs="Times New Roman"/>
                <w:sz w:val="24"/>
                <w:szCs w:val="24"/>
                <w:vertAlign w:val="subscript"/>
              </w:rPr>
              <w:t>2</w:t>
            </w:r>
          </w:p>
        </w:tc>
        <w:tc>
          <w:tcPr>
            <w:tcW w:w="895" w:type="dxa"/>
            <w:tcMar>
              <w:top w:w="72" w:type="dxa"/>
              <w:left w:w="144" w:type="dxa"/>
              <w:bottom w:w="72" w:type="dxa"/>
              <w:right w:w="144" w:type="dxa"/>
            </w:tcMar>
            <w:vAlign w:val="center"/>
            <w:hideMark/>
          </w:tcPr>
          <w:p w14:paraId="63769FF4"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12,233</w:t>
            </w:r>
          </w:p>
        </w:tc>
        <w:tc>
          <w:tcPr>
            <w:tcW w:w="996" w:type="dxa"/>
            <w:vAlign w:val="center"/>
            <w:hideMark/>
          </w:tcPr>
          <w:p w14:paraId="58E3411C"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0.78</w:t>
            </w:r>
          </w:p>
        </w:tc>
        <w:tc>
          <w:tcPr>
            <w:tcW w:w="1120" w:type="dxa"/>
            <w:tcMar>
              <w:top w:w="72" w:type="dxa"/>
              <w:left w:w="144" w:type="dxa"/>
              <w:bottom w:w="72" w:type="dxa"/>
              <w:right w:w="144" w:type="dxa"/>
            </w:tcMar>
            <w:vAlign w:val="center"/>
            <w:hideMark/>
          </w:tcPr>
          <w:p w14:paraId="2145B779"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183,371</w:t>
            </w:r>
          </w:p>
        </w:tc>
        <w:tc>
          <w:tcPr>
            <w:tcW w:w="1006" w:type="dxa"/>
            <w:tcMar>
              <w:top w:w="72" w:type="dxa"/>
              <w:left w:w="144" w:type="dxa"/>
              <w:bottom w:w="72" w:type="dxa"/>
              <w:right w:w="144" w:type="dxa"/>
            </w:tcMar>
            <w:vAlign w:val="center"/>
            <w:hideMark/>
          </w:tcPr>
          <w:p w14:paraId="0A9C70CE"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50,375</w:t>
            </w:r>
          </w:p>
        </w:tc>
        <w:tc>
          <w:tcPr>
            <w:tcW w:w="1006" w:type="dxa"/>
            <w:tcMar>
              <w:top w:w="72" w:type="dxa"/>
              <w:left w:w="144" w:type="dxa"/>
              <w:bottom w:w="72" w:type="dxa"/>
              <w:right w:w="144" w:type="dxa"/>
            </w:tcMar>
            <w:vAlign w:val="center"/>
            <w:hideMark/>
          </w:tcPr>
          <w:p w14:paraId="2EA04C21"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268,516</w:t>
            </w:r>
          </w:p>
        </w:tc>
        <w:tc>
          <w:tcPr>
            <w:tcW w:w="1101" w:type="dxa"/>
            <w:tcMar>
              <w:top w:w="72" w:type="dxa"/>
              <w:left w:w="144" w:type="dxa"/>
              <w:bottom w:w="72" w:type="dxa"/>
              <w:right w:w="144" w:type="dxa"/>
            </w:tcMar>
            <w:vAlign w:val="center"/>
            <w:hideMark/>
          </w:tcPr>
          <w:p w14:paraId="569557CB"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50,375</w:t>
            </w:r>
          </w:p>
        </w:tc>
        <w:tc>
          <w:tcPr>
            <w:tcW w:w="0" w:type="auto"/>
            <w:tcMar>
              <w:top w:w="72" w:type="dxa"/>
              <w:left w:w="144" w:type="dxa"/>
              <w:bottom w:w="72" w:type="dxa"/>
              <w:right w:w="144" w:type="dxa"/>
            </w:tcMar>
            <w:vAlign w:val="center"/>
            <w:hideMark/>
          </w:tcPr>
          <w:p w14:paraId="3A55DD5D"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26.87</w:t>
            </w:r>
          </w:p>
        </w:tc>
        <w:tc>
          <w:tcPr>
            <w:tcW w:w="0" w:type="auto"/>
            <w:tcMar>
              <w:top w:w="72" w:type="dxa"/>
              <w:left w:w="144" w:type="dxa"/>
              <w:bottom w:w="72" w:type="dxa"/>
              <w:right w:w="144" w:type="dxa"/>
            </w:tcMar>
            <w:vAlign w:val="center"/>
            <w:hideMark/>
          </w:tcPr>
          <w:p w14:paraId="0B1A11BB"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16.09</w:t>
            </w:r>
          </w:p>
        </w:tc>
        <w:tc>
          <w:tcPr>
            <w:tcW w:w="0" w:type="auto"/>
            <w:tcMar>
              <w:top w:w="72" w:type="dxa"/>
              <w:left w:w="144" w:type="dxa"/>
              <w:bottom w:w="72" w:type="dxa"/>
              <w:right w:w="144" w:type="dxa"/>
            </w:tcMar>
            <w:vAlign w:val="center"/>
            <w:hideMark/>
          </w:tcPr>
          <w:p w14:paraId="0226D75A"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13,870</w:t>
            </w:r>
          </w:p>
        </w:tc>
      </w:tr>
      <w:tr w:rsidR="00654376" w:rsidRPr="007D699F" w14:paraId="71FE7521" w14:textId="77777777" w:rsidTr="00654376">
        <w:trPr>
          <w:trHeight w:val="223"/>
        </w:trPr>
        <w:tc>
          <w:tcPr>
            <w:tcW w:w="1525" w:type="dxa"/>
            <w:tcMar>
              <w:top w:w="72" w:type="dxa"/>
              <w:left w:w="144" w:type="dxa"/>
              <w:bottom w:w="72" w:type="dxa"/>
              <w:right w:w="144" w:type="dxa"/>
            </w:tcMar>
            <w:vAlign w:val="center"/>
            <w:hideMark/>
          </w:tcPr>
          <w:p w14:paraId="1E88D64C" w14:textId="77777777" w:rsidR="00654376" w:rsidRPr="00872636" w:rsidRDefault="00654376"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LNG Case 1</w:t>
            </w:r>
          </w:p>
        </w:tc>
        <w:tc>
          <w:tcPr>
            <w:tcW w:w="895" w:type="dxa"/>
            <w:tcMar>
              <w:top w:w="72" w:type="dxa"/>
              <w:left w:w="144" w:type="dxa"/>
              <w:bottom w:w="72" w:type="dxa"/>
              <w:right w:w="144" w:type="dxa"/>
            </w:tcMar>
            <w:vAlign w:val="center"/>
            <w:hideMark/>
          </w:tcPr>
          <w:p w14:paraId="0291E1E7"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5,097</w:t>
            </w:r>
          </w:p>
        </w:tc>
        <w:tc>
          <w:tcPr>
            <w:tcW w:w="996" w:type="dxa"/>
            <w:vAlign w:val="center"/>
            <w:hideMark/>
          </w:tcPr>
          <w:p w14:paraId="3194088D"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0.78</w:t>
            </w:r>
          </w:p>
        </w:tc>
        <w:tc>
          <w:tcPr>
            <w:tcW w:w="1120" w:type="dxa"/>
            <w:tcMar>
              <w:top w:w="72" w:type="dxa"/>
              <w:left w:w="144" w:type="dxa"/>
              <w:bottom w:w="72" w:type="dxa"/>
              <w:right w:w="144" w:type="dxa"/>
            </w:tcMar>
            <w:vAlign w:val="center"/>
            <w:hideMark/>
          </w:tcPr>
          <w:p w14:paraId="1718D475"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187,239</w:t>
            </w:r>
          </w:p>
        </w:tc>
        <w:tc>
          <w:tcPr>
            <w:tcW w:w="1006" w:type="dxa"/>
            <w:tcMar>
              <w:top w:w="72" w:type="dxa"/>
              <w:left w:w="144" w:type="dxa"/>
              <w:bottom w:w="72" w:type="dxa"/>
              <w:right w:w="144" w:type="dxa"/>
            </w:tcMar>
            <w:vAlign w:val="center"/>
            <w:hideMark/>
          </w:tcPr>
          <w:p w14:paraId="2E9B3EB5"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93,990</w:t>
            </w:r>
          </w:p>
        </w:tc>
        <w:tc>
          <w:tcPr>
            <w:tcW w:w="1006" w:type="dxa"/>
            <w:tcMar>
              <w:top w:w="72" w:type="dxa"/>
              <w:left w:w="144" w:type="dxa"/>
              <w:bottom w:w="72" w:type="dxa"/>
              <w:right w:w="144" w:type="dxa"/>
            </w:tcMar>
            <w:vAlign w:val="center"/>
            <w:hideMark/>
          </w:tcPr>
          <w:p w14:paraId="14C1740F"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315,999</w:t>
            </w:r>
          </w:p>
        </w:tc>
        <w:tc>
          <w:tcPr>
            <w:tcW w:w="1101" w:type="dxa"/>
            <w:tcMar>
              <w:top w:w="72" w:type="dxa"/>
              <w:left w:w="144" w:type="dxa"/>
              <w:bottom w:w="72" w:type="dxa"/>
              <w:right w:w="144" w:type="dxa"/>
            </w:tcMar>
            <w:vAlign w:val="center"/>
            <w:hideMark/>
          </w:tcPr>
          <w:p w14:paraId="5C8E0FCE"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93,990</w:t>
            </w:r>
          </w:p>
        </w:tc>
        <w:tc>
          <w:tcPr>
            <w:tcW w:w="0" w:type="auto"/>
            <w:tcMar>
              <w:top w:w="72" w:type="dxa"/>
              <w:left w:w="144" w:type="dxa"/>
              <w:bottom w:w="72" w:type="dxa"/>
              <w:right w:w="144" w:type="dxa"/>
            </w:tcMar>
            <w:vAlign w:val="center"/>
            <w:hideMark/>
          </w:tcPr>
          <w:p w14:paraId="5101400E"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8.40</w:t>
            </w:r>
          </w:p>
        </w:tc>
        <w:tc>
          <w:tcPr>
            <w:tcW w:w="0" w:type="auto"/>
            <w:tcMar>
              <w:top w:w="72" w:type="dxa"/>
              <w:left w:w="144" w:type="dxa"/>
              <w:bottom w:w="72" w:type="dxa"/>
              <w:right w:w="144" w:type="dxa"/>
            </w:tcMar>
            <w:vAlign w:val="center"/>
            <w:hideMark/>
          </w:tcPr>
          <w:p w14:paraId="38033A58"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18.20</w:t>
            </w:r>
          </w:p>
        </w:tc>
        <w:tc>
          <w:tcPr>
            <w:tcW w:w="0" w:type="auto"/>
            <w:tcMar>
              <w:top w:w="72" w:type="dxa"/>
              <w:left w:w="144" w:type="dxa"/>
              <w:bottom w:w="72" w:type="dxa"/>
              <w:right w:w="144" w:type="dxa"/>
            </w:tcMar>
            <w:vAlign w:val="center"/>
            <w:hideMark/>
          </w:tcPr>
          <w:p w14:paraId="6EE212F7"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10,895</w:t>
            </w:r>
          </w:p>
        </w:tc>
      </w:tr>
      <w:tr w:rsidR="00654376" w:rsidRPr="007D699F" w14:paraId="707E0C5A" w14:textId="77777777" w:rsidTr="00654376">
        <w:trPr>
          <w:trHeight w:val="223"/>
        </w:trPr>
        <w:tc>
          <w:tcPr>
            <w:tcW w:w="1525" w:type="dxa"/>
            <w:tcMar>
              <w:top w:w="72" w:type="dxa"/>
              <w:left w:w="144" w:type="dxa"/>
              <w:bottom w:w="72" w:type="dxa"/>
              <w:right w:w="144" w:type="dxa"/>
            </w:tcMar>
            <w:vAlign w:val="center"/>
            <w:hideMark/>
          </w:tcPr>
          <w:p w14:paraId="49E0664D" w14:textId="77777777" w:rsidR="00654376" w:rsidRPr="00872636" w:rsidRDefault="00654376"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lastRenderedPageBreak/>
              <w:t>LNG Case 2</w:t>
            </w:r>
          </w:p>
        </w:tc>
        <w:tc>
          <w:tcPr>
            <w:tcW w:w="895" w:type="dxa"/>
            <w:tcMar>
              <w:top w:w="72" w:type="dxa"/>
              <w:left w:w="144" w:type="dxa"/>
              <w:bottom w:w="72" w:type="dxa"/>
              <w:right w:w="144" w:type="dxa"/>
            </w:tcMar>
            <w:vAlign w:val="center"/>
            <w:hideMark/>
          </w:tcPr>
          <w:p w14:paraId="40C186CB"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5,097</w:t>
            </w:r>
          </w:p>
        </w:tc>
        <w:tc>
          <w:tcPr>
            <w:tcW w:w="996" w:type="dxa"/>
            <w:vAlign w:val="center"/>
            <w:hideMark/>
          </w:tcPr>
          <w:p w14:paraId="5B5CE606"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0.63</w:t>
            </w:r>
          </w:p>
        </w:tc>
        <w:tc>
          <w:tcPr>
            <w:tcW w:w="1120" w:type="dxa"/>
            <w:tcMar>
              <w:top w:w="72" w:type="dxa"/>
              <w:left w:w="144" w:type="dxa"/>
              <w:bottom w:w="72" w:type="dxa"/>
              <w:right w:w="144" w:type="dxa"/>
            </w:tcMar>
            <w:vAlign w:val="center"/>
            <w:hideMark/>
          </w:tcPr>
          <w:p w14:paraId="15F14A93"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205,161</w:t>
            </w:r>
          </w:p>
        </w:tc>
        <w:tc>
          <w:tcPr>
            <w:tcW w:w="1006" w:type="dxa"/>
            <w:tcMar>
              <w:top w:w="72" w:type="dxa"/>
              <w:left w:w="144" w:type="dxa"/>
              <w:bottom w:w="72" w:type="dxa"/>
              <w:right w:w="144" w:type="dxa"/>
            </w:tcMar>
            <w:vAlign w:val="center"/>
            <w:hideMark/>
          </w:tcPr>
          <w:p w14:paraId="64C6AD6F"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76,068</w:t>
            </w:r>
          </w:p>
        </w:tc>
        <w:tc>
          <w:tcPr>
            <w:tcW w:w="1006" w:type="dxa"/>
            <w:tcMar>
              <w:top w:w="72" w:type="dxa"/>
              <w:left w:w="144" w:type="dxa"/>
              <w:bottom w:w="72" w:type="dxa"/>
              <w:right w:w="144" w:type="dxa"/>
            </w:tcMar>
            <w:vAlign w:val="center"/>
            <w:hideMark/>
          </w:tcPr>
          <w:p w14:paraId="34F878D5"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315,999</w:t>
            </w:r>
          </w:p>
        </w:tc>
        <w:tc>
          <w:tcPr>
            <w:tcW w:w="1101" w:type="dxa"/>
            <w:tcMar>
              <w:top w:w="72" w:type="dxa"/>
              <w:left w:w="144" w:type="dxa"/>
              <w:bottom w:w="72" w:type="dxa"/>
              <w:right w:w="144" w:type="dxa"/>
            </w:tcMar>
            <w:vAlign w:val="center"/>
            <w:hideMark/>
          </w:tcPr>
          <w:p w14:paraId="3B40405F"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76,068</w:t>
            </w:r>
          </w:p>
        </w:tc>
        <w:tc>
          <w:tcPr>
            <w:tcW w:w="0" w:type="auto"/>
            <w:tcMar>
              <w:top w:w="72" w:type="dxa"/>
              <w:left w:w="144" w:type="dxa"/>
              <w:bottom w:w="72" w:type="dxa"/>
              <w:right w:w="144" w:type="dxa"/>
            </w:tcMar>
            <w:vAlign w:val="center"/>
            <w:hideMark/>
          </w:tcPr>
          <w:p w14:paraId="2AF250CF"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6.77</w:t>
            </w:r>
          </w:p>
        </w:tc>
        <w:tc>
          <w:tcPr>
            <w:tcW w:w="0" w:type="auto"/>
            <w:tcMar>
              <w:top w:w="72" w:type="dxa"/>
              <w:left w:w="144" w:type="dxa"/>
              <w:bottom w:w="72" w:type="dxa"/>
              <w:right w:w="144" w:type="dxa"/>
            </w:tcMar>
            <w:vAlign w:val="center"/>
            <w:hideMark/>
          </w:tcPr>
          <w:p w14:paraId="2D12D5F0"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18.48</w:t>
            </w:r>
          </w:p>
        </w:tc>
        <w:tc>
          <w:tcPr>
            <w:tcW w:w="0" w:type="auto"/>
            <w:tcMar>
              <w:top w:w="72" w:type="dxa"/>
              <w:left w:w="144" w:type="dxa"/>
              <w:bottom w:w="72" w:type="dxa"/>
              <w:right w:w="144" w:type="dxa"/>
            </w:tcMar>
            <w:vAlign w:val="center"/>
            <w:hideMark/>
          </w:tcPr>
          <w:p w14:paraId="46A62FA1"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8,517</w:t>
            </w:r>
          </w:p>
        </w:tc>
      </w:tr>
      <w:tr w:rsidR="00654376" w:rsidRPr="007D699F" w14:paraId="75AAADA7" w14:textId="77777777" w:rsidTr="00654376">
        <w:trPr>
          <w:trHeight w:val="223"/>
        </w:trPr>
        <w:tc>
          <w:tcPr>
            <w:tcW w:w="1525" w:type="dxa"/>
            <w:tcMar>
              <w:top w:w="72" w:type="dxa"/>
              <w:left w:w="144" w:type="dxa"/>
              <w:bottom w:w="72" w:type="dxa"/>
              <w:right w:w="144" w:type="dxa"/>
            </w:tcMar>
            <w:vAlign w:val="center"/>
            <w:hideMark/>
          </w:tcPr>
          <w:p w14:paraId="2EACC2DF" w14:textId="77777777" w:rsidR="00654376" w:rsidRPr="00872636" w:rsidRDefault="00654376"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LNH</w:t>
            </w:r>
            <w:r w:rsidRPr="00872636">
              <w:rPr>
                <w:rFonts w:ascii="Times New Roman" w:hAnsi="Times New Roman" w:cs="Times New Roman"/>
                <w:sz w:val="24"/>
                <w:szCs w:val="24"/>
                <w:vertAlign w:val="subscript"/>
              </w:rPr>
              <w:t>3</w:t>
            </w:r>
          </w:p>
        </w:tc>
        <w:tc>
          <w:tcPr>
            <w:tcW w:w="895" w:type="dxa"/>
            <w:tcMar>
              <w:top w:w="72" w:type="dxa"/>
              <w:left w:w="144" w:type="dxa"/>
              <w:bottom w:w="72" w:type="dxa"/>
              <w:right w:w="144" w:type="dxa"/>
            </w:tcMar>
            <w:vAlign w:val="center"/>
            <w:hideMark/>
          </w:tcPr>
          <w:p w14:paraId="34BCA753"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1,896</w:t>
            </w:r>
          </w:p>
        </w:tc>
        <w:tc>
          <w:tcPr>
            <w:tcW w:w="996" w:type="dxa"/>
            <w:vAlign w:val="center"/>
            <w:hideMark/>
          </w:tcPr>
          <w:p w14:paraId="446BEB7A"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0.80</w:t>
            </w:r>
          </w:p>
        </w:tc>
        <w:tc>
          <w:tcPr>
            <w:tcW w:w="1120" w:type="dxa"/>
            <w:tcMar>
              <w:top w:w="72" w:type="dxa"/>
              <w:left w:w="144" w:type="dxa"/>
              <w:bottom w:w="72" w:type="dxa"/>
              <w:right w:w="144" w:type="dxa"/>
            </w:tcMar>
            <w:vAlign w:val="center"/>
            <w:hideMark/>
          </w:tcPr>
          <w:p w14:paraId="7B35765E"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183,605</w:t>
            </w:r>
          </w:p>
        </w:tc>
        <w:tc>
          <w:tcPr>
            <w:tcW w:w="1006" w:type="dxa"/>
            <w:tcMar>
              <w:top w:w="72" w:type="dxa"/>
              <w:left w:w="144" w:type="dxa"/>
              <w:bottom w:w="72" w:type="dxa"/>
              <w:right w:w="144" w:type="dxa"/>
            </w:tcMar>
            <w:vAlign w:val="center"/>
            <w:hideMark/>
          </w:tcPr>
          <w:p w14:paraId="4D0AE630"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97,624</w:t>
            </w:r>
          </w:p>
        </w:tc>
        <w:tc>
          <w:tcPr>
            <w:tcW w:w="1006" w:type="dxa"/>
            <w:tcMar>
              <w:top w:w="72" w:type="dxa"/>
              <w:left w:w="144" w:type="dxa"/>
              <w:bottom w:w="72" w:type="dxa"/>
              <w:right w:w="144" w:type="dxa"/>
            </w:tcMar>
            <w:vAlign w:val="center"/>
            <w:hideMark/>
          </w:tcPr>
          <w:p w14:paraId="362DAAF6"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315,999</w:t>
            </w:r>
          </w:p>
        </w:tc>
        <w:tc>
          <w:tcPr>
            <w:tcW w:w="1101" w:type="dxa"/>
            <w:tcMar>
              <w:top w:w="72" w:type="dxa"/>
              <w:left w:w="144" w:type="dxa"/>
              <w:bottom w:w="72" w:type="dxa"/>
              <w:right w:w="144" w:type="dxa"/>
            </w:tcMar>
            <w:vAlign w:val="center"/>
            <w:hideMark/>
          </w:tcPr>
          <w:p w14:paraId="11046BF2"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97,624</w:t>
            </w:r>
          </w:p>
        </w:tc>
        <w:tc>
          <w:tcPr>
            <w:tcW w:w="0" w:type="auto"/>
            <w:tcMar>
              <w:top w:w="72" w:type="dxa"/>
              <w:left w:w="144" w:type="dxa"/>
              <w:bottom w:w="72" w:type="dxa"/>
              <w:right w:w="144" w:type="dxa"/>
            </w:tcMar>
            <w:vAlign w:val="center"/>
            <w:hideMark/>
          </w:tcPr>
          <w:p w14:paraId="71ADEED0"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5.05</w:t>
            </w:r>
          </w:p>
        </w:tc>
        <w:tc>
          <w:tcPr>
            <w:tcW w:w="0" w:type="auto"/>
            <w:tcMar>
              <w:top w:w="72" w:type="dxa"/>
              <w:left w:w="144" w:type="dxa"/>
              <w:bottom w:w="72" w:type="dxa"/>
              <w:right w:w="144" w:type="dxa"/>
            </w:tcMar>
            <w:vAlign w:val="center"/>
            <w:hideMark/>
          </w:tcPr>
          <w:p w14:paraId="38AFA1D7"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18.34</w:t>
            </w:r>
          </w:p>
        </w:tc>
        <w:tc>
          <w:tcPr>
            <w:tcW w:w="0" w:type="auto"/>
            <w:tcMar>
              <w:top w:w="72" w:type="dxa"/>
              <w:left w:w="144" w:type="dxa"/>
              <w:bottom w:w="72" w:type="dxa"/>
              <w:right w:w="144" w:type="dxa"/>
            </w:tcMar>
            <w:vAlign w:val="center"/>
            <w:hideMark/>
          </w:tcPr>
          <w:p w14:paraId="44E08DBF"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3,478</w:t>
            </w:r>
          </w:p>
        </w:tc>
      </w:tr>
      <w:tr w:rsidR="00654376" w:rsidRPr="007D699F" w14:paraId="7AE7D9E5" w14:textId="77777777" w:rsidTr="00654376">
        <w:trPr>
          <w:trHeight w:val="223"/>
        </w:trPr>
        <w:tc>
          <w:tcPr>
            <w:tcW w:w="1525" w:type="dxa"/>
            <w:tcMar>
              <w:top w:w="72" w:type="dxa"/>
              <w:left w:w="144" w:type="dxa"/>
              <w:bottom w:w="72" w:type="dxa"/>
              <w:right w:w="144" w:type="dxa"/>
            </w:tcMar>
            <w:vAlign w:val="center"/>
            <w:hideMark/>
          </w:tcPr>
          <w:p w14:paraId="2FD4D4A2" w14:textId="77777777" w:rsidR="00654376" w:rsidRPr="00872636" w:rsidRDefault="00654376"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Methanol</w:t>
            </w:r>
          </w:p>
        </w:tc>
        <w:tc>
          <w:tcPr>
            <w:tcW w:w="895" w:type="dxa"/>
            <w:tcMar>
              <w:top w:w="72" w:type="dxa"/>
              <w:left w:w="144" w:type="dxa"/>
              <w:bottom w:w="72" w:type="dxa"/>
              <w:right w:w="144" w:type="dxa"/>
            </w:tcMar>
            <w:vAlign w:val="center"/>
            <w:hideMark/>
          </w:tcPr>
          <w:p w14:paraId="12EE1329"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2,029</w:t>
            </w:r>
          </w:p>
        </w:tc>
        <w:tc>
          <w:tcPr>
            <w:tcW w:w="996" w:type="dxa"/>
            <w:vAlign w:val="center"/>
            <w:hideMark/>
          </w:tcPr>
          <w:p w14:paraId="5261CA3C"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w:t>
            </w:r>
          </w:p>
        </w:tc>
        <w:tc>
          <w:tcPr>
            <w:tcW w:w="1120" w:type="dxa"/>
            <w:tcMar>
              <w:top w:w="72" w:type="dxa"/>
              <w:left w:w="144" w:type="dxa"/>
              <w:bottom w:w="72" w:type="dxa"/>
              <w:right w:w="144" w:type="dxa"/>
            </w:tcMar>
            <w:vAlign w:val="center"/>
            <w:hideMark/>
          </w:tcPr>
          <w:p w14:paraId="0C983E6F"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155,191</w:t>
            </w:r>
          </w:p>
        </w:tc>
        <w:tc>
          <w:tcPr>
            <w:tcW w:w="1006" w:type="dxa"/>
            <w:tcMar>
              <w:top w:w="72" w:type="dxa"/>
              <w:left w:w="144" w:type="dxa"/>
              <w:bottom w:w="72" w:type="dxa"/>
              <w:right w:w="144" w:type="dxa"/>
            </w:tcMar>
            <w:vAlign w:val="center"/>
            <w:hideMark/>
          </w:tcPr>
          <w:p w14:paraId="479FEB9C"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126,037</w:t>
            </w:r>
          </w:p>
        </w:tc>
        <w:tc>
          <w:tcPr>
            <w:tcW w:w="1006" w:type="dxa"/>
            <w:tcMar>
              <w:top w:w="72" w:type="dxa"/>
              <w:left w:w="144" w:type="dxa"/>
              <w:bottom w:w="72" w:type="dxa"/>
              <w:right w:w="144" w:type="dxa"/>
            </w:tcMar>
            <w:vAlign w:val="center"/>
            <w:hideMark/>
          </w:tcPr>
          <w:p w14:paraId="5D1E9DDB"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315,999</w:t>
            </w:r>
          </w:p>
        </w:tc>
        <w:tc>
          <w:tcPr>
            <w:tcW w:w="1101" w:type="dxa"/>
            <w:tcMar>
              <w:top w:w="72" w:type="dxa"/>
              <w:left w:w="144" w:type="dxa"/>
              <w:bottom w:w="72" w:type="dxa"/>
              <w:right w:w="144" w:type="dxa"/>
            </w:tcMar>
            <w:vAlign w:val="center"/>
            <w:hideMark/>
          </w:tcPr>
          <w:p w14:paraId="7A9AC0C2"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1,809</w:t>
            </w:r>
          </w:p>
        </w:tc>
        <w:tc>
          <w:tcPr>
            <w:tcW w:w="0" w:type="auto"/>
            <w:tcMar>
              <w:top w:w="72" w:type="dxa"/>
              <w:left w:w="144" w:type="dxa"/>
              <w:bottom w:w="72" w:type="dxa"/>
              <w:right w:w="144" w:type="dxa"/>
            </w:tcMar>
            <w:vAlign w:val="center"/>
            <w:hideMark/>
          </w:tcPr>
          <w:p w14:paraId="1DE1C964"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0.08</w:t>
            </w:r>
          </w:p>
        </w:tc>
        <w:tc>
          <w:tcPr>
            <w:tcW w:w="0" w:type="auto"/>
            <w:tcMar>
              <w:top w:w="72" w:type="dxa"/>
              <w:left w:w="144" w:type="dxa"/>
              <w:bottom w:w="72" w:type="dxa"/>
              <w:right w:w="144" w:type="dxa"/>
            </w:tcMar>
            <w:vAlign w:val="center"/>
            <w:hideMark/>
          </w:tcPr>
          <w:p w14:paraId="79F7BEFE"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18.52</w:t>
            </w:r>
          </w:p>
        </w:tc>
        <w:tc>
          <w:tcPr>
            <w:tcW w:w="0" w:type="auto"/>
            <w:tcMar>
              <w:top w:w="72" w:type="dxa"/>
              <w:left w:w="144" w:type="dxa"/>
              <w:bottom w:w="72" w:type="dxa"/>
              <w:right w:w="144" w:type="dxa"/>
            </w:tcMar>
            <w:vAlign w:val="center"/>
            <w:hideMark/>
          </w:tcPr>
          <w:p w14:paraId="306702EC"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5,943</w:t>
            </w:r>
          </w:p>
        </w:tc>
      </w:tr>
      <w:tr w:rsidR="00654376" w:rsidRPr="007D699F" w14:paraId="2B43AF4B" w14:textId="77777777" w:rsidTr="00654376">
        <w:trPr>
          <w:trHeight w:val="223"/>
        </w:trPr>
        <w:tc>
          <w:tcPr>
            <w:tcW w:w="1525" w:type="dxa"/>
            <w:tcBorders>
              <w:top w:val="nil"/>
              <w:left w:val="nil"/>
              <w:bottom w:val="single" w:sz="4" w:space="0" w:color="auto"/>
              <w:right w:val="nil"/>
            </w:tcBorders>
            <w:tcMar>
              <w:top w:w="72" w:type="dxa"/>
              <w:left w:w="144" w:type="dxa"/>
              <w:bottom w:w="72" w:type="dxa"/>
              <w:right w:w="144" w:type="dxa"/>
            </w:tcMar>
            <w:vAlign w:val="center"/>
            <w:hideMark/>
          </w:tcPr>
          <w:p w14:paraId="2B9F0EF1" w14:textId="77777777" w:rsidR="00654376" w:rsidRPr="00872636" w:rsidRDefault="00654376"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Ethanol</w:t>
            </w:r>
          </w:p>
        </w:tc>
        <w:tc>
          <w:tcPr>
            <w:tcW w:w="895" w:type="dxa"/>
            <w:tcBorders>
              <w:top w:val="nil"/>
              <w:left w:val="nil"/>
              <w:bottom w:val="single" w:sz="4" w:space="0" w:color="auto"/>
              <w:right w:val="nil"/>
            </w:tcBorders>
            <w:tcMar>
              <w:top w:w="72" w:type="dxa"/>
              <w:left w:w="144" w:type="dxa"/>
              <w:bottom w:w="72" w:type="dxa"/>
              <w:right w:w="144" w:type="dxa"/>
            </w:tcMar>
            <w:vAlign w:val="center"/>
            <w:hideMark/>
          </w:tcPr>
          <w:p w14:paraId="100D0AFF"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2,773</w:t>
            </w:r>
          </w:p>
        </w:tc>
        <w:tc>
          <w:tcPr>
            <w:tcW w:w="996" w:type="dxa"/>
            <w:tcBorders>
              <w:top w:val="nil"/>
              <w:left w:val="nil"/>
              <w:bottom w:val="single" w:sz="4" w:space="0" w:color="auto"/>
              <w:right w:val="nil"/>
            </w:tcBorders>
            <w:vAlign w:val="center"/>
            <w:hideMark/>
          </w:tcPr>
          <w:p w14:paraId="5F6B8B23"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w:t>
            </w:r>
          </w:p>
        </w:tc>
        <w:tc>
          <w:tcPr>
            <w:tcW w:w="1120" w:type="dxa"/>
            <w:tcBorders>
              <w:top w:val="nil"/>
              <w:left w:val="nil"/>
              <w:bottom w:val="single" w:sz="4" w:space="0" w:color="auto"/>
              <w:right w:val="nil"/>
            </w:tcBorders>
            <w:tcMar>
              <w:top w:w="72" w:type="dxa"/>
              <w:left w:w="144" w:type="dxa"/>
              <w:bottom w:w="72" w:type="dxa"/>
              <w:right w:w="144" w:type="dxa"/>
            </w:tcMar>
            <w:vAlign w:val="center"/>
            <w:hideMark/>
          </w:tcPr>
          <w:p w14:paraId="3BC5A7E4"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155,202</w:t>
            </w:r>
          </w:p>
        </w:tc>
        <w:tc>
          <w:tcPr>
            <w:tcW w:w="1006" w:type="dxa"/>
            <w:tcBorders>
              <w:top w:val="nil"/>
              <w:left w:val="nil"/>
              <w:bottom w:val="single" w:sz="4" w:space="0" w:color="auto"/>
              <w:right w:val="nil"/>
            </w:tcBorders>
            <w:tcMar>
              <w:top w:w="72" w:type="dxa"/>
              <w:left w:w="144" w:type="dxa"/>
              <w:bottom w:w="72" w:type="dxa"/>
              <w:right w:w="144" w:type="dxa"/>
            </w:tcMar>
            <w:vAlign w:val="center"/>
            <w:hideMark/>
          </w:tcPr>
          <w:p w14:paraId="28C69811"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126,027</w:t>
            </w:r>
          </w:p>
        </w:tc>
        <w:tc>
          <w:tcPr>
            <w:tcW w:w="1006" w:type="dxa"/>
            <w:tcBorders>
              <w:top w:val="nil"/>
              <w:left w:val="nil"/>
              <w:bottom w:val="single" w:sz="4" w:space="0" w:color="auto"/>
              <w:right w:val="nil"/>
            </w:tcBorders>
            <w:tcMar>
              <w:top w:w="72" w:type="dxa"/>
              <w:left w:w="144" w:type="dxa"/>
              <w:bottom w:w="72" w:type="dxa"/>
              <w:right w:w="144" w:type="dxa"/>
            </w:tcMar>
            <w:vAlign w:val="center"/>
            <w:hideMark/>
          </w:tcPr>
          <w:p w14:paraId="65C48D87"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315,999</w:t>
            </w:r>
          </w:p>
        </w:tc>
        <w:tc>
          <w:tcPr>
            <w:tcW w:w="1101" w:type="dxa"/>
            <w:tcBorders>
              <w:top w:val="nil"/>
              <w:left w:val="nil"/>
              <w:bottom w:val="single" w:sz="4" w:space="0" w:color="auto"/>
              <w:right w:val="nil"/>
            </w:tcBorders>
            <w:tcMar>
              <w:top w:w="72" w:type="dxa"/>
              <w:left w:w="144" w:type="dxa"/>
              <w:bottom w:w="72" w:type="dxa"/>
              <w:right w:w="144" w:type="dxa"/>
            </w:tcMar>
            <w:vAlign w:val="center"/>
            <w:hideMark/>
          </w:tcPr>
          <w:p w14:paraId="40766D94"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2,111</w:t>
            </w:r>
          </w:p>
        </w:tc>
        <w:tc>
          <w:tcPr>
            <w:tcW w:w="0" w:type="auto"/>
            <w:tcBorders>
              <w:top w:val="nil"/>
              <w:left w:val="nil"/>
              <w:bottom w:val="single" w:sz="4" w:space="0" w:color="auto"/>
              <w:right w:val="nil"/>
            </w:tcBorders>
            <w:tcMar>
              <w:top w:w="72" w:type="dxa"/>
              <w:left w:w="144" w:type="dxa"/>
              <w:bottom w:w="72" w:type="dxa"/>
              <w:right w:w="144" w:type="dxa"/>
            </w:tcMar>
            <w:vAlign w:val="center"/>
            <w:hideMark/>
          </w:tcPr>
          <w:p w14:paraId="1A569212"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0.10</w:t>
            </w:r>
          </w:p>
        </w:tc>
        <w:tc>
          <w:tcPr>
            <w:tcW w:w="0" w:type="auto"/>
            <w:tcBorders>
              <w:top w:val="nil"/>
              <w:left w:val="nil"/>
              <w:bottom w:val="single" w:sz="4" w:space="0" w:color="auto"/>
              <w:right w:val="nil"/>
            </w:tcBorders>
            <w:tcMar>
              <w:top w:w="72" w:type="dxa"/>
              <w:left w:w="144" w:type="dxa"/>
              <w:bottom w:w="72" w:type="dxa"/>
              <w:right w:w="144" w:type="dxa"/>
            </w:tcMar>
            <w:vAlign w:val="center"/>
            <w:hideMark/>
          </w:tcPr>
          <w:p w14:paraId="062E8513"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18.57</w:t>
            </w:r>
          </w:p>
        </w:tc>
        <w:tc>
          <w:tcPr>
            <w:tcW w:w="0" w:type="auto"/>
            <w:tcBorders>
              <w:top w:val="nil"/>
              <w:left w:val="nil"/>
              <w:bottom w:val="single" w:sz="4" w:space="0" w:color="auto"/>
              <w:right w:val="nil"/>
            </w:tcBorders>
            <w:tcMar>
              <w:top w:w="72" w:type="dxa"/>
              <w:left w:w="144" w:type="dxa"/>
              <w:bottom w:w="72" w:type="dxa"/>
              <w:right w:w="144" w:type="dxa"/>
            </w:tcMar>
            <w:vAlign w:val="center"/>
            <w:hideMark/>
          </w:tcPr>
          <w:p w14:paraId="41B3D6C9" w14:textId="77777777" w:rsidR="00654376" w:rsidRPr="00872636" w:rsidRDefault="00654376"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8,421</w:t>
            </w:r>
          </w:p>
        </w:tc>
      </w:tr>
    </w:tbl>
    <w:p w14:paraId="5EA894A7" w14:textId="278A2D5A" w:rsidR="00654376" w:rsidRDefault="00654376" w:rsidP="00872636">
      <w:pPr>
        <w:spacing w:before="240" w:after="0" w:line="480" w:lineRule="auto"/>
        <w:jc w:val="both"/>
        <w:rPr>
          <w:rFonts w:ascii="Times New Roman" w:hAnsi="Times New Roman" w:cs="Times New Roman"/>
          <w:sz w:val="24"/>
          <w:szCs w:val="24"/>
        </w:rPr>
      </w:pPr>
      <w:r w:rsidRPr="00872636">
        <w:rPr>
          <w:rFonts w:ascii="Times New Roman" w:hAnsi="Times New Roman" w:cs="Times New Roman"/>
          <w:sz w:val="24"/>
          <w:szCs w:val="24"/>
        </w:rPr>
        <w:tab/>
        <w:t>It can be observed from Table</w:t>
      </w:r>
      <w:r w:rsidR="00672FD5" w:rsidRPr="00872636">
        <w:rPr>
          <w:rFonts w:ascii="Times New Roman" w:hAnsi="Times New Roman" w:cs="Times New Roman"/>
          <w:sz w:val="24"/>
          <w:szCs w:val="24"/>
        </w:rPr>
        <w:t xml:space="preserve"> SI </w:t>
      </w:r>
      <w:r w:rsidR="001977D7">
        <w:rPr>
          <w:rFonts w:ascii="Times New Roman" w:hAnsi="Times New Roman" w:cs="Times New Roman"/>
          <w:sz w:val="24"/>
          <w:szCs w:val="24"/>
        </w:rPr>
        <w:t>9</w:t>
      </w:r>
      <w:r w:rsidR="001977D7" w:rsidRPr="00872636">
        <w:rPr>
          <w:rFonts w:ascii="Times New Roman" w:hAnsi="Times New Roman" w:cs="Times New Roman"/>
          <w:sz w:val="24"/>
          <w:szCs w:val="24"/>
        </w:rPr>
        <w:t xml:space="preserve"> </w:t>
      </w:r>
      <w:r w:rsidRPr="00872636">
        <w:rPr>
          <w:rFonts w:ascii="Times New Roman" w:hAnsi="Times New Roman" w:cs="Times New Roman"/>
          <w:sz w:val="24"/>
          <w:szCs w:val="24"/>
        </w:rPr>
        <w:t>that only 100% SPK and LH</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rPr>
        <w:t xml:space="preserve"> powered aircraft are able to fly same range/distance (</w:t>
      </w:r>
      <w:r w:rsidRPr="00872636">
        <w:rPr>
          <w:rFonts w:ascii="Times New Roman" w:hAnsi="Times New Roman" w:cs="Times New Roman"/>
          <w:i/>
          <w:iCs/>
          <w:sz w:val="24"/>
          <w:szCs w:val="24"/>
        </w:rPr>
        <w:t>R</w:t>
      </w:r>
      <w:r w:rsidRPr="00872636">
        <w:rPr>
          <w:rFonts w:ascii="Times New Roman" w:hAnsi="Times New Roman" w:cs="Times New Roman"/>
          <w:sz w:val="24"/>
          <w:szCs w:val="24"/>
        </w:rPr>
        <w:t>) as that of the Jet-A aircraft (baseline) within the same limit of MTOW (of 316 ton</w:t>
      </w:r>
      <w:r w:rsidR="009222E3" w:rsidRPr="00872636">
        <w:rPr>
          <w:rFonts w:ascii="Times New Roman" w:hAnsi="Times New Roman" w:cs="Times New Roman"/>
          <w:sz w:val="24"/>
          <w:szCs w:val="24"/>
        </w:rPr>
        <w:t>ne</w:t>
      </w:r>
      <w:r w:rsidRPr="00872636">
        <w:rPr>
          <w:rFonts w:ascii="Times New Roman" w:hAnsi="Times New Roman" w:cs="Times New Roman"/>
          <w:sz w:val="24"/>
          <w:szCs w:val="24"/>
        </w:rPr>
        <w:t xml:space="preserve">). Since other alternative fuels have lower </w:t>
      </w:r>
      <w:r w:rsidRPr="00872636">
        <w:rPr>
          <w:rFonts w:ascii="Times New Roman" w:hAnsi="Times New Roman" w:cs="Times New Roman"/>
          <w:i/>
          <w:iCs/>
          <w:sz w:val="24"/>
          <w:szCs w:val="24"/>
        </w:rPr>
        <w:t>h</w:t>
      </w:r>
      <w:r w:rsidRPr="00872636">
        <w:rPr>
          <w:rFonts w:ascii="Times New Roman" w:hAnsi="Times New Roman" w:cs="Times New Roman"/>
          <w:sz w:val="24"/>
          <w:szCs w:val="24"/>
        </w:rPr>
        <w:t xml:space="preserve"> as compared to Jet-A, higher quantity of fuel would be required (to be carried) on the aircraft for enabling the same range as that of the Jet-A aircraft. This also increases the OEW of the aircraft and resultantly the GTOW. Since the GTOW is structurally limited by the MTOW bound, limited fuel and corresponding OEW can be supported for a given aircraft structure (MTOW defined).</w:t>
      </w:r>
    </w:p>
    <w:p w14:paraId="602A0318" w14:textId="7F81F65C" w:rsidR="000764C5" w:rsidRPr="00872636" w:rsidRDefault="000764C5" w:rsidP="00872636">
      <w:pPr>
        <w:spacing w:after="0" w:line="480" w:lineRule="auto"/>
        <w:jc w:val="both"/>
        <w:rPr>
          <w:rFonts w:ascii="Times New Roman" w:hAnsi="Times New Roman" w:cs="Times New Roman"/>
          <w:sz w:val="24"/>
          <w:szCs w:val="24"/>
        </w:rPr>
      </w:pPr>
      <w:r w:rsidRPr="006C247F">
        <w:rPr>
          <w:rFonts w:ascii="Times New Roman" w:hAnsi="Times New Roman" w:cs="Times New Roman"/>
          <w:sz w:val="24"/>
          <w:szCs w:val="24"/>
        </w:rPr>
        <w:tab/>
        <w:t>It should be noted that since LH</w:t>
      </w:r>
      <w:r w:rsidRPr="006C247F">
        <w:rPr>
          <w:rFonts w:ascii="Times New Roman" w:hAnsi="Times New Roman" w:cs="Times New Roman"/>
          <w:sz w:val="24"/>
          <w:szCs w:val="24"/>
          <w:vertAlign w:val="subscript"/>
        </w:rPr>
        <w:t>2</w:t>
      </w:r>
      <w:r w:rsidRPr="006C247F">
        <w:rPr>
          <w:rFonts w:ascii="Times New Roman" w:hAnsi="Times New Roman" w:cs="Times New Roman"/>
          <w:sz w:val="24"/>
          <w:szCs w:val="24"/>
        </w:rPr>
        <w:t xml:space="preserve"> has 2.78 times higher gravimetric energy density than Jet-A,</w:t>
      </w:r>
      <w:r>
        <w:rPr>
          <w:rFonts w:ascii="Times New Roman" w:hAnsi="Times New Roman" w:cs="Times New Roman"/>
          <w:sz w:val="24"/>
          <w:szCs w:val="24"/>
        </w:rPr>
        <w:t xml:space="preserve"> </w:t>
      </w:r>
      <w:r w:rsidRPr="006C247F">
        <w:rPr>
          <w:rFonts w:ascii="Times New Roman" w:hAnsi="Times New Roman" w:cs="Times New Roman"/>
          <w:i/>
          <w:iCs/>
          <w:sz w:val="24"/>
          <w:szCs w:val="24"/>
        </w:rPr>
        <w:t>W</w:t>
      </w:r>
      <w:r w:rsidRPr="006C247F">
        <w:rPr>
          <w:rFonts w:ascii="Times New Roman" w:hAnsi="Times New Roman" w:cs="Times New Roman"/>
          <w:sz w:val="24"/>
          <w:szCs w:val="24"/>
          <w:vertAlign w:val="subscript"/>
        </w:rPr>
        <w:t>F,total</w:t>
      </w:r>
      <w:r w:rsidRPr="006C247F">
        <w:rPr>
          <w:rFonts w:ascii="Times New Roman" w:hAnsi="Times New Roman" w:cs="Times New Roman"/>
          <w:sz w:val="24"/>
          <w:szCs w:val="24"/>
        </w:rPr>
        <w:t xml:space="preserve"> for LH</w:t>
      </w:r>
      <w:r w:rsidRPr="006C247F">
        <w:rPr>
          <w:rFonts w:ascii="Times New Roman" w:hAnsi="Times New Roman" w:cs="Times New Roman"/>
          <w:sz w:val="24"/>
          <w:szCs w:val="24"/>
          <w:vertAlign w:val="subscript"/>
        </w:rPr>
        <w:t>2</w:t>
      </w:r>
      <w:r w:rsidRPr="006C247F">
        <w:rPr>
          <w:rFonts w:ascii="Times New Roman" w:hAnsi="Times New Roman" w:cs="Times New Roman"/>
          <w:sz w:val="24"/>
          <w:szCs w:val="24"/>
        </w:rPr>
        <w:t xml:space="preserve"> is less than that for Jet-A. The lower volumetric energy density of LH</w:t>
      </w:r>
      <w:r w:rsidRPr="006C247F">
        <w:rPr>
          <w:rFonts w:ascii="Times New Roman" w:hAnsi="Times New Roman" w:cs="Times New Roman"/>
          <w:sz w:val="24"/>
          <w:szCs w:val="24"/>
          <w:vertAlign w:val="subscript"/>
        </w:rPr>
        <w:t>2</w:t>
      </w:r>
      <w:r w:rsidRPr="006C247F">
        <w:rPr>
          <w:rFonts w:ascii="Times New Roman" w:hAnsi="Times New Roman" w:cs="Times New Roman"/>
          <w:sz w:val="24"/>
          <w:szCs w:val="24"/>
        </w:rPr>
        <w:t xml:space="preserve"> fuel increases the fuselage length by 26.87 m (or by 37.2%) compared to Jet-A case. This finding is similar to the observation made in the study by Verstraete </w:t>
      </w:r>
      <w:r w:rsidRPr="006C247F">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{"citationItems":[{"id":"ITEM-1","itemData":{"DOI":"10.1016/j.ijhydene.2015.04.055","ISSN":"03603199","abstract":"Hydrogen could provide a pathway to long-term sustainable aviation provided its use does not excessively penalise aircraft performance and energy efficiency. To assess the implications of hydrogen use in aviation a study on the energy efficiency of kerosene- and hydrogen-fuelled aircraft is presented. The investigation shows that the use of hydrogen for long-range operation can lead to an increase in energy efficiency of up to 12% compared to kerosene. For short-to-medium-range aircraft, on the other hand, the adoption of hydrogen leads to an increase in the mission energy requirement of 5-18%. Storing hydrogen on top of the cabin instead of in tanks located in front and aft of it has a considerable impact on the energy efficiency. The increased weight of the top tanks leads to an increase in energy use of 6 and 19% for the selected notional short-respectively medium-range aircraft.","author":[{"dropping-particle":"","family":"Verstraete","given":"D.","non-dropping-particle":"","parse-names":false,"suffix":""}],"container-title":"International Journal of Hydrogen Energy","id":"ITEM-1","issue":"23","issued":{"date-parts":[["2015","6","22"]]},"page":"7388-7394","publisher":"Elsevier Ltd","title":"On the energy efficiency of hydrogen-fuelled transport aircraft","type":"article-journal","volume":"40"},"uris":["http://www.mendeley.com/documents/?uuid=2925cc4c-1b67-3876-8842-b7c825d091c4"]}],"mendeley":{"formattedCitation":"[126]","plainTextFormattedCitation":"[126]","previouslyFormattedCitation":"[126]"},"properties":{"noteIndex":0},"schema":"https://github.com/citation-style-language/schema/raw/master/csl-citation.json"}</w:instrText>
      </w:r>
      <w:r w:rsidRPr="006C247F">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[126]</w:t>
      </w:r>
      <w:r w:rsidRPr="006C247F">
        <w:rPr>
          <w:rFonts w:ascii="Times New Roman" w:hAnsi="Times New Roman" w:cs="Times New Roman"/>
          <w:sz w:val="24"/>
          <w:szCs w:val="24"/>
        </w:rPr>
        <w:fldChar w:fldCharType="end"/>
      </w:r>
      <w:r w:rsidRPr="006C247F">
        <w:rPr>
          <w:rFonts w:ascii="Times New Roman" w:hAnsi="Times New Roman" w:cs="Times New Roman"/>
          <w:sz w:val="24"/>
          <w:szCs w:val="24"/>
        </w:rPr>
        <w:t xml:space="preserve"> where there is 38.2% increase in fuselage length for a single-decker 300 passenger LH</w:t>
      </w:r>
      <w:r w:rsidRPr="006C247F">
        <w:rPr>
          <w:rFonts w:ascii="Times New Roman" w:hAnsi="Times New Roman" w:cs="Times New Roman"/>
          <w:sz w:val="24"/>
          <w:szCs w:val="24"/>
          <w:vertAlign w:val="subscript"/>
        </w:rPr>
        <w:t xml:space="preserve">2 </w:t>
      </w:r>
      <w:r w:rsidRPr="006C247F">
        <w:rPr>
          <w:rFonts w:ascii="Times New Roman" w:hAnsi="Times New Roman" w:cs="Times New Roman"/>
          <w:sz w:val="24"/>
          <w:szCs w:val="24"/>
        </w:rPr>
        <w:t xml:space="preserve">aircraft (using similar cryogenic tank </w:t>
      </w:r>
      <w:r w:rsidRPr="006C247F">
        <w:rPr>
          <w:rFonts w:ascii="Times New Roman" w:hAnsi="Times New Roman" w:cs="Times New Roman"/>
          <w:i/>
          <w:iCs/>
          <w:sz w:val="24"/>
          <w:szCs w:val="24"/>
        </w:rPr>
        <w:t>η</w:t>
      </w:r>
      <w:r w:rsidRPr="006C247F">
        <w:rPr>
          <w:rFonts w:ascii="Times New Roman" w:hAnsi="Times New Roman" w:cs="Times New Roman"/>
          <w:sz w:val="24"/>
          <w:szCs w:val="24"/>
        </w:rPr>
        <w:t>) that has a design range of 9,000 km. In this work, the 37.2% increase in LH</w:t>
      </w:r>
      <w:r w:rsidRPr="006C247F">
        <w:rPr>
          <w:rFonts w:ascii="Times New Roman" w:hAnsi="Times New Roman" w:cs="Times New Roman"/>
          <w:sz w:val="24"/>
          <w:szCs w:val="24"/>
          <w:vertAlign w:val="subscript"/>
        </w:rPr>
        <w:t>2</w:t>
      </w:r>
      <w:r w:rsidRPr="006C247F">
        <w:rPr>
          <w:rFonts w:ascii="Times New Roman" w:hAnsi="Times New Roman" w:cs="Times New Roman"/>
          <w:sz w:val="24"/>
          <w:szCs w:val="24"/>
        </w:rPr>
        <w:t xml:space="preserve"> aircraft fuselage length compared to Jet-A case, penalizes the aircraft performance as the LH</w:t>
      </w:r>
      <w:r w:rsidRPr="006C247F">
        <w:rPr>
          <w:rFonts w:ascii="Times New Roman" w:hAnsi="Times New Roman" w:cs="Times New Roman"/>
          <w:sz w:val="24"/>
          <w:szCs w:val="24"/>
          <w:vertAlign w:val="subscript"/>
        </w:rPr>
        <w:t>2</w:t>
      </w:r>
      <w:r w:rsidRPr="006C247F">
        <w:rPr>
          <w:rFonts w:ascii="Times New Roman" w:hAnsi="Times New Roman" w:cs="Times New Roman"/>
          <w:sz w:val="24"/>
          <w:szCs w:val="24"/>
        </w:rPr>
        <w:t xml:space="preserve"> aircraft</w:t>
      </w:r>
      <w:r w:rsidRPr="006C247F">
        <w:rPr>
          <w:rFonts w:ascii="Times New Roman" w:hAnsi="Times New Roman" w:cs="Times New Roman"/>
          <w:sz w:val="24"/>
          <w:szCs w:val="24"/>
          <w:vertAlign w:val="subscript"/>
        </w:rPr>
        <w:t xml:space="preserve"> </w:t>
      </w:r>
      <w:r w:rsidRPr="006C247F">
        <w:rPr>
          <w:rFonts w:ascii="Times New Roman" w:hAnsi="Times New Roman" w:cs="Times New Roman"/>
          <w:sz w:val="24"/>
          <w:szCs w:val="24"/>
        </w:rPr>
        <w:t xml:space="preserve">fuselage weight increases to 41,749 kg from 29,484 kg, and </w:t>
      </w:r>
      <w:r w:rsidRPr="006C247F">
        <w:rPr>
          <w:rFonts w:ascii="Times New Roman" w:hAnsi="Times New Roman" w:cs="Times New Roman"/>
          <w:i/>
          <w:iCs/>
          <w:sz w:val="24"/>
          <w:szCs w:val="24"/>
        </w:rPr>
        <w:t>L/D</w:t>
      </w:r>
      <w:r w:rsidRPr="006C247F">
        <w:rPr>
          <w:rFonts w:ascii="Times New Roman" w:hAnsi="Times New Roman" w:cs="Times New Roman"/>
          <w:sz w:val="24"/>
          <w:szCs w:val="24"/>
        </w:rPr>
        <w:t xml:space="preserve"> ratio decreases to 16.09 from 18.63. The associated increase in fuselage wetted area and aircraft wetted area can be observed from Table SI </w:t>
      </w:r>
      <w:r>
        <w:rPr>
          <w:rFonts w:ascii="Times New Roman" w:hAnsi="Times New Roman" w:cs="Times New Roman"/>
          <w:sz w:val="24"/>
          <w:szCs w:val="24"/>
        </w:rPr>
        <w:t>10</w:t>
      </w:r>
      <w:r w:rsidRPr="006C247F">
        <w:rPr>
          <w:rFonts w:ascii="Times New Roman" w:hAnsi="Times New Roman" w:cs="Times New Roman"/>
          <w:sz w:val="24"/>
          <w:szCs w:val="24"/>
        </w:rPr>
        <w:t xml:space="preserve">. </w:t>
      </w:r>
    </w:p>
    <w:tbl>
      <w:tblPr>
        <w:tblpPr w:leftFromText="180" w:rightFromText="180" w:bottomFromText="160" w:vertAnchor="text" w:horzAnchor="margin" w:tblpXSpec="center" w:tblpY="73"/>
        <w:tblW w:w="9923" w:type="dxa"/>
        <w:tblLayout w:type="fixed"/>
        <w:tblCellMar>
          <w:left w:w="0" w:type="dxa"/>
          <w:right w:w="0" w:type="dxa"/>
        </w:tblCellMar>
        <w:tblLook w:val="0420" w:firstRow="1" w:lastRow="0" w:firstColumn="0" w:lastColumn="0" w:noHBand="0" w:noVBand="1"/>
      </w:tblPr>
      <w:tblGrid>
        <w:gridCol w:w="1600"/>
        <w:gridCol w:w="810"/>
        <w:gridCol w:w="1843"/>
        <w:gridCol w:w="1559"/>
        <w:gridCol w:w="1418"/>
        <w:gridCol w:w="1275"/>
        <w:gridCol w:w="1418"/>
      </w:tblGrid>
      <w:tr w:rsidR="00A220D4" w:rsidRPr="007D699F" w14:paraId="4F94096B" w14:textId="3AA40D60" w:rsidTr="00A220D4">
        <w:trPr>
          <w:trHeight w:val="227"/>
        </w:trPr>
        <w:tc>
          <w:tcPr>
            <w:tcW w:w="9923" w:type="dxa"/>
            <w:gridSpan w:val="7"/>
            <w:tcBorders>
              <w:top w:val="nil"/>
              <w:left w:val="nil"/>
              <w:bottom w:val="single" w:sz="4" w:space="0" w:color="auto"/>
              <w:right w:val="nil"/>
            </w:tcBorders>
            <w:tcMar>
              <w:top w:w="72" w:type="dxa"/>
              <w:left w:w="144" w:type="dxa"/>
              <w:bottom w:w="72" w:type="dxa"/>
              <w:right w:w="144" w:type="dxa"/>
            </w:tcMar>
            <w:vAlign w:val="center"/>
            <w:hideMark/>
          </w:tcPr>
          <w:p w14:paraId="42A20081" w14:textId="7AFAA5F1" w:rsidR="00A220D4" w:rsidRPr="00872636" w:rsidRDefault="00A220D4" w:rsidP="00872636">
            <w:pPr>
              <w:spacing w:after="0" w:line="276" w:lineRule="auto"/>
              <w:jc w:val="center"/>
              <w:rPr>
                <w:rFonts w:ascii="Times New Roman" w:hAnsi="Times New Roman" w:cs="Times New Roman"/>
                <w:b/>
                <w:sz w:val="24"/>
                <w:szCs w:val="24"/>
              </w:rPr>
            </w:pPr>
            <w:r w:rsidRPr="00872636">
              <w:rPr>
                <w:rFonts w:ascii="Times New Roman" w:hAnsi="Times New Roman" w:cs="Times New Roman"/>
                <w:b/>
                <w:sz w:val="24"/>
                <w:szCs w:val="24"/>
              </w:rPr>
              <w:t xml:space="preserve">Table SI </w:t>
            </w:r>
            <w:r w:rsidR="00286C0A" w:rsidRPr="00872636">
              <w:rPr>
                <w:rFonts w:ascii="Times New Roman" w:hAnsi="Times New Roman" w:cs="Times New Roman"/>
                <w:b/>
                <w:sz w:val="24"/>
                <w:szCs w:val="24"/>
              </w:rPr>
              <w:t>10</w:t>
            </w:r>
            <w:r w:rsidRPr="00872636">
              <w:rPr>
                <w:rFonts w:ascii="Times New Roman" w:hAnsi="Times New Roman" w:cs="Times New Roman"/>
                <w:b/>
                <w:sz w:val="24"/>
                <w:szCs w:val="24"/>
              </w:rPr>
              <w:t>. Airbus A350-1000 fuselage and aircraft modification data for different alternative fuels for</w:t>
            </w:r>
            <w:r w:rsidRPr="00872636">
              <w:rPr>
                <w:rFonts w:ascii="Times New Roman" w:hAnsi="Times New Roman" w:cs="Times New Roman"/>
                <w:b/>
                <w:bCs/>
                <w:sz w:val="24"/>
                <w:szCs w:val="24"/>
              </w:rPr>
              <w:t xml:space="preserve"> passenger payload of 34,770 kg (366 passengers) for same wing area (465 m</w:t>
            </w:r>
            <w:r w:rsidRPr="00872636">
              <w:rPr>
                <w:rFonts w:ascii="Times New Roman" w:hAnsi="Times New Roman" w:cs="Times New Roman"/>
                <w:b/>
                <w:bCs/>
                <w:sz w:val="24"/>
                <w:szCs w:val="24"/>
                <w:vertAlign w:val="superscript"/>
              </w:rPr>
              <w:t>2</w:t>
            </w:r>
            <w:r w:rsidRPr="00872636">
              <w:rPr>
                <w:rFonts w:ascii="Times New Roman" w:hAnsi="Times New Roman" w:cs="Times New Roman"/>
                <w:b/>
                <w:bCs/>
                <w:sz w:val="24"/>
                <w:szCs w:val="24"/>
              </w:rPr>
              <w:t>) and aspect ratio (9.12)</w:t>
            </w:r>
          </w:p>
        </w:tc>
      </w:tr>
      <w:tr w:rsidR="00A220D4" w:rsidRPr="007D699F" w14:paraId="7D5CC302" w14:textId="5BFA2C87" w:rsidTr="00724B22">
        <w:trPr>
          <w:trHeight w:val="227"/>
        </w:trPr>
        <w:tc>
          <w:tcPr>
            <w:tcW w:w="1600"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7D3A2409" w14:textId="77777777" w:rsidR="00A220D4" w:rsidRPr="00872636" w:rsidRDefault="00A220D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lastRenderedPageBreak/>
              <w:t>Fuel</w:t>
            </w:r>
          </w:p>
        </w:tc>
        <w:tc>
          <w:tcPr>
            <w:tcW w:w="810"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3A856920" w14:textId="77777777" w:rsidR="00A220D4" w:rsidRPr="00872636" w:rsidRDefault="00A220D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i/>
                <w:iCs/>
                <w:sz w:val="24"/>
                <w:szCs w:val="24"/>
              </w:rPr>
              <w:t>l</w:t>
            </w:r>
            <w:r w:rsidRPr="00872636">
              <w:rPr>
                <w:rFonts w:ascii="Times New Roman" w:hAnsi="Times New Roman" w:cs="Times New Roman"/>
                <w:sz w:val="24"/>
                <w:szCs w:val="24"/>
                <w:vertAlign w:val="subscript"/>
              </w:rPr>
              <w:t>f</w:t>
            </w:r>
            <w:r w:rsidRPr="00872636">
              <w:rPr>
                <w:rFonts w:ascii="Times New Roman" w:hAnsi="Times New Roman" w:cs="Times New Roman"/>
                <w:sz w:val="24"/>
                <w:szCs w:val="24"/>
              </w:rPr>
              <w:t xml:space="preserve"> (m)</w:t>
            </w:r>
          </w:p>
        </w:tc>
        <w:tc>
          <w:tcPr>
            <w:tcW w:w="1843"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2B1ED435" w14:textId="77777777" w:rsidR="00A220D4" w:rsidRPr="00872636" w:rsidRDefault="00A220D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 xml:space="preserve">Fuselage structural weight </w:t>
            </w:r>
            <w:r w:rsidRPr="00872636">
              <w:rPr>
                <w:rFonts w:ascii="Times New Roman" w:hAnsi="Times New Roman" w:cs="Times New Roman"/>
                <w:i/>
                <w:iCs/>
                <w:sz w:val="24"/>
                <w:szCs w:val="24"/>
              </w:rPr>
              <w:t>W</w:t>
            </w:r>
            <w:r w:rsidRPr="00872636">
              <w:rPr>
                <w:rFonts w:ascii="Times New Roman" w:hAnsi="Times New Roman" w:cs="Times New Roman"/>
                <w:sz w:val="24"/>
                <w:szCs w:val="24"/>
                <w:vertAlign w:val="subscript"/>
              </w:rPr>
              <w:t xml:space="preserve">Fuselage </w:t>
            </w:r>
            <w:r w:rsidRPr="00872636">
              <w:rPr>
                <w:rFonts w:ascii="Times New Roman" w:hAnsi="Times New Roman" w:cs="Times New Roman"/>
                <w:sz w:val="24"/>
                <w:szCs w:val="24"/>
              </w:rPr>
              <w:t>(kg)</w:t>
            </w:r>
          </w:p>
        </w:tc>
        <w:tc>
          <w:tcPr>
            <w:tcW w:w="1559"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58BFB817" w14:textId="77777777" w:rsidR="00A220D4" w:rsidRPr="00872636" w:rsidRDefault="00A220D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 xml:space="preserve">Fuselage wetted area </w:t>
            </w:r>
            <w:r w:rsidRPr="00872636">
              <w:rPr>
                <w:rFonts w:ascii="Times New Roman" w:hAnsi="Times New Roman" w:cs="Times New Roman"/>
                <w:i/>
                <w:iCs/>
                <w:sz w:val="24"/>
                <w:szCs w:val="24"/>
              </w:rPr>
              <w:t>S</w:t>
            </w:r>
            <w:r w:rsidRPr="00872636">
              <w:rPr>
                <w:rFonts w:ascii="Times New Roman" w:hAnsi="Times New Roman" w:cs="Times New Roman"/>
                <w:sz w:val="24"/>
                <w:szCs w:val="24"/>
                <w:vertAlign w:val="subscript"/>
              </w:rPr>
              <w:t xml:space="preserve">wet,Fuselage </w:t>
            </w:r>
            <w:r w:rsidRPr="00872636">
              <w:rPr>
                <w:rFonts w:ascii="Times New Roman" w:hAnsi="Times New Roman" w:cs="Times New Roman"/>
                <w:sz w:val="24"/>
                <w:szCs w:val="24"/>
              </w:rPr>
              <w:t>(m</w:t>
            </w:r>
            <w:r w:rsidRPr="00872636">
              <w:rPr>
                <w:rFonts w:ascii="Times New Roman" w:hAnsi="Times New Roman" w:cs="Times New Roman"/>
                <w:sz w:val="24"/>
                <w:szCs w:val="24"/>
                <w:vertAlign w:val="superscript"/>
              </w:rPr>
              <w:t>2</w:t>
            </w:r>
            <w:r w:rsidRPr="00872636">
              <w:rPr>
                <w:rFonts w:ascii="Times New Roman" w:hAnsi="Times New Roman" w:cs="Times New Roman"/>
                <w:sz w:val="24"/>
                <w:szCs w:val="24"/>
              </w:rPr>
              <w:t>)</w:t>
            </w:r>
          </w:p>
        </w:tc>
        <w:tc>
          <w:tcPr>
            <w:tcW w:w="1418"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4E062518" w14:textId="77777777" w:rsidR="00A220D4" w:rsidRPr="00872636" w:rsidRDefault="00A220D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 xml:space="preserve">Aircraft wetted area </w:t>
            </w:r>
            <w:r w:rsidRPr="00872636">
              <w:rPr>
                <w:rFonts w:ascii="Times New Roman" w:hAnsi="Times New Roman" w:cs="Times New Roman"/>
                <w:i/>
                <w:iCs/>
                <w:sz w:val="24"/>
                <w:szCs w:val="24"/>
              </w:rPr>
              <w:t xml:space="preserve"> S</w:t>
            </w:r>
            <w:r w:rsidRPr="00872636">
              <w:rPr>
                <w:rFonts w:ascii="Times New Roman" w:hAnsi="Times New Roman" w:cs="Times New Roman"/>
                <w:sz w:val="24"/>
                <w:szCs w:val="24"/>
                <w:vertAlign w:val="subscript"/>
              </w:rPr>
              <w:t>wet</w:t>
            </w:r>
            <w:r w:rsidRPr="00872636">
              <w:rPr>
                <w:rFonts w:ascii="Times New Roman" w:hAnsi="Times New Roman" w:cs="Times New Roman"/>
                <w:sz w:val="24"/>
                <w:szCs w:val="24"/>
              </w:rPr>
              <w:t xml:space="preserve"> (m</w:t>
            </w:r>
            <w:r w:rsidRPr="00872636">
              <w:rPr>
                <w:rFonts w:ascii="Times New Roman" w:hAnsi="Times New Roman" w:cs="Times New Roman"/>
                <w:sz w:val="24"/>
                <w:szCs w:val="24"/>
                <w:vertAlign w:val="superscript"/>
              </w:rPr>
              <w:t>2</w:t>
            </w:r>
            <w:r w:rsidRPr="00872636">
              <w:rPr>
                <w:rFonts w:ascii="Times New Roman" w:hAnsi="Times New Roman" w:cs="Times New Roman"/>
                <w:sz w:val="24"/>
                <w:szCs w:val="24"/>
              </w:rPr>
              <w:t>)</w:t>
            </w:r>
          </w:p>
        </w:tc>
        <w:tc>
          <w:tcPr>
            <w:tcW w:w="1275" w:type="dxa"/>
            <w:tcBorders>
              <w:top w:val="single" w:sz="4" w:space="0" w:color="auto"/>
              <w:left w:val="nil"/>
              <w:bottom w:val="single" w:sz="4" w:space="0" w:color="auto"/>
              <w:right w:val="nil"/>
            </w:tcBorders>
            <w:vAlign w:val="center"/>
            <w:hideMark/>
          </w:tcPr>
          <w:p w14:paraId="5CC9E248" w14:textId="1AE41F90" w:rsidR="00A220D4" w:rsidRPr="00872636" w:rsidRDefault="00A220D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Wing loading</w:t>
            </w:r>
          </w:p>
          <w:p w14:paraId="47FAD8D2" w14:textId="77777777" w:rsidR="00A220D4" w:rsidRPr="00872636" w:rsidRDefault="00A220D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(kg/m</w:t>
            </w:r>
            <w:r w:rsidRPr="00872636">
              <w:rPr>
                <w:rFonts w:ascii="Times New Roman" w:hAnsi="Times New Roman" w:cs="Times New Roman"/>
                <w:sz w:val="24"/>
                <w:szCs w:val="24"/>
                <w:vertAlign w:val="superscript"/>
              </w:rPr>
              <w:t>2</w:t>
            </w:r>
            <w:r w:rsidRPr="00872636">
              <w:rPr>
                <w:rFonts w:ascii="Times New Roman" w:hAnsi="Times New Roman" w:cs="Times New Roman"/>
                <w:sz w:val="24"/>
                <w:szCs w:val="24"/>
              </w:rPr>
              <w:t>)</w:t>
            </w:r>
          </w:p>
        </w:tc>
        <w:tc>
          <w:tcPr>
            <w:tcW w:w="1418" w:type="dxa"/>
            <w:tcBorders>
              <w:top w:val="single" w:sz="4" w:space="0" w:color="auto"/>
              <w:left w:val="nil"/>
              <w:bottom w:val="single" w:sz="4" w:space="0" w:color="auto"/>
              <w:right w:val="nil"/>
            </w:tcBorders>
            <w:vAlign w:val="center"/>
          </w:tcPr>
          <w:p w14:paraId="4502A946" w14:textId="3C9B91FB" w:rsidR="00A220D4" w:rsidRPr="00872636" w:rsidRDefault="00A220D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SEC</w:t>
            </w:r>
          </w:p>
          <w:p w14:paraId="278B24D1" w14:textId="0E14A0AE" w:rsidR="00A220D4" w:rsidRPr="00872636" w:rsidRDefault="00A220D4" w:rsidP="00872636">
            <w:pPr>
              <w:spacing w:after="0" w:line="276" w:lineRule="auto"/>
              <w:jc w:val="center"/>
              <w:rPr>
                <w:rFonts w:ascii="Times New Roman" w:hAnsi="Times New Roman" w:cs="Times New Roman"/>
                <w:sz w:val="24"/>
                <w:szCs w:val="24"/>
              </w:rPr>
            </w:pPr>
            <w:r w:rsidRPr="00872636">
              <w:rPr>
                <w:rFonts w:ascii="Times New Roman" w:hAnsi="Times New Roman" w:cs="Times New Roman"/>
                <w:sz w:val="24"/>
                <w:szCs w:val="24"/>
              </w:rPr>
              <w:t>(MJ/ton</w:t>
            </w:r>
            <w:r w:rsidR="009222E3" w:rsidRPr="00872636">
              <w:rPr>
                <w:rFonts w:ascii="Times New Roman" w:hAnsi="Times New Roman" w:cs="Times New Roman"/>
                <w:sz w:val="24"/>
                <w:szCs w:val="24"/>
              </w:rPr>
              <w:t>ne</w:t>
            </w:r>
            <w:r w:rsidRPr="00872636">
              <w:rPr>
                <w:rFonts w:ascii="Times New Roman" w:hAnsi="Times New Roman" w:cs="Times New Roman"/>
                <w:sz w:val="24"/>
                <w:szCs w:val="24"/>
              </w:rPr>
              <w:t>-km)</w:t>
            </w:r>
          </w:p>
        </w:tc>
      </w:tr>
      <w:tr w:rsidR="00A220D4" w:rsidRPr="007D699F" w14:paraId="0C020867" w14:textId="20101D60" w:rsidTr="00A220D4">
        <w:trPr>
          <w:trHeight w:val="227"/>
        </w:trPr>
        <w:tc>
          <w:tcPr>
            <w:tcW w:w="1600" w:type="dxa"/>
            <w:tcBorders>
              <w:top w:val="single" w:sz="4" w:space="0" w:color="auto"/>
              <w:left w:val="nil"/>
              <w:bottom w:val="nil"/>
              <w:right w:val="nil"/>
            </w:tcBorders>
            <w:tcMar>
              <w:top w:w="72" w:type="dxa"/>
              <w:left w:w="144" w:type="dxa"/>
              <w:bottom w:w="72" w:type="dxa"/>
              <w:right w:w="144" w:type="dxa"/>
            </w:tcMar>
            <w:vAlign w:val="center"/>
            <w:hideMark/>
          </w:tcPr>
          <w:p w14:paraId="6AB211F2" w14:textId="77777777" w:rsidR="00A220D4" w:rsidRPr="00872636" w:rsidRDefault="00A220D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Jet A</w:t>
            </w:r>
          </w:p>
        </w:tc>
        <w:tc>
          <w:tcPr>
            <w:tcW w:w="810" w:type="dxa"/>
            <w:tcBorders>
              <w:top w:val="single" w:sz="4" w:space="0" w:color="auto"/>
              <w:left w:val="nil"/>
              <w:bottom w:val="nil"/>
              <w:right w:val="nil"/>
            </w:tcBorders>
            <w:tcMar>
              <w:top w:w="72" w:type="dxa"/>
              <w:left w:w="144" w:type="dxa"/>
              <w:bottom w:w="72" w:type="dxa"/>
              <w:right w:w="144" w:type="dxa"/>
            </w:tcMar>
            <w:vAlign w:val="center"/>
            <w:hideMark/>
          </w:tcPr>
          <w:p w14:paraId="4C67523F"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72.25</w:t>
            </w:r>
          </w:p>
        </w:tc>
        <w:tc>
          <w:tcPr>
            <w:tcW w:w="1843" w:type="dxa"/>
            <w:tcBorders>
              <w:top w:val="single" w:sz="4" w:space="0" w:color="auto"/>
              <w:left w:val="nil"/>
              <w:bottom w:val="nil"/>
              <w:right w:val="nil"/>
            </w:tcBorders>
            <w:tcMar>
              <w:top w:w="72" w:type="dxa"/>
              <w:left w:w="144" w:type="dxa"/>
              <w:bottom w:w="72" w:type="dxa"/>
              <w:right w:w="144" w:type="dxa"/>
            </w:tcMar>
            <w:vAlign w:val="center"/>
            <w:hideMark/>
          </w:tcPr>
          <w:p w14:paraId="32CB12DB"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29,484</w:t>
            </w:r>
          </w:p>
        </w:tc>
        <w:tc>
          <w:tcPr>
            <w:tcW w:w="1559" w:type="dxa"/>
            <w:tcBorders>
              <w:top w:val="single" w:sz="4" w:space="0" w:color="auto"/>
              <w:left w:val="nil"/>
              <w:bottom w:val="nil"/>
              <w:right w:val="nil"/>
            </w:tcBorders>
            <w:tcMar>
              <w:top w:w="72" w:type="dxa"/>
              <w:left w:w="144" w:type="dxa"/>
              <w:bottom w:w="72" w:type="dxa"/>
              <w:right w:w="144" w:type="dxa"/>
            </w:tcMar>
            <w:vAlign w:val="center"/>
            <w:hideMark/>
          </w:tcPr>
          <w:p w14:paraId="339F187A"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1,208</w:t>
            </w:r>
          </w:p>
        </w:tc>
        <w:tc>
          <w:tcPr>
            <w:tcW w:w="1418" w:type="dxa"/>
            <w:tcBorders>
              <w:top w:val="single" w:sz="4" w:space="0" w:color="auto"/>
              <w:left w:val="nil"/>
              <w:bottom w:val="nil"/>
              <w:right w:val="nil"/>
            </w:tcBorders>
            <w:tcMar>
              <w:top w:w="72" w:type="dxa"/>
              <w:left w:w="144" w:type="dxa"/>
              <w:bottom w:w="72" w:type="dxa"/>
              <w:right w:w="144" w:type="dxa"/>
            </w:tcMar>
            <w:vAlign w:val="center"/>
            <w:hideMark/>
          </w:tcPr>
          <w:p w14:paraId="797ACDA5"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2,445</w:t>
            </w:r>
          </w:p>
        </w:tc>
        <w:tc>
          <w:tcPr>
            <w:tcW w:w="1275" w:type="dxa"/>
            <w:tcBorders>
              <w:top w:val="single" w:sz="4" w:space="0" w:color="auto"/>
              <w:left w:val="nil"/>
              <w:bottom w:val="nil"/>
              <w:right w:val="nil"/>
            </w:tcBorders>
            <w:hideMark/>
          </w:tcPr>
          <w:p w14:paraId="77301E29"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679.6</w:t>
            </w:r>
          </w:p>
        </w:tc>
        <w:tc>
          <w:tcPr>
            <w:tcW w:w="1418" w:type="dxa"/>
            <w:tcBorders>
              <w:top w:val="single" w:sz="4" w:space="0" w:color="auto"/>
              <w:left w:val="nil"/>
              <w:bottom w:val="nil"/>
              <w:right w:val="nil"/>
            </w:tcBorders>
            <w:vAlign w:val="center"/>
          </w:tcPr>
          <w:p w14:paraId="2543AF3D" w14:textId="20F983D0"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color w:val="000000"/>
                <w:sz w:val="24"/>
                <w:szCs w:val="24"/>
              </w:rPr>
              <w:t>10.17</w:t>
            </w:r>
          </w:p>
        </w:tc>
      </w:tr>
      <w:tr w:rsidR="00A220D4" w:rsidRPr="007D699F" w14:paraId="71E83C60" w14:textId="30A675F4" w:rsidTr="00A220D4">
        <w:trPr>
          <w:trHeight w:val="227"/>
        </w:trPr>
        <w:tc>
          <w:tcPr>
            <w:tcW w:w="1600" w:type="dxa"/>
            <w:tcMar>
              <w:top w:w="72" w:type="dxa"/>
              <w:left w:w="144" w:type="dxa"/>
              <w:bottom w:w="72" w:type="dxa"/>
              <w:right w:w="144" w:type="dxa"/>
            </w:tcMar>
            <w:vAlign w:val="center"/>
            <w:hideMark/>
          </w:tcPr>
          <w:p w14:paraId="4509147C" w14:textId="77777777" w:rsidR="00A220D4" w:rsidRPr="00872636" w:rsidRDefault="00A220D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100% SPK</w:t>
            </w:r>
          </w:p>
        </w:tc>
        <w:tc>
          <w:tcPr>
            <w:tcW w:w="810" w:type="dxa"/>
            <w:tcMar>
              <w:top w:w="72" w:type="dxa"/>
              <w:left w:w="144" w:type="dxa"/>
              <w:bottom w:w="72" w:type="dxa"/>
              <w:right w:w="144" w:type="dxa"/>
            </w:tcMar>
            <w:vAlign w:val="center"/>
            <w:hideMark/>
          </w:tcPr>
          <w:p w14:paraId="0863B450"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72.5</w:t>
            </w:r>
          </w:p>
        </w:tc>
        <w:tc>
          <w:tcPr>
            <w:tcW w:w="1843" w:type="dxa"/>
            <w:tcMar>
              <w:top w:w="72" w:type="dxa"/>
              <w:left w:w="144" w:type="dxa"/>
              <w:bottom w:w="72" w:type="dxa"/>
              <w:right w:w="144" w:type="dxa"/>
            </w:tcMar>
            <w:vAlign w:val="center"/>
            <w:hideMark/>
          </w:tcPr>
          <w:p w14:paraId="74091DAD"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color w:val="000000"/>
                <w:sz w:val="24"/>
                <w:szCs w:val="24"/>
              </w:rPr>
              <w:t>29,596</w:t>
            </w:r>
          </w:p>
        </w:tc>
        <w:tc>
          <w:tcPr>
            <w:tcW w:w="1559" w:type="dxa"/>
            <w:tcMar>
              <w:top w:w="72" w:type="dxa"/>
              <w:left w:w="144" w:type="dxa"/>
              <w:bottom w:w="72" w:type="dxa"/>
              <w:right w:w="144" w:type="dxa"/>
            </w:tcMar>
            <w:vAlign w:val="center"/>
            <w:hideMark/>
          </w:tcPr>
          <w:p w14:paraId="1CC47408"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color w:val="000000"/>
                <w:sz w:val="24"/>
                <w:szCs w:val="24"/>
              </w:rPr>
              <w:t>1,212</w:t>
            </w:r>
          </w:p>
        </w:tc>
        <w:tc>
          <w:tcPr>
            <w:tcW w:w="1418" w:type="dxa"/>
            <w:tcMar>
              <w:top w:w="72" w:type="dxa"/>
              <w:left w:w="144" w:type="dxa"/>
              <w:bottom w:w="72" w:type="dxa"/>
              <w:right w:w="144" w:type="dxa"/>
            </w:tcMar>
            <w:vAlign w:val="center"/>
            <w:hideMark/>
          </w:tcPr>
          <w:p w14:paraId="37A405E3"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color w:val="000000"/>
                <w:sz w:val="24"/>
                <w:szCs w:val="24"/>
              </w:rPr>
              <w:t>2,450</w:t>
            </w:r>
          </w:p>
        </w:tc>
        <w:tc>
          <w:tcPr>
            <w:tcW w:w="1275" w:type="dxa"/>
            <w:hideMark/>
          </w:tcPr>
          <w:p w14:paraId="2A82AB09" w14:textId="77777777" w:rsidR="00A220D4" w:rsidRPr="00872636" w:rsidRDefault="00A220D4" w:rsidP="00872636">
            <w:pPr>
              <w:spacing w:after="0"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674.0</w:t>
            </w:r>
          </w:p>
        </w:tc>
        <w:tc>
          <w:tcPr>
            <w:tcW w:w="1418" w:type="dxa"/>
            <w:vAlign w:val="center"/>
          </w:tcPr>
          <w:p w14:paraId="7D07CD5B" w14:textId="1F427943" w:rsidR="00A220D4" w:rsidRPr="00872636" w:rsidRDefault="00A220D4" w:rsidP="00872636">
            <w:pPr>
              <w:spacing w:after="0"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10.15</w:t>
            </w:r>
          </w:p>
        </w:tc>
      </w:tr>
      <w:tr w:rsidR="00A220D4" w:rsidRPr="007D699F" w14:paraId="6C34815F" w14:textId="2F5E1359" w:rsidTr="00A220D4">
        <w:trPr>
          <w:trHeight w:val="227"/>
        </w:trPr>
        <w:tc>
          <w:tcPr>
            <w:tcW w:w="1600" w:type="dxa"/>
            <w:tcMar>
              <w:top w:w="72" w:type="dxa"/>
              <w:left w:w="144" w:type="dxa"/>
              <w:bottom w:w="72" w:type="dxa"/>
              <w:right w:w="144" w:type="dxa"/>
            </w:tcMar>
            <w:vAlign w:val="center"/>
            <w:hideMark/>
          </w:tcPr>
          <w:p w14:paraId="75613358" w14:textId="77777777" w:rsidR="00A220D4" w:rsidRPr="00872636" w:rsidRDefault="00A220D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LH</w:t>
            </w:r>
            <w:r w:rsidRPr="00872636">
              <w:rPr>
                <w:rFonts w:ascii="Times New Roman" w:hAnsi="Times New Roman" w:cs="Times New Roman"/>
                <w:sz w:val="24"/>
                <w:szCs w:val="24"/>
                <w:vertAlign w:val="subscript"/>
              </w:rPr>
              <w:t>2</w:t>
            </w:r>
          </w:p>
        </w:tc>
        <w:tc>
          <w:tcPr>
            <w:tcW w:w="810" w:type="dxa"/>
            <w:tcMar>
              <w:top w:w="72" w:type="dxa"/>
              <w:left w:w="144" w:type="dxa"/>
              <w:bottom w:w="72" w:type="dxa"/>
              <w:right w:w="144" w:type="dxa"/>
            </w:tcMar>
            <w:vAlign w:val="center"/>
            <w:hideMark/>
          </w:tcPr>
          <w:p w14:paraId="2CFBBC91"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99.12</w:t>
            </w:r>
          </w:p>
        </w:tc>
        <w:tc>
          <w:tcPr>
            <w:tcW w:w="1843" w:type="dxa"/>
            <w:tcMar>
              <w:top w:w="72" w:type="dxa"/>
              <w:left w:w="144" w:type="dxa"/>
              <w:bottom w:w="72" w:type="dxa"/>
              <w:right w:w="144" w:type="dxa"/>
            </w:tcMar>
            <w:vAlign w:val="center"/>
            <w:hideMark/>
          </w:tcPr>
          <w:p w14:paraId="507DDB6B"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color w:val="000000"/>
                <w:sz w:val="24"/>
                <w:szCs w:val="24"/>
              </w:rPr>
              <w:t>41,749</w:t>
            </w:r>
          </w:p>
        </w:tc>
        <w:tc>
          <w:tcPr>
            <w:tcW w:w="1559" w:type="dxa"/>
            <w:tcMar>
              <w:top w:w="72" w:type="dxa"/>
              <w:left w:w="144" w:type="dxa"/>
              <w:bottom w:w="72" w:type="dxa"/>
              <w:right w:w="144" w:type="dxa"/>
            </w:tcMar>
            <w:vAlign w:val="center"/>
            <w:hideMark/>
          </w:tcPr>
          <w:p w14:paraId="0757826C"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color w:val="000000"/>
                <w:sz w:val="24"/>
                <w:szCs w:val="24"/>
              </w:rPr>
              <w:t>1,710</w:t>
            </w:r>
          </w:p>
        </w:tc>
        <w:tc>
          <w:tcPr>
            <w:tcW w:w="1418" w:type="dxa"/>
            <w:tcMar>
              <w:top w:w="72" w:type="dxa"/>
              <w:left w:w="144" w:type="dxa"/>
              <w:bottom w:w="72" w:type="dxa"/>
              <w:right w:w="144" w:type="dxa"/>
            </w:tcMar>
            <w:vAlign w:val="center"/>
            <w:hideMark/>
          </w:tcPr>
          <w:p w14:paraId="433327F3"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color w:val="000000"/>
                <w:sz w:val="24"/>
                <w:szCs w:val="24"/>
              </w:rPr>
              <w:t>2,948</w:t>
            </w:r>
          </w:p>
        </w:tc>
        <w:tc>
          <w:tcPr>
            <w:tcW w:w="1275" w:type="dxa"/>
            <w:hideMark/>
          </w:tcPr>
          <w:p w14:paraId="1C907065" w14:textId="77777777" w:rsidR="00A220D4" w:rsidRPr="00872636" w:rsidRDefault="00A220D4" w:rsidP="00872636">
            <w:pPr>
              <w:spacing w:after="0"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577.5</w:t>
            </w:r>
          </w:p>
        </w:tc>
        <w:tc>
          <w:tcPr>
            <w:tcW w:w="1418" w:type="dxa"/>
            <w:vAlign w:val="center"/>
          </w:tcPr>
          <w:p w14:paraId="4718F767" w14:textId="5432C9BE" w:rsidR="00A220D4" w:rsidRPr="00872636" w:rsidRDefault="00A220D4" w:rsidP="00872636">
            <w:pPr>
              <w:spacing w:after="0"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11.28</w:t>
            </w:r>
          </w:p>
        </w:tc>
      </w:tr>
      <w:tr w:rsidR="00A220D4" w:rsidRPr="007D699F" w14:paraId="3BA05F13" w14:textId="23D7FB7E" w:rsidTr="00A220D4">
        <w:trPr>
          <w:trHeight w:val="227"/>
        </w:trPr>
        <w:tc>
          <w:tcPr>
            <w:tcW w:w="1600" w:type="dxa"/>
            <w:tcMar>
              <w:top w:w="72" w:type="dxa"/>
              <w:left w:w="144" w:type="dxa"/>
              <w:bottom w:w="72" w:type="dxa"/>
              <w:right w:w="144" w:type="dxa"/>
            </w:tcMar>
            <w:vAlign w:val="center"/>
            <w:hideMark/>
          </w:tcPr>
          <w:p w14:paraId="3553F992" w14:textId="77777777" w:rsidR="00A220D4" w:rsidRPr="00872636" w:rsidRDefault="00A220D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LNG C1</w:t>
            </w:r>
          </w:p>
        </w:tc>
        <w:tc>
          <w:tcPr>
            <w:tcW w:w="810" w:type="dxa"/>
            <w:tcMar>
              <w:top w:w="72" w:type="dxa"/>
              <w:left w:w="144" w:type="dxa"/>
              <w:bottom w:w="72" w:type="dxa"/>
              <w:right w:w="144" w:type="dxa"/>
            </w:tcMar>
            <w:vAlign w:val="center"/>
            <w:hideMark/>
          </w:tcPr>
          <w:p w14:paraId="719A2AC8"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80.65</w:t>
            </w:r>
          </w:p>
        </w:tc>
        <w:tc>
          <w:tcPr>
            <w:tcW w:w="1843" w:type="dxa"/>
            <w:tcMar>
              <w:top w:w="72" w:type="dxa"/>
              <w:left w:w="144" w:type="dxa"/>
              <w:bottom w:w="72" w:type="dxa"/>
              <w:right w:w="144" w:type="dxa"/>
            </w:tcMar>
            <w:vAlign w:val="center"/>
            <w:hideMark/>
          </w:tcPr>
          <w:p w14:paraId="42682534"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color w:val="000000"/>
                <w:sz w:val="24"/>
                <w:szCs w:val="24"/>
              </w:rPr>
              <w:t>33,315</w:t>
            </w:r>
          </w:p>
        </w:tc>
        <w:tc>
          <w:tcPr>
            <w:tcW w:w="1559" w:type="dxa"/>
            <w:tcMar>
              <w:top w:w="72" w:type="dxa"/>
              <w:left w:w="144" w:type="dxa"/>
              <w:bottom w:w="72" w:type="dxa"/>
              <w:right w:w="144" w:type="dxa"/>
            </w:tcMar>
            <w:vAlign w:val="center"/>
            <w:hideMark/>
          </w:tcPr>
          <w:p w14:paraId="3068211F"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color w:val="000000"/>
                <w:sz w:val="24"/>
                <w:szCs w:val="24"/>
              </w:rPr>
              <w:t>1,365</w:t>
            </w:r>
          </w:p>
        </w:tc>
        <w:tc>
          <w:tcPr>
            <w:tcW w:w="1418" w:type="dxa"/>
            <w:tcMar>
              <w:top w:w="72" w:type="dxa"/>
              <w:left w:w="144" w:type="dxa"/>
              <w:bottom w:w="72" w:type="dxa"/>
              <w:right w:w="144" w:type="dxa"/>
            </w:tcMar>
            <w:vAlign w:val="center"/>
            <w:hideMark/>
          </w:tcPr>
          <w:p w14:paraId="25CB64F3"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color w:val="000000"/>
                <w:sz w:val="24"/>
                <w:szCs w:val="24"/>
              </w:rPr>
              <w:t>2,602</w:t>
            </w:r>
          </w:p>
        </w:tc>
        <w:tc>
          <w:tcPr>
            <w:tcW w:w="1275" w:type="dxa"/>
            <w:hideMark/>
          </w:tcPr>
          <w:p w14:paraId="06EC8B15" w14:textId="77777777" w:rsidR="00A220D4" w:rsidRPr="00872636" w:rsidRDefault="00A220D4" w:rsidP="00872636">
            <w:pPr>
              <w:spacing w:after="0"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679.6</w:t>
            </w:r>
          </w:p>
        </w:tc>
        <w:tc>
          <w:tcPr>
            <w:tcW w:w="1418" w:type="dxa"/>
            <w:vAlign w:val="center"/>
          </w:tcPr>
          <w:p w14:paraId="2FD7D8C8" w14:textId="3B726606" w:rsidR="00A220D4" w:rsidRPr="00872636" w:rsidRDefault="00A220D4" w:rsidP="00872636">
            <w:pPr>
              <w:spacing w:after="0"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11.17</w:t>
            </w:r>
          </w:p>
        </w:tc>
      </w:tr>
      <w:tr w:rsidR="00A220D4" w:rsidRPr="007D699F" w14:paraId="5E798E78" w14:textId="06A4397E" w:rsidTr="00A220D4">
        <w:trPr>
          <w:trHeight w:val="227"/>
        </w:trPr>
        <w:tc>
          <w:tcPr>
            <w:tcW w:w="1600" w:type="dxa"/>
            <w:tcMar>
              <w:top w:w="72" w:type="dxa"/>
              <w:left w:w="144" w:type="dxa"/>
              <w:bottom w:w="72" w:type="dxa"/>
              <w:right w:w="144" w:type="dxa"/>
            </w:tcMar>
            <w:vAlign w:val="center"/>
            <w:hideMark/>
          </w:tcPr>
          <w:p w14:paraId="126C2975" w14:textId="77777777" w:rsidR="00A220D4" w:rsidRPr="00872636" w:rsidRDefault="00A220D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LNG C2</w:t>
            </w:r>
          </w:p>
        </w:tc>
        <w:tc>
          <w:tcPr>
            <w:tcW w:w="810" w:type="dxa"/>
            <w:tcMar>
              <w:top w:w="72" w:type="dxa"/>
              <w:left w:w="144" w:type="dxa"/>
              <w:bottom w:w="72" w:type="dxa"/>
              <w:right w:w="144" w:type="dxa"/>
            </w:tcMar>
            <w:vAlign w:val="center"/>
            <w:hideMark/>
          </w:tcPr>
          <w:p w14:paraId="5A7F20E7"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79.02</w:t>
            </w:r>
          </w:p>
        </w:tc>
        <w:tc>
          <w:tcPr>
            <w:tcW w:w="1843" w:type="dxa"/>
            <w:tcMar>
              <w:top w:w="72" w:type="dxa"/>
              <w:left w:w="144" w:type="dxa"/>
              <w:bottom w:w="72" w:type="dxa"/>
              <w:right w:w="144" w:type="dxa"/>
            </w:tcMar>
            <w:vAlign w:val="center"/>
            <w:hideMark/>
          </w:tcPr>
          <w:p w14:paraId="5A1E2EFC"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color w:val="000000"/>
                <w:sz w:val="24"/>
                <w:szCs w:val="24"/>
              </w:rPr>
              <w:t>32,572</w:t>
            </w:r>
          </w:p>
        </w:tc>
        <w:tc>
          <w:tcPr>
            <w:tcW w:w="1559" w:type="dxa"/>
            <w:tcMar>
              <w:top w:w="72" w:type="dxa"/>
              <w:left w:w="144" w:type="dxa"/>
              <w:bottom w:w="72" w:type="dxa"/>
              <w:right w:w="144" w:type="dxa"/>
            </w:tcMar>
            <w:vAlign w:val="center"/>
            <w:hideMark/>
          </w:tcPr>
          <w:p w14:paraId="52FD570E"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color w:val="000000"/>
                <w:sz w:val="24"/>
                <w:szCs w:val="24"/>
              </w:rPr>
              <w:t>1,334</w:t>
            </w:r>
          </w:p>
        </w:tc>
        <w:tc>
          <w:tcPr>
            <w:tcW w:w="1418" w:type="dxa"/>
            <w:tcMar>
              <w:top w:w="72" w:type="dxa"/>
              <w:left w:w="144" w:type="dxa"/>
              <w:bottom w:w="72" w:type="dxa"/>
              <w:right w:w="144" w:type="dxa"/>
            </w:tcMar>
            <w:vAlign w:val="center"/>
            <w:hideMark/>
          </w:tcPr>
          <w:p w14:paraId="5C01A84C"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color w:val="000000"/>
                <w:sz w:val="24"/>
                <w:szCs w:val="24"/>
              </w:rPr>
              <w:t>2,572</w:t>
            </w:r>
          </w:p>
        </w:tc>
        <w:tc>
          <w:tcPr>
            <w:tcW w:w="1275" w:type="dxa"/>
            <w:hideMark/>
          </w:tcPr>
          <w:p w14:paraId="46A2613F" w14:textId="77777777" w:rsidR="00A220D4" w:rsidRPr="00872636" w:rsidRDefault="00A220D4" w:rsidP="00872636">
            <w:pPr>
              <w:spacing w:after="0"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679.6</w:t>
            </w:r>
          </w:p>
        </w:tc>
        <w:tc>
          <w:tcPr>
            <w:tcW w:w="1418" w:type="dxa"/>
            <w:vAlign w:val="center"/>
          </w:tcPr>
          <w:p w14:paraId="653E392A" w14:textId="2EC0D284" w:rsidR="00A220D4" w:rsidRPr="00872636" w:rsidRDefault="00A220D4" w:rsidP="00872636">
            <w:pPr>
              <w:spacing w:after="0"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11.56</w:t>
            </w:r>
          </w:p>
        </w:tc>
      </w:tr>
      <w:tr w:rsidR="00A220D4" w:rsidRPr="007D699F" w14:paraId="2BEE581D" w14:textId="1F23E869" w:rsidTr="00A220D4">
        <w:trPr>
          <w:trHeight w:val="227"/>
        </w:trPr>
        <w:tc>
          <w:tcPr>
            <w:tcW w:w="1600" w:type="dxa"/>
            <w:tcMar>
              <w:top w:w="72" w:type="dxa"/>
              <w:left w:w="144" w:type="dxa"/>
              <w:bottom w:w="72" w:type="dxa"/>
              <w:right w:w="144" w:type="dxa"/>
            </w:tcMar>
            <w:vAlign w:val="center"/>
            <w:hideMark/>
          </w:tcPr>
          <w:p w14:paraId="785B709A" w14:textId="77777777" w:rsidR="00A220D4" w:rsidRPr="00872636" w:rsidRDefault="00A220D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LNH</w:t>
            </w:r>
            <w:r w:rsidRPr="00872636">
              <w:rPr>
                <w:rFonts w:ascii="Times New Roman" w:hAnsi="Times New Roman" w:cs="Times New Roman"/>
                <w:sz w:val="24"/>
                <w:szCs w:val="24"/>
                <w:vertAlign w:val="subscript"/>
              </w:rPr>
              <w:t>3</w:t>
            </w:r>
          </w:p>
        </w:tc>
        <w:tc>
          <w:tcPr>
            <w:tcW w:w="810" w:type="dxa"/>
            <w:tcMar>
              <w:top w:w="72" w:type="dxa"/>
              <w:left w:w="144" w:type="dxa"/>
              <w:bottom w:w="72" w:type="dxa"/>
              <w:right w:w="144" w:type="dxa"/>
            </w:tcMar>
            <w:vAlign w:val="center"/>
            <w:hideMark/>
          </w:tcPr>
          <w:p w14:paraId="66FBAA12"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77.3</w:t>
            </w:r>
          </w:p>
        </w:tc>
        <w:tc>
          <w:tcPr>
            <w:tcW w:w="1843" w:type="dxa"/>
            <w:tcMar>
              <w:top w:w="72" w:type="dxa"/>
              <w:left w:w="144" w:type="dxa"/>
              <w:bottom w:w="72" w:type="dxa"/>
              <w:right w:w="144" w:type="dxa"/>
            </w:tcMar>
            <w:vAlign w:val="center"/>
            <w:hideMark/>
          </w:tcPr>
          <w:p w14:paraId="5FB8648E"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color w:val="000000"/>
                <w:sz w:val="24"/>
                <w:szCs w:val="24"/>
              </w:rPr>
              <w:t>31,785</w:t>
            </w:r>
          </w:p>
        </w:tc>
        <w:tc>
          <w:tcPr>
            <w:tcW w:w="1559" w:type="dxa"/>
            <w:tcMar>
              <w:top w:w="72" w:type="dxa"/>
              <w:left w:w="144" w:type="dxa"/>
              <w:bottom w:w="72" w:type="dxa"/>
              <w:right w:w="144" w:type="dxa"/>
            </w:tcMar>
            <w:vAlign w:val="center"/>
            <w:hideMark/>
          </w:tcPr>
          <w:p w14:paraId="3FF68AA1"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color w:val="000000"/>
                <w:sz w:val="24"/>
                <w:szCs w:val="24"/>
              </w:rPr>
              <w:t>1,302</w:t>
            </w:r>
          </w:p>
        </w:tc>
        <w:tc>
          <w:tcPr>
            <w:tcW w:w="1418" w:type="dxa"/>
            <w:tcMar>
              <w:top w:w="72" w:type="dxa"/>
              <w:left w:w="144" w:type="dxa"/>
              <w:bottom w:w="72" w:type="dxa"/>
              <w:right w:w="144" w:type="dxa"/>
            </w:tcMar>
            <w:vAlign w:val="center"/>
            <w:hideMark/>
          </w:tcPr>
          <w:p w14:paraId="703123AB"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color w:val="000000"/>
                <w:sz w:val="24"/>
                <w:szCs w:val="24"/>
              </w:rPr>
              <w:t>2,539</w:t>
            </w:r>
          </w:p>
        </w:tc>
        <w:tc>
          <w:tcPr>
            <w:tcW w:w="1275" w:type="dxa"/>
            <w:hideMark/>
          </w:tcPr>
          <w:p w14:paraId="28324784" w14:textId="77777777" w:rsidR="00A220D4" w:rsidRPr="00872636" w:rsidRDefault="00A220D4" w:rsidP="00872636">
            <w:pPr>
              <w:spacing w:after="0"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679.6</w:t>
            </w:r>
          </w:p>
        </w:tc>
        <w:tc>
          <w:tcPr>
            <w:tcW w:w="1418" w:type="dxa"/>
            <w:vAlign w:val="center"/>
          </w:tcPr>
          <w:p w14:paraId="3F97CA0E" w14:textId="3658DFBB" w:rsidR="00A220D4" w:rsidRPr="00872636" w:rsidRDefault="00A220D4" w:rsidP="00872636">
            <w:pPr>
              <w:spacing w:after="0"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13.51</w:t>
            </w:r>
          </w:p>
        </w:tc>
      </w:tr>
      <w:tr w:rsidR="00A220D4" w:rsidRPr="007D699F" w14:paraId="0A4C27CE" w14:textId="3D2F409F" w:rsidTr="00A220D4">
        <w:trPr>
          <w:trHeight w:val="227"/>
        </w:trPr>
        <w:tc>
          <w:tcPr>
            <w:tcW w:w="1600" w:type="dxa"/>
            <w:tcMar>
              <w:top w:w="72" w:type="dxa"/>
              <w:left w:w="144" w:type="dxa"/>
              <w:bottom w:w="72" w:type="dxa"/>
              <w:right w:w="144" w:type="dxa"/>
            </w:tcMar>
            <w:vAlign w:val="center"/>
            <w:hideMark/>
          </w:tcPr>
          <w:p w14:paraId="71B71D1C" w14:textId="77777777" w:rsidR="00A220D4" w:rsidRPr="00872636" w:rsidRDefault="00A220D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Methanol</w:t>
            </w:r>
          </w:p>
        </w:tc>
        <w:tc>
          <w:tcPr>
            <w:tcW w:w="810" w:type="dxa"/>
            <w:tcMar>
              <w:top w:w="72" w:type="dxa"/>
              <w:left w:w="144" w:type="dxa"/>
              <w:bottom w:w="72" w:type="dxa"/>
              <w:right w:w="144" w:type="dxa"/>
            </w:tcMar>
            <w:vAlign w:val="center"/>
            <w:hideMark/>
          </w:tcPr>
          <w:p w14:paraId="18E4AD71"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72.33</w:t>
            </w:r>
          </w:p>
        </w:tc>
        <w:tc>
          <w:tcPr>
            <w:tcW w:w="1843" w:type="dxa"/>
            <w:tcMar>
              <w:top w:w="72" w:type="dxa"/>
              <w:left w:w="144" w:type="dxa"/>
              <w:bottom w:w="72" w:type="dxa"/>
              <w:right w:w="144" w:type="dxa"/>
            </w:tcMar>
            <w:vAlign w:val="center"/>
            <w:hideMark/>
          </w:tcPr>
          <w:p w14:paraId="17DE7BAE"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color w:val="000000"/>
                <w:sz w:val="24"/>
                <w:szCs w:val="24"/>
              </w:rPr>
              <w:t>29,521</w:t>
            </w:r>
          </w:p>
        </w:tc>
        <w:tc>
          <w:tcPr>
            <w:tcW w:w="1559" w:type="dxa"/>
            <w:tcMar>
              <w:top w:w="72" w:type="dxa"/>
              <w:left w:w="144" w:type="dxa"/>
              <w:bottom w:w="72" w:type="dxa"/>
              <w:right w:w="144" w:type="dxa"/>
            </w:tcMar>
            <w:vAlign w:val="center"/>
            <w:hideMark/>
          </w:tcPr>
          <w:p w14:paraId="4D3B7B75"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color w:val="000000"/>
                <w:sz w:val="24"/>
                <w:szCs w:val="24"/>
              </w:rPr>
              <w:t>1,209</w:t>
            </w:r>
          </w:p>
        </w:tc>
        <w:tc>
          <w:tcPr>
            <w:tcW w:w="1418" w:type="dxa"/>
            <w:tcMar>
              <w:top w:w="72" w:type="dxa"/>
              <w:left w:w="144" w:type="dxa"/>
              <w:bottom w:w="72" w:type="dxa"/>
              <w:right w:w="144" w:type="dxa"/>
            </w:tcMar>
            <w:vAlign w:val="center"/>
            <w:hideMark/>
          </w:tcPr>
          <w:p w14:paraId="7DFC08A6"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color w:val="000000"/>
                <w:sz w:val="24"/>
                <w:szCs w:val="24"/>
              </w:rPr>
              <w:t>2,447</w:t>
            </w:r>
          </w:p>
        </w:tc>
        <w:tc>
          <w:tcPr>
            <w:tcW w:w="1275" w:type="dxa"/>
            <w:hideMark/>
          </w:tcPr>
          <w:p w14:paraId="48E4BDA4" w14:textId="77777777" w:rsidR="00A220D4" w:rsidRPr="00872636" w:rsidRDefault="00A220D4" w:rsidP="00872636">
            <w:pPr>
              <w:spacing w:after="0"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679.6</w:t>
            </w:r>
          </w:p>
        </w:tc>
        <w:tc>
          <w:tcPr>
            <w:tcW w:w="1418" w:type="dxa"/>
            <w:vAlign w:val="center"/>
          </w:tcPr>
          <w:p w14:paraId="58CEDCD1" w14:textId="0A8BD13E" w:rsidR="00A220D4" w:rsidRPr="00872636" w:rsidRDefault="00A220D4" w:rsidP="00872636">
            <w:pPr>
              <w:spacing w:after="0"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10.93</w:t>
            </w:r>
          </w:p>
        </w:tc>
      </w:tr>
      <w:tr w:rsidR="00A220D4" w:rsidRPr="007D699F" w14:paraId="7A14293B" w14:textId="12FA1B97" w:rsidTr="00A220D4">
        <w:trPr>
          <w:trHeight w:val="227"/>
        </w:trPr>
        <w:tc>
          <w:tcPr>
            <w:tcW w:w="1600" w:type="dxa"/>
            <w:tcBorders>
              <w:top w:val="nil"/>
              <w:left w:val="nil"/>
              <w:bottom w:val="single" w:sz="4" w:space="0" w:color="auto"/>
              <w:right w:val="nil"/>
            </w:tcBorders>
            <w:tcMar>
              <w:top w:w="72" w:type="dxa"/>
              <w:left w:w="144" w:type="dxa"/>
              <w:bottom w:w="72" w:type="dxa"/>
              <w:right w:w="144" w:type="dxa"/>
            </w:tcMar>
            <w:vAlign w:val="center"/>
            <w:hideMark/>
          </w:tcPr>
          <w:p w14:paraId="269FBA8B" w14:textId="77777777" w:rsidR="00A220D4" w:rsidRPr="00872636" w:rsidRDefault="00A220D4" w:rsidP="00872636">
            <w:pPr>
              <w:spacing w:after="0" w:line="276" w:lineRule="auto"/>
              <w:rPr>
                <w:rFonts w:ascii="Times New Roman" w:hAnsi="Times New Roman" w:cs="Times New Roman"/>
                <w:sz w:val="24"/>
                <w:szCs w:val="24"/>
              </w:rPr>
            </w:pPr>
            <w:r w:rsidRPr="00872636">
              <w:rPr>
                <w:rFonts w:ascii="Times New Roman" w:hAnsi="Times New Roman" w:cs="Times New Roman"/>
                <w:sz w:val="24"/>
                <w:szCs w:val="24"/>
              </w:rPr>
              <w:t>Ethanol</w:t>
            </w:r>
          </w:p>
        </w:tc>
        <w:tc>
          <w:tcPr>
            <w:tcW w:w="810" w:type="dxa"/>
            <w:tcBorders>
              <w:top w:val="nil"/>
              <w:left w:val="nil"/>
              <w:bottom w:val="single" w:sz="4" w:space="0" w:color="auto"/>
              <w:right w:val="nil"/>
            </w:tcBorders>
            <w:tcMar>
              <w:top w:w="72" w:type="dxa"/>
              <w:left w:w="144" w:type="dxa"/>
              <w:bottom w:w="72" w:type="dxa"/>
              <w:right w:w="144" w:type="dxa"/>
            </w:tcMar>
            <w:vAlign w:val="center"/>
            <w:hideMark/>
          </w:tcPr>
          <w:p w14:paraId="58C41C85"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sz w:val="24"/>
                <w:szCs w:val="24"/>
              </w:rPr>
              <w:t>72.35</w:t>
            </w:r>
          </w:p>
        </w:tc>
        <w:tc>
          <w:tcPr>
            <w:tcW w:w="1843" w:type="dxa"/>
            <w:tcBorders>
              <w:top w:val="nil"/>
              <w:left w:val="nil"/>
              <w:bottom w:val="single" w:sz="4" w:space="0" w:color="auto"/>
              <w:right w:val="nil"/>
            </w:tcBorders>
            <w:tcMar>
              <w:top w:w="72" w:type="dxa"/>
              <w:left w:w="144" w:type="dxa"/>
              <w:bottom w:w="72" w:type="dxa"/>
              <w:right w:w="144" w:type="dxa"/>
            </w:tcMar>
            <w:vAlign w:val="center"/>
            <w:hideMark/>
          </w:tcPr>
          <w:p w14:paraId="7686F2BB"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color w:val="000000"/>
                <w:sz w:val="24"/>
                <w:szCs w:val="24"/>
              </w:rPr>
              <w:t>29,527</w:t>
            </w:r>
          </w:p>
        </w:tc>
        <w:tc>
          <w:tcPr>
            <w:tcW w:w="1559" w:type="dxa"/>
            <w:tcBorders>
              <w:top w:val="nil"/>
              <w:left w:val="nil"/>
              <w:bottom w:val="single" w:sz="4" w:space="0" w:color="auto"/>
              <w:right w:val="nil"/>
            </w:tcBorders>
            <w:tcMar>
              <w:top w:w="72" w:type="dxa"/>
              <w:left w:w="144" w:type="dxa"/>
              <w:bottom w:w="72" w:type="dxa"/>
              <w:right w:w="144" w:type="dxa"/>
            </w:tcMar>
            <w:vAlign w:val="center"/>
            <w:hideMark/>
          </w:tcPr>
          <w:p w14:paraId="321AD6A9"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color w:val="000000"/>
                <w:sz w:val="24"/>
                <w:szCs w:val="24"/>
              </w:rPr>
              <w:t>1,210</w:t>
            </w:r>
          </w:p>
        </w:tc>
        <w:tc>
          <w:tcPr>
            <w:tcW w:w="1418" w:type="dxa"/>
            <w:tcBorders>
              <w:top w:val="nil"/>
              <w:left w:val="nil"/>
              <w:bottom w:val="single" w:sz="4" w:space="0" w:color="auto"/>
              <w:right w:val="nil"/>
            </w:tcBorders>
            <w:tcMar>
              <w:top w:w="72" w:type="dxa"/>
              <w:left w:w="144" w:type="dxa"/>
              <w:bottom w:w="72" w:type="dxa"/>
              <w:right w:w="144" w:type="dxa"/>
            </w:tcMar>
            <w:vAlign w:val="center"/>
            <w:hideMark/>
          </w:tcPr>
          <w:p w14:paraId="4AA9EC6F" w14:textId="77777777" w:rsidR="00A220D4" w:rsidRPr="00872636" w:rsidRDefault="00A220D4" w:rsidP="00872636">
            <w:pPr>
              <w:spacing w:after="0" w:line="276" w:lineRule="auto"/>
              <w:jc w:val="right"/>
              <w:rPr>
                <w:rFonts w:ascii="Times New Roman" w:hAnsi="Times New Roman" w:cs="Times New Roman"/>
                <w:sz w:val="24"/>
                <w:szCs w:val="24"/>
              </w:rPr>
            </w:pPr>
            <w:r w:rsidRPr="00872636">
              <w:rPr>
                <w:rFonts w:ascii="Times New Roman" w:hAnsi="Times New Roman" w:cs="Times New Roman"/>
                <w:color w:val="000000"/>
                <w:sz w:val="24"/>
                <w:szCs w:val="24"/>
              </w:rPr>
              <w:t>2,447</w:t>
            </w:r>
          </w:p>
        </w:tc>
        <w:tc>
          <w:tcPr>
            <w:tcW w:w="1275" w:type="dxa"/>
            <w:tcBorders>
              <w:top w:val="nil"/>
              <w:left w:val="nil"/>
              <w:bottom w:val="single" w:sz="4" w:space="0" w:color="auto"/>
              <w:right w:val="nil"/>
            </w:tcBorders>
            <w:hideMark/>
          </w:tcPr>
          <w:p w14:paraId="73E02C66" w14:textId="77777777" w:rsidR="00A220D4" w:rsidRPr="00872636" w:rsidRDefault="00A220D4" w:rsidP="00872636">
            <w:pPr>
              <w:spacing w:after="0"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679.6</w:t>
            </w:r>
          </w:p>
        </w:tc>
        <w:tc>
          <w:tcPr>
            <w:tcW w:w="1418" w:type="dxa"/>
            <w:tcBorders>
              <w:top w:val="nil"/>
              <w:left w:val="nil"/>
              <w:bottom w:val="single" w:sz="4" w:space="0" w:color="auto"/>
              <w:right w:val="nil"/>
            </w:tcBorders>
            <w:vAlign w:val="center"/>
          </w:tcPr>
          <w:p w14:paraId="20012548" w14:textId="30E6F5DD" w:rsidR="00A220D4" w:rsidRPr="00872636" w:rsidRDefault="00A220D4" w:rsidP="00872636">
            <w:pPr>
              <w:spacing w:after="0"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10.54</w:t>
            </w:r>
          </w:p>
        </w:tc>
      </w:tr>
    </w:tbl>
    <w:p w14:paraId="0242D489" w14:textId="60A21000" w:rsidR="00654376" w:rsidRPr="00872636" w:rsidRDefault="00654376" w:rsidP="00C525D8">
      <w:pPr>
        <w:spacing w:after="0" w:line="480" w:lineRule="auto"/>
        <w:jc w:val="both"/>
        <w:rPr>
          <w:rFonts w:ascii="Times New Roman" w:hAnsi="Times New Roman" w:cs="Times New Roman"/>
          <w:sz w:val="24"/>
          <w:szCs w:val="24"/>
        </w:rPr>
      </w:pPr>
      <w:r w:rsidRPr="00872636">
        <w:rPr>
          <w:rFonts w:ascii="Times New Roman" w:hAnsi="Times New Roman" w:cs="Times New Roman"/>
          <w:sz w:val="24"/>
          <w:szCs w:val="24"/>
        </w:rPr>
        <w:tab/>
        <w:t xml:space="preserve">In terms of absolute value, for a single decker 400 passenger aircraft with a design range of 14,000 km, the study by Verstraete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{"citationItems":[{"id":"ITEM-1","itemData":{"DOI":"10.1016/j.ijhydene.2015.04.055","ISSN":"03603199","abstract":"Hydrogen could provide a pathway to long-term sustainable aviation provided its use does not excessively penalise aircraft performance and energy efficiency. To assess the implications of hydrogen use in aviation a study on the energy efficiency of kerosene- and hydrogen-fuelled aircraft is presented. The investigation shows that the use of hydrogen for long-range operation can lead to an increase in energy efficiency of up to 12% compared to kerosene. For short-to-medium-range aircraft, on the other hand, the adoption of hydrogen leads to an increase in the mission energy requirement of 5-18%. Storing hydrogen on top of the cabin instead of in tanks located in front and aft of it has a considerable impact on the energy efficiency. The increased weight of the top tanks leads to an increase in energy use of 6 and 19% for the selected notional short-respectively medium-range aircraft.","author":[{"dropping-particle":"","family":"Verstraete","given":"D.","non-dropping-particle":"","parse-names":false,"suffix":""}],"container-title":"International Journal of Hydrogen Energy","id":"ITEM-1","issue":"23","issued":{"date-parts":[["2015","6","22"]]},"page":"7388-7394","publisher":"Elsevier Ltd","title":"On the energy efficiency of hydrogen-fuelled transport aircraft","type":"article-journal","volume":"40"},"uris":["http://www.mendeley.com/documents/?uuid=2925cc4c-1b67-3876-8842-b7c825d091c4"]}],"mendeley":{"formattedCitation":"[126]","plainTextFormattedCitation":"[126]","previouslyFormattedCitation":"[126]"},"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[126]</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finds that the LH</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rPr>
        <w:t xml:space="preserve"> aircraft (similar cryogenic tank </w:t>
      </w:r>
      <w:r w:rsidRPr="00872636">
        <w:rPr>
          <w:rFonts w:ascii="Times New Roman" w:hAnsi="Times New Roman" w:cs="Times New Roman"/>
          <w:i/>
          <w:iCs/>
          <w:sz w:val="24"/>
          <w:szCs w:val="24"/>
        </w:rPr>
        <w:t>η</w:t>
      </w:r>
      <w:r w:rsidRPr="00872636">
        <w:rPr>
          <w:rFonts w:ascii="Times New Roman" w:hAnsi="Times New Roman" w:cs="Times New Roman"/>
          <w:sz w:val="24"/>
          <w:szCs w:val="24"/>
        </w:rPr>
        <w:t xml:space="preserve">) fuselage length is greater than 95 m which is similar in magnitude to the finding of this work (of approximately 99 m). More design details of this single decker 400 passenger aircraft by Verstraete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{"citationItems":[{"id":"ITEM-1","itemData":{"DOI":"10.1016/j.ijhydene.2015.04.055","ISSN":"03603199","abstract":"Hydrogen could provide a pathway to long-term sustainable aviation provided its use does not excessively penalise aircraft performance and energy efficiency. To assess the implications of hydrogen use in aviation a study on the energy efficiency of kerosene- and hydrogen-fuelled aircraft is presented. The investigation shows that the use of hydrogen for long-range operation can lead to an increase in energy efficiency of up to 12% compared to kerosene. For short-to-medium-range aircraft, on the other hand, the adoption of hydrogen leads to an increase in the mission energy requirement of 5-18%. Storing hydrogen on top of the cabin instead of in tanks located in front and aft of it has a considerable impact on the energy efficiency. The increased weight of the top tanks leads to an increase in energy use of 6 and 19% for the selected notional short-respectively medium-range aircraft.","author":[{"dropping-particle":"","family":"Verstraete","given":"D.","non-dropping-particle":"","parse-names":false,"suffix":""}],"container-title":"International Journal of Hydrogen Energy","id":"ITEM-1","issue":"23","issued":{"date-parts":[["2015","6","22"]]},"page":"7388-7394","publisher":"Elsevier Ltd","title":"On the energy efficiency of hydrogen-fuelled transport aircraft","type":"article-journal","volume":"40"},"uris":["http://www.mendeley.com/documents/?uuid=2925cc4c-1b67-3876-8842-b7c825d091c4"]}],"mendeley":{"formattedCitation":"[126]","plainTextFormattedCitation":"[126]","previouslyFormattedCitation":"[126]"},"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[126]</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are not known limiting further comparison.</w:t>
      </w:r>
    </w:p>
    <w:p w14:paraId="58E043E4" w14:textId="64A2454B" w:rsidR="00654376" w:rsidRPr="00872636" w:rsidRDefault="00654376" w:rsidP="00C525D8">
      <w:pPr>
        <w:spacing w:after="0" w:line="480" w:lineRule="auto"/>
        <w:jc w:val="both"/>
        <w:rPr>
          <w:rFonts w:ascii="Times New Roman" w:hAnsi="Times New Roman" w:cs="Times New Roman"/>
          <w:sz w:val="24"/>
          <w:szCs w:val="24"/>
        </w:rPr>
      </w:pPr>
      <w:r w:rsidRPr="00872636">
        <w:rPr>
          <w:rFonts w:ascii="Times New Roman" w:hAnsi="Times New Roman" w:cs="Times New Roman"/>
          <w:sz w:val="24"/>
          <w:szCs w:val="24"/>
        </w:rPr>
        <w:tab/>
      </w:r>
      <w:r w:rsidRPr="00872636">
        <w:rPr>
          <w:rFonts w:ascii="Times New Roman" w:hAnsi="Times New Roman" w:cs="Times New Roman"/>
          <w:sz w:val="24"/>
          <w:szCs w:val="24"/>
          <w:lang w:eastAsia="en-GB"/>
        </w:rPr>
        <w:t xml:space="preserve">The cryogenic tank </w:t>
      </w:r>
      <w:r w:rsidRPr="00872636">
        <w:rPr>
          <w:rFonts w:ascii="Times New Roman" w:hAnsi="Times New Roman" w:cs="Times New Roman"/>
          <w:i/>
          <w:iCs/>
          <w:sz w:val="24"/>
          <w:szCs w:val="24"/>
          <w:lang w:eastAsia="en-GB"/>
        </w:rPr>
        <w:t>η</w:t>
      </w:r>
      <w:r w:rsidRPr="00872636">
        <w:rPr>
          <w:rFonts w:ascii="Times New Roman" w:hAnsi="Times New Roman" w:cs="Times New Roman"/>
          <w:sz w:val="24"/>
          <w:szCs w:val="24"/>
          <w:lang w:eastAsia="en-GB"/>
        </w:rPr>
        <w:t xml:space="preserve"> used by Brewer </w:t>
      </w:r>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{"citationItems":[{"id":"ITEM-1","itemData":{"DOI":"10.1201/9780203751480","ISBN":"9781351439794","abstract":"Liquid hydrogen is shown to be the ideal fuel for civil transport aircraft, as well as for many types of military aircraft. Hydrogen Aircraft Technology discusses the potential of hydrogen for subsonic, supersonic, and hypersonic applications. Designs with sample configurations of aircraft for all three speed categories are presented, in addition to performance comparisons to equivalent designs for aircraft using conventional kerosine-type fuel and configurations for aircraft using liquid methane fuel. Other topics discussed include conceptual designs of the principal elements of fuel containment systems required for cryogenic fuels, operational elements (e.g., pumps, valves, pressure regulators, heat exchangers, lines and fittings), modifications for turbine engines to maximize the benefit of hydrogen, safety aspects compared to kerosine and methane fueled designs, equipment and facility designs for servicing hydrogen-fueled aircraft, production methods for liquid hydrogen, and the environmental advantages for using liquid hydrogen. The book also presents a plan for conducting the necessary development of technology and introducing hydrogen fuel into the worldwide civil air transport industry. Hydrogen Aircraft Technology will provide fascinating reading for anyone interested in aircraft and hydrogen fuel designs.","author":[{"dropping-particle":"","family":"Brewer","given":"G. Daniel","non-dropping-particle":"","parse-names":false,"suffix":""}],"container-title":"Hydrogen Aircraft Technology","id":"ITEM-1","issued":{"date-parts":[["2017","1","1"]]},"number-of-pages":"1-432","publisher":"CRC Press","title":"Hydrogen aircraft technology","type":"book"},"uris":["http://www.mendeley.com/documents/?uuid=98dde589-563e-344e-842a-c8eac36971f0"]},{"id":"ITEM-2","itemData":{"DOI":"10.1016/j.ast.2019.105438","ISSN":"12709638","abstract":"LH2 fuel tanks are one of the main drivers in the development of a commercial airplane powered with hydrogen. This article discusses the implementation of liquid hydrogen fuel tanks in future commercial airplanes focusing on the sizing of the fuel tank structure and its behavior under critical loading conditions. Fuel tanks are sized according to the mission requirements and geometrical restrictions of a conventional mid-range commercial airplane. Critical loading cases for symmetrical maneuvers and landing conditions are estimated following EASA CS-25 airworthiness specifications for large airplanes. The stress distribution in each tank is evaluated using linear Finite Element Analysis (FEA) in MSC. NASTRAN/PATRAN to ensure that the structural design complies with strength and stiffness requirements","author":[{"dropping-particle":"","family":"Gomez","given":"Arturo","non-dropping-particle":"","parse-names":false,"suffix":""},{"dropping-particle":"","family":"Smith","given":"Howard","non-dropping-particle":"","parse-names":false,"suffix":""}],"container-title":"Aerospace Science and Technology","id":"ITEM-2","issued":{"date-parts":[["2019","12","1"]]},"page":"105438","publisher":"Elsevier Masson SAS","title":"Liquid hydrogen fuel tanks for commercial aviation: Structural sizing and stress analysis","type":"article-journal","volume":"95"},"uris":["http://www.mendeley.com/documents/?uuid=f26a5a65-f439-3539-80c3-e3a1374929ee"]},{"id":"ITEM-3","itemData":{"author":[{"dropping-particle":"","family":"Verstraete","given":"Dries","non-dropping-particle":"","parse-names":false,"suffix":""}],"id":"ITEM-3","issued":{"date-parts":[["2009"]]},"publisher":"Cranfield University","title":"The Potential of Liquid Hydrogen for long range aircraft propulsion","type":"report"},"uris":["http://www.mendeley.com/documents/?uuid=b6f425eb-0719-3b8b-955c-5bc2a00e9eb9"]}],"mendeley":{"formattedCitation":"[34], [86], [127]","plainTextFormattedCitation":"[34], [86], [127]","previouslyFormattedCitation":"[34], [86], [127]"},"properties":{"noteIndex":0},"schema":"https://github.com/citation-style-language/schema/raw/master/csl-citation.json"}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[34], [86], [127]</w:t>
      </w:r>
      <w:r w:rsidRPr="00872636">
        <w:rPr>
          <w:rFonts w:ascii="Times New Roman" w:hAnsi="Times New Roman" w:cs="Times New Roman"/>
          <w:sz w:val="24"/>
          <w:szCs w:val="24"/>
          <w:lang w:eastAsia="en-GB"/>
        </w:rPr>
        <w:fldChar w:fldCharType="end"/>
      </w:r>
      <w:r w:rsidRPr="00872636">
        <w:rPr>
          <w:rFonts w:ascii="Times New Roman" w:hAnsi="Times New Roman" w:cs="Times New Roman"/>
          <w:sz w:val="24"/>
          <w:szCs w:val="24"/>
          <w:lang w:eastAsia="en-GB"/>
        </w:rPr>
        <w:t xml:space="preserve"> (</w:t>
      </w:r>
      <w:r w:rsidRPr="00872636">
        <w:rPr>
          <w:rFonts w:ascii="Times New Roman" w:hAnsi="Times New Roman" w:cs="Times New Roman"/>
          <w:i/>
          <w:iCs/>
          <w:sz w:val="24"/>
          <w:szCs w:val="24"/>
          <w:lang w:eastAsia="en-GB"/>
        </w:rPr>
        <w:t>η</w:t>
      </w:r>
      <w:r w:rsidRPr="00872636">
        <w:rPr>
          <w:rFonts w:ascii="Times New Roman" w:hAnsi="Times New Roman" w:cs="Times New Roman"/>
          <w:sz w:val="24"/>
          <w:szCs w:val="24"/>
          <w:lang w:eastAsia="en-GB"/>
        </w:rPr>
        <w:t xml:space="preserve"> = 0.836) is of the similar order used in this work (</w:t>
      </w:r>
      <w:r w:rsidRPr="00872636">
        <w:rPr>
          <w:rFonts w:ascii="Times New Roman" w:hAnsi="Times New Roman" w:cs="Times New Roman"/>
          <w:i/>
          <w:iCs/>
          <w:sz w:val="24"/>
          <w:szCs w:val="24"/>
          <w:lang w:eastAsia="en-GB"/>
        </w:rPr>
        <w:t>η</w:t>
      </w:r>
      <w:r w:rsidRPr="00872636">
        <w:rPr>
          <w:rFonts w:ascii="Times New Roman" w:hAnsi="Times New Roman" w:cs="Times New Roman"/>
          <w:sz w:val="24"/>
          <w:szCs w:val="24"/>
          <w:lang w:eastAsia="en-GB"/>
        </w:rPr>
        <w:t xml:space="preserve"> = 0.78). </w:t>
      </w:r>
      <w:r w:rsidRPr="00872636">
        <w:rPr>
          <w:rFonts w:ascii="Times New Roman" w:hAnsi="Times New Roman" w:cs="Times New Roman"/>
          <w:sz w:val="24"/>
          <w:szCs w:val="24"/>
        </w:rPr>
        <w:t>A</w:t>
      </w:r>
      <w:r w:rsidRPr="00872636">
        <w:rPr>
          <w:rFonts w:ascii="Times New Roman" w:hAnsi="Times New Roman" w:cs="Times New Roman"/>
          <w:sz w:val="24"/>
          <w:szCs w:val="24"/>
          <w:lang w:eastAsia="en-GB"/>
        </w:rPr>
        <w:t xml:space="preserve">ccording to the book by Brewer </w:t>
      </w:r>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{"citationItems":[{"id":"ITEM-1","itemData":{"DOI":"10.1201/9780203751480","ISBN":"9781351439794","abstract":"Liquid hydrogen is shown to be the ideal fuel for civil transport aircraft, as well as for many types of military aircraft. Hydrogen Aircraft Technology discusses the potential of hydrogen for subsonic, supersonic, and hypersonic applications. Designs with sample configurations of aircraft for all three speed categories are presented, in addition to performance comparisons to equivalent designs for aircraft using conventional kerosine-type fuel and configurations for aircraft using liquid methane fuel. Other topics discussed include conceptual designs of the principal elements of fuel containment systems required for cryogenic fuels, operational elements (e.g., pumps, valves, pressure regulators, heat exchangers, lines and fittings), modifications for turbine engines to maximize the benefit of hydrogen, safety aspects compared to kerosine and methane fueled designs, equipment and facility designs for servicing hydrogen-fueled aircraft, production methods for liquid hydrogen, and the environmental advantages for using liquid hydrogen. The book also presents a plan for conducting the necessary development of technology and introducing hydrogen fuel into the worldwide civil air transport industry. Hydrogen Aircraft Technology will provide fascinating reading for anyone interested in aircraft and hydrogen fuel designs.","author":[{"dropping-particle":"","family":"Brewer","given":"G. Daniel","non-dropping-particle":"","parse-names":false,"suffix":""}],"container-title":"Hydrogen Aircraft Technology","id":"ITEM-1","issued":{"date-parts":[["2017","1","1"]]},"number-of-pages":"1-432","publisher":"CRC Press","title":"Hydrogen aircraft technology","type":"book"},"uris":["http://www.mendeley.com/documents/?uuid=98dde589-563e-344e-842a-c8eac36971f0"]}],"mendeley":{"formattedCitation":"[127]","plainTextFormattedCitation":"[127]","previouslyFormattedCitation":"[127]"},"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[127]</w:t>
      </w:r>
      <w:r w:rsidRPr="00872636">
        <w:rPr>
          <w:rFonts w:ascii="Times New Roman" w:hAnsi="Times New Roman" w:cs="Times New Roman"/>
          <w:sz w:val="24"/>
          <w:szCs w:val="24"/>
          <w:lang w:eastAsia="en-GB"/>
        </w:rPr>
        <w:fldChar w:fldCharType="end"/>
      </w:r>
      <w:r w:rsidRPr="00872636">
        <w:rPr>
          <w:rFonts w:ascii="Times New Roman" w:hAnsi="Times New Roman" w:cs="Times New Roman"/>
          <w:sz w:val="24"/>
          <w:szCs w:val="24"/>
          <w:lang w:eastAsia="en-GB"/>
        </w:rPr>
        <w:t>, the LH</w:t>
      </w:r>
      <w:r w:rsidRPr="00872636">
        <w:rPr>
          <w:rFonts w:ascii="Times New Roman" w:hAnsi="Times New Roman" w:cs="Times New Roman"/>
          <w:sz w:val="24"/>
          <w:szCs w:val="24"/>
          <w:vertAlign w:val="subscript"/>
          <w:lang w:eastAsia="en-GB"/>
        </w:rPr>
        <w:t>2</w:t>
      </w:r>
      <w:r w:rsidRPr="00872636">
        <w:rPr>
          <w:rFonts w:ascii="Times New Roman" w:hAnsi="Times New Roman" w:cs="Times New Roman"/>
          <w:sz w:val="24"/>
          <w:szCs w:val="24"/>
          <w:lang w:eastAsia="en-GB"/>
        </w:rPr>
        <w:t xml:space="preserve"> aircraft will have lower wing loading. Brewer </w:t>
      </w:r>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{"citationItems":[{"id":"ITEM-1","itemData":{"DOI":"10.1201/9780203751480","ISBN":"9781351439794","abstract":"Liquid hydrogen is shown to be the ideal fuel for civil transport aircraft, as well as for many types of military aircraft. Hydrogen Aircraft Technology discusses the potential of hydrogen for subsonic, supersonic, and hypersonic applications. Designs with sample configurations of aircraft for all three speed categories are presented, in addition to performance comparisons to equivalent designs for aircraft using conventional kerosine-type fuel and configurations for aircraft using liquid methane fuel. Other topics discussed include conceptual designs of the principal elements of fuel containment systems required for cryogenic fuels, operational elements (e.g., pumps, valves, pressure regulators, heat exchangers, lines and fittings), modifications for turbine engines to maximize the benefit of hydrogen, safety aspects compared to kerosine and methane fueled designs, equipment and facility designs for servicing hydrogen-fueled aircraft, production methods for liquid hydrogen, and the environmental advantages for using liquid hydrogen. The book also presents a plan for conducting the necessary development of technology and introducing hydrogen fuel into the worldwide civil air transport industry. Hydrogen Aircraft Technology will provide fascinating reading for anyone interested in aircraft and hydrogen fuel designs.","author":[{"dropping-particle":"","family":"Brewer","given":"G. Daniel","non-dropping-particle":"","parse-names":false,"suffix":""}],"container-title":"Hydrogen Aircraft Technology","id":"ITEM-1","issued":{"date-parts":[["2017","1","1"]]},"number-of-pages":"1-432","publisher":"CRC Press","title":"Hydrogen aircraft technology","type":"book"},"uris":["http://www.mendeley.com/documents/?uuid=98dde589-563e-344e-842a-c8eac36971f0"]},{"id":"ITEM-2","itemData":{"DOI":"10.1016/j.ast.2019.105438","ISSN":"12709638","abstract":"LH2 fuel tanks are one of the main drivers in the development of a commercial airplane powered with hydrogen. This article discusses the implementation of liquid hydrogen fuel tanks in future commercial airplanes focusing on the sizing of the fuel tank structure and its behavior under critical loading conditions. Fuel tanks are sized according to the mission requirements and geometrical restrictions of a conventional mid-range commercial airplane. Critical loading cases for symmetrical maneuvers and landing conditions are estimated following EASA CS-25 airworthiness specifications for large airplanes. The stress distribution in each tank is evaluated using linear Finite Element Analysis (FEA) in MSC. NASTRAN/PATRAN to ensure that the structural design complies with strength and stiffness requirements","author":[{"dropping-particle":"","family":"Gomez","given":"Arturo","non-dropping-particle":"","parse-names":false,"suffix":""},{"dropping-particle":"","family":"Smith","given":"Howard","non-dropping-particle":"","parse-names":false,"suffix":""}],"container-title":"Aerospace Science and Technology","id":"ITEM-2","issued":{"date-parts":[["2019","12","1"]]},"page":"105438","publisher":"Elsevier Masson SAS","title":"Liquid hydrogen fuel tanks for commercial aviation: Structural sizing and stress analysis","type":"article-journal","volume":"95"},"uris":["http://www.mendeley.com/documents/?uuid=f26a5a65-f439-3539-80c3-e3a1374929ee"]},{"id":"ITEM-3","itemData":{"author":[{"dropping-particle":"","family":"Verstraete","given":"Dries","non-dropping-particle":"","parse-names":false,"suffix":""}],"id":"ITEM-3","issued":{"date-parts":[["2009"]]},"publisher":"Cranfield University","title":"The Potential of Liquid Hydrogen for long range aircraft propulsion","type":"report"},"uris":["http://www.mendeley.com/documents/?uuid=b6f425eb-0719-3b8b-955c-5bc2a00e9eb9"]}],"mendeley":{"formattedCitation":"[34], [86], [127]","plainTextFormattedCitation":"[34], [86], [127]","previouslyFormattedCitation":"[34], [86], [127]"},"properties":{"noteIndex":0},"schema":"https://github.com/citation-style-language/schema/raw/master/csl-citation.json"}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[34], [86], [127]</w:t>
      </w:r>
      <w:r w:rsidRPr="00872636">
        <w:rPr>
          <w:rFonts w:ascii="Times New Roman" w:hAnsi="Times New Roman" w:cs="Times New Roman"/>
          <w:sz w:val="24"/>
          <w:szCs w:val="24"/>
          <w:lang w:eastAsia="en-GB"/>
        </w:rPr>
        <w:fldChar w:fldCharType="end"/>
      </w:r>
      <w:r w:rsidRPr="00872636">
        <w:rPr>
          <w:rFonts w:ascii="Times New Roman" w:hAnsi="Times New Roman" w:cs="Times New Roman"/>
          <w:sz w:val="24"/>
          <w:szCs w:val="24"/>
          <w:lang w:eastAsia="en-GB"/>
        </w:rPr>
        <w:t xml:space="preserve"> evaluates a double-decker 400 passenger LH</w:t>
      </w:r>
      <w:r w:rsidRPr="00872636">
        <w:rPr>
          <w:rFonts w:ascii="Times New Roman" w:hAnsi="Times New Roman" w:cs="Times New Roman"/>
          <w:sz w:val="24"/>
          <w:szCs w:val="24"/>
          <w:vertAlign w:val="subscript"/>
          <w:lang w:eastAsia="en-GB"/>
        </w:rPr>
        <w:t>2</w:t>
      </w:r>
      <w:r w:rsidRPr="00872636">
        <w:rPr>
          <w:rFonts w:ascii="Times New Roman" w:hAnsi="Times New Roman" w:cs="Times New Roman"/>
          <w:sz w:val="24"/>
          <w:szCs w:val="24"/>
          <w:lang w:eastAsia="en-GB"/>
        </w:rPr>
        <w:t xml:space="preserve"> aircraft (18,500 km range). The wing (area) is subjected to modifications (wing structural weight and loading). The </w:t>
      </w:r>
      <w:r w:rsidR="004C57DE" w:rsidRPr="007D699F">
        <w:rPr>
          <w:rFonts w:ascii="Times New Roman" w:hAnsi="Times New Roman" w:cs="Times New Roman"/>
          <w:sz w:val="24"/>
          <w:szCs w:val="24"/>
          <w:lang w:eastAsia="en-GB"/>
        </w:rPr>
        <w:t>wingspan</w:t>
      </w:r>
      <w:r w:rsidRPr="00872636">
        <w:rPr>
          <w:rFonts w:ascii="Times New Roman" w:hAnsi="Times New Roman" w:cs="Times New Roman"/>
          <w:sz w:val="24"/>
          <w:szCs w:val="24"/>
          <w:lang w:eastAsia="en-GB"/>
        </w:rPr>
        <w:t xml:space="preserve"> and wing area reduces from 87.7 m (Jet-A) to 66.2 m (LH</w:t>
      </w:r>
      <w:r w:rsidRPr="00872636">
        <w:rPr>
          <w:rFonts w:ascii="Times New Roman" w:hAnsi="Times New Roman" w:cs="Times New Roman"/>
          <w:sz w:val="24"/>
          <w:szCs w:val="24"/>
          <w:vertAlign w:val="subscript"/>
          <w:lang w:eastAsia="en-GB"/>
        </w:rPr>
        <w:t xml:space="preserve">2 </w:t>
      </w:r>
      <w:r w:rsidRPr="00872636">
        <w:rPr>
          <w:rFonts w:ascii="Times New Roman" w:hAnsi="Times New Roman" w:cs="Times New Roman"/>
          <w:sz w:val="24"/>
          <w:szCs w:val="24"/>
          <w:lang w:eastAsia="en-GB"/>
        </w:rPr>
        <w:t>fuel) and from 698.7 m</w:t>
      </w:r>
      <w:r w:rsidRPr="00872636">
        <w:rPr>
          <w:rFonts w:ascii="Times New Roman" w:hAnsi="Times New Roman" w:cs="Times New Roman"/>
          <w:sz w:val="24"/>
          <w:szCs w:val="24"/>
          <w:vertAlign w:val="superscript"/>
          <w:lang w:eastAsia="en-GB"/>
        </w:rPr>
        <w:t>2</w:t>
      </w:r>
      <w:r w:rsidRPr="00872636">
        <w:rPr>
          <w:rFonts w:ascii="Times New Roman" w:hAnsi="Times New Roman" w:cs="Times New Roman"/>
          <w:sz w:val="24"/>
          <w:szCs w:val="24"/>
          <w:lang w:eastAsia="en-GB"/>
        </w:rPr>
        <w:t xml:space="preserve"> (Jet-A) to 438.1 m</w:t>
      </w:r>
      <w:r w:rsidRPr="00872636">
        <w:rPr>
          <w:rFonts w:ascii="Times New Roman" w:hAnsi="Times New Roman" w:cs="Times New Roman"/>
          <w:sz w:val="24"/>
          <w:szCs w:val="24"/>
          <w:vertAlign w:val="superscript"/>
          <w:lang w:eastAsia="en-GB"/>
        </w:rPr>
        <w:t xml:space="preserve">2 </w:t>
      </w:r>
      <w:r w:rsidRPr="00872636">
        <w:rPr>
          <w:rFonts w:ascii="Times New Roman" w:hAnsi="Times New Roman" w:cs="Times New Roman"/>
          <w:sz w:val="24"/>
          <w:szCs w:val="24"/>
          <w:lang w:eastAsia="en-GB"/>
        </w:rPr>
        <w:t>(LH</w:t>
      </w:r>
      <w:r w:rsidRPr="00872636">
        <w:rPr>
          <w:rFonts w:ascii="Times New Roman" w:hAnsi="Times New Roman" w:cs="Times New Roman"/>
          <w:sz w:val="24"/>
          <w:szCs w:val="24"/>
          <w:vertAlign w:val="subscript"/>
          <w:lang w:eastAsia="en-GB"/>
        </w:rPr>
        <w:t xml:space="preserve">2 </w:t>
      </w:r>
      <w:r w:rsidRPr="00872636">
        <w:rPr>
          <w:rFonts w:ascii="Times New Roman" w:hAnsi="Times New Roman" w:cs="Times New Roman"/>
          <w:sz w:val="24"/>
          <w:szCs w:val="24"/>
          <w:lang w:eastAsia="en-GB"/>
        </w:rPr>
        <w:t>fuel), respectively. The aspect ratio (span</w:t>
      </w:r>
      <w:r w:rsidRPr="00872636">
        <w:rPr>
          <w:rFonts w:ascii="Times New Roman" w:hAnsi="Times New Roman" w:cs="Times New Roman"/>
          <w:sz w:val="24"/>
          <w:szCs w:val="24"/>
          <w:vertAlign w:val="superscript"/>
          <w:lang w:eastAsia="en-GB"/>
        </w:rPr>
        <w:t>2</w:t>
      </w:r>
      <w:r w:rsidRPr="00872636">
        <w:rPr>
          <w:rFonts w:ascii="Times New Roman" w:hAnsi="Times New Roman" w:cs="Times New Roman"/>
          <w:sz w:val="24"/>
          <w:szCs w:val="24"/>
          <w:lang w:eastAsia="en-GB"/>
        </w:rPr>
        <w:t>/ area) reduces from 11 (Jet-A) to 10 (LH</w:t>
      </w:r>
      <w:r w:rsidRPr="00872636">
        <w:rPr>
          <w:rFonts w:ascii="Times New Roman" w:hAnsi="Times New Roman" w:cs="Times New Roman"/>
          <w:sz w:val="24"/>
          <w:szCs w:val="24"/>
          <w:vertAlign w:val="subscript"/>
          <w:lang w:eastAsia="en-GB"/>
        </w:rPr>
        <w:t xml:space="preserve">2 </w:t>
      </w:r>
      <w:r w:rsidRPr="00872636">
        <w:rPr>
          <w:rFonts w:ascii="Times New Roman" w:hAnsi="Times New Roman" w:cs="Times New Roman"/>
          <w:sz w:val="24"/>
          <w:szCs w:val="24"/>
          <w:lang w:eastAsia="en-GB"/>
        </w:rPr>
        <w:t>fuel). The gross take-off weight of the Jet-A and LH</w:t>
      </w:r>
      <w:r w:rsidRPr="00872636">
        <w:rPr>
          <w:rFonts w:ascii="Times New Roman" w:hAnsi="Times New Roman" w:cs="Times New Roman"/>
          <w:sz w:val="24"/>
          <w:szCs w:val="24"/>
          <w:vertAlign w:val="subscript"/>
          <w:lang w:eastAsia="en-GB"/>
        </w:rPr>
        <w:t>2</w:t>
      </w:r>
      <w:r w:rsidRPr="00872636">
        <w:rPr>
          <w:rFonts w:ascii="Times New Roman" w:hAnsi="Times New Roman" w:cs="Times New Roman"/>
          <w:sz w:val="24"/>
          <w:szCs w:val="24"/>
          <w:lang w:eastAsia="en-GB"/>
        </w:rPr>
        <w:t xml:space="preserve"> </w:t>
      </w:r>
      <w:r w:rsidRPr="00872636">
        <w:rPr>
          <w:rFonts w:ascii="Times New Roman" w:hAnsi="Times New Roman" w:cs="Times New Roman"/>
          <w:sz w:val="24"/>
          <w:szCs w:val="24"/>
          <w:lang w:eastAsia="en-GB"/>
        </w:rPr>
        <w:lastRenderedPageBreak/>
        <w:t>aircraft are known to be 476,230 kg and 249,400 kg, respectively. The wing loading of the Jet-A and LH</w:t>
      </w:r>
      <w:r w:rsidRPr="00872636">
        <w:rPr>
          <w:rFonts w:ascii="Times New Roman" w:hAnsi="Times New Roman" w:cs="Times New Roman"/>
          <w:sz w:val="24"/>
          <w:szCs w:val="24"/>
          <w:vertAlign w:val="subscript"/>
          <w:lang w:eastAsia="en-GB"/>
        </w:rPr>
        <w:t>2</w:t>
      </w:r>
      <w:r w:rsidRPr="00872636">
        <w:rPr>
          <w:rFonts w:ascii="Times New Roman" w:hAnsi="Times New Roman" w:cs="Times New Roman"/>
          <w:sz w:val="24"/>
          <w:szCs w:val="24"/>
          <w:lang w:eastAsia="en-GB"/>
        </w:rPr>
        <w:t xml:space="preserve"> aircraft are calculated to be (476,230 kg/698.7 m</w:t>
      </w:r>
      <w:r w:rsidRPr="00872636">
        <w:rPr>
          <w:rFonts w:ascii="Times New Roman" w:hAnsi="Times New Roman" w:cs="Times New Roman"/>
          <w:sz w:val="24"/>
          <w:szCs w:val="24"/>
          <w:vertAlign w:val="superscript"/>
          <w:lang w:eastAsia="en-GB"/>
        </w:rPr>
        <w:t>2</w:t>
      </w:r>
      <w:r w:rsidRPr="00872636">
        <w:rPr>
          <w:rFonts w:ascii="Times New Roman" w:hAnsi="Times New Roman" w:cs="Times New Roman"/>
          <w:sz w:val="24"/>
          <w:szCs w:val="24"/>
          <w:lang w:eastAsia="en-GB"/>
        </w:rPr>
        <w:t xml:space="preserve"> =) 681.6 kg/m</w:t>
      </w:r>
      <w:r w:rsidRPr="00872636">
        <w:rPr>
          <w:rFonts w:ascii="Times New Roman" w:hAnsi="Times New Roman" w:cs="Times New Roman"/>
          <w:sz w:val="24"/>
          <w:szCs w:val="24"/>
          <w:vertAlign w:val="superscript"/>
          <w:lang w:eastAsia="en-GB"/>
        </w:rPr>
        <w:t>2</w:t>
      </w:r>
      <w:r w:rsidRPr="00872636">
        <w:rPr>
          <w:rFonts w:ascii="Times New Roman" w:hAnsi="Times New Roman" w:cs="Times New Roman"/>
          <w:sz w:val="24"/>
          <w:szCs w:val="24"/>
          <w:lang w:eastAsia="en-GB"/>
        </w:rPr>
        <w:t xml:space="preserve"> and (249,400 kg/438.1 m</w:t>
      </w:r>
      <w:r w:rsidRPr="00872636">
        <w:rPr>
          <w:rFonts w:ascii="Times New Roman" w:hAnsi="Times New Roman" w:cs="Times New Roman"/>
          <w:sz w:val="24"/>
          <w:szCs w:val="24"/>
          <w:vertAlign w:val="superscript"/>
          <w:lang w:eastAsia="en-GB"/>
        </w:rPr>
        <w:t xml:space="preserve">2 </w:t>
      </w:r>
      <w:r w:rsidRPr="00872636">
        <w:rPr>
          <w:rFonts w:ascii="Times New Roman" w:hAnsi="Times New Roman" w:cs="Times New Roman"/>
          <w:sz w:val="24"/>
          <w:szCs w:val="24"/>
          <w:lang w:eastAsia="en-GB"/>
        </w:rPr>
        <w:t>=) 569.3 kg/m</w:t>
      </w:r>
      <w:r w:rsidRPr="00872636">
        <w:rPr>
          <w:rFonts w:ascii="Times New Roman" w:hAnsi="Times New Roman" w:cs="Times New Roman"/>
          <w:sz w:val="24"/>
          <w:szCs w:val="24"/>
          <w:vertAlign w:val="superscript"/>
          <w:lang w:eastAsia="en-GB"/>
        </w:rPr>
        <w:t>2</w:t>
      </w:r>
      <w:r w:rsidRPr="00872636">
        <w:rPr>
          <w:rFonts w:ascii="Times New Roman" w:hAnsi="Times New Roman" w:cs="Times New Roman"/>
          <w:sz w:val="24"/>
          <w:szCs w:val="24"/>
          <w:lang w:eastAsia="en-GB"/>
        </w:rPr>
        <w:t>, respectively. Therefore, the wing loading of the double-decker 400 passenger LH</w:t>
      </w:r>
      <w:r w:rsidRPr="00872636">
        <w:rPr>
          <w:rFonts w:ascii="Times New Roman" w:hAnsi="Times New Roman" w:cs="Times New Roman"/>
          <w:sz w:val="24"/>
          <w:szCs w:val="24"/>
          <w:vertAlign w:val="subscript"/>
          <w:lang w:eastAsia="en-GB"/>
        </w:rPr>
        <w:t>2</w:t>
      </w:r>
      <w:r w:rsidRPr="00872636">
        <w:rPr>
          <w:rFonts w:ascii="Times New Roman" w:hAnsi="Times New Roman" w:cs="Times New Roman"/>
          <w:sz w:val="24"/>
          <w:szCs w:val="24"/>
          <w:lang w:eastAsia="en-GB"/>
        </w:rPr>
        <w:t xml:space="preserve"> aircraft (18,500 km range) evaluated by Brewer </w:t>
      </w:r>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{"citationItems":[{"id":"ITEM-1","itemData":{"DOI":"10.1201/9780203751480","ISBN":"9781351439794","abstract":"Liquid hydrogen is shown to be the ideal fuel for civil transport aircraft, as well as for many types of military aircraft. Hydrogen Aircraft Technology discusses the potential of hydrogen for subsonic, supersonic, and hypersonic applications. Designs with sample configurations of aircraft for all three speed categories are presented, in addition to performance comparisons to equivalent designs for aircraft using conventional kerosine-type fuel and configurations for aircraft using liquid methane fuel. Other topics discussed include conceptual designs of the principal elements of fuel containment systems required for cryogenic fuels, operational elements (e.g., pumps, valves, pressure regulators, heat exchangers, lines and fittings), modifications for turbine engines to maximize the benefit of hydrogen, safety aspects compared to kerosine and methane fueled designs, equipment and facility designs for servicing hydrogen-fueled aircraft, production methods for liquid hydrogen, and the environmental advantages for using liquid hydrogen. The book also presents a plan for conducting the necessary development of technology and introducing hydrogen fuel into the worldwide civil air transport industry. Hydrogen Aircraft Technology will provide fascinating reading for anyone interested in aircraft and hydrogen fuel designs.","author":[{"dropping-particle":"","family":"Brewer","given":"G. Daniel","non-dropping-particle":"","parse-names":false,"suffix":""}],"container-title":"Hydrogen Aircraft Technology","id":"ITEM-1","issued":{"date-parts":[["2017","1","1"]]},"number-of-pages":"1-432","publisher":"CRC Press","title":"Hydrogen aircraft technology","type":"book"},"uris":["http://www.mendeley.com/documents/?uuid=98dde589-563e-344e-842a-c8eac36971f0"]}],"mendeley":{"formattedCitation":"[127]","plainTextFormattedCitation":"[127]","previouslyFormattedCitation":"[127]"},"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[127]</w:t>
      </w:r>
      <w:r w:rsidRPr="00872636">
        <w:rPr>
          <w:rFonts w:ascii="Times New Roman" w:hAnsi="Times New Roman" w:cs="Times New Roman"/>
          <w:sz w:val="24"/>
          <w:szCs w:val="24"/>
          <w:lang w:eastAsia="en-GB"/>
        </w:rPr>
        <w:fldChar w:fldCharType="end"/>
      </w:r>
      <w:r w:rsidRPr="00872636">
        <w:rPr>
          <w:rFonts w:ascii="Times New Roman" w:hAnsi="Times New Roman" w:cs="Times New Roman"/>
          <w:sz w:val="24"/>
          <w:szCs w:val="24"/>
          <w:lang w:eastAsia="en-GB"/>
        </w:rPr>
        <w:t xml:space="preserve"> reduces by 16.5%, compared to the baseline Jet-A aircraft. In the present work, </w:t>
      </w:r>
      <w:r w:rsidRPr="00872636">
        <w:rPr>
          <w:rFonts w:ascii="Times New Roman" w:hAnsi="Times New Roman" w:cs="Times New Roman"/>
          <w:sz w:val="24"/>
          <w:szCs w:val="24"/>
        </w:rPr>
        <w:t xml:space="preserve">the wing planform (area, span and/or aspect ratio) is maintained constant for different fuel cases. This is similar to or in-line with the approach used in the Cryoplane study of minimal change to the wing planform. As observed from Table </w:t>
      </w:r>
      <w:r w:rsidR="00132CC0" w:rsidRPr="00872636">
        <w:rPr>
          <w:rFonts w:ascii="Times New Roman" w:hAnsi="Times New Roman" w:cs="Times New Roman"/>
          <w:sz w:val="24"/>
          <w:szCs w:val="24"/>
        </w:rPr>
        <w:t xml:space="preserve">SI </w:t>
      </w:r>
      <w:r w:rsidR="001977D7">
        <w:rPr>
          <w:rFonts w:ascii="Times New Roman" w:hAnsi="Times New Roman" w:cs="Times New Roman"/>
          <w:sz w:val="24"/>
          <w:szCs w:val="24"/>
        </w:rPr>
        <w:t>10</w:t>
      </w:r>
      <w:r w:rsidRPr="00872636">
        <w:rPr>
          <w:rFonts w:ascii="Times New Roman" w:hAnsi="Times New Roman" w:cs="Times New Roman"/>
          <w:sz w:val="24"/>
          <w:szCs w:val="24"/>
        </w:rPr>
        <w:t xml:space="preserve">, the wing-loading of the </w:t>
      </w:r>
      <w:r w:rsidRPr="00872636">
        <w:rPr>
          <w:rFonts w:ascii="Times New Roman" w:hAnsi="Times New Roman" w:cs="Times New Roman"/>
          <w:sz w:val="24"/>
          <w:szCs w:val="24"/>
          <w:lang w:eastAsia="en-GB"/>
        </w:rPr>
        <w:t>LH</w:t>
      </w:r>
      <w:r w:rsidRPr="00872636">
        <w:rPr>
          <w:rFonts w:ascii="Times New Roman" w:hAnsi="Times New Roman" w:cs="Times New Roman"/>
          <w:sz w:val="24"/>
          <w:szCs w:val="24"/>
          <w:vertAlign w:val="subscript"/>
          <w:lang w:eastAsia="en-GB"/>
        </w:rPr>
        <w:t>2</w:t>
      </w:r>
      <w:r w:rsidRPr="00872636">
        <w:rPr>
          <w:rFonts w:ascii="Times New Roman" w:hAnsi="Times New Roman" w:cs="Times New Roman"/>
          <w:sz w:val="24"/>
          <w:szCs w:val="24"/>
          <w:lang w:eastAsia="en-GB"/>
        </w:rPr>
        <w:t xml:space="preserve"> aircraft (577.5 kg/m</w:t>
      </w:r>
      <w:r w:rsidRPr="00872636">
        <w:rPr>
          <w:rFonts w:ascii="Times New Roman" w:hAnsi="Times New Roman" w:cs="Times New Roman"/>
          <w:sz w:val="24"/>
          <w:szCs w:val="24"/>
          <w:vertAlign w:val="superscript"/>
          <w:lang w:eastAsia="en-GB"/>
        </w:rPr>
        <w:t>2</w:t>
      </w:r>
      <w:r w:rsidRPr="00872636">
        <w:rPr>
          <w:rFonts w:ascii="Times New Roman" w:hAnsi="Times New Roman" w:cs="Times New Roman"/>
          <w:sz w:val="24"/>
          <w:szCs w:val="24"/>
          <w:lang w:eastAsia="en-GB"/>
        </w:rPr>
        <w:t>) modelled in this work reduces by 15% (similar to 16.5% reduction observed by Brewer), in comparison with the wing-loading of the Jet-A aircraft (679.6 kg/m</w:t>
      </w:r>
      <w:r w:rsidRPr="00872636">
        <w:rPr>
          <w:rFonts w:ascii="Times New Roman" w:hAnsi="Times New Roman" w:cs="Times New Roman"/>
          <w:sz w:val="24"/>
          <w:szCs w:val="24"/>
          <w:vertAlign w:val="superscript"/>
          <w:lang w:eastAsia="en-GB"/>
        </w:rPr>
        <w:t>2</w:t>
      </w:r>
      <w:r w:rsidRPr="00872636">
        <w:rPr>
          <w:rFonts w:ascii="Times New Roman" w:hAnsi="Times New Roman" w:cs="Times New Roman"/>
          <w:sz w:val="24"/>
          <w:szCs w:val="24"/>
          <w:lang w:eastAsia="en-GB"/>
        </w:rPr>
        <w:t>).</w:t>
      </w:r>
    </w:p>
    <w:p w14:paraId="470BBB97" w14:textId="4579FCEA" w:rsidR="00174147" w:rsidRPr="00872636" w:rsidRDefault="00654376" w:rsidP="00C525D8">
      <w:pPr>
        <w:spacing w:line="480" w:lineRule="auto"/>
        <w:jc w:val="both"/>
        <w:rPr>
          <w:rFonts w:ascii="Times New Roman" w:hAnsi="Times New Roman" w:cs="Times New Roman"/>
          <w:sz w:val="24"/>
          <w:szCs w:val="24"/>
        </w:rPr>
      </w:pPr>
      <w:r w:rsidRPr="00872636">
        <w:rPr>
          <w:rFonts w:ascii="Times New Roman" w:hAnsi="Times New Roman" w:cs="Times New Roman"/>
          <w:sz w:val="24"/>
          <w:szCs w:val="24"/>
        </w:rPr>
        <w:tab/>
        <w:t>For 100% SPK fuel, the extra fuel (in addition to the wing tank) required considering slightly lower volumetric energy density as compared to Jet-A, to meet the flight range of Jet-A aircraft within the MTOW limit of 316 ton</w:t>
      </w:r>
      <w:r w:rsidR="009222E3" w:rsidRPr="00872636">
        <w:rPr>
          <w:rFonts w:ascii="Times New Roman" w:hAnsi="Times New Roman" w:cs="Times New Roman"/>
          <w:sz w:val="24"/>
          <w:szCs w:val="24"/>
        </w:rPr>
        <w:t>ne</w:t>
      </w:r>
      <w:r w:rsidRPr="00872636">
        <w:rPr>
          <w:rFonts w:ascii="Times New Roman" w:hAnsi="Times New Roman" w:cs="Times New Roman"/>
          <w:sz w:val="24"/>
          <w:szCs w:val="24"/>
        </w:rPr>
        <w:t xml:space="preserve">, is small as compared to the fuel that fits in the wing tanks. Therefore, for 100% SPK, ΔL is 0.25 m which has an insignificant impact on the (wetted area) </w:t>
      </w:r>
      <w:r w:rsidRPr="00872636">
        <w:rPr>
          <w:rFonts w:ascii="Times New Roman" w:hAnsi="Times New Roman" w:cs="Times New Roman"/>
          <w:i/>
          <w:iCs/>
          <w:sz w:val="24"/>
          <w:szCs w:val="24"/>
        </w:rPr>
        <w:t>L/D</w:t>
      </w:r>
      <w:r w:rsidRPr="00872636">
        <w:rPr>
          <w:rFonts w:ascii="Times New Roman" w:hAnsi="Times New Roman" w:cs="Times New Roman"/>
          <w:sz w:val="24"/>
          <w:szCs w:val="24"/>
        </w:rPr>
        <w:t xml:space="preserve"> performance.</w:t>
      </w:r>
    </w:p>
    <w:p w14:paraId="317722D2" w14:textId="40186102" w:rsidR="00174147" w:rsidRPr="00872636" w:rsidRDefault="00174147" w:rsidP="00C525D8">
      <w:pPr>
        <w:spacing w:line="480" w:lineRule="auto"/>
        <w:jc w:val="both"/>
        <w:rPr>
          <w:rFonts w:ascii="Times New Roman" w:hAnsi="Times New Roman" w:cs="Times New Roman"/>
          <w:sz w:val="24"/>
          <w:szCs w:val="24"/>
        </w:rPr>
      </w:pPr>
      <w:r w:rsidRPr="00872636">
        <w:rPr>
          <w:rFonts w:ascii="Times New Roman" w:hAnsi="Times New Roman" w:cs="Times New Roman"/>
          <w:noProof/>
          <w:sz w:val="24"/>
          <w:szCs w:val="24"/>
        </w:rPr>
        <w:drawing>
          <wp:inline distT="0" distB="0" distL="0" distR="0" wp14:anchorId="059C947F" wp14:editId="4E07FF05">
            <wp:extent cx="5731510" cy="3482340"/>
            <wp:effectExtent l="0" t="0" r="2540" b="3810"/>
            <wp:docPr id="6" name="Picture 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482340"/>
                    </a:xfrm>
                    <a:prstGeom prst="rect">
                      <a:avLst/>
                    </a:prstGeom>
                  </pic:spPr>
                </pic:pic>
              </a:graphicData>
            </a:graphic>
          </wp:inline>
        </w:drawing>
      </w:r>
    </w:p>
    <w:p w14:paraId="1B3D43B6" w14:textId="2D40118A" w:rsidR="009B36FB" w:rsidRPr="00872636" w:rsidRDefault="009B36FB" w:rsidP="002A3E97">
      <w:pPr>
        <w:spacing w:line="480" w:lineRule="auto"/>
        <w:jc w:val="center"/>
        <w:rPr>
          <w:rFonts w:ascii="Times New Roman" w:hAnsi="Times New Roman" w:cs="Times New Roman"/>
          <w:b/>
          <w:bCs/>
          <w:sz w:val="24"/>
          <w:szCs w:val="24"/>
        </w:rPr>
      </w:pPr>
      <w:r w:rsidRPr="00872636">
        <w:rPr>
          <w:rFonts w:ascii="Times New Roman" w:hAnsi="Times New Roman" w:cs="Times New Roman"/>
          <w:b/>
          <w:bCs/>
          <w:sz w:val="24"/>
          <w:szCs w:val="24"/>
        </w:rPr>
        <w:lastRenderedPageBreak/>
        <w:t>Figure SI 3. Relationship between OEW and GTOW of 100% SPK from the present study and aircraft in service for facilitating weight sizing studies</w:t>
      </w:r>
    </w:p>
    <w:p w14:paraId="616EFF81" w14:textId="3657A977" w:rsidR="000764C5" w:rsidRDefault="00230799" w:rsidP="002A3E97">
      <w:pPr>
        <w:spacing w:line="480" w:lineRule="auto"/>
        <w:jc w:val="both"/>
        <w:rPr>
          <w:rFonts w:ascii="Times New Roman" w:hAnsi="Times New Roman" w:cs="Times New Roman"/>
          <w:sz w:val="24"/>
          <w:szCs w:val="24"/>
        </w:rPr>
      </w:pPr>
      <w:r w:rsidRPr="00872636">
        <w:rPr>
          <w:rFonts w:ascii="Times New Roman" w:hAnsi="Times New Roman" w:cs="Times New Roman"/>
          <w:sz w:val="24"/>
          <w:szCs w:val="24"/>
        </w:rPr>
        <w:tab/>
      </w:r>
      <w:r w:rsidR="00A71CD1" w:rsidRPr="00872636">
        <w:rPr>
          <w:rFonts w:ascii="Times New Roman" w:hAnsi="Times New Roman" w:cs="Times New Roman"/>
          <w:sz w:val="24"/>
          <w:szCs w:val="24"/>
        </w:rPr>
        <w:t xml:space="preserve">Figure SI 3 shows the relationship between OEW and GTOW of 100% SPK from the present study and aircraft in service. It can be observed that the relationship between OEW and GTOW for the aircraft designed in this research is similar to that of aircraft in service. </w:t>
      </w:r>
      <w:r w:rsidR="00A96794" w:rsidRPr="00872636">
        <w:rPr>
          <w:rFonts w:ascii="Times New Roman" w:hAnsi="Times New Roman" w:cs="Times New Roman"/>
          <w:sz w:val="24"/>
          <w:szCs w:val="24"/>
        </w:rPr>
        <w:t xml:space="preserve">100% SPK </w:t>
      </w:r>
      <w:r w:rsidR="00A71CD1" w:rsidRPr="00872636">
        <w:rPr>
          <w:rFonts w:ascii="Times New Roman" w:hAnsi="Times New Roman" w:cs="Times New Roman"/>
          <w:sz w:val="24"/>
          <w:szCs w:val="24"/>
        </w:rPr>
        <w:t xml:space="preserve">aircraft have similar (magnitude of) OEW and GTOW as that of Jet-A case. For compactness, only the names of recent aircraft in service and the aircraft designed in this research are mentioned in </w:t>
      </w:r>
      <w:r w:rsidR="00A96794" w:rsidRPr="00872636">
        <w:rPr>
          <w:rFonts w:ascii="Times New Roman" w:hAnsi="Times New Roman" w:cs="Times New Roman"/>
          <w:sz w:val="24"/>
          <w:szCs w:val="24"/>
        </w:rPr>
        <w:t>Figure SI 3</w:t>
      </w:r>
      <w:r w:rsidR="00A71CD1" w:rsidRPr="00872636">
        <w:rPr>
          <w:rFonts w:ascii="Times New Roman" w:hAnsi="Times New Roman" w:cs="Times New Roman"/>
          <w:sz w:val="24"/>
          <w:szCs w:val="24"/>
        </w:rPr>
        <w:t xml:space="preserve">. The data points </w:t>
      </w:r>
      <w:r w:rsidR="00A96794" w:rsidRPr="00872636">
        <w:rPr>
          <w:rFonts w:ascii="Times New Roman" w:hAnsi="Times New Roman" w:cs="Times New Roman"/>
          <w:sz w:val="24"/>
          <w:szCs w:val="24"/>
        </w:rPr>
        <w:t>comprise</w:t>
      </w:r>
      <w:r w:rsidR="00A71CD1" w:rsidRPr="00872636">
        <w:rPr>
          <w:rFonts w:ascii="Times New Roman" w:hAnsi="Times New Roman" w:cs="Times New Roman"/>
          <w:sz w:val="24"/>
          <w:szCs w:val="24"/>
        </w:rPr>
        <w:t xml:space="preserve"> of small</w:t>
      </w:r>
      <w:r w:rsidR="00A96794" w:rsidRPr="00872636">
        <w:rPr>
          <w:rFonts w:ascii="Times New Roman" w:hAnsi="Times New Roman" w:cs="Times New Roman"/>
          <w:sz w:val="24"/>
          <w:szCs w:val="24"/>
        </w:rPr>
        <w:t xml:space="preserve"> and medium size</w:t>
      </w:r>
      <w:r w:rsidR="00A71CD1" w:rsidRPr="00872636">
        <w:rPr>
          <w:rFonts w:ascii="Times New Roman" w:hAnsi="Times New Roman" w:cs="Times New Roman"/>
          <w:sz w:val="24"/>
          <w:szCs w:val="24"/>
        </w:rPr>
        <w:t xml:space="preserve"> aircraft, large twin aisle aircraft and large quad. All data points (OEW and GTOW data </w:t>
      </w:r>
      <w:r w:rsidR="00A71CD1" w:rsidRPr="00872636">
        <w:rPr>
          <w:rFonts w:ascii="Times New Roman" w:eastAsia="Times New Roman" w:hAnsi="Times New Roman" w:cs="Times New Roman"/>
          <w:color w:val="000000"/>
          <w:sz w:val="24"/>
          <w:szCs w:val="24"/>
          <w:lang w:eastAsia="en-GB"/>
        </w:rPr>
        <w:t xml:space="preserve">of aircraft in service and aircraft designed in this research), are listed in Table </w:t>
      </w:r>
      <w:r w:rsidR="004329AC" w:rsidRPr="00872636">
        <w:rPr>
          <w:rFonts w:ascii="Times New Roman" w:eastAsia="Times New Roman" w:hAnsi="Times New Roman" w:cs="Times New Roman"/>
          <w:color w:val="000000"/>
          <w:sz w:val="24"/>
          <w:szCs w:val="24"/>
          <w:lang w:eastAsia="en-GB"/>
        </w:rPr>
        <w:t xml:space="preserve">SI </w:t>
      </w:r>
      <w:r w:rsidR="001977D7">
        <w:rPr>
          <w:rFonts w:ascii="Times New Roman" w:eastAsia="Times New Roman" w:hAnsi="Times New Roman" w:cs="Times New Roman"/>
          <w:color w:val="000000"/>
          <w:sz w:val="24"/>
          <w:szCs w:val="24"/>
          <w:lang w:eastAsia="en-GB"/>
        </w:rPr>
        <w:t>11</w:t>
      </w:r>
      <w:r w:rsidR="00A71CD1" w:rsidRPr="00872636">
        <w:rPr>
          <w:rFonts w:ascii="Times New Roman" w:hAnsi="Times New Roman" w:cs="Times New Roman"/>
          <w:sz w:val="24"/>
          <w:szCs w:val="24"/>
        </w:rPr>
        <w:t xml:space="preserve">. Additionally, </w:t>
      </w:r>
      <w:r w:rsidR="00D955B7" w:rsidRPr="00872636">
        <w:rPr>
          <w:rFonts w:ascii="Times New Roman" w:hAnsi="Times New Roman" w:cs="Times New Roman"/>
          <w:sz w:val="24"/>
          <w:szCs w:val="24"/>
        </w:rPr>
        <w:t>t</w:t>
      </w:r>
      <w:r w:rsidR="00A71CD1" w:rsidRPr="00872636">
        <w:rPr>
          <w:rFonts w:ascii="Times New Roman" w:hAnsi="Times New Roman" w:cs="Times New Roman"/>
          <w:sz w:val="24"/>
          <w:szCs w:val="24"/>
        </w:rPr>
        <w:t>he developed equation</w:t>
      </w:r>
      <w:r w:rsidR="00D955B7" w:rsidRPr="00872636">
        <w:rPr>
          <w:rFonts w:ascii="Times New Roman" w:hAnsi="Times New Roman" w:cs="Times New Roman"/>
          <w:sz w:val="24"/>
          <w:szCs w:val="24"/>
        </w:rPr>
        <w:t xml:space="preserve"> is useful during preliminary design or aircraft weight sizing process,</w:t>
      </w:r>
      <w:r w:rsidR="00A71CD1" w:rsidRPr="00872636">
        <w:rPr>
          <w:rFonts w:ascii="Times New Roman" w:hAnsi="Times New Roman" w:cs="Times New Roman"/>
          <w:sz w:val="24"/>
          <w:szCs w:val="24"/>
        </w:rPr>
        <w:t xml:space="preserve"> and knowing either OEW or GTOW, the GTOW or OEW can be estimated.</w:t>
      </w:r>
    </w:p>
    <w:p w14:paraId="60248D42" w14:textId="1D2C547C" w:rsidR="00A71CD1" w:rsidRPr="00872636" w:rsidRDefault="000764C5" w:rsidP="00872636">
      <w:pPr>
        <w:rPr>
          <w:rFonts w:ascii="Times New Roman" w:hAnsi="Times New Roman" w:cs="Times New Roman"/>
          <w:sz w:val="24"/>
          <w:szCs w:val="24"/>
        </w:rPr>
      </w:pPr>
      <w:r>
        <w:rPr>
          <w:rFonts w:ascii="Times New Roman" w:hAnsi="Times New Roman" w:cs="Times New Roman"/>
          <w:sz w:val="24"/>
          <w:szCs w:val="24"/>
        </w:rPr>
        <w:br w:type="page"/>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6"/>
        <w:gridCol w:w="2825"/>
        <w:gridCol w:w="2825"/>
      </w:tblGrid>
      <w:tr w:rsidR="00BE1F06" w:rsidRPr="007D699F" w14:paraId="64DE5CC4" w14:textId="77777777" w:rsidTr="00FC5B92">
        <w:trPr>
          <w:trHeight w:val="568"/>
        </w:trPr>
        <w:tc>
          <w:tcPr>
            <w:tcW w:w="9026" w:type="dxa"/>
            <w:gridSpan w:val="3"/>
            <w:tcBorders>
              <w:top w:val="nil"/>
              <w:left w:val="nil"/>
              <w:bottom w:val="single" w:sz="4" w:space="0" w:color="auto"/>
              <w:right w:val="nil"/>
            </w:tcBorders>
            <w:shd w:val="clear" w:color="auto" w:fill="auto"/>
            <w:noWrap/>
            <w:vAlign w:val="bottom"/>
          </w:tcPr>
          <w:p w14:paraId="3A0820C8" w14:textId="4CF8ED39" w:rsidR="00BE1F06" w:rsidRPr="00872636" w:rsidRDefault="00BE1F06" w:rsidP="00872636">
            <w:pPr>
              <w:spacing w:after="0" w:line="276" w:lineRule="auto"/>
              <w:jc w:val="center"/>
              <w:rPr>
                <w:rFonts w:ascii="Times New Roman" w:hAnsi="Times New Roman" w:cs="Times New Roman"/>
                <w:b/>
                <w:color w:val="000000"/>
                <w:sz w:val="24"/>
                <w:szCs w:val="24"/>
              </w:rPr>
            </w:pPr>
            <w:r w:rsidRPr="00872636">
              <w:rPr>
                <w:rFonts w:ascii="Times New Roman" w:hAnsi="Times New Roman" w:cs="Times New Roman"/>
                <w:b/>
                <w:sz w:val="24"/>
                <w:szCs w:val="24"/>
              </w:rPr>
              <w:lastRenderedPageBreak/>
              <w:t xml:space="preserve">Table SI </w:t>
            </w:r>
            <w:r w:rsidR="00286C0A" w:rsidRPr="00872636">
              <w:rPr>
                <w:rFonts w:ascii="Times New Roman" w:hAnsi="Times New Roman" w:cs="Times New Roman"/>
                <w:b/>
                <w:sz w:val="24"/>
                <w:szCs w:val="24"/>
              </w:rPr>
              <w:t>11</w:t>
            </w:r>
            <w:r w:rsidR="009D1F00" w:rsidRPr="00872636">
              <w:rPr>
                <w:rFonts w:ascii="Times New Roman" w:hAnsi="Times New Roman" w:cs="Times New Roman"/>
                <w:b/>
                <w:sz w:val="24"/>
                <w:szCs w:val="24"/>
              </w:rPr>
              <w:t xml:space="preserve">. OEW and GTOW </w:t>
            </w:r>
            <w:r w:rsidR="007D60AB" w:rsidRPr="00872636">
              <w:rPr>
                <w:rFonts w:ascii="Times New Roman" w:hAnsi="Times New Roman" w:cs="Times New Roman"/>
                <w:b/>
                <w:sz w:val="24"/>
                <w:szCs w:val="24"/>
              </w:rPr>
              <w:t xml:space="preserve">data </w:t>
            </w:r>
            <w:r w:rsidR="009D1F00" w:rsidRPr="00872636">
              <w:rPr>
                <w:rFonts w:ascii="Times New Roman" w:hAnsi="Times New Roman" w:cs="Times New Roman"/>
                <w:b/>
                <w:sz w:val="24"/>
                <w:szCs w:val="24"/>
              </w:rPr>
              <w:t xml:space="preserve">of </w:t>
            </w:r>
            <w:r w:rsidR="009D1F00" w:rsidRPr="002201D7">
              <w:rPr>
                <w:rFonts w:ascii="Times New Roman" w:eastAsia="Times New Roman" w:hAnsi="Times New Roman" w:cs="Times New Roman"/>
                <w:b/>
                <w:color w:val="000000"/>
                <w:sz w:val="24"/>
                <w:szCs w:val="24"/>
                <w:lang w:eastAsia="en-GB"/>
              </w:rPr>
              <w:t xml:space="preserve">aircraft in service and aircraft designed in this </w:t>
            </w:r>
            <w:r w:rsidR="00594992" w:rsidRPr="002201D7">
              <w:rPr>
                <w:rFonts w:ascii="Times New Roman" w:eastAsia="Times New Roman" w:hAnsi="Times New Roman" w:cs="Times New Roman"/>
                <w:b/>
                <w:color w:val="000000"/>
                <w:sz w:val="24"/>
                <w:szCs w:val="24"/>
                <w:lang w:eastAsia="en-GB"/>
              </w:rPr>
              <w:t>study</w:t>
            </w:r>
            <w:r w:rsidRPr="00872636">
              <w:rPr>
                <w:rFonts w:ascii="Times New Roman" w:hAnsi="Times New Roman" w:cs="Times New Roman"/>
                <w:b/>
                <w:sz w:val="24"/>
                <w:szCs w:val="24"/>
              </w:rPr>
              <w:t xml:space="preserve"> </w:t>
            </w:r>
            <w:r w:rsidRPr="00872636">
              <w:rPr>
                <w:rFonts w:ascii="Times New Roman" w:eastAsia="Times New Roman" w:hAnsi="Times New Roman" w:cs="Times New Roman"/>
                <w:b/>
                <w:color w:val="000000"/>
                <w:sz w:val="24"/>
                <w:szCs w:val="24"/>
                <w:lang w:eastAsia="en-GB"/>
              </w:rPr>
              <w:fldChar w:fldCharType="begin" w:fldLock="1"/>
            </w:r>
            <w:r w:rsidR="00C46200">
              <w:rPr>
                <w:rFonts w:ascii="Times New Roman" w:eastAsia="Times New Roman" w:hAnsi="Times New Roman" w:cs="Times New Roman"/>
                <w:b/>
                <w:color w:val="000000"/>
                <w:sz w:val="24"/>
                <w:szCs w:val="24"/>
                <w:lang w:eastAsia="en-GB"/>
              </w:rPr>
              <w:instrText>ADDIN CSL_CITATION {"citationItems":[{"id":"ITEM-1","itemData":{"author":[{"dropping-particle":"","family":"Roskam","given":"Jan","non-dropping-particle":"","parse-names":false,"suffix":""}],"id":"ITEM-1","issued":{"date-parts":[["2005"]]},"publisher":"DAR Corporation","title":"Airplane Design. Part I: Preliminary Sizing of Airplanes","type":"book"},"uris":["http://www.mendeley.com/documents/?uuid=82bd761a-9a46-45bc-9eac-fa82a74c85bb"]},{"id":"ITEM-2","itemData":{"ISBN":"071063093X","abstract":"Includes indexes.","author":[{"dropping-particle":"","family":"Jackson","given":"Paul A.","non-dropping-particle":"","parse-names":false,"suffix":""}],"id":"ITEM-2","issued":{"date-parts":[["2014"]]},"number-of-pages":"1044","publisher":"Janes Information Group","title":"IHS Jane's all the world's aircraft : development &amp; production","type":"book"},"uris":["http://www.mendeley.com/documents/?uuid=d2823e60-2e7a-3b6b-afa7-0e7bce5dec71"]}],"mendeley":{"formattedCitation":"[94], [128]","plainTextFormattedCitation":"[94], [128]","previouslyFormattedCitation":"[94], [128]"},"properties":{"noteIndex":0},"schema":"https://github.com/citation-style-language/schema/raw/master/csl-citation.json"}</w:instrText>
            </w:r>
            <w:r w:rsidRPr="00872636">
              <w:rPr>
                <w:rFonts w:ascii="Times New Roman" w:eastAsia="Times New Roman" w:hAnsi="Times New Roman" w:cs="Times New Roman"/>
                <w:b/>
                <w:color w:val="000000"/>
                <w:sz w:val="24"/>
                <w:szCs w:val="24"/>
                <w:lang w:eastAsia="en-GB"/>
              </w:rPr>
              <w:fldChar w:fldCharType="separate"/>
            </w:r>
            <w:r w:rsidR="00801BEA" w:rsidRPr="00801BEA">
              <w:rPr>
                <w:rFonts w:ascii="Times New Roman" w:eastAsia="Times New Roman" w:hAnsi="Times New Roman" w:cs="Times New Roman"/>
                <w:noProof/>
                <w:color w:val="000000"/>
                <w:sz w:val="24"/>
                <w:szCs w:val="24"/>
                <w:lang w:eastAsia="en-GB"/>
              </w:rPr>
              <w:t>[94], [128]</w:t>
            </w:r>
            <w:r w:rsidRPr="00872636">
              <w:rPr>
                <w:rFonts w:ascii="Times New Roman" w:eastAsia="Times New Roman" w:hAnsi="Times New Roman" w:cs="Times New Roman"/>
                <w:b/>
                <w:color w:val="000000"/>
                <w:sz w:val="24"/>
                <w:szCs w:val="24"/>
                <w:lang w:eastAsia="en-GB"/>
              </w:rPr>
              <w:fldChar w:fldCharType="end"/>
            </w:r>
          </w:p>
        </w:tc>
      </w:tr>
      <w:tr w:rsidR="00F514B0" w:rsidRPr="007D699F" w14:paraId="646257FD" w14:textId="77777777" w:rsidTr="005A63A4">
        <w:trPr>
          <w:trHeight w:val="75"/>
        </w:trPr>
        <w:tc>
          <w:tcPr>
            <w:tcW w:w="3376" w:type="dxa"/>
            <w:tcBorders>
              <w:top w:val="single" w:sz="4" w:space="0" w:color="auto"/>
              <w:left w:val="nil"/>
              <w:bottom w:val="single" w:sz="4" w:space="0" w:color="auto"/>
              <w:right w:val="nil"/>
            </w:tcBorders>
            <w:shd w:val="clear" w:color="auto" w:fill="auto"/>
            <w:noWrap/>
            <w:vAlign w:val="center"/>
          </w:tcPr>
          <w:p w14:paraId="45571EBD" w14:textId="24769CED" w:rsidR="00F514B0" w:rsidRPr="00872636" w:rsidRDefault="00F514B0" w:rsidP="00872636">
            <w:pPr>
              <w:spacing w:after="0" w:line="276" w:lineRule="auto"/>
              <w:jc w:val="center"/>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Aircraft</w:t>
            </w:r>
          </w:p>
        </w:tc>
        <w:tc>
          <w:tcPr>
            <w:tcW w:w="2825" w:type="dxa"/>
            <w:tcBorders>
              <w:top w:val="single" w:sz="4" w:space="0" w:color="auto"/>
              <w:left w:val="nil"/>
              <w:bottom w:val="single" w:sz="4" w:space="0" w:color="auto"/>
              <w:right w:val="nil"/>
            </w:tcBorders>
            <w:vAlign w:val="center"/>
          </w:tcPr>
          <w:p w14:paraId="3A431E6A" w14:textId="4CF6288E" w:rsidR="00F514B0" w:rsidRPr="00872636" w:rsidRDefault="00F514B0" w:rsidP="00872636">
            <w:pPr>
              <w:spacing w:after="0" w:line="276" w:lineRule="auto"/>
              <w:jc w:val="center"/>
              <w:rPr>
                <w:rFonts w:ascii="Times New Roman" w:hAnsi="Times New Roman" w:cs="Times New Roman"/>
                <w:color w:val="000000"/>
                <w:sz w:val="24"/>
                <w:szCs w:val="24"/>
              </w:rPr>
            </w:pPr>
            <w:r w:rsidRPr="00872636">
              <w:rPr>
                <w:rFonts w:ascii="Times New Roman" w:hAnsi="Times New Roman" w:cs="Times New Roman"/>
                <w:color w:val="000000"/>
                <w:sz w:val="24"/>
                <w:szCs w:val="24"/>
              </w:rPr>
              <w:t>GTOW (kg)</w:t>
            </w:r>
          </w:p>
        </w:tc>
        <w:tc>
          <w:tcPr>
            <w:tcW w:w="2825" w:type="dxa"/>
            <w:tcBorders>
              <w:top w:val="single" w:sz="4" w:space="0" w:color="auto"/>
              <w:left w:val="nil"/>
              <w:bottom w:val="single" w:sz="4" w:space="0" w:color="auto"/>
              <w:right w:val="nil"/>
            </w:tcBorders>
            <w:vAlign w:val="center"/>
          </w:tcPr>
          <w:p w14:paraId="3BF2959C" w14:textId="4FF32C94" w:rsidR="00F514B0" w:rsidRPr="00872636" w:rsidRDefault="00F514B0" w:rsidP="00872636">
            <w:pPr>
              <w:spacing w:after="0" w:line="276" w:lineRule="auto"/>
              <w:jc w:val="center"/>
              <w:rPr>
                <w:rFonts w:ascii="Times New Roman" w:hAnsi="Times New Roman" w:cs="Times New Roman"/>
                <w:color w:val="000000"/>
                <w:sz w:val="24"/>
                <w:szCs w:val="24"/>
              </w:rPr>
            </w:pPr>
            <w:r w:rsidRPr="00872636">
              <w:rPr>
                <w:rFonts w:ascii="Times New Roman" w:hAnsi="Times New Roman" w:cs="Times New Roman"/>
                <w:color w:val="000000"/>
                <w:sz w:val="24"/>
                <w:szCs w:val="24"/>
              </w:rPr>
              <w:t>OEW (kg)</w:t>
            </w:r>
          </w:p>
        </w:tc>
      </w:tr>
      <w:tr w:rsidR="00F514B0" w:rsidRPr="007D699F" w14:paraId="788753F3" w14:textId="2FBBE8CF" w:rsidTr="00F67547">
        <w:trPr>
          <w:trHeight w:val="290"/>
        </w:trPr>
        <w:tc>
          <w:tcPr>
            <w:tcW w:w="3376" w:type="dxa"/>
            <w:tcBorders>
              <w:top w:val="single" w:sz="4" w:space="0" w:color="auto"/>
              <w:left w:val="nil"/>
              <w:bottom w:val="nil"/>
              <w:right w:val="nil"/>
            </w:tcBorders>
            <w:shd w:val="clear" w:color="auto" w:fill="auto"/>
            <w:noWrap/>
            <w:vAlign w:val="bottom"/>
            <w:hideMark/>
          </w:tcPr>
          <w:p w14:paraId="32A17EB9" w14:textId="77777777" w:rsidR="00F514B0" w:rsidRPr="00872636" w:rsidRDefault="00F514B0"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727-200</w:t>
            </w:r>
          </w:p>
        </w:tc>
        <w:tc>
          <w:tcPr>
            <w:tcW w:w="2825" w:type="dxa"/>
            <w:tcBorders>
              <w:top w:val="single" w:sz="4" w:space="0" w:color="auto"/>
              <w:left w:val="nil"/>
              <w:bottom w:val="nil"/>
              <w:right w:val="nil"/>
            </w:tcBorders>
            <w:vAlign w:val="bottom"/>
          </w:tcPr>
          <w:p w14:paraId="59E37692" w14:textId="3690F8AD"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83,824</w:t>
            </w:r>
          </w:p>
        </w:tc>
        <w:tc>
          <w:tcPr>
            <w:tcW w:w="2825" w:type="dxa"/>
            <w:tcBorders>
              <w:top w:val="single" w:sz="4" w:space="0" w:color="auto"/>
              <w:left w:val="nil"/>
              <w:bottom w:val="nil"/>
              <w:right w:val="nil"/>
            </w:tcBorders>
            <w:vAlign w:val="bottom"/>
          </w:tcPr>
          <w:p w14:paraId="56DF25D7" w14:textId="20525A33"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45,359</w:t>
            </w:r>
          </w:p>
        </w:tc>
      </w:tr>
      <w:tr w:rsidR="00F514B0" w:rsidRPr="007D699F" w14:paraId="461732E1" w14:textId="49BB7E60" w:rsidTr="00F67547">
        <w:trPr>
          <w:trHeight w:val="290"/>
        </w:trPr>
        <w:tc>
          <w:tcPr>
            <w:tcW w:w="3376" w:type="dxa"/>
            <w:tcBorders>
              <w:top w:val="nil"/>
              <w:left w:val="nil"/>
              <w:bottom w:val="nil"/>
              <w:right w:val="nil"/>
            </w:tcBorders>
            <w:shd w:val="clear" w:color="auto" w:fill="auto"/>
            <w:noWrap/>
            <w:vAlign w:val="bottom"/>
            <w:hideMark/>
          </w:tcPr>
          <w:p w14:paraId="7AAC7BD2" w14:textId="77777777" w:rsidR="00F514B0" w:rsidRPr="00872636" w:rsidRDefault="00F514B0"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737-200</w:t>
            </w:r>
          </w:p>
        </w:tc>
        <w:tc>
          <w:tcPr>
            <w:tcW w:w="2825" w:type="dxa"/>
            <w:tcBorders>
              <w:top w:val="nil"/>
              <w:left w:val="nil"/>
              <w:bottom w:val="nil"/>
              <w:right w:val="nil"/>
            </w:tcBorders>
            <w:vAlign w:val="bottom"/>
          </w:tcPr>
          <w:p w14:paraId="29C4B0E3" w14:textId="4A6A90B9"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52,390</w:t>
            </w:r>
          </w:p>
        </w:tc>
        <w:tc>
          <w:tcPr>
            <w:tcW w:w="2825" w:type="dxa"/>
            <w:tcBorders>
              <w:top w:val="nil"/>
              <w:left w:val="nil"/>
              <w:bottom w:val="nil"/>
              <w:right w:val="nil"/>
            </w:tcBorders>
            <w:vAlign w:val="bottom"/>
          </w:tcPr>
          <w:p w14:paraId="38EBF77A" w14:textId="0A0EC439"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27,955</w:t>
            </w:r>
          </w:p>
        </w:tc>
      </w:tr>
      <w:tr w:rsidR="00F514B0" w:rsidRPr="007D699F" w14:paraId="5CFE540E" w14:textId="4F81CB8D" w:rsidTr="00F67547">
        <w:trPr>
          <w:trHeight w:val="290"/>
        </w:trPr>
        <w:tc>
          <w:tcPr>
            <w:tcW w:w="3376" w:type="dxa"/>
            <w:tcBorders>
              <w:top w:val="nil"/>
              <w:left w:val="nil"/>
              <w:bottom w:val="nil"/>
              <w:right w:val="nil"/>
            </w:tcBorders>
            <w:shd w:val="clear" w:color="auto" w:fill="auto"/>
            <w:noWrap/>
            <w:vAlign w:val="bottom"/>
            <w:hideMark/>
          </w:tcPr>
          <w:p w14:paraId="0307CADE" w14:textId="77777777" w:rsidR="00F514B0" w:rsidRPr="00872636" w:rsidRDefault="00F514B0"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737-300</w:t>
            </w:r>
          </w:p>
        </w:tc>
        <w:tc>
          <w:tcPr>
            <w:tcW w:w="2825" w:type="dxa"/>
            <w:tcBorders>
              <w:top w:val="nil"/>
              <w:left w:val="nil"/>
              <w:bottom w:val="nil"/>
              <w:right w:val="nil"/>
            </w:tcBorders>
            <w:vAlign w:val="bottom"/>
          </w:tcPr>
          <w:p w14:paraId="3C5292FB" w14:textId="216DC532"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56,472</w:t>
            </w:r>
          </w:p>
        </w:tc>
        <w:tc>
          <w:tcPr>
            <w:tcW w:w="2825" w:type="dxa"/>
            <w:tcBorders>
              <w:top w:val="nil"/>
              <w:left w:val="nil"/>
              <w:bottom w:val="nil"/>
              <w:right w:val="nil"/>
            </w:tcBorders>
            <w:vAlign w:val="bottom"/>
          </w:tcPr>
          <w:p w14:paraId="416ABDF5" w14:textId="396CB0B2"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31,720</w:t>
            </w:r>
          </w:p>
        </w:tc>
      </w:tr>
      <w:tr w:rsidR="00F514B0" w:rsidRPr="007D699F" w14:paraId="1BAB85DC" w14:textId="370642C3" w:rsidTr="00F67547">
        <w:trPr>
          <w:trHeight w:val="290"/>
        </w:trPr>
        <w:tc>
          <w:tcPr>
            <w:tcW w:w="3376" w:type="dxa"/>
            <w:tcBorders>
              <w:top w:val="nil"/>
              <w:left w:val="nil"/>
              <w:bottom w:val="nil"/>
              <w:right w:val="nil"/>
            </w:tcBorders>
            <w:shd w:val="clear" w:color="auto" w:fill="auto"/>
            <w:noWrap/>
            <w:vAlign w:val="bottom"/>
            <w:hideMark/>
          </w:tcPr>
          <w:p w14:paraId="23EB79C7" w14:textId="77777777" w:rsidR="00F514B0" w:rsidRPr="00872636" w:rsidRDefault="00F514B0"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747-200B</w:t>
            </w:r>
          </w:p>
        </w:tc>
        <w:tc>
          <w:tcPr>
            <w:tcW w:w="2825" w:type="dxa"/>
            <w:tcBorders>
              <w:top w:val="nil"/>
              <w:left w:val="nil"/>
              <w:bottom w:val="nil"/>
              <w:right w:val="nil"/>
            </w:tcBorders>
            <w:vAlign w:val="bottom"/>
          </w:tcPr>
          <w:p w14:paraId="3A891667" w14:textId="76B7F1CC"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351,534</w:t>
            </w:r>
          </w:p>
        </w:tc>
        <w:tc>
          <w:tcPr>
            <w:tcW w:w="2825" w:type="dxa"/>
            <w:tcBorders>
              <w:top w:val="nil"/>
              <w:left w:val="nil"/>
              <w:bottom w:val="nil"/>
              <w:right w:val="nil"/>
            </w:tcBorders>
            <w:vAlign w:val="bottom"/>
          </w:tcPr>
          <w:p w14:paraId="063BF5C1" w14:textId="4190AD3A"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172,365</w:t>
            </w:r>
          </w:p>
        </w:tc>
      </w:tr>
      <w:tr w:rsidR="00F514B0" w:rsidRPr="007D699F" w14:paraId="5BCB9A5E" w14:textId="454FA875" w:rsidTr="00F67547">
        <w:trPr>
          <w:trHeight w:val="290"/>
        </w:trPr>
        <w:tc>
          <w:tcPr>
            <w:tcW w:w="3376" w:type="dxa"/>
            <w:tcBorders>
              <w:top w:val="nil"/>
              <w:left w:val="nil"/>
              <w:bottom w:val="nil"/>
              <w:right w:val="nil"/>
            </w:tcBorders>
            <w:shd w:val="clear" w:color="auto" w:fill="auto"/>
            <w:noWrap/>
            <w:vAlign w:val="bottom"/>
            <w:hideMark/>
          </w:tcPr>
          <w:p w14:paraId="1E3B161A" w14:textId="77777777" w:rsidR="00F514B0" w:rsidRPr="00872636" w:rsidRDefault="00F514B0"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747-SP</w:t>
            </w:r>
          </w:p>
        </w:tc>
        <w:tc>
          <w:tcPr>
            <w:tcW w:w="2825" w:type="dxa"/>
            <w:tcBorders>
              <w:top w:val="nil"/>
              <w:left w:val="nil"/>
              <w:bottom w:val="nil"/>
              <w:right w:val="nil"/>
            </w:tcBorders>
            <w:vAlign w:val="bottom"/>
          </w:tcPr>
          <w:p w14:paraId="3DABAE49" w14:textId="017C5712"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285,763</w:t>
            </w:r>
          </w:p>
        </w:tc>
        <w:tc>
          <w:tcPr>
            <w:tcW w:w="2825" w:type="dxa"/>
            <w:tcBorders>
              <w:top w:val="nil"/>
              <w:left w:val="nil"/>
              <w:bottom w:val="nil"/>
              <w:right w:val="nil"/>
            </w:tcBorders>
            <w:vAlign w:val="bottom"/>
          </w:tcPr>
          <w:p w14:paraId="1BFE64F3" w14:textId="193D2146"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147,417</w:t>
            </w:r>
          </w:p>
        </w:tc>
      </w:tr>
      <w:tr w:rsidR="00F514B0" w:rsidRPr="007D699F" w14:paraId="3DD54F24" w14:textId="09738CF5" w:rsidTr="00F67547">
        <w:trPr>
          <w:trHeight w:val="290"/>
        </w:trPr>
        <w:tc>
          <w:tcPr>
            <w:tcW w:w="3376" w:type="dxa"/>
            <w:tcBorders>
              <w:top w:val="nil"/>
              <w:left w:val="nil"/>
              <w:bottom w:val="nil"/>
              <w:right w:val="nil"/>
            </w:tcBorders>
            <w:shd w:val="clear" w:color="auto" w:fill="auto"/>
            <w:noWrap/>
            <w:vAlign w:val="bottom"/>
            <w:hideMark/>
          </w:tcPr>
          <w:p w14:paraId="2CEDE775" w14:textId="77777777" w:rsidR="00F514B0" w:rsidRPr="00872636" w:rsidRDefault="00F514B0"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757-200</w:t>
            </w:r>
          </w:p>
        </w:tc>
        <w:tc>
          <w:tcPr>
            <w:tcW w:w="2825" w:type="dxa"/>
            <w:tcBorders>
              <w:top w:val="nil"/>
              <w:left w:val="nil"/>
              <w:bottom w:val="nil"/>
              <w:right w:val="nil"/>
            </w:tcBorders>
            <w:vAlign w:val="bottom"/>
          </w:tcPr>
          <w:p w14:paraId="7675ACAE" w14:textId="78833792"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99,790</w:t>
            </w:r>
          </w:p>
        </w:tc>
        <w:tc>
          <w:tcPr>
            <w:tcW w:w="2825" w:type="dxa"/>
            <w:tcBorders>
              <w:top w:val="nil"/>
              <w:left w:val="nil"/>
              <w:bottom w:val="nil"/>
              <w:right w:val="nil"/>
            </w:tcBorders>
            <w:vAlign w:val="bottom"/>
          </w:tcPr>
          <w:p w14:paraId="30F33BD7" w14:textId="2A8436F6"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59,157</w:t>
            </w:r>
          </w:p>
        </w:tc>
      </w:tr>
      <w:tr w:rsidR="00F514B0" w:rsidRPr="007D699F" w14:paraId="1FAA2C59" w14:textId="7E4B80B7" w:rsidTr="00F67547">
        <w:trPr>
          <w:trHeight w:val="290"/>
        </w:trPr>
        <w:tc>
          <w:tcPr>
            <w:tcW w:w="3376" w:type="dxa"/>
            <w:tcBorders>
              <w:top w:val="nil"/>
              <w:left w:val="nil"/>
              <w:bottom w:val="nil"/>
              <w:right w:val="nil"/>
            </w:tcBorders>
            <w:shd w:val="clear" w:color="auto" w:fill="auto"/>
            <w:noWrap/>
            <w:vAlign w:val="bottom"/>
            <w:hideMark/>
          </w:tcPr>
          <w:p w14:paraId="3B49F78A" w14:textId="77777777" w:rsidR="00F514B0" w:rsidRPr="00872636" w:rsidRDefault="00F514B0"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767-200</w:t>
            </w:r>
          </w:p>
        </w:tc>
        <w:tc>
          <w:tcPr>
            <w:tcW w:w="2825" w:type="dxa"/>
            <w:tcBorders>
              <w:top w:val="nil"/>
              <w:left w:val="nil"/>
              <w:bottom w:val="nil"/>
              <w:right w:val="nil"/>
            </w:tcBorders>
            <w:vAlign w:val="bottom"/>
          </w:tcPr>
          <w:p w14:paraId="793641A2" w14:textId="220C65AF"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136,078</w:t>
            </w:r>
          </w:p>
        </w:tc>
        <w:tc>
          <w:tcPr>
            <w:tcW w:w="2825" w:type="dxa"/>
            <w:tcBorders>
              <w:top w:val="nil"/>
              <w:left w:val="nil"/>
              <w:bottom w:val="nil"/>
              <w:right w:val="nil"/>
            </w:tcBorders>
            <w:vAlign w:val="bottom"/>
          </w:tcPr>
          <w:p w14:paraId="3195F5FA" w14:textId="7CD288B6"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81,230</w:t>
            </w:r>
          </w:p>
        </w:tc>
      </w:tr>
      <w:tr w:rsidR="00F514B0" w:rsidRPr="007D699F" w14:paraId="23AB0C66" w14:textId="610A3748" w:rsidTr="00F67547">
        <w:trPr>
          <w:trHeight w:val="290"/>
        </w:trPr>
        <w:tc>
          <w:tcPr>
            <w:tcW w:w="3376" w:type="dxa"/>
            <w:tcBorders>
              <w:top w:val="nil"/>
              <w:left w:val="nil"/>
              <w:bottom w:val="nil"/>
              <w:right w:val="nil"/>
            </w:tcBorders>
            <w:shd w:val="clear" w:color="auto" w:fill="auto"/>
            <w:noWrap/>
            <w:vAlign w:val="bottom"/>
            <w:hideMark/>
          </w:tcPr>
          <w:p w14:paraId="5E74032F" w14:textId="77777777" w:rsidR="00F514B0" w:rsidRPr="00872636" w:rsidRDefault="00F514B0"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DC8-Super 71</w:t>
            </w:r>
          </w:p>
        </w:tc>
        <w:tc>
          <w:tcPr>
            <w:tcW w:w="2825" w:type="dxa"/>
            <w:tcBorders>
              <w:top w:val="nil"/>
              <w:left w:val="nil"/>
              <w:bottom w:val="nil"/>
              <w:right w:val="nil"/>
            </w:tcBorders>
            <w:vAlign w:val="bottom"/>
          </w:tcPr>
          <w:p w14:paraId="39355959" w14:textId="587A8CA4"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147,417</w:t>
            </w:r>
          </w:p>
        </w:tc>
        <w:tc>
          <w:tcPr>
            <w:tcW w:w="2825" w:type="dxa"/>
            <w:tcBorders>
              <w:top w:val="nil"/>
              <w:left w:val="nil"/>
              <w:bottom w:val="nil"/>
              <w:right w:val="nil"/>
            </w:tcBorders>
            <w:vAlign w:val="bottom"/>
          </w:tcPr>
          <w:p w14:paraId="5FF7BF96" w14:textId="6A550C9A"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73,799</w:t>
            </w:r>
          </w:p>
        </w:tc>
      </w:tr>
      <w:tr w:rsidR="00F514B0" w:rsidRPr="007D699F" w14:paraId="5D29198B" w14:textId="3E7DD60D" w:rsidTr="00F67547">
        <w:trPr>
          <w:trHeight w:val="290"/>
        </w:trPr>
        <w:tc>
          <w:tcPr>
            <w:tcW w:w="3376" w:type="dxa"/>
            <w:tcBorders>
              <w:top w:val="nil"/>
              <w:left w:val="nil"/>
              <w:bottom w:val="nil"/>
              <w:right w:val="nil"/>
            </w:tcBorders>
            <w:shd w:val="clear" w:color="auto" w:fill="auto"/>
            <w:noWrap/>
            <w:vAlign w:val="bottom"/>
            <w:hideMark/>
          </w:tcPr>
          <w:p w14:paraId="7407753A" w14:textId="77777777" w:rsidR="00F514B0" w:rsidRPr="00872636" w:rsidRDefault="00F514B0"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DC9-30</w:t>
            </w:r>
          </w:p>
        </w:tc>
        <w:tc>
          <w:tcPr>
            <w:tcW w:w="2825" w:type="dxa"/>
            <w:tcBorders>
              <w:top w:val="nil"/>
              <w:left w:val="nil"/>
              <w:bottom w:val="nil"/>
              <w:right w:val="nil"/>
            </w:tcBorders>
            <w:vAlign w:val="bottom"/>
          </w:tcPr>
          <w:p w14:paraId="09C4EC61" w14:textId="0BDC7E16"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54,885</w:t>
            </w:r>
          </w:p>
        </w:tc>
        <w:tc>
          <w:tcPr>
            <w:tcW w:w="2825" w:type="dxa"/>
            <w:tcBorders>
              <w:top w:val="nil"/>
              <w:left w:val="nil"/>
              <w:bottom w:val="nil"/>
              <w:right w:val="nil"/>
            </w:tcBorders>
            <w:vAlign w:val="bottom"/>
          </w:tcPr>
          <w:p w14:paraId="7C899486" w14:textId="69C26BB7"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25,941</w:t>
            </w:r>
          </w:p>
        </w:tc>
      </w:tr>
      <w:tr w:rsidR="00F514B0" w:rsidRPr="007D699F" w14:paraId="1EC313CA" w14:textId="4513D6C9" w:rsidTr="00F67547">
        <w:trPr>
          <w:trHeight w:val="290"/>
        </w:trPr>
        <w:tc>
          <w:tcPr>
            <w:tcW w:w="3376" w:type="dxa"/>
            <w:tcBorders>
              <w:top w:val="nil"/>
              <w:left w:val="nil"/>
              <w:bottom w:val="nil"/>
              <w:right w:val="nil"/>
            </w:tcBorders>
            <w:shd w:val="clear" w:color="auto" w:fill="auto"/>
            <w:noWrap/>
            <w:vAlign w:val="bottom"/>
            <w:hideMark/>
          </w:tcPr>
          <w:p w14:paraId="0CC5E3DC" w14:textId="77777777" w:rsidR="00F514B0" w:rsidRPr="00872636" w:rsidRDefault="00F514B0"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DC9-80</w:t>
            </w:r>
          </w:p>
        </w:tc>
        <w:tc>
          <w:tcPr>
            <w:tcW w:w="2825" w:type="dxa"/>
            <w:tcBorders>
              <w:top w:val="nil"/>
              <w:left w:val="nil"/>
              <w:bottom w:val="nil"/>
              <w:right w:val="nil"/>
            </w:tcBorders>
            <w:vAlign w:val="bottom"/>
          </w:tcPr>
          <w:p w14:paraId="1F1C49AF" w14:textId="5BAF41DB"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63,503</w:t>
            </w:r>
          </w:p>
        </w:tc>
        <w:tc>
          <w:tcPr>
            <w:tcW w:w="2825" w:type="dxa"/>
            <w:tcBorders>
              <w:top w:val="nil"/>
              <w:left w:val="nil"/>
              <w:bottom w:val="nil"/>
              <w:right w:val="nil"/>
            </w:tcBorders>
            <w:vAlign w:val="bottom"/>
          </w:tcPr>
          <w:p w14:paraId="2523AB79" w14:textId="21B4B6D5"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36,177</w:t>
            </w:r>
          </w:p>
        </w:tc>
      </w:tr>
      <w:tr w:rsidR="00F514B0" w:rsidRPr="007D699F" w14:paraId="35E73448" w14:textId="6475FB40" w:rsidTr="00F67547">
        <w:trPr>
          <w:trHeight w:val="290"/>
        </w:trPr>
        <w:tc>
          <w:tcPr>
            <w:tcW w:w="3376" w:type="dxa"/>
            <w:tcBorders>
              <w:top w:val="nil"/>
              <w:left w:val="nil"/>
              <w:bottom w:val="nil"/>
              <w:right w:val="nil"/>
            </w:tcBorders>
            <w:shd w:val="clear" w:color="auto" w:fill="auto"/>
            <w:noWrap/>
            <w:vAlign w:val="bottom"/>
            <w:hideMark/>
          </w:tcPr>
          <w:p w14:paraId="3CDAEDF2" w14:textId="77777777" w:rsidR="00F514B0" w:rsidRPr="00872636" w:rsidRDefault="00F514B0"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DC10-10</w:t>
            </w:r>
          </w:p>
        </w:tc>
        <w:tc>
          <w:tcPr>
            <w:tcW w:w="2825" w:type="dxa"/>
            <w:tcBorders>
              <w:top w:val="nil"/>
              <w:left w:val="nil"/>
              <w:bottom w:val="nil"/>
              <w:right w:val="nil"/>
            </w:tcBorders>
            <w:vAlign w:val="bottom"/>
          </w:tcPr>
          <w:p w14:paraId="06AEC08F" w14:textId="45B8E7FD"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206,384</w:t>
            </w:r>
          </w:p>
        </w:tc>
        <w:tc>
          <w:tcPr>
            <w:tcW w:w="2825" w:type="dxa"/>
            <w:tcBorders>
              <w:top w:val="nil"/>
              <w:left w:val="nil"/>
              <w:bottom w:val="nil"/>
              <w:right w:val="nil"/>
            </w:tcBorders>
            <w:vAlign w:val="bottom"/>
          </w:tcPr>
          <w:p w14:paraId="1D34AC3B" w14:textId="1F1C8F3C"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111,086</w:t>
            </w:r>
          </w:p>
        </w:tc>
      </w:tr>
      <w:tr w:rsidR="00F514B0" w:rsidRPr="007D699F" w14:paraId="43B66104" w14:textId="08C00F15" w:rsidTr="00F67547">
        <w:trPr>
          <w:trHeight w:val="290"/>
        </w:trPr>
        <w:tc>
          <w:tcPr>
            <w:tcW w:w="3376" w:type="dxa"/>
            <w:tcBorders>
              <w:top w:val="nil"/>
              <w:left w:val="nil"/>
              <w:bottom w:val="nil"/>
              <w:right w:val="nil"/>
            </w:tcBorders>
            <w:shd w:val="clear" w:color="auto" w:fill="auto"/>
            <w:noWrap/>
            <w:vAlign w:val="bottom"/>
            <w:hideMark/>
          </w:tcPr>
          <w:p w14:paraId="01CD800F" w14:textId="77777777" w:rsidR="00F514B0" w:rsidRPr="00872636" w:rsidRDefault="00F514B0"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DC10-40</w:t>
            </w:r>
          </w:p>
        </w:tc>
        <w:tc>
          <w:tcPr>
            <w:tcW w:w="2825" w:type="dxa"/>
            <w:tcBorders>
              <w:top w:val="nil"/>
              <w:left w:val="nil"/>
              <w:bottom w:val="nil"/>
              <w:right w:val="nil"/>
            </w:tcBorders>
            <w:vAlign w:val="bottom"/>
          </w:tcPr>
          <w:p w14:paraId="0D35238E" w14:textId="61124282"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251,744</w:t>
            </w:r>
          </w:p>
        </w:tc>
        <w:tc>
          <w:tcPr>
            <w:tcW w:w="2825" w:type="dxa"/>
            <w:tcBorders>
              <w:top w:val="nil"/>
              <w:left w:val="nil"/>
              <w:bottom w:val="nil"/>
              <w:right w:val="nil"/>
            </w:tcBorders>
            <w:vAlign w:val="bottom"/>
          </w:tcPr>
          <w:p w14:paraId="4B0F3C38" w14:textId="37C31411"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122,952</w:t>
            </w:r>
          </w:p>
        </w:tc>
      </w:tr>
      <w:tr w:rsidR="00F514B0" w:rsidRPr="007D699F" w14:paraId="1F03FD18" w14:textId="228614E6" w:rsidTr="00F67547">
        <w:trPr>
          <w:trHeight w:val="290"/>
        </w:trPr>
        <w:tc>
          <w:tcPr>
            <w:tcW w:w="3376" w:type="dxa"/>
            <w:tcBorders>
              <w:top w:val="nil"/>
              <w:left w:val="nil"/>
              <w:bottom w:val="nil"/>
              <w:right w:val="nil"/>
            </w:tcBorders>
            <w:shd w:val="clear" w:color="auto" w:fill="auto"/>
            <w:noWrap/>
            <w:vAlign w:val="bottom"/>
            <w:hideMark/>
          </w:tcPr>
          <w:p w14:paraId="46B4BEAE" w14:textId="77777777" w:rsidR="00F514B0" w:rsidRPr="00872636" w:rsidRDefault="00F514B0"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Lockheed L1011-500</w:t>
            </w:r>
          </w:p>
        </w:tc>
        <w:tc>
          <w:tcPr>
            <w:tcW w:w="2825" w:type="dxa"/>
            <w:tcBorders>
              <w:top w:val="nil"/>
              <w:left w:val="nil"/>
              <w:bottom w:val="nil"/>
              <w:right w:val="nil"/>
            </w:tcBorders>
            <w:vAlign w:val="bottom"/>
          </w:tcPr>
          <w:p w14:paraId="3724EDE7" w14:textId="6FD84E3B"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231,332</w:t>
            </w:r>
          </w:p>
        </w:tc>
        <w:tc>
          <w:tcPr>
            <w:tcW w:w="2825" w:type="dxa"/>
            <w:tcBorders>
              <w:top w:val="nil"/>
              <w:left w:val="nil"/>
              <w:bottom w:val="nil"/>
              <w:right w:val="nil"/>
            </w:tcBorders>
            <w:vAlign w:val="bottom"/>
          </w:tcPr>
          <w:p w14:paraId="0CDC8C42" w14:textId="617879D8"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111,357</w:t>
            </w:r>
          </w:p>
        </w:tc>
      </w:tr>
      <w:tr w:rsidR="00F514B0" w:rsidRPr="007D699F" w14:paraId="6AED686D" w14:textId="03FD6525" w:rsidTr="00F67547">
        <w:trPr>
          <w:trHeight w:val="290"/>
        </w:trPr>
        <w:tc>
          <w:tcPr>
            <w:tcW w:w="3376" w:type="dxa"/>
            <w:tcBorders>
              <w:top w:val="nil"/>
              <w:left w:val="nil"/>
              <w:bottom w:val="nil"/>
              <w:right w:val="nil"/>
            </w:tcBorders>
            <w:shd w:val="clear" w:color="auto" w:fill="auto"/>
            <w:noWrap/>
            <w:vAlign w:val="bottom"/>
            <w:hideMark/>
          </w:tcPr>
          <w:p w14:paraId="77113A10" w14:textId="77777777" w:rsidR="00F514B0" w:rsidRPr="00872636" w:rsidRDefault="00F514B0"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Fokker F28-4000</w:t>
            </w:r>
          </w:p>
        </w:tc>
        <w:tc>
          <w:tcPr>
            <w:tcW w:w="2825" w:type="dxa"/>
            <w:tcBorders>
              <w:top w:val="nil"/>
              <w:left w:val="nil"/>
              <w:bottom w:val="nil"/>
              <w:right w:val="nil"/>
            </w:tcBorders>
            <w:vAlign w:val="bottom"/>
          </w:tcPr>
          <w:p w14:paraId="65042272" w14:textId="7290CC8C"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33,112</w:t>
            </w:r>
          </w:p>
        </w:tc>
        <w:tc>
          <w:tcPr>
            <w:tcW w:w="2825" w:type="dxa"/>
            <w:tcBorders>
              <w:top w:val="nil"/>
              <w:left w:val="nil"/>
              <w:bottom w:val="nil"/>
              <w:right w:val="nil"/>
            </w:tcBorders>
            <w:vAlign w:val="bottom"/>
          </w:tcPr>
          <w:p w14:paraId="2B1DF384" w14:textId="0E3246F1"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17,546</w:t>
            </w:r>
          </w:p>
        </w:tc>
      </w:tr>
      <w:tr w:rsidR="00F514B0" w:rsidRPr="007D699F" w14:paraId="21AB92B4" w14:textId="3713D5D6" w:rsidTr="00F67547">
        <w:trPr>
          <w:trHeight w:val="290"/>
        </w:trPr>
        <w:tc>
          <w:tcPr>
            <w:tcW w:w="3376" w:type="dxa"/>
            <w:tcBorders>
              <w:top w:val="nil"/>
              <w:left w:val="nil"/>
              <w:bottom w:val="nil"/>
              <w:right w:val="nil"/>
            </w:tcBorders>
            <w:shd w:val="clear" w:color="auto" w:fill="auto"/>
            <w:noWrap/>
            <w:vAlign w:val="bottom"/>
            <w:hideMark/>
          </w:tcPr>
          <w:p w14:paraId="30CC1E1A" w14:textId="77777777" w:rsidR="00F514B0" w:rsidRPr="00872636" w:rsidRDefault="00F514B0"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Rombac-111-560</w:t>
            </w:r>
          </w:p>
        </w:tc>
        <w:tc>
          <w:tcPr>
            <w:tcW w:w="2825" w:type="dxa"/>
            <w:tcBorders>
              <w:top w:val="nil"/>
              <w:left w:val="nil"/>
              <w:bottom w:val="nil"/>
              <w:right w:val="nil"/>
            </w:tcBorders>
            <w:vAlign w:val="bottom"/>
          </w:tcPr>
          <w:p w14:paraId="245876CD" w14:textId="3935D2DC"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45,200</w:t>
            </w:r>
          </w:p>
        </w:tc>
        <w:tc>
          <w:tcPr>
            <w:tcW w:w="2825" w:type="dxa"/>
            <w:tcBorders>
              <w:top w:val="nil"/>
              <w:left w:val="nil"/>
              <w:bottom w:val="nil"/>
              <w:right w:val="nil"/>
            </w:tcBorders>
            <w:vAlign w:val="bottom"/>
          </w:tcPr>
          <w:p w14:paraId="0EFF4624" w14:textId="1D7FB53F"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24,386</w:t>
            </w:r>
          </w:p>
        </w:tc>
      </w:tr>
      <w:tr w:rsidR="00F514B0" w:rsidRPr="007D699F" w14:paraId="68E0A34E" w14:textId="72328CEC" w:rsidTr="00F67547">
        <w:trPr>
          <w:trHeight w:val="290"/>
        </w:trPr>
        <w:tc>
          <w:tcPr>
            <w:tcW w:w="3376" w:type="dxa"/>
            <w:tcBorders>
              <w:top w:val="nil"/>
              <w:left w:val="nil"/>
              <w:bottom w:val="nil"/>
              <w:right w:val="nil"/>
            </w:tcBorders>
            <w:shd w:val="clear" w:color="auto" w:fill="auto"/>
            <w:noWrap/>
            <w:vAlign w:val="bottom"/>
            <w:hideMark/>
          </w:tcPr>
          <w:p w14:paraId="4E27D343" w14:textId="77777777" w:rsidR="00F514B0" w:rsidRPr="00872636" w:rsidRDefault="00F514B0"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VFW-Fokker 614</w:t>
            </w:r>
          </w:p>
        </w:tc>
        <w:tc>
          <w:tcPr>
            <w:tcW w:w="2825" w:type="dxa"/>
            <w:tcBorders>
              <w:top w:val="nil"/>
              <w:left w:val="nil"/>
              <w:bottom w:val="nil"/>
              <w:right w:val="nil"/>
            </w:tcBorders>
            <w:vAlign w:val="bottom"/>
          </w:tcPr>
          <w:p w14:paraId="5145E01A" w14:textId="3AF0751A"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19,958</w:t>
            </w:r>
          </w:p>
        </w:tc>
        <w:tc>
          <w:tcPr>
            <w:tcW w:w="2825" w:type="dxa"/>
            <w:tcBorders>
              <w:top w:val="nil"/>
              <w:left w:val="nil"/>
              <w:bottom w:val="nil"/>
              <w:right w:val="nil"/>
            </w:tcBorders>
            <w:vAlign w:val="bottom"/>
          </w:tcPr>
          <w:p w14:paraId="18551C45" w14:textId="026C7C73"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12,179</w:t>
            </w:r>
          </w:p>
        </w:tc>
      </w:tr>
      <w:tr w:rsidR="00F514B0" w:rsidRPr="007D699F" w14:paraId="66C5FAC8" w14:textId="142A3126" w:rsidTr="00F67547">
        <w:trPr>
          <w:trHeight w:val="290"/>
        </w:trPr>
        <w:tc>
          <w:tcPr>
            <w:tcW w:w="3376" w:type="dxa"/>
            <w:tcBorders>
              <w:top w:val="nil"/>
              <w:left w:val="nil"/>
              <w:bottom w:val="nil"/>
              <w:right w:val="nil"/>
            </w:tcBorders>
            <w:shd w:val="clear" w:color="auto" w:fill="auto"/>
            <w:noWrap/>
            <w:vAlign w:val="bottom"/>
            <w:hideMark/>
          </w:tcPr>
          <w:p w14:paraId="0CE5CBBE" w14:textId="77777777" w:rsidR="00F514B0" w:rsidRPr="00872636" w:rsidRDefault="00F514B0"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BAe 146-200</w:t>
            </w:r>
          </w:p>
        </w:tc>
        <w:tc>
          <w:tcPr>
            <w:tcW w:w="2825" w:type="dxa"/>
            <w:tcBorders>
              <w:top w:val="nil"/>
              <w:left w:val="nil"/>
              <w:bottom w:val="nil"/>
              <w:right w:val="nil"/>
            </w:tcBorders>
            <w:vAlign w:val="bottom"/>
          </w:tcPr>
          <w:p w14:paraId="710F18D9" w14:textId="67FBEBDD"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40,596</w:t>
            </w:r>
          </w:p>
        </w:tc>
        <w:tc>
          <w:tcPr>
            <w:tcW w:w="2825" w:type="dxa"/>
            <w:tcBorders>
              <w:top w:val="nil"/>
              <w:left w:val="nil"/>
              <w:bottom w:val="nil"/>
              <w:right w:val="nil"/>
            </w:tcBorders>
            <w:vAlign w:val="bottom"/>
          </w:tcPr>
          <w:p w14:paraId="31AC4D7B" w14:textId="48DB7EE0"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21,999</w:t>
            </w:r>
          </w:p>
        </w:tc>
      </w:tr>
      <w:tr w:rsidR="00F514B0" w:rsidRPr="007D699F" w14:paraId="3AB45612" w14:textId="3A2536E2" w:rsidTr="00F67547">
        <w:trPr>
          <w:trHeight w:val="290"/>
        </w:trPr>
        <w:tc>
          <w:tcPr>
            <w:tcW w:w="3376" w:type="dxa"/>
            <w:tcBorders>
              <w:top w:val="nil"/>
              <w:left w:val="nil"/>
              <w:bottom w:val="nil"/>
              <w:right w:val="nil"/>
            </w:tcBorders>
            <w:shd w:val="clear" w:color="auto" w:fill="auto"/>
            <w:noWrap/>
            <w:vAlign w:val="bottom"/>
            <w:hideMark/>
          </w:tcPr>
          <w:p w14:paraId="5432C4CA" w14:textId="77777777" w:rsidR="00F514B0" w:rsidRPr="00872636" w:rsidRDefault="00F514B0"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A300-B4-200</w:t>
            </w:r>
          </w:p>
        </w:tc>
        <w:tc>
          <w:tcPr>
            <w:tcW w:w="2825" w:type="dxa"/>
            <w:tcBorders>
              <w:top w:val="nil"/>
              <w:left w:val="nil"/>
              <w:bottom w:val="nil"/>
              <w:right w:val="nil"/>
            </w:tcBorders>
            <w:vAlign w:val="bottom"/>
          </w:tcPr>
          <w:p w14:paraId="09F94CD3" w14:textId="22DF0941"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164,999</w:t>
            </w:r>
          </w:p>
        </w:tc>
        <w:tc>
          <w:tcPr>
            <w:tcW w:w="2825" w:type="dxa"/>
            <w:tcBorders>
              <w:top w:val="nil"/>
              <w:left w:val="nil"/>
              <w:bottom w:val="nil"/>
              <w:right w:val="nil"/>
            </w:tcBorders>
            <w:vAlign w:val="bottom"/>
          </w:tcPr>
          <w:p w14:paraId="40B755B7" w14:textId="0DC82818"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88,500</w:t>
            </w:r>
          </w:p>
        </w:tc>
      </w:tr>
      <w:tr w:rsidR="00F514B0" w:rsidRPr="007D699F" w14:paraId="21D5B17A" w14:textId="5460309C" w:rsidTr="00F67547">
        <w:trPr>
          <w:trHeight w:val="290"/>
        </w:trPr>
        <w:tc>
          <w:tcPr>
            <w:tcW w:w="3376" w:type="dxa"/>
            <w:tcBorders>
              <w:top w:val="nil"/>
              <w:left w:val="nil"/>
              <w:bottom w:val="nil"/>
              <w:right w:val="nil"/>
            </w:tcBorders>
            <w:shd w:val="clear" w:color="auto" w:fill="auto"/>
            <w:noWrap/>
            <w:vAlign w:val="bottom"/>
            <w:hideMark/>
          </w:tcPr>
          <w:p w14:paraId="3356BE77" w14:textId="77777777" w:rsidR="00F514B0" w:rsidRPr="00872636" w:rsidRDefault="00F514B0"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A310-202</w:t>
            </w:r>
          </w:p>
        </w:tc>
        <w:tc>
          <w:tcPr>
            <w:tcW w:w="2825" w:type="dxa"/>
            <w:tcBorders>
              <w:top w:val="nil"/>
              <w:left w:val="nil"/>
              <w:bottom w:val="nil"/>
              <w:right w:val="nil"/>
            </w:tcBorders>
            <w:vAlign w:val="bottom"/>
          </w:tcPr>
          <w:p w14:paraId="22B4CABC" w14:textId="4A2E1CE3"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131,995</w:t>
            </w:r>
          </w:p>
        </w:tc>
        <w:tc>
          <w:tcPr>
            <w:tcW w:w="2825" w:type="dxa"/>
            <w:tcBorders>
              <w:top w:val="nil"/>
              <w:left w:val="nil"/>
              <w:bottom w:val="nil"/>
              <w:right w:val="nil"/>
            </w:tcBorders>
            <w:vAlign w:val="bottom"/>
          </w:tcPr>
          <w:p w14:paraId="0935B66E" w14:textId="1FDE8263"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76,616</w:t>
            </w:r>
          </w:p>
        </w:tc>
      </w:tr>
      <w:tr w:rsidR="00F514B0" w:rsidRPr="007D699F" w14:paraId="72882741" w14:textId="6CA440B2" w:rsidTr="00F67547">
        <w:trPr>
          <w:trHeight w:val="290"/>
        </w:trPr>
        <w:tc>
          <w:tcPr>
            <w:tcW w:w="3376" w:type="dxa"/>
            <w:tcBorders>
              <w:top w:val="nil"/>
              <w:left w:val="nil"/>
              <w:bottom w:val="nil"/>
              <w:right w:val="nil"/>
            </w:tcBorders>
            <w:shd w:val="clear" w:color="auto" w:fill="auto"/>
            <w:noWrap/>
            <w:vAlign w:val="bottom"/>
            <w:hideMark/>
          </w:tcPr>
          <w:p w14:paraId="1E064B6C" w14:textId="77777777" w:rsidR="00F514B0" w:rsidRPr="00872636" w:rsidRDefault="00F514B0"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Ilyushin-Il-62M</w:t>
            </w:r>
          </w:p>
        </w:tc>
        <w:tc>
          <w:tcPr>
            <w:tcW w:w="2825" w:type="dxa"/>
            <w:tcBorders>
              <w:top w:val="nil"/>
              <w:left w:val="nil"/>
              <w:bottom w:val="nil"/>
              <w:right w:val="nil"/>
            </w:tcBorders>
            <w:vAlign w:val="bottom"/>
          </w:tcPr>
          <w:p w14:paraId="7A294F7A" w14:textId="5478D3D8"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162,000</w:t>
            </w:r>
          </w:p>
        </w:tc>
        <w:tc>
          <w:tcPr>
            <w:tcW w:w="2825" w:type="dxa"/>
            <w:tcBorders>
              <w:top w:val="nil"/>
              <w:left w:val="nil"/>
              <w:bottom w:val="nil"/>
              <w:right w:val="nil"/>
            </w:tcBorders>
            <w:vAlign w:val="bottom"/>
          </w:tcPr>
          <w:p w14:paraId="7452E958" w14:textId="2321BAE4"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69,400</w:t>
            </w:r>
          </w:p>
        </w:tc>
      </w:tr>
      <w:tr w:rsidR="00F514B0" w:rsidRPr="007D699F" w14:paraId="58BEFEAE" w14:textId="2BCEB866" w:rsidTr="00F67547">
        <w:trPr>
          <w:trHeight w:val="290"/>
        </w:trPr>
        <w:tc>
          <w:tcPr>
            <w:tcW w:w="3376" w:type="dxa"/>
            <w:tcBorders>
              <w:top w:val="nil"/>
              <w:left w:val="nil"/>
              <w:bottom w:val="nil"/>
              <w:right w:val="nil"/>
            </w:tcBorders>
            <w:shd w:val="clear" w:color="auto" w:fill="auto"/>
            <w:noWrap/>
            <w:vAlign w:val="bottom"/>
            <w:hideMark/>
          </w:tcPr>
          <w:p w14:paraId="6C56CB37" w14:textId="77777777" w:rsidR="00F514B0" w:rsidRPr="00872636" w:rsidRDefault="00F514B0"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Tupolev-154</w:t>
            </w:r>
          </w:p>
        </w:tc>
        <w:tc>
          <w:tcPr>
            <w:tcW w:w="2825" w:type="dxa"/>
            <w:tcBorders>
              <w:top w:val="nil"/>
              <w:left w:val="nil"/>
              <w:bottom w:val="nil"/>
              <w:right w:val="nil"/>
            </w:tcBorders>
            <w:vAlign w:val="bottom"/>
          </w:tcPr>
          <w:p w14:paraId="738025FA" w14:textId="36EDB7D0"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90,000</w:t>
            </w:r>
          </w:p>
        </w:tc>
        <w:tc>
          <w:tcPr>
            <w:tcW w:w="2825" w:type="dxa"/>
            <w:tcBorders>
              <w:top w:val="nil"/>
              <w:left w:val="nil"/>
              <w:bottom w:val="nil"/>
              <w:right w:val="nil"/>
            </w:tcBorders>
            <w:vAlign w:val="bottom"/>
          </w:tcPr>
          <w:p w14:paraId="3484FC65" w14:textId="2A92585F"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43,499</w:t>
            </w:r>
          </w:p>
        </w:tc>
      </w:tr>
      <w:tr w:rsidR="00F514B0" w:rsidRPr="007D699F" w14:paraId="73492F75" w14:textId="6CD37246" w:rsidTr="00F67547">
        <w:trPr>
          <w:trHeight w:val="290"/>
        </w:trPr>
        <w:tc>
          <w:tcPr>
            <w:tcW w:w="3376" w:type="dxa"/>
            <w:tcBorders>
              <w:top w:val="nil"/>
              <w:left w:val="nil"/>
              <w:bottom w:val="nil"/>
              <w:right w:val="nil"/>
            </w:tcBorders>
            <w:shd w:val="clear" w:color="auto" w:fill="auto"/>
            <w:noWrap/>
            <w:vAlign w:val="bottom"/>
            <w:hideMark/>
          </w:tcPr>
          <w:p w14:paraId="323D433C" w14:textId="77777777" w:rsidR="00F514B0" w:rsidRPr="00872636" w:rsidRDefault="00F514B0"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Boeing 787-8</w:t>
            </w:r>
          </w:p>
        </w:tc>
        <w:tc>
          <w:tcPr>
            <w:tcW w:w="2825" w:type="dxa"/>
            <w:tcBorders>
              <w:top w:val="nil"/>
              <w:left w:val="nil"/>
              <w:bottom w:val="nil"/>
              <w:right w:val="nil"/>
            </w:tcBorders>
            <w:vAlign w:val="bottom"/>
          </w:tcPr>
          <w:p w14:paraId="5F85254D" w14:textId="1531D11E"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227,930</w:t>
            </w:r>
          </w:p>
        </w:tc>
        <w:tc>
          <w:tcPr>
            <w:tcW w:w="2825" w:type="dxa"/>
            <w:tcBorders>
              <w:top w:val="nil"/>
              <w:left w:val="nil"/>
              <w:bottom w:val="nil"/>
              <w:right w:val="nil"/>
            </w:tcBorders>
            <w:vAlign w:val="bottom"/>
          </w:tcPr>
          <w:p w14:paraId="06D3E17E" w14:textId="59166D33"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117,707</w:t>
            </w:r>
          </w:p>
        </w:tc>
      </w:tr>
      <w:tr w:rsidR="00F514B0" w:rsidRPr="007D699F" w14:paraId="195C0EBB" w14:textId="097E4E35" w:rsidTr="00F67547">
        <w:trPr>
          <w:trHeight w:val="290"/>
        </w:trPr>
        <w:tc>
          <w:tcPr>
            <w:tcW w:w="3376" w:type="dxa"/>
            <w:tcBorders>
              <w:top w:val="nil"/>
              <w:left w:val="nil"/>
              <w:bottom w:val="nil"/>
              <w:right w:val="nil"/>
            </w:tcBorders>
            <w:shd w:val="clear" w:color="auto" w:fill="auto"/>
            <w:noWrap/>
            <w:vAlign w:val="bottom"/>
            <w:hideMark/>
          </w:tcPr>
          <w:p w14:paraId="59AE9376" w14:textId="77777777" w:rsidR="00F514B0" w:rsidRPr="00872636" w:rsidRDefault="00F514B0"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A380-800</w:t>
            </w:r>
          </w:p>
        </w:tc>
        <w:tc>
          <w:tcPr>
            <w:tcW w:w="2825" w:type="dxa"/>
            <w:tcBorders>
              <w:top w:val="nil"/>
              <w:left w:val="nil"/>
              <w:bottom w:val="nil"/>
              <w:right w:val="nil"/>
            </w:tcBorders>
            <w:vAlign w:val="bottom"/>
          </w:tcPr>
          <w:p w14:paraId="7CED6F2F" w14:textId="5299E8B2"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559,993</w:t>
            </w:r>
          </w:p>
        </w:tc>
        <w:tc>
          <w:tcPr>
            <w:tcW w:w="2825" w:type="dxa"/>
            <w:tcBorders>
              <w:top w:val="nil"/>
              <w:left w:val="nil"/>
              <w:bottom w:val="nil"/>
              <w:right w:val="nil"/>
            </w:tcBorders>
            <w:vAlign w:val="bottom"/>
          </w:tcPr>
          <w:p w14:paraId="4D8AF9E8" w14:textId="6B286965"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270,012</w:t>
            </w:r>
          </w:p>
        </w:tc>
      </w:tr>
      <w:tr w:rsidR="00F514B0" w:rsidRPr="007D699F" w14:paraId="55E6A1B8" w14:textId="67A20B07" w:rsidTr="00F67547">
        <w:trPr>
          <w:trHeight w:val="290"/>
        </w:trPr>
        <w:tc>
          <w:tcPr>
            <w:tcW w:w="3376" w:type="dxa"/>
            <w:tcBorders>
              <w:top w:val="nil"/>
              <w:left w:val="nil"/>
              <w:bottom w:val="nil"/>
              <w:right w:val="nil"/>
            </w:tcBorders>
            <w:shd w:val="clear" w:color="auto" w:fill="auto"/>
            <w:noWrap/>
            <w:vAlign w:val="bottom"/>
            <w:hideMark/>
          </w:tcPr>
          <w:p w14:paraId="7BADCEE2" w14:textId="77777777" w:rsidR="00F514B0" w:rsidRPr="00872636" w:rsidRDefault="00F514B0"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A330-200</w:t>
            </w:r>
          </w:p>
        </w:tc>
        <w:tc>
          <w:tcPr>
            <w:tcW w:w="2825" w:type="dxa"/>
            <w:tcBorders>
              <w:top w:val="nil"/>
              <w:left w:val="nil"/>
              <w:bottom w:val="nil"/>
              <w:right w:val="nil"/>
            </w:tcBorders>
            <w:vAlign w:val="bottom"/>
          </w:tcPr>
          <w:p w14:paraId="1A052223" w14:textId="6B7D29F1"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229,998</w:t>
            </w:r>
          </w:p>
        </w:tc>
        <w:tc>
          <w:tcPr>
            <w:tcW w:w="2825" w:type="dxa"/>
            <w:tcBorders>
              <w:top w:val="nil"/>
              <w:left w:val="nil"/>
              <w:bottom w:val="nil"/>
              <w:right w:val="nil"/>
            </w:tcBorders>
            <w:vAlign w:val="bottom"/>
          </w:tcPr>
          <w:p w14:paraId="4E8DEBE6" w14:textId="29ED9708"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120,499</w:t>
            </w:r>
          </w:p>
        </w:tc>
      </w:tr>
      <w:tr w:rsidR="00F514B0" w:rsidRPr="007D699F" w14:paraId="5313FF1A" w14:textId="359FC706" w:rsidTr="00F67547">
        <w:trPr>
          <w:trHeight w:val="290"/>
        </w:trPr>
        <w:tc>
          <w:tcPr>
            <w:tcW w:w="3376" w:type="dxa"/>
            <w:tcBorders>
              <w:top w:val="nil"/>
              <w:left w:val="nil"/>
              <w:bottom w:val="nil"/>
              <w:right w:val="nil"/>
            </w:tcBorders>
            <w:shd w:val="clear" w:color="auto" w:fill="auto"/>
            <w:noWrap/>
            <w:vAlign w:val="bottom"/>
            <w:hideMark/>
          </w:tcPr>
          <w:p w14:paraId="0BD70629" w14:textId="77777777" w:rsidR="00F514B0" w:rsidRPr="00872636" w:rsidRDefault="00F514B0"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Airbus A320</w:t>
            </w:r>
          </w:p>
        </w:tc>
        <w:tc>
          <w:tcPr>
            <w:tcW w:w="2825" w:type="dxa"/>
            <w:tcBorders>
              <w:top w:val="nil"/>
              <w:left w:val="nil"/>
              <w:bottom w:val="nil"/>
              <w:right w:val="nil"/>
            </w:tcBorders>
            <w:vAlign w:val="bottom"/>
          </w:tcPr>
          <w:p w14:paraId="3144DE5C" w14:textId="7FC51691"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73,498</w:t>
            </w:r>
          </w:p>
        </w:tc>
        <w:tc>
          <w:tcPr>
            <w:tcW w:w="2825" w:type="dxa"/>
            <w:tcBorders>
              <w:top w:val="nil"/>
              <w:left w:val="nil"/>
              <w:bottom w:val="nil"/>
              <w:right w:val="nil"/>
            </w:tcBorders>
            <w:vAlign w:val="bottom"/>
          </w:tcPr>
          <w:p w14:paraId="4DA2FD4E" w14:textId="5B72C0C3"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42,100</w:t>
            </w:r>
          </w:p>
        </w:tc>
      </w:tr>
      <w:tr w:rsidR="00F514B0" w:rsidRPr="007D699F" w14:paraId="6E73088A" w14:textId="7C6A3CE6" w:rsidTr="00F67547">
        <w:trPr>
          <w:trHeight w:val="290"/>
        </w:trPr>
        <w:tc>
          <w:tcPr>
            <w:tcW w:w="3376" w:type="dxa"/>
            <w:tcBorders>
              <w:top w:val="nil"/>
              <w:left w:val="nil"/>
              <w:bottom w:val="nil"/>
              <w:right w:val="nil"/>
            </w:tcBorders>
            <w:shd w:val="clear" w:color="auto" w:fill="auto"/>
            <w:noWrap/>
            <w:vAlign w:val="bottom"/>
            <w:hideMark/>
          </w:tcPr>
          <w:p w14:paraId="00664509" w14:textId="77777777" w:rsidR="00F514B0" w:rsidRPr="00872636" w:rsidRDefault="00F514B0"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Boeing 777-200</w:t>
            </w:r>
          </w:p>
        </w:tc>
        <w:tc>
          <w:tcPr>
            <w:tcW w:w="2825" w:type="dxa"/>
            <w:tcBorders>
              <w:top w:val="nil"/>
              <w:left w:val="nil"/>
              <w:bottom w:val="nil"/>
              <w:right w:val="nil"/>
            </w:tcBorders>
            <w:vAlign w:val="bottom"/>
          </w:tcPr>
          <w:p w14:paraId="31EEB332" w14:textId="44610575"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229,518</w:t>
            </w:r>
          </w:p>
        </w:tc>
        <w:tc>
          <w:tcPr>
            <w:tcW w:w="2825" w:type="dxa"/>
            <w:tcBorders>
              <w:top w:val="nil"/>
              <w:left w:val="nil"/>
              <w:bottom w:val="nil"/>
              <w:right w:val="nil"/>
            </w:tcBorders>
            <w:vAlign w:val="bottom"/>
          </w:tcPr>
          <w:p w14:paraId="12AF4DBA" w14:textId="02D870CB" w:rsidR="00F514B0" w:rsidRPr="00872636" w:rsidRDefault="00F514B0" w:rsidP="00872636">
            <w:pPr>
              <w:spacing w:after="0" w:line="276" w:lineRule="auto"/>
              <w:jc w:val="right"/>
              <w:rPr>
                <w:rFonts w:ascii="Times New Roman" w:eastAsia="Times New Roman" w:hAnsi="Times New Roman" w:cs="Times New Roman"/>
                <w:color w:val="000000"/>
                <w:sz w:val="24"/>
                <w:szCs w:val="24"/>
                <w:lang w:eastAsia="en-GB"/>
              </w:rPr>
            </w:pPr>
            <w:r w:rsidRPr="00872636">
              <w:rPr>
                <w:rFonts w:ascii="Times New Roman" w:hAnsi="Times New Roman" w:cs="Times New Roman"/>
                <w:color w:val="000000"/>
                <w:sz w:val="24"/>
                <w:szCs w:val="24"/>
              </w:rPr>
              <w:t>140,659</w:t>
            </w:r>
          </w:p>
        </w:tc>
      </w:tr>
      <w:tr w:rsidR="00BE1F06" w:rsidRPr="007D699F" w14:paraId="70AC4070" w14:textId="77777777" w:rsidTr="00F67547">
        <w:trPr>
          <w:trHeight w:val="290"/>
        </w:trPr>
        <w:tc>
          <w:tcPr>
            <w:tcW w:w="3376" w:type="dxa"/>
            <w:tcBorders>
              <w:top w:val="nil"/>
              <w:left w:val="nil"/>
              <w:bottom w:val="nil"/>
              <w:right w:val="nil"/>
            </w:tcBorders>
            <w:shd w:val="clear" w:color="auto" w:fill="auto"/>
            <w:noWrap/>
            <w:vAlign w:val="bottom"/>
          </w:tcPr>
          <w:p w14:paraId="12549D74" w14:textId="3519477C" w:rsidR="00BE1F06" w:rsidRPr="00872636" w:rsidRDefault="00BE1F06"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A350-1000 Jet-A</w:t>
            </w:r>
          </w:p>
        </w:tc>
        <w:tc>
          <w:tcPr>
            <w:tcW w:w="2825" w:type="dxa"/>
            <w:tcBorders>
              <w:top w:val="nil"/>
              <w:left w:val="nil"/>
              <w:bottom w:val="nil"/>
              <w:right w:val="nil"/>
            </w:tcBorders>
            <w:vAlign w:val="bottom"/>
          </w:tcPr>
          <w:p w14:paraId="53291819" w14:textId="25D82F19" w:rsidR="00BE1F06" w:rsidRPr="00872636" w:rsidRDefault="00BE1F06" w:rsidP="00872636">
            <w:pPr>
              <w:spacing w:after="0"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316,000</w:t>
            </w:r>
          </w:p>
        </w:tc>
        <w:tc>
          <w:tcPr>
            <w:tcW w:w="2825" w:type="dxa"/>
            <w:tcBorders>
              <w:top w:val="nil"/>
              <w:left w:val="nil"/>
              <w:bottom w:val="nil"/>
              <w:right w:val="nil"/>
            </w:tcBorders>
            <w:vAlign w:val="bottom"/>
          </w:tcPr>
          <w:p w14:paraId="6A8E5052" w14:textId="71939DC2" w:rsidR="00BE1F06" w:rsidRPr="00872636" w:rsidRDefault="00BE1F06" w:rsidP="00872636">
            <w:pPr>
              <w:spacing w:after="0"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155,129</w:t>
            </w:r>
          </w:p>
        </w:tc>
      </w:tr>
      <w:tr w:rsidR="00BE1F06" w:rsidRPr="007D699F" w14:paraId="1C95FD7A" w14:textId="77777777" w:rsidTr="00F67547">
        <w:trPr>
          <w:trHeight w:val="290"/>
        </w:trPr>
        <w:tc>
          <w:tcPr>
            <w:tcW w:w="3376" w:type="dxa"/>
            <w:tcBorders>
              <w:top w:val="nil"/>
              <w:left w:val="nil"/>
              <w:bottom w:val="single" w:sz="4" w:space="0" w:color="auto"/>
              <w:right w:val="nil"/>
            </w:tcBorders>
            <w:shd w:val="clear" w:color="auto" w:fill="auto"/>
            <w:noWrap/>
            <w:vAlign w:val="bottom"/>
          </w:tcPr>
          <w:p w14:paraId="0EB431EC" w14:textId="471806D9" w:rsidR="00BE1F06" w:rsidRPr="00872636" w:rsidRDefault="00BE1F06" w:rsidP="00872636">
            <w:pPr>
              <w:spacing w:after="0" w:line="276" w:lineRule="auto"/>
              <w:rPr>
                <w:rFonts w:ascii="Times New Roman" w:eastAsia="Times New Roman" w:hAnsi="Times New Roman" w:cs="Times New Roman"/>
                <w:color w:val="000000"/>
                <w:sz w:val="24"/>
                <w:szCs w:val="24"/>
                <w:lang w:eastAsia="en-GB"/>
              </w:rPr>
            </w:pPr>
            <w:r w:rsidRPr="00872636">
              <w:rPr>
                <w:rFonts w:ascii="Times New Roman" w:eastAsia="Times New Roman" w:hAnsi="Times New Roman" w:cs="Times New Roman"/>
                <w:color w:val="000000"/>
                <w:sz w:val="24"/>
                <w:szCs w:val="24"/>
                <w:lang w:eastAsia="en-GB"/>
              </w:rPr>
              <w:t>A350-1000 100% SPK</w:t>
            </w:r>
          </w:p>
        </w:tc>
        <w:tc>
          <w:tcPr>
            <w:tcW w:w="2825" w:type="dxa"/>
            <w:tcBorders>
              <w:top w:val="nil"/>
              <w:left w:val="nil"/>
              <w:bottom w:val="single" w:sz="4" w:space="0" w:color="auto"/>
              <w:right w:val="nil"/>
            </w:tcBorders>
            <w:vAlign w:val="bottom"/>
          </w:tcPr>
          <w:p w14:paraId="31EBF4D7" w14:textId="7FCB97E8" w:rsidR="00BE1F06" w:rsidRPr="00872636" w:rsidRDefault="00BE1F06" w:rsidP="00872636">
            <w:pPr>
              <w:spacing w:after="0"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313,404</w:t>
            </w:r>
          </w:p>
        </w:tc>
        <w:tc>
          <w:tcPr>
            <w:tcW w:w="2825" w:type="dxa"/>
            <w:tcBorders>
              <w:top w:val="nil"/>
              <w:left w:val="nil"/>
              <w:bottom w:val="single" w:sz="4" w:space="0" w:color="auto"/>
              <w:right w:val="nil"/>
            </w:tcBorders>
            <w:vAlign w:val="bottom"/>
          </w:tcPr>
          <w:p w14:paraId="441CB69A" w14:textId="408FA0C2" w:rsidR="00BE1F06" w:rsidRPr="00872636" w:rsidRDefault="00BE1F06" w:rsidP="00872636">
            <w:pPr>
              <w:spacing w:after="0" w:line="276" w:lineRule="auto"/>
              <w:jc w:val="right"/>
              <w:rPr>
                <w:rFonts w:ascii="Times New Roman" w:hAnsi="Times New Roman" w:cs="Times New Roman"/>
                <w:color w:val="000000"/>
                <w:sz w:val="24"/>
                <w:szCs w:val="24"/>
              </w:rPr>
            </w:pPr>
            <w:r w:rsidRPr="00872636">
              <w:rPr>
                <w:rFonts w:ascii="Times New Roman" w:hAnsi="Times New Roman" w:cs="Times New Roman"/>
                <w:color w:val="000000"/>
                <w:sz w:val="24"/>
                <w:szCs w:val="24"/>
              </w:rPr>
              <w:t>155,314</w:t>
            </w:r>
          </w:p>
        </w:tc>
      </w:tr>
    </w:tbl>
    <w:p w14:paraId="615FA3AF" w14:textId="77777777" w:rsidR="00230799" w:rsidRPr="00872636" w:rsidRDefault="00230799" w:rsidP="00C525D8">
      <w:pPr>
        <w:spacing w:line="480" w:lineRule="auto"/>
        <w:jc w:val="both"/>
        <w:rPr>
          <w:rFonts w:ascii="Times New Roman" w:hAnsi="Times New Roman" w:cs="Times New Roman"/>
          <w:sz w:val="24"/>
          <w:szCs w:val="24"/>
        </w:rPr>
      </w:pPr>
    </w:p>
    <w:p w14:paraId="08D58F56" w14:textId="3527CEBF" w:rsidR="004363B2" w:rsidRPr="00872636" w:rsidRDefault="004363B2" w:rsidP="00C525D8">
      <w:pPr>
        <w:pStyle w:val="Heading2"/>
        <w:spacing w:after="240" w:line="480" w:lineRule="auto"/>
        <w:rPr>
          <w:rFonts w:ascii="Times New Roman" w:hAnsi="Times New Roman" w:cs="Times New Roman"/>
          <w:sz w:val="24"/>
          <w:szCs w:val="24"/>
          <w:lang w:eastAsia="en-GB"/>
        </w:rPr>
      </w:pPr>
      <w:r w:rsidRPr="00872636">
        <w:rPr>
          <w:rFonts w:ascii="Times New Roman" w:hAnsi="Times New Roman" w:cs="Times New Roman"/>
          <w:color w:val="auto"/>
          <w:sz w:val="24"/>
          <w:szCs w:val="24"/>
          <w:lang w:eastAsia="en-GB"/>
        </w:rPr>
        <w:t>LH</w:t>
      </w:r>
      <w:r w:rsidRPr="00872636">
        <w:rPr>
          <w:rFonts w:ascii="Times New Roman" w:hAnsi="Times New Roman" w:cs="Times New Roman"/>
          <w:color w:val="auto"/>
          <w:sz w:val="24"/>
          <w:szCs w:val="24"/>
          <w:vertAlign w:val="subscript"/>
          <w:lang w:eastAsia="en-GB"/>
        </w:rPr>
        <w:t>2</w:t>
      </w:r>
      <w:r w:rsidRPr="00872636">
        <w:rPr>
          <w:rFonts w:ascii="Times New Roman" w:hAnsi="Times New Roman" w:cs="Times New Roman"/>
          <w:color w:val="auto"/>
          <w:sz w:val="24"/>
          <w:szCs w:val="24"/>
          <w:lang w:eastAsia="en-GB"/>
        </w:rPr>
        <w:t xml:space="preserve"> aircraft landing weight analysis</w:t>
      </w:r>
    </w:p>
    <w:p w14:paraId="2F2DDCD4" w14:textId="5DA6EBA5" w:rsidR="00654376" w:rsidRPr="00872636" w:rsidRDefault="004363B2" w:rsidP="00C525D8">
      <w:pPr>
        <w:spacing w:line="480" w:lineRule="auto"/>
        <w:jc w:val="both"/>
        <w:rPr>
          <w:rFonts w:ascii="Times New Roman" w:hAnsi="Times New Roman" w:cs="Times New Roman"/>
          <w:sz w:val="24"/>
          <w:szCs w:val="24"/>
        </w:rPr>
      </w:pPr>
      <w:r w:rsidRPr="00872636">
        <w:rPr>
          <w:rFonts w:ascii="Times New Roman" w:hAnsi="Times New Roman" w:cs="Times New Roman"/>
          <w:sz w:val="24"/>
          <w:szCs w:val="24"/>
          <w:lang w:eastAsia="en-GB"/>
        </w:rPr>
        <w:tab/>
        <w:t xml:space="preserve">Considering an emergency situation, the landing weight of an aircraft is an important factor. The safe landing weight is dependent on the structural weight of the aircraft. Roskam </w:t>
      </w:r>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{"citationItems":[{"id":"ITEM-1","itemData":{"author":[{"dropping-particle":"","family":"Roskam","given":"Jan","non-dropping-particle":"","parse-names":false,"suffix":""}],"id":"ITEM-1","issued":{"date-parts":[["2005"]]},"publisher":"DAR Corporation","title":"Airplane Design. Part I: Preliminary Sizing of Airplanes","type":"book"},"uris":["http://www.mendeley.com/documents/?uuid=82bd761a-9a46-45bc-9eac-fa82a74c85bb"]}],"mendeley":{"formattedCitation":"[94]","plainTextFormattedCitation":"[94]","previouslyFormattedCitation":"[94]"},"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[94]</w:t>
      </w:r>
      <w:r w:rsidRPr="00872636">
        <w:rPr>
          <w:rFonts w:ascii="Times New Roman" w:hAnsi="Times New Roman" w:cs="Times New Roman"/>
          <w:sz w:val="24"/>
          <w:szCs w:val="24"/>
          <w:lang w:eastAsia="en-GB"/>
        </w:rPr>
        <w:fldChar w:fldCharType="end"/>
      </w:r>
      <w:r w:rsidRPr="00872636">
        <w:rPr>
          <w:rFonts w:ascii="Times New Roman" w:hAnsi="Times New Roman" w:cs="Times New Roman"/>
          <w:sz w:val="24"/>
          <w:szCs w:val="24"/>
          <w:lang w:eastAsia="en-GB"/>
        </w:rPr>
        <w:t xml:space="preserve"> recommends 0.84 to be an average permissible ratio of the aircraft landing weight and the aircraft’s permissible take-off weight, for a transport jet. In the event of an emergency landing immediately after take-off, the pilot performs fuel jettison or dumps the conventional Jet-A </w:t>
      </w:r>
      <w:r w:rsidRPr="00872636">
        <w:rPr>
          <w:rFonts w:ascii="Times New Roman" w:hAnsi="Times New Roman" w:cs="Times New Roman"/>
          <w:sz w:val="24"/>
          <w:szCs w:val="24"/>
          <w:lang w:eastAsia="en-GB"/>
        </w:rPr>
        <w:lastRenderedPageBreak/>
        <w:t>fuel in air so that the aircraft weight goes below its permissible landing weight. However, for an aircraft powered by hydrogen fuel, this highly flammable fuel cannot be dumped into the atmosphere. The present research uses the same MTOW limit (316 ton</w:t>
      </w:r>
      <w:r w:rsidR="009222E3" w:rsidRPr="00872636">
        <w:rPr>
          <w:rFonts w:ascii="Times New Roman" w:hAnsi="Times New Roman" w:cs="Times New Roman"/>
          <w:sz w:val="24"/>
          <w:szCs w:val="24"/>
          <w:lang w:eastAsia="en-GB"/>
        </w:rPr>
        <w:t>ne</w:t>
      </w:r>
      <w:r w:rsidRPr="00872636">
        <w:rPr>
          <w:rFonts w:ascii="Times New Roman" w:hAnsi="Times New Roman" w:cs="Times New Roman"/>
          <w:sz w:val="24"/>
          <w:szCs w:val="24"/>
          <w:lang w:eastAsia="en-GB"/>
        </w:rPr>
        <w:t>) for both Jet-A and LH</w:t>
      </w:r>
      <w:r w:rsidRPr="00872636">
        <w:rPr>
          <w:rFonts w:ascii="Times New Roman" w:hAnsi="Times New Roman" w:cs="Times New Roman"/>
          <w:sz w:val="24"/>
          <w:szCs w:val="24"/>
          <w:vertAlign w:val="subscript"/>
          <w:lang w:eastAsia="en-GB"/>
        </w:rPr>
        <w:t>2</w:t>
      </w:r>
      <w:r w:rsidRPr="00872636">
        <w:rPr>
          <w:rFonts w:ascii="Times New Roman" w:hAnsi="Times New Roman" w:cs="Times New Roman"/>
          <w:sz w:val="24"/>
          <w:szCs w:val="24"/>
          <w:lang w:eastAsia="en-GB"/>
        </w:rPr>
        <w:t xml:space="preserve"> aircraft. As discussed earlier, for </w:t>
      </w:r>
      <w:r w:rsidRPr="00872636">
        <w:rPr>
          <w:rFonts w:ascii="Times New Roman" w:hAnsi="Times New Roman" w:cs="Times New Roman"/>
          <w:sz w:val="24"/>
          <w:szCs w:val="24"/>
        </w:rPr>
        <w:t>LH</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rPr>
        <w:t xml:space="preserve"> fuel there is a net reduction in the aircraft GTOW of 15% from the permissible weight, or GTOW</w:t>
      </w:r>
      <w:r w:rsidRPr="00872636">
        <w:rPr>
          <w:rFonts w:ascii="Times New Roman" w:hAnsi="Times New Roman" w:cs="Times New Roman"/>
          <w:sz w:val="24"/>
          <w:szCs w:val="24"/>
          <w:vertAlign w:val="subscript"/>
        </w:rPr>
        <w:t>LH2</w:t>
      </w:r>
      <w:r w:rsidRPr="00872636">
        <w:rPr>
          <w:rFonts w:ascii="Times New Roman" w:hAnsi="Times New Roman" w:cs="Times New Roman"/>
          <w:sz w:val="24"/>
          <w:szCs w:val="24"/>
        </w:rPr>
        <w:t xml:space="preserve"> = 0.85 MTOW. During engine start, taxi-out and take-off, LH</w:t>
      </w:r>
      <w:r w:rsidRPr="00872636">
        <w:rPr>
          <w:rFonts w:ascii="Times New Roman" w:hAnsi="Times New Roman" w:cs="Times New Roman"/>
          <w:sz w:val="24"/>
          <w:szCs w:val="24"/>
          <w:vertAlign w:val="subscript"/>
        </w:rPr>
        <w:t xml:space="preserve">2 </w:t>
      </w:r>
      <w:r w:rsidRPr="00872636">
        <w:rPr>
          <w:rFonts w:ascii="Times New Roman" w:hAnsi="Times New Roman" w:cs="Times New Roman"/>
          <w:sz w:val="24"/>
          <w:szCs w:val="24"/>
        </w:rPr>
        <w:t>fuel will consumed and this would further reduce this aircraft weight. The GTOW of this LH</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rPr>
        <w:t xml:space="preserve"> aircraft is similar to the average permissible landing weight of the baseline aircraft (structure). This means that there might not be a need to conduct fuel jettison of a highly flammable hydrogen fuel in the event of an emergency landing. This finding is of significance considering the safety issue associated with LH</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rPr>
        <w:t xml:space="preserve"> use in a passenger aircraft.</w:t>
      </w:r>
    </w:p>
    <w:p w14:paraId="656B3584" w14:textId="74DC5874" w:rsidR="00295445" w:rsidRPr="00872636" w:rsidRDefault="00295445" w:rsidP="00C525D8">
      <w:pPr>
        <w:pStyle w:val="Heading2"/>
        <w:spacing w:after="240" w:line="480" w:lineRule="auto"/>
        <w:rPr>
          <w:rFonts w:ascii="Times New Roman" w:hAnsi="Times New Roman" w:cs="Times New Roman"/>
          <w:sz w:val="24"/>
          <w:szCs w:val="24"/>
          <w:lang w:eastAsia="en-GB"/>
        </w:rPr>
      </w:pPr>
      <w:r w:rsidRPr="00872636">
        <w:rPr>
          <w:rFonts w:ascii="Times New Roman" w:hAnsi="Times New Roman" w:cs="Times New Roman"/>
          <w:color w:val="auto"/>
          <w:sz w:val="24"/>
          <w:szCs w:val="24"/>
          <w:lang w:eastAsia="en-GB"/>
        </w:rPr>
        <w:t>Off-design point analysis</w:t>
      </w:r>
    </w:p>
    <w:p w14:paraId="34B39165" w14:textId="67DD9DEA" w:rsidR="008B0D95" w:rsidRDefault="008B0D95" w:rsidP="00C525D8">
      <w:pPr>
        <w:shd w:val="clear" w:color="auto" w:fill="FFFFFF"/>
        <w:spacing w:after="0" w:line="480" w:lineRule="auto"/>
        <w:jc w:val="both"/>
        <w:rPr>
          <w:rFonts w:ascii="Times New Roman" w:hAnsi="Times New Roman" w:cs="Times New Roman"/>
          <w:sz w:val="24"/>
          <w:szCs w:val="24"/>
          <w:lang w:eastAsia="en-GB"/>
        </w:rPr>
      </w:pPr>
      <w:r w:rsidRPr="006C247F">
        <w:rPr>
          <w:rFonts w:ascii="Times New Roman" w:hAnsi="Times New Roman" w:cs="Times New Roman"/>
          <w:sz w:val="24"/>
          <w:szCs w:val="24"/>
          <w:lang w:eastAsia="en-GB"/>
        </w:rPr>
        <w:tab/>
      </w:r>
      <w:r w:rsidRPr="006C247F">
        <w:rPr>
          <w:rFonts w:ascii="Times New Roman" w:hAnsi="Times New Roman" w:cs="Times New Roman"/>
          <w:sz w:val="24"/>
          <w:szCs w:val="24"/>
        </w:rPr>
        <w:t>Figure SI 6 shows the comparison of OEW/GTOW for Jet-A, 100% SPK and LH</w:t>
      </w:r>
      <w:r w:rsidRPr="006C247F">
        <w:rPr>
          <w:rFonts w:ascii="Times New Roman" w:hAnsi="Times New Roman" w:cs="Times New Roman"/>
          <w:sz w:val="24"/>
          <w:szCs w:val="24"/>
          <w:vertAlign w:val="subscript"/>
        </w:rPr>
        <w:t>2</w:t>
      </w:r>
      <w:r w:rsidRPr="006C247F">
        <w:rPr>
          <w:rFonts w:ascii="Times New Roman" w:hAnsi="Times New Roman" w:cs="Times New Roman"/>
          <w:sz w:val="24"/>
          <w:szCs w:val="24"/>
        </w:rPr>
        <w:t xml:space="preserve"> aircraft at different range and payload (load factor) combinations</w:t>
      </w:r>
      <w:r w:rsidRPr="006C247F">
        <w:rPr>
          <w:rFonts w:ascii="Times New Roman" w:hAnsi="Times New Roman" w:cs="Times New Roman"/>
          <w:sz w:val="24"/>
          <w:szCs w:val="24"/>
          <w:lang w:eastAsia="en-GB"/>
        </w:rPr>
        <w:t xml:space="preserve">. It is to be noted that at the off-design points, the OEW for a given fuel case is constant and the GTOW (sum of OEW, payload weight and </w:t>
      </w:r>
      <w:r w:rsidRPr="006C247F">
        <w:rPr>
          <w:rFonts w:ascii="Times New Roman" w:hAnsi="Times New Roman" w:cs="Times New Roman"/>
          <w:i/>
          <w:iCs/>
          <w:sz w:val="24"/>
          <w:szCs w:val="24"/>
          <w:lang w:eastAsia="en-GB"/>
        </w:rPr>
        <w:t>W</w:t>
      </w:r>
      <w:r w:rsidRPr="006C247F">
        <w:rPr>
          <w:rFonts w:ascii="Times New Roman" w:hAnsi="Times New Roman" w:cs="Times New Roman"/>
          <w:sz w:val="24"/>
          <w:szCs w:val="24"/>
          <w:vertAlign w:val="subscript"/>
          <w:lang w:eastAsia="en-GB"/>
        </w:rPr>
        <w:t>F,total</w:t>
      </w:r>
      <w:r w:rsidRPr="006C247F">
        <w:rPr>
          <w:rFonts w:ascii="Times New Roman" w:hAnsi="Times New Roman" w:cs="Times New Roman"/>
          <w:sz w:val="24"/>
          <w:szCs w:val="24"/>
          <w:lang w:eastAsia="en-GB"/>
        </w:rPr>
        <w:t>) varies with flight range/distance to be travelled. For a given payload/</w:t>
      </w:r>
      <w:r w:rsidRPr="006C247F">
        <w:rPr>
          <w:rFonts w:ascii="Times New Roman" w:hAnsi="Times New Roman" w:cs="Times New Roman"/>
          <w:sz w:val="24"/>
          <w:szCs w:val="24"/>
        </w:rPr>
        <w:t>load factor</w:t>
      </w:r>
      <w:r w:rsidRPr="006C247F">
        <w:rPr>
          <w:rFonts w:ascii="Times New Roman" w:hAnsi="Times New Roman" w:cs="Times New Roman"/>
          <w:sz w:val="24"/>
          <w:szCs w:val="24"/>
          <w:lang w:eastAsia="en-GB"/>
        </w:rPr>
        <w:t xml:space="preserve"> case, the </w:t>
      </w:r>
      <w:r w:rsidRPr="006C247F">
        <w:rPr>
          <w:rFonts w:ascii="Times New Roman" w:hAnsi="Times New Roman" w:cs="Times New Roman"/>
          <w:i/>
          <w:iCs/>
          <w:sz w:val="24"/>
          <w:szCs w:val="24"/>
          <w:lang w:eastAsia="en-GB"/>
        </w:rPr>
        <w:t>W</w:t>
      </w:r>
      <w:r w:rsidRPr="006C247F">
        <w:rPr>
          <w:rFonts w:ascii="Times New Roman" w:hAnsi="Times New Roman" w:cs="Times New Roman"/>
          <w:sz w:val="24"/>
          <w:szCs w:val="24"/>
          <w:vertAlign w:val="subscript"/>
          <w:lang w:eastAsia="en-GB"/>
        </w:rPr>
        <w:t>F,total</w:t>
      </w:r>
      <w:r w:rsidRPr="006C247F">
        <w:rPr>
          <w:rFonts w:ascii="Times New Roman" w:hAnsi="Times New Roman" w:cs="Times New Roman"/>
          <w:sz w:val="24"/>
          <w:szCs w:val="24"/>
          <w:lang w:eastAsia="en-GB"/>
        </w:rPr>
        <w:t xml:space="preserve"> increases (and thus GTOW increases) with increasing range. LH</w:t>
      </w:r>
      <w:r w:rsidRPr="006C247F">
        <w:rPr>
          <w:rFonts w:ascii="Times New Roman" w:hAnsi="Times New Roman" w:cs="Times New Roman"/>
          <w:sz w:val="24"/>
          <w:szCs w:val="24"/>
          <w:vertAlign w:val="subscript"/>
          <w:lang w:eastAsia="en-GB"/>
        </w:rPr>
        <w:t>2</w:t>
      </w:r>
      <w:r w:rsidRPr="006C247F">
        <w:rPr>
          <w:rFonts w:ascii="Times New Roman" w:hAnsi="Times New Roman" w:cs="Times New Roman"/>
          <w:sz w:val="24"/>
          <w:szCs w:val="24"/>
          <w:lang w:eastAsia="en-GB"/>
        </w:rPr>
        <w:t xml:space="preserve"> has higher gravimetric energy density than Jet-A (and 100% SPK) and hence relatively less fuel weight is added to the aircraft as compared to Jet-A case. Therefore, the drop in OEW/GTOW is steeper for Jet-A case (and 100% SPK) than LH</w:t>
      </w:r>
      <w:r w:rsidRPr="006C247F">
        <w:rPr>
          <w:rFonts w:ascii="Times New Roman" w:hAnsi="Times New Roman" w:cs="Times New Roman"/>
          <w:sz w:val="24"/>
          <w:szCs w:val="24"/>
          <w:vertAlign w:val="subscript"/>
          <w:lang w:eastAsia="en-GB"/>
        </w:rPr>
        <w:t>2</w:t>
      </w:r>
      <w:r w:rsidRPr="006C247F">
        <w:rPr>
          <w:rFonts w:ascii="Times New Roman" w:hAnsi="Times New Roman" w:cs="Times New Roman"/>
          <w:sz w:val="24"/>
          <w:szCs w:val="24"/>
          <w:lang w:eastAsia="en-GB"/>
        </w:rPr>
        <w:t xml:space="preserve"> case with increasing range. This is observed despite the fact that the OEW of the LH</w:t>
      </w:r>
      <w:r w:rsidRPr="006C247F">
        <w:rPr>
          <w:rFonts w:ascii="Times New Roman" w:hAnsi="Times New Roman" w:cs="Times New Roman"/>
          <w:sz w:val="24"/>
          <w:szCs w:val="24"/>
          <w:vertAlign w:val="subscript"/>
          <w:lang w:eastAsia="en-GB"/>
        </w:rPr>
        <w:t>2</w:t>
      </w:r>
      <w:r w:rsidRPr="006C247F">
        <w:rPr>
          <w:rFonts w:ascii="Times New Roman" w:hAnsi="Times New Roman" w:cs="Times New Roman"/>
          <w:sz w:val="24"/>
          <w:szCs w:val="24"/>
          <w:lang w:eastAsia="en-GB"/>
        </w:rPr>
        <w:t xml:space="preserve"> aircraft is more than that for the corresponding Jet-A aircraft. For 100% SPK, since the OEW is slightly higher (due to negative volumetric density effects that needs 0.25 m of additional fuselage) and the GTOW is slightly lower (due to positive gravimetric density effects) than Jet-A, OEW/GTOW is slightly higher than Jet-A at all </w:t>
      </w:r>
      <w:r w:rsidRPr="006C247F">
        <w:rPr>
          <w:rFonts w:ascii="Times New Roman" w:hAnsi="Times New Roman" w:cs="Times New Roman"/>
          <w:sz w:val="24"/>
          <w:szCs w:val="24"/>
        </w:rPr>
        <w:t>load factor</w:t>
      </w:r>
      <w:r w:rsidRPr="006C247F">
        <w:rPr>
          <w:rFonts w:ascii="Times New Roman" w:hAnsi="Times New Roman" w:cs="Times New Roman"/>
          <w:sz w:val="24"/>
          <w:szCs w:val="24"/>
          <w:lang w:eastAsia="en-GB"/>
        </w:rPr>
        <w:t xml:space="preserve"> – range combinations.</w:t>
      </w:r>
    </w:p>
    <w:p w14:paraId="09C12DFA" w14:textId="0547F5F6" w:rsidR="00D479CC" w:rsidRPr="00872636" w:rsidRDefault="00CA5403" w:rsidP="00C525D8">
      <w:pPr>
        <w:shd w:val="clear" w:color="auto" w:fill="FFFFFF"/>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noProof/>
          <w:sz w:val="24"/>
          <w:szCs w:val="24"/>
          <w:lang w:eastAsia="en-GB"/>
        </w:rPr>
        <w:lastRenderedPageBreak/>
        <w:drawing>
          <wp:inline distT="0" distB="0" distL="0" distR="0" wp14:anchorId="4E235D89" wp14:editId="67685EAA">
            <wp:extent cx="5722411" cy="436816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722411" cy="4368165"/>
                    </a:xfrm>
                    <a:prstGeom prst="rect">
                      <a:avLst/>
                    </a:prstGeom>
                    <a:noFill/>
                    <a:ln>
                      <a:noFill/>
                    </a:ln>
                  </pic:spPr>
                </pic:pic>
              </a:graphicData>
            </a:graphic>
          </wp:inline>
        </w:drawing>
      </w:r>
    </w:p>
    <w:p w14:paraId="24CE8A14" w14:textId="734EB89B" w:rsidR="00D64D1E" w:rsidRDefault="00B2645F" w:rsidP="00C525D8">
      <w:pPr>
        <w:shd w:val="clear" w:color="auto" w:fill="FFFFFF"/>
        <w:spacing w:after="0" w:line="480" w:lineRule="auto"/>
        <w:jc w:val="center"/>
        <w:rPr>
          <w:rFonts w:ascii="Times New Roman" w:hAnsi="Times New Roman" w:cs="Times New Roman"/>
          <w:sz w:val="24"/>
          <w:szCs w:val="24"/>
          <w:lang w:eastAsia="en-GB"/>
        </w:rPr>
      </w:pPr>
      <w:r w:rsidRPr="00872636">
        <w:rPr>
          <w:rFonts w:ascii="Times New Roman" w:hAnsi="Times New Roman" w:cs="Times New Roman"/>
          <w:b/>
          <w:bCs/>
          <w:sz w:val="24"/>
          <w:szCs w:val="24"/>
        </w:rPr>
        <w:t xml:space="preserve">Figure SI </w:t>
      </w:r>
      <w:r w:rsidR="00EA1674" w:rsidRPr="00872636">
        <w:rPr>
          <w:rFonts w:ascii="Times New Roman" w:hAnsi="Times New Roman" w:cs="Times New Roman"/>
          <w:b/>
          <w:bCs/>
          <w:sz w:val="24"/>
          <w:szCs w:val="24"/>
        </w:rPr>
        <w:t>4</w:t>
      </w:r>
      <w:r w:rsidRPr="00872636">
        <w:rPr>
          <w:rFonts w:ascii="Times New Roman" w:hAnsi="Times New Roman" w:cs="Times New Roman"/>
          <w:b/>
          <w:bCs/>
          <w:sz w:val="24"/>
          <w:szCs w:val="24"/>
        </w:rPr>
        <w:t>. SEC comparison for Jet-A, 100% SPK and LH</w:t>
      </w:r>
      <w:r w:rsidRPr="00872636">
        <w:rPr>
          <w:rFonts w:ascii="Times New Roman" w:hAnsi="Times New Roman" w:cs="Times New Roman"/>
          <w:b/>
          <w:bCs/>
          <w:sz w:val="24"/>
          <w:szCs w:val="24"/>
          <w:vertAlign w:val="subscript"/>
        </w:rPr>
        <w:t>2</w:t>
      </w:r>
      <w:r w:rsidRPr="00872636">
        <w:rPr>
          <w:rFonts w:ascii="Times New Roman" w:hAnsi="Times New Roman" w:cs="Times New Roman"/>
          <w:b/>
          <w:bCs/>
          <w:sz w:val="24"/>
          <w:szCs w:val="24"/>
        </w:rPr>
        <w:t xml:space="preserve"> aircraft at different range and payload (load factor) combinations</w:t>
      </w:r>
    </w:p>
    <w:p w14:paraId="221E9FB1" w14:textId="55F81C26" w:rsidR="00CA5403" w:rsidRPr="00872636" w:rsidRDefault="00D64D1E" w:rsidP="00872636">
      <w:pPr>
        <w:shd w:val="clear" w:color="auto" w:fill="FFFFFF"/>
        <w:spacing w:before="240" w:after="0" w:line="480" w:lineRule="auto"/>
        <w:jc w:val="both"/>
        <w:rPr>
          <w:rFonts w:ascii="Times New Roman" w:hAnsi="Times New Roman" w:cs="Times New Roman"/>
          <w:sz w:val="24"/>
          <w:szCs w:val="24"/>
          <w:lang w:eastAsia="en-GB"/>
        </w:rPr>
      </w:pPr>
      <w:r w:rsidRPr="006C247F">
        <w:rPr>
          <w:rFonts w:ascii="Times New Roman" w:hAnsi="Times New Roman" w:cs="Times New Roman"/>
          <w:sz w:val="24"/>
          <w:szCs w:val="24"/>
          <w:lang w:eastAsia="en-GB"/>
        </w:rPr>
        <w:tab/>
        <w:t>It was observed from Figure 7 (paper) and Figure SI 4 that for a given passenger –</w:t>
      </w:r>
      <w:r w:rsidRPr="006C247F">
        <w:rPr>
          <w:rFonts w:ascii="Times New Roman" w:hAnsi="Times New Roman" w:cs="Times New Roman"/>
          <w:sz w:val="24"/>
          <w:szCs w:val="24"/>
        </w:rPr>
        <w:t xml:space="preserve"> load factor</w:t>
      </w:r>
      <w:r w:rsidRPr="006C247F">
        <w:rPr>
          <w:rFonts w:ascii="Times New Roman" w:hAnsi="Times New Roman" w:cs="Times New Roman"/>
          <w:sz w:val="24"/>
          <w:szCs w:val="24"/>
          <w:lang w:eastAsia="en-GB"/>
        </w:rPr>
        <w:t xml:space="preserve"> case, LH</w:t>
      </w:r>
      <w:r w:rsidRPr="006C247F">
        <w:rPr>
          <w:rFonts w:ascii="Times New Roman" w:hAnsi="Times New Roman" w:cs="Times New Roman"/>
          <w:sz w:val="24"/>
          <w:szCs w:val="24"/>
          <w:vertAlign w:val="subscript"/>
          <w:lang w:eastAsia="en-GB"/>
        </w:rPr>
        <w:t>2</w:t>
      </w:r>
      <w:r w:rsidRPr="006C247F">
        <w:rPr>
          <w:rFonts w:ascii="Times New Roman" w:hAnsi="Times New Roman" w:cs="Times New Roman"/>
          <w:sz w:val="24"/>
          <w:szCs w:val="24"/>
          <w:lang w:eastAsia="en-GB"/>
        </w:rPr>
        <w:t xml:space="preserve"> aircraft consumes more energy than Jet-A aircraft. LH</w:t>
      </w:r>
      <w:r w:rsidRPr="006C247F">
        <w:rPr>
          <w:rFonts w:ascii="Times New Roman" w:hAnsi="Times New Roman" w:cs="Times New Roman"/>
          <w:sz w:val="24"/>
          <w:szCs w:val="24"/>
          <w:vertAlign w:val="subscript"/>
          <w:lang w:eastAsia="en-GB"/>
        </w:rPr>
        <w:t>2</w:t>
      </w:r>
      <w:r w:rsidRPr="006C247F">
        <w:rPr>
          <w:rFonts w:ascii="Times New Roman" w:hAnsi="Times New Roman" w:cs="Times New Roman"/>
          <w:sz w:val="24"/>
          <w:szCs w:val="24"/>
          <w:lang w:eastAsia="en-GB"/>
        </w:rPr>
        <w:t xml:space="preserve"> aircraft has a longer fuselage than the corresponding Jet-A aircraft, and therefore a penalty is observed on its aerodynamic performance. Figure SI 7 show the L/D comparison of different fuel cases at different range and </w:t>
      </w:r>
      <w:r w:rsidRPr="006C247F">
        <w:rPr>
          <w:rFonts w:ascii="Times New Roman" w:hAnsi="Times New Roman" w:cs="Times New Roman"/>
          <w:sz w:val="24"/>
          <w:szCs w:val="24"/>
        </w:rPr>
        <w:t>load factor</w:t>
      </w:r>
      <w:r w:rsidRPr="006C247F">
        <w:rPr>
          <w:rFonts w:ascii="Times New Roman" w:hAnsi="Times New Roman" w:cs="Times New Roman"/>
          <w:sz w:val="24"/>
          <w:szCs w:val="24"/>
          <w:lang w:eastAsia="en-GB"/>
        </w:rPr>
        <w:t xml:space="preserve"> combinations. Figure SI 8 and Figure SI 9 show the lift coefficient (</w:t>
      </w:r>
      <w:r w:rsidRPr="006C247F">
        <w:rPr>
          <w:rFonts w:ascii="Times New Roman" w:hAnsi="Times New Roman" w:cs="Times New Roman"/>
          <w:i/>
          <w:iCs/>
          <w:sz w:val="24"/>
          <w:szCs w:val="24"/>
          <w:lang w:eastAsia="en-GB"/>
        </w:rPr>
        <w:t>C</w:t>
      </w:r>
      <w:r w:rsidRPr="006C247F">
        <w:rPr>
          <w:rFonts w:ascii="Times New Roman" w:hAnsi="Times New Roman" w:cs="Times New Roman"/>
          <w:sz w:val="24"/>
          <w:szCs w:val="24"/>
          <w:vertAlign w:val="subscript"/>
          <w:lang w:eastAsia="en-GB"/>
        </w:rPr>
        <w:t>L</w:t>
      </w:r>
      <w:r w:rsidRPr="006C247F">
        <w:rPr>
          <w:rFonts w:ascii="Times New Roman" w:hAnsi="Times New Roman" w:cs="Times New Roman"/>
          <w:sz w:val="24"/>
          <w:szCs w:val="24"/>
          <w:lang w:eastAsia="en-GB"/>
        </w:rPr>
        <w:t>) and drag coefficient (</w:t>
      </w:r>
      <w:r w:rsidRPr="006C247F">
        <w:rPr>
          <w:rFonts w:ascii="Times New Roman" w:hAnsi="Times New Roman" w:cs="Times New Roman"/>
          <w:i/>
          <w:iCs/>
          <w:sz w:val="24"/>
          <w:szCs w:val="24"/>
          <w:lang w:eastAsia="en-GB"/>
        </w:rPr>
        <w:t>C</w:t>
      </w:r>
      <w:r w:rsidRPr="006C247F">
        <w:rPr>
          <w:rFonts w:ascii="Times New Roman" w:hAnsi="Times New Roman" w:cs="Times New Roman"/>
          <w:sz w:val="24"/>
          <w:szCs w:val="24"/>
          <w:vertAlign w:val="subscript"/>
          <w:lang w:eastAsia="en-GB"/>
        </w:rPr>
        <w:t>D</w:t>
      </w:r>
      <w:r w:rsidRPr="006C247F">
        <w:rPr>
          <w:rFonts w:ascii="Times New Roman" w:hAnsi="Times New Roman" w:cs="Times New Roman"/>
          <w:sz w:val="24"/>
          <w:szCs w:val="24"/>
          <w:lang w:eastAsia="en-GB"/>
        </w:rPr>
        <w:t xml:space="preserve">) comparison of different fuel cases at different range and </w:t>
      </w:r>
      <w:r w:rsidRPr="006C247F">
        <w:rPr>
          <w:rFonts w:ascii="Times New Roman" w:hAnsi="Times New Roman" w:cs="Times New Roman"/>
          <w:sz w:val="24"/>
          <w:szCs w:val="24"/>
        </w:rPr>
        <w:t>load factor</w:t>
      </w:r>
      <w:r w:rsidRPr="006C247F">
        <w:rPr>
          <w:rFonts w:ascii="Times New Roman" w:hAnsi="Times New Roman" w:cs="Times New Roman"/>
          <w:sz w:val="24"/>
          <w:szCs w:val="24"/>
          <w:lang w:eastAsia="en-GB"/>
        </w:rPr>
        <w:t xml:space="preserve"> combinations. It can be observed that for a given passenger – </w:t>
      </w:r>
      <w:r w:rsidRPr="006C247F">
        <w:rPr>
          <w:rFonts w:ascii="Times New Roman" w:hAnsi="Times New Roman" w:cs="Times New Roman"/>
          <w:sz w:val="24"/>
          <w:szCs w:val="24"/>
        </w:rPr>
        <w:t>load factor</w:t>
      </w:r>
      <w:r w:rsidRPr="006C247F">
        <w:rPr>
          <w:rFonts w:ascii="Times New Roman" w:hAnsi="Times New Roman" w:cs="Times New Roman"/>
          <w:sz w:val="24"/>
          <w:szCs w:val="24"/>
          <w:lang w:eastAsia="en-GB"/>
        </w:rPr>
        <w:t xml:space="preserve"> case the L/D of LH</w:t>
      </w:r>
      <w:r w:rsidRPr="006C247F">
        <w:rPr>
          <w:rFonts w:ascii="Times New Roman" w:hAnsi="Times New Roman" w:cs="Times New Roman"/>
          <w:sz w:val="24"/>
          <w:szCs w:val="24"/>
          <w:vertAlign w:val="subscript"/>
          <w:lang w:eastAsia="en-GB"/>
        </w:rPr>
        <w:t>2</w:t>
      </w:r>
      <w:r w:rsidRPr="006C247F">
        <w:rPr>
          <w:rFonts w:ascii="Times New Roman" w:hAnsi="Times New Roman" w:cs="Times New Roman"/>
          <w:sz w:val="24"/>
          <w:szCs w:val="24"/>
          <w:lang w:eastAsia="en-GB"/>
        </w:rPr>
        <w:t xml:space="preserve"> aircraft is lesser than the corresponding Jet-A aircraft. The GTOW of Jet-A aircraft is greater than the corresponding LH</w:t>
      </w:r>
      <w:r w:rsidRPr="006C247F">
        <w:rPr>
          <w:rFonts w:ascii="Times New Roman" w:hAnsi="Times New Roman" w:cs="Times New Roman"/>
          <w:sz w:val="24"/>
          <w:szCs w:val="24"/>
          <w:vertAlign w:val="subscript"/>
          <w:lang w:eastAsia="en-GB"/>
        </w:rPr>
        <w:t>2</w:t>
      </w:r>
      <w:r w:rsidRPr="006C247F">
        <w:rPr>
          <w:rFonts w:ascii="Times New Roman" w:hAnsi="Times New Roman" w:cs="Times New Roman"/>
          <w:sz w:val="24"/>
          <w:szCs w:val="24"/>
          <w:lang w:eastAsia="en-GB"/>
        </w:rPr>
        <w:t xml:space="preserve"> aircraft. According to equation </w:t>
      </w:r>
      <w:r>
        <w:rPr>
          <w:rFonts w:ascii="Times New Roman" w:hAnsi="Times New Roman" w:cs="Times New Roman"/>
          <w:sz w:val="24"/>
          <w:szCs w:val="24"/>
          <w:lang w:eastAsia="en-GB"/>
        </w:rPr>
        <w:t>SI</w:t>
      </w:r>
      <w:r w:rsidRPr="002201D7" w:rsidDel="0087017A">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3</w:t>
      </w:r>
      <w:r w:rsidRPr="006C247F">
        <w:rPr>
          <w:rFonts w:ascii="Times New Roman" w:hAnsi="Times New Roman" w:cs="Times New Roman"/>
          <w:sz w:val="24"/>
          <w:szCs w:val="24"/>
          <w:lang w:eastAsia="en-GB"/>
        </w:rPr>
        <w:t xml:space="preserve"> (paper), the </w:t>
      </w:r>
      <w:r w:rsidRPr="006C247F">
        <w:rPr>
          <w:rFonts w:ascii="Times New Roman" w:hAnsi="Times New Roman" w:cs="Times New Roman"/>
          <w:i/>
          <w:iCs/>
          <w:sz w:val="24"/>
          <w:szCs w:val="24"/>
          <w:lang w:eastAsia="en-GB"/>
        </w:rPr>
        <w:t>C</w:t>
      </w:r>
      <w:r w:rsidRPr="006C247F">
        <w:rPr>
          <w:rFonts w:ascii="Times New Roman" w:hAnsi="Times New Roman" w:cs="Times New Roman"/>
          <w:sz w:val="24"/>
          <w:szCs w:val="24"/>
          <w:vertAlign w:val="subscript"/>
          <w:lang w:eastAsia="en-GB"/>
        </w:rPr>
        <w:t>L</w:t>
      </w:r>
      <w:r w:rsidRPr="006C247F">
        <w:rPr>
          <w:rFonts w:ascii="Times New Roman" w:hAnsi="Times New Roman" w:cs="Times New Roman"/>
          <w:sz w:val="24"/>
          <w:szCs w:val="24"/>
          <w:lang w:eastAsia="en-GB"/>
        </w:rPr>
        <w:t xml:space="preserve"> for the Jet-A aircraft is expected to be greater and this is observed in Figure SI 8. Likewise, </w:t>
      </w:r>
      <w:r w:rsidRPr="006C247F">
        <w:rPr>
          <w:rFonts w:ascii="Times New Roman" w:hAnsi="Times New Roman" w:cs="Times New Roman"/>
          <w:sz w:val="24"/>
          <w:szCs w:val="24"/>
          <w:lang w:eastAsia="en-GB"/>
        </w:rPr>
        <w:lastRenderedPageBreak/>
        <w:t xml:space="preserve">increasing the range increases the </w:t>
      </w:r>
      <w:r w:rsidRPr="006C247F">
        <w:rPr>
          <w:rFonts w:ascii="Times New Roman" w:hAnsi="Times New Roman" w:cs="Times New Roman"/>
          <w:i/>
          <w:iCs/>
          <w:sz w:val="24"/>
          <w:szCs w:val="24"/>
          <w:lang w:eastAsia="en-GB"/>
        </w:rPr>
        <w:t>W</w:t>
      </w:r>
      <w:r w:rsidRPr="006C247F">
        <w:rPr>
          <w:rFonts w:ascii="Times New Roman" w:hAnsi="Times New Roman" w:cs="Times New Roman"/>
          <w:sz w:val="24"/>
          <w:szCs w:val="24"/>
          <w:vertAlign w:val="subscript"/>
          <w:lang w:eastAsia="en-GB"/>
        </w:rPr>
        <w:t>F,total</w:t>
      </w:r>
      <w:r w:rsidRPr="006C247F">
        <w:rPr>
          <w:rFonts w:ascii="Times New Roman" w:hAnsi="Times New Roman" w:cs="Times New Roman"/>
          <w:sz w:val="24"/>
          <w:szCs w:val="24"/>
          <w:lang w:eastAsia="en-GB"/>
        </w:rPr>
        <w:t xml:space="preserve"> and thus the GTOW. Resultantly, </w:t>
      </w:r>
      <w:r w:rsidRPr="006C247F">
        <w:rPr>
          <w:rFonts w:ascii="Times New Roman" w:hAnsi="Times New Roman" w:cs="Times New Roman"/>
          <w:i/>
          <w:iCs/>
          <w:sz w:val="24"/>
          <w:szCs w:val="24"/>
          <w:lang w:eastAsia="en-GB"/>
        </w:rPr>
        <w:t>C</w:t>
      </w:r>
      <w:r w:rsidRPr="006C247F">
        <w:rPr>
          <w:rFonts w:ascii="Times New Roman" w:hAnsi="Times New Roman" w:cs="Times New Roman"/>
          <w:sz w:val="24"/>
          <w:szCs w:val="24"/>
          <w:vertAlign w:val="subscript"/>
          <w:lang w:eastAsia="en-GB"/>
        </w:rPr>
        <w:t>L</w:t>
      </w:r>
      <w:r w:rsidRPr="006C247F">
        <w:rPr>
          <w:rFonts w:ascii="Times New Roman" w:hAnsi="Times New Roman" w:cs="Times New Roman"/>
          <w:sz w:val="24"/>
          <w:szCs w:val="24"/>
          <w:lang w:eastAsia="en-GB"/>
        </w:rPr>
        <w:t xml:space="preserve"> (or lift) increases with increasing range and this is observed from Figure SI 8. The </w:t>
      </w:r>
      <w:r w:rsidRPr="006C247F">
        <w:rPr>
          <w:rFonts w:ascii="Times New Roman" w:hAnsi="Times New Roman" w:cs="Times New Roman"/>
          <w:i/>
          <w:iCs/>
          <w:sz w:val="24"/>
          <w:szCs w:val="24"/>
          <w:lang w:eastAsia="en-GB"/>
        </w:rPr>
        <w:t>C</w:t>
      </w:r>
      <w:r w:rsidRPr="006C247F">
        <w:rPr>
          <w:rFonts w:ascii="Times New Roman" w:hAnsi="Times New Roman" w:cs="Times New Roman"/>
          <w:sz w:val="24"/>
          <w:szCs w:val="24"/>
          <w:vertAlign w:val="subscript"/>
          <w:lang w:eastAsia="en-GB"/>
        </w:rPr>
        <w:t>D</w:t>
      </w:r>
      <w:r w:rsidRPr="006C247F">
        <w:rPr>
          <w:rFonts w:ascii="Times New Roman" w:hAnsi="Times New Roman" w:cs="Times New Roman"/>
          <w:sz w:val="24"/>
          <w:szCs w:val="24"/>
          <w:lang w:eastAsia="en-GB"/>
        </w:rPr>
        <w:t xml:space="preserve"> calculated here includes the parasitic and lift-induced drag (equation </w:t>
      </w:r>
      <w:r>
        <w:rPr>
          <w:rFonts w:ascii="Times New Roman" w:hAnsi="Times New Roman" w:cs="Times New Roman"/>
          <w:sz w:val="24"/>
          <w:szCs w:val="24"/>
          <w:lang w:eastAsia="en-GB"/>
        </w:rPr>
        <w:t>SI</w:t>
      </w:r>
      <w:r w:rsidRPr="002201D7" w:rsidDel="0087017A">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1</w:t>
      </w:r>
      <w:r w:rsidRPr="006C247F">
        <w:rPr>
          <w:rFonts w:ascii="Times New Roman" w:hAnsi="Times New Roman" w:cs="Times New Roman"/>
          <w:sz w:val="24"/>
          <w:szCs w:val="24"/>
          <w:lang w:eastAsia="en-GB"/>
        </w:rPr>
        <w:t>). For a given LH</w:t>
      </w:r>
      <w:r w:rsidRPr="006C247F">
        <w:rPr>
          <w:rFonts w:ascii="Times New Roman" w:hAnsi="Times New Roman" w:cs="Times New Roman"/>
          <w:sz w:val="24"/>
          <w:szCs w:val="24"/>
          <w:vertAlign w:val="subscript"/>
          <w:lang w:eastAsia="en-GB"/>
        </w:rPr>
        <w:t>2</w:t>
      </w:r>
      <w:r w:rsidRPr="006C247F">
        <w:rPr>
          <w:rFonts w:ascii="Times New Roman" w:hAnsi="Times New Roman" w:cs="Times New Roman"/>
          <w:sz w:val="24"/>
          <w:szCs w:val="24"/>
          <w:lang w:eastAsia="en-GB"/>
        </w:rPr>
        <w:t xml:space="preserve"> aircraft case, the OEW is fixed. Therefore, for a given aircraft, with increasing range the parasitic drag remains constant. As discussed above, </w:t>
      </w:r>
      <w:r w:rsidRPr="006C247F">
        <w:rPr>
          <w:rFonts w:ascii="Times New Roman" w:hAnsi="Times New Roman" w:cs="Times New Roman"/>
          <w:i/>
          <w:iCs/>
          <w:sz w:val="24"/>
          <w:szCs w:val="24"/>
          <w:lang w:eastAsia="en-GB"/>
        </w:rPr>
        <w:t>C</w:t>
      </w:r>
      <w:r w:rsidRPr="006C247F">
        <w:rPr>
          <w:rFonts w:ascii="Times New Roman" w:hAnsi="Times New Roman" w:cs="Times New Roman"/>
          <w:sz w:val="24"/>
          <w:szCs w:val="24"/>
          <w:vertAlign w:val="subscript"/>
          <w:lang w:eastAsia="en-GB"/>
        </w:rPr>
        <w:t>L</w:t>
      </w:r>
      <w:r w:rsidRPr="006C247F">
        <w:rPr>
          <w:rFonts w:ascii="Times New Roman" w:hAnsi="Times New Roman" w:cs="Times New Roman"/>
          <w:sz w:val="24"/>
          <w:szCs w:val="24"/>
          <w:lang w:eastAsia="en-GB"/>
        </w:rPr>
        <w:t xml:space="preserve"> increases with increasing range and therefore the lift-induced drag also increases. Thus, for a given aircraft case, </w:t>
      </w:r>
      <w:r w:rsidRPr="006C247F">
        <w:rPr>
          <w:rFonts w:ascii="Times New Roman" w:hAnsi="Times New Roman" w:cs="Times New Roman"/>
          <w:i/>
          <w:iCs/>
          <w:sz w:val="24"/>
          <w:szCs w:val="24"/>
          <w:lang w:eastAsia="en-GB"/>
        </w:rPr>
        <w:t>C</w:t>
      </w:r>
      <w:r w:rsidRPr="006C247F">
        <w:rPr>
          <w:rFonts w:ascii="Times New Roman" w:hAnsi="Times New Roman" w:cs="Times New Roman"/>
          <w:sz w:val="24"/>
          <w:szCs w:val="24"/>
          <w:vertAlign w:val="subscript"/>
          <w:lang w:eastAsia="en-GB"/>
        </w:rPr>
        <w:t>D</w:t>
      </w:r>
      <w:r w:rsidRPr="006C247F">
        <w:rPr>
          <w:rFonts w:ascii="Times New Roman" w:hAnsi="Times New Roman" w:cs="Times New Roman"/>
          <w:sz w:val="24"/>
          <w:szCs w:val="24"/>
          <w:lang w:eastAsia="en-GB"/>
        </w:rPr>
        <w:t xml:space="preserve"> increases with range. This is observed from Figure SI 9. Overall, both </w:t>
      </w:r>
      <w:r w:rsidRPr="006C247F">
        <w:rPr>
          <w:rFonts w:ascii="Times New Roman" w:hAnsi="Times New Roman" w:cs="Times New Roman"/>
          <w:i/>
          <w:iCs/>
          <w:sz w:val="24"/>
          <w:szCs w:val="24"/>
          <w:lang w:eastAsia="en-GB"/>
        </w:rPr>
        <w:t>C</w:t>
      </w:r>
      <w:r w:rsidRPr="006C247F">
        <w:rPr>
          <w:rFonts w:ascii="Times New Roman" w:hAnsi="Times New Roman" w:cs="Times New Roman"/>
          <w:sz w:val="24"/>
          <w:szCs w:val="24"/>
          <w:vertAlign w:val="subscript"/>
          <w:lang w:eastAsia="en-GB"/>
        </w:rPr>
        <w:t>L</w:t>
      </w:r>
      <w:r w:rsidRPr="006C247F">
        <w:rPr>
          <w:rFonts w:ascii="Times New Roman" w:hAnsi="Times New Roman" w:cs="Times New Roman"/>
          <w:sz w:val="24"/>
          <w:szCs w:val="24"/>
          <w:lang w:eastAsia="en-GB"/>
        </w:rPr>
        <w:t xml:space="preserve"> and </w:t>
      </w:r>
      <w:r w:rsidRPr="006C247F">
        <w:rPr>
          <w:rFonts w:ascii="Times New Roman" w:hAnsi="Times New Roman" w:cs="Times New Roman"/>
          <w:i/>
          <w:iCs/>
          <w:sz w:val="24"/>
          <w:szCs w:val="24"/>
          <w:lang w:eastAsia="en-GB"/>
        </w:rPr>
        <w:t>C</w:t>
      </w:r>
      <w:r w:rsidRPr="006C247F">
        <w:rPr>
          <w:rFonts w:ascii="Times New Roman" w:hAnsi="Times New Roman" w:cs="Times New Roman"/>
          <w:sz w:val="24"/>
          <w:szCs w:val="24"/>
          <w:vertAlign w:val="subscript"/>
          <w:lang w:eastAsia="en-GB"/>
        </w:rPr>
        <w:t>D</w:t>
      </w:r>
      <w:r w:rsidRPr="006C247F">
        <w:rPr>
          <w:rFonts w:ascii="Times New Roman" w:hAnsi="Times New Roman" w:cs="Times New Roman"/>
          <w:sz w:val="24"/>
          <w:szCs w:val="24"/>
          <w:lang w:eastAsia="en-GB"/>
        </w:rPr>
        <w:t xml:space="preserve"> increase with range for a given aircraft case.</w:t>
      </w:r>
    </w:p>
    <w:p w14:paraId="2E6E3C8A" w14:textId="69EE9667" w:rsidR="00CA5403" w:rsidRPr="00872636" w:rsidRDefault="00E71996" w:rsidP="00C525D8">
      <w:pPr>
        <w:shd w:val="clear" w:color="auto" w:fill="FFFFFF"/>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noProof/>
          <w:sz w:val="24"/>
          <w:szCs w:val="24"/>
          <w:lang w:eastAsia="en-GB"/>
        </w:rPr>
        <w:drawing>
          <wp:inline distT="0" distB="0" distL="0" distR="0" wp14:anchorId="4658F74C" wp14:editId="5198B1EC">
            <wp:extent cx="5730875" cy="437007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875" cy="4370070"/>
                    </a:xfrm>
                    <a:prstGeom prst="rect">
                      <a:avLst/>
                    </a:prstGeom>
                    <a:noFill/>
                    <a:ln>
                      <a:noFill/>
                    </a:ln>
                  </pic:spPr>
                </pic:pic>
              </a:graphicData>
            </a:graphic>
          </wp:inline>
        </w:drawing>
      </w:r>
    </w:p>
    <w:p w14:paraId="27086E23" w14:textId="040C961F" w:rsidR="00C8623F" w:rsidRPr="00872636" w:rsidRDefault="00B2645F" w:rsidP="00872636">
      <w:pPr>
        <w:shd w:val="clear" w:color="auto" w:fill="FFFFFF"/>
        <w:spacing w:line="480" w:lineRule="auto"/>
        <w:jc w:val="center"/>
        <w:rPr>
          <w:rFonts w:ascii="Times New Roman" w:hAnsi="Times New Roman" w:cs="Times New Roman"/>
          <w:sz w:val="24"/>
          <w:szCs w:val="24"/>
          <w:lang w:eastAsia="en-GB"/>
        </w:rPr>
      </w:pPr>
      <w:r w:rsidRPr="00872636">
        <w:rPr>
          <w:rFonts w:ascii="Times New Roman" w:hAnsi="Times New Roman" w:cs="Times New Roman"/>
          <w:b/>
          <w:bCs/>
          <w:sz w:val="24"/>
          <w:szCs w:val="24"/>
        </w:rPr>
        <w:t xml:space="preserve">Figure SI </w:t>
      </w:r>
      <w:r w:rsidR="00EA1674" w:rsidRPr="00872636">
        <w:rPr>
          <w:rFonts w:ascii="Times New Roman" w:hAnsi="Times New Roman" w:cs="Times New Roman"/>
          <w:b/>
          <w:bCs/>
          <w:sz w:val="24"/>
          <w:szCs w:val="24"/>
        </w:rPr>
        <w:t>5</w:t>
      </w:r>
      <w:r w:rsidRPr="00872636">
        <w:rPr>
          <w:rFonts w:ascii="Times New Roman" w:hAnsi="Times New Roman" w:cs="Times New Roman"/>
          <w:b/>
          <w:bCs/>
          <w:sz w:val="24"/>
          <w:szCs w:val="24"/>
        </w:rPr>
        <w:t xml:space="preserve">. </w:t>
      </w:r>
      <w:r w:rsidRPr="00872636">
        <w:rPr>
          <w:rFonts w:ascii="Times New Roman" w:hAnsi="Times New Roman" w:cs="Times New Roman"/>
          <w:b/>
          <w:bCs/>
          <w:sz w:val="24"/>
          <w:szCs w:val="24"/>
          <w:lang w:eastAsia="en-GB"/>
        </w:rPr>
        <w:t>Comparison of percent change in SEC for LH</w:t>
      </w:r>
      <w:r w:rsidRPr="00872636">
        <w:rPr>
          <w:rFonts w:ascii="Times New Roman" w:hAnsi="Times New Roman" w:cs="Times New Roman"/>
          <w:b/>
          <w:bCs/>
          <w:sz w:val="24"/>
          <w:szCs w:val="24"/>
          <w:vertAlign w:val="subscript"/>
          <w:lang w:eastAsia="en-GB"/>
        </w:rPr>
        <w:t>2</w:t>
      </w:r>
      <w:r w:rsidRPr="00872636">
        <w:rPr>
          <w:rFonts w:ascii="Times New Roman" w:hAnsi="Times New Roman" w:cs="Times New Roman"/>
          <w:b/>
          <w:bCs/>
          <w:sz w:val="24"/>
          <w:szCs w:val="24"/>
          <w:lang w:eastAsia="en-GB"/>
        </w:rPr>
        <w:t xml:space="preserve"> and 100% SPK relative to the Jet-A aircraft at different range and payload (load factor) combinations</w:t>
      </w:r>
    </w:p>
    <w:p w14:paraId="65090778" w14:textId="1D866A7C" w:rsidR="009656DF" w:rsidRPr="00872636" w:rsidRDefault="009656DF" w:rsidP="00C525D8">
      <w:pPr>
        <w:shd w:val="clear" w:color="auto" w:fill="FFFFFF"/>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noProof/>
          <w:sz w:val="24"/>
          <w:szCs w:val="24"/>
          <w:lang w:eastAsia="en-GB"/>
        </w:rPr>
        <w:lastRenderedPageBreak/>
        <w:drawing>
          <wp:inline distT="0" distB="0" distL="0" distR="0" wp14:anchorId="51F95D60" wp14:editId="1A893A18">
            <wp:extent cx="5725795" cy="4368165"/>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5795" cy="4368165"/>
                    </a:xfrm>
                    <a:prstGeom prst="rect">
                      <a:avLst/>
                    </a:prstGeom>
                    <a:noFill/>
                    <a:ln>
                      <a:noFill/>
                    </a:ln>
                  </pic:spPr>
                </pic:pic>
              </a:graphicData>
            </a:graphic>
          </wp:inline>
        </w:drawing>
      </w:r>
    </w:p>
    <w:p w14:paraId="30DE6872" w14:textId="0A56F3AA" w:rsidR="00DE5075" w:rsidRPr="00CE68A4" w:rsidRDefault="00DE5075" w:rsidP="00C525D8">
      <w:pPr>
        <w:shd w:val="clear" w:color="auto" w:fill="FFFFFF"/>
        <w:spacing w:line="480" w:lineRule="auto"/>
        <w:jc w:val="center"/>
        <w:rPr>
          <w:rFonts w:ascii="Times New Roman" w:hAnsi="Times New Roman" w:cs="Times New Roman"/>
          <w:b/>
          <w:bCs/>
          <w:sz w:val="24"/>
          <w:szCs w:val="24"/>
        </w:rPr>
      </w:pPr>
      <w:bookmarkStart w:id="12" w:name="_Hlk88327444"/>
      <w:r w:rsidRPr="00872636">
        <w:rPr>
          <w:rFonts w:ascii="Times New Roman" w:hAnsi="Times New Roman" w:cs="Times New Roman"/>
          <w:b/>
          <w:bCs/>
          <w:sz w:val="24"/>
          <w:szCs w:val="24"/>
        </w:rPr>
        <w:t xml:space="preserve">Figure SI </w:t>
      </w:r>
      <w:r w:rsidR="00EA1674" w:rsidRPr="00872636">
        <w:rPr>
          <w:rFonts w:ascii="Times New Roman" w:hAnsi="Times New Roman" w:cs="Times New Roman"/>
          <w:b/>
          <w:bCs/>
          <w:sz w:val="24"/>
          <w:szCs w:val="24"/>
        </w:rPr>
        <w:t>6</w:t>
      </w:r>
      <w:r w:rsidRPr="00872636">
        <w:rPr>
          <w:rFonts w:ascii="Times New Roman" w:hAnsi="Times New Roman" w:cs="Times New Roman"/>
          <w:b/>
          <w:bCs/>
          <w:sz w:val="24"/>
          <w:szCs w:val="24"/>
        </w:rPr>
        <w:t xml:space="preserve">. Comparison of OEW/GTOW </w:t>
      </w:r>
      <w:r w:rsidR="00360AA1" w:rsidRPr="00872636">
        <w:rPr>
          <w:rFonts w:ascii="Times New Roman" w:hAnsi="Times New Roman" w:cs="Times New Roman"/>
          <w:b/>
          <w:bCs/>
          <w:sz w:val="24"/>
          <w:szCs w:val="24"/>
        </w:rPr>
        <w:t xml:space="preserve">ratio </w:t>
      </w:r>
      <w:r w:rsidRPr="00872636">
        <w:rPr>
          <w:rFonts w:ascii="Times New Roman" w:hAnsi="Times New Roman" w:cs="Times New Roman"/>
          <w:b/>
          <w:bCs/>
          <w:sz w:val="24"/>
          <w:szCs w:val="24"/>
        </w:rPr>
        <w:t>for Jet-A, 100% SPK and LH</w:t>
      </w:r>
      <w:r w:rsidRPr="00872636">
        <w:rPr>
          <w:rFonts w:ascii="Times New Roman" w:hAnsi="Times New Roman" w:cs="Times New Roman"/>
          <w:b/>
          <w:bCs/>
          <w:sz w:val="24"/>
          <w:szCs w:val="24"/>
          <w:vertAlign w:val="subscript"/>
        </w:rPr>
        <w:t>2</w:t>
      </w:r>
      <w:r w:rsidRPr="002201D7">
        <w:rPr>
          <w:rFonts w:ascii="Times New Roman" w:hAnsi="Times New Roman" w:cs="Times New Roman"/>
          <w:b/>
          <w:bCs/>
          <w:sz w:val="24"/>
          <w:szCs w:val="24"/>
        </w:rPr>
        <w:t xml:space="preserve"> aircraft at different range and payload </w:t>
      </w:r>
      <w:r w:rsidR="008B3A31" w:rsidRPr="00CE68A4">
        <w:rPr>
          <w:rFonts w:ascii="Times New Roman" w:hAnsi="Times New Roman" w:cs="Times New Roman"/>
          <w:b/>
          <w:bCs/>
          <w:sz w:val="24"/>
          <w:szCs w:val="24"/>
        </w:rPr>
        <w:t xml:space="preserve">(load factor) </w:t>
      </w:r>
      <w:r w:rsidRPr="00CE68A4">
        <w:rPr>
          <w:rFonts w:ascii="Times New Roman" w:hAnsi="Times New Roman" w:cs="Times New Roman"/>
          <w:b/>
          <w:bCs/>
          <w:sz w:val="24"/>
          <w:szCs w:val="24"/>
        </w:rPr>
        <w:t>combinations</w:t>
      </w:r>
      <w:bookmarkEnd w:id="12"/>
    </w:p>
    <w:p w14:paraId="4A88BD6B" w14:textId="6E894A8E" w:rsidR="00295445" w:rsidRPr="00872636" w:rsidRDefault="00D64D1E" w:rsidP="003C30BA">
      <w:pPr>
        <w:spacing w:after="0" w:line="480" w:lineRule="auto"/>
        <w:jc w:val="both"/>
        <w:rPr>
          <w:rFonts w:ascii="Times New Roman" w:hAnsi="Times New Roman" w:cs="Times New Roman"/>
          <w:sz w:val="24"/>
          <w:szCs w:val="24"/>
          <w:lang w:eastAsia="en-GB"/>
        </w:rPr>
      </w:pPr>
      <w:r>
        <w:rPr>
          <w:rFonts w:ascii="Times New Roman" w:hAnsi="Times New Roman" w:cs="Times New Roman"/>
          <w:sz w:val="24"/>
          <w:szCs w:val="24"/>
          <w:lang w:eastAsia="en-GB"/>
        </w:rPr>
        <w:tab/>
      </w:r>
      <w:r w:rsidR="00295445" w:rsidRPr="00872636">
        <w:rPr>
          <w:rFonts w:ascii="Times New Roman" w:hAnsi="Times New Roman" w:cs="Times New Roman"/>
          <w:sz w:val="24"/>
          <w:szCs w:val="24"/>
          <w:lang w:eastAsia="en-GB"/>
        </w:rPr>
        <w:t xml:space="preserve">For a given aircraft case, the increase in </w:t>
      </w:r>
      <w:r w:rsidR="00295445" w:rsidRPr="00872636">
        <w:rPr>
          <w:rFonts w:ascii="Times New Roman" w:hAnsi="Times New Roman" w:cs="Times New Roman"/>
          <w:i/>
          <w:iCs/>
          <w:sz w:val="24"/>
          <w:szCs w:val="24"/>
          <w:lang w:eastAsia="en-GB"/>
        </w:rPr>
        <w:t>C</w:t>
      </w:r>
      <w:r w:rsidR="00295445" w:rsidRPr="00872636">
        <w:rPr>
          <w:rFonts w:ascii="Times New Roman" w:hAnsi="Times New Roman" w:cs="Times New Roman"/>
          <w:sz w:val="24"/>
          <w:szCs w:val="24"/>
          <w:vertAlign w:val="subscript"/>
          <w:lang w:eastAsia="en-GB"/>
        </w:rPr>
        <w:t>L</w:t>
      </w:r>
      <w:r w:rsidR="00295445" w:rsidRPr="00872636">
        <w:rPr>
          <w:rFonts w:ascii="Times New Roman" w:hAnsi="Times New Roman" w:cs="Times New Roman"/>
          <w:sz w:val="24"/>
          <w:szCs w:val="24"/>
          <w:lang w:eastAsia="en-GB"/>
        </w:rPr>
        <w:t xml:space="preserve"> is greater than the increase in </w:t>
      </w:r>
      <w:r w:rsidR="00295445" w:rsidRPr="00872636">
        <w:rPr>
          <w:rFonts w:ascii="Times New Roman" w:hAnsi="Times New Roman" w:cs="Times New Roman"/>
          <w:i/>
          <w:iCs/>
          <w:sz w:val="24"/>
          <w:szCs w:val="24"/>
          <w:lang w:eastAsia="en-GB"/>
        </w:rPr>
        <w:t>C</w:t>
      </w:r>
      <w:r w:rsidR="00295445" w:rsidRPr="00872636">
        <w:rPr>
          <w:rFonts w:ascii="Times New Roman" w:hAnsi="Times New Roman" w:cs="Times New Roman"/>
          <w:sz w:val="24"/>
          <w:szCs w:val="24"/>
          <w:vertAlign w:val="subscript"/>
          <w:lang w:eastAsia="en-GB"/>
        </w:rPr>
        <w:t>D</w:t>
      </w:r>
      <w:r w:rsidR="00295445" w:rsidRPr="00872636">
        <w:rPr>
          <w:rFonts w:ascii="Times New Roman" w:hAnsi="Times New Roman" w:cs="Times New Roman"/>
          <w:sz w:val="24"/>
          <w:szCs w:val="24"/>
          <w:lang w:eastAsia="en-GB"/>
        </w:rPr>
        <w:t xml:space="preserve"> which results in a net improvement of </w:t>
      </w:r>
      <w:r w:rsidR="00295445" w:rsidRPr="00872636">
        <w:rPr>
          <w:rFonts w:ascii="Times New Roman" w:hAnsi="Times New Roman" w:cs="Times New Roman"/>
          <w:i/>
          <w:iCs/>
          <w:sz w:val="24"/>
          <w:szCs w:val="24"/>
          <w:lang w:eastAsia="en-GB"/>
        </w:rPr>
        <w:t>L/D</w:t>
      </w:r>
      <w:r w:rsidR="00295445" w:rsidRPr="00872636">
        <w:rPr>
          <w:rFonts w:ascii="Times New Roman" w:hAnsi="Times New Roman" w:cs="Times New Roman"/>
          <w:sz w:val="24"/>
          <w:szCs w:val="24"/>
          <w:lang w:eastAsia="en-GB"/>
        </w:rPr>
        <w:t xml:space="preserve"> with increasing range as observed in Figure </w:t>
      </w:r>
      <w:r w:rsidR="00360AA1" w:rsidRPr="00872636">
        <w:rPr>
          <w:rFonts w:ascii="Times New Roman" w:hAnsi="Times New Roman" w:cs="Times New Roman"/>
          <w:sz w:val="24"/>
          <w:szCs w:val="24"/>
          <w:lang w:eastAsia="en-GB"/>
        </w:rPr>
        <w:t xml:space="preserve">SI </w:t>
      </w:r>
      <w:r w:rsidR="00EA1674" w:rsidRPr="00872636">
        <w:rPr>
          <w:rFonts w:ascii="Times New Roman" w:hAnsi="Times New Roman" w:cs="Times New Roman"/>
          <w:sz w:val="24"/>
          <w:szCs w:val="24"/>
          <w:lang w:eastAsia="en-GB"/>
        </w:rPr>
        <w:t>7</w:t>
      </w:r>
      <w:r w:rsidR="00295445" w:rsidRPr="00872636">
        <w:rPr>
          <w:rFonts w:ascii="Times New Roman" w:hAnsi="Times New Roman" w:cs="Times New Roman"/>
          <w:sz w:val="24"/>
          <w:szCs w:val="24"/>
          <w:lang w:eastAsia="en-GB"/>
        </w:rPr>
        <w:t xml:space="preserve">. For example: </w:t>
      </w:r>
      <w:r w:rsidR="00295445" w:rsidRPr="00872636">
        <w:rPr>
          <w:rFonts w:ascii="Times New Roman" w:hAnsi="Times New Roman" w:cs="Times New Roman"/>
          <w:i/>
          <w:iCs/>
          <w:sz w:val="24"/>
          <w:szCs w:val="24"/>
          <w:lang w:eastAsia="en-GB"/>
        </w:rPr>
        <w:t>C</w:t>
      </w:r>
      <w:r w:rsidR="00295445" w:rsidRPr="00872636">
        <w:rPr>
          <w:rFonts w:ascii="Times New Roman" w:hAnsi="Times New Roman" w:cs="Times New Roman"/>
          <w:sz w:val="24"/>
          <w:szCs w:val="24"/>
          <w:vertAlign w:val="subscript"/>
          <w:lang w:eastAsia="en-GB"/>
        </w:rPr>
        <w:t>L</w:t>
      </w:r>
      <w:r w:rsidR="00295445" w:rsidRPr="00872636">
        <w:rPr>
          <w:rFonts w:ascii="Times New Roman" w:hAnsi="Times New Roman" w:cs="Times New Roman"/>
          <w:sz w:val="24"/>
          <w:szCs w:val="24"/>
          <w:lang w:eastAsia="en-GB"/>
        </w:rPr>
        <w:t xml:space="preserve"> at 13,870 km is 1.21 times </w:t>
      </w:r>
      <w:r w:rsidR="00295445" w:rsidRPr="00872636">
        <w:rPr>
          <w:rFonts w:ascii="Times New Roman" w:hAnsi="Times New Roman" w:cs="Times New Roman"/>
          <w:i/>
          <w:iCs/>
          <w:sz w:val="24"/>
          <w:szCs w:val="24"/>
          <w:lang w:eastAsia="en-GB"/>
        </w:rPr>
        <w:t>C</w:t>
      </w:r>
      <w:r w:rsidR="00295445" w:rsidRPr="00872636">
        <w:rPr>
          <w:rFonts w:ascii="Times New Roman" w:hAnsi="Times New Roman" w:cs="Times New Roman"/>
          <w:sz w:val="24"/>
          <w:szCs w:val="24"/>
          <w:vertAlign w:val="subscript"/>
          <w:lang w:eastAsia="en-GB"/>
        </w:rPr>
        <w:t>L</w:t>
      </w:r>
      <w:r w:rsidR="00295445" w:rsidRPr="00872636">
        <w:rPr>
          <w:rFonts w:ascii="Times New Roman" w:hAnsi="Times New Roman" w:cs="Times New Roman"/>
          <w:sz w:val="24"/>
          <w:szCs w:val="24"/>
          <w:lang w:eastAsia="en-GB"/>
        </w:rPr>
        <w:t xml:space="preserve"> at 5,000 km whereas </w:t>
      </w:r>
      <w:r w:rsidR="00295445" w:rsidRPr="00872636">
        <w:rPr>
          <w:rFonts w:ascii="Times New Roman" w:hAnsi="Times New Roman" w:cs="Times New Roman"/>
          <w:i/>
          <w:iCs/>
          <w:sz w:val="24"/>
          <w:szCs w:val="24"/>
          <w:lang w:eastAsia="en-GB"/>
        </w:rPr>
        <w:t>C</w:t>
      </w:r>
      <w:r w:rsidR="00295445" w:rsidRPr="00872636">
        <w:rPr>
          <w:rFonts w:ascii="Times New Roman" w:hAnsi="Times New Roman" w:cs="Times New Roman"/>
          <w:sz w:val="24"/>
          <w:szCs w:val="24"/>
          <w:vertAlign w:val="subscript"/>
          <w:lang w:eastAsia="en-GB"/>
        </w:rPr>
        <w:t>D</w:t>
      </w:r>
      <w:r w:rsidR="00295445" w:rsidRPr="00872636">
        <w:rPr>
          <w:rFonts w:ascii="Times New Roman" w:hAnsi="Times New Roman" w:cs="Times New Roman"/>
          <w:sz w:val="24"/>
          <w:szCs w:val="24"/>
          <w:lang w:eastAsia="en-GB"/>
        </w:rPr>
        <w:t xml:space="preserve"> at 13,870 km is 1.12 times </w:t>
      </w:r>
      <w:r w:rsidR="00295445" w:rsidRPr="00872636">
        <w:rPr>
          <w:rFonts w:ascii="Times New Roman" w:hAnsi="Times New Roman" w:cs="Times New Roman"/>
          <w:i/>
          <w:iCs/>
          <w:sz w:val="24"/>
          <w:szCs w:val="24"/>
          <w:lang w:eastAsia="en-GB"/>
        </w:rPr>
        <w:t>C</w:t>
      </w:r>
      <w:r w:rsidR="00295445" w:rsidRPr="00872636">
        <w:rPr>
          <w:rFonts w:ascii="Times New Roman" w:hAnsi="Times New Roman" w:cs="Times New Roman"/>
          <w:sz w:val="24"/>
          <w:szCs w:val="24"/>
          <w:vertAlign w:val="subscript"/>
          <w:lang w:eastAsia="en-GB"/>
        </w:rPr>
        <w:t>D</w:t>
      </w:r>
      <w:r w:rsidR="00295445" w:rsidRPr="00872636">
        <w:rPr>
          <w:rFonts w:ascii="Times New Roman" w:hAnsi="Times New Roman" w:cs="Times New Roman"/>
          <w:sz w:val="24"/>
          <w:szCs w:val="24"/>
          <w:lang w:eastAsia="en-GB"/>
        </w:rPr>
        <w:t xml:space="preserve"> at 5,000 km for Jet A </w:t>
      </w:r>
      <w:r w:rsidR="00676052" w:rsidRPr="00872636">
        <w:rPr>
          <w:rFonts w:ascii="Times New Roman" w:hAnsi="Times New Roman" w:cs="Times New Roman"/>
          <w:sz w:val="24"/>
          <w:szCs w:val="24"/>
          <w:lang w:eastAsia="en-GB"/>
        </w:rPr>
        <w:t>100% load factor</w:t>
      </w:r>
      <w:r w:rsidR="00295445" w:rsidRPr="00872636">
        <w:rPr>
          <w:rFonts w:ascii="Times New Roman" w:hAnsi="Times New Roman" w:cs="Times New Roman"/>
          <w:sz w:val="24"/>
          <w:szCs w:val="24"/>
          <w:lang w:eastAsia="en-GB"/>
        </w:rPr>
        <w:t xml:space="preserve">; and </w:t>
      </w:r>
      <w:r w:rsidR="00295445" w:rsidRPr="00872636">
        <w:rPr>
          <w:rFonts w:ascii="Times New Roman" w:hAnsi="Times New Roman" w:cs="Times New Roman"/>
          <w:i/>
          <w:iCs/>
          <w:sz w:val="24"/>
          <w:szCs w:val="24"/>
          <w:lang w:eastAsia="en-GB"/>
        </w:rPr>
        <w:t>C</w:t>
      </w:r>
      <w:r w:rsidR="00295445" w:rsidRPr="00872636">
        <w:rPr>
          <w:rFonts w:ascii="Times New Roman" w:hAnsi="Times New Roman" w:cs="Times New Roman"/>
          <w:sz w:val="24"/>
          <w:szCs w:val="24"/>
          <w:vertAlign w:val="subscript"/>
          <w:lang w:eastAsia="en-GB"/>
        </w:rPr>
        <w:t>L</w:t>
      </w:r>
      <w:r w:rsidR="00295445" w:rsidRPr="00872636">
        <w:rPr>
          <w:rFonts w:ascii="Times New Roman" w:hAnsi="Times New Roman" w:cs="Times New Roman"/>
          <w:sz w:val="24"/>
          <w:szCs w:val="24"/>
          <w:lang w:eastAsia="en-GB"/>
        </w:rPr>
        <w:t xml:space="preserve"> at 13,870 km is 1.07 times </w:t>
      </w:r>
      <w:r w:rsidR="00295445" w:rsidRPr="00872636">
        <w:rPr>
          <w:rFonts w:ascii="Times New Roman" w:hAnsi="Times New Roman" w:cs="Times New Roman"/>
          <w:i/>
          <w:iCs/>
          <w:sz w:val="24"/>
          <w:szCs w:val="24"/>
          <w:lang w:eastAsia="en-GB"/>
        </w:rPr>
        <w:t>C</w:t>
      </w:r>
      <w:r w:rsidR="00295445" w:rsidRPr="00872636">
        <w:rPr>
          <w:rFonts w:ascii="Times New Roman" w:hAnsi="Times New Roman" w:cs="Times New Roman"/>
          <w:sz w:val="24"/>
          <w:szCs w:val="24"/>
          <w:vertAlign w:val="subscript"/>
          <w:lang w:eastAsia="en-GB"/>
        </w:rPr>
        <w:t>L</w:t>
      </w:r>
      <w:r w:rsidR="00295445" w:rsidRPr="00872636">
        <w:rPr>
          <w:rFonts w:ascii="Times New Roman" w:hAnsi="Times New Roman" w:cs="Times New Roman"/>
          <w:sz w:val="24"/>
          <w:szCs w:val="24"/>
          <w:lang w:eastAsia="en-GB"/>
        </w:rPr>
        <w:t xml:space="preserve"> at 5,000 km whereas </w:t>
      </w:r>
      <w:r w:rsidR="00295445" w:rsidRPr="00872636">
        <w:rPr>
          <w:rFonts w:ascii="Times New Roman" w:hAnsi="Times New Roman" w:cs="Times New Roman"/>
          <w:i/>
          <w:iCs/>
          <w:sz w:val="24"/>
          <w:szCs w:val="24"/>
          <w:lang w:eastAsia="en-GB"/>
        </w:rPr>
        <w:t>C</w:t>
      </w:r>
      <w:r w:rsidR="00295445" w:rsidRPr="00872636">
        <w:rPr>
          <w:rFonts w:ascii="Times New Roman" w:hAnsi="Times New Roman" w:cs="Times New Roman"/>
          <w:sz w:val="24"/>
          <w:szCs w:val="24"/>
          <w:vertAlign w:val="subscript"/>
          <w:lang w:eastAsia="en-GB"/>
        </w:rPr>
        <w:t>D</w:t>
      </w:r>
      <w:r w:rsidR="00295445" w:rsidRPr="00872636">
        <w:rPr>
          <w:rFonts w:ascii="Times New Roman" w:hAnsi="Times New Roman" w:cs="Times New Roman"/>
          <w:sz w:val="24"/>
          <w:szCs w:val="24"/>
          <w:lang w:eastAsia="en-GB"/>
        </w:rPr>
        <w:t xml:space="preserve"> at 13,870 km is 1.04 times </w:t>
      </w:r>
      <w:r w:rsidR="00295445" w:rsidRPr="00872636">
        <w:rPr>
          <w:rFonts w:ascii="Times New Roman" w:hAnsi="Times New Roman" w:cs="Times New Roman"/>
          <w:i/>
          <w:iCs/>
          <w:sz w:val="24"/>
          <w:szCs w:val="24"/>
          <w:lang w:eastAsia="en-GB"/>
        </w:rPr>
        <w:t>C</w:t>
      </w:r>
      <w:r w:rsidR="00295445" w:rsidRPr="00872636">
        <w:rPr>
          <w:rFonts w:ascii="Times New Roman" w:hAnsi="Times New Roman" w:cs="Times New Roman"/>
          <w:sz w:val="24"/>
          <w:szCs w:val="24"/>
          <w:vertAlign w:val="subscript"/>
          <w:lang w:eastAsia="en-GB"/>
        </w:rPr>
        <w:t>D</w:t>
      </w:r>
      <w:r w:rsidR="00295445" w:rsidRPr="00872636">
        <w:rPr>
          <w:rFonts w:ascii="Times New Roman" w:hAnsi="Times New Roman" w:cs="Times New Roman"/>
          <w:sz w:val="24"/>
          <w:szCs w:val="24"/>
          <w:lang w:eastAsia="en-GB"/>
        </w:rPr>
        <w:t xml:space="preserve"> at 5,000 km for LH</w:t>
      </w:r>
      <w:r w:rsidR="00295445" w:rsidRPr="00872636">
        <w:rPr>
          <w:rFonts w:ascii="Times New Roman" w:hAnsi="Times New Roman" w:cs="Times New Roman"/>
          <w:sz w:val="24"/>
          <w:szCs w:val="24"/>
          <w:vertAlign w:val="subscript"/>
          <w:lang w:eastAsia="en-GB"/>
        </w:rPr>
        <w:t>2</w:t>
      </w:r>
      <w:r w:rsidR="00295445" w:rsidRPr="00872636">
        <w:rPr>
          <w:rFonts w:ascii="Times New Roman" w:hAnsi="Times New Roman" w:cs="Times New Roman"/>
          <w:sz w:val="24"/>
          <w:szCs w:val="24"/>
          <w:lang w:eastAsia="en-GB"/>
        </w:rPr>
        <w:t xml:space="preserve"> </w:t>
      </w:r>
      <w:r w:rsidR="00676052" w:rsidRPr="00872636">
        <w:rPr>
          <w:rFonts w:ascii="Times New Roman" w:hAnsi="Times New Roman" w:cs="Times New Roman"/>
          <w:sz w:val="24"/>
          <w:szCs w:val="24"/>
          <w:lang w:eastAsia="en-GB"/>
        </w:rPr>
        <w:t>100% load factor</w:t>
      </w:r>
      <w:r w:rsidR="00295445" w:rsidRPr="00872636">
        <w:rPr>
          <w:rFonts w:ascii="Times New Roman" w:hAnsi="Times New Roman" w:cs="Times New Roman"/>
          <w:sz w:val="24"/>
          <w:szCs w:val="24"/>
          <w:lang w:eastAsia="en-GB"/>
        </w:rPr>
        <w:t xml:space="preserve">. This results in 1.08 times increase and 1.03 times increase in L/D for Jet A </w:t>
      </w:r>
      <w:r w:rsidR="00676052" w:rsidRPr="00872636">
        <w:rPr>
          <w:rFonts w:ascii="Times New Roman" w:hAnsi="Times New Roman" w:cs="Times New Roman"/>
          <w:sz w:val="24"/>
          <w:szCs w:val="24"/>
          <w:lang w:eastAsia="en-GB"/>
        </w:rPr>
        <w:t xml:space="preserve">100% load factor </w:t>
      </w:r>
      <w:r w:rsidR="00295445" w:rsidRPr="00872636">
        <w:rPr>
          <w:rFonts w:ascii="Times New Roman" w:hAnsi="Times New Roman" w:cs="Times New Roman"/>
          <w:sz w:val="24"/>
          <w:szCs w:val="24"/>
          <w:lang w:eastAsia="en-GB"/>
        </w:rPr>
        <w:t>and LH</w:t>
      </w:r>
      <w:r w:rsidR="00295445" w:rsidRPr="00872636">
        <w:rPr>
          <w:rFonts w:ascii="Times New Roman" w:hAnsi="Times New Roman" w:cs="Times New Roman"/>
          <w:sz w:val="24"/>
          <w:szCs w:val="24"/>
          <w:vertAlign w:val="subscript"/>
          <w:lang w:eastAsia="en-GB"/>
        </w:rPr>
        <w:t>2</w:t>
      </w:r>
      <w:r w:rsidR="00295445" w:rsidRPr="00872636">
        <w:rPr>
          <w:rFonts w:ascii="Times New Roman" w:hAnsi="Times New Roman" w:cs="Times New Roman"/>
          <w:sz w:val="24"/>
          <w:szCs w:val="24"/>
          <w:lang w:eastAsia="en-GB"/>
        </w:rPr>
        <w:t xml:space="preserve"> </w:t>
      </w:r>
      <w:r w:rsidR="00676052" w:rsidRPr="00872636">
        <w:rPr>
          <w:rFonts w:ascii="Times New Roman" w:hAnsi="Times New Roman" w:cs="Times New Roman"/>
          <w:sz w:val="24"/>
          <w:szCs w:val="24"/>
          <w:lang w:eastAsia="en-GB"/>
        </w:rPr>
        <w:t xml:space="preserve">100% load </w:t>
      </w:r>
      <w:r w:rsidR="00C11316" w:rsidRPr="007D699F">
        <w:rPr>
          <w:rFonts w:ascii="Times New Roman" w:hAnsi="Times New Roman" w:cs="Times New Roman"/>
          <w:sz w:val="24"/>
          <w:szCs w:val="24"/>
          <w:lang w:eastAsia="en-GB"/>
        </w:rPr>
        <w:t>factor,</w:t>
      </w:r>
      <w:r w:rsidR="00676052" w:rsidRPr="00872636">
        <w:rPr>
          <w:rFonts w:ascii="Times New Roman" w:hAnsi="Times New Roman" w:cs="Times New Roman"/>
          <w:sz w:val="24"/>
          <w:szCs w:val="24"/>
          <w:lang w:eastAsia="en-GB"/>
        </w:rPr>
        <w:t xml:space="preserve"> </w:t>
      </w:r>
      <w:r w:rsidR="00295445" w:rsidRPr="00872636">
        <w:rPr>
          <w:rFonts w:ascii="Times New Roman" w:hAnsi="Times New Roman" w:cs="Times New Roman"/>
          <w:sz w:val="24"/>
          <w:szCs w:val="24"/>
          <w:lang w:eastAsia="en-GB"/>
        </w:rPr>
        <w:t>respectively.</w:t>
      </w:r>
    </w:p>
    <w:p w14:paraId="35A9FEBF" w14:textId="23FE1DE0" w:rsidR="003C30BA" w:rsidRPr="00872636" w:rsidRDefault="003C30BA" w:rsidP="00C525D8">
      <w:pPr>
        <w:spacing w:line="480" w:lineRule="auto"/>
        <w:jc w:val="both"/>
        <w:rPr>
          <w:rFonts w:ascii="Times New Roman" w:hAnsi="Times New Roman" w:cs="Times New Roman"/>
          <w:sz w:val="24"/>
          <w:szCs w:val="24"/>
          <w:lang w:eastAsia="en-GB"/>
        </w:rPr>
      </w:pPr>
      <w:r w:rsidRPr="002201D7">
        <w:rPr>
          <w:rFonts w:ascii="Times New Roman" w:hAnsi="Times New Roman" w:cs="Times New Roman"/>
          <w:b/>
          <w:bCs/>
          <w:sz w:val="24"/>
          <w:szCs w:val="24"/>
        </w:rPr>
        <w:tab/>
      </w:r>
      <w:r w:rsidRPr="00872636">
        <w:rPr>
          <w:rFonts w:ascii="Times New Roman" w:hAnsi="Times New Roman" w:cs="Times New Roman"/>
          <w:sz w:val="24"/>
          <w:szCs w:val="24"/>
        </w:rPr>
        <w:t xml:space="preserve">For 100% SPK, due to the slightly higher gravimetric energy density the GTOW is lower than Jet-A. </w:t>
      </w:r>
      <w:r w:rsidRPr="00872636">
        <w:rPr>
          <w:rFonts w:ascii="Times New Roman" w:hAnsi="Times New Roman" w:cs="Times New Roman"/>
          <w:sz w:val="24"/>
          <w:szCs w:val="24"/>
          <w:lang w:eastAsia="en-GB"/>
        </w:rPr>
        <w:t xml:space="preserve">Thus, according to equation </w:t>
      </w:r>
      <w:r w:rsidR="0087017A">
        <w:rPr>
          <w:rFonts w:ascii="Times New Roman" w:hAnsi="Times New Roman" w:cs="Times New Roman"/>
          <w:sz w:val="24"/>
          <w:szCs w:val="24"/>
          <w:lang w:eastAsia="en-GB"/>
        </w:rPr>
        <w:t>SI</w:t>
      </w:r>
      <w:r w:rsidR="0087017A" w:rsidRPr="002201D7" w:rsidDel="0087017A">
        <w:rPr>
          <w:rFonts w:ascii="Times New Roman" w:hAnsi="Times New Roman" w:cs="Times New Roman"/>
          <w:sz w:val="24"/>
          <w:szCs w:val="24"/>
          <w:lang w:eastAsia="en-GB"/>
        </w:rPr>
        <w:t xml:space="preserve"> </w:t>
      </w:r>
      <w:r w:rsidR="0087017A">
        <w:rPr>
          <w:rFonts w:ascii="Times New Roman" w:hAnsi="Times New Roman" w:cs="Times New Roman"/>
          <w:sz w:val="24"/>
          <w:szCs w:val="24"/>
          <w:lang w:eastAsia="en-GB"/>
        </w:rPr>
        <w:t>3</w:t>
      </w:r>
      <w:r w:rsidRPr="00872636">
        <w:rPr>
          <w:rFonts w:ascii="Times New Roman" w:hAnsi="Times New Roman" w:cs="Times New Roman"/>
          <w:sz w:val="24"/>
          <w:szCs w:val="24"/>
          <w:lang w:eastAsia="en-GB"/>
        </w:rPr>
        <w:t xml:space="preserve"> (paper), the </w:t>
      </w:r>
      <w:r w:rsidRPr="00872636">
        <w:rPr>
          <w:rFonts w:ascii="Times New Roman" w:hAnsi="Times New Roman" w:cs="Times New Roman"/>
          <w:i/>
          <w:iCs/>
          <w:sz w:val="24"/>
          <w:szCs w:val="24"/>
          <w:lang w:eastAsia="en-GB"/>
        </w:rPr>
        <w:t>C</w:t>
      </w:r>
      <w:r w:rsidRPr="00872636">
        <w:rPr>
          <w:rFonts w:ascii="Times New Roman" w:hAnsi="Times New Roman" w:cs="Times New Roman"/>
          <w:sz w:val="24"/>
          <w:szCs w:val="24"/>
          <w:vertAlign w:val="subscript"/>
          <w:lang w:eastAsia="en-GB"/>
        </w:rPr>
        <w:t>L</w:t>
      </w:r>
      <w:r w:rsidRPr="00872636">
        <w:rPr>
          <w:rFonts w:ascii="Times New Roman" w:hAnsi="Times New Roman" w:cs="Times New Roman"/>
          <w:sz w:val="24"/>
          <w:szCs w:val="24"/>
          <w:lang w:eastAsia="en-GB"/>
        </w:rPr>
        <w:t xml:space="preserve"> for the 100% SPK aircraft is expected to be lower than Jet-A and this is observed in </w:t>
      </w:r>
      <w:r w:rsidRPr="00872636">
        <w:rPr>
          <w:rFonts w:ascii="Times New Roman" w:hAnsi="Times New Roman" w:cs="Times New Roman"/>
          <w:sz w:val="24"/>
          <w:szCs w:val="24"/>
        </w:rPr>
        <w:t>Figure SI 8</w:t>
      </w:r>
      <w:r w:rsidRPr="00872636">
        <w:rPr>
          <w:rFonts w:ascii="Times New Roman" w:hAnsi="Times New Roman" w:cs="Times New Roman"/>
          <w:sz w:val="24"/>
          <w:szCs w:val="24"/>
          <w:lang w:eastAsia="en-GB"/>
        </w:rPr>
        <w:t xml:space="preserve">. Additionally, since the </w:t>
      </w:r>
      <w:r w:rsidRPr="00872636">
        <w:rPr>
          <w:rFonts w:ascii="Times New Roman" w:hAnsi="Times New Roman" w:cs="Times New Roman"/>
          <w:sz w:val="24"/>
          <w:szCs w:val="24"/>
          <w:lang w:eastAsia="en-GB"/>
        </w:rPr>
        <w:lastRenderedPageBreak/>
        <w:t xml:space="preserve">OEW is slightly higher (due to negative volumetric density effects that needs 0.25 m of additional fuselage), the parasitic drag is higher than Jet-A. However, the GTOW is slightly lower and thus the lift induced drag is smaller than Jet-A. Overall, the </w:t>
      </w:r>
      <w:r w:rsidRPr="00872636">
        <w:rPr>
          <w:rFonts w:ascii="Times New Roman" w:hAnsi="Times New Roman" w:cs="Times New Roman"/>
          <w:i/>
          <w:iCs/>
          <w:sz w:val="24"/>
          <w:szCs w:val="24"/>
          <w:lang w:eastAsia="en-GB"/>
        </w:rPr>
        <w:t>C</w:t>
      </w:r>
      <w:r w:rsidRPr="00872636">
        <w:rPr>
          <w:rFonts w:ascii="Times New Roman" w:hAnsi="Times New Roman" w:cs="Times New Roman"/>
          <w:sz w:val="24"/>
          <w:szCs w:val="24"/>
          <w:vertAlign w:val="subscript"/>
          <w:lang w:eastAsia="en-GB"/>
        </w:rPr>
        <w:t>D</w:t>
      </w:r>
      <w:r w:rsidRPr="00872636">
        <w:rPr>
          <w:rFonts w:ascii="Times New Roman" w:hAnsi="Times New Roman" w:cs="Times New Roman"/>
          <w:sz w:val="24"/>
          <w:szCs w:val="24"/>
          <w:lang w:eastAsia="en-GB"/>
        </w:rPr>
        <w:t xml:space="preserve"> for the 100% SPK aircraft is lower than Jet-A and this is observed in </w:t>
      </w:r>
      <w:r w:rsidRPr="00872636">
        <w:rPr>
          <w:rFonts w:ascii="Times New Roman" w:hAnsi="Times New Roman" w:cs="Times New Roman"/>
          <w:sz w:val="24"/>
          <w:szCs w:val="24"/>
        </w:rPr>
        <w:t xml:space="preserve">Figure SI 9. Considering the effects of both </w:t>
      </w:r>
      <w:r w:rsidRPr="00872636">
        <w:rPr>
          <w:rFonts w:ascii="Times New Roman" w:hAnsi="Times New Roman" w:cs="Times New Roman"/>
          <w:i/>
          <w:iCs/>
          <w:sz w:val="24"/>
          <w:szCs w:val="24"/>
          <w:lang w:eastAsia="en-GB"/>
        </w:rPr>
        <w:t>C</w:t>
      </w:r>
      <w:r w:rsidRPr="00872636">
        <w:rPr>
          <w:rFonts w:ascii="Times New Roman" w:hAnsi="Times New Roman" w:cs="Times New Roman"/>
          <w:sz w:val="24"/>
          <w:szCs w:val="24"/>
          <w:vertAlign w:val="subscript"/>
          <w:lang w:eastAsia="en-GB"/>
        </w:rPr>
        <w:t>L</w:t>
      </w:r>
      <w:r w:rsidRPr="00872636">
        <w:rPr>
          <w:rFonts w:ascii="Times New Roman" w:hAnsi="Times New Roman" w:cs="Times New Roman"/>
          <w:sz w:val="24"/>
          <w:szCs w:val="24"/>
        </w:rPr>
        <w:t xml:space="preserve"> and </w:t>
      </w:r>
      <w:r w:rsidRPr="00872636">
        <w:rPr>
          <w:rFonts w:ascii="Times New Roman" w:hAnsi="Times New Roman" w:cs="Times New Roman"/>
          <w:i/>
          <w:iCs/>
          <w:sz w:val="24"/>
          <w:szCs w:val="24"/>
          <w:lang w:eastAsia="en-GB"/>
        </w:rPr>
        <w:t>C</w:t>
      </w:r>
      <w:r w:rsidRPr="00872636">
        <w:rPr>
          <w:rFonts w:ascii="Times New Roman" w:hAnsi="Times New Roman" w:cs="Times New Roman"/>
          <w:sz w:val="24"/>
          <w:szCs w:val="24"/>
          <w:vertAlign w:val="subscript"/>
          <w:lang w:eastAsia="en-GB"/>
        </w:rPr>
        <w:t>D</w:t>
      </w:r>
      <w:r w:rsidRPr="00872636">
        <w:rPr>
          <w:rFonts w:ascii="Times New Roman" w:hAnsi="Times New Roman" w:cs="Times New Roman"/>
          <w:sz w:val="24"/>
          <w:szCs w:val="24"/>
        </w:rPr>
        <w:t>, the effect of lower GTOW of 100% SPK relative to Jet-A results in lower L/D and this is observed in Figure SI 7.</w:t>
      </w:r>
    </w:p>
    <w:p w14:paraId="2A9F8766" w14:textId="078E28F3" w:rsidR="00C8623F" w:rsidRPr="00872636" w:rsidRDefault="009656DF" w:rsidP="00C525D8">
      <w:pPr>
        <w:spacing w:line="480" w:lineRule="auto"/>
        <w:jc w:val="both"/>
        <w:rPr>
          <w:rFonts w:ascii="Times New Roman" w:hAnsi="Times New Roman" w:cs="Times New Roman"/>
          <w:sz w:val="24"/>
          <w:szCs w:val="24"/>
        </w:rPr>
      </w:pPr>
      <w:r w:rsidRPr="00872636">
        <w:rPr>
          <w:rFonts w:ascii="Times New Roman" w:hAnsi="Times New Roman" w:cs="Times New Roman"/>
          <w:noProof/>
          <w:sz w:val="24"/>
          <w:szCs w:val="24"/>
        </w:rPr>
        <w:drawing>
          <wp:inline distT="0" distB="0" distL="0" distR="0" wp14:anchorId="0E7C4304" wp14:editId="4A43011A">
            <wp:extent cx="5731510" cy="436372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4363720"/>
                    </a:xfrm>
                    <a:prstGeom prst="rect">
                      <a:avLst/>
                    </a:prstGeom>
                    <a:noFill/>
                    <a:ln>
                      <a:noFill/>
                    </a:ln>
                  </pic:spPr>
                </pic:pic>
              </a:graphicData>
            </a:graphic>
          </wp:inline>
        </w:drawing>
      </w:r>
    </w:p>
    <w:p w14:paraId="79911E83" w14:textId="2510A9F0" w:rsidR="00875BB6" w:rsidRPr="00CE68A4" w:rsidRDefault="00DE5075" w:rsidP="003C30BA">
      <w:pPr>
        <w:spacing w:line="480" w:lineRule="auto"/>
        <w:jc w:val="center"/>
        <w:rPr>
          <w:rFonts w:ascii="Times New Roman" w:hAnsi="Times New Roman" w:cs="Times New Roman"/>
          <w:b/>
          <w:bCs/>
          <w:sz w:val="24"/>
          <w:szCs w:val="24"/>
        </w:rPr>
      </w:pPr>
      <w:r w:rsidRPr="00872636">
        <w:rPr>
          <w:rFonts w:ascii="Times New Roman" w:hAnsi="Times New Roman" w:cs="Times New Roman"/>
          <w:b/>
          <w:bCs/>
          <w:sz w:val="24"/>
          <w:szCs w:val="24"/>
        </w:rPr>
        <w:t xml:space="preserve">Figure SI </w:t>
      </w:r>
      <w:r w:rsidR="00EA1674" w:rsidRPr="00872636">
        <w:rPr>
          <w:rFonts w:ascii="Times New Roman" w:hAnsi="Times New Roman" w:cs="Times New Roman"/>
          <w:b/>
          <w:bCs/>
          <w:sz w:val="24"/>
          <w:szCs w:val="24"/>
        </w:rPr>
        <w:t>7</w:t>
      </w:r>
      <w:r w:rsidRPr="00872636">
        <w:rPr>
          <w:rFonts w:ascii="Times New Roman" w:hAnsi="Times New Roman" w:cs="Times New Roman"/>
          <w:b/>
          <w:bCs/>
          <w:sz w:val="24"/>
          <w:szCs w:val="24"/>
        </w:rPr>
        <w:t>. Comparison of L/D for Jet-A, 100% SPK and LH</w:t>
      </w:r>
      <w:r w:rsidRPr="00872636">
        <w:rPr>
          <w:rFonts w:ascii="Times New Roman" w:hAnsi="Times New Roman" w:cs="Times New Roman"/>
          <w:b/>
          <w:bCs/>
          <w:sz w:val="24"/>
          <w:szCs w:val="24"/>
          <w:vertAlign w:val="subscript"/>
        </w:rPr>
        <w:t>2</w:t>
      </w:r>
      <w:r w:rsidRPr="002201D7">
        <w:rPr>
          <w:rFonts w:ascii="Times New Roman" w:hAnsi="Times New Roman" w:cs="Times New Roman"/>
          <w:b/>
          <w:bCs/>
          <w:sz w:val="24"/>
          <w:szCs w:val="24"/>
        </w:rPr>
        <w:t xml:space="preserve"> aircraft at different range and payload </w:t>
      </w:r>
      <w:r w:rsidR="007B0011" w:rsidRPr="002201D7">
        <w:rPr>
          <w:rFonts w:ascii="Times New Roman" w:hAnsi="Times New Roman" w:cs="Times New Roman"/>
          <w:b/>
          <w:bCs/>
          <w:sz w:val="24"/>
          <w:szCs w:val="24"/>
        </w:rPr>
        <w:t xml:space="preserve">(load factor) </w:t>
      </w:r>
      <w:r w:rsidRPr="00CE68A4">
        <w:rPr>
          <w:rFonts w:ascii="Times New Roman" w:hAnsi="Times New Roman" w:cs="Times New Roman"/>
          <w:b/>
          <w:bCs/>
          <w:sz w:val="24"/>
          <w:szCs w:val="24"/>
        </w:rPr>
        <w:t>combinations</w:t>
      </w:r>
    </w:p>
    <w:p w14:paraId="51E4DE26" w14:textId="76B041EF" w:rsidR="00C8623F" w:rsidRPr="00872636" w:rsidRDefault="009656DF" w:rsidP="00C525D8">
      <w:pPr>
        <w:spacing w:line="480" w:lineRule="auto"/>
        <w:jc w:val="both"/>
        <w:rPr>
          <w:rFonts w:ascii="Times New Roman" w:hAnsi="Times New Roman" w:cs="Times New Roman"/>
          <w:sz w:val="24"/>
          <w:szCs w:val="24"/>
        </w:rPr>
      </w:pPr>
      <w:r w:rsidRPr="00872636">
        <w:rPr>
          <w:rFonts w:ascii="Times New Roman" w:hAnsi="Times New Roman" w:cs="Times New Roman"/>
          <w:noProof/>
          <w:sz w:val="24"/>
          <w:szCs w:val="24"/>
        </w:rPr>
        <w:lastRenderedPageBreak/>
        <w:drawing>
          <wp:inline distT="0" distB="0" distL="0" distR="0" wp14:anchorId="36BF1F71" wp14:editId="683FE7E6">
            <wp:extent cx="5725795" cy="4368165"/>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5795" cy="4368165"/>
                    </a:xfrm>
                    <a:prstGeom prst="rect">
                      <a:avLst/>
                    </a:prstGeom>
                    <a:noFill/>
                    <a:ln>
                      <a:noFill/>
                    </a:ln>
                  </pic:spPr>
                </pic:pic>
              </a:graphicData>
            </a:graphic>
          </wp:inline>
        </w:drawing>
      </w:r>
    </w:p>
    <w:p w14:paraId="40C2B0F0" w14:textId="23DDB4AE" w:rsidR="00DE5075" w:rsidRPr="00872636" w:rsidRDefault="00DE5075" w:rsidP="00C525D8">
      <w:pPr>
        <w:spacing w:line="480" w:lineRule="auto"/>
        <w:jc w:val="center"/>
        <w:rPr>
          <w:rFonts w:ascii="Times New Roman" w:hAnsi="Times New Roman" w:cs="Times New Roman"/>
          <w:sz w:val="24"/>
          <w:szCs w:val="24"/>
        </w:rPr>
      </w:pPr>
      <w:r w:rsidRPr="00872636">
        <w:rPr>
          <w:rFonts w:ascii="Times New Roman" w:hAnsi="Times New Roman" w:cs="Times New Roman"/>
          <w:b/>
          <w:bCs/>
          <w:sz w:val="24"/>
          <w:szCs w:val="24"/>
        </w:rPr>
        <w:t xml:space="preserve">Figure SI </w:t>
      </w:r>
      <w:r w:rsidR="00EA1674" w:rsidRPr="00872636">
        <w:rPr>
          <w:rFonts w:ascii="Times New Roman" w:hAnsi="Times New Roman" w:cs="Times New Roman"/>
          <w:b/>
          <w:bCs/>
          <w:sz w:val="24"/>
          <w:szCs w:val="24"/>
        </w:rPr>
        <w:t>8</w:t>
      </w:r>
      <w:r w:rsidRPr="00872636">
        <w:rPr>
          <w:rFonts w:ascii="Times New Roman" w:hAnsi="Times New Roman" w:cs="Times New Roman"/>
          <w:b/>
          <w:bCs/>
          <w:sz w:val="24"/>
          <w:szCs w:val="24"/>
        </w:rPr>
        <w:t>. Comparison of C</w:t>
      </w:r>
      <w:r w:rsidRPr="00872636">
        <w:rPr>
          <w:rFonts w:ascii="Times New Roman" w:hAnsi="Times New Roman" w:cs="Times New Roman"/>
          <w:b/>
          <w:bCs/>
          <w:sz w:val="24"/>
          <w:szCs w:val="24"/>
          <w:vertAlign w:val="subscript"/>
        </w:rPr>
        <w:t>L</w:t>
      </w:r>
      <w:r w:rsidRPr="00872636">
        <w:rPr>
          <w:rFonts w:ascii="Times New Roman" w:hAnsi="Times New Roman" w:cs="Times New Roman"/>
          <w:b/>
          <w:bCs/>
          <w:sz w:val="24"/>
          <w:szCs w:val="24"/>
        </w:rPr>
        <w:t xml:space="preserve"> for Jet-A, 100% SPK and LH</w:t>
      </w:r>
      <w:r w:rsidRPr="00872636">
        <w:rPr>
          <w:rFonts w:ascii="Times New Roman" w:hAnsi="Times New Roman" w:cs="Times New Roman"/>
          <w:b/>
          <w:bCs/>
          <w:sz w:val="24"/>
          <w:szCs w:val="24"/>
          <w:vertAlign w:val="subscript"/>
        </w:rPr>
        <w:t>2</w:t>
      </w:r>
      <w:r w:rsidRPr="002201D7">
        <w:rPr>
          <w:rFonts w:ascii="Times New Roman" w:hAnsi="Times New Roman" w:cs="Times New Roman"/>
          <w:b/>
          <w:bCs/>
          <w:sz w:val="24"/>
          <w:szCs w:val="24"/>
        </w:rPr>
        <w:t xml:space="preserve"> aircraft at different range and payload </w:t>
      </w:r>
      <w:r w:rsidR="007B0011" w:rsidRPr="002201D7">
        <w:rPr>
          <w:rFonts w:ascii="Times New Roman" w:hAnsi="Times New Roman" w:cs="Times New Roman"/>
          <w:b/>
          <w:bCs/>
          <w:sz w:val="24"/>
          <w:szCs w:val="24"/>
        </w:rPr>
        <w:t xml:space="preserve">(load factor) </w:t>
      </w:r>
      <w:r w:rsidRPr="00CE68A4">
        <w:rPr>
          <w:rFonts w:ascii="Times New Roman" w:hAnsi="Times New Roman" w:cs="Times New Roman"/>
          <w:b/>
          <w:bCs/>
          <w:sz w:val="24"/>
          <w:szCs w:val="24"/>
        </w:rPr>
        <w:t>combinations</w:t>
      </w:r>
    </w:p>
    <w:p w14:paraId="2498A452" w14:textId="4EA53F4F" w:rsidR="00C8623F" w:rsidRPr="00872636" w:rsidRDefault="009656DF" w:rsidP="00C525D8">
      <w:pPr>
        <w:spacing w:line="480" w:lineRule="auto"/>
        <w:jc w:val="both"/>
        <w:rPr>
          <w:rFonts w:ascii="Times New Roman" w:hAnsi="Times New Roman" w:cs="Times New Roman"/>
          <w:sz w:val="24"/>
          <w:szCs w:val="24"/>
        </w:rPr>
      </w:pPr>
      <w:r w:rsidRPr="00872636">
        <w:rPr>
          <w:rFonts w:ascii="Times New Roman" w:hAnsi="Times New Roman" w:cs="Times New Roman"/>
          <w:noProof/>
          <w:sz w:val="24"/>
          <w:szCs w:val="24"/>
        </w:rPr>
        <w:lastRenderedPageBreak/>
        <w:drawing>
          <wp:inline distT="0" distB="0" distL="0" distR="0" wp14:anchorId="0292B1D1" wp14:editId="6094FC70">
            <wp:extent cx="5725795" cy="4368165"/>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5795" cy="4368165"/>
                    </a:xfrm>
                    <a:prstGeom prst="rect">
                      <a:avLst/>
                    </a:prstGeom>
                    <a:noFill/>
                    <a:ln>
                      <a:noFill/>
                    </a:ln>
                  </pic:spPr>
                </pic:pic>
              </a:graphicData>
            </a:graphic>
          </wp:inline>
        </w:drawing>
      </w:r>
    </w:p>
    <w:p w14:paraId="2DDE947B" w14:textId="0B694477" w:rsidR="00DE5075" w:rsidRPr="00872636" w:rsidRDefault="00DE5075" w:rsidP="00C525D8">
      <w:pPr>
        <w:spacing w:line="480" w:lineRule="auto"/>
        <w:jc w:val="center"/>
        <w:rPr>
          <w:rFonts w:ascii="Times New Roman" w:hAnsi="Times New Roman" w:cs="Times New Roman"/>
          <w:sz w:val="24"/>
          <w:szCs w:val="24"/>
        </w:rPr>
      </w:pPr>
      <w:r w:rsidRPr="00872636">
        <w:rPr>
          <w:rFonts w:ascii="Times New Roman" w:hAnsi="Times New Roman" w:cs="Times New Roman"/>
          <w:b/>
          <w:bCs/>
          <w:sz w:val="24"/>
          <w:szCs w:val="24"/>
        </w:rPr>
        <w:t xml:space="preserve">Figure SI </w:t>
      </w:r>
      <w:r w:rsidR="00EA1674" w:rsidRPr="00872636">
        <w:rPr>
          <w:rFonts w:ascii="Times New Roman" w:hAnsi="Times New Roman" w:cs="Times New Roman"/>
          <w:b/>
          <w:bCs/>
          <w:sz w:val="24"/>
          <w:szCs w:val="24"/>
        </w:rPr>
        <w:t>9</w:t>
      </w:r>
      <w:r w:rsidRPr="00872636">
        <w:rPr>
          <w:rFonts w:ascii="Times New Roman" w:hAnsi="Times New Roman" w:cs="Times New Roman"/>
          <w:b/>
          <w:bCs/>
          <w:sz w:val="24"/>
          <w:szCs w:val="24"/>
        </w:rPr>
        <w:t>. Comparison of C</w:t>
      </w:r>
      <w:r w:rsidR="00973828" w:rsidRPr="00872636">
        <w:rPr>
          <w:rFonts w:ascii="Times New Roman" w:hAnsi="Times New Roman" w:cs="Times New Roman"/>
          <w:b/>
          <w:bCs/>
          <w:sz w:val="24"/>
          <w:szCs w:val="24"/>
          <w:vertAlign w:val="subscript"/>
        </w:rPr>
        <w:t>D</w:t>
      </w:r>
      <w:r w:rsidRPr="00872636">
        <w:rPr>
          <w:rFonts w:ascii="Times New Roman" w:hAnsi="Times New Roman" w:cs="Times New Roman"/>
          <w:b/>
          <w:bCs/>
          <w:sz w:val="24"/>
          <w:szCs w:val="24"/>
        </w:rPr>
        <w:t xml:space="preserve"> for Jet-A, 100% SPK and LH</w:t>
      </w:r>
      <w:r w:rsidRPr="00872636">
        <w:rPr>
          <w:rFonts w:ascii="Times New Roman" w:hAnsi="Times New Roman" w:cs="Times New Roman"/>
          <w:b/>
          <w:bCs/>
          <w:sz w:val="24"/>
          <w:szCs w:val="24"/>
          <w:vertAlign w:val="subscript"/>
        </w:rPr>
        <w:t>2</w:t>
      </w:r>
      <w:r w:rsidRPr="002201D7">
        <w:rPr>
          <w:rFonts w:ascii="Times New Roman" w:hAnsi="Times New Roman" w:cs="Times New Roman"/>
          <w:b/>
          <w:bCs/>
          <w:sz w:val="24"/>
          <w:szCs w:val="24"/>
        </w:rPr>
        <w:t xml:space="preserve"> aircraft at different range and payload</w:t>
      </w:r>
      <w:r w:rsidR="00B26947" w:rsidRPr="002201D7">
        <w:rPr>
          <w:rFonts w:ascii="Times New Roman" w:hAnsi="Times New Roman" w:cs="Times New Roman"/>
          <w:b/>
          <w:bCs/>
          <w:sz w:val="24"/>
          <w:szCs w:val="24"/>
        </w:rPr>
        <w:t xml:space="preserve"> (load factor)</w:t>
      </w:r>
      <w:r w:rsidRPr="00CE68A4">
        <w:rPr>
          <w:rFonts w:ascii="Times New Roman" w:hAnsi="Times New Roman" w:cs="Times New Roman"/>
          <w:b/>
          <w:bCs/>
          <w:sz w:val="24"/>
          <w:szCs w:val="24"/>
        </w:rPr>
        <w:t xml:space="preserve"> combinations</w:t>
      </w:r>
    </w:p>
    <w:p w14:paraId="597C4DF4" w14:textId="77777777" w:rsidR="00654376" w:rsidRPr="00872636" w:rsidRDefault="00654376" w:rsidP="00C525D8">
      <w:pPr>
        <w:pStyle w:val="Heading1"/>
        <w:numPr>
          <w:ilvl w:val="0"/>
          <w:numId w:val="4"/>
        </w:numPr>
        <w:spacing w:after="240" w:line="480" w:lineRule="auto"/>
        <w:rPr>
          <w:rFonts w:ascii="Times New Roman" w:eastAsia="Times New Roman" w:hAnsi="Times New Roman" w:cs="Times New Roman"/>
          <w:b/>
          <w:bCs/>
          <w:color w:val="auto"/>
          <w:sz w:val="24"/>
          <w:szCs w:val="24"/>
          <w:bdr w:val="none" w:sz="0" w:space="0" w:color="auto" w:frame="1"/>
          <w:lang w:eastAsia="en-GB"/>
        </w:rPr>
      </w:pPr>
      <w:r w:rsidRPr="00872636">
        <w:rPr>
          <w:rFonts w:ascii="Times New Roman" w:eastAsia="Times New Roman" w:hAnsi="Times New Roman" w:cs="Times New Roman"/>
          <w:b/>
          <w:bCs/>
          <w:color w:val="auto"/>
          <w:sz w:val="24"/>
          <w:szCs w:val="24"/>
          <w:bdr w:val="none" w:sz="0" w:space="0" w:color="auto" w:frame="1"/>
          <w:lang w:eastAsia="en-GB"/>
        </w:rPr>
        <w:t>Detailed author comments</w:t>
      </w:r>
    </w:p>
    <w:p w14:paraId="10C76D00" w14:textId="2E8DC1ED" w:rsidR="00654376" w:rsidRPr="00872636" w:rsidRDefault="00BA5CAB" w:rsidP="00C525D8">
      <w:pPr>
        <w:pStyle w:val="Heading2"/>
        <w:spacing w:after="240" w:line="480" w:lineRule="auto"/>
        <w:rPr>
          <w:rFonts w:ascii="Times New Roman" w:hAnsi="Times New Roman" w:cs="Times New Roman"/>
          <w:color w:val="auto"/>
          <w:sz w:val="24"/>
          <w:szCs w:val="24"/>
          <w:lang w:eastAsia="en-GB"/>
        </w:rPr>
      </w:pPr>
      <w:r w:rsidRPr="00872636">
        <w:rPr>
          <w:rFonts w:ascii="Times New Roman" w:hAnsi="Times New Roman" w:cs="Times New Roman"/>
          <w:color w:val="auto"/>
          <w:sz w:val="24"/>
          <w:szCs w:val="24"/>
          <w:lang w:eastAsia="en-GB"/>
        </w:rPr>
        <w:t>Fuselage</w:t>
      </w:r>
      <w:r w:rsidR="00654376" w:rsidRPr="00872636">
        <w:rPr>
          <w:rFonts w:ascii="Times New Roman" w:hAnsi="Times New Roman" w:cs="Times New Roman"/>
          <w:color w:val="auto"/>
          <w:sz w:val="24"/>
          <w:szCs w:val="24"/>
          <w:lang w:eastAsia="en-GB"/>
        </w:rPr>
        <w:t xml:space="preserve"> length</w:t>
      </w:r>
    </w:p>
    <w:p w14:paraId="4DAD46EE" w14:textId="3B386710" w:rsidR="00654376" w:rsidRPr="00872636" w:rsidRDefault="00654376" w:rsidP="00C525D8">
      <w:pPr>
        <w:spacing w:after="0" w:line="480" w:lineRule="auto"/>
        <w:jc w:val="both"/>
        <w:rPr>
          <w:rFonts w:ascii="Times New Roman" w:eastAsiaTheme="majorEastAsia" w:hAnsi="Times New Roman" w:cs="Times New Roman"/>
          <w:bCs/>
          <w:sz w:val="24"/>
          <w:szCs w:val="24"/>
        </w:rPr>
      </w:pPr>
      <w:r w:rsidRPr="00872636">
        <w:rPr>
          <w:rFonts w:ascii="Times New Roman" w:hAnsi="Times New Roman" w:cs="Times New Roman"/>
          <w:sz w:val="24"/>
          <w:szCs w:val="24"/>
        </w:rPr>
        <w:tab/>
        <w:t xml:space="preserve">The fuselage fineness ratio (FR = length/diameter) of Boeing 777-200 ER and LR both are 10.27 (= 63.7/6.2), and that of Boeing 777-300 ER is (73.9/6.2 =) 11.92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s://modernairliners.com/boeing-777/boeing-777-specs/","accessed":{"date-parts":[["2020","8","27"]]},"author":[{"dropping-particle":"","family":"Modern-airliners","given":"","non-dropping-particle":"","parse-names":false,"suffix":""}],"container-title":"Modern-airliners","id":"ITEM-1","issued":{"date-parts":[["2017"]]},"title":"Boeing 777 Specs, what makes this giant twin work?","type":"webpage"},"uris":["http://www.mendeley.com/documents/?uuid=458dd071-1b2e-38b5-9fde-fa7ca1416e17"]}],"mendeley":{"formattedCitation":"[129]","plainTextFormattedCitation":"[129]","previouslyFormattedCitation":"[129]"},"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[129]</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The FR of Boeing 787-8, 787-9 and 787-10 are 9.69 (= 55.91/5.77), 10.75 (= 62/5.77) and 11.7 (= 67.48/5.77) respectively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s://thepointsguy.co.uk/news/differences-787-8-and-787-9-and-787-10/","accessed":{"date-parts":[["2021","1","22"]]},"author":[{"dropping-particle":"","family":"The-points-guy","given":"","non-dropping-particle":"","parse-names":false,"suffix":""}],"container-title":"The points guy","id":"ITEM-1","issued":{"date-parts":[["2018"]]},"title":"The 787 Dreamliner — What Are the Differences Between a -8, -9 and -10?","type":"webpage"},"uris":["http://www.mendeley.com/documents/?uuid=01c00e9c-42ca-3fb2-887d-031204bbd274"]}],"mendeley":{"formattedCitation":"[130]","plainTextFormattedCitation":"[130]","previouslyFormattedCitation":"[130]"},"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[130]</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The FR of the baseline A350-1000 Jet-A aircraft is known to be 12.12 from Table </w:t>
      </w:r>
      <w:r w:rsidR="00664FB5">
        <w:rPr>
          <w:rFonts w:ascii="Times New Roman" w:hAnsi="Times New Roman" w:cs="Times New Roman"/>
          <w:sz w:val="24"/>
          <w:szCs w:val="24"/>
        </w:rPr>
        <w:t>SI 4</w:t>
      </w:r>
      <w:r w:rsidRPr="00872636">
        <w:rPr>
          <w:rFonts w:ascii="Times New Roman" w:hAnsi="Times New Roman" w:cs="Times New Roman"/>
          <w:sz w:val="24"/>
          <w:szCs w:val="24"/>
        </w:rPr>
        <w:t xml:space="preserve">. The FR of the </w:t>
      </w:r>
      <w:r w:rsidRPr="00872636">
        <w:rPr>
          <w:rFonts w:ascii="Times New Roman" w:eastAsia="Times New Roman" w:hAnsi="Times New Roman" w:cs="Times New Roman"/>
          <w:sz w:val="24"/>
          <w:szCs w:val="24"/>
          <w:lang w:eastAsia="en-GB"/>
        </w:rPr>
        <w:t>LH</w:t>
      </w:r>
      <w:r w:rsidRPr="00872636">
        <w:rPr>
          <w:rFonts w:ascii="Times New Roman" w:eastAsia="Times New Roman" w:hAnsi="Times New Roman" w:cs="Times New Roman"/>
          <w:sz w:val="24"/>
          <w:szCs w:val="24"/>
          <w:vertAlign w:val="subscript"/>
          <w:lang w:eastAsia="en-GB"/>
        </w:rPr>
        <w:t>2</w:t>
      </w:r>
      <w:r w:rsidRPr="00872636">
        <w:rPr>
          <w:rFonts w:ascii="Times New Roman" w:hAnsi="Times New Roman" w:cs="Times New Roman"/>
          <w:sz w:val="24"/>
          <w:szCs w:val="24"/>
        </w:rPr>
        <w:t xml:space="preserve"> aircraft modelled in </w:t>
      </w:r>
      <w:r w:rsidRPr="00872636">
        <w:rPr>
          <w:rFonts w:ascii="Times New Roman" w:hAnsi="Times New Roman" w:cs="Times New Roman"/>
          <w:sz w:val="24"/>
          <w:szCs w:val="24"/>
          <w:lang w:eastAsia="en-GB"/>
        </w:rPr>
        <w:t>§</w:t>
      </w:r>
      <w:r w:rsidR="000552B7" w:rsidRPr="00872636">
        <w:rPr>
          <w:rFonts w:ascii="Times New Roman" w:hAnsi="Times New Roman" w:cs="Times New Roman"/>
          <w:sz w:val="24"/>
          <w:szCs w:val="24"/>
        </w:rPr>
        <w:t>4</w:t>
      </w:r>
      <w:r w:rsidR="00FD44DF" w:rsidRPr="00872636">
        <w:rPr>
          <w:rFonts w:ascii="Times New Roman" w:hAnsi="Times New Roman" w:cs="Times New Roman"/>
          <w:sz w:val="24"/>
          <w:szCs w:val="24"/>
        </w:rPr>
        <w:t>.1</w:t>
      </w:r>
      <w:r w:rsidR="00581D01" w:rsidRPr="00872636">
        <w:rPr>
          <w:rFonts w:ascii="Times New Roman" w:hAnsi="Times New Roman" w:cs="Times New Roman"/>
          <w:sz w:val="24"/>
          <w:szCs w:val="24"/>
        </w:rPr>
        <w:t xml:space="preserve"> of the </w:t>
      </w:r>
      <w:r w:rsidR="00312CEA" w:rsidRPr="00872636">
        <w:rPr>
          <w:rFonts w:ascii="Times New Roman" w:hAnsi="Times New Roman" w:cs="Times New Roman"/>
          <w:sz w:val="24"/>
          <w:szCs w:val="24"/>
        </w:rPr>
        <w:t>paper</w:t>
      </w:r>
      <w:r w:rsidRPr="00872636">
        <w:rPr>
          <w:rFonts w:ascii="Times New Roman" w:hAnsi="Times New Roman" w:cs="Times New Roman"/>
          <w:sz w:val="24"/>
          <w:szCs w:val="24"/>
        </w:rPr>
        <w:t xml:space="preserve"> is (99.12/5.96 =) 16.63 (37.2% increase in fuselage length relative to baseline Jet-A aircraft). One of the interesting aircraft cases is the DC-8 Super 60, which has a slender fuselage and has the </w:t>
      </w:r>
      <w:r w:rsidRPr="00872636">
        <w:rPr>
          <w:rFonts w:ascii="Times New Roman" w:hAnsi="Times New Roman" w:cs="Times New Roman"/>
          <w:sz w:val="24"/>
          <w:szCs w:val="24"/>
        </w:rPr>
        <w:lastRenderedPageBreak/>
        <w:t xml:space="preserve">fineness ratio of 14.95 (= 55.75/3.73)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s://modernairliners.com/douglas-dc8/","accessed":{"date-parts":[["2021","1","22"]]},"author":[{"dropping-particle":"","family":"Modern-Airliners","given":"","non-dropping-particle":"","parse-names":false,"suffix":""}],"container-title":"Modern Airliners","id":"ITEM-1","issued":{"date-parts":[["2017"]]},"title":"Douglas DC8","type":"webpage"},"uris":["http://www.mendeley.com/documents/?uuid=78ed23b7-91a8-3a86-b99d-46e5570737e5"]}],"mendeley":{"formattedCitation":"[131]","plainTextFormattedCitation":"[131]","previouslyFormattedCitation":"[131]"},"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[131]</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Lastly, the FR of Concorde is 16.7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URL":"https://www.fzt.haw-hamburg.de/pers/Scholz/HOOU/AircraftDesign_6_Fuselage.pdf","accessed":{"date-parts":[["2021","1","22"]]},"author":[{"dropping-particle":"","family":"Scholz","given":"Dieter","non-dropping-particle":"","parse-names":false,"suffix":""}],"container-title":"Lecture notes","id":"ITEM-1","issued":{"date-parts":[["2017"]]},"title":"Fuselage design","type":"webpage"},"uris":["http://www.mendeley.com/documents/?uuid=b5ebff98-9cb6-3f2d-b38c-30bc17fa45ed"]}],"mendeley":{"formattedCitation":"[132]","plainTextFormattedCitation":"[132]","previouslyFormattedCitation":"[132]"},"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[132]</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The Concorde is an exception because it was a supersonic aircraft and had special aerodynamic requirement as compared to the above sub-sonic aircraft. Slender fuselage (high FR) enables higher cruise Mach number flights as the drag divergence number increases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{"citationItems":[{"id":"ITEM-1","itemData":{"author":[{"dropping-particle":"","family":"Hoerner","given":"Sighard","non-dropping-particle":"","parse-names":false,"suffix":""}],"id":"ITEM-1","issued":{"date-parts":[["1965"]]},"title":"Fluid-dynamic Drag: Practical Information on Aerodynamic Drag and Hydrodynamic Resistance","type":"book"},"uris":["http://www.mendeley.com/documents/?uuid=dbcd5ae1-6521-3f2c-8fac-5668dcfc5697"]}],"mendeley":{"formattedCitation":"[133]","plainTextFormattedCitation":"[133]","previouslyFormattedCitation":"[133]"},"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[133]</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w:t>
      </w:r>
    </w:p>
    <w:p w14:paraId="0B86FF91" w14:textId="4AAF2C83" w:rsidR="00654376" w:rsidRPr="00872636" w:rsidRDefault="00654376" w:rsidP="00C525D8">
      <w:pPr>
        <w:spacing w:after="0" w:line="480" w:lineRule="auto"/>
        <w:jc w:val="both"/>
        <w:rPr>
          <w:rFonts w:ascii="Times New Roman" w:hAnsi="Times New Roman" w:cs="Times New Roman"/>
          <w:sz w:val="24"/>
          <w:szCs w:val="24"/>
        </w:rPr>
      </w:pPr>
      <w:r w:rsidRPr="00872636">
        <w:rPr>
          <w:rFonts w:ascii="Times New Roman" w:eastAsiaTheme="majorEastAsia" w:hAnsi="Times New Roman" w:cs="Times New Roman"/>
          <w:bCs/>
          <w:sz w:val="24"/>
          <w:szCs w:val="24"/>
        </w:rPr>
        <w:tab/>
      </w:r>
      <w:r w:rsidRPr="00872636">
        <w:rPr>
          <w:rFonts w:ascii="Times New Roman" w:eastAsia="Times New Roman" w:hAnsi="Times New Roman" w:cs="Times New Roman"/>
          <w:sz w:val="24"/>
          <w:szCs w:val="24"/>
          <w:lang w:eastAsia="en-GB"/>
        </w:rPr>
        <w:t>LH</w:t>
      </w:r>
      <w:r w:rsidRPr="00872636">
        <w:rPr>
          <w:rFonts w:ascii="Times New Roman" w:eastAsia="Times New Roman" w:hAnsi="Times New Roman" w:cs="Times New Roman"/>
          <w:sz w:val="24"/>
          <w:szCs w:val="24"/>
          <w:vertAlign w:val="subscript"/>
          <w:lang w:eastAsia="en-GB"/>
        </w:rPr>
        <w:t>2</w:t>
      </w:r>
      <w:r w:rsidRPr="00872636">
        <w:rPr>
          <w:rFonts w:ascii="Times New Roman" w:hAnsi="Times New Roman" w:cs="Times New Roman"/>
          <w:sz w:val="24"/>
          <w:szCs w:val="24"/>
        </w:rPr>
        <w:t xml:space="preserve"> a</w:t>
      </w:r>
      <w:r w:rsidRPr="00872636">
        <w:rPr>
          <w:rFonts w:ascii="Times New Roman" w:eastAsiaTheme="majorEastAsia" w:hAnsi="Times New Roman" w:cs="Times New Roman"/>
          <w:bCs/>
          <w:sz w:val="24"/>
          <w:szCs w:val="24"/>
        </w:rPr>
        <w:t xml:space="preserve">ircraft with longer fuselage could have several issues to be addressed. These aircraft could necessitate design and development </w:t>
      </w:r>
      <w:r w:rsidRPr="00872636">
        <w:rPr>
          <w:rFonts w:ascii="Times New Roman" w:hAnsi="Times New Roman" w:cs="Times New Roman"/>
          <w:sz w:val="24"/>
          <w:szCs w:val="24"/>
        </w:rPr>
        <w:t xml:space="preserve">for increasing the structural strength for the longer fuselage to prevent longitudinal failures. Particularly, longer fuselage for unchanged diameter (high FR) could imply increase in bending of the fuselage and associated stresses. Additionally, increase in fuselage length is associated with </w:t>
      </w:r>
      <w:r w:rsidR="006E1139" w:rsidRPr="00872636">
        <w:rPr>
          <w:rFonts w:ascii="Times New Roman" w:hAnsi="Times New Roman" w:cs="Times New Roman"/>
          <w:sz w:val="24"/>
          <w:szCs w:val="24"/>
        </w:rPr>
        <w:t xml:space="preserve">a </w:t>
      </w:r>
      <w:r w:rsidRPr="00872636">
        <w:rPr>
          <w:rFonts w:ascii="Times New Roman" w:hAnsi="Times New Roman" w:cs="Times New Roman"/>
          <w:sz w:val="24"/>
          <w:szCs w:val="24"/>
        </w:rPr>
        <w:t xml:space="preserve">shift </w:t>
      </w:r>
      <w:r w:rsidR="006E1139" w:rsidRPr="00872636">
        <w:rPr>
          <w:rFonts w:ascii="Times New Roman" w:hAnsi="Times New Roman" w:cs="Times New Roman"/>
          <w:sz w:val="24"/>
          <w:szCs w:val="24"/>
        </w:rPr>
        <w:t>in</w:t>
      </w:r>
      <w:r w:rsidRPr="00872636">
        <w:rPr>
          <w:rFonts w:ascii="Times New Roman" w:hAnsi="Times New Roman" w:cs="Times New Roman"/>
          <w:sz w:val="24"/>
          <w:szCs w:val="24"/>
        </w:rPr>
        <w:t xml:space="preserve"> aircraft’s centre of gravity. This could mandate an examination on the criteria for positioning of the landing gear and an evaluation on the required take-off and landing speeds to avoid tail-strikes. From a design viewpoint, a longer aircraft might not be safe from flight dynamics perspective. The empennage and control surfaces have to be redesigned and recalibrated for stability. </w:t>
      </w:r>
    </w:p>
    <w:p w14:paraId="55070EC1" w14:textId="77777777" w:rsidR="00654376" w:rsidRPr="00872636" w:rsidRDefault="00654376" w:rsidP="00C525D8">
      <w:pPr>
        <w:spacing w:line="480" w:lineRule="auto"/>
        <w:jc w:val="both"/>
        <w:rPr>
          <w:rFonts w:ascii="Times New Roman" w:hAnsi="Times New Roman" w:cs="Times New Roman"/>
          <w:sz w:val="24"/>
          <w:szCs w:val="24"/>
        </w:rPr>
      </w:pPr>
      <w:r w:rsidRPr="00872636">
        <w:rPr>
          <w:rFonts w:ascii="Times New Roman" w:hAnsi="Times New Roman" w:cs="Times New Roman"/>
          <w:sz w:val="24"/>
          <w:szCs w:val="24"/>
        </w:rPr>
        <w:tab/>
        <w:t xml:space="preserve">Moreover, considering an absolute scale for the fuselage length, longer fuselage could affect take-off rotation, turning radius, operations at the airport, and could necessitate longer field length during take-off and landing. Therefore, significantly longer aircraft might not be readily compatible with present day airport infrastructure. The future airport planning and/or redesigning should take these effects into account if significantly longer (than present) </w:t>
      </w:r>
      <w:r w:rsidRPr="00872636">
        <w:rPr>
          <w:rFonts w:ascii="Times New Roman" w:eastAsia="Times New Roman" w:hAnsi="Times New Roman" w:cs="Times New Roman"/>
          <w:sz w:val="24"/>
          <w:szCs w:val="24"/>
          <w:lang w:eastAsia="en-GB"/>
        </w:rPr>
        <w:t>LH</w:t>
      </w:r>
      <w:r w:rsidRPr="00872636">
        <w:rPr>
          <w:rFonts w:ascii="Times New Roman" w:eastAsia="Times New Roman" w:hAnsi="Times New Roman" w:cs="Times New Roman"/>
          <w:sz w:val="24"/>
          <w:szCs w:val="24"/>
          <w:vertAlign w:val="subscript"/>
          <w:lang w:eastAsia="en-GB"/>
        </w:rPr>
        <w:t>2</w:t>
      </w:r>
      <w:r w:rsidRPr="00872636">
        <w:rPr>
          <w:rFonts w:ascii="Times New Roman" w:hAnsi="Times New Roman" w:cs="Times New Roman"/>
          <w:sz w:val="24"/>
          <w:szCs w:val="24"/>
        </w:rPr>
        <w:t xml:space="preserve"> aircraft are to enter in service. </w:t>
      </w:r>
    </w:p>
    <w:p w14:paraId="0ACDDAFB" w14:textId="77777777" w:rsidR="00654376" w:rsidRPr="00872636" w:rsidRDefault="00654376" w:rsidP="00C525D8">
      <w:pPr>
        <w:pStyle w:val="Heading2"/>
        <w:spacing w:after="240" w:line="480" w:lineRule="auto"/>
        <w:rPr>
          <w:rFonts w:ascii="Times New Roman" w:hAnsi="Times New Roman" w:cs="Times New Roman"/>
          <w:color w:val="auto"/>
          <w:sz w:val="24"/>
          <w:szCs w:val="24"/>
          <w:lang w:eastAsia="en-GB"/>
        </w:rPr>
      </w:pPr>
      <w:r w:rsidRPr="00872636">
        <w:rPr>
          <w:rFonts w:ascii="Times New Roman" w:hAnsi="Times New Roman" w:cs="Times New Roman"/>
          <w:color w:val="auto"/>
          <w:sz w:val="24"/>
          <w:szCs w:val="24"/>
          <w:lang w:eastAsia="en-GB"/>
        </w:rPr>
        <w:t>Optimization of aircraft</w:t>
      </w:r>
    </w:p>
    <w:p w14:paraId="165692FF" w14:textId="2B396B65" w:rsidR="00654376" w:rsidRPr="00872636" w:rsidRDefault="00654376" w:rsidP="00C525D8">
      <w:pPr>
        <w:spacing w:line="480" w:lineRule="auto"/>
        <w:jc w:val="both"/>
        <w:rPr>
          <w:rFonts w:ascii="Times New Roman" w:hAnsi="Times New Roman" w:cs="Times New Roman"/>
          <w:sz w:val="24"/>
          <w:szCs w:val="24"/>
        </w:rPr>
      </w:pPr>
      <w:r w:rsidRPr="00872636">
        <w:rPr>
          <w:rFonts w:ascii="Times New Roman" w:hAnsi="Times New Roman" w:cs="Times New Roman"/>
          <w:sz w:val="24"/>
          <w:szCs w:val="24"/>
          <w:lang w:eastAsia="en-GB"/>
        </w:rPr>
        <w:tab/>
      </w:r>
      <w:r w:rsidRPr="00872636">
        <w:rPr>
          <w:rFonts w:ascii="Times New Roman" w:hAnsi="Times New Roman" w:cs="Times New Roman"/>
          <w:sz w:val="24"/>
          <w:szCs w:val="24"/>
        </w:rPr>
        <w:t xml:space="preserve">In </w:t>
      </w:r>
      <w:r w:rsidR="00105184" w:rsidRPr="002201D7">
        <w:rPr>
          <w:rFonts w:ascii="Times New Roman" w:hAnsi="Times New Roman" w:cs="Times New Roman"/>
          <w:sz w:val="24"/>
          <w:szCs w:val="24"/>
          <w:lang w:eastAsia="en-GB"/>
        </w:rPr>
        <w:t>SI §</w:t>
      </w:r>
      <w:r w:rsidR="00105184" w:rsidRPr="00CE68A4">
        <w:rPr>
          <w:rFonts w:ascii="Times New Roman" w:hAnsi="Times New Roman" w:cs="Times New Roman"/>
          <w:sz w:val="24"/>
          <w:szCs w:val="24"/>
          <w:lang w:eastAsia="en-GB"/>
        </w:rPr>
        <w:t>4.1</w:t>
      </w:r>
      <w:r w:rsidR="00466116" w:rsidRPr="00872636">
        <w:rPr>
          <w:rFonts w:ascii="Times New Roman" w:hAnsi="Times New Roman" w:cs="Times New Roman"/>
          <w:sz w:val="24"/>
          <w:szCs w:val="24"/>
        </w:rPr>
        <w:t xml:space="preserve">, </w:t>
      </w:r>
      <w:r w:rsidRPr="00872636">
        <w:rPr>
          <w:rFonts w:ascii="Times New Roman" w:hAnsi="Times New Roman" w:cs="Times New Roman"/>
          <w:sz w:val="24"/>
          <w:szCs w:val="24"/>
        </w:rPr>
        <w:t xml:space="preserve">it was assumed that the thrust production for Jet-A and alternative fuels is the same. It is observed in </w:t>
      </w:r>
      <w:r w:rsidRPr="00872636">
        <w:rPr>
          <w:rFonts w:ascii="Times New Roman" w:hAnsi="Times New Roman" w:cs="Times New Roman"/>
          <w:sz w:val="24"/>
          <w:szCs w:val="24"/>
          <w:lang w:eastAsia="en-GB"/>
        </w:rPr>
        <w:t>§</w:t>
      </w:r>
      <w:r w:rsidR="00105184" w:rsidRPr="00872636">
        <w:rPr>
          <w:rFonts w:ascii="Times New Roman" w:hAnsi="Times New Roman" w:cs="Times New Roman"/>
          <w:sz w:val="24"/>
          <w:szCs w:val="24"/>
        </w:rPr>
        <w:t>4</w:t>
      </w:r>
      <w:r w:rsidRPr="00872636">
        <w:rPr>
          <w:rFonts w:ascii="Times New Roman" w:hAnsi="Times New Roman" w:cs="Times New Roman"/>
          <w:sz w:val="24"/>
          <w:szCs w:val="24"/>
        </w:rPr>
        <w:t>.1</w:t>
      </w:r>
      <w:r w:rsidR="00093FB1" w:rsidRPr="00872636">
        <w:rPr>
          <w:rFonts w:ascii="Times New Roman" w:hAnsi="Times New Roman" w:cs="Times New Roman"/>
          <w:sz w:val="24"/>
          <w:szCs w:val="24"/>
        </w:rPr>
        <w:t xml:space="preserve"> of the </w:t>
      </w:r>
      <w:r w:rsidR="00312CEA" w:rsidRPr="00872636">
        <w:rPr>
          <w:rFonts w:ascii="Times New Roman" w:hAnsi="Times New Roman" w:cs="Times New Roman"/>
          <w:sz w:val="24"/>
          <w:szCs w:val="24"/>
        </w:rPr>
        <w:t>paper</w:t>
      </w:r>
      <w:r w:rsidRPr="00872636">
        <w:rPr>
          <w:rFonts w:ascii="Times New Roman" w:hAnsi="Times New Roman" w:cs="Times New Roman"/>
          <w:sz w:val="24"/>
          <w:szCs w:val="24"/>
        </w:rPr>
        <w:t xml:space="preserve"> that the LH</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rPr>
        <w:t xml:space="preserve"> aircraft GTOW reduces by 15% respectively, and thus its thrust/weight ratio (</w:t>
      </w:r>
      <w:r w:rsidRPr="00872636">
        <w:rPr>
          <w:rFonts w:ascii="Times New Roman" w:hAnsi="Times New Roman" w:cs="Times New Roman"/>
          <w:i/>
          <w:iCs/>
          <w:sz w:val="24"/>
          <w:szCs w:val="24"/>
        </w:rPr>
        <w:t>T/W</w:t>
      </w:r>
      <w:r w:rsidRPr="00872636">
        <w:rPr>
          <w:rFonts w:ascii="Times New Roman" w:hAnsi="Times New Roman" w:cs="Times New Roman"/>
          <w:sz w:val="24"/>
          <w:szCs w:val="24"/>
        </w:rPr>
        <w:t>) will be greater than the baseline aircraft. The optimization of the LH</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rPr>
        <w:t xml:space="preserve"> aircraft is necessary considering that its GTOW significantly reduces and this decreases the thrust requirement and energy consumption. According to </w:t>
      </w:r>
      <w:r w:rsidRPr="00872636">
        <w:rPr>
          <w:rFonts w:ascii="Times New Roman" w:hAnsi="Times New Roman" w:cs="Times New Roman"/>
          <w:sz w:val="24"/>
          <w:szCs w:val="24"/>
        </w:rPr>
        <w:lastRenderedPageBreak/>
        <w:t xml:space="preserve">studies by Dincer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10.1504/IJSA.2016.076077","ISSN":"2050-0467","author":[{"dropping-particle":"","family":"Dincer","given":"Ibrahim","non-dropping-particle":"","parse-names":false,"suffix":""},{"dropping-particle":"","family":"Acar","given":"Canan","non-dropping-particle":"","parse-names":false,"suffix":""}],"container-title":"International Journal of Sustainable Aviation","id":"ITEM-1","issue":"1","issued":{"date-parts":[["2016"]]},"page":"74","title":"A review on potential use of hydrogen in aviation applications","type":"article-journal","volume":"2"},"uris":["http://www.mendeley.com/documents/?uuid=d9b795c4-3df1-3377-a8f9-06e6e4127c4f"]}],"mendeley":{"formattedCitation":"[134]","plainTextFormattedCitation":"[134]","previouslyFormattedCitation":"[134]"},"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[134]</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xml:space="preserve"> and Nojoumi </w:t>
      </w:r>
      <w:r w:rsidRPr="00872636">
        <w:rPr>
          <w:rFonts w:ascii="Times New Roman" w:hAnsi="Times New Roman" w:cs="Times New Roman"/>
          <w:sz w:val="24"/>
          <w:szCs w:val="24"/>
        </w:rPr>
        <w:fldChar w:fldCharType="begin" w:fldLock="1"/>
      </w:r>
      <w:r w:rsidR="00C46200">
        <w:rPr>
          <w:rFonts w:ascii="Times New Roman" w:hAnsi="Times New Roman" w:cs="Times New Roman"/>
          <w:sz w:val="24"/>
          <w:szCs w:val="24"/>
        </w:rPr>
        <w:instrText>ADDIN CSL_CITATION {"citationItems":[{"id":"ITEM-1","itemData":{"DOI":"10.1016/J.IJHYDENE.2008.11.017","ISSN":"0360-3199","abstract":"The paper highlights the importance of hydrogen as a promising alternative for future aircraft fuel, with respect to reduced environmental impact, increased sustainability, high energy content and favorable combustion kinetics, since the rapid growth and dependence of aircraft propulsion on fossil fuels are unsustainable. This paper compares the environmental impact of hydrogen and kerosene-fueled aircraft, in terms of greenhouse gas emissions and other emission comparisons. Sample flights from Toronto to Montreal, and Calgary to London are examined. Emissions from a conventional aircraft are estimated and compared with the LH2 (liquid hydrogen) aircraft. The environmental benefits and drawbacks of these systems are presented from safety and storage perspectives. Radiative forcing factors that compare conventional aircraft and LH2 aircraft are included. It is shown that the amount of NOx, HC and CO emissions for the trips with conventional aircraft for Calgary is 171.4, 41.9 and 32.2kg, while Montreal is 56.17, 2.43 and 21.9kg, and London is 251.7, 5.1 and 39.2kg, respectively. These results are compared against hydrogen propulsion to show the promising capabilities of hydrogen as an aircraft fuel.","author":[{"dropping-particle":"","family":"Nojoumi","given":"H.","non-dropping-particle":"","parse-names":false,"suffix":""},{"dropping-particle":"","family":"Dincer","given":"I.","non-dropping-particle":"","parse-names":false,"suffix":""},{"dropping-particle":"","family":"Naterer","given":"G.F.","non-dropping-particle":"","parse-names":false,"suffix":""}],"container-title":"International Journal of Hydrogen Energy","id":"ITEM-1","issue":"3","issued":{"date-parts":[["2009","2","1"]]},"page":"1363-1369","publisher":"Pergamon","title":"Greenhouse gas emissions assessment of hydrogen and kerosene-fueled aircraft propulsion","type":"article-journal","volume":"34"},"uris":["http://www.mendeley.com/documents/?uuid=f24ecaf8-7f80-3a41-b0ba-16fe202c350e"]}],"mendeley":{"formattedCitation":"[25]","plainTextFormattedCitation":"[25]","previouslyFormattedCitation":"[25]"},"properties":{"noteIndex":0},"schema":"https://github.com/citation-style-language/schema/raw/master/csl-citation.json"}</w:instrText>
      </w:r>
      <w:r w:rsidRPr="00872636">
        <w:rPr>
          <w:rFonts w:ascii="Times New Roman" w:hAnsi="Times New Roman" w:cs="Times New Roman"/>
          <w:sz w:val="24"/>
          <w:szCs w:val="24"/>
        </w:rPr>
        <w:fldChar w:fldCharType="separate"/>
      </w:r>
      <w:r w:rsidR="00801BEA" w:rsidRPr="00801BEA">
        <w:rPr>
          <w:rFonts w:ascii="Times New Roman" w:hAnsi="Times New Roman" w:cs="Times New Roman"/>
          <w:noProof/>
          <w:sz w:val="24"/>
          <w:szCs w:val="24"/>
        </w:rPr>
        <w:t>[25]</w:t>
      </w:r>
      <w:r w:rsidRPr="00872636">
        <w:rPr>
          <w:rFonts w:ascii="Times New Roman" w:hAnsi="Times New Roman" w:cs="Times New Roman"/>
          <w:sz w:val="24"/>
          <w:szCs w:val="24"/>
        </w:rPr>
        <w:fldChar w:fldCharType="end"/>
      </w:r>
      <w:r w:rsidRPr="00872636">
        <w:rPr>
          <w:rFonts w:ascii="Times New Roman" w:hAnsi="Times New Roman" w:cs="Times New Roman"/>
          <w:sz w:val="24"/>
          <w:szCs w:val="24"/>
        </w:rPr>
        <w:t>, for a LH</w:t>
      </w:r>
      <w:r w:rsidRPr="00872636">
        <w:rPr>
          <w:rFonts w:ascii="Times New Roman" w:hAnsi="Times New Roman" w:cs="Times New Roman"/>
          <w:sz w:val="24"/>
          <w:szCs w:val="24"/>
          <w:vertAlign w:val="subscript"/>
        </w:rPr>
        <w:t xml:space="preserve">2 </w:t>
      </w:r>
      <w:r w:rsidRPr="00872636">
        <w:rPr>
          <w:rFonts w:ascii="Times New Roman" w:hAnsi="Times New Roman" w:cs="Times New Roman"/>
          <w:sz w:val="24"/>
          <w:szCs w:val="24"/>
        </w:rPr>
        <w:t>powered aircraft the thrust requirement reduces and the engine becomes smaller in size (engine weight savings). Reduction in thrust requirement reduces engine weight and associated fuel weight savings, which further reduces the GTOW. Therefore, for a significantly lighter LH</w:t>
      </w:r>
      <w:r w:rsidRPr="00872636">
        <w:rPr>
          <w:rFonts w:ascii="Times New Roman" w:hAnsi="Times New Roman" w:cs="Times New Roman"/>
          <w:sz w:val="24"/>
          <w:szCs w:val="24"/>
          <w:vertAlign w:val="subscript"/>
        </w:rPr>
        <w:t>2</w:t>
      </w:r>
      <w:r w:rsidRPr="00872636">
        <w:rPr>
          <w:rFonts w:ascii="Times New Roman" w:hAnsi="Times New Roman" w:cs="Times New Roman"/>
          <w:sz w:val="24"/>
          <w:szCs w:val="24"/>
        </w:rPr>
        <w:t xml:space="preserve"> aircraft, optimization is necessary considering that a similar </w:t>
      </w:r>
      <w:r w:rsidRPr="00872636">
        <w:rPr>
          <w:rFonts w:ascii="Times New Roman" w:hAnsi="Times New Roman" w:cs="Times New Roman"/>
          <w:i/>
          <w:iCs/>
          <w:sz w:val="24"/>
          <w:szCs w:val="24"/>
        </w:rPr>
        <w:t>T/W</w:t>
      </w:r>
      <w:r w:rsidRPr="00872636">
        <w:rPr>
          <w:rFonts w:ascii="Times New Roman" w:hAnsi="Times New Roman" w:cs="Times New Roman"/>
          <w:sz w:val="24"/>
          <w:szCs w:val="24"/>
        </w:rPr>
        <w:t xml:space="preserve"> of the baseline aircraft is </w:t>
      </w:r>
      <w:r w:rsidR="00E75871" w:rsidRPr="00872636">
        <w:rPr>
          <w:rFonts w:ascii="Times New Roman" w:hAnsi="Times New Roman" w:cs="Times New Roman"/>
          <w:sz w:val="24"/>
          <w:szCs w:val="24"/>
        </w:rPr>
        <w:t xml:space="preserve">to be </w:t>
      </w:r>
      <w:r w:rsidRPr="00872636">
        <w:rPr>
          <w:rFonts w:ascii="Times New Roman" w:hAnsi="Times New Roman" w:cs="Times New Roman"/>
          <w:sz w:val="24"/>
          <w:szCs w:val="24"/>
        </w:rPr>
        <w:t>maintained for this aircraft.</w:t>
      </w:r>
    </w:p>
    <w:p w14:paraId="521E6043" w14:textId="77777777" w:rsidR="00654376" w:rsidRPr="00872636" w:rsidRDefault="00654376" w:rsidP="00C525D8">
      <w:pPr>
        <w:pStyle w:val="Heading2"/>
        <w:spacing w:after="240" w:line="480" w:lineRule="auto"/>
        <w:rPr>
          <w:rFonts w:ascii="Times New Roman" w:hAnsi="Times New Roman" w:cs="Times New Roman"/>
          <w:color w:val="auto"/>
          <w:sz w:val="24"/>
          <w:szCs w:val="24"/>
          <w:lang w:eastAsia="en-GB"/>
        </w:rPr>
      </w:pPr>
      <w:r w:rsidRPr="00872636">
        <w:rPr>
          <w:rFonts w:ascii="Times New Roman" w:hAnsi="Times New Roman" w:cs="Times New Roman"/>
          <w:color w:val="auto"/>
          <w:sz w:val="24"/>
          <w:szCs w:val="24"/>
          <w:lang w:eastAsia="en-GB"/>
        </w:rPr>
        <w:t xml:space="preserve">Embodied emissions and energy </w:t>
      </w:r>
    </w:p>
    <w:p w14:paraId="725FC0CE" w14:textId="791B8C8C" w:rsidR="00654376" w:rsidRPr="00872636" w:rsidRDefault="00654376" w:rsidP="00C525D8">
      <w:pPr>
        <w:spacing w:after="0"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ab/>
        <w:t>The fuel cost</w:t>
      </w:r>
      <w:r w:rsidR="00D922CD" w:rsidRPr="00872636">
        <w:rPr>
          <w:rFonts w:ascii="Times New Roman" w:hAnsi="Times New Roman" w:cs="Times New Roman"/>
          <w:sz w:val="24"/>
          <w:szCs w:val="24"/>
          <w:lang w:eastAsia="en-GB"/>
        </w:rPr>
        <w:t xml:space="preserve"> of 100% SPK and LH</w:t>
      </w:r>
      <w:r w:rsidR="00D922CD" w:rsidRPr="00872636">
        <w:rPr>
          <w:rFonts w:ascii="Times New Roman" w:hAnsi="Times New Roman" w:cs="Times New Roman"/>
          <w:sz w:val="24"/>
          <w:szCs w:val="24"/>
          <w:vertAlign w:val="subscript"/>
          <w:lang w:eastAsia="en-GB"/>
        </w:rPr>
        <w:t>2</w:t>
      </w:r>
      <w:r w:rsidRPr="00872636">
        <w:rPr>
          <w:rFonts w:ascii="Times New Roman" w:hAnsi="Times New Roman" w:cs="Times New Roman"/>
          <w:sz w:val="24"/>
          <w:szCs w:val="24"/>
          <w:lang w:eastAsia="en-GB"/>
        </w:rPr>
        <w:t xml:space="preserve"> is completely dependent on the process through which </w:t>
      </w:r>
      <w:r w:rsidR="002B6DAA" w:rsidRPr="00872636">
        <w:rPr>
          <w:rFonts w:ascii="Times New Roman" w:hAnsi="Times New Roman" w:cs="Times New Roman"/>
          <w:sz w:val="24"/>
          <w:szCs w:val="24"/>
          <w:lang w:eastAsia="en-GB"/>
        </w:rPr>
        <w:t>they are</w:t>
      </w:r>
      <w:r w:rsidRPr="00872636">
        <w:rPr>
          <w:rFonts w:ascii="Times New Roman" w:hAnsi="Times New Roman" w:cs="Times New Roman"/>
          <w:sz w:val="24"/>
          <w:szCs w:val="24"/>
          <w:lang w:eastAsia="en-GB"/>
        </w:rPr>
        <w:t xml:space="preserve"> manufactured. The other part of the operational cost is the incentive of using of clean alternative fuel such as hydrogen that emit</w:t>
      </w:r>
      <w:r w:rsidR="008A06E7" w:rsidRPr="00872636">
        <w:rPr>
          <w:rFonts w:ascii="Times New Roman" w:hAnsi="Times New Roman" w:cs="Times New Roman"/>
          <w:sz w:val="24"/>
          <w:szCs w:val="24"/>
          <w:lang w:eastAsia="en-GB"/>
        </w:rPr>
        <w:t>s</w:t>
      </w:r>
      <w:r w:rsidRPr="00872636">
        <w:rPr>
          <w:rFonts w:ascii="Times New Roman" w:hAnsi="Times New Roman" w:cs="Times New Roman"/>
          <w:sz w:val="24"/>
          <w:szCs w:val="24"/>
          <w:lang w:eastAsia="en-GB"/>
        </w:rPr>
        <w:t xml:space="preserve"> zero carbon in the aircraft’s operational phase. </w:t>
      </w:r>
      <w:r w:rsidR="00D922CD" w:rsidRPr="00872636">
        <w:rPr>
          <w:rFonts w:ascii="Times New Roman" w:hAnsi="Times New Roman" w:cs="Times New Roman"/>
          <w:sz w:val="24"/>
          <w:szCs w:val="24"/>
          <w:lang w:eastAsia="en-GB"/>
        </w:rPr>
        <w:t>T</w:t>
      </w:r>
      <w:r w:rsidRPr="00872636">
        <w:rPr>
          <w:rFonts w:ascii="Times New Roman" w:hAnsi="Times New Roman" w:cs="Times New Roman"/>
          <w:sz w:val="24"/>
          <w:szCs w:val="24"/>
          <w:lang w:eastAsia="en-GB"/>
        </w:rPr>
        <w:t xml:space="preserve">he production pathway of </w:t>
      </w:r>
      <w:r w:rsidR="00D922CD" w:rsidRPr="00872636">
        <w:rPr>
          <w:rFonts w:ascii="Times New Roman" w:hAnsi="Times New Roman" w:cs="Times New Roman"/>
          <w:sz w:val="24"/>
          <w:szCs w:val="24"/>
          <w:lang w:eastAsia="en-GB"/>
        </w:rPr>
        <w:t>100% SPK and LH</w:t>
      </w:r>
      <w:r w:rsidR="00D922CD" w:rsidRPr="00872636">
        <w:rPr>
          <w:rFonts w:ascii="Times New Roman" w:hAnsi="Times New Roman" w:cs="Times New Roman"/>
          <w:sz w:val="24"/>
          <w:szCs w:val="24"/>
          <w:vertAlign w:val="subscript"/>
          <w:lang w:eastAsia="en-GB"/>
        </w:rPr>
        <w:t>2</w:t>
      </w:r>
      <w:r w:rsidRPr="00872636">
        <w:rPr>
          <w:rFonts w:ascii="Times New Roman" w:hAnsi="Times New Roman" w:cs="Times New Roman"/>
          <w:sz w:val="24"/>
          <w:szCs w:val="24"/>
          <w:lang w:eastAsia="en-GB"/>
        </w:rPr>
        <w:t xml:space="preserve"> also needs to be less carbon intense. </w:t>
      </w:r>
      <w:r w:rsidR="00553E47" w:rsidRPr="00872636">
        <w:rPr>
          <w:rFonts w:ascii="Times New Roman" w:hAnsi="Times New Roman" w:cs="Times New Roman"/>
          <w:sz w:val="24"/>
          <w:szCs w:val="24"/>
          <w:lang w:eastAsia="en-GB"/>
        </w:rPr>
        <w:t xml:space="preserve"> </w:t>
      </w:r>
    </w:p>
    <w:p w14:paraId="5E749033" w14:textId="4C2B2392" w:rsidR="00654376" w:rsidRDefault="00654376" w:rsidP="00C525D8">
      <w:pPr>
        <w:spacing w:line="480" w:lineRule="auto"/>
        <w:jc w:val="both"/>
        <w:rPr>
          <w:rFonts w:ascii="Times New Roman" w:hAnsi="Times New Roman" w:cs="Times New Roman"/>
          <w:sz w:val="24"/>
          <w:szCs w:val="24"/>
          <w:lang w:eastAsia="en-GB"/>
        </w:rPr>
      </w:pPr>
      <w:r w:rsidRPr="00872636">
        <w:rPr>
          <w:rFonts w:ascii="Times New Roman" w:hAnsi="Times New Roman" w:cs="Times New Roman"/>
          <w:sz w:val="24"/>
          <w:szCs w:val="24"/>
          <w:lang w:eastAsia="en-GB"/>
        </w:rPr>
        <w:tab/>
        <w:t xml:space="preserve">According to the </w:t>
      </w:r>
      <w:r w:rsidRPr="00872636">
        <w:rPr>
          <w:rFonts w:ascii="Times New Roman" w:hAnsi="Times New Roman" w:cs="Times New Roman"/>
          <w:sz w:val="24"/>
          <w:szCs w:val="24"/>
        </w:rPr>
        <w:t>Clean Sky 2 - Fuel Cells and Hydrogen (FCH) joint project</w:t>
      </w:r>
      <w:r w:rsidRPr="00872636">
        <w:rPr>
          <w:rFonts w:ascii="Times New Roman" w:hAnsi="Times New Roman" w:cs="Times New Roman"/>
          <w:sz w:val="24"/>
          <w:szCs w:val="24"/>
          <w:lang w:eastAsia="en-GB"/>
        </w:rPr>
        <w:t xml:space="preserve"> report </w:t>
      </w:r>
      <w:r w:rsidRPr="00872636">
        <w:rPr>
          <w:rFonts w:ascii="Times New Roman" w:hAnsi="Times New Roman" w:cs="Times New Roman"/>
          <w:sz w:val="24"/>
          <w:szCs w:val="24"/>
          <w:lang w:eastAsia="en-GB"/>
        </w:rPr>
        <w:fldChar w:fldCharType="begin" w:fldLock="1"/>
      </w:r>
      <w:r w:rsidR="00C46200">
        <w:rPr>
          <w:rFonts w:ascii="Times New Roman" w:hAnsi="Times New Roman" w:cs="Times New Roman"/>
          <w:sz w:val="24"/>
          <w:szCs w:val="24"/>
          <w:lang w:eastAsia="en-GB"/>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mendeley":{"formattedCitation":"[100]","plainTextFormattedCitation":"[100]","previouslyFormattedCitation":"[100]"},"properties":{"noteIndex":0},"schema":"https://github.com/citation-style-language/schema/raw/master/csl-citation.json"}</w:instrText>
      </w:r>
      <w:r w:rsidRPr="00872636">
        <w:rPr>
          <w:rFonts w:ascii="Times New Roman" w:hAnsi="Times New Roman" w:cs="Times New Roman"/>
          <w:sz w:val="24"/>
          <w:szCs w:val="24"/>
          <w:lang w:eastAsia="en-GB"/>
        </w:rPr>
        <w:fldChar w:fldCharType="separate"/>
      </w:r>
      <w:r w:rsidR="00801BEA" w:rsidRPr="00801BEA">
        <w:rPr>
          <w:rFonts w:ascii="Times New Roman" w:hAnsi="Times New Roman" w:cs="Times New Roman"/>
          <w:noProof/>
          <w:sz w:val="24"/>
          <w:szCs w:val="24"/>
          <w:lang w:eastAsia="en-GB"/>
        </w:rPr>
        <w:t>[100]</w:t>
      </w:r>
      <w:r w:rsidRPr="00872636">
        <w:rPr>
          <w:rFonts w:ascii="Times New Roman" w:hAnsi="Times New Roman" w:cs="Times New Roman"/>
          <w:sz w:val="24"/>
          <w:szCs w:val="24"/>
          <w:lang w:eastAsia="en-GB"/>
        </w:rPr>
        <w:fldChar w:fldCharType="end"/>
      </w:r>
      <w:r w:rsidRPr="00872636">
        <w:rPr>
          <w:rFonts w:ascii="Times New Roman" w:hAnsi="Times New Roman" w:cs="Times New Roman"/>
          <w:sz w:val="24"/>
          <w:szCs w:val="24"/>
          <w:lang w:eastAsia="en-GB"/>
        </w:rPr>
        <w:t>, PtL fuel might be a more cost-effective decarbonization solution with an evolutionary tube-wing long-range aircraft instead of LH</w:t>
      </w:r>
      <w:r w:rsidRPr="00872636">
        <w:rPr>
          <w:rFonts w:ascii="Times New Roman" w:hAnsi="Times New Roman" w:cs="Times New Roman"/>
          <w:sz w:val="24"/>
          <w:szCs w:val="24"/>
          <w:vertAlign w:val="subscript"/>
          <w:lang w:eastAsia="en-GB"/>
        </w:rPr>
        <w:t>2</w:t>
      </w:r>
      <w:r w:rsidRPr="00872636">
        <w:rPr>
          <w:rFonts w:ascii="Times New Roman" w:hAnsi="Times New Roman" w:cs="Times New Roman"/>
          <w:sz w:val="24"/>
          <w:szCs w:val="24"/>
          <w:lang w:eastAsia="en-GB"/>
        </w:rPr>
        <w:t>. PtL is similar to SPK in terms of fuel properties. It is to be noted that PtL fuel production uses hydrogen produced from electrolysis (using power produced from renewable energy). Considering process conversion losses in the PtL fuel production (from hydrogen) and that the future LH</w:t>
      </w:r>
      <w:r w:rsidRPr="00872636">
        <w:rPr>
          <w:rFonts w:ascii="Times New Roman" w:hAnsi="Times New Roman" w:cs="Times New Roman"/>
          <w:sz w:val="24"/>
          <w:szCs w:val="24"/>
          <w:vertAlign w:val="subscript"/>
          <w:lang w:eastAsia="en-GB"/>
        </w:rPr>
        <w:t>2</w:t>
      </w:r>
      <w:r w:rsidRPr="00872636">
        <w:rPr>
          <w:rFonts w:ascii="Times New Roman" w:hAnsi="Times New Roman" w:cs="Times New Roman"/>
          <w:sz w:val="24"/>
          <w:szCs w:val="24"/>
          <w:lang w:eastAsia="en-GB"/>
        </w:rPr>
        <w:t xml:space="preserve"> powered tube-wing aircraft </w:t>
      </w:r>
      <w:r w:rsidR="002D62BA" w:rsidRPr="00872636">
        <w:rPr>
          <w:rFonts w:ascii="Times New Roman" w:hAnsi="Times New Roman" w:cs="Times New Roman"/>
          <w:sz w:val="24"/>
          <w:szCs w:val="24"/>
          <w:lang w:eastAsia="en-GB"/>
        </w:rPr>
        <w:t xml:space="preserve">(implementing advanced aircraft technology) </w:t>
      </w:r>
      <w:r w:rsidRPr="00872636">
        <w:rPr>
          <w:rFonts w:ascii="Times New Roman" w:hAnsi="Times New Roman" w:cs="Times New Roman"/>
          <w:sz w:val="24"/>
          <w:szCs w:val="24"/>
          <w:lang w:eastAsia="en-GB"/>
        </w:rPr>
        <w:t>could be more energy efficient than present day tube-wing Jet-A aircraft, th</w:t>
      </w:r>
      <w:r w:rsidR="00BD6567" w:rsidRPr="00872636">
        <w:rPr>
          <w:rFonts w:ascii="Times New Roman" w:hAnsi="Times New Roman" w:cs="Times New Roman"/>
          <w:sz w:val="24"/>
          <w:szCs w:val="24"/>
          <w:lang w:eastAsia="en-GB"/>
        </w:rPr>
        <w:t>e</w:t>
      </w:r>
      <w:r w:rsidRPr="00872636">
        <w:rPr>
          <w:rFonts w:ascii="Times New Roman" w:hAnsi="Times New Roman" w:cs="Times New Roman"/>
          <w:sz w:val="24"/>
          <w:szCs w:val="24"/>
          <w:lang w:eastAsia="en-GB"/>
        </w:rPr>
        <w:t xml:space="preserve"> LH</w:t>
      </w:r>
      <w:r w:rsidRPr="00872636">
        <w:rPr>
          <w:rFonts w:ascii="Times New Roman" w:hAnsi="Times New Roman" w:cs="Times New Roman"/>
          <w:sz w:val="24"/>
          <w:szCs w:val="24"/>
          <w:vertAlign w:val="subscript"/>
          <w:lang w:eastAsia="en-GB"/>
        </w:rPr>
        <w:t>2</w:t>
      </w:r>
      <w:r w:rsidRPr="00872636">
        <w:rPr>
          <w:rFonts w:ascii="Times New Roman" w:hAnsi="Times New Roman" w:cs="Times New Roman"/>
          <w:sz w:val="24"/>
          <w:szCs w:val="24"/>
          <w:lang w:eastAsia="en-GB"/>
        </w:rPr>
        <w:t xml:space="preserve"> aircraft powered by hydrogen produced from renewable electricity could be more sustainable than PtL on a life-cycle basis.</w:t>
      </w:r>
    </w:p>
    <w:p w14:paraId="220DB838" w14:textId="5B6E073F" w:rsidR="00801BEA" w:rsidRPr="00801BEA" w:rsidRDefault="00801BEA" w:rsidP="00C525D8">
      <w:pPr>
        <w:spacing w:line="480" w:lineRule="auto"/>
        <w:jc w:val="both"/>
        <w:rPr>
          <w:rFonts w:ascii="Times New Roman" w:hAnsi="Times New Roman" w:cs="Times New Roman"/>
          <w:b/>
          <w:bCs/>
          <w:sz w:val="24"/>
          <w:szCs w:val="24"/>
          <w:lang w:eastAsia="en-GB"/>
        </w:rPr>
      </w:pPr>
      <w:r w:rsidRPr="00801BEA">
        <w:rPr>
          <w:rFonts w:ascii="Times New Roman" w:hAnsi="Times New Roman" w:cs="Times New Roman"/>
          <w:b/>
          <w:bCs/>
          <w:sz w:val="24"/>
          <w:szCs w:val="24"/>
          <w:lang w:eastAsia="en-GB"/>
        </w:rPr>
        <w:t>More information:</w:t>
      </w:r>
    </w:p>
    <w:p w14:paraId="7FDA4615" w14:textId="5987C3EF" w:rsidR="00801BEA" w:rsidRDefault="00C46200" w:rsidP="00C525D8">
      <w:pPr>
        <w:spacing w:line="480" w:lineRule="auto"/>
        <w:jc w:val="both"/>
        <w:rPr>
          <w:rFonts w:ascii="Times New Roman" w:hAnsi="Times New Roman" w:cs="Times New Roman"/>
          <w:sz w:val="24"/>
          <w:szCs w:val="24"/>
          <w:lang w:eastAsia="en-GB"/>
        </w:rPr>
      </w:pPr>
      <w:r>
        <w:rPr>
          <w:rFonts w:ascii="Times New Roman" w:hAnsi="Times New Roman" w:cs="Times New Roman"/>
          <w:sz w:val="24"/>
          <w:szCs w:val="24"/>
          <w:lang w:eastAsia="en-GB"/>
        </w:rPr>
        <w:t>First author’s other</w:t>
      </w:r>
      <w:r w:rsidR="00801BEA">
        <w:rPr>
          <w:rFonts w:ascii="Times New Roman" w:hAnsi="Times New Roman" w:cs="Times New Roman"/>
          <w:sz w:val="24"/>
          <w:szCs w:val="24"/>
          <w:lang w:eastAsia="en-GB"/>
        </w:rPr>
        <w:t xml:space="preserve"> research </w:t>
      </w:r>
      <w:r>
        <w:rPr>
          <w:rFonts w:ascii="Times New Roman" w:hAnsi="Times New Roman" w:cs="Times New Roman"/>
          <w:sz w:val="24"/>
          <w:szCs w:val="24"/>
          <w:lang w:eastAsia="en-GB"/>
        </w:rPr>
        <w:t>work can be found in</w:t>
      </w:r>
      <w:r w:rsidR="00801BEA">
        <w:rPr>
          <w:rFonts w:ascii="Times New Roman" w:hAnsi="Times New Roman" w:cs="Times New Roman"/>
          <w:sz w:val="24"/>
          <w:szCs w:val="24"/>
          <w:lang w:eastAsia="en-GB"/>
        </w:rPr>
        <w:t xml:space="preserve"> </w:t>
      </w:r>
      <w:r w:rsidR="00BE5C96">
        <w:rPr>
          <w:rFonts w:ascii="Times New Roman" w:hAnsi="Times New Roman" w:cs="Times New Roman"/>
          <w:sz w:val="24"/>
          <w:szCs w:val="24"/>
          <w:lang w:eastAsia="en-GB"/>
        </w:rPr>
        <w:fldChar w:fldCharType="begin" w:fldLock="1"/>
      </w:r>
      <w:r w:rsidR="00BE5C96">
        <w:rPr>
          <w:rFonts w:ascii="Times New Roman" w:hAnsi="Times New Roman" w:cs="Times New Roman"/>
          <w:sz w:val="24"/>
          <w:szCs w:val="24"/>
          <w:lang w:eastAsia="en-GB"/>
        </w:rPr>
        <w:instrText xml:space="preserve">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aircraft","type":"article-journal","volume":"115"},"uris":["http://www.mendeley.com/documents/?uuid=2c6b4cb1-dd0b-3ed3-9b26-0e723fb9e7b8"]},{"id":"ITEM-2","itemData":{"DOI":"10.1016/J.IJHYDENE.2023.07.297","ISSN":"0360-3199","abstract":"Liquid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sidR="00BE5C96">
        <w:rPr>
          <w:rFonts w:ascii="Cambria Math" w:hAnsi="Cambria Math" w:cs="Cambria Math"/>
          <w:sz w:val="24"/>
          <w:szCs w:val="24"/>
          <w:lang w:eastAsia="en-GB"/>
        </w:rPr>
        <w:instrText>∼</w:instrText>
      </w:r>
      <w:r w:rsidR="00BE5C96">
        <w:rPr>
          <w:rFonts w:ascii="Times New Roman" w:hAnsi="Times New Roman" w:cs="Times New Roman"/>
          <w:sz w:val="24"/>
          <w:szCs w:val="24"/>
          <w:lang w:eastAsia="en-GB"/>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Energy","id":"ITEM-2","issued":{"date-parts":[["2024","1","2"]]},"page":"820-833","publisher":"Pergamon","title":"Performance sensitivity of subsonic liquid hydrogen long-range tube-wing aircraft to technology developments","type":"article-journal","volume":"50"},"uris":["http://www.mendeley.com/documents/?uuid=f769b01b-8a2d-3374-8aef-6290ddb89cbb"]},{"id":"ITEM-3","itemData":{"abstract":"Present day heat exchangers might not effectively exchange heat with hot or cold fluid flowing through a constrained operational space, such as an annulus. For maximum heat recovery in gas turbine engines, a heat exchanger needs to be placed immediately after the exhaust turbine in the annulus of engine's exhaust system. In case of heat recovery in the family of shaft-powered aircraft engines, any additional component to the aircraft needs to be compact and should weigh less. An innovative design of a compact heat exchanger is presented in this paper. This heat exchanger is specifically designed to be used in applications (including gas turbine engines), where the hot or cold fluid (which act as a heat source or sink relative to the working fluid flowing through the heat exchanger), flows through an annulus. This paper, at a conceptual design phase, presents the construction, orientation for best efficiencies, solution to manufacture the complex geometry of the heat exchanger, and the materials that can be used in its fabrication.","author":[{"dropping-particle":"","family":"Jagtap","given":"Swapnil Sarjerao","non-dropping-particle":"","parse-names":false,"suffix":""}],"container-title":"Journal of Engineering Science and Technology Review","id":"ITEM-3","issue":"1","issued":{"date-parts":[["2017"]]},"page":"173-176","title":"An Apparatus for Exchanging Heat with Flow in an Annulus","type":"article-journal","volume":"10"},"uris":["http://www.mendeley.com/documents/?uuid=52bb980d-8364-3a54-81ea-c609bd9c6ee4"]},{"id":"ITEM-4","itemData":{"DOI":"10.1016/J.IJHYDENE.2024.10.329","ISSN":"0360-3199","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Energy","id":"ITEM-4","issued":{"date-parts":[["2024","12","18"]]},"page":"317-328","publisher":"Pergamon","title":"Conceptual design-optimisation of a future hydrogen-powered ultrahigh bypass ratio geared turbofan engine","type":"article-journal","volume":"95"},"uris":["http://www.mendeley.com/documents/?uuid=6421623e-1514-3225-8683-029a0fc5240e"]},{"id":"ITEM-5","itemData":{"author":[{"dropping-particle":"","family":"Jagtap","given":"Swapnil S.","non-dropping-particle":"","parse-names":false,"suffix":""},{"dropping-particle":"","family":"Stettler","given":"Marc E.J.","non-dropping-particle":"","parse-names":false,"suffix":""},{"dropping-particle":"","family":"Childs","given":"Peter R.N.","non-dropping-particle":"","parse-names":false,"suffix":""}],"id":"ITEM-5","issued":{"date-parts":[["0"]]},"title":"Data in brief : Energy performance evaluation of alternative energy vectors for subsonic intercontinental tube-wing aircraft","type":"article-journal"},"uris":["http://www.mendeley.com/documents/?uuid=501af10f-e1c9-4278-a84c-d887fe91608b"]},{"id":"ITEM-6","itemData":{"DOI":"https://doi.org/10.2514/6.2025-1410","author":[{"dropping-particle":"","family":"Jagtap","given":"SS","non-dropping-particle":"","parse-names":false,"suffix":""},{"dropping-particle":"","family":"Strehlow","given":"A.","non-dropping-particle":"","parse-names":false,"suffix":""},{"dropping-particle":"","family":"Reitz","given":"M.","non-dropping-particle":"","parse-names":false,"suffix":""},{"dropping-particle":"","family":"Kestler","given":"S.","non-dropping-particle":"","parse-names":false,"suffix":""},{"dropping-particle":"","family":"Cinar","given":"G.","non-dropping-particle":"","parse-names":false,"suffix":""}],"container-title":"AIAA SCITECH 2025 Forum","id":"ITEM-6","issued":{"date-parts":[["2025"]]},"title":"Model-Based Systems Engineering Approach for a Systematic Design of Aircraft Engine Inlet","type":"paper-conference"},"uris":["http://www.mendeley.com/documents/?uuid=70410422-09df-310c-94af-221eaa3c9168"]},{"id":"ITEM-7","itemData":{"author":[{"dropping-particle":"","family":"Jagtap","given":"Swapnil Sarjerao","non-dropping-particle":"","parse-names":false,"suffix":""}],"container-title":"2019 AIAA Propulsion &amp; Energy Forum","id":"ITEM-7","issued":{"date-parts":[["2019"]]},"publisher":"American Institute of Aeronautics and Astronautics","publisher-place":"Indianapolis","title":"Non-food feedstocks comparison for renewable aviation fuel production towards environmentally and socially responsible aviation","type":"paper-conference"},"uris":["http://www.mendeley.com/documents/?uuid=2d8bdadd-f73f-4bbf-9e69-be05082ec35f"]},{"id":"ITEM-8","itemData":{"DOI":"10.1063/1.4943238","ISSN":"1070-6631","abstract":"This paper explores the hydrodynamic stability of bluff body wakes with non-uniform mean density, asymmetric mean density, and velocity profiles. This work is motivated by experiments [S. Tuttle et al., “Lean blow off behavior of asymmetrically-fueled bluff body-stabilized flames,” Combust. Flame 160, 1677 (2013)], which investigated reacting wakes with equivalence ratio stratification and, hence, asymmetry in the base flow density profiles. They showed that highly stratified cases exhibited strong, narrowband oscillations, suggestive of global hydrodynamic instability. In this paper, we present a local hydrodynamic stability analysis for non-uniform density wakes that includes base flow asymmetry. The results show that increasing the degree of base density asymmetry generally has a destabilizing effect and that increasing base velocity asymmetry tends to be stabilizing. Furthermore, we show that increasing base density asymmetry slightly decreases the absolute frequency and that increasing the base veloc...","author":[{"dropping-particle":"","family":"Emerson","given":"Benjamin","non-dropping-particle":"","parse-names":false,"suffix":""},{"dropping-particle":"","family":"Jagtap","given":"Swapnil","non-dropping-particle":"","parse-names":false,"suffix":""},{"dropping-particle":"","family":"Quinlan","given":"J. Mathew","non-dropping-particle":"","parse-names":false,"suffix":""},{"dropping-particle":"","family":"Renfro","given":"Michael W.","non-dropping-particle":"","parse-names":false,"suffix":""},{"dropping-particle":"","family":"Cetegen","given":"Baki M.","non-dropping-particle":"","parse-names":false,"suffix":""},{"dropping-particle":"","family":"Lieuwen","given":"Tim","non-dropping-particle":"","parse-names":false,"suffix":""}],"container-title":"Physics of Fluids","id":"ITEM-8","issue":"4","issued":{"date-parts":[["2016","4","1"]]},"page":"045101","publisher":"AIP Publishing LLC","title":"Spatio-temporal linear stability analysis of stratified planar wakes: Velocity and density asymmetry effects","type":"article-journal","volume":"28"},"uris":["http://www.mendeley.com/documents/?uuid=7d3800d7-7477-33ab-ab81-782e4896c2a2"]},{"id":"ITEM-9","itemData":{"DOI":"10.1016/J.IJHYDENE.2024.11.331","ISSN":"0360-3199","abstract":"The adoption of liquid hydrogen (LH2) holds promise for decarbonising long-range aviation. LH2 aircraft could weigh less than Jet-A aircraft, thereby reducing the thrust requirement. However, the lower volumetric energy density of LH2 can adversely impact the aerodynamic performance and energy consumption of tube-wing aircraft. In a first, this work conducts an energy performance modelling of a futuristic (2030+) LH2 blended-wing-body (BWB) aircraft (301 passengers and 13,890 km) using conceptual aircraft design-optimisation approach employing weight-sizing methods, while considering the realistic gravimetric and volumetric energy density effects of LH2 on aircraft design, and the resulting reduction in aircraft thrust requirement. This study shows that at the design point the futuristic LH2 BWB aircraft reduces the specific energy consumption (SEC, MJ/tonne-km) by 51.7–53.5% and 7.3–10.8%, compared to (Jet-A) Boeing 777-200LR and Jet-A BWB, respectively. At the off-design points, this study shows that by increasing the load factor for a given range and/or increasing range for all load factor cases, the SEC (or energy efficiency) of this LH2 BWB concept improves. The results of this work will inform future studies on use-phase emissions and contrails modelling, LH2 aircraft operations for contrail reduction, estimation of operating costs, and lifecycle climate impacts.","author":[{"dropping-particle":"","family":"Jagtap","given":"Swapnil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Energy","id":"ITEM-9","issued":{"date-parts":[["2024","12","27"]]},"page":"639-651","publisher":"Pergamon","title":"Conceptual design-optimisation of a subsonic hydrogen-powered long-range blended-wing-body aircraft","type":"article-journal","volume":"96"},"uris":["http://www.mendeley.com/documents/?uuid=8c522243-0773-3c8f-b5f7-7dbdfb7726c7"]},{"id":"ITEM-10","itemData":{"DOI":"10.2514/6.2016-4367","ISBN":"978-1-62410-440-4","author":[{"dropping-particle":"","family":"Jagtap","given":"Swapnil S.","non-dropping-particle":"","parse-names":false,"suffix":""}],"container-title":"16th AIAA Aviation Technology, Integration, and Operations Conference","id":"ITEM-10","issued":{"date-parts":[["2016","6","13"]]},"publisher":"American Institute of Aeronautics and Astronautics","publisher-place":"Reston, Virginia","title":"Sustainability assessment of hydro-processed renewable jet fuel from algae from market-entry year 2020: Use in passenger aircrafts","type":"paper-conference"},"uris":["http://www.mendeley.com/documents/?uuid=44cc1d08-f021-3c74-962d-d1b7c5d5c865"]},{"id":"ITEM-11","itemData":{"DOI":"10.2514/6.2019-4332","author":[{"dropping-particle":"","family":"Jagtap","given":"Swapnil Sarjerao","non-dropping-particle":"","parse-names":false,"suffix":""}],"container-title":"AIAA Propulsion and Energy 2019 Forum","id":"ITEM-11","issued":{"date-parts":[["2019"]]},"publisher":"American Institute of Aeronautics and Astronautics","publisher-place":"Indianapolis, Indiana","title":"Comparative assessment of manufacturing setups for blended sugar-to-aviation fuel production from non-food feedstocks for green aviation","type":"paper-conference"},"uris":["http://www.mendeley.com/documents/?uuid=6e4e2fb8-dec4-48a1-831e-da1ab3115fd3"]},{"id":"ITEM-12","itemData":{"author":[{"dropping-particle":"","family":"Jagtap","given":"Swapnil Sarjerao","non-dropping-particle":"","parse-names":false,"suffix":""}],"id":"ITEM-12","issued":{"date-parts":[["2016","5","7"]]},"publisher":"WIPO","title":"Heat recuperation system for the family of shaft powered aircraft gas turbine engines","type":"patent"},"uris":["http://www.mendeley.com/documents/?uuid=28613121-ac2d-3330-95cb-952a0dc3a94e"]},{"id":"ITEM-13","itemData":{"DOI":"10.2514/6.2015-0429","ISBN":"978-1-62410-343-8","author":[{"dropping-particle":"","family":"Emerson","given":"Benjamin L.","non-dropping-particle":"","parse-names":false,"suffix":""},{"dropping-particle":"","family":"Jagtap","given":"Swapnil","non-dropping-particle":"","parse-names":false,"suffix":""},{"dropping-particle":"","family":"Lieuwen","given":"Tim C.","non-dropping-particle":"","parse-names":false,"suffix":""}],"container-title":"53rd AIAA Aerospace Sciences Meeting","id":"ITEM-13","issued":{"date-parts":[["2015","1","5"]]},"publisher":"American Institute of Aeronautics and Astronautics","publisher-place":"Reston, Virginia","title":"Stability Analysis of Reacting Wakes: Flow and Density Asymmetry Effects","type":"paper-conference"},"uris":["http://www.mendeley.com/documents/?uuid=37a98ec5-f169-3831-b8a9-7d73b8f4ae60"]},{"id":"ITEM-14","itemData":{"DOI":"https://doi.org/10.15282/ijame.16.4.2019.07.0541","author":[{"dropping-particle":"","family":"Jagtap","given":"Swapnil Sarjerao","non-dropping-particle":"","parse-names":false,"suffix":""}],"container-title":"International Journal of Automotive and Mechanical Engineering","id":"ITEM-14","issue":"4","issued":{"date-parts":[["2019"]]},"page":"7259–7286","title":"Systems evaluation of subsonic hybrid-electric propulsion concepts for NASA N+3 goals and conceptual aircraft sizing","type":"article-journal","volume":"16"},"uris":["http://www.mendeley.com/documents/?uuid=8a6e39f5-034f-426c-9b30-6c4301d8e03c"]},{"id":"ITEM-15","itemData":{"abstract":"Heat recuperation system for the family of shaft powered aircraft gas turbine engines, comprise of a shaft powered gas turbine engine with air inlet system, compressor, combustor, exhaust turbines, engine shaft(s) and exhaust system, where the shaft powered aircraft gas turbine engine has an Annular Finned-Tube Heat Exchanger (AFTHE) located in the exhaust system and a heat recovery apparatus functionally coupled to the AFTHE. The AFTHE with working fluid recovers heat from the exhaust gas. The recovered heat vaporizes the working fluid which drives a turbo-expander. The mechanical work developed by the turbo-expander can be used for driving the propulsion systems, compressor or an electric generator. The thermal energy available after expansion work can be used to heat the inlet air into the engine to prevent ice ingestion during icing conditions. This system increases performance and life of the engine, and reduces emissions, heat released to the environment, fuel consumption and fuel cost.","author":[{"dropping-particle":"","family":"Jagtap","given":"Swapnil Sarjerao","non-dropping-particle":"","parse-names":false,"suffix":""}],"id":"ITEM-15","issued":{"date-parts":[["2014","10","29"]]},"title":"Heat recuperation system for the family of shaft powered aircraft gas turbine engines","type":"patent"},"uris":["http://www.mendeley.com/documents/?uuid=31ff1d90-16d0-3a5b-9674-c022762e0a54"]},{"id":"ITEM-16","itemData":{"abstract":"Heat recuperation system for the family of shaft powered aircraft gas turbine engines, comprise of a shaft powered gas turbine engine with air inlet system, compressor, combustor, exhaust turbines, engine shaft(s) and exhaust system, where the shaft powered aircraft gas turbine engine has an Annular Finned-Tube Heat Exchanger (AFTHE) located in the exhaust system and a heat recovery apparatus functionally coupled to the AFTHE. The AFTHE with working fluid recovers heat from the exhaust gas. The recovered heat vaporizes the working fluid which drives a turbo-expander. The mechanical work developed by the turbo-expander can be used for driving the propulsion systems, compressor or an electric generator. The thermal energy available after expansion work can be used to heat the inlet air into the engine to prevent ice ingestion during icing conditions. This system increases performance and life of the engine, and reduces emissions, heat released to the environment, fuel consumption and fuel cost.","author":[{"dropping-particle":"","family":"Jagtap","given":"Swapnil Sarjerao","non-dropping-particle":"","parse-names":false,"suffix":""}],"id":"ITEM-16","issued":{"date-parts":[["2014","10","14"]]},"publisher":"USPTO","publisher-place":"USA","title":"Heat recuperation system for the family of shaft powered aircraft gas turbine engines","type":"patent"},"uris":["http://www.mendeley.com/documents/?uuid=6ecd4aaf-fc8c-3eb0-8b3b-eede74cd1dd7"]},{"id":"ITEM-17","itemData":{"DOI":"10.2514/6.2019-3887","author":[{"dropping-particle":"","family":"Jagtap","given":"Swapnil Sarjerao","non-dropping-particle":"","parse-names":false,"suffix":""}],"container-title":"AIAA Propulsion and Energy 2019 Forum","id":"ITEM-17","issued":{"date-parts":[["2019"]]},"publisher":"American Institute of Aeronautics and Astronautics","publisher-place":"Indianapolis, Indiana","title":"Assessment of feedstocks for blended alcohol-to-jet fuel manufacturing from standalone and distributed scheme for sustainable aviation","type":"paper-conference"},"uris":["http://www.mendeley.com/documents/?uuid=12ba6c3a-c7d6-47db-ab91-f709cd69554d"]},{"id":"ITEM-18","itemData":{"DOI":"10.2514/6.2019-4412","author":[{"dropping-particle":"","family":"Jagtap","given":"Swapnil Sarjerao","non-dropping-particle":"","parse-names":false,"suffix":""}],"container-title":"AIAA Propulsion and Energy 2019 Forum","id":"ITEM-18","issued":{"date-parts":[["2019"]]},"publisher":"American Institute of Aeronautics and Astronautics","publisher-place":"Indianapolis, Indiana","title":"Evaluation of blended Fischer-Tropsch jet fuel feedstocks for minimizing human and environmental health impacts of aviation","type":"paper-conference"},"uris":["http://www.mendeley.com/documents/?uuid=51e99b94-0b75-40c6-a589-786848ed5173"]},{"id":"ITEM-19","itemData":{"author":[{"dropping-particle":"","family":"Jagtap","given":"Swapnil Sarjerao","non-dropping-particle":"","parse-names":false,"suffix":""}],"id":"ITEM-19","issued":{"date-parts":[["0"]]},"publisher":"Imperial College London","title":"Evaluation of technology and energy vector combinations for decarbonising future subsonic long-range aircraft","type":"thesis"},"uris":["http://www.mendeley.com/documents/?uuid=3080ffb2-1645-45e9-aab7-671914eb88f5"]},{"id":"ITEM-20","itemData":{"author":[{"dropping-particle":"","family":"Jagtap","given":"Swapnil S.","non-dropping-particle":"","parse-names":false,"suffix":""},{"dropping-particle":"","family":"Stettler","given":"Marc E.J.","non-dropping-particle":"","parse-names":false,"suffix":""},{"dropping-particle":"","family":"Childs","given":"Peter R.N.","non-dropping-particle":"","parse-names":false,"suffix":""}],"id":"ITEM-20","issued":{"date-parts":[["0"]]},"title":"Data in brief : Performance sensitivity of subsonic liquid hydrogen long-range tube-wing aircraft to technology developments","type":"article-journal"},"uris":["http://www.mendeley.com/documents/?uuid=7d148c79-93de-4150-bc98-b743c2387c90"]},{"id":"ITEM-21","itemData":{"author":[{"dropping-particle":"","family":"Jagtap","given":"Swapnil S.","non-dropping-particle":"","parse-names":false,"suffix":""},{"dropping-particle":"","family":"Stettler","given":"Marc E.J.","non-dropping-particle":"","parse-names":false,"suffix":""},{"dropping-particle":"","family":"Childs","given":"Peter R.N.","non-dropping-particle":"","parse-names":false,"suffix":""}],"id":"ITEM-21","issued":{"date-parts":[["0"]]},"title":"Data in brief : Conceptual design-optimisation of futuristic hydrogen powered ultrahigh bypass ratio geared turbofan engine","type":"article-journal"},"uris":["http://www.mendeley.com/documents/?uuid=34951800-8474-4f0c-a8ac-680ebd941315"]},{"id":"ITEM-22","itemData":{"author":[{"dropping-particle":"","family":"Jagtap","given":"Swapnil S.","non-dropping-particle":"","parse-names":false,"suffix":""},{"dropping-particle":"","family":"Stettler","given":"Marc E.J.","non-dropping-particle":"","parse-names":false,"suffix":""},{"dropping-particle":"","family":"Childs","given":"Peter R.N.","non-dropping-particle":"","parse-names":false,"suffix":""}],"id":"ITEM-22","issued":{"date-parts":[["0"]]},"title":"Data in brief : Conceptual design-optimisation of a subsonic hydrogen-powered long-range blended-wing-body aircraft","type":"article-journal"},"uris":["http://www.mendeley.com/documents/?uuid=b6697318-b9f0-48d4-89f4-a6f32315a8c6"]},{"id":"ITEM-23","itemData":{"DOI":"10.1109/AERO.2015.7119253","ISBN":"9781479953790","ISSN":"1095323X","abstract":"Since the last two decades, aerospace agencies around the world have started planning Space-based Solar Power Systems (SSPS) as an alternative power source [1]-[9]. The use of Space Shuttle Orbiter type re-usable launch vehicles will enable the completion of this project in a limited time span with economic feasibility. This would leave less time between successive launches, making it imperative that the aero-thermodynamic analysis of these vehicles be fast and accurate. Currently, aero-thermodynamic analysis is done by high fidelity Computational Fluid Dynamics (CFD) solvers which are accurate but take significantly more time to give necessary results. Therefore, the present CFD solvers might not be useful tools for this mission to be completed in limited time. In this work a low cost, quick and reasonably accurate model is developed when compared with the CFD results [10]. Pressure coefficients and surface temperatures from this code are compared with results from the CFD solver of 'Air Force Research Lab, Wright-Patterson' [10]. The model developed in this work is based on hypersonic theories which meet the requirements of this mission.","author":[{"dropping-particle":"","family":"Jagtap","given":"Swapnil Sarjerao","non-dropping-particle":"","parse-names":false,"suffix":""}],"container-title":"IEEE Aerospace Conference Proceedings","id":"ITEM-23","issued":{"date-parts":[["2015","6","5"]]},"publisher":"IEEE Computer Society","title":"Aero-thermodynamic analysis of space shuttle vehicle at re-entry","type":"article-journal","volume":"2015-June"},"uris":["http://www.mendeley.com/documents/?uuid=e3b7f324-44be-36b7-a9be-7f534c02a47d"]},{"id":"ITEM-24","itemData":{"author":[{"dropping-particle":"","family":"Jagtap","given":"Swapnil","non-dropping-particle":"","parse-names":false,"suffix":""},{"dropping-particle":"","family":"Bhandari","given":"Sanjay","non-dropping-particle":"","parse-names":false,"suffix":""}],"container-title":"Sardar Patel International Conference","id":"ITEM-24","issued":{"date-parts":[["2012"]]},"title":"Solar Refrigeration","type":"article-journal"},"uris":["http://www.mendeley.com/documents/?uuid=c961f0c3-b4ab-48e2-8a2f-23e4eb727f23"]}],"mendeley":{"formattedCitation":"[6], [8]–[10], [53], [135]–[153]","plainTextFormattedCitation":"[6], [8]–[10], [53], [135]–[153]","previouslyFormattedCitation":"[6], [8], [140]–[149], [9], [150]–[153], [10], [53], [135]–[139]"},"properties":{"noteIndex":0},"schema":"https://github.com/citation-style-language/schema/raw/master/csl-citation.json"}</w:instrText>
      </w:r>
      <w:r w:rsidR="00BE5C96">
        <w:rPr>
          <w:rFonts w:ascii="Times New Roman" w:hAnsi="Times New Roman" w:cs="Times New Roman"/>
          <w:sz w:val="24"/>
          <w:szCs w:val="24"/>
          <w:lang w:eastAsia="en-GB"/>
        </w:rPr>
        <w:fldChar w:fldCharType="separate"/>
      </w:r>
      <w:r w:rsidR="00BE5C96" w:rsidRPr="00BE5C96">
        <w:rPr>
          <w:rFonts w:ascii="Times New Roman" w:hAnsi="Times New Roman" w:cs="Times New Roman"/>
          <w:noProof/>
          <w:sz w:val="24"/>
          <w:szCs w:val="24"/>
          <w:lang w:eastAsia="en-GB"/>
        </w:rPr>
        <w:t>[6], [8]–[10], [53], [135]–[153]</w:t>
      </w:r>
      <w:r w:rsidR="00BE5C96">
        <w:rPr>
          <w:rFonts w:ascii="Times New Roman" w:hAnsi="Times New Roman" w:cs="Times New Roman"/>
          <w:sz w:val="24"/>
          <w:szCs w:val="24"/>
          <w:lang w:eastAsia="en-GB"/>
        </w:rPr>
        <w:fldChar w:fldCharType="end"/>
      </w:r>
      <w:r w:rsidR="00BE5C96">
        <w:rPr>
          <w:rFonts w:ascii="Times New Roman" w:hAnsi="Times New Roman" w:cs="Times New Roman"/>
          <w:sz w:val="24"/>
          <w:szCs w:val="24"/>
          <w:lang w:eastAsia="en-GB"/>
        </w:rPr>
        <w:t>.</w:t>
      </w:r>
    </w:p>
    <w:p w14:paraId="013B21CB" w14:textId="77777777" w:rsidR="00083D3D" w:rsidRPr="00872636" w:rsidRDefault="00083D3D" w:rsidP="00C525D8">
      <w:pPr>
        <w:spacing w:line="480" w:lineRule="auto"/>
        <w:rPr>
          <w:rFonts w:ascii="Times New Roman" w:eastAsia="Times New Roman" w:hAnsi="Times New Roman" w:cs="Times New Roman"/>
          <w:b/>
          <w:bCs/>
          <w:sz w:val="24"/>
          <w:szCs w:val="24"/>
          <w:bdr w:val="none" w:sz="0" w:space="0" w:color="auto" w:frame="1"/>
          <w:lang w:eastAsia="en-GB"/>
        </w:rPr>
      </w:pPr>
      <w:r w:rsidRPr="00872636">
        <w:rPr>
          <w:rFonts w:ascii="Times New Roman" w:eastAsia="Times New Roman" w:hAnsi="Times New Roman" w:cs="Times New Roman"/>
          <w:b/>
          <w:bCs/>
          <w:sz w:val="24"/>
          <w:szCs w:val="24"/>
          <w:bdr w:val="none" w:sz="0" w:space="0" w:color="auto" w:frame="1"/>
          <w:lang w:eastAsia="en-GB"/>
        </w:rPr>
        <w:br w:type="page"/>
      </w:r>
    </w:p>
    <w:p w14:paraId="7B172E57" w14:textId="0CED2899" w:rsidR="004026B3" w:rsidRPr="00872636" w:rsidRDefault="004026B3" w:rsidP="00C525D8">
      <w:pPr>
        <w:pStyle w:val="Heading1"/>
        <w:spacing w:after="240" w:line="480" w:lineRule="auto"/>
        <w:rPr>
          <w:rFonts w:ascii="Times New Roman" w:eastAsia="Times New Roman" w:hAnsi="Times New Roman" w:cs="Times New Roman"/>
          <w:b/>
          <w:bCs/>
          <w:color w:val="auto"/>
          <w:sz w:val="24"/>
          <w:szCs w:val="24"/>
          <w:bdr w:val="none" w:sz="0" w:space="0" w:color="auto" w:frame="1"/>
          <w:lang w:eastAsia="en-GB"/>
        </w:rPr>
      </w:pPr>
      <w:r w:rsidRPr="00872636">
        <w:rPr>
          <w:rFonts w:ascii="Times New Roman" w:eastAsia="Times New Roman" w:hAnsi="Times New Roman" w:cs="Times New Roman"/>
          <w:b/>
          <w:bCs/>
          <w:color w:val="auto"/>
          <w:sz w:val="24"/>
          <w:szCs w:val="24"/>
          <w:bdr w:val="none" w:sz="0" w:space="0" w:color="auto" w:frame="1"/>
          <w:lang w:eastAsia="en-GB"/>
        </w:rPr>
        <w:lastRenderedPageBreak/>
        <w:t>References</w:t>
      </w:r>
    </w:p>
    <w:p w14:paraId="1B23F105" w14:textId="2CB8CF22" w:rsidR="00BE5C96" w:rsidRPr="00BE5C96" w:rsidRDefault="004026B3"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872636">
        <w:rPr>
          <w:rFonts w:ascii="Times New Roman" w:hAnsi="Times New Roman" w:cs="Times New Roman"/>
          <w:sz w:val="24"/>
          <w:szCs w:val="24"/>
          <w:lang w:eastAsia="en-GB"/>
        </w:rPr>
        <w:fldChar w:fldCharType="begin" w:fldLock="1"/>
      </w:r>
      <w:r w:rsidRPr="00872636">
        <w:rPr>
          <w:rFonts w:ascii="Times New Roman" w:hAnsi="Times New Roman" w:cs="Times New Roman"/>
          <w:sz w:val="24"/>
          <w:szCs w:val="24"/>
          <w:lang w:eastAsia="en-GB"/>
        </w:rPr>
        <w:instrText xml:space="preserve">ADDIN Mendeley Bibliography CSL_BIBLIOGRAPHY </w:instrText>
      </w:r>
      <w:r w:rsidRPr="00872636">
        <w:rPr>
          <w:rFonts w:ascii="Times New Roman" w:hAnsi="Times New Roman" w:cs="Times New Roman"/>
          <w:sz w:val="24"/>
          <w:szCs w:val="24"/>
          <w:lang w:eastAsia="en-GB"/>
        </w:rPr>
        <w:fldChar w:fldCharType="separate"/>
      </w:r>
      <w:r w:rsidR="00BE5C96" w:rsidRPr="00BE5C96">
        <w:rPr>
          <w:rFonts w:ascii="Times New Roman" w:hAnsi="Times New Roman" w:cs="Times New Roman"/>
          <w:noProof/>
          <w:sz w:val="24"/>
          <w:szCs w:val="24"/>
        </w:rPr>
        <w:t>[1]</w:t>
      </w:r>
      <w:r w:rsidR="00BE5C96" w:rsidRPr="00BE5C96">
        <w:rPr>
          <w:rFonts w:ascii="Times New Roman" w:hAnsi="Times New Roman" w:cs="Times New Roman"/>
          <w:noProof/>
          <w:sz w:val="24"/>
          <w:szCs w:val="24"/>
        </w:rPr>
        <w:tab/>
        <w:t xml:space="preserve">ATAG, “Aviation and climate change,” </w:t>
      </w:r>
      <w:r w:rsidR="00BE5C96" w:rsidRPr="00BE5C96">
        <w:rPr>
          <w:rFonts w:ascii="Times New Roman" w:hAnsi="Times New Roman" w:cs="Times New Roman"/>
          <w:i/>
          <w:iCs/>
          <w:noProof/>
          <w:sz w:val="24"/>
          <w:szCs w:val="24"/>
        </w:rPr>
        <w:t>Air Transport Action Group</w:t>
      </w:r>
      <w:r w:rsidR="00BE5C96" w:rsidRPr="00BE5C96">
        <w:rPr>
          <w:rFonts w:ascii="Times New Roman" w:hAnsi="Times New Roman" w:cs="Times New Roman"/>
          <w:noProof/>
          <w:sz w:val="24"/>
          <w:szCs w:val="24"/>
        </w:rPr>
        <w:t>, 2020. https://aviationbenefits.org/media/167159/fact-sheet_2_aviation-and-climate-change.pdf (accessed Oct. 01, 2024).</w:t>
      </w:r>
    </w:p>
    <w:p w14:paraId="4CE2181E"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[2]</w:t>
      </w:r>
      <w:r w:rsidRPr="00BE5C96">
        <w:rPr>
          <w:rFonts w:ascii="Times New Roman" w:hAnsi="Times New Roman" w:cs="Times New Roman"/>
          <w:noProof/>
          <w:sz w:val="24"/>
          <w:szCs w:val="24"/>
        </w:rPr>
        <w:tab/>
        <w:t xml:space="preserve">Y. Bicer and I. Dincer, “Life cycle evaluation of hydrogen and other potential fuels for aircrafts,” </w:t>
      </w:r>
      <w:r w:rsidRPr="00BE5C96">
        <w:rPr>
          <w:rFonts w:ascii="Times New Roman" w:hAnsi="Times New Roman" w:cs="Times New Roman"/>
          <w:i/>
          <w:iCs/>
          <w:noProof/>
          <w:sz w:val="24"/>
          <w:szCs w:val="24"/>
        </w:rPr>
        <w:t>Int. J. Hydrogen Energy</w:t>
      </w:r>
      <w:r w:rsidRPr="00BE5C96">
        <w:rPr>
          <w:rFonts w:ascii="Times New Roman" w:hAnsi="Times New Roman" w:cs="Times New Roman"/>
          <w:noProof/>
          <w:sz w:val="24"/>
          <w:szCs w:val="24"/>
        </w:rPr>
        <w:t>, vol. 42, no. 16, pp. 10722–10738, Apr. 2017, doi: 10.1016/j.ijhydene.2016.12.119.</w:t>
      </w:r>
    </w:p>
    <w:p w14:paraId="18C425CC"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[3]</w:t>
      </w:r>
      <w:r w:rsidRPr="00BE5C96">
        <w:rPr>
          <w:rFonts w:ascii="Times New Roman" w:hAnsi="Times New Roman" w:cs="Times New Roman"/>
          <w:noProof/>
          <w:sz w:val="24"/>
          <w:szCs w:val="24"/>
        </w:rPr>
        <w:tab/>
        <w:t>D. L. Daggett, R. C. Hendricks, R. Walther, and E. Corporan, “Alternate Fuels for Use in Commercial Aircraft,” Apr. 2008, Accessed: Jan. 11, 2019. [Online]. Available: https://ntrs.nasa.gov/search.jsp?R=20080018472</w:t>
      </w:r>
    </w:p>
    <w:p w14:paraId="37EAAFFE"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[4]</w:t>
      </w:r>
      <w:r w:rsidRPr="00BE5C96">
        <w:rPr>
          <w:rFonts w:ascii="Times New Roman" w:hAnsi="Times New Roman" w:cs="Times New Roman"/>
          <w:noProof/>
          <w:sz w:val="24"/>
          <w:szCs w:val="24"/>
        </w:rPr>
        <w:tab/>
        <w:t>R. W. Stratton, “Life cycle assessment of greenhouse gas emissions and non-CO₂ combustion effects from alternative jet fuels,” 2010, Accessed: Jan. 11, 2019. [Online]. Available: https://dspace.mit.edu/handle/1721.1/59694</w:t>
      </w:r>
    </w:p>
    <w:p w14:paraId="416E758C"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[5]</w:t>
      </w:r>
      <w:r w:rsidRPr="00BE5C96">
        <w:rPr>
          <w:rFonts w:ascii="Times New Roman" w:hAnsi="Times New Roman" w:cs="Times New Roman"/>
          <w:noProof/>
          <w:sz w:val="24"/>
          <w:szCs w:val="24"/>
        </w:rPr>
        <w:tab/>
        <w:t>K. Lokesh, “Techno-economic environmental risk analysis of advanced biofuels for civil aviation,” Cranfield University, 2015. Accessed: Jan. 11, 2019. [Online]. Available: https://dspace.lib.cranfield.ac.uk/handle/1826/9243</w:t>
      </w:r>
    </w:p>
    <w:p w14:paraId="45A04045"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[6]</w:t>
      </w:r>
      <w:r w:rsidRPr="00BE5C96">
        <w:rPr>
          <w:rFonts w:ascii="Times New Roman" w:hAnsi="Times New Roman" w:cs="Times New Roman"/>
          <w:noProof/>
          <w:sz w:val="24"/>
          <w:szCs w:val="24"/>
        </w:rPr>
        <w:tab/>
        <w:t xml:space="preserve">S. S. Jagtap, “Sustainability assessment of hydro-processed renewable jet fuel from algae from market-entry year 2020: Use in passenger aircrafts,” in </w:t>
      </w:r>
      <w:r w:rsidRPr="00BE5C96">
        <w:rPr>
          <w:rFonts w:ascii="Times New Roman" w:hAnsi="Times New Roman" w:cs="Times New Roman"/>
          <w:i/>
          <w:iCs/>
          <w:noProof/>
          <w:sz w:val="24"/>
          <w:szCs w:val="24"/>
        </w:rPr>
        <w:t>16th AIAA Aviation Technology, Integration, and Operations Conference</w:t>
      </w:r>
      <w:r w:rsidRPr="00BE5C96">
        <w:rPr>
          <w:rFonts w:ascii="Times New Roman" w:hAnsi="Times New Roman" w:cs="Times New Roman"/>
          <w:noProof/>
          <w:sz w:val="24"/>
          <w:szCs w:val="24"/>
        </w:rPr>
        <w:t>, Jun. 2016. doi: 10.2514/6.2016-4367.</w:t>
      </w:r>
    </w:p>
    <w:p w14:paraId="2FCE6AB0"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[7]</w:t>
      </w:r>
      <w:r w:rsidRPr="00BE5C96">
        <w:rPr>
          <w:rFonts w:ascii="Times New Roman" w:hAnsi="Times New Roman" w:cs="Times New Roman"/>
          <w:noProof/>
          <w:sz w:val="24"/>
          <w:szCs w:val="24"/>
        </w:rPr>
        <w:tab/>
        <w:t xml:space="preserve">IATA, “Sustainable Aviation Fuels Sustainable Aviation Fuels: Fact Sheet 2,” </w:t>
      </w:r>
      <w:r w:rsidRPr="00BE5C96">
        <w:rPr>
          <w:rFonts w:ascii="Times New Roman" w:hAnsi="Times New Roman" w:cs="Times New Roman"/>
          <w:i/>
          <w:iCs/>
          <w:noProof/>
          <w:sz w:val="24"/>
          <w:szCs w:val="24"/>
        </w:rPr>
        <w:t>International Air Transport Association</w:t>
      </w:r>
      <w:r w:rsidRPr="00BE5C96">
        <w:rPr>
          <w:rFonts w:ascii="Times New Roman" w:hAnsi="Times New Roman" w:cs="Times New Roman"/>
          <w:noProof/>
          <w:sz w:val="24"/>
          <w:szCs w:val="24"/>
        </w:rPr>
        <w:t>, 2020. https://www.iata.org/contentassets/d13875e9ed784f75bac90f000760e998/saf-</w:t>
      </w:r>
      <w:r w:rsidRPr="00BE5C96">
        <w:rPr>
          <w:rFonts w:ascii="Times New Roman" w:hAnsi="Times New Roman" w:cs="Times New Roman"/>
          <w:noProof/>
          <w:sz w:val="24"/>
          <w:szCs w:val="24"/>
        </w:rPr>
        <w:lastRenderedPageBreak/>
        <w:t>technical-certifications.pdf (accessed Apr. 06, 2020).</w:t>
      </w:r>
    </w:p>
    <w:p w14:paraId="1CDFB0B1"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[8]</w:t>
      </w:r>
      <w:r w:rsidRPr="00BE5C96">
        <w:rPr>
          <w:rFonts w:ascii="Times New Roman" w:hAnsi="Times New Roman" w:cs="Times New Roman"/>
          <w:noProof/>
          <w:sz w:val="24"/>
          <w:szCs w:val="24"/>
        </w:rPr>
        <w:tab/>
        <w:t xml:space="preserve">S. S. Jagtap, “Assessment of feedstocks for blended alcohol-to-jet fuel manufacturing from standalone and distributed scheme for sustainable aviation,” in </w:t>
      </w:r>
      <w:r w:rsidRPr="00BE5C96">
        <w:rPr>
          <w:rFonts w:ascii="Times New Roman" w:hAnsi="Times New Roman" w:cs="Times New Roman"/>
          <w:i/>
          <w:iCs/>
          <w:noProof/>
          <w:sz w:val="24"/>
          <w:szCs w:val="24"/>
        </w:rPr>
        <w:t>AIAA Propulsion and Energy 2019 Forum</w:t>
      </w:r>
      <w:r w:rsidRPr="00BE5C96">
        <w:rPr>
          <w:rFonts w:ascii="Times New Roman" w:hAnsi="Times New Roman" w:cs="Times New Roman"/>
          <w:noProof/>
          <w:sz w:val="24"/>
          <w:szCs w:val="24"/>
        </w:rPr>
        <w:t>, 2019. doi: 10.2514/6.2019-3887.</w:t>
      </w:r>
    </w:p>
    <w:p w14:paraId="4C8A261B"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[9]</w:t>
      </w:r>
      <w:r w:rsidRPr="00BE5C96">
        <w:rPr>
          <w:rFonts w:ascii="Times New Roman" w:hAnsi="Times New Roman" w:cs="Times New Roman"/>
          <w:noProof/>
          <w:sz w:val="24"/>
          <w:szCs w:val="24"/>
        </w:rPr>
        <w:tab/>
        <w:t xml:space="preserve">S. S. Jagtap, “Comparative assessment of manufacturing setups for blended sugar-to-aviation fuel production from non-food feedstocks for green aviation,” in </w:t>
      </w:r>
      <w:r w:rsidRPr="00BE5C96">
        <w:rPr>
          <w:rFonts w:ascii="Times New Roman" w:hAnsi="Times New Roman" w:cs="Times New Roman"/>
          <w:i/>
          <w:iCs/>
          <w:noProof/>
          <w:sz w:val="24"/>
          <w:szCs w:val="24"/>
        </w:rPr>
        <w:t>AIAA Propulsion and Energy 2019 Forum</w:t>
      </w:r>
      <w:r w:rsidRPr="00BE5C96">
        <w:rPr>
          <w:rFonts w:ascii="Times New Roman" w:hAnsi="Times New Roman" w:cs="Times New Roman"/>
          <w:noProof/>
          <w:sz w:val="24"/>
          <w:szCs w:val="24"/>
        </w:rPr>
        <w:t>, 2019. doi: 10.2514/6.2019-4332.</w:t>
      </w:r>
    </w:p>
    <w:p w14:paraId="6AE4AF4D"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[10]</w:t>
      </w:r>
      <w:r w:rsidRPr="00BE5C96">
        <w:rPr>
          <w:rFonts w:ascii="Times New Roman" w:hAnsi="Times New Roman" w:cs="Times New Roman"/>
          <w:noProof/>
          <w:sz w:val="24"/>
          <w:szCs w:val="24"/>
        </w:rPr>
        <w:tab/>
        <w:t xml:space="preserve">S. S. Jagtap, “Evaluation of blended Fischer-Tropsch jet fuel feedstocks for minimizing human and environmental health impacts of aviation,” in </w:t>
      </w:r>
      <w:r w:rsidRPr="00BE5C96">
        <w:rPr>
          <w:rFonts w:ascii="Times New Roman" w:hAnsi="Times New Roman" w:cs="Times New Roman"/>
          <w:i/>
          <w:iCs/>
          <w:noProof/>
          <w:sz w:val="24"/>
          <w:szCs w:val="24"/>
        </w:rPr>
        <w:t>AIAA Propulsion and Energy 2019 Forum</w:t>
      </w:r>
      <w:r w:rsidRPr="00BE5C96">
        <w:rPr>
          <w:rFonts w:ascii="Times New Roman" w:hAnsi="Times New Roman" w:cs="Times New Roman"/>
          <w:noProof/>
          <w:sz w:val="24"/>
          <w:szCs w:val="24"/>
        </w:rPr>
        <w:t>, 2019. doi: 10.2514/6.2019-4412.</w:t>
      </w:r>
    </w:p>
    <w:p w14:paraId="6226007A"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[11]</w:t>
      </w:r>
      <w:r w:rsidRPr="00BE5C96">
        <w:rPr>
          <w:rFonts w:ascii="Times New Roman" w:hAnsi="Times New Roman" w:cs="Times New Roman"/>
          <w:noProof/>
          <w:sz w:val="24"/>
          <w:szCs w:val="24"/>
        </w:rPr>
        <w:tab/>
        <w:t xml:space="preserve">S. Blakey, L. Rye, and C. W. Wilson, “Aviation gas turbine alternative fuels: A review,” </w:t>
      </w:r>
      <w:r w:rsidRPr="00BE5C96">
        <w:rPr>
          <w:rFonts w:ascii="Times New Roman" w:hAnsi="Times New Roman" w:cs="Times New Roman"/>
          <w:i/>
          <w:iCs/>
          <w:noProof/>
          <w:sz w:val="24"/>
          <w:szCs w:val="24"/>
        </w:rPr>
        <w:t>Proc. Combust. Inst.</w:t>
      </w:r>
      <w:r w:rsidRPr="00BE5C96">
        <w:rPr>
          <w:rFonts w:ascii="Times New Roman" w:hAnsi="Times New Roman" w:cs="Times New Roman"/>
          <w:noProof/>
          <w:sz w:val="24"/>
          <w:szCs w:val="24"/>
        </w:rPr>
        <w:t>, vol. 33, no. 2, pp. 2863–2885, Jan. 2011, doi: 10.1016/J.PROCI.2010.09.011.</w:t>
      </w:r>
    </w:p>
    <w:p w14:paraId="66ED2A8D"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[12]</w:t>
      </w:r>
      <w:r w:rsidRPr="00BE5C96">
        <w:rPr>
          <w:rFonts w:ascii="Times New Roman" w:hAnsi="Times New Roman" w:cs="Times New Roman"/>
          <w:noProof/>
          <w:sz w:val="24"/>
          <w:szCs w:val="24"/>
        </w:rPr>
        <w:tab/>
        <w:t xml:space="preserve">J. I. Hileman, P. E. Donohoo, and R. W. Stratton, “Energy Content and Alternative Jet Fuel Viability,” </w:t>
      </w:r>
      <w:r w:rsidRPr="00BE5C96">
        <w:rPr>
          <w:rFonts w:ascii="Times New Roman" w:hAnsi="Times New Roman" w:cs="Times New Roman"/>
          <w:i/>
          <w:iCs/>
          <w:noProof/>
          <w:sz w:val="24"/>
          <w:szCs w:val="24"/>
        </w:rPr>
        <w:t>J. Propuls. Power</w:t>
      </w:r>
      <w:r w:rsidRPr="00BE5C96">
        <w:rPr>
          <w:rFonts w:ascii="Times New Roman" w:hAnsi="Times New Roman" w:cs="Times New Roman"/>
          <w:noProof/>
          <w:sz w:val="24"/>
          <w:szCs w:val="24"/>
        </w:rPr>
        <w:t>, vol. 26, no. 6, pp. 1184–1196, Nov. 2010, doi: 10.2514/1.46232.</w:t>
      </w:r>
    </w:p>
    <w:p w14:paraId="33864215"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[13]</w:t>
      </w:r>
      <w:r w:rsidRPr="00BE5C96">
        <w:rPr>
          <w:rFonts w:ascii="Times New Roman" w:hAnsi="Times New Roman" w:cs="Times New Roman"/>
          <w:noProof/>
          <w:sz w:val="24"/>
          <w:szCs w:val="24"/>
        </w:rPr>
        <w:tab/>
        <w:t xml:space="preserve">ANL, “GREET 2021,” </w:t>
      </w:r>
      <w:r w:rsidRPr="00BE5C96">
        <w:rPr>
          <w:rFonts w:ascii="Times New Roman" w:hAnsi="Times New Roman" w:cs="Times New Roman"/>
          <w:i/>
          <w:iCs/>
          <w:noProof/>
          <w:sz w:val="24"/>
          <w:szCs w:val="24"/>
        </w:rPr>
        <w:t>Argonne National Laboratory</w:t>
      </w:r>
      <w:r w:rsidRPr="00BE5C96">
        <w:rPr>
          <w:rFonts w:ascii="Times New Roman" w:hAnsi="Times New Roman" w:cs="Times New Roman"/>
          <w:noProof/>
          <w:sz w:val="24"/>
          <w:szCs w:val="24"/>
        </w:rPr>
        <w:t>, 2021. https://greet.es.anl.gov/</w:t>
      </w:r>
    </w:p>
    <w:p w14:paraId="40A1F7D2"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[14]</w:t>
      </w:r>
      <w:r w:rsidRPr="00BE5C96">
        <w:rPr>
          <w:rFonts w:ascii="Times New Roman" w:hAnsi="Times New Roman" w:cs="Times New Roman"/>
          <w:noProof/>
          <w:sz w:val="24"/>
          <w:szCs w:val="24"/>
        </w:rPr>
        <w:tab/>
        <w:t xml:space="preserve">K. Walker, “Canadian 100% biofuel flight tests show significant emission reductions | Eco-Aviation content from ATWOnline,” </w:t>
      </w:r>
      <w:r w:rsidRPr="00BE5C96">
        <w:rPr>
          <w:rFonts w:ascii="Times New Roman" w:hAnsi="Times New Roman" w:cs="Times New Roman"/>
          <w:i/>
          <w:iCs/>
          <w:noProof/>
          <w:sz w:val="24"/>
          <w:szCs w:val="24"/>
        </w:rPr>
        <w:t>Air Transport World</w:t>
      </w:r>
      <w:r w:rsidRPr="00BE5C96">
        <w:rPr>
          <w:rFonts w:ascii="Times New Roman" w:hAnsi="Times New Roman" w:cs="Times New Roman"/>
          <w:noProof/>
          <w:sz w:val="24"/>
          <w:szCs w:val="24"/>
        </w:rPr>
        <w:t>, 2013. http://atwonline.com/eco-aviation/canadian-100-biofuel-flight-tests-show-significant-emission-reductions (accessed Jan. 16, 2019).</w:t>
      </w:r>
    </w:p>
    <w:p w14:paraId="20AD051D"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[15]</w:t>
      </w:r>
      <w:r w:rsidRPr="00BE5C96">
        <w:rPr>
          <w:rFonts w:ascii="Times New Roman" w:hAnsi="Times New Roman" w:cs="Times New Roman"/>
          <w:noProof/>
          <w:sz w:val="24"/>
          <w:szCs w:val="24"/>
        </w:rPr>
        <w:tab/>
        <w:t xml:space="preserve">M. Kousoulidou and L. Lonza, “Biofuels in aviation: Fuel demand and CO2 emissions evolution in Europe toward 2030,” </w:t>
      </w:r>
      <w:r w:rsidRPr="00BE5C96">
        <w:rPr>
          <w:rFonts w:ascii="Times New Roman" w:hAnsi="Times New Roman" w:cs="Times New Roman"/>
          <w:i/>
          <w:iCs/>
          <w:noProof/>
          <w:sz w:val="24"/>
          <w:szCs w:val="24"/>
        </w:rPr>
        <w:t>Transp. Res. Part D Transp. Environ.</w:t>
      </w:r>
      <w:r w:rsidRPr="00BE5C96">
        <w:rPr>
          <w:rFonts w:ascii="Times New Roman" w:hAnsi="Times New Roman" w:cs="Times New Roman"/>
          <w:noProof/>
          <w:sz w:val="24"/>
          <w:szCs w:val="24"/>
        </w:rPr>
        <w:t xml:space="preserve">, vol. 46, pp. </w:t>
      </w:r>
      <w:r w:rsidRPr="00BE5C96">
        <w:rPr>
          <w:rFonts w:ascii="Times New Roman" w:hAnsi="Times New Roman" w:cs="Times New Roman"/>
          <w:noProof/>
          <w:sz w:val="24"/>
          <w:szCs w:val="24"/>
        </w:rPr>
        <w:lastRenderedPageBreak/>
        <w:t>166–181, Jul. 2016, doi: 10.1016/J.TRD.2016.03.018.</w:t>
      </w:r>
    </w:p>
    <w:p w14:paraId="28A9EA80"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[16]</w:t>
      </w:r>
      <w:r w:rsidRPr="00BE5C96">
        <w:rPr>
          <w:rFonts w:ascii="Times New Roman" w:hAnsi="Times New Roman" w:cs="Times New Roman"/>
          <w:noProof/>
          <w:sz w:val="24"/>
          <w:szCs w:val="24"/>
        </w:rPr>
        <w:tab/>
        <w:t xml:space="preserve">ATR, “ATR successfully performs test flights with 100% SAF in one engine - ATR,” </w:t>
      </w:r>
      <w:r w:rsidRPr="00BE5C96">
        <w:rPr>
          <w:rFonts w:ascii="Times New Roman" w:hAnsi="Times New Roman" w:cs="Times New Roman"/>
          <w:i/>
          <w:iCs/>
          <w:noProof/>
          <w:sz w:val="24"/>
          <w:szCs w:val="24"/>
        </w:rPr>
        <w:t>ATR</w:t>
      </w:r>
      <w:r w:rsidRPr="00BE5C96">
        <w:rPr>
          <w:rFonts w:ascii="Times New Roman" w:hAnsi="Times New Roman" w:cs="Times New Roman"/>
          <w:noProof/>
          <w:sz w:val="24"/>
          <w:szCs w:val="24"/>
        </w:rPr>
        <w:t>, Feb. 2022. https://www.atr-aircraft.com/presspost/atr-successfully-performs-test-flights-with-100-saf-in-one-engine/ (accessed Jul. 18, 2022).</w:t>
      </w:r>
    </w:p>
    <w:p w14:paraId="1995F67C"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[17]</w:t>
      </w:r>
      <w:r w:rsidRPr="00BE5C96">
        <w:rPr>
          <w:rFonts w:ascii="Times New Roman" w:hAnsi="Times New Roman" w:cs="Times New Roman"/>
          <w:noProof/>
          <w:sz w:val="24"/>
          <w:szCs w:val="24"/>
        </w:rPr>
        <w:tab/>
        <w:t xml:space="preserve">Rolls Royce, “Rolls-Royce - Rolls-Royce conducts first tests of 100% sustainable aviation fuel for use in business jets,” </w:t>
      </w:r>
      <w:r w:rsidRPr="00BE5C96">
        <w:rPr>
          <w:rFonts w:ascii="Times New Roman" w:hAnsi="Times New Roman" w:cs="Times New Roman"/>
          <w:i/>
          <w:iCs/>
          <w:noProof/>
          <w:sz w:val="24"/>
          <w:szCs w:val="24"/>
        </w:rPr>
        <w:t>Rolls Royce</w:t>
      </w:r>
      <w:r w:rsidRPr="00BE5C96">
        <w:rPr>
          <w:rFonts w:ascii="Times New Roman" w:hAnsi="Times New Roman" w:cs="Times New Roman"/>
          <w:noProof/>
          <w:sz w:val="24"/>
          <w:szCs w:val="24"/>
        </w:rPr>
        <w:t>, 2021. https://www.rolls-royce.com/media/press-releases/2021/01-02-2021-business-aviation-rr-conducts-first-tests-of-100-precent-sustainable-aviation-fuel.aspx (accessed Jul. 18, 2022).</w:t>
      </w:r>
    </w:p>
    <w:p w14:paraId="291DBF8D"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[18]</w:t>
      </w:r>
      <w:r w:rsidRPr="00BE5C96">
        <w:rPr>
          <w:rFonts w:ascii="Times New Roman" w:hAnsi="Times New Roman" w:cs="Times New Roman"/>
          <w:noProof/>
          <w:sz w:val="24"/>
          <w:szCs w:val="24"/>
        </w:rPr>
        <w:tab/>
        <w:t xml:space="preserve">Airbus, “First A380 powered by 100% Sustainable Aviation Fuel takes to the skies ,” </w:t>
      </w:r>
      <w:r w:rsidRPr="00BE5C96">
        <w:rPr>
          <w:rFonts w:ascii="Times New Roman" w:hAnsi="Times New Roman" w:cs="Times New Roman"/>
          <w:i/>
          <w:iCs/>
          <w:noProof/>
          <w:sz w:val="24"/>
          <w:szCs w:val="24"/>
        </w:rPr>
        <w:t>Airbus</w:t>
      </w:r>
      <w:r w:rsidRPr="00BE5C96">
        <w:rPr>
          <w:rFonts w:ascii="Times New Roman" w:hAnsi="Times New Roman" w:cs="Times New Roman"/>
          <w:noProof/>
          <w:sz w:val="24"/>
          <w:szCs w:val="24"/>
        </w:rPr>
        <w:t>, 2022. https://www.airbus.com/en/newsroom/press-releases/2022-03-first-a380-powered-by-100-sustainable-aviation-fuel-takes-to-the (accessed Jul. 18, 2022).</w:t>
      </w:r>
    </w:p>
    <w:p w14:paraId="754A4927"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[19]</w:t>
      </w:r>
      <w:r w:rsidRPr="00BE5C96">
        <w:rPr>
          <w:rFonts w:ascii="Times New Roman" w:hAnsi="Times New Roman" w:cs="Times New Roman"/>
          <w:noProof/>
          <w:sz w:val="24"/>
          <w:szCs w:val="24"/>
        </w:rPr>
        <w:tab/>
        <w:t xml:space="preserve">P. Schmidt, V. Batteiger, A. Roth, W. Weindorf, and T. Raksha, “Power-to-Liquids as Renewable Fuel Option for Aviation: A Review,” </w:t>
      </w:r>
      <w:r w:rsidRPr="00BE5C96">
        <w:rPr>
          <w:rFonts w:ascii="Times New Roman" w:hAnsi="Times New Roman" w:cs="Times New Roman"/>
          <w:i/>
          <w:iCs/>
          <w:noProof/>
          <w:sz w:val="24"/>
          <w:szCs w:val="24"/>
        </w:rPr>
        <w:t>Chemie Ing. Tech.</w:t>
      </w:r>
      <w:r w:rsidRPr="00BE5C96">
        <w:rPr>
          <w:rFonts w:ascii="Times New Roman" w:hAnsi="Times New Roman" w:cs="Times New Roman"/>
          <w:noProof/>
          <w:sz w:val="24"/>
          <w:szCs w:val="24"/>
        </w:rPr>
        <w:t>, vol. 90, no. 1–2, pp. 127–140, Jan. 2018, doi: 10.1002/cite.201700129.</w:t>
      </w:r>
    </w:p>
    <w:p w14:paraId="3DE56191"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[20]</w:t>
      </w:r>
      <w:r w:rsidRPr="00BE5C96">
        <w:rPr>
          <w:rFonts w:ascii="Times New Roman" w:hAnsi="Times New Roman" w:cs="Times New Roman"/>
          <w:noProof/>
          <w:sz w:val="24"/>
          <w:szCs w:val="24"/>
        </w:rPr>
        <w:tab/>
        <w:t xml:space="preserve">D. Verstraete, P. Hendrick, P. Pilidis, and K. Ramsden, “Hydrogen fuel tanks for subsonic transport aircraft,” </w:t>
      </w:r>
      <w:r w:rsidRPr="00BE5C96">
        <w:rPr>
          <w:rFonts w:ascii="Times New Roman" w:hAnsi="Times New Roman" w:cs="Times New Roman"/>
          <w:i/>
          <w:iCs/>
          <w:noProof/>
          <w:sz w:val="24"/>
          <w:szCs w:val="24"/>
        </w:rPr>
        <w:t>Int. J. Hydrogen Energy</w:t>
      </w:r>
      <w:r w:rsidRPr="00BE5C96">
        <w:rPr>
          <w:rFonts w:ascii="Times New Roman" w:hAnsi="Times New Roman" w:cs="Times New Roman"/>
          <w:noProof/>
          <w:sz w:val="24"/>
          <w:szCs w:val="24"/>
        </w:rPr>
        <w:t>, vol. 35, no. 20, pp. 11085–11098, Oct. 2010, doi: 10.1016/j.ijhydene.2010.06.060.</w:t>
      </w:r>
    </w:p>
    <w:p w14:paraId="23DCD005"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[21]</w:t>
      </w:r>
      <w:r w:rsidRPr="00BE5C96">
        <w:rPr>
          <w:rFonts w:ascii="Times New Roman" w:hAnsi="Times New Roman" w:cs="Times New Roman"/>
          <w:noProof/>
          <w:sz w:val="24"/>
          <w:szCs w:val="24"/>
        </w:rPr>
        <w:tab/>
        <w:t>S. K. Mital, J. Z. Gyekenyesi, S. M. Arnold, R. M. Sullivan, J. M. Manderscheid, and P. L. N. Murthy, “Review of Current State of the Art and Key Design Issues With Potential Solutions for Liquid Hydrogen Cryogenic Storage Tank Structures for Aircraft Applications,” 2006. Accessed: Jan. 01, 2020. [Online]. Available: https://ntrs.nasa.gov/archive/nasa/casi.ntrs.nasa.gov/20060056194.pdf</w:t>
      </w:r>
    </w:p>
    <w:p w14:paraId="69250936"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[22]</w:t>
      </w:r>
      <w:r w:rsidRPr="00BE5C96">
        <w:rPr>
          <w:rFonts w:ascii="Times New Roman" w:hAnsi="Times New Roman" w:cs="Times New Roman"/>
          <w:noProof/>
          <w:sz w:val="24"/>
          <w:szCs w:val="24"/>
        </w:rPr>
        <w:tab/>
        <w:t>H. Kobayashi, A. Hayakawa, K. D. K. A. Somarathne, and E. C. Okafor, “Science an</w:t>
      </w:r>
      <w:r w:rsidRPr="00BE5C96">
        <w:rPr>
          <w:rFonts w:ascii="Times New Roman" w:hAnsi="Times New Roman" w:cs="Times New Roman"/>
          <w:noProof/>
          <w:sz w:val="24"/>
          <w:szCs w:val="24"/>
        </w:rPr>
        <w:lastRenderedPageBreak/>
        <w:t xml:space="preserve">d technology of ammonia combustion,” </w:t>
      </w:r>
      <w:r w:rsidRPr="00BE5C96">
        <w:rPr>
          <w:rFonts w:ascii="Times New Roman" w:hAnsi="Times New Roman" w:cs="Times New Roman"/>
          <w:i/>
          <w:iCs/>
          <w:noProof/>
          <w:sz w:val="24"/>
          <w:szCs w:val="24"/>
        </w:rPr>
        <w:t>Proc. Combust. Inst.</w:t>
      </w:r>
      <w:r w:rsidRPr="00BE5C96">
        <w:rPr>
          <w:rFonts w:ascii="Times New Roman" w:hAnsi="Times New Roman" w:cs="Times New Roman"/>
          <w:noProof/>
          <w:sz w:val="24"/>
          <w:szCs w:val="24"/>
        </w:rPr>
        <w:t>, vol. 37, no. 1, pp. 109–133, 2019, doi: 10.1016/j.proci.2018.09.029.</w:t>
      </w:r>
    </w:p>
    <w:p w14:paraId="4CDF3BB3"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[23]</w:t>
      </w:r>
      <w:r w:rsidRPr="00BE5C96">
        <w:rPr>
          <w:rFonts w:ascii="Times New Roman" w:hAnsi="Times New Roman" w:cs="Times New Roman"/>
          <w:noProof/>
          <w:sz w:val="24"/>
          <w:szCs w:val="24"/>
        </w:rPr>
        <w:tab/>
        <w:t xml:space="preserve">J. L. Toof, “A model for the prediction of thermal, prompt, and fuel NOX emissions from combustion turbines,” </w:t>
      </w:r>
      <w:r w:rsidRPr="00BE5C96">
        <w:rPr>
          <w:rFonts w:ascii="Times New Roman" w:hAnsi="Times New Roman" w:cs="Times New Roman"/>
          <w:i/>
          <w:iCs/>
          <w:noProof/>
          <w:sz w:val="24"/>
          <w:szCs w:val="24"/>
        </w:rPr>
        <w:t>J. Eng. Gas Turbines Power</w:t>
      </w:r>
      <w:r w:rsidRPr="00BE5C96">
        <w:rPr>
          <w:rFonts w:ascii="Times New Roman" w:hAnsi="Times New Roman" w:cs="Times New Roman"/>
          <w:noProof/>
          <w:sz w:val="24"/>
          <w:szCs w:val="24"/>
        </w:rPr>
        <w:t>, vol. 108, no. 2, pp. 340–347, 1986, doi: 10.1115/1.3239909.</w:t>
      </w:r>
    </w:p>
    <w:p w14:paraId="2B022F20"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[24]</w:t>
      </w:r>
      <w:r w:rsidRPr="00BE5C96">
        <w:rPr>
          <w:rFonts w:ascii="Times New Roman" w:hAnsi="Times New Roman" w:cs="Times New Roman"/>
          <w:noProof/>
          <w:sz w:val="24"/>
          <w:szCs w:val="24"/>
        </w:rPr>
        <w:tab/>
        <w:t>P. Kumar, “An experimental and numerical study of NOx formation mechanisms in NH3-H2-Air flames,” Iowa State University, 2012. Accessed: Dec. 28, 2019. [Online]. Available: https://pdfs.semanticscholar.org/88b2/4d4446889dd608775e933f93f7a95859c9f7.pdf</w:t>
      </w:r>
    </w:p>
    <w:p w14:paraId="0DD6A416"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[25]</w:t>
      </w:r>
      <w:r w:rsidRPr="00BE5C96">
        <w:rPr>
          <w:rFonts w:ascii="Times New Roman" w:hAnsi="Times New Roman" w:cs="Times New Roman"/>
          <w:noProof/>
          <w:sz w:val="24"/>
          <w:szCs w:val="24"/>
        </w:rPr>
        <w:tab/>
        <w:t xml:space="preserve">H. Nojoumi, I. Dincer, and G. F. Naterer, “Greenhouse gas emissions assessment of hydrogen and kerosene-fueled aircraft propulsion,” </w:t>
      </w:r>
      <w:r w:rsidRPr="00BE5C96">
        <w:rPr>
          <w:rFonts w:ascii="Times New Roman" w:hAnsi="Times New Roman" w:cs="Times New Roman"/>
          <w:i/>
          <w:iCs/>
          <w:noProof/>
          <w:sz w:val="24"/>
          <w:szCs w:val="24"/>
        </w:rPr>
        <w:t>Int. J. Hydrogen Energy</w:t>
      </w:r>
      <w:r w:rsidRPr="00BE5C96">
        <w:rPr>
          <w:rFonts w:ascii="Times New Roman" w:hAnsi="Times New Roman" w:cs="Times New Roman"/>
          <w:noProof/>
          <w:sz w:val="24"/>
          <w:szCs w:val="24"/>
        </w:rPr>
        <w:t>, vol. 34, no. 3, pp. 1363–1369, Feb. 2009, doi: 10.1016/J.IJHYDENE.2008.11.017.</w:t>
      </w:r>
    </w:p>
    <w:p w14:paraId="7E61A213"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[26]</w:t>
      </w:r>
      <w:r w:rsidRPr="00BE5C96">
        <w:rPr>
          <w:rFonts w:ascii="Times New Roman" w:hAnsi="Times New Roman" w:cs="Times New Roman"/>
          <w:noProof/>
          <w:sz w:val="24"/>
          <w:szCs w:val="24"/>
        </w:rPr>
        <w:tab/>
        <w:t xml:space="preserve">B. Khandelwal, A. Karakurt, P. R. Sekaran, V. Sethi, and R. Singh, “Hydrogen powered aircraft: The future of air transport,” </w:t>
      </w:r>
      <w:r w:rsidRPr="00BE5C96">
        <w:rPr>
          <w:rFonts w:ascii="Times New Roman" w:hAnsi="Times New Roman" w:cs="Times New Roman"/>
          <w:i/>
          <w:iCs/>
          <w:noProof/>
          <w:sz w:val="24"/>
          <w:szCs w:val="24"/>
        </w:rPr>
        <w:t>Progress in Aerospace Sciences</w:t>
      </w:r>
      <w:r w:rsidRPr="00BE5C96">
        <w:rPr>
          <w:rFonts w:ascii="Times New Roman" w:hAnsi="Times New Roman" w:cs="Times New Roman"/>
          <w:noProof/>
          <w:sz w:val="24"/>
          <w:szCs w:val="24"/>
        </w:rPr>
        <w:t>, vol. 60. Elsevier Ltd, pp. 45–59, 2013. doi: 10.1016/j.paerosci.2012.12.002.</w:t>
      </w:r>
    </w:p>
    <w:p w14:paraId="0293BB0D"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[27]</w:t>
      </w:r>
      <w:r w:rsidRPr="00BE5C96">
        <w:rPr>
          <w:rFonts w:ascii="Times New Roman" w:hAnsi="Times New Roman" w:cs="Times New Roman"/>
          <w:noProof/>
          <w:sz w:val="24"/>
          <w:szCs w:val="24"/>
        </w:rPr>
        <w:tab/>
        <w:t xml:space="preserve">S. Rondinelli, A. Gardi, R. Kapoor, and R. Sabatini, “Benefits and challenges of liquid hydrogen fuels in commercial aviation,” </w:t>
      </w:r>
      <w:r w:rsidRPr="00BE5C96">
        <w:rPr>
          <w:rFonts w:ascii="Times New Roman" w:hAnsi="Times New Roman" w:cs="Times New Roman"/>
          <w:i/>
          <w:iCs/>
          <w:noProof/>
          <w:sz w:val="24"/>
          <w:szCs w:val="24"/>
        </w:rPr>
        <w:t>Int. J. Sustain. Aviat.</w:t>
      </w:r>
      <w:r w:rsidRPr="00BE5C96">
        <w:rPr>
          <w:rFonts w:ascii="Times New Roman" w:hAnsi="Times New Roman" w:cs="Times New Roman"/>
          <w:noProof/>
          <w:sz w:val="24"/>
          <w:szCs w:val="24"/>
        </w:rPr>
        <w:t>, vol. 3, no. 3, p. 200, 2017, doi: 10.1504/ijsa.2017.086845.</w:t>
      </w:r>
    </w:p>
    <w:p w14:paraId="787B96D8"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[28]</w:t>
      </w:r>
      <w:r w:rsidRPr="00BE5C96">
        <w:rPr>
          <w:rFonts w:ascii="Times New Roman" w:hAnsi="Times New Roman" w:cs="Times New Roman"/>
          <w:noProof/>
          <w:sz w:val="24"/>
          <w:szCs w:val="24"/>
        </w:rPr>
        <w:tab/>
        <w:t xml:space="preserve">M. Prewitz, A. Bardenhagen, and R. Beck, “Hydrogen as the fuel of the future in aircrafts – Challenges and opportunities,” </w:t>
      </w:r>
      <w:r w:rsidRPr="00BE5C96">
        <w:rPr>
          <w:rFonts w:ascii="Times New Roman" w:hAnsi="Times New Roman" w:cs="Times New Roman"/>
          <w:i/>
          <w:iCs/>
          <w:noProof/>
          <w:sz w:val="24"/>
          <w:szCs w:val="24"/>
        </w:rPr>
        <w:t>Int. J. Hydrogen Energy</w:t>
      </w:r>
      <w:r w:rsidRPr="00BE5C96">
        <w:rPr>
          <w:rFonts w:ascii="Times New Roman" w:hAnsi="Times New Roman" w:cs="Times New Roman"/>
          <w:noProof/>
          <w:sz w:val="24"/>
          <w:szCs w:val="24"/>
        </w:rPr>
        <w:t>, vol. 45, no. 46, pp. 25378–25385, Sep. 2020, doi: 10.1016/J.IJHYDENE.2020.06.238.</w:t>
      </w:r>
    </w:p>
    <w:p w14:paraId="3856D45B"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[29]</w:t>
      </w:r>
      <w:r w:rsidRPr="00BE5C96">
        <w:rPr>
          <w:rFonts w:ascii="Times New Roman" w:hAnsi="Times New Roman" w:cs="Times New Roman"/>
          <w:noProof/>
          <w:sz w:val="24"/>
          <w:szCs w:val="24"/>
        </w:rPr>
        <w:tab/>
        <w:t>B. Yang, M. Mane, and W. A. Crossley, “An Approach to Evaluate Fleet Level CO2 Impact of Introducing Liquid-Hydrogen Aircraft to a World-Wide Network,” Jun</w:t>
      </w:r>
      <w:r w:rsidRPr="00BE5C96">
        <w:rPr>
          <w:rFonts w:ascii="Times New Roman" w:hAnsi="Times New Roman" w:cs="Times New Roman"/>
          <w:noProof/>
          <w:sz w:val="24"/>
          <w:szCs w:val="24"/>
        </w:rPr>
        <w:lastRenderedPageBreak/>
        <w:t>. 2022, doi: 10.2514/6.2022-3313.</w:t>
      </w:r>
    </w:p>
    <w:p w14:paraId="761D8996"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[30]</w:t>
      </w:r>
      <w:r w:rsidRPr="00BE5C96">
        <w:rPr>
          <w:rFonts w:ascii="Times New Roman" w:hAnsi="Times New Roman" w:cs="Times New Roman"/>
          <w:noProof/>
          <w:sz w:val="24"/>
          <w:szCs w:val="24"/>
        </w:rPr>
        <w:tab/>
        <w:t>F. Svensson, “Potential of reducng the environmental impact of civil subsonic aviation by using liquid hydrogen,” Cranfield University, 2005. Accessed: Jun. 17, 2022. [Online]. Available: https://dspace.lib.cranfield.ac.uk/handle/1826/10726</w:t>
      </w:r>
    </w:p>
    <w:p w14:paraId="66343A39"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[31]</w:t>
      </w:r>
      <w:r w:rsidRPr="00BE5C96">
        <w:rPr>
          <w:rFonts w:ascii="Times New Roman" w:hAnsi="Times New Roman" w:cs="Times New Roman"/>
          <w:noProof/>
          <w:sz w:val="24"/>
          <w:szCs w:val="24"/>
        </w:rPr>
        <w:tab/>
        <w:t>Airbus, “Liquid Hydrogen Fuelled Aircraft-System Analysis: CRYOPLANE Final Technical report,” 2003. https://www.fzt.haw-hamburg.de/pers/Scholz/dglr/hh/text_2004_02_26_Cryoplane.pdf (accessed Dec. 30, 2019).</w:t>
      </w:r>
    </w:p>
    <w:p w14:paraId="7CAA8AEC"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[32]</w:t>
      </w:r>
      <w:r w:rsidRPr="00BE5C96">
        <w:rPr>
          <w:rFonts w:ascii="Times New Roman" w:hAnsi="Times New Roman" w:cs="Times New Roman"/>
          <w:noProof/>
          <w:sz w:val="24"/>
          <w:szCs w:val="24"/>
        </w:rPr>
        <w:tab/>
        <w:t xml:space="preserve">D. Silberhorn, G. Atanasov, J.-N. Walther, and T. Zill, “ASSESSMENT OF HYDROGEN FUEL TANK INTEGRATION AT AIRCRAFT LEVEL,” </w:t>
      </w:r>
      <w:r w:rsidRPr="00BE5C96">
        <w:rPr>
          <w:rFonts w:ascii="Times New Roman" w:hAnsi="Times New Roman" w:cs="Times New Roman"/>
          <w:i/>
          <w:iCs/>
          <w:noProof/>
          <w:sz w:val="24"/>
          <w:szCs w:val="24"/>
        </w:rPr>
        <w:t>Inst. Transp. Res.</w:t>
      </w:r>
      <w:r w:rsidRPr="00BE5C96">
        <w:rPr>
          <w:rFonts w:ascii="Times New Roman" w:hAnsi="Times New Roman" w:cs="Times New Roman"/>
          <w:noProof/>
          <w:sz w:val="24"/>
          <w:szCs w:val="24"/>
        </w:rPr>
        <w:t>, 2019.</w:t>
      </w:r>
    </w:p>
    <w:p w14:paraId="35A0875B"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[33]</w:t>
      </w:r>
      <w:r w:rsidRPr="00BE5C96">
        <w:rPr>
          <w:rFonts w:ascii="Times New Roman" w:hAnsi="Times New Roman" w:cs="Times New Roman"/>
          <w:noProof/>
          <w:sz w:val="24"/>
          <w:szCs w:val="24"/>
        </w:rPr>
        <w:tab/>
        <w:t xml:space="preserve">V. Cipolla, D. Zanetti, K. A. Salem, V. Binante, and G. Palaia, “A Parametric Approach for Conceptual Integration and Performance Studies of Liquid Hydrogen Short&amp;ndash;Medium Range Aircraft,” </w:t>
      </w:r>
      <w:r w:rsidRPr="00BE5C96">
        <w:rPr>
          <w:rFonts w:ascii="Times New Roman" w:hAnsi="Times New Roman" w:cs="Times New Roman"/>
          <w:i/>
          <w:iCs/>
          <w:noProof/>
          <w:sz w:val="24"/>
          <w:szCs w:val="24"/>
        </w:rPr>
        <w:t>Appl. Sci. 2022, Vol. 12, Page 6857</w:t>
      </w:r>
      <w:r w:rsidRPr="00BE5C96">
        <w:rPr>
          <w:rFonts w:ascii="Times New Roman" w:hAnsi="Times New Roman" w:cs="Times New Roman"/>
          <w:noProof/>
          <w:sz w:val="24"/>
          <w:szCs w:val="24"/>
        </w:rPr>
        <w:t>, vol. 12, no. 14, p. 6857, Jul. 2022, doi: 10.3390/APP12146857.</w:t>
      </w:r>
    </w:p>
    <w:p w14:paraId="6A757F34"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[34]</w:t>
      </w:r>
      <w:r w:rsidRPr="00BE5C96">
        <w:rPr>
          <w:rFonts w:ascii="Times New Roman" w:hAnsi="Times New Roman" w:cs="Times New Roman"/>
          <w:noProof/>
          <w:sz w:val="24"/>
          <w:szCs w:val="24"/>
        </w:rPr>
        <w:tab/>
        <w:t xml:space="preserve">A. Gomez and H. Smith, “Liquid hydrogen fuel tanks for commercial aviation: Structural sizing and stress analysis,” </w:t>
      </w:r>
      <w:r w:rsidRPr="00BE5C96">
        <w:rPr>
          <w:rFonts w:ascii="Times New Roman" w:hAnsi="Times New Roman" w:cs="Times New Roman"/>
          <w:i/>
          <w:iCs/>
          <w:noProof/>
          <w:sz w:val="24"/>
          <w:szCs w:val="24"/>
        </w:rPr>
        <w:t>Aerosp. Sci. Technol.</w:t>
      </w:r>
      <w:r w:rsidRPr="00BE5C96">
        <w:rPr>
          <w:rFonts w:ascii="Times New Roman" w:hAnsi="Times New Roman" w:cs="Times New Roman"/>
          <w:noProof/>
          <w:sz w:val="24"/>
          <w:szCs w:val="24"/>
        </w:rPr>
        <w:t>, vol. 95, p. 105438, Dec. 2019, doi: 10.1016/j.ast.2019.105438.</w:t>
      </w:r>
    </w:p>
    <w:p w14:paraId="389DE33B"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[35]</w:t>
      </w:r>
      <w:r w:rsidRPr="00BE5C96">
        <w:rPr>
          <w:rFonts w:ascii="Times New Roman" w:hAnsi="Times New Roman" w:cs="Times New Roman"/>
          <w:noProof/>
          <w:sz w:val="24"/>
          <w:szCs w:val="24"/>
        </w:rPr>
        <w:tab/>
        <w:t xml:space="preserve">F. Troeltsch, M. Engelmann, F. Peter, J. Kaiser, M. Hornung, and A. E. Scholz, “Hydrogen powered long haul aircraft with minimized climate impact,” </w:t>
      </w:r>
      <w:r w:rsidRPr="00BE5C96">
        <w:rPr>
          <w:rFonts w:ascii="Times New Roman" w:hAnsi="Times New Roman" w:cs="Times New Roman"/>
          <w:i/>
          <w:iCs/>
          <w:noProof/>
          <w:sz w:val="24"/>
          <w:szCs w:val="24"/>
        </w:rPr>
        <w:t>AIAA Aviat. 2020 FORUM</w:t>
      </w:r>
      <w:r w:rsidRPr="00BE5C96">
        <w:rPr>
          <w:rFonts w:ascii="Times New Roman" w:hAnsi="Times New Roman" w:cs="Times New Roman"/>
          <w:noProof/>
          <w:sz w:val="24"/>
          <w:szCs w:val="24"/>
        </w:rPr>
        <w:t>, p. 14, 2020, doi: 10.2514/6.2020-2660.</w:t>
      </w:r>
    </w:p>
    <w:p w14:paraId="1C231325"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[36]</w:t>
      </w:r>
      <w:r w:rsidRPr="00BE5C96">
        <w:rPr>
          <w:rFonts w:ascii="Times New Roman" w:hAnsi="Times New Roman" w:cs="Times New Roman"/>
          <w:noProof/>
          <w:sz w:val="24"/>
          <w:szCs w:val="24"/>
        </w:rPr>
        <w:tab/>
        <w:t>P.-J. Proesmans and R. Vos, “Comparison of Future Aviation Fuels to Minimize the Climate Impact of Commercial Aircraft,” Jun. 2022, doi: 10.2514/6.2022-3288</w:t>
      </w:r>
      <w:r w:rsidRPr="00BE5C96">
        <w:rPr>
          <w:rFonts w:ascii="Times New Roman" w:hAnsi="Times New Roman" w:cs="Times New Roman"/>
          <w:noProof/>
          <w:sz w:val="24"/>
          <w:szCs w:val="24"/>
        </w:rPr>
        <w:lastRenderedPageBreak/>
        <w:t>.</w:t>
      </w:r>
    </w:p>
    <w:p w14:paraId="08A23B93"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[37]</w:t>
      </w:r>
      <w:r w:rsidRPr="00BE5C96">
        <w:rPr>
          <w:rFonts w:ascii="Times New Roman" w:hAnsi="Times New Roman" w:cs="Times New Roman"/>
          <w:noProof/>
          <w:sz w:val="24"/>
          <w:szCs w:val="24"/>
        </w:rPr>
        <w:tab/>
        <w:t xml:space="preserve">V. Grewe </w:t>
      </w:r>
      <w:r w:rsidRPr="00BE5C96">
        <w:rPr>
          <w:rFonts w:ascii="Times New Roman" w:hAnsi="Times New Roman" w:cs="Times New Roman"/>
          <w:i/>
          <w:iCs/>
          <w:noProof/>
          <w:sz w:val="24"/>
          <w:szCs w:val="24"/>
        </w:rPr>
        <w:t>et al.</w:t>
      </w:r>
      <w:r w:rsidRPr="00BE5C96">
        <w:rPr>
          <w:rFonts w:ascii="Times New Roman" w:hAnsi="Times New Roman" w:cs="Times New Roman"/>
          <w:noProof/>
          <w:sz w:val="24"/>
          <w:szCs w:val="24"/>
        </w:rPr>
        <w:t xml:space="preserve">, “Assessing the climate impact of the AHEAD multi-fuel blended wing body,” </w:t>
      </w:r>
      <w:r w:rsidRPr="00BE5C96">
        <w:rPr>
          <w:rFonts w:ascii="Times New Roman" w:hAnsi="Times New Roman" w:cs="Times New Roman"/>
          <w:i/>
          <w:iCs/>
          <w:noProof/>
          <w:sz w:val="24"/>
          <w:szCs w:val="24"/>
        </w:rPr>
        <w:t>Meteorol. Zeitschrift</w:t>
      </w:r>
      <w:r w:rsidRPr="00BE5C96">
        <w:rPr>
          <w:rFonts w:ascii="Times New Roman" w:hAnsi="Times New Roman" w:cs="Times New Roman"/>
          <w:noProof/>
          <w:sz w:val="24"/>
          <w:szCs w:val="24"/>
        </w:rPr>
        <w:t>, vol. 26, no. 6, pp. 711–725, 2017, doi: 10.1127/METZ/2016/0758.</w:t>
      </w:r>
    </w:p>
    <w:p w14:paraId="52D434AB"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[38]</w:t>
      </w:r>
      <w:r w:rsidRPr="00BE5C96">
        <w:rPr>
          <w:rFonts w:ascii="Times New Roman" w:hAnsi="Times New Roman" w:cs="Times New Roman"/>
          <w:noProof/>
          <w:sz w:val="24"/>
          <w:szCs w:val="24"/>
        </w:rPr>
        <w:tab/>
        <w:t xml:space="preserve">A. Newby, “Toward Sustainable Aviation,” </w:t>
      </w:r>
      <w:r w:rsidRPr="00BE5C96">
        <w:rPr>
          <w:rFonts w:ascii="Times New Roman" w:hAnsi="Times New Roman" w:cs="Times New Roman"/>
          <w:i/>
          <w:iCs/>
          <w:noProof/>
          <w:sz w:val="24"/>
          <w:szCs w:val="24"/>
        </w:rPr>
        <w:t>Keynote at AIAA Propulsion and Energy Forum 2019</w:t>
      </w:r>
      <w:r w:rsidRPr="00BE5C96">
        <w:rPr>
          <w:rFonts w:ascii="Times New Roman" w:hAnsi="Times New Roman" w:cs="Times New Roman"/>
          <w:noProof/>
          <w:sz w:val="24"/>
          <w:szCs w:val="24"/>
        </w:rPr>
        <w:t>. American Institute of Aeronautics and Astronautics, 2019. Accessed: Jan. 02, 2020. [Online]. Available: https://livestream.com/AIAAvideo/PropEnergy2019/videos/195347621</w:t>
      </w:r>
    </w:p>
    <w:p w14:paraId="31F55BCA"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[39]</w:t>
      </w:r>
      <w:r w:rsidRPr="00BE5C96">
        <w:rPr>
          <w:rFonts w:ascii="Times New Roman" w:hAnsi="Times New Roman" w:cs="Times New Roman"/>
          <w:noProof/>
          <w:sz w:val="24"/>
          <w:szCs w:val="24"/>
        </w:rPr>
        <w:tab/>
        <w:t xml:space="preserve">German-Environment-Agency, “Power-to-Liquids Potentials and Perspectives for the Future Supply of Renewable Aviation Fuel,” </w:t>
      </w:r>
      <w:r w:rsidRPr="00BE5C96">
        <w:rPr>
          <w:rFonts w:ascii="Times New Roman" w:hAnsi="Times New Roman" w:cs="Times New Roman"/>
          <w:i/>
          <w:iCs/>
          <w:noProof/>
          <w:sz w:val="24"/>
          <w:szCs w:val="24"/>
        </w:rPr>
        <w:t>German Environment Agency</w:t>
      </w:r>
      <w:r w:rsidRPr="00BE5C96">
        <w:rPr>
          <w:rFonts w:ascii="Times New Roman" w:hAnsi="Times New Roman" w:cs="Times New Roman"/>
          <w:noProof/>
          <w:sz w:val="24"/>
          <w:szCs w:val="24"/>
        </w:rPr>
        <w:t>, 2016. https://www.umweltbundesamt.de/sites/default/files/medien/377/publikationen/161005_uba_hintergrund_ptl_barrierrefrei.pdf (accessed Mar. 10, 2019).</w:t>
      </w:r>
    </w:p>
    <w:p w14:paraId="2CCF1BCA"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[40]</w:t>
      </w:r>
      <w:r w:rsidRPr="00BE5C96">
        <w:rPr>
          <w:rFonts w:ascii="Times New Roman" w:hAnsi="Times New Roman" w:cs="Times New Roman"/>
          <w:noProof/>
          <w:sz w:val="24"/>
          <w:szCs w:val="24"/>
        </w:rPr>
        <w:tab/>
        <w:t>World Economic Forum, “Target True Zero Unlocking Sustainable Battery and Hydrogen-Powered Flight - Insight Report,” 2022. Accessed: Aug. 05, 2022. [Online]. Available: https://www3.weforum.org/docs/WEF_Target_True_Zero_Aviation_ROUND_2022.pdf</w:t>
      </w:r>
    </w:p>
    <w:p w14:paraId="2069F232"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[41]</w:t>
      </w:r>
      <w:r w:rsidRPr="00BE5C96">
        <w:rPr>
          <w:rFonts w:ascii="Times New Roman" w:hAnsi="Times New Roman" w:cs="Times New Roman"/>
          <w:noProof/>
          <w:sz w:val="24"/>
          <w:szCs w:val="24"/>
        </w:rPr>
        <w:tab/>
        <w:t xml:space="preserve">D. Carrington, “Solar plane makes history after completing round-the-world trip | Environment | The Guardian,” </w:t>
      </w:r>
      <w:r w:rsidRPr="00BE5C96">
        <w:rPr>
          <w:rFonts w:ascii="Times New Roman" w:hAnsi="Times New Roman" w:cs="Times New Roman"/>
          <w:i/>
          <w:iCs/>
          <w:noProof/>
          <w:sz w:val="24"/>
          <w:szCs w:val="24"/>
        </w:rPr>
        <w:t>The Guardian</w:t>
      </w:r>
      <w:r w:rsidRPr="00BE5C96">
        <w:rPr>
          <w:rFonts w:ascii="Times New Roman" w:hAnsi="Times New Roman" w:cs="Times New Roman"/>
          <w:noProof/>
          <w:sz w:val="24"/>
          <w:szCs w:val="24"/>
        </w:rPr>
        <w:t>, Jul. 26, 2016. Accessed: Jan. 14, 2019. [Online]. Available: https://www.theguardian.com/environment/2016/jul/26/solar-impulse-plane-makes-history-completing-round-the-world-trip</w:t>
      </w:r>
    </w:p>
    <w:p w14:paraId="1B7D2B87"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[42]</w:t>
      </w:r>
      <w:r w:rsidRPr="00BE5C96">
        <w:rPr>
          <w:rFonts w:ascii="Times New Roman" w:hAnsi="Times New Roman" w:cs="Times New Roman"/>
          <w:noProof/>
          <w:sz w:val="24"/>
          <w:szCs w:val="24"/>
        </w:rPr>
        <w:tab/>
        <w:t xml:space="preserve">A. Hern, “First ever plane with no moving parts takes flight | Science | The Guardian,” </w:t>
      </w:r>
      <w:r w:rsidRPr="00BE5C96">
        <w:rPr>
          <w:rFonts w:ascii="Times New Roman" w:hAnsi="Times New Roman" w:cs="Times New Roman"/>
          <w:i/>
          <w:iCs/>
          <w:noProof/>
          <w:sz w:val="24"/>
          <w:szCs w:val="24"/>
        </w:rPr>
        <w:t>The Guardian</w:t>
      </w:r>
      <w:r w:rsidRPr="00BE5C96">
        <w:rPr>
          <w:rFonts w:ascii="Times New Roman" w:hAnsi="Times New Roman" w:cs="Times New Roman"/>
          <w:noProof/>
          <w:sz w:val="24"/>
          <w:szCs w:val="24"/>
        </w:rPr>
        <w:t>, Nov. 21, 2018. Accessed: Jan. 14, 2019. [Online]. Available: https://www.theguardian.com/science/2018/nov/21/first-ever-plane-with-no-moving-parts-takes-fligh</w:t>
      </w:r>
      <w:r w:rsidRPr="00BE5C96">
        <w:rPr>
          <w:rFonts w:ascii="Times New Roman" w:hAnsi="Times New Roman" w:cs="Times New Roman"/>
          <w:noProof/>
          <w:sz w:val="24"/>
          <w:szCs w:val="24"/>
        </w:rPr>
        <w:lastRenderedPageBreak/>
        <w:t>t</w:t>
      </w:r>
    </w:p>
    <w:p w14:paraId="2BFB98D6"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[43]</w:t>
      </w:r>
      <w:r w:rsidRPr="00BE5C96">
        <w:rPr>
          <w:rFonts w:ascii="Times New Roman" w:hAnsi="Times New Roman" w:cs="Times New Roman"/>
          <w:noProof/>
          <w:sz w:val="24"/>
          <w:szCs w:val="24"/>
        </w:rPr>
        <w:tab/>
        <w:t xml:space="preserve">H. Xu </w:t>
      </w:r>
      <w:r w:rsidRPr="00BE5C96">
        <w:rPr>
          <w:rFonts w:ascii="Times New Roman" w:hAnsi="Times New Roman" w:cs="Times New Roman"/>
          <w:i/>
          <w:iCs/>
          <w:noProof/>
          <w:sz w:val="24"/>
          <w:szCs w:val="24"/>
        </w:rPr>
        <w:t>et al.</w:t>
      </w:r>
      <w:r w:rsidRPr="00BE5C96">
        <w:rPr>
          <w:rFonts w:ascii="Times New Roman" w:hAnsi="Times New Roman" w:cs="Times New Roman"/>
          <w:noProof/>
          <w:sz w:val="24"/>
          <w:szCs w:val="24"/>
        </w:rPr>
        <w:t xml:space="preserve">, “Flight of an aeroplane with solid-state propulsion,” </w:t>
      </w:r>
      <w:r w:rsidRPr="00BE5C96">
        <w:rPr>
          <w:rFonts w:ascii="Times New Roman" w:hAnsi="Times New Roman" w:cs="Times New Roman"/>
          <w:i/>
          <w:iCs/>
          <w:noProof/>
          <w:sz w:val="24"/>
          <w:szCs w:val="24"/>
        </w:rPr>
        <w:t>Nat. 2018 5637732</w:t>
      </w:r>
      <w:r w:rsidRPr="00BE5C96">
        <w:rPr>
          <w:rFonts w:ascii="Times New Roman" w:hAnsi="Times New Roman" w:cs="Times New Roman"/>
          <w:noProof/>
          <w:sz w:val="24"/>
          <w:szCs w:val="24"/>
        </w:rPr>
        <w:t>, vol. 563, no. 7732, pp. 532–535, Nov. 2018, doi: 10.1038/s41586-018-0707-9.</w:t>
      </w:r>
    </w:p>
    <w:p w14:paraId="6E230575"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[44]</w:t>
      </w:r>
      <w:r w:rsidRPr="00BE5C96">
        <w:rPr>
          <w:rFonts w:ascii="Times New Roman" w:hAnsi="Times New Roman" w:cs="Times New Roman"/>
          <w:noProof/>
          <w:sz w:val="24"/>
          <w:szCs w:val="24"/>
        </w:rPr>
        <w:tab/>
        <w:t xml:space="preserve">T. Grönstedt </w:t>
      </w:r>
      <w:r w:rsidRPr="00BE5C96">
        <w:rPr>
          <w:rFonts w:ascii="Times New Roman" w:hAnsi="Times New Roman" w:cs="Times New Roman"/>
          <w:i/>
          <w:iCs/>
          <w:noProof/>
          <w:sz w:val="24"/>
          <w:szCs w:val="24"/>
        </w:rPr>
        <w:t>et al.</w:t>
      </w:r>
      <w:r w:rsidRPr="00BE5C96">
        <w:rPr>
          <w:rFonts w:ascii="Times New Roman" w:hAnsi="Times New Roman" w:cs="Times New Roman"/>
          <w:noProof/>
          <w:sz w:val="24"/>
          <w:szCs w:val="24"/>
        </w:rPr>
        <w:t xml:space="preserve">, “Ultra Low Emission Technology Innovations for Mid-Century Aircraft Turbine Engines,” in </w:t>
      </w:r>
      <w:r w:rsidRPr="00BE5C96">
        <w:rPr>
          <w:rFonts w:ascii="Times New Roman" w:hAnsi="Times New Roman" w:cs="Times New Roman"/>
          <w:i/>
          <w:iCs/>
          <w:noProof/>
          <w:sz w:val="24"/>
          <w:szCs w:val="24"/>
        </w:rPr>
        <w:t>Volume 3: Coal, Biomass and Alternative Fuels; Cycle Innovations; Electric Power; Industrial and Cogeneration; Organic Rankine Cycle Power Systems</w:t>
      </w:r>
      <w:r w:rsidRPr="00BE5C96">
        <w:rPr>
          <w:rFonts w:ascii="Times New Roman" w:hAnsi="Times New Roman" w:cs="Times New Roman"/>
          <w:noProof/>
          <w:sz w:val="24"/>
          <w:szCs w:val="24"/>
        </w:rPr>
        <w:t>, Jun. 2016, p. V003T06A001. doi: 10.1115/GT2016-56123.</w:t>
      </w:r>
    </w:p>
    <w:p w14:paraId="509550CA"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[45]</w:t>
      </w:r>
      <w:r w:rsidRPr="00BE5C96">
        <w:rPr>
          <w:rFonts w:ascii="Times New Roman" w:hAnsi="Times New Roman" w:cs="Times New Roman"/>
          <w:noProof/>
          <w:sz w:val="24"/>
          <w:szCs w:val="24"/>
        </w:rPr>
        <w:tab/>
        <w:t xml:space="preserve">B. J. Brelje and J. R. R. A. Martins, “Electric, hybrid, and turboelectric fixed-wing aircraft: A review of concepts, models, and design approaches,” </w:t>
      </w:r>
      <w:r w:rsidRPr="00BE5C96">
        <w:rPr>
          <w:rFonts w:ascii="Times New Roman" w:hAnsi="Times New Roman" w:cs="Times New Roman"/>
          <w:i/>
          <w:iCs/>
          <w:noProof/>
          <w:sz w:val="24"/>
          <w:szCs w:val="24"/>
        </w:rPr>
        <w:t>Prog. Aerosp. Sci.</w:t>
      </w:r>
      <w:r w:rsidRPr="00BE5C96">
        <w:rPr>
          <w:rFonts w:ascii="Times New Roman" w:hAnsi="Times New Roman" w:cs="Times New Roman"/>
          <w:noProof/>
          <w:sz w:val="24"/>
          <w:szCs w:val="24"/>
        </w:rPr>
        <w:t>, vol. 104, pp. 1–19, Jan. 2019, doi: 10.1016/J.PAEROSCI.2018.06.004.</w:t>
      </w:r>
    </w:p>
    <w:p w14:paraId="0B4935D2"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[46]</w:t>
      </w:r>
      <w:r w:rsidRPr="00BE5C96">
        <w:rPr>
          <w:rFonts w:ascii="Times New Roman" w:hAnsi="Times New Roman" w:cs="Times New Roman"/>
          <w:noProof/>
          <w:sz w:val="24"/>
          <w:szCs w:val="24"/>
        </w:rPr>
        <w:tab/>
        <w:t xml:space="preserve">University-of-Washington, “Lithium-Ion Battery,” </w:t>
      </w:r>
      <w:r w:rsidRPr="00BE5C96">
        <w:rPr>
          <w:rFonts w:ascii="Times New Roman" w:hAnsi="Times New Roman" w:cs="Times New Roman"/>
          <w:i/>
          <w:iCs/>
          <w:noProof/>
          <w:sz w:val="24"/>
          <w:szCs w:val="24"/>
        </w:rPr>
        <w:t>University of Washington</w:t>
      </w:r>
      <w:r w:rsidRPr="00BE5C96">
        <w:rPr>
          <w:rFonts w:ascii="Times New Roman" w:hAnsi="Times New Roman" w:cs="Times New Roman"/>
          <w:noProof/>
          <w:sz w:val="24"/>
          <w:szCs w:val="24"/>
        </w:rPr>
        <w:t>, 2020. https://www.cei.washington.edu/education/science-of-solar/battery-technology/ (accessed May 20, 2021).</w:t>
      </w:r>
    </w:p>
    <w:p w14:paraId="12A26400"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[47]</w:t>
      </w:r>
      <w:r w:rsidRPr="00BE5C96">
        <w:rPr>
          <w:rFonts w:ascii="Times New Roman" w:hAnsi="Times New Roman" w:cs="Times New Roman"/>
          <w:noProof/>
          <w:sz w:val="24"/>
          <w:szCs w:val="24"/>
        </w:rPr>
        <w:tab/>
        <w:t xml:space="preserve">Droneii, “Pushing the Boundaries-Drone Energy Sources,” </w:t>
      </w:r>
      <w:r w:rsidRPr="00BE5C96">
        <w:rPr>
          <w:rFonts w:ascii="Times New Roman" w:hAnsi="Times New Roman" w:cs="Times New Roman"/>
          <w:i/>
          <w:iCs/>
          <w:noProof/>
          <w:sz w:val="24"/>
          <w:szCs w:val="24"/>
        </w:rPr>
        <w:t>Drone Industry Insights</w:t>
      </w:r>
      <w:r w:rsidRPr="00BE5C96">
        <w:rPr>
          <w:rFonts w:ascii="Times New Roman" w:hAnsi="Times New Roman" w:cs="Times New Roman"/>
          <w:noProof/>
          <w:sz w:val="24"/>
          <w:szCs w:val="24"/>
        </w:rPr>
        <w:t>, 2017. https://www.droneii.com/wp-content/uploads/2017/06/Drone-Energy-Sources.pdf (accessed Aug. 19, 2020).</w:t>
      </w:r>
    </w:p>
    <w:p w14:paraId="7AE31C01"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[48]</w:t>
      </w:r>
      <w:r w:rsidRPr="00BE5C96">
        <w:rPr>
          <w:rFonts w:ascii="Times New Roman" w:hAnsi="Times New Roman" w:cs="Times New Roman"/>
          <w:noProof/>
          <w:sz w:val="24"/>
          <w:szCs w:val="24"/>
        </w:rPr>
        <w:tab/>
        <w:t xml:space="preserve">C. Pornet and A. T. Isikveren, “Conceptual design of hybrid-electric transport aircraft,” </w:t>
      </w:r>
      <w:r w:rsidRPr="00BE5C96">
        <w:rPr>
          <w:rFonts w:ascii="Times New Roman" w:hAnsi="Times New Roman" w:cs="Times New Roman"/>
          <w:i/>
          <w:iCs/>
          <w:noProof/>
          <w:sz w:val="24"/>
          <w:szCs w:val="24"/>
        </w:rPr>
        <w:t>Prog. Aerosp. Sci.</w:t>
      </w:r>
      <w:r w:rsidRPr="00BE5C96">
        <w:rPr>
          <w:rFonts w:ascii="Times New Roman" w:hAnsi="Times New Roman" w:cs="Times New Roman"/>
          <w:noProof/>
          <w:sz w:val="24"/>
          <w:szCs w:val="24"/>
        </w:rPr>
        <w:t>, vol. 79, pp. 114–135, Nov. 2015, doi: 10.1016/J.PAEROSCI.2015.09.002.</w:t>
      </w:r>
    </w:p>
    <w:p w14:paraId="75B6418E"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[49]</w:t>
      </w:r>
      <w:r w:rsidRPr="00BE5C96">
        <w:rPr>
          <w:rFonts w:ascii="Times New Roman" w:hAnsi="Times New Roman" w:cs="Times New Roman"/>
          <w:noProof/>
          <w:sz w:val="24"/>
          <w:szCs w:val="24"/>
        </w:rPr>
        <w:tab/>
        <w:t xml:space="preserve">M. Voskuijl, J. van Bogaert, and A. G. Rao, “Analysis and design of hybrid electric regional turboprop aircraft,” </w:t>
      </w:r>
      <w:r w:rsidRPr="00BE5C96">
        <w:rPr>
          <w:rFonts w:ascii="Times New Roman" w:hAnsi="Times New Roman" w:cs="Times New Roman"/>
          <w:i/>
          <w:iCs/>
          <w:noProof/>
          <w:sz w:val="24"/>
          <w:szCs w:val="24"/>
        </w:rPr>
        <w:t>CEAS Aeronaut. J.</w:t>
      </w:r>
      <w:r w:rsidRPr="00BE5C96">
        <w:rPr>
          <w:rFonts w:ascii="Times New Roman" w:hAnsi="Times New Roman" w:cs="Times New Roman"/>
          <w:noProof/>
          <w:sz w:val="24"/>
          <w:szCs w:val="24"/>
        </w:rPr>
        <w:t>, vol. 9, no. 1, pp. 15–25, Mar. 2018, doi: 10.1007/s13272-017-0272-1.</w:t>
      </w:r>
    </w:p>
    <w:p w14:paraId="6BFDD3B4"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[50]</w:t>
      </w:r>
      <w:r w:rsidRPr="00BE5C96">
        <w:rPr>
          <w:rFonts w:ascii="Times New Roman" w:hAnsi="Times New Roman" w:cs="Times New Roman"/>
          <w:noProof/>
          <w:sz w:val="24"/>
          <w:szCs w:val="24"/>
        </w:rPr>
        <w:tab/>
        <w:t xml:space="preserve">C. Friedrich and P. A. Robertson, “Hybrid-Electric Propulsion for Aircraft,” </w:t>
      </w:r>
      <w:r w:rsidRPr="00BE5C96">
        <w:rPr>
          <w:rFonts w:ascii="Times New Roman" w:hAnsi="Times New Roman" w:cs="Times New Roman"/>
          <w:i/>
          <w:iCs/>
          <w:noProof/>
          <w:sz w:val="24"/>
          <w:szCs w:val="24"/>
        </w:rPr>
        <w:t>J. Aircr.</w:t>
      </w:r>
      <w:r w:rsidRPr="00BE5C96">
        <w:rPr>
          <w:rFonts w:ascii="Times New Roman" w:hAnsi="Times New Roman" w:cs="Times New Roman"/>
          <w:noProof/>
          <w:sz w:val="24"/>
          <w:szCs w:val="24"/>
        </w:rPr>
        <w:t>, vol. 52, no. 1, pp. 176–189, Jan. 2015, doi: 10.2514/1.C032660</w:t>
      </w:r>
      <w:r w:rsidRPr="00BE5C96">
        <w:rPr>
          <w:rFonts w:ascii="Times New Roman" w:hAnsi="Times New Roman" w:cs="Times New Roman"/>
          <w:noProof/>
          <w:sz w:val="24"/>
          <w:szCs w:val="24"/>
        </w:rPr>
        <w:lastRenderedPageBreak/>
        <w:t>.</w:t>
      </w:r>
    </w:p>
    <w:p w14:paraId="03AF889F"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[51]</w:t>
      </w:r>
      <w:r w:rsidRPr="00BE5C96">
        <w:rPr>
          <w:rFonts w:ascii="Times New Roman" w:hAnsi="Times New Roman" w:cs="Times New Roman"/>
          <w:noProof/>
          <w:sz w:val="24"/>
          <w:szCs w:val="24"/>
        </w:rPr>
        <w:tab/>
        <w:t xml:space="preserve">A. W. Schäfer </w:t>
      </w:r>
      <w:r w:rsidRPr="00BE5C96">
        <w:rPr>
          <w:rFonts w:ascii="Times New Roman" w:hAnsi="Times New Roman" w:cs="Times New Roman"/>
          <w:i/>
          <w:iCs/>
          <w:noProof/>
          <w:sz w:val="24"/>
          <w:szCs w:val="24"/>
        </w:rPr>
        <w:t>et al.</w:t>
      </w:r>
      <w:r w:rsidRPr="00BE5C96">
        <w:rPr>
          <w:rFonts w:ascii="Times New Roman" w:hAnsi="Times New Roman" w:cs="Times New Roman"/>
          <w:noProof/>
          <w:sz w:val="24"/>
          <w:szCs w:val="24"/>
        </w:rPr>
        <w:t xml:space="preserve">, “Technological, economic and environmental prospects of all-electric aircraft,” </w:t>
      </w:r>
      <w:r w:rsidRPr="00BE5C96">
        <w:rPr>
          <w:rFonts w:ascii="Times New Roman" w:hAnsi="Times New Roman" w:cs="Times New Roman"/>
          <w:i/>
          <w:iCs/>
          <w:noProof/>
          <w:sz w:val="24"/>
          <w:szCs w:val="24"/>
        </w:rPr>
        <w:t>Nat. Energy</w:t>
      </w:r>
      <w:r w:rsidRPr="00BE5C96">
        <w:rPr>
          <w:rFonts w:ascii="Times New Roman" w:hAnsi="Times New Roman" w:cs="Times New Roman"/>
          <w:noProof/>
          <w:sz w:val="24"/>
          <w:szCs w:val="24"/>
        </w:rPr>
        <w:t>, vol. 4, no. 2, pp. 160–166, Feb. 2019, doi: 10.1038/s41560-018-0294-x.</w:t>
      </w:r>
    </w:p>
    <w:p w14:paraId="0018E25B"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[52]</w:t>
      </w:r>
      <w:r w:rsidRPr="00BE5C96">
        <w:rPr>
          <w:rFonts w:ascii="Times New Roman" w:hAnsi="Times New Roman" w:cs="Times New Roman"/>
          <w:noProof/>
          <w:sz w:val="24"/>
          <w:szCs w:val="24"/>
        </w:rPr>
        <w:tab/>
        <w:t>S. W. Ashcraft, A. S. Padron, K. A. Pascioni, G. W. Stout, and D. L. Huff, “Review of propulsion technologies for N+3 subsonic vehicle concepts (Report # 20110022435),” 2011. https://ntrs.nasa.gov/citations/20110022435</w:t>
      </w:r>
    </w:p>
    <w:p w14:paraId="55B05F13"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[53]</w:t>
      </w:r>
      <w:r w:rsidRPr="00BE5C96">
        <w:rPr>
          <w:rFonts w:ascii="Times New Roman" w:hAnsi="Times New Roman" w:cs="Times New Roman"/>
          <w:noProof/>
          <w:sz w:val="24"/>
          <w:szCs w:val="24"/>
        </w:rPr>
        <w:tab/>
        <w:t xml:space="preserve">S. S. Jagtap, “Systems evaluation of subsonic hybrid-electric propulsion concepts for NASA N+3 goals and conceptual aircraft sizing,” </w:t>
      </w:r>
      <w:r w:rsidRPr="00BE5C96">
        <w:rPr>
          <w:rFonts w:ascii="Times New Roman" w:hAnsi="Times New Roman" w:cs="Times New Roman"/>
          <w:i/>
          <w:iCs/>
          <w:noProof/>
          <w:sz w:val="24"/>
          <w:szCs w:val="24"/>
        </w:rPr>
        <w:t>Int. J. Automot. Mech. Eng.</w:t>
      </w:r>
      <w:r w:rsidRPr="00BE5C96">
        <w:rPr>
          <w:rFonts w:ascii="Times New Roman" w:hAnsi="Times New Roman" w:cs="Times New Roman"/>
          <w:noProof/>
          <w:sz w:val="24"/>
          <w:szCs w:val="24"/>
        </w:rPr>
        <w:t>, vol. 16, no. 4, pp. 7259–7286, 2019, doi: https://doi.org/10.15282/ijame.16.4.2019.07.0541.</w:t>
      </w:r>
    </w:p>
    <w:p w14:paraId="6A3C4793"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[54]</w:t>
      </w:r>
      <w:r w:rsidRPr="00BE5C96">
        <w:rPr>
          <w:rFonts w:ascii="Times New Roman" w:hAnsi="Times New Roman" w:cs="Times New Roman"/>
          <w:noProof/>
          <w:sz w:val="24"/>
          <w:szCs w:val="24"/>
        </w:rPr>
        <w:tab/>
        <w:t xml:space="preserve">H. Kim and M.-S. Liou, “Flow simulation and optimal shape design of N3-X hybrid wing body configuration using a body force method,” </w:t>
      </w:r>
      <w:r w:rsidRPr="00BE5C96">
        <w:rPr>
          <w:rFonts w:ascii="Times New Roman" w:hAnsi="Times New Roman" w:cs="Times New Roman"/>
          <w:i/>
          <w:iCs/>
          <w:noProof/>
          <w:sz w:val="24"/>
          <w:szCs w:val="24"/>
        </w:rPr>
        <w:t>Aerosp. Sci. Technol.</w:t>
      </w:r>
      <w:r w:rsidRPr="00BE5C96">
        <w:rPr>
          <w:rFonts w:ascii="Times New Roman" w:hAnsi="Times New Roman" w:cs="Times New Roman"/>
          <w:noProof/>
          <w:sz w:val="24"/>
          <w:szCs w:val="24"/>
        </w:rPr>
        <w:t>, vol. 71, pp. 661–674, Dec. 2017, doi: 10.1016/J.AST.2017.09.046.</w:t>
      </w:r>
    </w:p>
    <w:p w14:paraId="2592BA8E"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[55]</w:t>
      </w:r>
      <w:r w:rsidRPr="00BE5C96">
        <w:rPr>
          <w:rFonts w:ascii="Times New Roman" w:hAnsi="Times New Roman" w:cs="Times New Roman"/>
          <w:noProof/>
          <w:sz w:val="24"/>
          <w:szCs w:val="24"/>
        </w:rPr>
        <w:tab/>
        <w:t>J. L. Felder, G. V. Brown, H. DaeKim, and J. Chu, “Turboelectric Distributed Propulsion in a Hybrid Wing Body Aircraft,” 2011. Accessed: Aug. 19, 2020. [Online]. Available: https://ntrs.nasa.gov/citations/20120000856</w:t>
      </w:r>
    </w:p>
    <w:p w14:paraId="090B9F7F"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[56]</w:t>
      </w:r>
      <w:r w:rsidRPr="00BE5C96">
        <w:rPr>
          <w:rFonts w:ascii="Times New Roman" w:hAnsi="Times New Roman" w:cs="Times New Roman"/>
          <w:noProof/>
          <w:sz w:val="24"/>
          <w:szCs w:val="24"/>
        </w:rPr>
        <w:tab/>
        <w:t xml:space="preserve">U. of Cambridge, “Watts up - aeroplanes go hybrid-electric,” </w:t>
      </w:r>
      <w:r w:rsidRPr="00BE5C96">
        <w:rPr>
          <w:rFonts w:ascii="Times New Roman" w:hAnsi="Times New Roman" w:cs="Times New Roman"/>
          <w:i/>
          <w:iCs/>
          <w:noProof/>
          <w:sz w:val="24"/>
          <w:szCs w:val="24"/>
        </w:rPr>
        <w:t>University of Cambridge</w:t>
      </w:r>
      <w:r w:rsidRPr="00BE5C96">
        <w:rPr>
          <w:rFonts w:ascii="Times New Roman" w:hAnsi="Times New Roman" w:cs="Times New Roman"/>
          <w:noProof/>
          <w:sz w:val="24"/>
          <w:szCs w:val="24"/>
        </w:rPr>
        <w:t>, 2014. https://www.cam.ac.uk/research/news/watts-up-aeroplanes-go-hybrid-electric (accessed Jan. 14, 2019).</w:t>
      </w:r>
    </w:p>
    <w:p w14:paraId="1DF290AC"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[57]</w:t>
      </w:r>
      <w:r w:rsidRPr="00BE5C96">
        <w:rPr>
          <w:rFonts w:ascii="Times New Roman" w:hAnsi="Times New Roman" w:cs="Times New Roman"/>
          <w:noProof/>
          <w:sz w:val="24"/>
          <w:szCs w:val="24"/>
        </w:rPr>
        <w:tab/>
        <w:t xml:space="preserve">DLR, “Conceptual study for environment-friendly flight,” </w:t>
      </w:r>
      <w:r w:rsidRPr="00BE5C96">
        <w:rPr>
          <w:rFonts w:ascii="Times New Roman" w:hAnsi="Times New Roman" w:cs="Times New Roman"/>
          <w:i/>
          <w:iCs/>
          <w:noProof/>
          <w:sz w:val="24"/>
          <w:szCs w:val="24"/>
        </w:rPr>
        <w:t>DLR</w:t>
      </w:r>
      <w:r w:rsidRPr="00BE5C96">
        <w:rPr>
          <w:rFonts w:ascii="Times New Roman" w:hAnsi="Times New Roman" w:cs="Times New Roman"/>
          <w:noProof/>
          <w:sz w:val="24"/>
          <w:szCs w:val="24"/>
        </w:rPr>
        <w:t>, 2020. https://www.dlr.de/en/latest/news/2020/02/20200504_conceptual-study-for-environment-friendly-flight (accessed May 26, 2021).</w:t>
      </w:r>
    </w:p>
    <w:p w14:paraId="7DA4DF89"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[58]</w:t>
      </w:r>
      <w:r w:rsidRPr="00BE5C96">
        <w:rPr>
          <w:rFonts w:ascii="Times New Roman" w:hAnsi="Times New Roman" w:cs="Times New Roman"/>
          <w:noProof/>
          <w:sz w:val="24"/>
          <w:szCs w:val="24"/>
        </w:rPr>
        <w:tab/>
        <w:t xml:space="preserve">Rolls-Royce, “Rolls-Royce - Rolls-Royce’s all-electric ‘Spirit of Innovation’ takes to the skies for the first time,” </w:t>
      </w:r>
      <w:r w:rsidRPr="00BE5C96">
        <w:rPr>
          <w:rFonts w:ascii="Times New Roman" w:hAnsi="Times New Roman" w:cs="Times New Roman"/>
          <w:i/>
          <w:iCs/>
          <w:noProof/>
          <w:sz w:val="24"/>
          <w:szCs w:val="24"/>
        </w:rPr>
        <w:t>Rolls Royce</w:t>
      </w:r>
      <w:r w:rsidRPr="00BE5C96">
        <w:rPr>
          <w:rFonts w:ascii="Times New Roman" w:hAnsi="Times New Roman" w:cs="Times New Roman"/>
          <w:noProof/>
          <w:sz w:val="24"/>
          <w:szCs w:val="24"/>
        </w:rPr>
        <w:t>, 2021. https://www.roll</w:t>
      </w:r>
      <w:r w:rsidRPr="00BE5C96">
        <w:rPr>
          <w:rFonts w:ascii="Times New Roman" w:hAnsi="Times New Roman" w:cs="Times New Roman"/>
          <w:noProof/>
          <w:sz w:val="24"/>
          <w:szCs w:val="24"/>
        </w:rPr>
        <w:lastRenderedPageBreak/>
        <w:t>s-royce.com/media/press-releases/2021/15-09-2021-rr-all-electric-spirit-of-innovation-takes-to-the-skies-for-the-first-time.aspx (accessed Mar. 20, 2022).</w:t>
      </w:r>
    </w:p>
    <w:p w14:paraId="39208ECB"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[59]</w:t>
      </w:r>
      <w:r w:rsidRPr="00BE5C96">
        <w:rPr>
          <w:rFonts w:ascii="Times New Roman" w:hAnsi="Times New Roman" w:cs="Times New Roman"/>
          <w:noProof/>
          <w:sz w:val="24"/>
          <w:szCs w:val="24"/>
        </w:rPr>
        <w:tab/>
        <w:t xml:space="preserve">J. Mukhopadhaya and D. Rutherford, “Performance analysis of evolutionary hydrogen-powered aircraft,” </w:t>
      </w:r>
      <w:r w:rsidRPr="00BE5C96">
        <w:rPr>
          <w:rFonts w:ascii="Times New Roman" w:hAnsi="Times New Roman" w:cs="Times New Roman"/>
          <w:i/>
          <w:iCs/>
          <w:noProof/>
          <w:sz w:val="24"/>
          <w:szCs w:val="24"/>
        </w:rPr>
        <w:t>International Council on Clean Transportation</w:t>
      </w:r>
      <w:r w:rsidRPr="00BE5C96">
        <w:rPr>
          <w:rFonts w:ascii="Times New Roman" w:hAnsi="Times New Roman" w:cs="Times New Roman"/>
          <w:noProof/>
          <w:sz w:val="24"/>
          <w:szCs w:val="24"/>
        </w:rPr>
        <w:t>, 2022. https://theicct.org/publication/aviation-global-evo-hydrogen-aircraft-jan22/ (accessed Jun. 04, 2022).</w:t>
      </w:r>
    </w:p>
    <w:p w14:paraId="3112DDAF"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[60]</w:t>
      </w:r>
      <w:r w:rsidRPr="00BE5C96">
        <w:rPr>
          <w:rFonts w:ascii="Times New Roman" w:hAnsi="Times New Roman" w:cs="Times New Roman"/>
          <w:noProof/>
          <w:sz w:val="24"/>
          <w:szCs w:val="24"/>
        </w:rPr>
        <w:tab/>
        <w:t>S. Job, M. Campbell, B. Hall, Z. Hamadache, and N. Kumar, “SUSTAINABILITY REPORT - The Lifecycle Impact of Hydrogen-Powered Aircraft,” 2022. Accessed: Jun. 05, 2022. [Online]. Available: https://www.ati.org.uk/wp-content/uploads/2022/03/FZO-STY-REP-0005-FlyZero-Sustainability-Report.pdf</w:t>
      </w:r>
    </w:p>
    <w:p w14:paraId="3BCF578B"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[61]</w:t>
      </w:r>
      <w:r w:rsidRPr="00BE5C96">
        <w:rPr>
          <w:rFonts w:ascii="Times New Roman" w:hAnsi="Times New Roman" w:cs="Times New Roman"/>
          <w:noProof/>
          <w:sz w:val="24"/>
          <w:szCs w:val="24"/>
        </w:rPr>
        <w:tab/>
        <w:t xml:space="preserve">T. Dietl </w:t>
      </w:r>
      <w:r w:rsidRPr="00BE5C96">
        <w:rPr>
          <w:rFonts w:ascii="Times New Roman" w:hAnsi="Times New Roman" w:cs="Times New Roman"/>
          <w:i/>
          <w:iCs/>
          <w:noProof/>
          <w:sz w:val="24"/>
          <w:szCs w:val="24"/>
        </w:rPr>
        <w:t>et al.</w:t>
      </w:r>
      <w:r w:rsidRPr="00BE5C96">
        <w:rPr>
          <w:rFonts w:ascii="Times New Roman" w:hAnsi="Times New Roman" w:cs="Times New Roman"/>
          <w:noProof/>
          <w:sz w:val="24"/>
          <w:szCs w:val="24"/>
        </w:rPr>
        <w:t>, “POLARIS-DESIGN OF A LIQUID HYDROGEN TURBO-ELECTRIC TRANSPORT AIRCRAFT,” 2018. doi: 10.25967/480344.</w:t>
      </w:r>
    </w:p>
    <w:p w14:paraId="1C5E4897"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[62]</w:t>
      </w:r>
      <w:r w:rsidRPr="00BE5C96">
        <w:rPr>
          <w:rFonts w:ascii="Times New Roman" w:hAnsi="Times New Roman" w:cs="Times New Roman"/>
          <w:noProof/>
          <w:sz w:val="24"/>
          <w:szCs w:val="24"/>
        </w:rPr>
        <w:tab/>
        <w:t xml:space="preserve">T. Y. J. Druot, N. Peteilh, P. Roches, and N. Monrolin, “Hydrogen Powered Airplanes, an exploration of possible architectures leveraging boundary layer ingestion and hybridization,” </w:t>
      </w:r>
      <w:r w:rsidRPr="00BE5C96">
        <w:rPr>
          <w:rFonts w:ascii="Times New Roman" w:hAnsi="Times New Roman" w:cs="Times New Roman"/>
          <w:i/>
          <w:iCs/>
          <w:noProof/>
          <w:sz w:val="24"/>
          <w:szCs w:val="24"/>
        </w:rPr>
        <w:t>AIAA Sci. Technol. Forum Expo. AIAA SciTech Forum 2022</w:t>
      </w:r>
      <w:r w:rsidRPr="00BE5C96">
        <w:rPr>
          <w:rFonts w:ascii="Times New Roman" w:hAnsi="Times New Roman" w:cs="Times New Roman"/>
          <w:noProof/>
          <w:sz w:val="24"/>
          <w:szCs w:val="24"/>
        </w:rPr>
        <w:t>, 2022, doi: 10.2514/6.2022-1025.</w:t>
      </w:r>
    </w:p>
    <w:p w14:paraId="68137B35"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[63]</w:t>
      </w:r>
      <w:r w:rsidRPr="00BE5C96">
        <w:rPr>
          <w:rFonts w:ascii="Times New Roman" w:hAnsi="Times New Roman" w:cs="Times New Roman"/>
          <w:noProof/>
          <w:sz w:val="24"/>
          <w:szCs w:val="24"/>
        </w:rPr>
        <w:tab/>
        <w:t xml:space="preserve">M. Thoennes, A. Busse, and L. Eckstein, “Forecast of Performance Parameters of Automotive Fuel Cell Systems - Delphi Study Results,” </w:t>
      </w:r>
      <w:r w:rsidRPr="00BE5C96">
        <w:rPr>
          <w:rFonts w:ascii="Times New Roman" w:hAnsi="Times New Roman" w:cs="Times New Roman"/>
          <w:i/>
          <w:iCs/>
          <w:noProof/>
          <w:sz w:val="24"/>
          <w:szCs w:val="24"/>
        </w:rPr>
        <w:t>Fuel Cells</w:t>
      </w:r>
      <w:r w:rsidRPr="00BE5C96">
        <w:rPr>
          <w:rFonts w:ascii="Times New Roman" w:hAnsi="Times New Roman" w:cs="Times New Roman"/>
          <w:noProof/>
          <w:sz w:val="24"/>
          <w:szCs w:val="24"/>
        </w:rPr>
        <w:t>, vol. 14, no. 6, pp. 781–791, Dec. 2014, doi: 10.1002/fuce.201400035.</w:t>
      </w:r>
    </w:p>
    <w:p w14:paraId="4E6A7C7D"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[64]</w:t>
      </w:r>
      <w:r w:rsidRPr="00BE5C96">
        <w:rPr>
          <w:rFonts w:ascii="Times New Roman" w:hAnsi="Times New Roman" w:cs="Times New Roman"/>
          <w:noProof/>
          <w:sz w:val="24"/>
          <w:szCs w:val="24"/>
        </w:rPr>
        <w:tab/>
        <w:t xml:space="preserve">M. Delgado Gosálvez </w:t>
      </w:r>
      <w:r w:rsidRPr="00BE5C96">
        <w:rPr>
          <w:rFonts w:ascii="Times New Roman" w:hAnsi="Times New Roman" w:cs="Times New Roman"/>
          <w:i/>
          <w:iCs/>
          <w:noProof/>
          <w:sz w:val="24"/>
          <w:szCs w:val="24"/>
        </w:rPr>
        <w:t>et al.</w:t>
      </w:r>
      <w:r w:rsidRPr="00BE5C96">
        <w:rPr>
          <w:rFonts w:ascii="Times New Roman" w:hAnsi="Times New Roman" w:cs="Times New Roman"/>
          <w:noProof/>
          <w:sz w:val="24"/>
          <w:szCs w:val="24"/>
        </w:rPr>
        <w:t xml:space="preserve">, “Green Flying: Final Report,” </w:t>
      </w:r>
      <w:r w:rsidRPr="00BE5C96">
        <w:rPr>
          <w:rFonts w:ascii="Times New Roman" w:hAnsi="Times New Roman" w:cs="Times New Roman"/>
          <w:i/>
          <w:iCs/>
          <w:noProof/>
          <w:sz w:val="24"/>
          <w:szCs w:val="24"/>
        </w:rPr>
        <w:t>TU Delft</w:t>
      </w:r>
      <w:r w:rsidRPr="00BE5C96">
        <w:rPr>
          <w:rFonts w:ascii="Times New Roman" w:hAnsi="Times New Roman" w:cs="Times New Roman"/>
          <w:noProof/>
          <w:sz w:val="24"/>
          <w:szCs w:val="24"/>
        </w:rPr>
        <w:t>, 2018. https://www.researchgate.net/publication/326294480_The_Greenliner_Green_Flying_Final_Report_DSE_Group_8 (accessed Jan. 02, 2020).</w:t>
      </w:r>
    </w:p>
    <w:p w14:paraId="6636B840"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[65]</w:t>
      </w:r>
      <w:r w:rsidRPr="00BE5C96">
        <w:rPr>
          <w:rFonts w:ascii="Times New Roman" w:hAnsi="Times New Roman" w:cs="Times New Roman"/>
          <w:noProof/>
          <w:sz w:val="24"/>
          <w:szCs w:val="24"/>
        </w:rPr>
        <w:tab/>
        <w:t>HyPoint, “HyPoint,” 2020. https://hypoint.us/#rec177636847 (accessed Aug. 16</w:t>
      </w:r>
      <w:r w:rsidRPr="00BE5C96">
        <w:rPr>
          <w:rFonts w:ascii="Times New Roman" w:hAnsi="Times New Roman" w:cs="Times New Roman"/>
          <w:noProof/>
          <w:sz w:val="24"/>
          <w:szCs w:val="24"/>
        </w:rPr>
        <w:lastRenderedPageBreak/>
        <w:t>, 2020).</w:t>
      </w:r>
    </w:p>
    <w:p w14:paraId="5C475E38"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[66]</w:t>
      </w:r>
      <w:r w:rsidRPr="00BE5C96">
        <w:rPr>
          <w:rFonts w:ascii="Times New Roman" w:hAnsi="Times New Roman" w:cs="Times New Roman"/>
          <w:noProof/>
          <w:sz w:val="24"/>
          <w:szCs w:val="24"/>
        </w:rPr>
        <w:tab/>
        <w:t xml:space="preserve">B. Garrett-Glaser, “Will Hydrogen Fuel Cells Play a Role in the VTOL Revolution?,” </w:t>
      </w:r>
      <w:r w:rsidRPr="00BE5C96">
        <w:rPr>
          <w:rFonts w:ascii="Times New Roman" w:hAnsi="Times New Roman" w:cs="Times New Roman"/>
          <w:i/>
          <w:iCs/>
          <w:noProof/>
          <w:sz w:val="24"/>
          <w:szCs w:val="24"/>
        </w:rPr>
        <w:t>Aviation Today</w:t>
      </w:r>
      <w:r w:rsidRPr="00BE5C96">
        <w:rPr>
          <w:rFonts w:ascii="Times New Roman" w:hAnsi="Times New Roman" w:cs="Times New Roman"/>
          <w:noProof/>
          <w:sz w:val="24"/>
          <w:szCs w:val="24"/>
        </w:rPr>
        <w:t>, 2020. https://www.aviationtoday.com/2020/04/16/will-hydrogen-fuel-cells-play-a-role-in-the-vtol-revolution/ (accessed Aug. 16, 2020).</w:t>
      </w:r>
    </w:p>
    <w:p w14:paraId="38F6648F"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[67]</w:t>
      </w:r>
      <w:r w:rsidRPr="00BE5C96">
        <w:rPr>
          <w:rFonts w:ascii="Times New Roman" w:hAnsi="Times New Roman" w:cs="Times New Roman"/>
          <w:noProof/>
          <w:sz w:val="24"/>
          <w:szCs w:val="24"/>
        </w:rPr>
        <w:tab/>
        <w:t xml:space="preserve">PowerCell, “PowerCell S3,” </w:t>
      </w:r>
      <w:r w:rsidRPr="00BE5C96">
        <w:rPr>
          <w:rFonts w:ascii="Times New Roman" w:hAnsi="Times New Roman" w:cs="Times New Roman"/>
          <w:i/>
          <w:iCs/>
          <w:noProof/>
          <w:sz w:val="24"/>
          <w:szCs w:val="24"/>
        </w:rPr>
        <w:t>PowerCell</w:t>
      </w:r>
      <w:r w:rsidRPr="00BE5C96">
        <w:rPr>
          <w:rFonts w:ascii="Times New Roman" w:hAnsi="Times New Roman" w:cs="Times New Roman"/>
          <w:noProof/>
          <w:sz w:val="24"/>
          <w:szCs w:val="24"/>
        </w:rPr>
        <w:t>, 2020. https://bumhan.com/wp-content/uploads/sites/126/2021/02/PowerCell-S3.pdf (accessed Aug. 16, 2020).</w:t>
      </w:r>
    </w:p>
    <w:p w14:paraId="5F7C9019"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[68]</w:t>
      </w:r>
      <w:r w:rsidRPr="00BE5C96">
        <w:rPr>
          <w:rFonts w:ascii="Times New Roman" w:hAnsi="Times New Roman" w:cs="Times New Roman"/>
          <w:noProof/>
          <w:sz w:val="24"/>
          <w:szCs w:val="24"/>
        </w:rPr>
        <w:tab/>
        <w:t xml:space="preserve">EASA, “ICAO Aircraft Engine Emissions Databank,” </w:t>
      </w:r>
      <w:r w:rsidRPr="00BE5C96">
        <w:rPr>
          <w:rFonts w:ascii="Times New Roman" w:hAnsi="Times New Roman" w:cs="Times New Roman"/>
          <w:i/>
          <w:iCs/>
          <w:noProof/>
          <w:sz w:val="24"/>
          <w:szCs w:val="24"/>
        </w:rPr>
        <w:t>EASA</w:t>
      </w:r>
      <w:r w:rsidRPr="00BE5C96">
        <w:rPr>
          <w:rFonts w:ascii="Times New Roman" w:hAnsi="Times New Roman" w:cs="Times New Roman"/>
          <w:noProof/>
          <w:sz w:val="24"/>
          <w:szCs w:val="24"/>
        </w:rPr>
        <w:t>, 2021. https://www.easa.europa.eu/domains/environment/icao-aircraft-engine-emissions-databank (accessed Aug. 16, 2020).</w:t>
      </w:r>
    </w:p>
    <w:p w14:paraId="48B0FA3B"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[69]</w:t>
      </w:r>
      <w:r w:rsidRPr="00BE5C96">
        <w:rPr>
          <w:rFonts w:ascii="Times New Roman" w:hAnsi="Times New Roman" w:cs="Times New Roman"/>
          <w:noProof/>
          <w:sz w:val="24"/>
          <w:szCs w:val="24"/>
        </w:rPr>
        <w:tab/>
        <w:t xml:space="preserve">National-Academies-of-Sciences-Engineering-and-Medicine, </w:t>
      </w:r>
      <w:r w:rsidRPr="00BE5C96">
        <w:rPr>
          <w:rFonts w:ascii="Times New Roman" w:hAnsi="Times New Roman" w:cs="Times New Roman"/>
          <w:i/>
          <w:iCs/>
          <w:noProof/>
          <w:sz w:val="24"/>
          <w:szCs w:val="24"/>
        </w:rPr>
        <w:t>Commercial aircraft propulsion and energy systems research: Reducing global carbon emissions</w:t>
      </w:r>
      <w:r w:rsidRPr="00BE5C96">
        <w:rPr>
          <w:rFonts w:ascii="Times New Roman" w:hAnsi="Times New Roman" w:cs="Times New Roman"/>
          <w:noProof/>
          <w:sz w:val="24"/>
          <w:szCs w:val="24"/>
        </w:rPr>
        <w:t>. National Academies Press, 2016. doi: 10.17226/23490.</w:t>
      </w:r>
    </w:p>
    <w:p w14:paraId="487C7988"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[70]</w:t>
      </w:r>
      <w:r w:rsidRPr="00BE5C96">
        <w:rPr>
          <w:rFonts w:ascii="Times New Roman" w:hAnsi="Times New Roman" w:cs="Times New Roman"/>
          <w:noProof/>
          <w:sz w:val="24"/>
          <w:szCs w:val="24"/>
        </w:rPr>
        <w:tab/>
        <w:t xml:space="preserve">EASA, “TYPE-CERTIFICATE DATA SHEET for GE90 Series Engines,” </w:t>
      </w:r>
      <w:r w:rsidRPr="00BE5C96">
        <w:rPr>
          <w:rFonts w:ascii="Times New Roman" w:hAnsi="Times New Roman" w:cs="Times New Roman"/>
          <w:i/>
          <w:iCs/>
          <w:noProof/>
          <w:sz w:val="24"/>
          <w:szCs w:val="24"/>
        </w:rPr>
        <w:t>EASA</w:t>
      </w:r>
      <w:r w:rsidRPr="00BE5C96">
        <w:rPr>
          <w:rFonts w:ascii="Times New Roman" w:hAnsi="Times New Roman" w:cs="Times New Roman"/>
          <w:noProof/>
          <w:sz w:val="24"/>
          <w:szCs w:val="24"/>
        </w:rPr>
        <w:t>, 2019. https://www.easa.europa.eu/downloads/7799/en (accessed Aug. 16, 2020).</w:t>
      </w:r>
    </w:p>
    <w:p w14:paraId="6A4F36E9"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[71]</w:t>
      </w:r>
      <w:r w:rsidRPr="00BE5C96">
        <w:rPr>
          <w:rFonts w:ascii="Times New Roman" w:hAnsi="Times New Roman" w:cs="Times New Roman"/>
          <w:noProof/>
          <w:sz w:val="24"/>
          <w:szCs w:val="24"/>
        </w:rPr>
        <w:tab/>
        <w:t xml:space="preserve">A. F. B. Abu Kasim, M. S. C. Chan, and E. J. Marek, “Performance and failure analysis of a retrofitted Cessna aircraft with a Fuel Cell Power System fuelled with liquid hydrogen,” </w:t>
      </w:r>
      <w:r w:rsidRPr="00BE5C96">
        <w:rPr>
          <w:rFonts w:ascii="Times New Roman" w:hAnsi="Times New Roman" w:cs="Times New Roman"/>
          <w:i/>
          <w:iCs/>
          <w:noProof/>
          <w:sz w:val="24"/>
          <w:szCs w:val="24"/>
        </w:rPr>
        <w:t>J. Power Sources</w:t>
      </w:r>
      <w:r w:rsidRPr="00BE5C96">
        <w:rPr>
          <w:rFonts w:ascii="Times New Roman" w:hAnsi="Times New Roman" w:cs="Times New Roman"/>
          <w:noProof/>
          <w:sz w:val="24"/>
          <w:szCs w:val="24"/>
        </w:rPr>
        <w:t>, vol. 521, p. 230987, Feb. 2022, doi: 10.1016/J.JPOWSOUR.2022.230987.</w:t>
      </w:r>
    </w:p>
    <w:p w14:paraId="7BFA870C"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[72]</w:t>
      </w:r>
      <w:r w:rsidRPr="00BE5C96">
        <w:rPr>
          <w:rFonts w:ascii="Times New Roman" w:hAnsi="Times New Roman" w:cs="Times New Roman"/>
          <w:noProof/>
          <w:sz w:val="24"/>
          <w:szCs w:val="24"/>
        </w:rPr>
        <w:tab/>
        <w:t xml:space="preserve">S. Nicolay, S. Karpuk, Y. Liu, and A. Elham, “Conceptual design and optimization of a general aviation aircraft with fuel cells and hydrogen,” </w:t>
      </w:r>
      <w:r w:rsidRPr="00BE5C96">
        <w:rPr>
          <w:rFonts w:ascii="Times New Roman" w:hAnsi="Times New Roman" w:cs="Times New Roman"/>
          <w:i/>
          <w:iCs/>
          <w:noProof/>
          <w:sz w:val="24"/>
          <w:szCs w:val="24"/>
        </w:rPr>
        <w:t>Int. J. Hydrogen Energy</w:t>
      </w:r>
      <w:r w:rsidRPr="00BE5C96">
        <w:rPr>
          <w:rFonts w:ascii="Times New Roman" w:hAnsi="Times New Roman" w:cs="Times New Roman"/>
          <w:noProof/>
          <w:sz w:val="24"/>
          <w:szCs w:val="24"/>
        </w:rPr>
        <w:t>, vol. 46, no. 64, pp. 32676–32694, Sep. 2021, doi: 10.1016/J.IJHYDENE.2021.07.127.</w:t>
      </w:r>
    </w:p>
    <w:p w14:paraId="551BC19B"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[73]</w:t>
      </w:r>
      <w:r w:rsidRPr="00BE5C96">
        <w:rPr>
          <w:rFonts w:ascii="Times New Roman" w:hAnsi="Times New Roman" w:cs="Times New Roman"/>
          <w:noProof/>
          <w:sz w:val="24"/>
          <w:szCs w:val="24"/>
        </w:rPr>
        <w:tab/>
        <w:t xml:space="preserve">E. G. Waddington, J. M. Merret, and P. J. Ansell, “Impact of LH2 Fuel Cell-Electric Propulsion on Aircraft Configuration and Integration,” </w:t>
      </w:r>
      <w:r w:rsidRPr="00BE5C96">
        <w:rPr>
          <w:rFonts w:ascii="Times New Roman" w:hAnsi="Times New Roman" w:cs="Times New Roman"/>
          <w:i/>
          <w:iCs/>
          <w:noProof/>
          <w:sz w:val="24"/>
          <w:szCs w:val="24"/>
        </w:rPr>
        <w:t>AIAA Aviat. Aeronaut. Foru</w:t>
      </w:r>
      <w:r w:rsidRPr="00BE5C96">
        <w:rPr>
          <w:rFonts w:ascii="Times New Roman" w:hAnsi="Times New Roman" w:cs="Times New Roman"/>
          <w:i/>
          <w:iCs/>
          <w:noProof/>
          <w:sz w:val="24"/>
          <w:szCs w:val="24"/>
        </w:rPr>
        <w:lastRenderedPageBreak/>
        <w:t>m Expo. AIAA Aviat. Forum 2021</w:t>
      </w:r>
      <w:r w:rsidRPr="00BE5C96">
        <w:rPr>
          <w:rFonts w:ascii="Times New Roman" w:hAnsi="Times New Roman" w:cs="Times New Roman"/>
          <w:noProof/>
          <w:sz w:val="24"/>
          <w:szCs w:val="24"/>
        </w:rPr>
        <w:t>, 2021, doi: 10.2514/6.2021-2409.</w:t>
      </w:r>
    </w:p>
    <w:p w14:paraId="24DF4707"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[74]</w:t>
      </w:r>
      <w:r w:rsidRPr="00BE5C96">
        <w:rPr>
          <w:rFonts w:ascii="Times New Roman" w:hAnsi="Times New Roman" w:cs="Times New Roman"/>
          <w:noProof/>
          <w:sz w:val="24"/>
          <w:szCs w:val="24"/>
        </w:rPr>
        <w:tab/>
        <w:t>G. Vonhoff, “Conceptual Design of Hydrogen Fuel Cell Aircraft: Flying on hydrogen for a more sustainable future,” Delft University of Technology, 2021. Accessed: Aug. 05, 2022. [Online]. Available: https://repository.tudelft.nl/islandora/object/uuid%3A8bd63dec-b67b-496b-92bc-3d5c07ff859f</w:t>
      </w:r>
    </w:p>
    <w:p w14:paraId="24B4AAB7"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[75]</w:t>
      </w:r>
      <w:r w:rsidRPr="00BE5C96">
        <w:rPr>
          <w:rFonts w:ascii="Times New Roman" w:hAnsi="Times New Roman" w:cs="Times New Roman"/>
          <w:noProof/>
          <w:sz w:val="24"/>
          <w:szCs w:val="24"/>
        </w:rPr>
        <w:tab/>
        <w:t xml:space="preserve">B. J. Brelje and J. R. R. A. Martins, “Aerostructural wing optimization for a hydrogen fuel cell aircraft,” </w:t>
      </w:r>
      <w:r w:rsidRPr="00BE5C96">
        <w:rPr>
          <w:rFonts w:ascii="Times New Roman" w:hAnsi="Times New Roman" w:cs="Times New Roman"/>
          <w:i/>
          <w:iCs/>
          <w:noProof/>
          <w:sz w:val="24"/>
          <w:szCs w:val="24"/>
        </w:rPr>
        <w:t>AIAA Scitech 2021 Forum</w:t>
      </w:r>
      <w:r w:rsidRPr="00BE5C96">
        <w:rPr>
          <w:rFonts w:ascii="Times New Roman" w:hAnsi="Times New Roman" w:cs="Times New Roman"/>
          <w:noProof/>
          <w:sz w:val="24"/>
          <w:szCs w:val="24"/>
        </w:rPr>
        <w:t>, pp. 1–18, 2021, doi: 10.2514/6.2021-1132.</w:t>
      </w:r>
    </w:p>
    <w:p w14:paraId="4205F9C9"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[76]</w:t>
      </w:r>
      <w:r w:rsidRPr="00BE5C96">
        <w:rPr>
          <w:rFonts w:ascii="Times New Roman" w:hAnsi="Times New Roman" w:cs="Times New Roman"/>
          <w:noProof/>
          <w:sz w:val="24"/>
          <w:szCs w:val="24"/>
        </w:rPr>
        <w:tab/>
        <w:t>F. Nicolosi, V. Marciello, and F. Orefice, “Conceptual Design of a Hydrogen-Propelled Aircraft with Distributed Electric Propulsion,” Jun. 2022, doi: 10.2514/6.2022-3205.</w:t>
      </w:r>
    </w:p>
    <w:p w14:paraId="7A4C5C8C"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[77]</w:t>
      </w:r>
      <w:r w:rsidRPr="00BE5C96">
        <w:rPr>
          <w:rFonts w:ascii="Times New Roman" w:hAnsi="Times New Roman" w:cs="Times New Roman"/>
          <w:noProof/>
          <w:sz w:val="24"/>
          <w:szCs w:val="24"/>
        </w:rPr>
        <w:tab/>
        <w:t>C. L. Pastra, G. Cinar, and D. N. Mavris, “Feasibility and benefit assessments of hybrid hydrogen fuel cell and battery configurations on a regional turboprop aircraft,” Jun. 2022, doi: 10.2514/6.2022-3290.</w:t>
      </w:r>
    </w:p>
    <w:p w14:paraId="5E876077"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[78]</w:t>
      </w:r>
      <w:r w:rsidRPr="00BE5C96">
        <w:rPr>
          <w:rFonts w:ascii="Times New Roman" w:hAnsi="Times New Roman" w:cs="Times New Roman"/>
          <w:noProof/>
          <w:sz w:val="24"/>
          <w:szCs w:val="24"/>
        </w:rPr>
        <w:tab/>
        <w:t xml:space="preserve">J. Kurzke, “GasTurb 13,” </w:t>
      </w:r>
      <w:r w:rsidRPr="00BE5C96">
        <w:rPr>
          <w:rFonts w:ascii="Times New Roman" w:hAnsi="Times New Roman" w:cs="Times New Roman"/>
          <w:i/>
          <w:iCs/>
          <w:noProof/>
          <w:sz w:val="24"/>
          <w:szCs w:val="24"/>
        </w:rPr>
        <w:t>GasTurb GmbH</w:t>
      </w:r>
      <w:r w:rsidRPr="00BE5C96">
        <w:rPr>
          <w:rFonts w:ascii="Times New Roman" w:hAnsi="Times New Roman" w:cs="Times New Roman"/>
          <w:noProof/>
          <w:sz w:val="24"/>
          <w:szCs w:val="24"/>
        </w:rPr>
        <w:t>, 2017. https://gasturb.de/software/gasturb.html</w:t>
      </w:r>
    </w:p>
    <w:p w14:paraId="0A8CADF2"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[79]</w:t>
      </w:r>
      <w:r w:rsidRPr="00BE5C96">
        <w:rPr>
          <w:rFonts w:ascii="Times New Roman" w:hAnsi="Times New Roman" w:cs="Times New Roman"/>
          <w:noProof/>
          <w:sz w:val="24"/>
          <w:szCs w:val="24"/>
        </w:rPr>
        <w:tab/>
        <w:t xml:space="preserve">J. Kurzke and I. Halliwell, </w:t>
      </w:r>
      <w:r w:rsidRPr="00BE5C96">
        <w:rPr>
          <w:rFonts w:ascii="Times New Roman" w:hAnsi="Times New Roman" w:cs="Times New Roman"/>
          <w:i/>
          <w:iCs/>
          <w:noProof/>
          <w:sz w:val="24"/>
          <w:szCs w:val="24"/>
        </w:rPr>
        <w:t>Propulsion and Power: An Exploration of Gas Turbine Performance Modeling</w:t>
      </w:r>
      <w:r w:rsidRPr="00BE5C96">
        <w:rPr>
          <w:rFonts w:ascii="Times New Roman" w:hAnsi="Times New Roman" w:cs="Times New Roman"/>
          <w:noProof/>
          <w:sz w:val="24"/>
          <w:szCs w:val="24"/>
        </w:rPr>
        <w:t>. Springer International Publishing, 2018. doi: 10.1007/978-3-319-75979-1.</w:t>
      </w:r>
    </w:p>
    <w:p w14:paraId="51F9C1EE"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[80]</w:t>
      </w:r>
      <w:r w:rsidRPr="00BE5C96">
        <w:rPr>
          <w:rFonts w:ascii="Times New Roman" w:hAnsi="Times New Roman" w:cs="Times New Roman"/>
          <w:noProof/>
          <w:sz w:val="24"/>
          <w:szCs w:val="24"/>
        </w:rPr>
        <w:tab/>
        <w:t>J. Kurzke, “GasTurb 13 Design and Off-Design Performance of Gas Turbines,” 2018.</w:t>
      </w:r>
    </w:p>
    <w:p w14:paraId="759196F5"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[81]</w:t>
      </w:r>
      <w:r w:rsidRPr="00BE5C96">
        <w:rPr>
          <w:rFonts w:ascii="Times New Roman" w:hAnsi="Times New Roman" w:cs="Times New Roman"/>
          <w:noProof/>
          <w:sz w:val="24"/>
          <w:szCs w:val="24"/>
        </w:rPr>
        <w:tab/>
        <w:t xml:space="preserve">P. P. Walsh and P. Fletcher, </w:t>
      </w:r>
      <w:r w:rsidRPr="00BE5C96">
        <w:rPr>
          <w:rFonts w:ascii="Times New Roman" w:hAnsi="Times New Roman" w:cs="Times New Roman"/>
          <w:i/>
          <w:iCs/>
          <w:noProof/>
          <w:sz w:val="24"/>
          <w:szCs w:val="24"/>
        </w:rPr>
        <w:t>Gas Turbine Performance</w:t>
      </w:r>
      <w:r w:rsidRPr="00BE5C96">
        <w:rPr>
          <w:rFonts w:ascii="Times New Roman" w:hAnsi="Times New Roman" w:cs="Times New Roman"/>
          <w:noProof/>
          <w:sz w:val="24"/>
          <w:szCs w:val="24"/>
        </w:rPr>
        <w:t>. Wiley, 2004. doi: 10.1002/9780470774533</w:t>
      </w:r>
      <w:r w:rsidRPr="00BE5C96">
        <w:rPr>
          <w:rFonts w:ascii="Times New Roman" w:hAnsi="Times New Roman" w:cs="Times New Roman"/>
          <w:noProof/>
          <w:sz w:val="24"/>
          <w:szCs w:val="24"/>
        </w:rPr>
        <w:lastRenderedPageBreak/>
        <w:t>.</w:t>
      </w:r>
    </w:p>
    <w:p w14:paraId="6D592A7D"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[82]</w:t>
      </w:r>
      <w:r w:rsidRPr="00BE5C96">
        <w:rPr>
          <w:rFonts w:ascii="Times New Roman" w:hAnsi="Times New Roman" w:cs="Times New Roman"/>
          <w:noProof/>
          <w:sz w:val="24"/>
          <w:szCs w:val="24"/>
        </w:rPr>
        <w:tab/>
        <w:t xml:space="preserve">J. D. Mattingly, W. H. Heiser, and D. T. Pratt, </w:t>
      </w:r>
      <w:r w:rsidRPr="00BE5C96">
        <w:rPr>
          <w:rFonts w:ascii="Times New Roman" w:hAnsi="Times New Roman" w:cs="Times New Roman"/>
          <w:i/>
          <w:iCs/>
          <w:noProof/>
          <w:sz w:val="24"/>
          <w:szCs w:val="24"/>
        </w:rPr>
        <w:t>Aircraft Engine Design, Third Edition</w:t>
      </w:r>
      <w:r w:rsidRPr="00BE5C96">
        <w:rPr>
          <w:rFonts w:ascii="Times New Roman" w:hAnsi="Times New Roman" w:cs="Times New Roman"/>
          <w:noProof/>
          <w:sz w:val="24"/>
          <w:szCs w:val="24"/>
        </w:rPr>
        <w:t>. American Institute of Aeronautics and Astronautics, 2018. doi: https://doi.org/10.2514/4.105173.</w:t>
      </w:r>
    </w:p>
    <w:p w14:paraId="10BFF66C"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[83]</w:t>
      </w:r>
      <w:r w:rsidRPr="00BE5C96">
        <w:rPr>
          <w:rFonts w:ascii="Times New Roman" w:hAnsi="Times New Roman" w:cs="Times New Roman"/>
          <w:noProof/>
          <w:sz w:val="24"/>
          <w:szCs w:val="24"/>
        </w:rPr>
        <w:tab/>
        <w:t xml:space="preserve">N. A. Cumpsty, </w:t>
      </w:r>
      <w:r w:rsidRPr="00BE5C96">
        <w:rPr>
          <w:rFonts w:ascii="Times New Roman" w:hAnsi="Times New Roman" w:cs="Times New Roman"/>
          <w:i/>
          <w:iCs/>
          <w:noProof/>
          <w:sz w:val="24"/>
          <w:szCs w:val="24"/>
        </w:rPr>
        <w:t>Jet propulsion : a simple guide to the aerodynamics and thermodynamic design and performance of jet engines</w:t>
      </w:r>
      <w:r w:rsidRPr="00BE5C96">
        <w:rPr>
          <w:rFonts w:ascii="Times New Roman" w:hAnsi="Times New Roman" w:cs="Times New Roman"/>
          <w:noProof/>
          <w:sz w:val="24"/>
          <w:szCs w:val="24"/>
        </w:rPr>
        <w:t>. 2015.</w:t>
      </w:r>
    </w:p>
    <w:p w14:paraId="2F5D4E33"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[84]</w:t>
      </w:r>
      <w:r w:rsidRPr="00BE5C96">
        <w:rPr>
          <w:rFonts w:ascii="Times New Roman" w:hAnsi="Times New Roman" w:cs="Times New Roman"/>
          <w:noProof/>
          <w:sz w:val="24"/>
          <w:szCs w:val="24"/>
        </w:rPr>
        <w:tab/>
        <w:t xml:space="preserve">H. I. H. Saravanamuttoo, G. F. C. Rogers, H. Cohen, P. V. Straznicky, and A. C. Nix, </w:t>
      </w:r>
      <w:r w:rsidRPr="00BE5C96">
        <w:rPr>
          <w:rFonts w:ascii="Times New Roman" w:hAnsi="Times New Roman" w:cs="Times New Roman"/>
          <w:i/>
          <w:iCs/>
          <w:noProof/>
          <w:sz w:val="24"/>
          <w:szCs w:val="24"/>
        </w:rPr>
        <w:t>Gas Turbine Theory</w:t>
      </w:r>
      <w:r w:rsidRPr="00BE5C96">
        <w:rPr>
          <w:rFonts w:ascii="Times New Roman" w:hAnsi="Times New Roman" w:cs="Times New Roman"/>
          <w:noProof/>
          <w:sz w:val="24"/>
          <w:szCs w:val="24"/>
        </w:rPr>
        <w:t>, Seventh. Pearson, 2017. Accessed: Dec. 17, 2019. [Online]. Available: https://www.pearson.com/us/higher-education/program/Cohen-Gas-Turbine-Theory-7th-Edition/PGM1943364.html</w:t>
      </w:r>
    </w:p>
    <w:p w14:paraId="298DC083"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[85]</w:t>
      </w:r>
      <w:r w:rsidRPr="00BE5C96">
        <w:rPr>
          <w:rFonts w:ascii="Times New Roman" w:hAnsi="Times New Roman" w:cs="Times New Roman"/>
          <w:noProof/>
          <w:sz w:val="24"/>
          <w:szCs w:val="24"/>
        </w:rPr>
        <w:tab/>
        <w:t xml:space="preserve">A. Goldmann </w:t>
      </w:r>
      <w:r w:rsidRPr="00BE5C96">
        <w:rPr>
          <w:rFonts w:ascii="Times New Roman" w:hAnsi="Times New Roman" w:cs="Times New Roman"/>
          <w:i/>
          <w:iCs/>
          <w:noProof/>
          <w:sz w:val="24"/>
          <w:szCs w:val="24"/>
        </w:rPr>
        <w:t>et al.</w:t>
      </w:r>
      <w:r w:rsidRPr="00BE5C96">
        <w:rPr>
          <w:rFonts w:ascii="Times New Roman" w:hAnsi="Times New Roman" w:cs="Times New Roman"/>
          <w:noProof/>
          <w:sz w:val="24"/>
          <w:szCs w:val="24"/>
        </w:rPr>
        <w:t xml:space="preserve">, “A Study on Electrofuels in Aviation,” </w:t>
      </w:r>
      <w:r w:rsidRPr="00BE5C96">
        <w:rPr>
          <w:rFonts w:ascii="Times New Roman" w:hAnsi="Times New Roman" w:cs="Times New Roman"/>
          <w:i/>
          <w:iCs/>
          <w:noProof/>
          <w:sz w:val="24"/>
          <w:szCs w:val="24"/>
        </w:rPr>
        <w:t>Energies</w:t>
      </w:r>
      <w:r w:rsidRPr="00BE5C96">
        <w:rPr>
          <w:rFonts w:ascii="Times New Roman" w:hAnsi="Times New Roman" w:cs="Times New Roman"/>
          <w:noProof/>
          <w:sz w:val="24"/>
          <w:szCs w:val="24"/>
        </w:rPr>
        <w:t>, vol. 11, no. 2, p. 392, Feb. 2018, doi: 10.3390/en11020392.</w:t>
      </w:r>
    </w:p>
    <w:p w14:paraId="3E1F2E18"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[86]</w:t>
      </w:r>
      <w:r w:rsidRPr="00BE5C96">
        <w:rPr>
          <w:rFonts w:ascii="Times New Roman" w:hAnsi="Times New Roman" w:cs="Times New Roman"/>
          <w:noProof/>
          <w:sz w:val="24"/>
          <w:szCs w:val="24"/>
        </w:rPr>
        <w:tab/>
        <w:t>D. Verstraete, “The Potential of Liquid Hydrogen for long range aircraft propulsion,” Cranfield University, 2009. Accessed: Aug. 27, 2020. [Online]. Available: http://dspace.lib.cranfield.ac.uk/handle/1826/4089</w:t>
      </w:r>
    </w:p>
    <w:p w14:paraId="4D3813A7"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[87]</w:t>
      </w:r>
      <w:r w:rsidRPr="00BE5C96">
        <w:rPr>
          <w:rFonts w:ascii="Times New Roman" w:hAnsi="Times New Roman" w:cs="Times New Roman"/>
          <w:noProof/>
          <w:sz w:val="24"/>
          <w:szCs w:val="24"/>
        </w:rPr>
        <w:tab/>
        <w:t xml:space="preserve">I. A. Waitz., “Lecture: Breguet’s range equation,” </w:t>
      </w:r>
      <w:r w:rsidRPr="00BE5C96">
        <w:rPr>
          <w:rFonts w:ascii="Times New Roman" w:hAnsi="Times New Roman" w:cs="Times New Roman"/>
          <w:i/>
          <w:iCs/>
          <w:noProof/>
          <w:sz w:val="24"/>
          <w:szCs w:val="24"/>
        </w:rPr>
        <w:t>Lecture notes</w:t>
      </w:r>
      <w:r w:rsidRPr="00BE5C96">
        <w:rPr>
          <w:rFonts w:ascii="Times New Roman" w:hAnsi="Times New Roman" w:cs="Times New Roman"/>
          <w:noProof/>
          <w:sz w:val="24"/>
          <w:szCs w:val="24"/>
        </w:rPr>
        <w:t>, 2008. https://web.mit.edu/16.unified/www/FALL/Unified_Concepts/Breguet-Range-U2-notes-Fall08(2).pdf (accessed Aug. 27, 2020).</w:t>
      </w:r>
    </w:p>
    <w:p w14:paraId="7B56CBB3"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[88]</w:t>
      </w:r>
      <w:r w:rsidRPr="00BE5C96">
        <w:rPr>
          <w:rFonts w:ascii="Times New Roman" w:hAnsi="Times New Roman" w:cs="Times New Roman"/>
          <w:noProof/>
          <w:sz w:val="24"/>
          <w:szCs w:val="24"/>
        </w:rPr>
        <w:tab/>
        <w:t xml:space="preserve">G. Kenway </w:t>
      </w:r>
      <w:r w:rsidRPr="00BE5C96">
        <w:rPr>
          <w:rFonts w:ascii="Times New Roman" w:hAnsi="Times New Roman" w:cs="Times New Roman"/>
          <w:i/>
          <w:iCs/>
          <w:noProof/>
          <w:sz w:val="24"/>
          <w:szCs w:val="24"/>
        </w:rPr>
        <w:t>et al.</w:t>
      </w:r>
      <w:r w:rsidRPr="00BE5C96">
        <w:rPr>
          <w:rFonts w:ascii="Times New Roman" w:hAnsi="Times New Roman" w:cs="Times New Roman"/>
          <w:noProof/>
          <w:sz w:val="24"/>
          <w:szCs w:val="24"/>
        </w:rPr>
        <w:t xml:space="preserve">, “Reducing Aviation’s Environmental Impact Through Large Aircraft for Short Ranges,” in </w:t>
      </w:r>
      <w:r w:rsidRPr="00BE5C96">
        <w:rPr>
          <w:rFonts w:ascii="Times New Roman" w:hAnsi="Times New Roman" w:cs="Times New Roman"/>
          <w:i/>
          <w:iCs/>
          <w:noProof/>
          <w:sz w:val="24"/>
          <w:szCs w:val="24"/>
        </w:rPr>
        <w:t>48th AIAA Aerospace Sciences Meeting Including the New Horizons Forum and Aerospace Exposition</w:t>
      </w:r>
      <w:r w:rsidRPr="00BE5C96">
        <w:rPr>
          <w:rFonts w:ascii="Times New Roman" w:hAnsi="Times New Roman" w:cs="Times New Roman"/>
          <w:noProof/>
          <w:sz w:val="24"/>
          <w:szCs w:val="24"/>
        </w:rPr>
        <w:t>, Jan. 2010. doi: 10.2514/6.2010-1015.</w:t>
      </w:r>
    </w:p>
    <w:p w14:paraId="4BD190A8"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[89]</w:t>
      </w:r>
      <w:r w:rsidRPr="00BE5C96">
        <w:rPr>
          <w:rFonts w:ascii="Times New Roman" w:hAnsi="Times New Roman" w:cs="Times New Roman"/>
          <w:noProof/>
          <w:sz w:val="24"/>
          <w:szCs w:val="24"/>
        </w:rPr>
        <w:tab/>
        <w:t>RAeS, “Air Travel - Greener by Design The Technology Challenge, Report of the Technology Sub-Group,” 2003. Accessed: Mar. 10, 2019. [Online]. Available: https://www.aerosociety.com/Assets/Docs/About_Us/Greener By Design/GbD - 200</w:t>
      </w:r>
      <w:r w:rsidRPr="00BE5C96">
        <w:rPr>
          <w:rFonts w:ascii="Times New Roman" w:hAnsi="Times New Roman" w:cs="Times New Roman"/>
          <w:noProof/>
          <w:sz w:val="24"/>
          <w:szCs w:val="24"/>
        </w:rPr>
        <w:lastRenderedPageBreak/>
        <w:t>3 The Tech Challenge.pdf</w:t>
      </w:r>
    </w:p>
    <w:p w14:paraId="41A755F9"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[90]</w:t>
      </w:r>
      <w:r w:rsidRPr="00BE5C96">
        <w:rPr>
          <w:rFonts w:ascii="Times New Roman" w:hAnsi="Times New Roman" w:cs="Times New Roman"/>
          <w:noProof/>
          <w:sz w:val="24"/>
          <w:szCs w:val="24"/>
        </w:rPr>
        <w:tab/>
        <w:t>K. Seeckt, “Aircraft Preliminary Sizing with PreSTo Re-Design of the Boeing B777-200LR Aircraft Preliminary Sizing with PreSTo,” 2008.</w:t>
      </w:r>
    </w:p>
    <w:p w14:paraId="4B99FC3C"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[91]</w:t>
      </w:r>
      <w:r w:rsidRPr="00BE5C96">
        <w:rPr>
          <w:rFonts w:ascii="Times New Roman" w:hAnsi="Times New Roman" w:cs="Times New Roman"/>
          <w:noProof/>
          <w:sz w:val="24"/>
          <w:szCs w:val="24"/>
        </w:rPr>
        <w:tab/>
        <w:t xml:space="preserve">G. Dimitriadis, “Introduction to Aircraft Design: Aircraft Performance,” </w:t>
      </w:r>
      <w:r w:rsidRPr="00BE5C96">
        <w:rPr>
          <w:rFonts w:ascii="Times New Roman" w:hAnsi="Times New Roman" w:cs="Times New Roman"/>
          <w:i/>
          <w:iCs/>
          <w:noProof/>
          <w:sz w:val="24"/>
          <w:szCs w:val="24"/>
        </w:rPr>
        <w:t>Université de Liège</w:t>
      </w:r>
      <w:r w:rsidRPr="00BE5C96">
        <w:rPr>
          <w:rFonts w:ascii="Times New Roman" w:hAnsi="Times New Roman" w:cs="Times New Roman"/>
          <w:noProof/>
          <w:sz w:val="24"/>
          <w:szCs w:val="24"/>
        </w:rPr>
        <w:t>, 2017. http://www.ltas-cm3.ulg.ac.be/AERO0023-1/ConceptionAeroPerformances.pdf (accessed Feb. 13, 2020).</w:t>
      </w:r>
    </w:p>
    <w:p w14:paraId="6D6E6E46"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[92]</w:t>
      </w:r>
      <w:r w:rsidRPr="00BE5C96">
        <w:rPr>
          <w:rFonts w:ascii="Times New Roman" w:hAnsi="Times New Roman" w:cs="Times New Roman"/>
          <w:noProof/>
          <w:sz w:val="24"/>
          <w:szCs w:val="24"/>
        </w:rPr>
        <w:tab/>
        <w:t xml:space="preserve">J. Henn </w:t>
      </w:r>
      <w:r w:rsidRPr="00BE5C96">
        <w:rPr>
          <w:rFonts w:ascii="Times New Roman" w:hAnsi="Times New Roman" w:cs="Times New Roman"/>
          <w:i/>
          <w:iCs/>
          <w:noProof/>
          <w:sz w:val="24"/>
          <w:szCs w:val="24"/>
        </w:rPr>
        <w:t>et al.</w:t>
      </w:r>
      <w:r w:rsidRPr="00BE5C96">
        <w:rPr>
          <w:rFonts w:ascii="Times New Roman" w:hAnsi="Times New Roman" w:cs="Times New Roman"/>
          <w:noProof/>
          <w:sz w:val="24"/>
          <w:szCs w:val="24"/>
        </w:rPr>
        <w:t>, “Environautics: AIAA Foundation Undergraduate Team Aircraft Design Competition 2009-10,” 2010.</w:t>
      </w:r>
    </w:p>
    <w:p w14:paraId="40896386"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[93]</w:t>
      </w:r>
      <w:r w:rsidRPr="00BE5C96">
        <w:rPr>
          <w:rFonts w:ascii="Times New Roman" w:hAnsi="Times New Roman" w:cs="Times New Roman"/>
          <w:noProof/>
          <w:sz w:val="24"/>
          <w:szCs w:val="24"/>
        </w:rPr>
        <w:tab/>
        <w:t xml:space="preserve">PIANO-X, “Boeing 787 Dreamliner : Analysis,” </w:t>
      </w:r>
      <w:r w:rsidRPr="00BE5C96">
        <w:rPr>
          <w:rFonts w:ascii="Times New Roman" w:hAnsi="Times New Roman" w:cs="Times New Roman"/>
          <w:i/>
          <w:iCs/>
          <w:noProof/>
          <w:sz w:val="24"/>
          <w:szCs w:val="24"/>
        </w:rPr>
        <w:t>PIANO-X</w:t>
      </w:r>
      <w:r w:rsidRPr="00BE5C96">
        <w:rPr>
          <w:rFonts w:ascii="Times New Roman" w:hAnsi="Times New Roman" w:cs="Times New Roman"/>
          <w:noProof/>
          <w:sz w:val="24"/>
          <w:szCs w:val="24"/>
        </w:rPr>
        <w:t>, 2005. https://www.lissys.uk/samp1/index.html (accessed Aug. 28, 2020).</w:t>
      </w:r>
    </w:p>
    <w:p w14:paraId="71BBDB53"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[94]</w:t>
      </w:r>
      <w:r w:rsidRPr="00BE5C96">
        <w:rPr>
          <w:rFonts w:ascii="Times New Roman" w:hAnsi="Times New Roman" w:cs="Times New Roman"/>
          <w:noProof/>
          <w:sz w:val="24"/>
          <w:szCs w:val="24"/>
        </w:rPr>
        <w:tab/>
        <w:t xml:space="preserve">J. Roskam, </w:t>
      </w:r>
      <w:r w:rsidRPr="00BE5C96">
        <w:rPr>
          <w:rFonts w:ascii="Times New Roman" w:hAnsi="Times New Roman" w:cs="Times New Roman"/>
          <w:i/>
          <w:iCs/>
          <w:noProof/>
          <w:sz w:val="24"/>
          <w:szCs w:val="24"/>
        </w:rPr>
        <w:t>Airplane Design. Part I: Preliminary Sizing of Airplanes</w:t>
      </w:r>
      <w:r w:rsidRPr="00BE5C96">
        <w:rPr>
          <w:rFonts w:ascii="Times New Roman" w:hAnsi="Times New Roman" w:cs="Times New Roman"/>
          <w:noProof/>
          <w:sz w:val="24"/>
          <w:szCs w:val="24"/>
        </w:rPr>
        <w:t>. DAR Corporation, 2005.</w:t>
      </w:r>
    </w:p>
    <w:p w14:paraId="4EDA0293"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[95]</w:t>
      </w:r>
      <w:r w:rsidRPr="00BE5C96">
        <w:rPr>
          <w:rFonts w:ascii="Times New Roman" w:hAnsi="Times New Roman" w:cs="Times New Roman"/>
          <w:noProof/>
          <w:sz w:val="24"/>
          <w:szCs w:val="24"/>
        </w:rPr>
        <w:tab/>
        <w:t xml:space="preserve">C. L. Nickol and L. A. McCullers, “Hybrid Wing body configuration system studies,” in </w:t>
      </w:r>
      <w:r w:rsidRPr="00BE5C96">
        <w:rPr>
          <w:rFonts w:ascii="Times New Roman" w:hAnsi="Times New Roman" w:cs="Times New Roman"/>
          <w:i/>
          <w:iCs/>
          <w:noProof/>
          <w:sz w:val="24"/>
          <w:szCs w:val="24"/>
        </w:rPr>
        <w:t>47th AIAA Aerospace Sciences Meeting including the New Horizons Forum and Aerospace Exposition</w:t>
      </w:r>
      <w:r w:rsidRPr="00BE5C96">
        <w:rPr>
          <w:rFonts w:ascii="Times New Roman" w:hAnsi="Times New Roman" w:cs="Times New Roman"/>
          <w:noProof/>
          <w:sz w:val="24"/>
          <w:szCs w:val="24"/>
        </w:rPr>
        <w:t>, 2009. doi: 10.2514/6.2009-931.</w:t>
      </w:r>
    </w:p>
    <w:p w14:paraId="1CA1B252"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[96]</w:t>
      </w:r>
      <w:r w:rsidRPr="00BE5C96">
        <w:rPr>
          <w:rFonts w:ascii="Times New Roman" w:hAnsi="Times New Roman" w:cs="Times New Roman"/>
          <w:noProof/>
          <w:sz w:val="24"/>
          <w:szCs w:val="24"/>
        </w:rPr>
        <w:tab/>
        <w:t xml:space="preserve">D. Scholz, “Drag Prediction,” </w:t>
      </w:r>
      <w:r w:rsidRPr="00BE5C96">
        <w:rPr>
          <w:rFonts w:ascii="Times New Roman" w:hAnsi="Times New Roman" w:cs="Times New Roman"/>
          <w:i/>
          <w:iCs/>
          <w:noProof/>
          <w:sz w:val="24"/>
          <w:szCs w:val="24"/>
        </w:rPr>
        <w:t>Lecture notes</w:t>
      </w:r>
      <w:r w:rsidRPr="00BE5C96">
        <w:rPr>
          <w:rFonts w:ascii="Times New Roman" w:hAnsi="Times New Roman" w:cs="Times New Roman"/>
          <w:noProof/>
          <w:sz w:val="24"/>
          <w:szCs w:val="24"/>
        </w:rPr>
        <w:t>, 2017. https://www.fzt.haw-hamburg.de/pers/Scholz/HOOU/AircraftDesign_13_Drag.pdf (accessed Aug. 28, 2020).</w:t>
      </w:r>
    </w:p>
    <w:p w14:paraId="0242C35E"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[97]</w:t>
      </w:r>
      <w:r w:rsidRPr="00BE5C96">
        <w:rPr>
          <w:rFonts w:ascii="Times New Roman" w:hAnsi="Times New Roman" w:cs="Times New Roman"/>
          <w:noProof/>
          <w:sz w:val="24"/>
          <w:szCs w:val="24"/>
        </w:rPr>
        <w:tab/>
        <w:t xml:space="preserve">D. Raymer, </w:t>
      </w:r>
      <w:r w:rsidRPr="00BE5C96">
        <w:rPr>
          <w:rFonts w:ascii="Times New Roman" w:hAnsi="Times New Roman" w:cs="Times New Roman"/>
          <w:i/>
          <w:iCs/>
          <w:noProof/>
          <w:sz w:val="24"/>
          <w:szCs w:val="24"/>
        </w:rPr>
        <w:t>Aircraft Design: A Conceptual Approach, Sixth Edition</w:t>
      </w:r>
      <w:r w:rsidRPr="00BE5C96">
        <w:rPr>
          <w:rFonts w:ascii="Times New Roman" w:hAnsi="Times New Roman" w:cs="Times New Roman"/>
          <w:noProof/>
          <w:sz w:val="24"/>
          <w:szCs w:val="24"/>
        </w:rPr>
        <w:t>. Washington, DC: American Institute of Aeronautics and Astronautics, Inc., 2018. doi: 10.2514/4.104909.</w:t>
      </w:r>
    </w:p>
    <w:p w14:paraId="564D9CE0"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[98]</w:t>
      </w:r>
      <w:r w:rsidRPr="00BE5C96">
        <w:rPr>
          <w:rFonts w:ascii="Times New Roman" w:hAnsi="Times New Roman" w:cs="Times New Roman"/>
          <w:noProof/>
          <w:sz w:val="24"/>
          <w:szCs w:val="24"/>
        </w:rPr>
        <w:tab/>
        <w:t xml:space="preserve">P. L. Varghese, “Weight and CG estimation,” </w:t>
      </w:r>
      <w:r w:rsidRPr="00BE5C96">
        <w:rPr>
          <w:rFonts w:ascii="Times New Roman" w:hAnsi="Times New Roman" w:cs="Times New Roman"/>
          <w:i/>
          <w:iCs/>
          <w:noProof/>
          <w:sz w:val="24"/>
          <w:szCs w:val="24"/>
        </w:rPr>
        <w:t>Lecture notes University of Texas, Austin</w:t>
      </w:r>
      <w:r w:rsidRPr="00BE5C96">
        <w:rPr>
          <w:rFonts w:ascii="Times New Roman" w:hAnsi="Times New Roman" w:cs="Times New Roman"/>
          <w:noProof/>
          <w:sz w:val="24"/>
          <w:szCs w:val="24"/>
        </w:rPr>
        <w:t>, 1999. https://www.ae.utexas.edu/~plv955/class/aircraft/weights2.PD</w:t>
      </w:r>
      <w:r w:rsidRPr="00BE5C96">
        <w:rPr>
          <w:rFonts w:ascii="Times New Roman" w:hAnsi="Times New Roman" w:cs="Times New Roman"/>
          <w:noProof/>
          <w:sz w:val="24"/>
          <w:szCs w:val="24"/>
        </w:rPr>
        <w:lastRenderedPageBreak/>
        <w:t>F (accessed Aug. 28, 2020).</w:t>
      </w:r>
    </w:p>
    <w:p w14:paraId="7A883243"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[99]</w:t>
      </w:r>
      <w:r w:rsidRPr="00BE5C96">
        <w:rPr>
          <w:rFonts w:ascii="Times New Roman" w:hAnsi="Times New Roman" w:cs="Times New Roman"/>
          <w:noProof/>
          <w:sz w:val="24"/>
          <w:szCs w:val="24"/>
        </w:rPr>
        <w:tab/>
        <w:t xml:space="preserve">Z. Goraj, “Design and Optimisation of Fuel Tanks for BWB Configurations,” </w:t>
      </w:r>
      <w:r w:rsidRPr="00BE5C96">
        <w:rPr>
          <w:rFonts w:ascii="Times New Roman" w:hAnsi="Times New Roman" w:cs="Times New Roman"/>
          <w:i/>
          <w:iCs/>
          <w:noProof/>
          <w:sz w:val="24"/>
          <w:szCs w:val="24"/>
        </w:rPr>
        <w:t>Arch. Mech. Eng.</w:t>
      </w:r>
      <w:r w:rsidRPr="00BE5C96">
        <w:rPr>
          <w:rFonts w:ascii="Times New Roman" w:hAnsi="Times New Roman" w:cs="Times New Roman"/>
          <w:noProof/>
          <w:sz w:val="24"/>
          <w:szCs w:val="24"/>
        </w:rPr>
        <w:t>, vol. 63, no. 4, pp. 605–617, Dec. 2016, doi: 10.1515/meceng-2016-0034.</w:t>
      </w:r>
    </w:p>
    <w:p w14:paraId="55FD32F8"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[100]</w:t>
      </w:r>
      <w:r w:rsidRPr="00BE5C96">
        <w:rPr>
          <w:rFonts w:ascii="Times New Roman" w:hAnsi="Times New Roman" w:cs="Times New Roman"/>
          <w:noProof/>
          <w:sz w:val="24"/>
          <w:szCs w:val="24"/>
        </w:rPr>
        <w:tab/>
        <w:t xml:space="preserve">CleanSky2-FCH, “Hydrogen-powered aviation,” </w:t>
      </w:r>
      <w:r w:rsidRPr="00BE5C96">
        <w:rPr>
          <w:rFonts w:ascii="Times New Roman" w:hAnsi="Times New Roman" w:cs="Times New Roman"/>
          <w:i/>
          <w:iCs/>
          <w:noProof/>
          <w:sz w:val="24"/>
          <w:szCs w:val="24"/>
        </w:rPr>
        <w:t>CleanSky2 - Fuel Cell Hydrogen</w:t>
      </w:r>
      <w:r w:rsidRPr="00BE5C96">
        <w:rPr>
          <w:rFonts w:ascii="Times New Roman" w:hAnsi="Times New Roman" w:cs="Times New Roman"/>
          <w:noProof/>
          <w:sz w:val="24"/>
          <w:szCs w:val="24"/>
        </w:rPr>
        <w:t>, 2020. https://www.fch.europa.eu/sites/default/files/FCH Docs/20200720_Hydrogen Powered Aviation report_FINAL web.pdf (accessed May 03, 2021).</w:t>
      </w:r>
    </w:p>
    <w:p w14:paraId="6D992D08"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[101]</w:t>
      </w:r>
      <w:r w:rsidRPr="00BE5C96">
        <w:rPr>
          <w:rFonts w:ascii="Times New Roman" w:hAnsi="Times New Roman" w:cs="Times New Roman"/>
          <w:noProof/>
          <w:sz w:val="24"/>
          <w:szCs w:val="24"/>
        </w:rPr>
        <w:tab/>
        <w:t xml:space="preserve">C. Winnefeld, T. Kadyk, B. Bensmann, U. Krewer, and R. Hanke-Rauschenbach, “Modelling and Designing Cryogenic Hydrogen Tanks for Future Aircraft Applications,” </w:t>
      </w:r>
      <w:r w:rsidRPr="00BE5C96">
        <w:rPr>
          <w:rFonts w:ascii="Times New Roman" w:hAnsi="Times New Roman" w:cs="Times New Roman"/>
          <w:i/>
          <w:iCs/>
          <w:noProof/>
          <w:sz w:val="24"/>
          <w:szCs w:val="24"/>
        </w:rPr>
        <w:t>Energies</w:t>
      </w:r>
      <w:r w:rsidRPr="00BE5C96">
        <w:rPr>
          <w:rFonts w:ascii="Times New Roman" w:hAnsi="Times New Roman" w:cs="Times New Roman"/>
          <w:noProof/>
          <w:sz w:val="24"/>
          <w:szCs w:val="24"/>
        </w:rPr>
        <w:t>, vol. 11, no. 1, p. 105, Jan. 2018, doi: 10.3390/en11010105.</w:t>
      </w:r>
    </w:p>
    <w:p w14:paraId="28617D0D"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[102]</w:t>
      </w:r>
      <w:r w:rsidRPr="00BE5C96">
        <w:rPr>
          <w:rFonts w:ascii="Times New Roman" w:hAnsi="Times New Roman" w:cs="Times New Roman"/>
          <w:noProof/>
          <w:sz w:val="24"/>
          <w:szCs w:val="24"/>
        </w:rPr>
        <w:tab/>
        <w:t xml:space="preserve">G. Polek, “HyPoint Extends Hydrogen Flight Range with New Ultralight Fuel Tanks,” </w:t>
      </w:r>
      <w:r w:rsidRPr="00BE5C96">
        <w:rPr>
          <w:rFonts w:ascii="Times New Roman" w:hAnsi="Times New Roman" w:cs="Times New Roman"/>
          <w:i/>
          <w:iCs/>
          <w:noProof/>
          <w:sz w:val="24"/>
          <w:szCs w:val="24"/>
        </w:rPr>
        <w:t>FutureFlight</w:t>
      </w:r>
      <w:r w:rsidRPr="00BE5C96">
        <w:rPr>
          <w:rFonts w:ascii="Times New Roman" w:hAnsi="Times New Roman" w:cs="Times New Roman"/>
          <w:noProof/>
          <w:sz w:val="24"/>
          <w:szCs w:val="24"/>
        </w:rPr>
        <w:t>, Mar. 29, 2022. https://www.futureflight.aero/news-article/2022-03-29/hypoint-extends-hydrogen-flight-range-new-ultralight-fuel-tanks (accessed Jul. 22, 2022).</w:t>
      </w:r>
    </w:p>
    <w:p w14:paraId="3F0719FD"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[103]</w:t>
      </w:r>
      <w:r w:rsidRPr="00BE5C96">
        <w:rPr>
          <w:rFonts w:ascii="Times New Roman" w:hAnsi="Times New Roman" w:cs="Times New Roman"/>
          <w:noProof/>
          <w:sz w:val="24"/>
          <w:szCs w:val="24"/>
        </w:rPr>
        <w:tab/>
        <w:t>J. Sjöberg, J. Smith, O. Haglund Nilsson, P. Emanuelsson, and S. Otlu, “Liquid Hydrogen Tanks for Low-Emission Aircraft,” Chalmers University of Technology, 2021. Accessed: Aug. 03, 2022. [Online]. Available: https://odr.chalmers.se/handle/20.500.12380/302666</w:t>
      </w:r>
    </w:p>
    <w:p w14:paraId="0E7CD694"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[104]</w:t>
      </w:r>
      <w:r w:rsidRPr="00BE5C96">
        <w:rPr>
          <w:rFonts w:ascii="Times New Roman" w:hAnsi="Times New Roman" w:cs="Times New Roman"/>
          <w:noProof/>
          <w:sz w:val="24"/>
          <w:szCs w:val="24"/>
        </w:rPr>
        <w:tab/>
        <w:t xml:space="preserve">Air-Liquide, “Hydrogen storage on board aeronef and ground infrastructure : Air Liquide Advanced Technologies-Workshop on aeronautical applications of fuel cell and hydrogen technologies,” </w:t>
      </w:r>
      <w:r w:rsidRPr="00BE5C96">
        <w:rPr>
          <w:rFonts w:ascii="Times New Roman" w:hAnsi="Times New Roman" w:cs="Times New Roman"/>
          <w:i/>
          <w:iCs/>
          <w:noProof/>
          <w:sz w:val="24"/>
          <w:szCs w:val="24"/>
        </w:rPr>
        <w:t>FCH - CleanSky joint workshop</w:t>
      </w:r>
      <w:r w:rsidRPr="00BE5C96">
        <w:rPr>
          <w:rFonts w:ascii="Times New Roman" w:hAnsi="Times New Roman" w:cs="Times New Roman"/>
          <w:noProof/>
          <w:sz w:val="24"/>
          <w:szCs w:val="24"/>
        </w:rPr>
        <w:t>, 2015.</w:t>
      </w:r>
    </w:p>
    <w:p w14:paraId="6640B32C"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[105]</w:t>
      </w:r>
      <w:r w:rsidRPr="00BE5C96">
        <w:rPr>
          <w:rFonts w:ascii="Times New Roman" w:hAnsi="Times New Roman" w:cs="Times New Roman"/>
          <w:noProof/>
          <w:sz w:val="24"/>
          <w:szCs w:val="24"/>
        </w:rPr>
        <w:tab/>
        <w:t xml:space="preserve">Wessington-Cryogenics, “ISO VAC 40 LNG : 40 ft LNG Iso Container,” </w:t>
      </w:r>
      <w:r w:rsidRPr="00BE5C96">
        <w:rPr>
          <w:rFonts w:ascii="Times New Roman" w:hAnsi="Times New Roman" w:cs="Times New Roman"/>
          <w:i/>
          <w:iCs/>
          <w:noProof/>
          <w:sz w:val="24"/>
          <w:szCs w:val="24"/>
        </w:rPr>
        <w:t>Wessington Cryogenics</w:t>
      </w:r>
      <w:r w:rsidRPr="00BE5C96">
        <w:rPr>
          <w:rFonts w:ascii="Times New Roman" w:hAnsi="Times New Roman" w:cs="Times New Roman"/>
          <w:noProof/>
          <w:sz w:val="24"/>
          <w:szCs w:val="24"/>
        </w:rPr>
        <w:t>, 2020. https://wessingtoncryogenics.com/products/liquefied-natural-gas-containers/iso-vac-40-lng/ (accessed Sep. 15, 2021)</w:t>
      </w:r>
      <w:r w:rsidRPr="00BE5C96">
        <w:rPr>
          <w:rFonts w:ascii="Times New Roman" w:hAnsi="Times New Roman" w:cs="Times New Roman"/>
          <w:noProof/>
          <w:sz w:val="24"/>
          <w:szCs w:val="24"/>
        </w:rPr>
        <w:lastRenderedPageBreak/>
        <w:t>.</w:t>
      </w:r>
    </w:p>
    <w:p w14:paraId="5B267CCB"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[106]</w:t>
      </w:r>
      <w:r w:rsidRPr="00BE5C96">
        <w:rPr>
          <w:rFonts w:ascii="Times New Roman" w:hAnsi="Times New Roman" w:cs="Times New Roman"/>
          <w:noProof/>
          <w:sz w:val="24"/>
          <w:szCs w:val="24"/>
        </w:rPr>
        <w:tab/>
        <w:t xml:space="preserve">I. Dincer and C. Zamfirescu, “Sustainable Hydrogen Production,” </w:t>
      </w:r>
      <w:r w:rsidRPr="00BE5C96">
        <w:rPr>
          <w:rFonts w:ascii="Times New Roman" w:hAnsi="Times New Roman" w:cs="Times New Roman"/>
          <w:i/>
          <w:iCs/>
          <w:noProof/>
          <w:sz w:val="24"/>
          <w:szCs w:val="24"/>
        </w:rPr>
        <w:t>Elsevier</w:t>
      </w:r>
      <w:r w:rsidRPr="00BE5C96">
        <w:rPr>
          <w:rFonts w:ascii="Times New Roman" w:hAnsi="Times New Roman" w:cs="Times New Roman"/>
          <w:noProof/>
          <w:sz w:val="24"/>
          <w:szCs w:val="24"/>
        </w:rPr>
        <w:t>, 2016. https://books.google.co.uk/books/about/Sustainable_Hydrogen_Production.html?id=c7h0BgAAQBAJ&amp;redir_esc=y (accessed Aug. 28, 2020).</w:t>
      </w:r>
    </w:p>
    <w:p w14:paraId="6E8E6178"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[107]</w:t>
      </w:r>
      <w:r w:rsidRPr="00BE5C96">
        <w:rPr>
          <w:rFonts w:ascii="Times New Roman" w:hAnsi="Times New Roman" w:cs="Times New Roman"/>
          <w:noProof/>
          <w:sz w:val="24"/>
          <w:szCs w:val="24"/>
        </w:rPr>
        <w:tab/>
        <w:t xml:space="preserve">Airbus, “A350 AIRCRAFT CHARACTERISTICS AIRPORT AND MAINTENANCE PLANNING,” </w:t>
      </w:r>
      <w:r w:rsidRPr="00BE5C96">
        <w:rPr>
          <w:rFonts w:ascii="Times New Roman" w:hAnsi="Times New Roman" w:cs="Times New Roman"/>
          <w:i/>
          <w:iCs/>
          <w:noProof/>
          <w:sz w:val="24"/>
          <w:szCs w:val="24"/>
        </w:rPr>
        <w:t>Airbus</w:t>
      </w:r>
      <w:r w:rsidRPr="00BE5C96">
        <w:rPr>
          <w:rFonts w:ascii="Times New Roman" w:hAnsi="Times New Roman" w:cs="Times New Roman"/>
          <w:noProof/>
          <w:sz w:val="24"/>
          <w:szCs w:val="24"/>
        </w:rPr>
        <w:t>, 2020. https://www.airbus.com/sites/g/files/jlcbta136/files/2021-11/Airbus-Commercial-Aircraft-AC-A350-900-1000.pdf</w:t>
      </w:r>
    </w:p>
    <w:p w14:paraId="673E1DBF"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[108]</w:t>
      </w:r>
      <w:r w:rsidRPr="00BE5C96">
        <w:rPr>
          <w:rFonts w:ascii="Times New Roman" w:hAnsi="Times New Roman" w:cs="Times New Roman"/>
          <w:noProof/>
          <w:sz w:val="24"/>
          <w:szCs w:val="24"/>
        </w:rPr>
        <w:tab/>
        <w:t>M. Burzlaff and I. D. Scholz, “Project Aircraft Fuel Consumption-Estimation and Visualization,” 2017. doi: 10.7910/DVN/2HMEHB.</w:t>
      </w:r>
    </w:p>
    <w:p w14:paraId="55080A9E"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[109]</w:t>
      </w:r>
      <w:r w:rsidRPr="00BE5C96">
        <w:rPr>
          <w:rFonts w:ascii="Times New Roman" w:hAnsi="Times New Roman" w:cs="Times New Roman"/>
          <w:noProof/>
          <w:sz w:val="24"/>
          <w:szCs w:val="24"/>
        </w:rPr>
        <w:tab/>
        <w:t xml:space="preserve">National-Academies-of-Sciences-Engineering-and-Medicine, </w:t>
      </w:r>
      <w:r w:rsidRPr="00BE5C96">
        <w:rPr>
          <w:rFonts w:ascii="Times New Roman" w:hAnsi="Times New Roman" w:cs="Times New Roman"/>
          <w:i/>
          <w:iCs/>
          <w:noProof/>
          <w:sz w:val="24"/>
          <w:szCs w:val="24"/>
        </w:rPr>
        <w:t>Commercial Aircraft Propulsion and Energy Systems Research</w:t>
      </w:r>
      <w:r w:rsidRPr="00BE5C96">
        <w:rPr>
          <w:rFonts w:ascii="Times New Roman" w:hAnsi="Times New Roman" w:cs="Times New Roman"/>
          <w:noProof/>
          <w:sz w:val="24"/>
          <w:szCs w:val="24"/>
        </w:rPr>
        <w:t>. Washington, D.C.: National Academies Press, 2016. doi: 10.17226/23490.</w:t>
      </w:r>
    </w:p>
    <w:p w14:paraId="308C2E42"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[110]</w:t>
      </w:r>
      <w:r w:rsidRPr="00BE5C96">
        <w:rPr>
          <w:rFonts w:ascii="Times New Roman" w:hAnsi="Times New Roman" w:cs="Times New Roman"/>
          <w:noProof/>
          <w:sz w:val="24"/>
          <w:szCs w:val="24"/>
        </w:rPr>
        <w:tab/>
        <w:t xml:space="preserve">Airbus, “Airbus A350 XWB,” </w:t>
      </w:r>
      <w:r w:rsidRPr="00BE5C96">
        <w:rPr>
          <w:rFonts w:ascii="Times New Roman" w:hAnsi="Times New Roman" w:cs="Times New Roman"/>
          <w:i/>
          <w:iCs/>
          <w:noProof/>
          <w:sz w:val="24"/>
          <w:szCs w:val="24"/>
        </w:rPr>
        <w:t>Airbus</w:t>
      </w:r>
      <w:r w:rsidRPr="00BE5C96">
        <w:rPr>
          <w:rFonts w:ascii="Times New Roman" w:hAnsi="Times New Roman" w:cs="Times New Roman"/>
          <w:noProof/>
          <w:sz w:val="24"/>
          <w:szCs w:val="24"/>
        </w:rPr>
        <w:t>, 2014. https://web.archive.org/web/20131129074833/http://www.airbus.com/aircraftfamilies/passengeraircraft/a350xwbfamily/technology-and-innovation/ (accessed Nov. 09, 2022).</w:t>
      </w:r>
    </w:p>
    <w:p w14:paraId="0CD7722C"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[111]</w:t>
      </w:r>
      <w:r w:rsidRPr="00BE5C96">
        <w:rPr>
          <w:rFonts w:ascii="Times New Roman" w:hAnsi="Times New Roman" w:cs="Times New Roman"/>
          <w:noProof/>
          <w:sz w:val="24"/>
          <w:szCs w:val="24"/>
        </w:rPr>
        <w:tab/>
        <w:t xml:space="preserve">M. Gerzanics, “FLIGHT TEST: Airbus A350-1000 takes growth in its stride | In depth | Flight Global,” </w:t>
      </w:r>
      <w:r w:rsidRPr="00BE5C96">
        <w:rPr>
          <w:rFonts w:ascii="Times New Roman" w:hAnsi="Times New Roman" w:cs="Times New Roman"/>
          <w:i/>
          <w:iCs/>
          <w:noProof/>
          <w:sz w:val="24"/>
          <w:szCs w:val="24"/>
        </w:rPr>
        <w:t>Flight-Global</w:t>
      </w:r>
      <w:r w:rsidRPr="00BE5C96">
        <w:rPr>
          <w:rFonts w:ascii="Times New Roman" w:hAnsi="Times New Roman" w:cs="Times New Roman"/>
          <w:noProof/>
          <w:sz w:val="24"/>
          <w:szCs w:val="24"/>
        </w:rPr>
        <w:t>, 2018. https://www.flightglobal.com/in-depth/flight-test-airbus-a350-1000-takes-growth-in-its-stride/128532.article (accessed Nov. 09, 2022).</w:t>
      </w:r>
    </w:p>
    <w:p w14:paraId="4043AD71"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[112]</w:t>
      </w:r>
      <w:r w:rsidRPr="00BE5C96">
        <w:rPr>
          <w:rFonts w:ascii="Times New Roman" w:hAnsi="Times New Roman" w:cs="Times New Roman"/>
          <w:noProof/>
          <w:sz w:val="24"/>
          <w:szCs w:val="24"/>
        </w:rPr>
        <w:tab/>
        <w:t xml:space="preserve">D. S. Gerren, “Design, Analysis, and Control of a Large Transport Aircraft Utilizing Selective Engine Thrust as a Backup System for the Primary Flight Control,” </w:t>
      </w:r>
      <w:r w:rsidRPr="00BE5C96">
        <w:rPr>
          <w:rFonts w:ascii="Times New Roman" w:hAnsi="Times New Roman" w:cs="Times New Roman"/>
          <w:i/>
          <w:iCs/>
          <w:noProof/>
          <w:sz w:val="24"/>
          <w:szCs w:val="24"/>
        </w:rPr>
        <w:t>NASA</w:t>
      </w:r>
      <w:r w:rsidRPr="00BE5C96">
        <w:rPr>
          <w:rFonts w:ascii="Times New Roman" w:hAnsi="Times New Roman" w:cs="Times New Roman"/>
          <w:noProof/>
          <w:sz w:val="24"/>
          <w:szCs w:val="24"/>
        </w:rPr>
        <w:t>, 1995. https://ntrs.nasa.gov/api/citations/19960003535/downloads/19960003535.pdf (accessed Nov. 09, 2022)</w:t>
      </w:r>
      <w:r w:rsidRPr="00BE5C96">
        <w:rPr>
          <w:rFonts w:ascii="Times New Roman" w:hAnsi="Times New Roman" w:cs="Times New Roman"/>
          <w:noProof/>
          <w:sz w:val="24"/>
          <w:szCs w:val="24"/>
        </w:rPr>
        <w:lastRenderedPageBreak/>
        <w:t>.</w:t>
      </w:r>
    </w:p>
    <w:p w14:paraId="7F61AF60"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[113]</w:t>
      </w:r>
      <w:r w:rsidRPr="00BE5C96">
        <w:rPr>
          <w:rFonts w:ascii="Times New Roman" w:hAnsi="Times New Roman" w:cs="Times New Roman"/>
          <w:noProof/>
          <w:sz w:val="24"/>
          <w:szCs w:val="24"/>
        </w:rPr>
        <w:tab/>
        <w:t xml:space="preserve">Engineering-toolbox, “U.S. Standard Atmosphere,” </w:t>
      </w:r>
      <w:r w:rsidRPr="00BE5C96">
        <w:rPr>
          <w:rFonts w:ascii="Times New Roman" w:hAnsi="Times New Roman" w:cs="Times New Roman"/>
          <w:i/>
          <w:iCs/>
          <w:noProof/>
          <w:sz w:val="24"/>
          <w:szCs w:val="24"/>
        </w:rPr>
        <w:t>Engineering-toolbox</w:t>
      </w:r>
      <w:r w:rsidRPr="00BE5C96">
        <w:rPr>
          <w:rFonts w:ascii="Times New Roman" w:hAnsi="Times New Roman" w:cs="Times New Roman"/>
          <w:noProof/>
          <w:sz w:val="24"/>
          <w:szCs w:val="24"/>
        </w:rPr>
        <w:t>, 2003. https://www.engineeringtoolbox.com/standard-atmosphere-d_604.html (accessed Aug. 27, 2020).</w:t>
      </w:r>
    </w:p>
    <w:p w14:paraId="6191E238"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[114]</w:t>
      </w:r>
      <w:r w:rsidRPr="00BE5C96">
        <w:rPr>
          <w:rFonts w:ascii="Times New Roman" w:hAnsi="Times New Roman" w:cs="Times New Roman"/>
          <w:noProof/>
          <w:sz w:val="24"/>
          <w:szCs w:val="24"/>
        </w:rPr>
        <w:tab/>
        <w:t xml:space="preserve">A. K. Kundu, M. A. Price, and D. Riordan, </w:t>
      </w:r>
      <w:r w:rsidRPr="00BE5C96">
        <w:rPr>
          <w:rFonts w:ascii="Times New Roman" w:hAnsi="Times New Roman" w:cs="Times New Roman"/>
          <w:i/>
          <w:iCs/>
          <w:noProof/>
          <w:sz w:val="24"/>
          <w:szCs w:val="24"/>
        </w:rPr>
        <w:t>Conceptual Aircraft Design : an Industrial Perspective.</w:t>
      </w:r>
      <w:r w:rsidRPr="00BE5C96">
        <w:rPr>
          <w:rFonts w:ascii="Times New Roman" w:hAnsi="Times New Roman" w:cs="Times New Roman"/>
          <w:noProof/>
          <w:sz w:val="24"/>
          <w:szCs w:val="24"/>
        </w:rPr>
        <w:t>, First. John Wiley &amp; Sons, Incorporated, 2019.</w:t>
      </w:r>
    </w:p>
    <w:p w14:paraId="34A0715C"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[115]</w:t>
      </w:r>
      <w:r w:rsidRPr="00BE5C96">
        <w:rPr>
          <w:rFonts w:ascii="Times New Roman" w:hAnsi="Times New Roman" w:cs="Times New Roman"/>
          <w:noProof/>
          <w:sz w:val="24"/>
          <w:szCs w:val="24"/>
        </w:rPr>
        <w:tab/>
        <w:t>M. R. Kirby, “A methodology for technology identification, evaluation, and selection in conceptual and preliminary aircraft design,” Georgia Institute of Technology, 2001. Accessed: Dec. 17, 2019. [Online]. Available: https://pdfs.semanticscholar.org/3e8f/f5be8491a4f30f4dbb9edce1ff08cfd5b45a.pdf</w:t>
      </w:r>
    </w:p>
    <w:p w14:paraId="0A29A94C"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[116]</w:t>
      </w:r>
      <w:r w:rsidRPr="00BE5C96">
        <w:rPr>
          <w:rFonts w:ascii="Times New Roman" w:hAnsi="Times New Roman" w:cs="Times New Roman"/>
          <w:noProof/>
          <w:sz w:val="24"/>
          <w:szCs w:val="24"/>
        </w:rPr>
        <w:tab/>
        <w:t xml:space="preserve">T. Mommsen, “Airbus A320/321 Quick Change Market Analysis - A Case Study,” </w:t>
      </w:r>
      <w:r w:rsidRPr="00BE5C96">
        <w:rPr>
          <w:rFonts w:ascii="Times New Roman" w:hAnsi="Times New Roman" w:cs="Times New Roman"/>
          <w:i/>
          <w:iCs/>
          <w:noProof/>
          <w:sz w:val="24"/>
          <w:szCs w:val="24"/>
        </w:rPr>
        <w:t>Master’s Theses - Daytona Beach</w:t>
      </w:r>
      <w:r w:rsidRPr="00BE5C96">
        <w:rPr>
          <w:rFonts w:ascii="Times New Roman" w:hAnsi="Times New Roman" w:cs="Times New Roman"/>
          <w:noProof/>
          <w:sz w:val="24"/>
          <w:szCs w:val="24"/>
        </w:rPr>
        <w:t>, Dec. 1994, Accessed: Feb. 08, 2021. [Online]. Available: https://commons.erau.edu/db-theses/252</w:t>
      </w:r>
    </w:p>
    <w:p w14:paraId="7B507809"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[117]</w:t>
      </w:r>
      <w:r w:rsidRPr="00BE5C96">
        <w:rPr>
          <w:rFonts w:ascii="Times New Roman" w:hAnsi="Times New Roman" w:cs="Times New Roman"/>
          <w:noProof/>
          <w:sz w:val="24"/>
          <w:szCs w:val="24"/>
        </w:rPr>
        <w:tab/>
        <w:t>R. Babikian, “THE HISTORICAL FUEL EFFICIENCY CHARACTERISTICS OF REGIONAL AIRCRAFT FROM TECHNOLOGICAL, OPERATIONAL, AND COST PERSPECTIVES,” 2001. Accessed: Mar. 15, 2019. [Online]. Available: http://web.mit.edu/aeroastro/sites/waitz/publications/Babikian.Thesis.pdf</w:t>
      </w:r>
    </w:p>
    <w:p w14:paraId="5919F0A5"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[118]</w:t>
      </w:r>
      <w:r w:rsidRPr="00BE5C96">
        <w:rPr>
          <w:rFonts w:ascii="Times New Roman" w:hAnsi="Times New Roman" w:cs="Times New Roman"/>
          <w:noProof/>
          <w:sz w:val="24"/>
          <w:szCs w:val="24"/>
        </w:rPr>
        <w:tab/>
        <w:t xml:space="preserve">Aerospaceweb, “Airbus A320 Short to Medium-Range Jetliner,” </w:t>
      </w:r>
      <w:r w:rsidRPr="00BE5C96">
        <w:rPr>
          <w:rFonts w:ascii="Times New Roman" w:hAnsi="Times New Roman" w:cs="Times New Roman"/>
          <w:i/>
          <w:iCs/>
          <w:noProof/>
          <w:sz w:val="24"/>
          <w:szCs w:val="24"/>
        </w:rPr>
        <w:t>Aerospaceweb</w:t>
      </w:r>
      <w:r w:rsidRPr="00BE5C96">
        <w:rPr>
          <w:rFonts w:ascii="Times New Roman" w:hAnsi="Times New Roman" w:cs="Times New Roman"/>
          <w:noProof/>
          <w:sz w:val="24"/>
          <w:szCs w:val="24"/>
        </w:rPr>
        <w:t>, 2011. http://www.aerospaceweb.org/aircraft/jetliner/a320/ (accessed Feb. 09, 2021).</w:t>
      </w:r>
    </w:p>
    <w:p w14:paraId="5331E20D"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[119]</w:t>
      </w:r>
      <w:r w:rsidRPr="00BE5C96">
        <w:rPr>
          <w:rFonts w:ascii="Times New Roman" w:hAnsi="Times New Roman" w:cs="Times New Roman"/>
          <w:noProof/>
          <w:sz w:val="24"/>
          <w:szCs w:val="24"/>
        </w:rPr>
        <w:tab/>
        <w:t>B. Boling, Y. Liu, and E. Stumpf, “Understanding Fleet Impacts of Formation Flight,” 2015.</w:t>
      </w:r>
    </w:p>
    <w:p w14:paraId="3BB9ED15"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[120]</w:t>
      </w:r>
      <w:r w:rsidRPr="00BE5C96">
        <w:rPr>
          <w:rFonts w:ascii="Times New Roman" w:hAnsi="Times New Roman" w:cs="Times New Roman"/>
          <w:noProof/>
          <w:sz w:val="24"/>
          <w:szCs w:val="24"/>
        </w:rPr>
        <w:tab/>
        <w:t xml:space="preserve">Digital-Dutch, “1976 Standard Atmosphere Calculator,” </w:t>
      </w:r>
      <w:r w:rsidRPr="00BE5C96">
        <w:rPr>
          <w:rFonts w:ascii="Times New Roman" w:hAnsi="Times New Roman" w:cs="Times New Roman"/>
          <w:i/>
          <w:iCs/>
          <w:noProof/>
          <w:sz w:val="24"/>
          <w:szCs w:val="24"/>
        </w:rPr>
        <w:t>Digital Dutch</w:t>
      </w:r>
      <w:r w:rsidRPr="00BE5C96">
        <w:rPr>
          <w:rFonts w:ascii="Times New Roman" w:hAnsi="Times New Roman" w:cs="Times New Roman"/>
          <w:noProof/>
          <w:sz w:val="24"/>
          <w:szCs w:val="24"/>
        </w:rPr>
        <w:t>, 1999. https://www.digitaldutch.com/atmoscalc/ (accessed Feb. 09, 2021).</w:t>
      </w:r>
    </w:p>
    <w:p w14:paraId="66C908BB"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[121]</w:t>
      </w:r>
      <w:r w:rsidRPr="00BE5C96">
        <w:rPr>
          <w:rFonts w:ascii="Times New Roman" w:hAnsi="Times New Roman" w:cs="Times New Roman"/>
          <w:noProof/>
          <w:sz w:val="24"/>
          <w:szCs w:val="24"/>
        </w:rPr>
        <w:tab/>
        <w:t>R. Babikian, S. P. Lukachko, and I. A. Waitz, “The Historical Fuel Efficienc</w:t>
      </w:r>
      <w:r w:rsidRPr="00BE5C96">
        <w:rPr>
          <w:rFonts w:ascii="Times New Roman" w:hAnsi="Times New Roman" w:cs="Times New Roman"/>
          <w:noProof/>
          <w:sz w:val="24"/>
          <w:szCs w:val="24"/>
        </w:rPr>
        <w:lastRenderedPageBreak/>
        <w:t>y Characteristics of Regional Aircraft from Technological, Operational, and Cost Perspectives,” 2001. http://web.mit.edu/aeroastro/sites/waitz/publications/Babikian.pdf (accessed Feb. 08, 2021).</w:t>
      </w:r>
    </w:p>
    <w:p w14:paraId="4960E06C"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[122]</w:t>
      </w:r>
      <w:r w:rsidRPr="00BE5C96">
        <w:rPr>
          <w:rFonts w:ascii="Times New Roman" w:hAnsi="Times New Roman" w:cs="Times New Roman"/>
          <w:noProof/>
          <w:sz w:val="24"/>
          <w:szCs w:val="24"/>
        </w:rPr>
        <w:tab/>
        <w:t xml:space="preserve">All-the-world’s-aircraft, “BOEING 767-300 GENERAL MARKET FREIGHTER,” </w:t>
      </w:r>
      <w:r w:rsidRPr="00BE5C96">
        <w:rPr>
          <w:rFonts w:ascii="Times New Roman" w:hAnsi="Times New Roman" w:cs="Times New Roman"/>
          <w:i/>
          <w:iCs/>
          <w:noProof/>
          <w:sz w:val="24"/>
          <w:szCs w:val="24"/>
        </w:rPr>
        <w:t>All the world’s aircraft</w:t>
      </w:r>
      <w:r w:rsidRPr="00BE5C96">
        <w:rPr>
          <w:rFonts w:ascii="Times New Roman" w:hAnsi="Times New Roman" w:cs="Times New Roman"/>
          <w:noProof/>
          <w:sz w:val="24"/>
          <w:szCs w:val="24"/>
        </w:rPr>
        <w:t>, 2011. http://janes.migavia.com/usa/boeing/boeing-767-300.html (accessed Feb. 09, 2021).</w:t>
      </w:r>
    </w:p>
    <w:p w14:paraId="248E7E0E"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[123]</w:t>
      </w:r>
      <w:r w:rsidRPr="00BE5C96">
        <w:rPr>
          <w:rFonts w:ascii="Times New Roman" w:hAnsi="Times New Roman" w:cs="Times New Roman"/>
          <w:noProof/>
          <w:sz w:val="24"/>
          <w:szCs w:val="24"/>
        </w:rPr>
        <w:tab/>
        <w:t xml:space="preserve">Boeing, “The Boeing 767-300 Freighter - The newest member of the Boeing Frieghter Family,” </w:t>
      </w:r>
      <w:r w:rsidRPr="00BE5C96">
        <w:rPr>
          <w:rFonts w:ascii="Times New Roman" w:hAnsi="Times New Roman" w:cs="Times New Roman"/>
          <w:i/>
          <w:iCs/>
          <w:noProof/>
          <w:sz w:val="24"/>
          <w:szCs w:val="24"/>
        </w:rPr>
        <w:t>Boeing</w:t>
      </w:r>
      <w:r w:rsidRPr="00BE5C96">
        <w:rPr>
          <w:rFonts w:ascii="Times New Roman" w:hAnsi="Times New Roman" w:cs="Times New Roman"/>
          <w:noProof/>
          <w:sz w:val="24"/>
          <w:szCs w:val="24"/>
        </w:rPr>
        <w:t>, 2014. http://www.boeing.com/farnborough2014/pdf/BCA/bck-767_5_13_2014.pdf (accessed Feb. 09, 2021).</w:t>
      </w:r>
    </w:p>
    <w:p w14:paraId="0986AB5E"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[124]</w:t>
      </w:r>
      <w:r w:rsidRPr="00BE5C96">
        <w:rPr>
          <w:rFonts w:ascii="Times New Roman" w:hAnsi="Times New Roman" w:cs="Times New Roman"/>
          <w:noProof/>
          <w:sz w:val="24"/>
          <w:szCs w:val="24"/>
        </w:rPr>
        <w:tab/>
        <w:t>P. Lironi, “CF6-80C2 engine history and evolution,” 2007.</w:t>
      </w:r>
    </w:p>
    <w:p w14:paraId="0E68E52E"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[125]</w:t>
      </w:r>
      <w:r w:rsidRPr="00BE5C96">
        <w:rPr>
          <w:rFonts w:ascii="Times New Roman" w:hAnsi="Times New Roman" w:cs="Times New Roman"/>
          <w:noProof/>
          <w:sz w:val="24"/>
          <w:szCs w:val="24"/>
        </w:rPr>
        <w:tab/>
        <w:t xml:space="preserve">Butterworth-Heinemann, “Civil Jet Aircraft Design - Aircraft Data File - Boeing Aircraft,” </w:t>
      </w:r>
      <w:r w:rsidRPr="00BE5C96">
        <w:rPr>
          <w:rFonts w:ascii="Times New Roman" w:hAnsi="Times New Roman" w:cs="Times New Roman"/>
          <w:i/>
          <w:iCs/>
          <w:noProof/>
          <w:sz w:val="24"/>
          <w:szCs w:val="24"/>
        </w:rPr>
        <w:t>Elsevier</w:t>
      </w:r>
      <w:r w:rsidRPr="00BE5C96">
        <w:rPr>
          <w:rFonts w:ascii="Times New Roman" w:hAnsi="Times New Roman" w:cs="Times New Roman"/>
          <w:noProof/>
          <w:sz w:val="24"/>
          <w:szCs w:val="24"/>
        </w:rPr>
        <w:t>, 2001. https://booksite.elsevier.com/9780340741528/appendices/data-a/table-3/table.htm (accessed Feb. 09, 2021).</w:t>
      </w:r>
    </w:p>
    <w:p w14:paraId="692CD9BE"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[126]</w:t>
      </w:r>
      <w:r w:rsidRPr="00BE5C96">
        <w:rPr>
          <w:rFonts w:ascii="Times New Roman" w:hAnsi="Times New Roman" w:cs="Times New Roman"/>
          <w:noProof/>
          <w:sz w:val="24"/>
          <w:szCs w:val="24"/>
        </w:rPr>
        <w:tab/>
        <w:t xml:space="preserve">D. Verstraete, “On the energy efficiency of hydrogen-fuelled transport aircraft,” </w:t>
      </w:r>
      <w:r w:rsidRPr="00BE5C96">
        <w:rPr>
          <w:rFonts w:ascii="Times New Roman" w:hAnsi="Times New Roman" w:cs="Times New Roman"/>
          <w:i/>
          <w:iCs/>
          <w:noProof/>
          <w:sz w:val="24"/>
          <w:szCs w:val="24"/>
        </w:rPr>
        <w:t>Int. J. Hydrogen Energy</w:t>
      </w:r>
      <w:r w:rsidRPr="00BE5C96">
        <w:rPr>
          <w:rFonts w:ascii="Times New Roman" w:hAnsi="Times New Roman" w:cs="Times New Roman"/>
          <w:noProof/>
          <w:sz w:val="24"/>
          <w:szCs w:val="24"/>
        </w:rPr>
        <w:t>, vol. 40, no. 23, pp. 7388–7394, Jun. 2015, doi: 10.1016/j.ijhydene.2015.04.055.</w:t>
      </w:r>
    </w:p>
    <w:p w14:paraId="78AA4B86"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[127]</w:t>
      </w:r>
      <w:r w:rsidRPr="00BE5C96">
        <w:rPr>
          <w:rFonts w:ascii="Times New Roman" w:hAnsi="Times New Roman" w:cs="Times New Roman"/>
          <w:noProof/>
          <w:sz w:val="24"/>
          <w:szCs w:val="24"/>
        </w:rPr>
        <w:tab/>
        <w:t xml:space="preserve">G. D. Brewer, </w:t>
      </w:r>
      <w:r w:rsidRPr="00BE5C96">
        <w:rPr>
          <w:rFonts w:ascii="Times New Roman" w:hAnsi="Times New Roman" w:cs="Times New Roman"/>
          <w:i/>
          <w:iCs/>
          <w:noProof/>
          <w:sz w:val="24"/>
          <w:szCs w:val="24"/>
        </w:rPr>
        <w:t>Hydrogen aircraft technology</w:t>
      </w:r>
      <w:r w:rsidRPr="00BE5C96">
        <w:rPr>
          <w:rFonts w:ascii="Times New Roman" w:hAnsi="Times New Roman" w:cs="Times New Roman"/>
          <w:noProof/>
          <w:sz w:val="24"/>
          <w:szCs w:val="24"/>
        </w:rPr>
        <w:t>. CRC Press, 2017. doi: 10.1201/9780203751480.</w:t>
      </w:r>
    </w:p>
    <w:p w14:paraId="38205D66"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[128]</w:t>
      </w:r>
      <w:r w:rsidRPr="00BE5C96">
        <w:rPr>
          <w:rFonts w:ascii="Times New Roman" w:hAnsi="Times New Roman" w:cs="Times New Roman"/>
          <w:noProof/>
          <w:sz w:val="24"/>
          <w:szCs w:val="24"/>
        </w:rPr>
        <w:tab/>
        <w:t xml:space="preserve">P. A. Jackson, </w:t>
      </w:r>
      <w:r w:rsidRPr="00BE5C96">
        <w:rPr>
          <w:rFonts w:ascii="Times New Roman" w:hAnsi="Times New Roman" w:cs="Times New Roman"/>
          <w:i/>
          <w:iCs/>
          <w:noProof/>
          <w:sz w:val="24"/>
          <w:szCs w:val="24"/>
        </w:rPr>
        <w:t>IHS Jane’s all the world’s aircraft : development &amp; production</w:t>
      </w:r>
      <w:r w:rsidRPr="00BE5C96">
        <w:rPr>
          <w:rFonts w:ascii="Times New Roman" w:hAnsi="Times New Roman" w:cs="Times New Roman"/>
          <w:noProof/>
          <w:sz w:val="24"/>
          <w:szCs w:val="24"/>
        </w:rPr>
        <w:t>. Janes Information Group, 2014.</w:t>
      </w:r>
    </w:p>
    <w:p w14:paraId="4CABE680"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[129]</w:t>
      </w:r>
      <w:r w:rsidRPr="00BE5C96">
        <w:rPr>
          <w:rFonts w:ascii="Times New Roman" w:hAnsi="Times New Roman" w:cs="Times New Roman"/>
          <w:noProof/>
          <w:sz w:val="24"/>
          <w:szCs w:val="24"/>
        </w:rPr>
        <w:tab/>
        <w:t xml:space="preserve">Modern-airliners, “Boeing 777 Specs, what makes this giant twin work?,” </w:t>
      </w:r>
      <w:r w:rsidRPr="00BE5C96">
        <w:rPr>
          <w:rFonts w:ascii="Times New Roman" w:hAnsi="Times New Roman" w:cs="Times New Roman"/>
          <w:i/>
          <w:iCs/>
          <w:noProof/>
          <w:sz w:val="24"/>
          <w:szCs w:val="24"/>
        </w:rPr>
        <w:t>Modern-airliners</w:t>
      </w:r>
      <w:r w:rsidRPr="00BE5C96">
        <w:rPr>
          <w:rFonts w:ascii="Times New Roman" w:hAnsi="Times New Roman" w:cs="Times New Roman"/>
          <w:noProof/>
          <w:sz w:val="24"/>
          <w:szCs w:val="24"/>
        </w:rPr>
        <w:t>, 2017. https://modernairliners.com/boeing-777/boeing-777-specs/ (accesse</w:t>
      </w:r>
      <w:r w:rsidRPr="00BE5C96">
        <w:rPr>
          <w:rFonts w:ascii="Times New Roman" w:hAnsi="Times New Roman" w:cs="Times New Roman"/>
          <w:noProof/>
          <w:sz w:val="24"/>
          <w:szCs w:val="24"/>
        </w:rPr>
        <w:lastRenderedPageBreak/>
        <w:t>d Aug. 27, 2020).</w:t>
      </w:r>
    </w:p>
    <w:p w14:paraId="79B68B2C"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[130]</w:t>
      </w:r>
      <w:r w:rsidRPr="00BE5C96">
        <w:rPr>
          <w:rFonts w:ascii="Times New Roman" w:hAnsi="Times New Roman" w:cs="Times New Roman"/>
          <w:noProof/>
          <w:sz w:val="24"/>
          <w:szCs w:val="24"/>
        </w:rPr>
        <w:tab/>
        <w:t xml:space="preserve">The-points-guy, “The 787 Dreamliner — What Are the Differences Between a -8, -9 and -10?,” </w:t>
      </w:r>
      <w:r w:rsidRPr="00BE5C96">
        <w:rPr>
          <w:rFonts w:ascii="Times New Roman" w:hAnsi="Times New Roman" w:cs="Times New Roman"/>
          <w:i/>
          <w:iCs/>
          <w:noProof/>
          <w:sz w:val="24"/>
          <w:szCs w:val="24"/>
        </w:rPr>
        <w:t>The points guy</w:t>
      </w:r>
      <w:r w:rsidRPr="00BE5C96">
        <w:rPr>
          <w:rFonts w:ascii="Times New Roman" w:hAnsi="Times New Roman" w:cs="Times New Roman"/>
          <w:noProof/>
          <w:sz w:val="24"/>
          <w:szCs w:val="24"/>
        </w:rPr>
        <w:t>, 2018. https://thepointsguy.co.uk/news/differences-787-8-and-787-9-and-787-10/ (accessed Jan. 22, 2021).</w:t>
      </w:r>
    </w:p>
    <w:p w14:paraId="6B060C8B"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[131]</w:t>
      </w:r>
      <w:r w:rsidRPr="00BE5C96">
        <w:rPr>
          <w:rFonts w:ascii="Times New Roman" w:hAnsi="Times New Roman" w:cs="Times New Roman"/>
          <w:noProof/>
          <w:sz w:val="24"/>
          <w:szCs w:val="24"/>
        </w:rPr>
        <w:tab/>
        <w:t xml:space="preserve">Modern-Airliners, “Douglas DC8,” </w:t>
      </w:r>
      <w:r w:rsidRPr="00BE5C96">
        <w:rPr>
          <w:rFonts w:ascii="Times New Roman" w:hAnsi="Times New Roman" w:cs="Times New Roman"/>
          <w:i/>
          <w:iCs/>
          <w:noProof/>
          <w:sz w:val="24"/>
          <w:szCs w:val="24"/>
        </w:rPr>
        <w:t>Modern Airliners</w:t>
      </w:r>
      <w:r w:rsidRPr="00BE5C96">
        <w:rPr>
          <w:rFonts w:ascii="Times New Roman" w:hAnsi="Times New Roman" w:cs="Times New Roman"/>
          <w:noProof/>
          <w:sz w:val="24"/>
          <w:szCs w:val="24"/>
        </w:rPr>
        <w:t>, 2017. https://modernairliners.com/douglas-dc8/ (accessed Jan. 22, 2021).</w:t>
      </w:r>
    </w:p>
    <w:p w14:paraId="621C308C"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[132]</w:t>
      </w:r>
      <w:r w:rsidRPr="00BE5C96">
        <w:rPr>
          <w:rFonts w:ascii="Times New Roman" w:hAnsi="Times New Roman" w:cs="Times New Roman"/>
          <w:noProof/>
          <w:sz w:val="24"/>
          <w:szCs w:val="24"/>
        </w:rPr>
        <w:tab/>
        <w:t xml:space="preserve">D. Scholz, “Fuselage design,” </w:t>
      </w:r>
      <w:r w:rsidRPr="00BE5C96">
        <w:rPr>
          <w:rFonts w:ascii="Times New Roman" w:hAnsi="Times New Roman" w:cs="Times New Roman"/>
          <w:i/>
          <w:iCs/>
          <w:noProof/>
          <w:sz w:val="24"/>
          <w:szCs w:val="24"/>
        </w:rPr>
        <w:t>Lecture notes</w:t>
      </w:r>
      <w:r w:rsidRPr="00BE5C96">
        <w:rPr>
          <w:rFonts w:ascii="Times New Roman" w:hAnsi="Times New Roman" w:cs="Times New Roman"/>
          <w:noProof/>
          <w:sz w:val="24"/>
          <w:szCs w:val="24"/>
        </w:rPr>
        <w:t>, 2017. https://www.fzt.haw-hamburg.de/pers/Scholz/HOOU/AircraftDesign_6_Fuselage.pdf (accessed Jan. 22, 2021).</w:t>
      </w:r>
    </w:p>
    <w:p w14:paraId="6E7F5508"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[133]</w:t>
      </w:r>
      <w:r w:rsidRPr="00BE5C96">
        <w:rPr>
          <w:rFonts w:ascii="Times New Roman" w:hAnsi="Times New Roman" w:cs="Times New Roman"/>
          <w:noProof/>
          <w:sz w:val="24"/>
          <w:szCs w:val="24"/>
        </w:rPr>
        <w:tab/>
        <w:t xml:space="preserve">S. Hoerner, </w:t>
      </w:r>
      <w:r w:rsidRPr="00BE5C96">
        <w:rPr>
          <w:rFonts w:ascii="Times New Roman" w:hAnsi="Times New Roman" w:cs="Times New Roman"/>
          <w:i/>
          <w:iCs/>
          <w:noProof/>
          <w:sz w:val="24"/>
          <w:szCs w:val="24"/>
        </w:rPr>
        <w:t>Fluid-dynamic Drag: Practical Information on Aerodynamic Drag and Hydrodynamic Resistance</w:t>
      </w:r>
      <w:r w:rsidRPr="00BE5C96">
        <w:rPr>
          <w:rFonts w:ascii="Times New Roman" w:hAnsi="Times New Roman" w:cs="Times New Roman"/>
          <w:noProof/>
          <w:sz w:val="24"/>
          <w:szCs w:val="24"/>
        </w:rPr>
        <w:t>. 1965. Accessed: Jan. 22, 2021. [Online]. Available: https://books.google.co.in/books/about/Fluid_dynamic_Drag.html?id=abU8AAAAIAAJ&amp;redir_esc=y</w:t>
      </w:r>
    </w:p>
    <w:p w14:paraId="25EDFC82"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[134]</w:t>
      </w:r>
      <w:r w:rsidRPr="00BE5C96">
        <w:rPr>
          <w:rFonts w:ascii="Times New Roman" w:hAnsi="Times New Roman" w:cs="Times New Roman"/>
          <w:noProof/>
          <w:sz w:val="24"/>
          <w:szCs w:val="24"/>
        </w:rPr>
        <w:tab/>
        <w:t xml:space="preserve">I. Dincer and C. Acar, “A review on potential use of hydrogen in aviation applications,” </w:t>
      </w:r>
      <w:r w:rsidRPr="00BE5C96">
        <w:rPr>
          <w:rFonts w:ascii="Times New Roman" w:hAnsi="Times New Roman" w:cs="Times New Roman"/>
          <w:i/>
          <w:iCs/>
          <w:noProof/>
          <w:sz w:val="24"/>
          <w:szCs w:val="24"/>
        </w:rPr>
        <w:t>Int. J. Sustain. Aviat.</w:t>
      </w:r>
      <w:r w:rsidRPr="00BE5C96">
        <w:rPr>
          <w:rFonts w:ascii="Times New Roman" w:hAnsi="Times New Roman" w:cs="Times New Roman"/>
          <w:noProof/>
          <w:sz w:val="24"/>
          <w:szCs w:val="24"/>
        </w:rPr>
        <w:t>, vol. 2, no. 1, p. 74, 2016, doi: 10.1504/IJSA.2016.076077.</w:t>
      </w:r>
    </w:p>
    <w:p w14:paraId="35FCD095"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[135]</w:t>
      </w:r>
      <w:r w:rsidRPr="00BE5C96">
        <w:rPr>
          <w:rFonts w:ascii="Times New Roman" w:hAnsi="Times New Roman" w:cs="Times New Roman"/>
          <w:noProof/>
          <w:sz w:val="24"/>
          <w:szCs w:val="24"/>
        </w:rPr>
        <w:tab/>
        <w:t xml:space="preserve">S. Jagtap, A. Strehlow, M. Reitz, S. Kestler, and G. Cinar, “Model-Based Systems Engineering Approach for a Systematic Design of Aircraft Engine Inlet,” in </w:t>
      </w:r>
      <w:r w:rsidRPr="00BE5C96">
        <w:rPr>
          <w:rFonts w:ascii="Times New Roman" w:hAnsi="Times New Roman" w:cs="Times New Roman"/>
          <w:i/>
          <w:iCs/>
          <w:noProof/>
          <w:sz w:val="24"/>
          <w:szCs w:val="24"/>
        </w:rPr>
        <w:t>AIAA SCITECH 2025 Forum</w:t>
      </w:r>
      <w:r w:rsidRPr="00BE5C96">
        <w:rPr>
          <w:rFonts w:ascii="Times New Roman" w:hAnsi="Times New Roman" w:cs="Times New Roman"/>
          <w:noProof/>
          <w:sz w:val="24"/>
          <w:szCs w:val="24"/>
        </w:rPr>
        <w:t>, 2025. doi: https://doi.org/10.2514/6.2025-1410.</w:t>
      </w:r>
    </w:p>
    <w:p w14:paraId="3EDAB74D"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[136]</w:t>
      </w:r>
      <w:r w:rsidRPr="00BE5C96">
        <w:rPr>
          <w:rFonts w:ascii="Times New Roman" w:hAnsi="Times New Roman" w:cs="Times New Roman"/>
          <w:noProof/>
          <w:sz w:val="24"/>
          <w:szCs w:val="24"/>
        </w:rPr>
        <w:tab/>
        <w:t xml:space="preserve">S. S. Jagtap, “Non-food feedstocks comparison for renewable aviation fuel production towards environmentally and socially responsible aviation,” in </w:t>
      </w:r>
      <w:r w:rsidRPr="00BE5C96">
        <w:rPr>
          <w:rFonts w:ascii="Times New Roman" w:hAnsi="Times New Roman" w:cs="Times New Roman"/>
          <w:i/>
          <w:iCs/>
          <w:noProof/>
          <w:sz w:val="24"/>
          <w:szCs w:val="24"/>
        </w:rPr>
        <w:t>2019 AIAA Propulsion &amp; Energy Forum</w:t>
      </w:r>
      <w:r w:rsidRPr="00BE5C96">
        <w:rPr>
          <w:rFonts w:ascii="Times New Roman" w:hAnsi="Times New Roman" w:cs="Times New Roman"/>
          <w:noProof/>
          <w:sz w:val="24"/>
          <w:szCs w:val="24"/>
        </w:rPr>
        <w:t>, 2019.</w:t>
      </w:r>
    </w:p>
    <w:p w14:paraId="67B6D046"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[137]</w:t>
      </w:r>
      <w:r w:rsidRPr="00BE5C96">
        <w:rPr>
          <w:rFonts w:ascii="Times New Roman" w:hAnsi="Times New Roman" w:cs="Times New Roman"/>
          <w:noProof/>
          <w:sz w:val="24"/>
          <w:szCs w:val="24"/>
        </w:rPr>
        <w:tab/>
        <w:t>B. Emerson, S. Jagtap, J. M. Quinlan, M. W. Renfro, B. M. Ceteg</w:t>
      </w:r>
      <w:r w:rsidRPr="00BE5C96">
        <w:rPr>
          <w:rFonts w:ascii="Times New Roman" w:hAnsi="Times New Roman" w:cs="Times New Roman"/>
          <w:noProof/>
          <w:sz w:val="24"/>
          <w:szCs w:val="24"/>
        </w:rPr>
        <w:lastRenderedPageBreak/>
        <w:t xml:space="preserve">en, and T. Lieuwen, “Spatio-temporal linear stability analysis of stratified planar wakes: Velocity and density asymmetry effects,” </w:t>
      </w:r>
      <w:r w:rsidRPr="00BE5C96">
        <w:rPr>
          <w:rFonts w:ascii="Times New Roman" w:hAnsi="Times New Roman" w:cs="Times New Roman"/>
          <w:i/>
          <w:iCs/>
          <w:noProof/>
          <w:sz w:val="24"/>
          <w:szCs w:val="24"/>
        </w:rPr>
        <w:t>Phys. Fluids</w:t>
      </w:r>
      <w:r w:rsidRPr="00BE5C96">
        <w:rPr>
          <w:rFonts w:ascii="Times New Roman" w:hAnsi="Times New Roman" w:cs="Times New Roman"/>
          <w:noProof/>
          <w:sz w:val="24"/>
          <w:szCs w:val="24"/>
        </w:rPr>
        <w:t>, vol. 28, no. 4, p. 045101, Apr. 2016, doi: 10.1063/1.4943238.</w:t>
      </w:r>
    </w:p>
    <w:p w14:paraId="6B60FC52"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[138]</w:t>
      </w:r>
      <w:r w:rsidRPr="00BE5C96">
        <w:rPr>
          <w:rFonts w:ascii="Times New Roman" w:hAnsi="Times New Roman" w:cs="Times New Roman"/>
          <w:noProof/>
          <w:sz w:val="24"/>
          <w:szCs w:val="24"/>
        </w:rPr>
        <w:tab/>
        <w:t xml:space="preserve">S. S. Jagtap, P. R. N. Childs, and M. E. J. Stettler, “Conceptual design-optimisation of a subsonic hydrogen-powered long-range blended-wing-body aircraft,” </w:t>
      </w:r>
      <w:r w:rsidRPr="00BE5C96">
        <w:rPr>
          <w:rFonts w:ascii="Times New Roman" w:hAnsi="Times New Roman" w:cs="Times New Roman"/>
          <w:i/>
          <w:iCs/>
          <w:noProof/>
          <w:sz w:val="24"/>
          <w:szCs w:val="24"/>
        </w:rPr>
        <w:t>Int. J. Hydrogen Energy</w:t>
      </w:r>
      <w:r w:rsidRPr="00BE5C96">
        <w:rPr>
          <w:rFonts w:ascii="Times New Roman" w:hAnsi="Times New Roman" w:cs="Times New Roman"/>
          <w:noProof/>
          <w:sz w:val="24"/>
          <w:szCs w:val="24"/>
        </w:rPr>
        <w:t>, vol. 96, pp. 639–651, Dec. 2024, doi: 10.1016/J.IJHYDENE.2024.11.331.</w:t>
      </w:r>
    </w:p>
    <w:p w14:paraId="02BCCF67"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[139]</w:t>
      </w:r>
      <w:r w:rsidRPr="00BE5C96">
        <w:rPr>
          <w:rFonts w:ascii="Times New Roman" w:hAnsi="Times New Roman" w:cs="Times New Roman"/>
          <w:noProof/>
          <w:sz w:val="24"/>
          <w:szCs w:val="24"/>
        </w:rPr>
        <w:tab/>
        <w:t>S. S. Jagtap, “Heat recuperation system for the family of shaft powered aircraft gas turbine engines,” May 07, 2016 Accessed: Jan. 11, 2019. [Online]. Available: https://patentscope.wipo.int/search/en/detail.jsf?docId=WO2016067303</w:t>
      </w:r>
    </w:p>
    <w:p w14:paraId="206D4E67"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[140]</w:t>
      </w:r>
      <w:r w:rsidRPr="00BE5C96">
        <w:rPr>
          <w:rFonts w:ascii="Times New Roman" w:hAnsi="Times New Roman" w:cs="Times New Roman"/>
          <w:noProof/>
          <w:sz w:val="24"/>
          <w:szCs w:val="24"/>
        </w:rPr>
        <w:tab/>
        <w:t xml:space="preserve">B. L. Emerson, S. Jagtap, and T. C. Lieuwen, “Stability Analysis of Reacting Wakes: Flow and Density Asymmetry Effects,” in </w:t>
      </w:r>
      <w:r w:rsidRPr="00BE5C96">
        <w:rPr>
          <w:rFonts w:ascii="Times New Roman" w:hAnsi="Times New Roman" w:cs="Times New Roman"/>
          <w:i/>
          <w:iCs/>
          <w:noProof/>
          <w:sz w:val="24"/>
          <w:szCs w:val="24"/>
        </w:rPr>
        <w:t>53rd AIAA Aerospace Sciences Meeting</w:t>
      </w:r>
      <w:r w:rsidRPr="00BE5C96">
        <w:rPr>
          <w:rFonts w:ascii="Times New Roman" w:hAnsi="Times New Roman" w:cs="Times New Roman"/>
          <w:noProof/>
          <w:sz w:val="24"/>
          <w:szCs w:val="24"/>
        </w:rPr>
        <w:t>, Jan. 2015. doi: 10.2514/6.2015-0429.</w:t>
      </w:r>
    </w:p>
    <w:p w14:paraId="1C6590CD"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[141]</w:t>
      </w:r>
      <w:r w:rsidRPr="00BE5C96">
        <w:rPr>
          <w:rFonts w:ascii="Times New Roman" w:hAnsi="Times New Roman" w:cs="Times New Roman"/>
          <w:noProof/>
          <w:sz w:val="24"/>
          <w:szCs w:val="24"/>
        </w:rPr>
        <w:tab/>
        <w:t>S. S. Jagtap, “Heat recuperation system for the family of shaft powered aircraft gas turbine engines,” Oct. 29, 2014 Accessed: Jun. 29, 2019. [Online]. Available: https://patents.google.com/patent/US20180334959A1/en?q=heat&amp;q=recuperation&amp;q=system&amp;q=family&amp;q=shaft&amp;q=powered&amp;q=aircraft&amp;q=gas+turbine+engines&amp;oq=heat+recuperation+system+for+the+family+of+shaft+powered+aircraft+gas+turbine+engines+uspto</w:t>
      </w:r>
    </w:p>
    <w:p w14:paraId="7F70C89C"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[142]</w:t>
      </w:r>
      <w:r w:rsidRPr="00BE5C96">
        <w:rPr>
          <w:rFonts w:ascii="Times New Roman" w:hAnsi="Times New Roman" w:cs="Times New Roman"/>
          <w:noProof/>
          <w:sz w:val="24"/>
          <w:szCs w:val="24"/>
        </w:rPr>
        <w:tab/>
        <w:t>S. S. Jagtap, “Heat recuperation system for the family of shaft powered aircraft gas turbine engines,” Oct. 14, 2014 Accessed: Jan. 11, 2019. [Online]. Available: https://patents.google.com/patent/US20180334959A1/en</w:t>
      </w:r>
    </w:p>
    <w:p w14:paraId="24CCF518"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[143]</w:t>
      </w:r>
      <w:r w:rsidRPr="00BE5C96">
        <w:rPr>
          <w:rFonts w:ascii="Times New Roman" w:hAnsi="Times New Roman" w:cs="Times New Roman"/>
          <w:noProof/>
          <w:sz w:val="24"/>
          <w:szCs w:val="24"/>
        </w:rPr>
        <w:tab/>
        <w:t>S</w:t>
      </w:r>
      <w:r w:rsidRPr="00BE5C96">
        <w:rPr>
          <w:rFonts w:ascii="Times New Roman" w:hAnsi="Times New Roman" w:cs="Times New Roman"/>
          <w:noProof/>
          <w:sz w:val="24"/>
          <w:szCs w:val="24"/>
        </w:rPr>
        <w:lastRenderedPageBreak/>
        <w:t>. S. Jagtap, “Evaluation of technology and energy vector combinations for decarbonising future subsonic long-range aircraft,” Imperial College London.</w:t>
      </w:r>
    </w:p>
    <w:p w14:paraId="65E36D43"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[144]</w:t>
      </w:r>
      <w:r w:rsidRPr="00BE5C96">
        <w:rPr>
          <w:rFonts w:ascii="Times New Roman" w:hAnsi="Times New Roman" w:cs="Times New Roman"/>
          <w:noProof/>
          <w:sz w:val="24"/>
          <w:szCs w:val="24"/>
        </w:rPr>
        <w:tab/>
        <w:t>S. S. Jagtap, M. E. J. Stettler, and P. R. N. Childs, “Data in brief : Performance sensitivity of subsonic liquid hydrogen long-range tube-wing aircraft to technology developments”.</w:t>
      </w:r>
    </w:p>
    <w:p w14:paraId="60E3917C"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[145]</w:t>
      </w:r>
      <w:r w:rsidRPr="00BE5C96">
        <w:rPr>
          <w:rFonts w:ascii="Times New Roman" w:hAnsi="Times New Roman" w:cs="Times New Roman"/>
          <w:noProof/>
          <w:sz w:val="24"/>
          <w:szCs w:val="24"/>
        </w:rPr>
        <w:tab/>
        <w:t>S. S. Jagtap, M. E. J. Stettler, and P. R. N. Childs, “Data in brief : Conceptual design-optimisation of futuristic hydrogen powered ultrahigh bypass ratio geared turbofan engine”.</w:t>
      </w:r>
    </w:p>
    <w:p w14:paraId="15511C57"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[146]</w:t>
      </w:r>
      <w:r w:rsidRPr="00BE5C96">
        <w:rPr>
          <w:rFonts w:ascii="Times New Roman" w:hAnsi="Times New Roman" w:cs="Times New Roman"/>
          <w:noProof/>
          <w:sz w:val="24"/>
          <w:szCs w:val="24"/>
        </w:rPr>
        <w:tab/>
        <w:t>S. S. Jagtap, M. E. J. Stettler, and P. R. N. Childs, “Data in brief : Conceptual design-optimisation of a subsonic hydrogen-powered long-range blended-wing-body aircraft”.</w:t>
      </w:r>
    </w:p>
    <w:p w14:paraId="63B8E45C"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[147]</w:t>
      </w:r>
      <w:r w:rsidRPr="00BE5C96">
        <w:rPr>
          <w:rFonts w:ascii="Times New Roman" w:hAnsi="Times New Roman" w:cs="Times New Roman"/>
          <w:noProof/>
          <w:sz w:val="24"/>
          <w:szCs w:val="24"/>
        </w:rPr>
        <w:tab/>
        <w:t xml:space="preserve">S. S. Jagtap, “Aero-thermodynamic analysis of space shuttle vehicle at re-entry,” </w:t>
      </w:r>
      <w:r w:rsidRPr="00BE5C96">
        <w:rPr>
          <w:rFonts w:ascii="Times New Roman" w:hAnsi="Times New Roman" w:cs="Times New Roman"/>
          <w:i/>
          <w:iCs/>
          <w:noProof/>
          <w:sz w:val="24"/>
          <w:szCs w:val="24"/>
        </w:rPr>
        <w:t>IEEE Aerosp. Conf. Proc.</w:t>
      </w:r>
      <w:r w:rsidRPr="00BE5C96">
        <w:rPr>
          <w:rFonts w:ascii="Times New Roman" w:hAnsi="Times New Roman" w:cs="Times New Roman"/>
          <w:noProof/>
          <w:sz w:val="24"/>
          <w:szCs w:val="24"/>
        </w:rPr>
        <w:t>, vol. 2015-June, Jun. 2015, doi: 10.1109/AERO.2015.7119253.</w:t>
      </w:r>
    </w:p>
    <w:p w14:paraId="471D8473"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[148]</w:t>
      </w:r>
      <w:r w:rsidRPr="00BE5C96">
        <w:rPr>
          <w:rFonts w:ascii="Times New Roman" w:hAnsi="Times New Roman" w:cs="Times New Roman"/>
          <w:noProof/>
          <w:sz w:val="24"/>
          <w:szCs w:val="24"/>
        </w:rPr>
        <w:tab/>
        <w:t xml:space="preserve">S. Jagtap and S. Bhandari, “Solar Refrigeration,” </w:t>
      </w:r>
      <w:r w:rsidRPr="00BE5C96">
        <w:rPr>
          <w:rFonts w:ascii="Times New Roman" w:hAnsi="Times New Roman" w:cs="Times New Roman"/>
          <w:i/>
          <w:iCs/>
          <w:noProof/>
          <w:sz w:val="24"/>
          <w:szCs w:val="24"/>
        </w:rPr>
        <w:t>Sardar Patel Int. Conf.</w:t>
      </w:r>
      <w:r w:rsidRPr="00BE5C96">
        <w:rPr>
          <w:rFonts w:ascii="Times New Roman" w:hAnsi="Times New Roman" w:cs="Times New Roman"/>
          <w:noProof/>
          <w:sz w:val="24"/>
          <w:szCs w:val="24"/>
        </w:rPr>
        <w:t>, 2012, [Online]. Available: https://papers.ssrn.com/sol3/papers.cfm?abstract_id=2103115</w:t>
      </w:r>
    </w:p>
    <w:p w14:paraId="526F0040"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[149]</w:t>
      </w:r>
      <w:r w:rsidRPr="00BE5C96">
        <w:rPr>
          <w:rFonts w:ascii="Times New Roman" w:hAnsi="Times New Roman" w:cs="Times New Roman"/>
          <w:noProof/>
          <w:sz w:val="24"/>
          <w:szCs w:val="24"/>
        </w:rPr>
        <w:tab/>
        <w:t xml:space="preserve">S. S. Jagtap, P. R. N. Childs, and M. E. J. Stettler, “Energy performance evaluation of alternative energy vectors for subsonic long-range tube-wing aircraft,” </w:t>
      </w:r>
      <w:r w:rsidRPr="00BE5C96">
        <w:rPr>
          <w:rFonts w:ascii="Times New Roman" w:hAnsi="Times New Roman" w:cs="Times New Roman"/>
          <w:i/>
          <w:iCs/>
          <w:noProof/>
          <w:sz w:val="24"/>
          <w:szCs w:val="24"/>
        </w:rPr>
        <w:t>Transp. Res. Part D Transp. Environ.</w:t>
      </w:r>
      <w:r w:rsidRPr="00BE5C96">
        <w:rPr>
          <w:rFonts w:ascii="Times New Roman" w:hAnsi="Times New Roman" w:cs="Times New Roman"/>
          <w:noProof/>
          <w:sz w:val="24"/>
          <w:szCs w:val="24"/>
        </w:rPr>
        <w:t>, vol. 115, p. 103588, Feb. 2023, doi: 10.1016/J.TRD.2022.103588.</w:t>
      </w:r>
    </w:p>
    <w:p w14:paraId="0769743D"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[150]</w:t>
      </w:r>
      <w:r w:rsidRPr="00BE5C96">
        <w:rPr>
          <w:rFonts w:ascii="Times New Roman" w:hAnsi="Times New Roman" w:cs="Times New Roman"/>
          <w:noProof/>
          <w:sz w:val="24"/>
          <w:szCs w:val="24"/>
        </w:rPr>
        <w:tab/>
        <w:t xml:space="preserve">S. S. Jagtap, P. R. N. Childs, and M. E. J. Stettler, “Performance sensitivity of subsonic liquid hydrogen long-range tube-wing aircraft to technology developments,” </w:t>
      </w:r>
      <w:r w:rsidRPr="00BE5C96">
        <w:rPr>
          <w:rFonts w:ascii="Times New Roman" w:hAnsi="Times New Roman" w:cs="Times New Roman"/>
          <w:i/>
          <w:iCs/>
          <w:noProof/>
          <w:sz w:val="24"/>
          <w:szCs w:val="24"/>
        </w:rPr>
        <w:t>Int. J. Hydrogen Energy</w:t>
      </w:r>
      <w:r w:rsidRPr="00BE5C96">
        <w:rPr>
          <w:rFonts w:ascii="Times New Roman" w:hAnsi="Times New Roman" w:cs="Times New Roman"/>
          <w:noProof/>
          <w:sz w:val="24"/>
          <w:szCs w:val="24"/>
        </w:rPr>
        <w:t>, vol. 50, pp. 820–833, Jan. 2024, doi: 10.1016/J.IJHYDENE.2023.07.297.</w:t>
      </w:r>
    </w:p>
    <w:p w14:paraId="739D0B98"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lastRenderedPageBreak/>
        <w:t>[151]</w:t>
      </w:r>
      <w:r w:rsidRPr="00BE5C96">
        <w:rPr>
          <w:rFonts w:ascii="Times New Roman" w:hAnsi="Times New Roman" w:cs="Times New Roman"/>
          <w:noProof/>
          <w:sz w:val="24"/>
          <w:szCs w:val="24"/>
        </w:rPr>
        <w:tab/>
        <w:t xml:space="preserve">S. S. Jagtap, “An Apparatus for Exchanging Heat with Flow in an Annulus,” </w:t>
      </w:r>
      <w:r w:rsidRPr="00BE5C96">
        <w:rPr>
          <w:rFonts w:ascii="Times New Roman" w:hAnsi="Times New Roman" w:cs="Times New Roman"/>
          <w:i/>
          <w:iCs/>
          <w:noProof/>
          <w:sz w:val="24"/>
          <w:szCs w:val="24"/>
        </w:rPr>
        <w:t>J. Eng. Sci. Technol. Rev.</w:t>
      </w:r>
      <w:r w:rsidRPr="00BE5C96">
        <w:rPr>
          <w:rFonts w:ascii="Times New Roman" w:hAnsi="Times New Roman" w:cs="Times New Roman"/>
          <w:noProof/>
          <w:sz w:val="24"/>
          <w:szCs w:val="24"/>
        </w:rPr>
        <w:t>, vol. 10, no. 1, pp. 173–176, 2017, Accessed: Jan. 11, 2019. [Online]. Available: http://www.jestr.org/downloads/Volume10Issue1/fulltext241012017.pdf</w:t>
      </w:r>
    </w:p>
    <w:p w14:paraId="6AD2B257"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szCs w:val="24"/>
        </w:rPr>
      </w:pPr>
      <w:r w:rsidRPr="00BE5C96">
        <w:rPr>
          <w:rFonts w:ascii="Times New Roman" w:hAnsi="Times New Roman" w:cs="Times New Roman"/>
          <w:noProof/>
          <w:sz w:val="24"/>
          <w:szCs w:val="24"/>
        </w:rPr>
        <w:t>[152]</w:t>
      </w:r>
      <w:r w:rsidRPr="00BE5C96">
        <w:rPr>
          <w:rFonts w:ascii="Times New Roman" w:hAnsi="Times New Roman" w:cs="Times New Roman"/>
          <w:noProof/>
          <w:sz w:val="24"/>
          <w:szCs w:val="24"/>
        </w:rPr>
        <w:tab/>
        <w:t xml:space="preserve">S. S. Jagtap, P. R. N. Childs, and M. E. J. Stettler, “Conceptual design-optimisation of a future hydrogen-powered ultrahigh bypass ratio geared turbofan engine,” </w:t>
      </w:r>
      <w:r w:rsidRPr="00BE5C96">
        <w:rPr>
          <w:rFonts w:ascii="Times New Roman" w:hAnsi="Times New Roman" w:cs="Times New Roman"/>
          <w:i/>
          <w:iCs/>
          <w:noProof/>
          <w:sz w:val="24"/>
          <w:szCs w:val="24"/>
        </w:rPr>
        <w:t>Int. J. Hydrogen Energy</w:t>
      </w:r>
      <w:r w:rsidRPr="00BE5C96">
        <w:rPr>
          <w:rFonts w:ascii="Times New Roman" w:hAnsi="Times New Roman" w:cs="Times New Roman"/>
          <w:noProof/>
          <w:sz w:val="24"/>
          <w:szCs w:val="24"/>
        </w:rPr>
        <w:t>, vol. 95, pp. 317–328, Dec. 2024, doi: 10.1016/J.IJHYDENE.2024.10.329.</w:t>
      </w:r>
    </w:p>
    <w:p w14:paraId="301091A4" w14:textId="77777777" w:rsidR="00BE5C96" w:rsidRPr="00BE5C96" w:rsidRDefault="00BE5C96" w:rsidP="00BE5C96">
      <w:pPr>
        <w:widowControl w:val="0"/>
        <w:autoSpaceDE w:val="0"/>
        <w:autoSpaceDN w:val="0"/>
        <w:adjustRightInd w:val="0"/>
        <w:spacing w:line="480" w:lineRule="auto"/>
        <w:ind w:left="640" w:hanging="640"/>
        <w:rPr>
          <w:rFonts w:ascii="Times New Roman" w:hAnsi="Times New Roman" w:cs="Times New Roman"/>
          <w:noProof/>
          <w:sz w:val="24"/>
        </w:rPr>
      </w:pPr>
      <w:r w:rsidRPr="00BE5C96">
        <w:rPr>
          <w:rFonts w:ascii="Times New Roman" w:hAnsi="Times New Roman" w:cs="Times New Roman"/>
          <w:noProof/>
          <w:sz w:val="24"/>
          <w:szCs w:val="24"/>
        </w:rPr>
        <w:t>[153]</w:t>
      </w:r>
      <w:r w:rsidRPr="00BE5C96">
        <w:rPr>
          <w:rFonts w:ascii="Times New Roman" w:hAnsi="Times New Roman" w:cs="Times New Roman"/>
          <w:noProof/>
          <w:sz w:val="24"/>
          <w:szCs w:val="24"/>
        </w:rPr>
        <w:tab/>
        <w:t>S. S. Jagtap, M. E. J. Stettler, and P. R. N. Childs, “Data in brief : Energy performance evaluation of alternative energy vectors for subsonic intercontinental tube-wing aircraft”.</w:t>
      </w:r>
    </w:p>
    <w:p w14:paraId="1BC54C92" w14:textId="2220A359" w:rsidR="004026B3" w:rsidRPr="00872636" w:rsidRDefault="004026B3" w:rsidP="00C525D8">
      <w:pPr>
        <w:widowControl w:val="0"/>
        <w:autoSpaceDE w:val="0"/>
        <w:autoSpaceDN w:val="0"/>
        <w:adjustRightInd w:val="0"/>
        <w:spacing w:line="480" w:lineRule="auto"/>
        <w:ind w:left="640" w:hanging="640"/>
        <w:jc w:val="both"/>
        <w:rPr>
          <w:rFonts w:ascii="Times New Roman" w:hAnsi="Times New Roman" w:cs="Times New Roman"/>
          <w:sz w:val="24"/>
          <w:szCs w:val="24"/>
        </w:rPr>
      </w:pPr>
      <w:r w:rsidRPr="00872636">
        <w:rPr>
          <w:rFonts w:ascii="Times New Roman" w:hAnsi="Times New Roman" w:cs="Times New Roman"/>
          <w:sz w:val="24"/>
          <w:szCs w:val="24"/>
          <w:lang w:eastAsia="en-GB"/>
        </w:rPr>
        <w:fldChar w:fldCharType="end"/>
      </w:r>
    </w:p>
    <w:sectPr w:rsidR="004026B3" w:rsidRPr="008726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716C0D"/>
    <w:multiLevelType w:val="hybridMultilevel"/>
    <w:tmpl w:val="1166E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421259"/>
    <w:multiLevelType w:val="hybridMultilevel"/>
    <w:tmpl w:val="36DC035C"/>
    <w:lvl w:ilvl="0" w:tplc="04090019">
      <w:start w:val="1"/>
      <w:numFmt w:val="lowerLetter"/>
      <w:lvlText w:val="%1."/>
      <w:lvlJc w:val="left"/>
      <w:pPr>
        <w:ind w:left="720" w:hanging="360"/>
      </w:p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2" w15:restartNumberingAfterBreak="0">
    <w:nsid w:val="328D1A9D"/>
    <w:multiLevelType w:val="multilevel"/>
    <w:tmpl w:val="979A6060"/>
    <w:lvl w:ilvl="0">
      <w:start w:val="1"/>
      <w:numFmt w:val="decimal"/>
      <w:lvlText w:val="SI %1. "/>
      <w:lvlJc w:val="left"/>
      <w:pPr>
        <w:ind w:left="432" w:hanging="432"/>
      </w:pPr>
      <w:rPr>
        <w:rFonts w:hint="default"/>
        <w:color w:val="auto"/>
        <w:sz w:val="22"/>
        <w:szCs w:val="22"/>
      </w:rPr>
    </w:lvl>
    <w:lvl w:ilvl="1">
      <w:start w:val="1"/>
      <w:numFmt w:val="decimal"/>
      <w:pStyle w:val="Heading2"/>
      <w:lvlText w:val="SI %1.%2 "/>
      <w:lvlJc w:val="left"/>
      <w:pPr>
        <w:ind w:left="576" w:hanging="576"/>
      </w:pPr>
      <w:rPr>
        <w:rFonts w:ascii="Times New Roman" w:hAnsi="Times New Roman" w:cs="Times New Roman" w:hint="default"/>
        <w:color w:val="auto"/>
        <w:sz w:val="22"/>
        <w:szCs w:val="22"/>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3A993127"/>
    <w:multiLevelType w:val="hybridMultilevel"/>
    <w:tmpl w:val="C86A3D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52444F9"/>
    <w:multiLevelType w:val="hybridMultilevel"/>
    <w:tmpl w:val="951AA7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ED3FFA"/>
    <w:multiLevelType w:val="multilevel"/>
    <w:tmpl w:val="35961CBC"/>
    <w:styleLink w:val="Style2"/>
    <w:lvl w:ilvl="0">
      <w:start w:val="1"/>
      <w:numFmt w:val="upperLetter"/>
      <w:lvlText w:val="%1."/>
      <w:lvlJc w:val="left"/>
      <w:pPr>
        <w:ind w:left="432" w:hanging="432"/>
      </w:pPr>
    </w:lvl>
    <w:lvl w:ilvl="1">
      <w:start w:val="1"/>
      <w:numFmt w:val="upperLetter"/>
      <w:lvlText w:val="%2."/>
      <w:lvlJc w:val="left"/>
      <w:pPr>
        <w:ind w:left="576" w:hanging="576"/>
      </w:pPr>
      <w:rPr>
        <w:color w:val="auto"/>
      </w:rPr>
    </w:lvl>
    <w:lvl w:ilvl="2">
      <w:start w:val="1"/>
      <w:numFmt w:val="decimal"/>
      <w:lvlText w:val="%1.%3"/>
      <w:lvlJc w:val="left"/>
      <w:pPr>
        <w:ind w:left="720" w:hanging="720"/>
      </w:pPr>
      <w:rPr>
        <w:sz w:val="22"/>
        <w:szCs w:val="22"/>
      </w:rPr>
    </w:lvl>
    <w:lvl w:ilvl="3">
      <w:start w:val="1"/>
      <w:numFmt w:val="decimal"/>
      <w:lvlText w:val="%1.%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54796BCB"/>
    <w:multiLevelType w:val="multilevel"/>
    <w:tmpl w:val="35961CBC"/>
    <w:numStyleLink w:val="Style2"/>
  </w:abstractNum>
  <w:abstractNum w:abstractNumId="7" w15:restartNumberingAfterBreak="0">
    <w:nsid w:val="7A3D37FB"/>
    <w:multiLevelType w:val="hybridMultilevel"/>
    <w:tmpl w:val="AF0CE0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479470100">
    <w:abstractNumId w:val="2"/>
  </w:num>
  <w:num w:numId="2" w16cid:durableId="1171405383">
    <w:abstractNumId w:val="1"/>
  </w:num>
  <w:num w:numId="3" w16cid:durableId="1483232926">
    <w:abstractNumId w:val="4"/>
  </w:num>
  <w:num w:numId="4" w16cid:durableId="646131703">
    <w:abstractNumId w:val="2"/>
  </w:num>
  <w:num w:numId="5" w16cid:durableId="1547721559">
    <w:abstractNumId w:val="3"/>
  </w:num>
  <w:num w:numId="6" w16cid:durableId="1606884798">
    <w:abstractNumId w:val="7"/>
  </w:num>
  <w:num w:numId="7" w16cid:durableId="141312891">
    <w:abstractNumId w:val="0"/>
  </w:num>
  <w:num w:numId="8" w16cid:durableId="17416312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14146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8430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9E7"/>
    <w:rsid w:val="000135CE"/>
    <w:rsid w:val="0001449B"/>
    <w:rsid w:val="00016A81"/>
    <w:rsid w:val="000260A0"/>
    <w:rsid w:val="0003220C"/>
    <w:rsid w:val="00033D22"/>
    <w:rsid w:val="0003566F"/>
    <w:rsid w:val="00043C40"/>
    <w:rsid w:val="00044DD7"/>
    <w:rsid w:val="00045FA8"/>
    <w:rsid w:val="000511D4"/>
    <w:rsid w:val="00052F40"/>
    <w:rsid w:val="000552B7"/>
    <w:rsid w:val="000556D5"/>
    <w:rsid w:val="00066339"/>
    <w:rsid w:val="00067CF4"/>
    <w:rsid w:val="0007573E"/>
    <w:rsid w:val="00075757"/>
    <w:rsid w:val="000764C5"/>
    <w:rsid w:val="000831E6"/>
    <w:rsid w:val="00083D3D"/>
    <w:rsid w:val="00084EC9"/>
    <w:rsid w:val="00093FB1"/>
    <w:rsid w:val="00097276"/>
    <w:rsid w:val="000A1110"/>
    <w:rsid w:val="000A7E16"/>
    <w:rsid w:val="000B31AF"/>
    <w:rsid w:val="000B3638"/>
    <w:rsid w:val="000B49D9"/>
    <w:rsid w:val="000B66B0"/>
    <w:rsid w:val="000C190C"/>
    <w:rsid w:val="000D0D3E"/>
    <w:rsid w:val="000D686E"/>
    <w:rsid w:val="000E1BE8"/>
    <w:rsid w:val="00100785"/>
    <w:rsid w:val="0010260B"/>
    <w:rsid w:val="00104A2A"/>
    <w:rsid w:val="00105076"/>
    <w:rsid w:val="00105184"/>
    <w:rsid w:val="00110929"/>
    <w:rsid w:val="00113B90"/>
    <w:rsid w:val="00120ED3"/>
    <w:rsid w:val="00130883"/>
    <w:rsid w:val="00132CC0"/>
    <w:rsid w:val="001334B0"/>
    <w:rsid w:val="0013783E"/>
    <w:rsid w:val="00143FB7"/>
    <w:rsid w:val="00146455"/>
    <w:rsid w:val="00147C02"/>
    <w:rsid w:val="00147CC3"/>
    <w:rsid w:val="00152CFF"/>
    <w:rsid w:val="001543C4"/>
    <w:rsid w:val="00163029"/>
    <w:rsid w:val="00164DAF"/>
    <w:rsid w:val="0017119D"/>
    <w:rsid w:val="0017130D"/>
    <w:rsid w:val="00174147"/>
    <w:rsid w:val="00175643"/>
    <w:rsid w:val="00185527"/>
    <w:rsid w:val="001977D7"/>
    <w:rsid w:val="00197E4E"/>
    <w:rsid w:val="001B0A1C"/>
    <w:rsid w:val="001B5D12"/>
    <w:rsid w:val="001C2C47"/>
    <w:rsid w:val="001C4635"/>
    <w:rsid w:val="001D14A6"/>
    <w:rsid w:val="001E5981"/>
    <w:rsid w:val="001E6149"/>
    <w:rsid w:val="001E7FDE"/>
    <w:rsid w:val="001F1027"/>
    <w:rsid w:val="001F2380"/>
    <w:rsid w:val="001F5B70"/>
    <w:rsid w:val="001F6851"/>
    <w:rsid w:val="00200A85"/>
    <w:rsid w:val="00202743"/>
    <w:rsid w:val="002037C1"/>
    <w:rsid w:val="00203B2D"/>
    <w:rsid w:val="00205303"/>
    <w:rsid w:val="002143B6"/>
    <w:rsid w:val="00214729"/>
    <w:rsid w:val="00214736"/>
    <w:rsid w:val="002201D7"/>
    <w:rsid w:val="002217F9"/>
    <w:rsid w:val="002255D0"/>
    <w:rsid w:val="00230799"/>
    <w:rsid w:val="00233B1B"/>
    <w:rsid w:val="00233FDF"/>
    <w:rsid w:val="00260BCE"/>
    <w:rsid w:val="00261862"/>
    <w:rsid w:val="00261A33"/>
    <w:rsid w:val="0026669E"/>
    <w:rsid w:val="0027348A"/>
    <w:rsid w:val="00281258"/>
    <w:rsid w:val="00286C0A"/>
    <w:rsid w:val="00291EF3"/>
    <w:rsid w:val="00293EFE"/>
    <w:rsid w:val="00295445"/>
    <w:rsid w:val="0029703D"/>
    <w:rsid w:val="002A32E1"/>
    <w:rsid w:val="002A3E97"/>
    <w:rsid w:val="002A5F55"/>
    <w:rsid w:val="002A7FC6"/>
    <w:rsid w:val="002B22EE"/>
    <w:rsid w:val="002B287F"/>
    <w:rsid w:val="002B5E99"/>
    <w:rsid w:val="002B6DAA"/>
    <w:rsid w:val="002B7A7F"/>
    <w:rsid w:val="002C54A5"/>
    <w:rsid w:val="002D1A69"/>
    <w:rsid w:val="002D3B90"/>
    <w:rsid w:val="002D62BA"/>
    <w:rsid w:val="002D7DAC"/>
    <w:rsid w:val="002F4F57"/>
    <w:rsid w:val="002F518C"/>
    <w:rsid w:val="002F73EC"/>
    <w:rsid w:val="003008CC"/>
    <w:rsid w:val="00307F2B"/>
    <w:rsid w:val="00312CEA"/>
    <w:rsid w:val="003152D2"/>
    <w:rsid w:val="003205CD"/>
    <w:rsid w:val="00321545"/>
    <w:rsid w:val="003219FD"/>
    <w:rsid w:val="00331DAC"/>
    <w:rsid w:val="0033385C"/>
    <w:rsid w:val="00335517"/>
    <w:rsid w:val="00336D50"/>
    <w:rsid w:val="00342B2C"/>
    <w:rsid w:val="003552CE"/>
    <w:rsid w:val="00360AA1"/>
    <w:rsid w:val="00362399"/>
    <w:rsid w:val="00372FD8"/>
    <w:rsid w:val="0037431B"/>
    <w:rsid w:val="00374B2C"/>
    <w:rsid w:val="00381C6E"/>
    <w:rsid w:val="00385CA7"/>
    <w:rsid w:val="00391297"/>
    <w:rsid w:val="00393511"/>
    <w:rsid w:val="003A06D4"/>
    <w:rsid w:val="003A0706"/>
    <w:rsid w:val="003B47C0"/>
    <w:rsid w:val="003C0F99"/>
    <w:rsid w:val="003C30BA"/>
    <w:rsid w:val="003C3A21"/>
    <w:rsid w:val="003E5638"/>
    <w:rsid w:val="003E742D"/>
    <w:rsid w:val="004026B3"/>
    <w:rsid w:val="004049CA"/>
    <w:rsid w:val="00407595"/>
    <w:rsid w:val="00407F2C"/>
    <w:rsid w:val="004115A2"/>
    <w:rsid w:val="00427CEB"/>
    <w:rsid w:val="004329AC"/>
    <w:rsid w:val="00433067"/>
    <w:rsid w:val="00433E46"/>
    <w:rsid w:val="00435A09"/>
    <w:rsid w:val="00435C38"/>
    <w:rsid w:val="004363B2"/>
    <w:rsid w:val="004365FA"/>
    <w:rsid w:val="004410DE"/>
    <w:rsid w:val="00443545"/>
    <w:rsid w:val="00457406"/>
    <w:rsid w:val="00466116"/>
    <w:rsid w:val="004663EC"/>
    <w:rsid w:val="004706A4"/>
    <w:rsid w:val="00472D72"/>
    <w:rsid w:val="00483575"/>
    <w:rsid w:val="00483DC8"/>
    <w:rsid w:val="00484AC5"/>
    <w:rsid w:val="00484C08"/>
    <w:rsid w:val="004875C3"/>
    <w:rsid w:val="00491A24"/>
    <w:rsid w:val="00492AFC"/>
    <w:rsid w:val="00496324"/>
    <w:rsid w:val="00496719"/>
    <w:rsid w:val="004B27D7"/>
    <w:rsid w:val="004C1A04"/>
    <w:rsid w:val="004C3303"/>
    <w:rsid w:val="004C57DE"/>
    <w:rsid w:val="004D207B"/>
    <w:rsid w:val="004D3AE7"/>
    <w:rsid w:val="004E143B"/>
    <w:rsid w:val="00507EEA"/>
    <w:rsid w:val="005133F6"/>
    <w:rsid w:val="00517F7F"/>
    <w:rsid w:val="00521193"/>
    <w:rsid w:val="0052122C"/>
    <w:rsid w:val="0052169F"/>
    <w:rsid w:val="005219E5"/>
    <w:rsid w:val="00535E69"/>
    <w:rsid w:val="00537CF1"/>
    <w:rsid w:val="00544E3E"/>
    <w:rsid w:val="005472CA"/>
    <w:rsid w:val="00550082"/>
    <w:rsid w:val="00551192"/>
    <w:rsid w:val="005533F4"/>
    <w:rsid w:val="00553E47"/>
    <w:rsid w:val="00556067"/>
    <w:rsid w:val="0055619A"/>
    <w:rsid w:val="00560D7E"/>
    <w:rsid w:val="00561C79"/>
    <w:rsid w:val="00563080"/>
    <w:rsid w:val="0057229F"/>
    <w:rsid w:val="00572E4D"/>
    <w:rsid w:val="005779AC"/>
    <w:rsid w:val="00581A7C"/>
    <w:rsid w:val="00581D01"/>
    <w:rsid w:val="0058456C"/>
    <w:rsid w:val="00594992"/>
    <w:rsid w:val="005A004B"/>
    <w:rsid w:val="005A11A9"/>
    <w:rsid w:val="005A38E1"/>
    <w:rsid w:val="005A63A4"/>
    <w:rsid w:val="005B1C27"/>
    <w:rsid w:val="005B5A8F"/>
    <w:rsid w:val="005C49ED"/>
    <w:rsid w:val="005C74E9"/>
    <w:rsid w:val="005D2840"/>
    <w:rsid w:val="005D4B2A"/>
    <w:rsid w:val="005D544A"/>
    <w:rsid w:val="005E19E7"/>
    <w:rsid w:val="005E498E"/>
    <w:rsid w:val="005E7983"/>
    <w:rsid w:val="005F13D3"/>
    <w:rsid w:val="005F1BC7"/>
    <w:rsid w:val="005F4DF5"/>
    <w:rsid w:val="005F4EF8"/>
    <w:rsid w:val="00600BDA"/>
    <w:rsid w:val="00607495"/>
    <w:rsid w:val="006176BF"/>
    <w:rsid w:val="00624B6B"/>
    <w:rsid w:val="006338A8"/>
    <w:rsid w:val="00634AFF"/>
    <w:rsid w:val="00637BD1"/>
    <w:rsid w:val="00640B37"/>
    <w:rsid w:val="006428C3"/>
    <w:rsid w:val="00644F29"/>
    <w:rsid w:val="00645CDA"/>
    <w:rsid w:val="00652252"/>
    <w:rsid w:val="006526BD"/>
    <w:rsid w:val="00654376"/>
    <w:rsid w:val="00654A7E"/>
    <w:rsid w:val="006576EC"/>
    <w:rsid w:val="00664FB5"/>
    <w:rsid w:val="00665CB5"/>
    <w:rsid w:val="006713C0"/>
    <w:rsid w:val="0067286F"/>
    <w:rsid w:val="00672D5C"/>
    <w:rsid w:val="00672FD5"/>
    <w:rsid w:val="00676052"/>
    <w:rsid w:val="00677DEA"/>
    <w:rsid w:val="0068003D"/>
    <w:rsid w:val="00681092"/>
    <w:rsid w:val="00682A98"/>
    <w:rsid w:val="00683924"/>
    <w:rsid w:val="00683BB6"/>
    <w:rsid w:val="00695333"/>
    <w:rsid w:val="006A6254"/>
    <w:rsid w:val="006C36D3"/>
    <w:rsid w:val="006D3804"/>
    <w:rsid w:val="006D7489"/>
    <w:rsid w:val="006D7F80"/>
    <w:rsid w:val="006E1139"/>
    <w:rsid w:val="006E1475"/>
    <w:rsid w:val="006E2F3D"/>
    <w:rsid w:val="006F4BD2"/>
    <w:rsid w:val="006F6CB3"/>
    <w:rsid w:val="006F733A"/>
    <w:rsid w:val="0070310D"/>
    <w:rsid w:val="00707CB4"/>
    <w:rsid w:val="007138EB"/>
    <w:rsid w:val="0071787A"/>
    <w:rsid w:val="0072150A"/>
    <w:rsid w:val="00724B22"/>
    <w:rsid w:val="007306A2"/>
    <w:rsid w:val="00731062"/>
    <w:rsid w:val="007320B6"/>
    <w:rsid w:val="007349E8"/>
    <w:rsid w:val="0074036B"/>
    <w:rsid w:val="00743CD3"/>
    <w:rsid w:val="00744A9E"/>
    <w:rsid w:val="00751DD2"/>
    <w:rsid w:val="007534D7"/>
    <w:rsid w:val="00756B3F"/>
    <w:rsid w:val="00770125"/>
    <w:rsid w:val="00781E66"/>
    <w:rsid w:val="00784E2E"/>
    <w:rsid w:val="00785C64"/>
    <w:rsid w:val="007918C3"/>
    <w:rsid w:val="00792816"/>
    <w:rsid w:val="007A1A1C"/>
    <w:rsid w:val="007B0011"/>
    <w:rsid w:val="007B41AD"/>
    <w:rsid w:val="007B5478"/>
    <w:rsid w:val="007C1ACC"/>
    <w:rsid w:val="007C282B"/>
    <w:rsid w:val="007C38DF"/>
    <w:rsid w:val="007C5EF3"/>
    <w:rsid w:val="007D048F"/>
    <w:rsid w:val="007D129C"/>
    <w:rsid w:val="007D30CC"/>
    <w:rsid w:val="007D437F"/>
    <w:rsid w:val="007D60AB"/>
    <w:rsid w:val="007D699F"/>
    <w:rsid w:val="007E32BC"/>
    <w:rsid w:val="007E6496"/>
    <w:rsid w:val="007E66B0"/>
    <w:rsid w:val="007F33D3"/>
    <w:rsid w:val="007F6D4F"/>
    <w:rsid w:val="007F6EA2"/>
    <w:rsid w:val="00801BEA"/>
    <w:rsid w:val="00807DEE"/>
    <w:rsid w:val="00810B5F"/>
    <w:rsid w:val="00816E64"/>
    <w:rsid w:val="00822ECA"/>
    <w:rsid w:val="008305A7"/>
    <w:rsid w:val="00832CF0"/>
    <w:rsid w:val="00853D3F"/>
    <w:rsid w:val="008604F1"/>
    <w:rsid w:val="00864B62"/>
    <w:rsid w:val="0087017A"/>
    <w:rsid w:val="008716F0"/>
    <w:rsid w:val="00872636"/>
    <w:rsid w:val="008742E1"/>
    <w:rsid w:val="00875BB6"/>
    <w:rsid w:val="0088052D"/>
    <w:rsid w:val="00880D2A"/>
    <w:rsid w:val="008830BD"/>
    <w:rsid w:val="008838AB"/>
    <w:rsid w:val="0089074F"/>
    <w:rsid w:val="008A06E7"/>
    <w:rsid w:val="008A3B93"/>
    <w:rsid w:val="008B0251"/>
    <w:rsid w:val="008B0D95"/>
    <w:rsid w:val="008B3A31"/>
    <w:rsid w:val="008C008B"/>
    <w:rsid w:val="008C045F"/>
    <w:rsid w:val="008D061F"/>
    <w:rsid w:val="008D513B"/>
    <w:rsid w:val="008D5C50"/>
    <w:rsid w:val="008D5F3F"/>
    <w:rsid w:val="008E144F"/>
    <w:rsid w:val="008E1A28"/>
    <w:rsid w:val="008E32D9"/>
    <w:rsid w:val="008F3E84"/>
    <w:rsid w:val="008F61A0"/>
    <w:rsid w:val="00902F1E"/>
    <w:rsid w:val="00905271"/>
    <w:rsid w:val="00906581"/>
    <w:rsid w:val="00911B15"/>
    <w:rsid w:val="00920C3E"/>
    <w:rsid w:val="009222E3"/>
    <w:rsid w:val="0092557B"/>
    <w:rsid w:val="00926006"/>
    <w:rsid w:val="009274D6"/>
    <w:rsid w:val="00927849"/>
    <w:rsid w:val="00930052"/>
    <w:rsid w:val="009329E1"/>
    <w:rsid w:val="00954548"/>
    <w:rsid w:val="00955FFD"/>
    <w:rsid w:val="00957062"/>
    <w:rsid w:val="00957797"/>
    <w:rsid w:val="009608B1"/>
    <w:rsid w:val="00960CDE"/>
    <w:rsid w:val="009656DF"/>
    <w:rsid w:val="00972058"/>
    <w:rsid w:val="00973828"/>
    <w:rsid w:val="00975D88"/>
    <w:rsid w:val="009778E2"/>
    <w:rsid w:val="00984751"/>
    <w:rsid w:val="00987D08"/>
    <w:rsid w:val="0099437E"/>
    <w:rsid w:val="00997E1A"/>
    <w:rsid w:val="009A5F20"/>
    <w:rsid w:val="009B36FB"/>
    <w:rsid w:val="009C4050"/>
    <w:rsid w:val="009C4EBC"/>
    <w:rsid w:val="009D1F00"/>
    <w:rsid w:val="009E108B"/>
    <w:rsid w:val="009E307D"/>
    <w:rsid w:val="009E5946"/>
    <w:rsid w:val="009F1E9E"/>
    <w:rsid w:val="009F3218"/>
    <w:rsid w:val="00A0398D"/>
    <w:rsid w:val="00A03A3F"/>
    <w:rsid w:val="00A04600"/>
    <w:rsid w:val="00A05498"/>
    <w:rsid w:val="00A07220"/>
    <w:rsid w:val="00A205E7"/>
    <w:rsid w:val="00A2177E"/>
    <w:rsid w:val="00A220D4"/>
    <w:rsid w:val="00A33216"/>
    <w:rsid w:val="00A41909"/>
    <w:rsid w:val="00A41A13"/>
    <w:rsid w:val="00A431B1"/>
    <w:rsid w:val="00A461C9"/>
    <w:rsid w:val="00A512E2"/>
    <w:rsid w:val="00A52094"/>
    <w:rsid w:val="00A6297B"/>
    <w:rsid w:val="00A64797"/>
    <w:rsid w:val="00A67015"/>
    <w:rsid w:val="00A71CD1"/>
    <w:rsid w:val="00A75CA9"/>
    <w:rsid w:val="00A80216"/>
    <w:rsid w:val="00A82961"/>
    <w:rsid w:val="00A95686"/>
    <w:rsid w:val="00A96794"/>
    <w:rsid w:val="00AA5605"/>
    <w:rsid w:val="00AB18CE"/>
    <w:rsid w:val="00AB5301"/>
    <w:rsid w:val="00AC2822"/>
    <w:rsid w:val="00AC676F"/>
    <w:rsid w:val="00AD1398"/>
    <w:rsid w:val="00AE0FD2"/>
    <w:rsid w:val="00AE13CF"/>
    <w:rsid w:val="00AE271B"/>
    <w:rsid w:val="00AE77CE"/>
    <w:rsid w:val="00AF353C"/>
    <w:rsid w:val="00B03B10"/>
    <w:rsid w:val="00B06A82"/>
    <w:rsid w:val="00B24A12"/>
    <w:rsid w:val="00B251B6"/>
    <w:rsid w:val="00B2645F"/>
    <w:rsid w:val="00B26947"/>
    <w:rsid w:val="00B27DE7"/>
    <w:rsid w:val="00B306DC"/>
    <w:rsid w:val="00B40FCF"/>
    <w:rsid w:val="00B52D84"/>
    <w:rsid w:val="00B55D86"/>
    <w:rsid w:val="00B6124A"/>
    <w:rsid w:val="00B61275"/>
    <w:rsid w:val="00B6285C"/>
    <w:rsid w:val="00B64B9D"/>
    <w:rsid w:val="00B65786"/>
    <w:rsid w:val="00B76F26"/>
    <w:rsid w:val="00B81759"/>
    <w:rsid w:val="00B82D17"/>
    <w:rsid w:val="00B93CAB"/>
    <w:rsid w:val="00BA0C82"/>
    <w:rsid w:val="00BA5CAB"/>
    <w:rsid w:val="00BB16D1"/>
    <w:rsid w:val="00BB79A2"/>
    <w:rsid w:val="00BC0BE5"/>
    <w:rsid w:val="00BC30A2"/>
    <w:rsid w:val="00BD0024"/>
    <w:rsid w:val="00BD13ED"/>
    <w:rsid w:val="00BD6567"/>
    <w:rsid w:val="00BE1F06"/>
    <w:rsid w:val="00BE44CB"/>
    <w:rsid w:val="00BE5BE4"/>
    <w:rsid w:val="00BE5C96"/>
    <w:rsid w:val="00BE7C1D"/>
    <w:rsid w:val="00BF5AC9"/>
    <w:rsid w:val="00BF6517"/>
    <w:rsid w:val="00C027E3"/>
    <w:rsid w:val="00C04627"/>
    <w:rsid w:val="00C10E30"/>
    <w:rsid w:val="00C11316"/>
    <w:rsid w:val="00C1136D"/>
    <w:rsid w:val="00C13585"/>
    <w:rsid w:val="00C13E35"/>
    <w:rsid w:val="00C15C52"/>
    <w:rsid w:val="00C21472"/>
    <w:rsid w:val="00C30F8E"/>
    <w:rsid w:val="00C402CA"/>
    <w:rsid w:val="00C44260"/>
    <w:rsid w:val="00C46200"/>
    <w:rsid w:val="00C50DB8"/>
    <w:rsid w:val="00C51A64"/>
    <w:rsid w:val="00C525D8"/>
    <w:rsid w:val="00C525F3"/>
    <w:rsid w:val="00C53D57"/>
    <w:rsid w:val="00C733FF"/>
    <w:rsid w:val="00C84370"/>
    <w:rsid w:val="00C85E25"/>
    <w:rsid w:val="00C8623F"/>
    <w:rsid w:val="00C94192"/>
    <w:rsid w:val="00CA4AB5"/>
    <w:rsid w:val="00CA5403"/>
    <w:rsid w:val="00CB517C"/>
    <w:rsid w:val="00CB637F"/>
    <w:rsid w:val="00CB6ACB"/>
    <w:rsid w:val="00CB6B91"/>
    <w:rsid w:val="00CD2DCB"/>
    <w:rsid w:val="00CD45E5"/>
    <w:rsid w:val="00CE317C"/>
    <w:rsid w:val="00CE68A4"/>
    <w:rsid w:val="00CE6EFD"/>
    <w:rsid w:val="00CF4ACC"/>
    <w:rsid w:val="00CF6033"/>
    <w:rsid w:val="00D1782F"/>
    <w:rsid w:val="00D261ED"/>
    <w:rsid w:val="00D270BB"/>
    <w:rsid w:val="00D3228C"/>
    <w:rsid w:val="00D36168"/>
    <w:rsid w:val="00D37F08"/>
    <w:rsid w:val="00D42772"/>
    <w:rsid w:val="00D45C27"/>
    <w:rsid w:val="00D479CC"/>
    <w:rsid w:val="00D56A73"/>
    <w:rsid w:val="00D636AC"/>
    <w:rsid w:val="00D63BCA"/>
    <w:rsid w:val="00D64D1E"/>
    <w:rsid w:val="00D656A8"/>
    <w:rsid w:val="00D72BEF"/>
    <w:rsid w:val="00D73C07"/>
    <w:rsid w:val="00D73F01"/>
    <w:rsid w:val="00D7740D"/>
    <w:rsid w:val="00D80E60"/>
    <w:rsid w:val="00D91458"/>
    <w:rsid w:val="00D922CD"/>
    <w:rsid w:val="00D930E2"/>
    <w:rsid w:val="00D9379F"/>
    <w:rsid w:val="00D955B7"/>
    <w:rsid w:val="00DA048D"/>
    <w:rsid w:val="00DA17E2"/>
    <w:rsid w:val="00DA3D2E"/>
    <w:rsid w:val="00DA6423"/>
    <w:rsid w:val="00DA7F4B"/>
    <w:rsid w:val="00DC62AA"/>
    <w:rsid w:val="00DD405F"/>
    <w:rsid w:val="00DD6029"/>
    <w:rsid w:val="00DE2529"/>
    <w:rsid w:val="00DE5075"/>
    <w:rsid w:val="00DE51C1"/>
    <w:rsid w:val="00DE7AB7"/>
    <w:rsid w:val="00DF0D3A"/>
    <w:rsid w:val="00DF2150"/>
    <w:rsid w:val="00DF361F"/>
    <w:rsid w:val="00DF48D9"/>
    <w:rsid w:val="00DF69CE"/>
    <w:rsid w:val="00E06F7C"/>
    <w:rsid w:val="00E1005B"/>
    <w:rsid w:val="00E112ED"/>
    <w:rsid w:val="00E13763"/>
    <w:rsid w:val="00E16B14"/>
    <w:rsid w:val="00E2421B"/>
    <w:rsid w:val="00E2458C"/>
    <w:rsid w:val="00E25D91"/>
    <w:rsid w:val="00E32F45"/>
    <w:rsid w:val="00E3600A"/>
    <w:rsid w:val="00E40675"/>
    <w:rsid w:val="00E5444C"/>
    <w:rsid w:val="00E54EFB"/>
    <w:rsid w:val="00E57EC3"/>
    <w:rsid w:val="00E62624"/>
    <w:rsid w:val="00E70141"/>
    <w:rsid w:val="00E71996"/>
    <w:rsid w:val="00E74688"/>
    <w:rsid w:val="00E75871"/>
    <w:rsid w:val="00E830EB"/>
    <w:rsid w:val="00E83795"/>
    <w:rsid w:val="00E87E6F"/>
    <w:rsid w:val="00E92E12"/>
    <w:rsid w:val="00E97F65"/>
    <w:rsid w:val="00EA1674"/>
    <w:rsid w:val="00EA60E3"/>
    <w:rsid w:val="00EC06C9"/>
    <w:rsid w:val="00EC738E"/>
    <w:rsid w:val="00ED1055"/>
    <w:rsid w:val="00ED1A77"/>
    <w:rsid w:val="00ED215D"/>
    <w:rsid w:val="00ED2837"/>
    <w:rsid w:val="00ED4926"/>
    <w:rsid w:val="00EE0498"/>
    <w:rsid w:val="00EE6B2C"/>
    <w:rsid w:val="00EF3C28"/>
    <w:rsid w:val="00F005CD"/>
    <w:rsid w:val="00F07A47"/>
    <w:rsid w:val="00F1557B"/>
    <w:rsid w:val="00F216BF"/>
    <w:rsid w:val="00F229C5"/>
    <w:rsid w:val="00F23B60"/>
    <w:rsid w:val="00F2571B"/>
    <w:rsid w:val="00F3605C"/>
    <w:rsid w:val="00F37D75"/>
    <w:rsid w:val="00F43CA1"/>
    <w:rsid w:val="00F47AB3"/>
    <w:rsid w:val="00F514B0"/>
    <w:rsid w:val="00F51FC9"/>
    <w:rsid w:val="00F526D6"/>
    <w:rsid w:val="00F60E44"/>
    <w:rsid w:val="00F6187B"/>
    <w:rsid w:val="00F61E6B"/>
    <w:rsid w:val="00F62F6B"/>
    <w:rsid w:val="00F67547"/>
    <w:rsid w:val="00F81434"/>
    <w:rsid w:val="00F836F3"/>
    <w:rsid w:val="00F85435"/>
    <w:rsid w:val="00F94B9C"/>
    <w:rsid w:val="00F96EF6"/>
    <w:rsid w:val="00F97729"/>
    <w:rsid w:val="00FA3A82"/>
    <w:rsid w:val="00FB39DD"/>
    <w:rsid w:val="00FB4642"/>
    <w:rsid w:val="00FC0A19"/>
    <w:rsid w:val="00FC5B92"/>
    <w:rsid w:val="00FC5D5D"/>
    <w:rsid w:val="00FC6A4E"/>
    <w:rsid w:val="00FC7583"/>
    <w:rsid w:val="00FD44DF"/>
    <w:rsid w:val="00FD6575"/>
    <w:rsid w:val="00FD677A"/>
    <w:rsid w:val="00FE1A57"/>
    <w:rsid w:val="00FE5F43"/>
    <w:rsid w:val="00FF2C1E"/>
    <w:rsid w:val="00FF73BD"/>
    <w:rsid w:val="032FBF53"/>
    <w:rsid w:val="04026C63"/>
    <w:rsid w:val="108003FB"/>
    <w:rsid w:val="14207DB3"/>
    <w:rsid w:val="1A52E7A4"/>
    <w:rsid w:val="1C12673B"/>
    <w:rsid w:val="2716AEB8"/>
    <w:rsid w:val="3053EEBA"/>
    <w:rsid w:val="35AA8F25"/>
    <w:rsid w:val="35D75AD1"/>
    <w:rsid w:val="3AAACBF4"/>
    <w:rsid w:val="447FA7DB"/>
    <w:rsid w:val="4D0A8F09"/>
    <w:rsid w:val="616313D6"/>
    <w:rsid w:val="677DB72B"/>
    <w:rsid w:val="7988DD0C"/>
    <w:rsid w:val="7EDDB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DED98"/>
  <w15:chartTrackingRefBased/>
  <w15:docId w15:val="{1B469B46-1EF0-43CD-923E-DB4E298DD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A2A"/>
  </w:style>
  <w:style w:type="paragraph" w:styleId="Heading1">
    <w:name w:val="heading 1"/>
    <w:basedOn w:val="Normal"/>
    <w:next w:val="Normal"/>
    <w:link w:val="Heading1Char"/>
    <w:qFormat/>
    <w:rsid w:val="00104A2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04A2A"/>
    <w:pPr>
      <w:keepNext/>
      <w:keepLines/>
      <w:numPr>
        <w:ilvl w:val="1"/>
        <w:numId w:val="4"/>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04A2A"/>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04A2A"/>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04A2A"/>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04A2A"/>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04A2A"/>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04A2A"/>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04A2A"/>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4A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4A2A"/>
    <w:rPr>
      <w:rFonts w:ascii="Segoe UI" w:hAnsi="Segoe UI" w:cs="Segoe UI"/>
      <w:sz w:val="18"/>
      <w:szCs w:val="18"/>
    </w:rPr>
  </w:style>
  <w:style w:type="character" w:customStyle="1" w:styleId="Heading1Char">
    <w:name w:val="Heading 1 Char"/>
    <w:basedOn w:val="DefaultParagraphFont"/>
    <w:link w:val="Heading1"/>
    <w:rsid w:val="00104A2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04A2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04A2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04A2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104A2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104A2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04A2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04A2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04A2A"/>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104A2A"/>
    <w:pPr>
      <w:ind w:left="720"/>
      <w:contextualSpacing/>
    </w:pPr>
  </w:style>
  <w:style w:type="paragraph" w:customStyle="1" w:styleId="Text">
    <w:name w:val="Text"/>
    <w:basedOn w:val="Normal"/>
    <w:rsid w:val="00104A2A"/>
    <w:pPr>
      <w:tabs>
        <w:tab w:val="left" w:pos="288"/>
      </w:tabs>
      <w:spacing w:after="0" w:line="480" w:lineRule="auto"/>
      <w:ind w:firstLine="288"/>
      <w:jc w:val="both"/>
    </w:pPr>
    <w:rPr>
      <w:rFonts w:ascii="Times New Roman" w:eastAsia="Times New Roman" w:hAnsi="Times New Roman" w:cs="Times New Roman"/>
      <w:sz w:val="20"/>
      <w:szCs w:val="20"/>
      <w:lang w:val="en-US"/>
    </w:rPr>
  </w:style>
  <w:style w:type="table" w:styleId="TableGrid">
    <w:name w:val="Table Grid"/>
    <w:basedOn w:val="TableNormal"/>
    <w:uiPriority w:val="39"/>
    <w:rsid w:val="00484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F5A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C15C52"/>
    <w:rPr>
      <w:sz w:val="16"/>
      <w:szCs w:val="16"/>
    </w:rPr>
  </w:style>
  <w:style w:type="paragraph" w:styleId="CommentText">
    <w:name w:val="annotation text"/>
    <w:basedOn w:val="Normal"/>
    <w:link w:val="CommentTextChar"/>
    <w:uiPriority w:val="99"/>
    <w:semiHidden/>
    <w:unhideWhenUsed/>
    <w:rsid w:val="00C15C52"/>
    <w:pPr>
      <w:spacing w:line="240" w:lineRule="auto"/>
    </w:pPr>
    <w:rPr>
      <w:sz w:val="20"/>
      <w:szCs w:val="20"/>
    </w:rPr>
  </w:style>
  <w:style w:type="character" w:customStyle="1" w:styleId="CommentTextChar">
    <w:name w:val="Comment Text Char"/>
    <w:basedOn w:val="DefaultParagraphFont"/>
    <w:link w:val="CommentText"/>
    <w:uiPriority w:val="99"/>
    <w:semiHidden/>
    <w:rsid w:val="00C15C52"/>
    <w:rPr>
      <w:sz w:val="20"/>
      <w:szCs w:val="20"/>
    </w:rPr>
  </w:style>
  <w:style w:type="paragraph" w:styleId="CommentSubject">
    <w:name w:val="annotation subject"/>
    <w:basedOn w:val="CommentText"/>
    <w:next w:val="CommentText"/>
    <w:link w:val="CommentSubjectChar"/>
    <w:uiPriority w:val="99"/>
    <w:semiHidden/>
    <w:unhideWhenUsed/>
    <w:rsid w:val="00C15C52"/>
    <w:rPr>
      <w:b/>
      <w:bCs/>
    </w:rPr>
  </w:style>
  <w:style w:type="character" w:customStyle="1" w:styleId="CommentSubjectChar">
    <w:name w:val="Comment Subject Char"/>
    <w:basedOn w:val="CommentTextChar"/>
    <w:link w:val="CommentSubject"/>
    <w:uiPriority w:val="99"/>
    <w:semiHidden/>
    <w:rsid w:val="00C15C52"/>
    <w:rPr>
      <w:b/>
      <w:bCs/>
      <w:sz w:val="20"/>
      <w:szCs w:val="20"/>
    </w:rPr>
  </w:style>
  <w:style w:type="character" w:styleId="Hyperlink">
    <w:name w:val="Hyperlink"/>
    <w:basedOn w:val="DefaultParagraphFont"/>
    <w:uiPriority w:val="99"/>
    <w:unhideWhenUsed/>
    <w:rsid w:val="00F43CA1"/>
    <w:rPr>
      <w:color w:val="0563C1" w:themeColor="hyperlink"/>
      <w:u w:val="single"/>
    </w:rPr>
  </w:style>
  <w:style w:type="numbering" w:customStyle="1" w:styleId="Style2">
    <w:name w:val="Style2"/>
    <w:uiPriority w:val="99"/>
    <w:rsid w:val="00BE44CB"/>
    <w:pPr>
      <w:numPr>
        <w:numId w:val="10"/>
      </w:numPr>
    </w:pPr>
  </w:style>
  <w:style w:type="paragraph" w:styleId="Revision">
    <w:name w:val="Revision"/>
    <w:hidden/>
    <w:uiPriority w:val="99"/>
    <w:semiHidden/>
    <w:rsid w:val="00ED2837"/>
    <w:pPr>
      <w:spacing w:after="0" w:line="240" w:lineRule="auto"/>
    </w:pPr>
  </w:style>
  <w:style w:type="character" w:styleId="UnresolvedMention">
    <w:name w:val="Unresolved Mention"/>
    <w:basedOn w:val="DefaultParagraphFont"/>
    <w:uiPriority w:val="99"/>
    <w:semiHidden/>
    <w:unhideWhenUsed/>
    <w:rsid w:val="00A629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746294">
      <w:bodyDiv w:val="1"/>
      <w:marLeft w:val="0"/>
      <w:marRight w:val="0"/>
      <w:marTop w:val="0"/>
      <w:marBottom w:val="0"/>
      <w:divBdr>
        <w:top w:val="none" w:sz="0" w:space="0" w:color="auto"/>
        <w:left w:val="none" w:sz="0" w:space="0" w:color="auto"/>
        <w:bottom w:val="none" w:sz="0" w:space="0" w:color="auto"/>
        <w:right w:val="none" w:sz="0" w:space="0" w:color="auto"/>
      </w:divBdr>
    </w:div>
    <w:div w:id="226231027">
      <w:bodyDiv w:val="1"/>
      <w:marLeft w:val="0"/>
      <w:marRight w:val="0"/>
      <w:marTop w:val="0"/>
      <w:marBottom w:val="0"/>
      <w:divBdr>
        <w:top w:val="none" w:sz="0" w:space="0" w:color="auto"/>
        <w:left w:val="none" w:sz="0" w:space="0" w:color="auto"/>
        <w:bottom w:val="none" w:sz="0" w:space="0" w:color="auto"/>
        <w:right w:val="none" w:sz="0" w:space="0" w:color="auto"/>
      </w:divBdr>
    </w:div>
    <w:div w:id="293409104">
      <w:bodyDiv w:val="1"/>
      <w:marLeft w:val="0"/>
      <w:marRight w:val="0"/>
      <w:marTop w:val="0"/>
      <w:marBottom w:val="0"/>
      <w:divBdr>
        <w:top w:val="none" w:sz="0" w:space="0" w:color="auto"/>
        <w:left w:val="none" w:sz="0" w:space="0" w:color="auto"/>
        <w:bottom w:val="none" w:sz="0" w:space="0" w:color="auto"/>
        <w:right w:val="none" w:sz="0" w:space="0" w:color="auto"/>
      </w:divBdr>
    </w:div>
    <w:div w:id="450900951">
      <w:bodyDiv w:val="1"/>
      <w:marLeft w:val="0"/>
      <w:marRight w:val="0"/>
      <w:marTop w:val="0"/>
      <w:marBottom w:val="0"/>
      <w:divBdr>
        <w:top w:val="none" w:sz="0" w:space="0" w:color="auto"/>
        <w:left w:val="none" w:sz="0" w:space="0" w:color="auto"/>
        <w:bottom w:val="none" w:sz="0" w:space="0" w:color="auto"/>
        <w:right w:val="none" w:sz="0" w:space="0" w:color="auto"/>
      </w:divBdr>
    </w:div>
    <w:div w:id="457066275">
      <w:bodyDiv w:val="1"/>
      <w:marLeft w:val="0"/>
      <w:marRight w:val="0"/>
      <w:marTop w:val="0"/>
      <w:marBottom w:val="0"/>
      <w:divBdr>
        <w:top w:val="none" w:sz="0" w:space="0" w:color="auto"/>
        <w:left w:val="none" w:sz="0" w:space="0" w:color="auto"/>
        <w:bottom w:val="none" w:sz="0" w:space="0" w:color="auto"/>
        <w:right w:val="none" w:sz="0" w:space="0" w:color="auto"/>
      </w:divBdr>
    </w:div>
    <w:div w:id="464466271">
      <w:bodyDiv w:val="1"/>
      <w:marLeft w:val="0"/>
      <w:marRight w:val="0"/>
      <w:marTop w:val="0"/>
      <w:marBottom w:val="0"/>
      <w:divBdr>
        <w:top w:val="none" w:sz="0" w:space="0" w:color="auto"/>
        <w:left w:val="none" w:sz="0" w:space="0" w:color="auto"/>
        <w:bottom w:val="none" w:sz="0" w:space="0" w:color="auto"/>
        <w:right w:val="none" w:sz="0" w:space="0" w:color="auto"/>
      </w:divBdr>
    </w:div>
    <w:div w:id="670647596">
      <w:bodyDiv w:val="1"/>
      <w:marLeft w:val="0"/>
      <w:marRight w:val="0"/>
      <w:marTop w:val="0"/>
      <w:marBottom w:val="0"/>
      <w:divBdr>
        <w:top w:val="none" w:sz="0" w:space="0" w:color="auto"/>
        <w:left w:val="none" w:sz="0" w:space="0" w:color="auto"/>
        <w:bottom w:val="none" w:sz="0" w:space="0" w:color="auto"/>
        <w:right w:val="none" w:sz="0" w:space="0" w:color="auto"/>
      </w:divBdr>
    </w:div>
    <w:div w:id="695885420">
      <w:bodyDiv w:val="1"/>
      <w:marLeft w:val="0"/>
      <w:marRight w:val="0"/>
      <w:marTop w:val="0"/>
      <w:marBottom w:val="0"/>
      <w:divBdr>
        <w:top w:val="none" w:sz="0" w:space="0" w:color="auto"/>
        <w:left w:val="none" w:sz="0" w:space="0" w:color="auto"/>
        <w:bottom w:val="none" w:sz="0" w:space="0" w:color="auto"/>
        <w:right w:val="none" w:sz="0" w:space="0" w:color="auto"/>
      </w:divBdr>
    </w:div>
    <w:div w:id="844829503">
      <w:bodyDiv w:val="1"/>
      <w:marLeft w:val="0"/>
      <w:marRight w:val="0"/>
      <w:marTop w:val="0"/>
      <w:marBottom w:val="0"/>
      <w:divBdr>
        <w:top w:val="none" w:sz="0" w:space="0" w:color="auto"/>
        <w:left w:val="none" w:sz="0" w:space="0" w:color="auto"/>
        <w:bottom w:val="none" w:sz="0" w:space="0" w:color="auto"/>
        <w:right w:val="none" w:sz="0" w:space="0" w:color="auto"/>
      </w:divBdr>
    </w:div>
    <w:div w:id="946158059">
      <w:bodyDiv w:val="1"/>
      <w:marLeft w:val="0"/>
      <w:marRight w:val="0"/>
      <w:marTop w:val="0"/>
      <w:marBottom w:val="0"/>
      <w:divBdr>
        <w:top w:val="none" w:sz="0" w:space="0" w:color="auto"/>
        <w:left w:val="none" w:sz="0" w:space="0" w:color="auto"/>
        <w:bottom w:val="none" w:sz="0" w:space="0" w:color="auto"/>
        <w:right w:val="none" w:sz="0" w:space="0" w:color="auto"/>
      </w:divBdr>
    </w:div>
    <w:div w:id="1005863274">
      <w:bodyDiv w:val="1"/>
      <w:marLeft w:val="0"/>
      <w:marRight w:val="0"/>
      <w:marTop w:val="0"/>
      <w:marBottom w:val="0"/>
      <w:divBdr>
        <w:top w:val="none" w:sz="0" w:space="0" w:color="auto"/>
        <w:left w:val="none" w:sz="0" w:space="0" w:color="auto"/>
        <w:bottom w:val="none" w:sz="0" w:space="0" w:color="auto"/>
        <w:right w:val="none" w:sz="0" w:space="0" w:color="auto"/>
      </w:divBdr>
    </w:div>
    <w:div w:id="1069040483">
      <w:bodyDiv w:val="1"/>
      <w:marLeft w:val="0"/>
      <w:marRight w:val="0"/>
      <w:marTop w:val="0"/>
      <w:marBottom w:val="0"/>
      <w:divBdr>
        <w:top w:val="none" w:sz="0" w:space="0" w:color="auto"/>
        <w:left w:val="none" w:sz="0" w:space="0" w:color="auto"/>
        <w:bottom w:val="none" w:sz="0" w:space="0" w:color="auto"/>
        <w:right w:val="none" w:sz="0" w:space="0" w:color="auto"/>
      </w:divBdr>
    </w:div>
    <w:div w:id="1200168754">
      <w:bodyDiv w:val="1"/>
      <w:marLeft w:val="0"/>
      <w:marRight w:val="0"/>
      <w:marTop w:val="0"/>
      <w:marBottom w:val="0"/>
      <w:divBdr>
        <w:top w:val="none" w:sz="0" w:space="0" w:color="auto"/>
        <w:left w:val="none" w:sz="0" w:space="0" w:color="auto"/>
        <w:bottom w:val="none" w:sz="0" w:space="0" w:color="auto"/>
        <w:right w:val="none" w:sz="0" w:space="0" w:color="auto"/>
      </w:divBdr>
    </w:div>
    <w:div w:id="1232501175">
      <w:bodyDiv w:val="1"/>
      <w:marLeft w:val="0"/>
      <w:marRight w:val="0"/>
      <w:marTop w:val="0"/>
      <w:marBottom w:val="0"/>
      <w:divBdr>
        <w:top w:val="none" w:sz="0" w:space="0" w:color="auto"/>
        <w:left w:val="none" w:sz="0" w:space="0" w:color="auto"/>
        <w:bottom w:val="none" w:sz="0" w:space="0" w:color="auto"/>
        <w:right w:val="none" w:sz="0" w:space="0" w:color="auto"/>
      </w:divBdr>
    </w:div>
    <w:div w:id="1384675224">
      <w:bodyDiv w:val="1"/>
      <w:marLeft w:val="0"/>
      <w:marRight w:val="0"/>
      <w:marTop w:val="0"/>
      <w:marBottom w:val="0"/>
      <w:divBdr>
        <w:top w:val="none" w:sz="0" w:space="0" w:color="auto"/>
        <w:left w:val="none" w:sz="0" w:space="0" w:color="auto"/>
        <w:bottom w:val="none" w:sz="0" w:space="0" w:color="auto"/>
        <w:right w:val="none" w:sz="0" w:space="0" w:color="auto"/>
      </w:divBdr>
    </w:div>
    <w:div w:id="1429542312">
      <w:bodyDiv w:val="1"/>
      <w:marLeft w:val="0"/>
      <w:marRight w:val="0"/>
      <w:marTop w:val="0"/>
      <w:marBottom w:val="0"/>
      <w:divBdr>
        <w:top w:val="none" w:sz="0" w:space="0" w:color="auto"/>
        <w:left w:val="none" w:sz="0" w:space="0" w:color="auto"/>
        <w:bottom w:val="none" w:sz="0" w:space="0" w:color="auto"/>
        <w:right w:val="none" w:sz="0" w:space="0" w:color="auto"/>
      </w:divBdr>
    </w:div>
    <w:div w:id="1495800068">
      <w:bodyDiv w:val="1"/>
      <w:marLeft w:val="0"/>
      <w:marRight w:val="0"/>
      <w:marTop w:val="0"/>
      <w:marBottom w:val="0"/>
      <w:divBdr>
        <w:top w:val="none" w:sz="0" w:space="0" w:color="auto"/>
        <w:left w:val="none" w:sz="0" w:space="0" w:color="auto"/>
        <w:bottom w:val="none" w:sz="0" w:space="0" w:color="auto"/>
        <w:right w:val="none" w:sz="0" w:space="0" w:color="auto"/>
      </w:divBdr>
    </w:div>
    <w:div w:id="1504122144">
      <w:bodyDiv w:val="1"/>
      <w:marLeft w:val="0"/>
      <w:marRight w:val="0"/>
      <w:marTop w:val="0"/>
      <w:marBottom w:val="0"/>
      <w:divBdr>
        <w:top w:val="none" w:sz="0" w:space="0" w:color="auto"/>
        <w:left w:val="none" w:sz="0" w:space="0" w:color="auto"/>
        <w:bottom w:val="none" w:sz="0" w:space="0" w:color="auto"/>
        <w:right w:val="none" w:sz="0" w:space="0" w:color="auto"/>
      </w:divBdr>
    </w:div>
    <w:div w:id="1523324939">
      <w:bodyDiv w:val="1"/>
      <w:marLeft w:val="0"/>
      <w:marRight w:val="0"/>
      <w:marTop w:val="0"/>
      <w:marBottom w:val="0"/>
      <w:divBdr>
        <w:top w:val="none" w:sz="0" w:space="0" w:color="auto"/>
        <w:left w:val="none" w:sz="0" w:space="0" w:color="auto"/>
        <w:bottom w:val="none" w:sz="0" w:space="0" w:color="auto"/>
        <w:right w:val="none" w:sz="0" w:space="0" w:color="auto"/>
      </w:divBdr>
    </w:div>
    <w:div w:id="1532180974">
      <w:bodyDiv w:val="1"/>
      <w:marLeft w:val="0"/>
      <w:marRight w:val="0"/>
      <w:marTop w:val="0"/>
      <w:marBottom w:val="0"/>
      <w:divBdr>
        <w:top w:val="none" w:sz="0" w:space="0" w:color="auto"/>
        <w:left w:val="none" w:sz="0" w:space="0" w:color="auto"/>
        <w:bottom w:val="none" w:sz="0" w:space="0" w:color="auto"/>
        <w:right w:val="none" w:sz="0" w:space="0" w:color="auto"/>
      </w:divBdr>
    </w:div>
    <w:div w:id="1613978072">
      <w:bodyDiv w:val="1"/>
      <w:marLeft w:val="0"/>
      <w:marRight w:val="0"/>
      <w:marTop w:val="0"/>
      <w:marBottom w:val="0"/>
      <w:divBdr>
        <w:top w:val="none" w:sz="0" w:space="0" w:color="auto"/>
        <w:left w:val="none" w:sz="0" w:space="0" w:color="auto"/>
        <w:bottom w:val="none" w:sz="0" w:space="0" w:color="auto"/>
        <w:right w:val="none" w:sz="0" w:space="0" w:color="auto"/>
      </w:divBdr>
    </w:div>
    <w:div w:id="1615748956">
      <w:bodyDiv w:val="1"/>
      <w:marLeft w:val="0"/>
      <w:marRight w:val="0"/>
      <w:marTop w:val="0"/>
      <w:marBottom w:val="0"/>
      <w:divBdr>
        <w:top w:val="none" w:sz="0" w:space="0" w:color="auto"/>
        <w:left w:val="none" w:sz="0" w:space="0" w:color="auto"/>
        <w:bottom w:val="none" w:sz="0" w:space="0" w:color="auto"/>
        <w:right w:val="none" w:sz="0" w:space="0" w:color="auto"/>
      </w:divBdr>
    </w:div>
    <w:div w:id="1629160824">
      <w:bodyDiv w:val="1"/>
      <w:marLeft w:val="0"/>
      <w:marRight w:val="0"/>
      <w:marTop w:val="0"/>
      <w:marBottom w:val="0"/>
      <w:divBdr>
        <w:top w:val="none" w:sz="0" w:space="0" w:color="auto"/>
        <w:left w:val="none" w:sz="0" w:space="0" w:color="auto"/>
        <w:bottom w:val="none" w:sz="0" w:space="0" w:color="auto"/>
        <w:right w:val="none" w:sz="0" w:space="0" w:color="auto"/>
      </w:divBdr>
    </w:div>
    <w:div w:id="1709336711">
      <w:bodyDiv w:val="1"/>
      <w:marLeft w:val="0"/>
      <w:marRight w:val="0"/>
      <w:marTop w:val="0"/>
      <w:marBottom w:val="0"/>
      <w:divBdr>
        <w:top w:val="none" w:sz="0" w:space="0" w:color="auto"/>
        <w:left w:val="none" w:sz="0" w:space="0" w:color="auto"/>
        <w:bottom w:val="none" w:sz="0" w:space="0" w:color="auto"/>
        <w:right w:val="none" w:sz="0" w:space="0" w:color="auto"/>
      </w:divBdr>
    </w:div>
    <w:div w:id="1729647710">
      <w:bodyDiv w:val="1"/>
      <w:marLeft w:val="0"/>
      <w:marRight w:val="0"/>
      <w:marTop w:val="0"/>
      <w:marBottom w:val="0"/>
      <w:divBdr>
        <w:top w:val="none" w:sz="0" w:space="0" w:color="auto"/>
        <w:left w:val="none" w:sz="0" w:space="0" w:color="auto"/>
        <w:bottom w:val="none" w:sz="0" w:space="0" w:color="auto"/>
        <w:right w:val="none" w:sz="0" w:space="0" w:color="auto"/>
      </w:divBdr>
    </w:div>
    <w:div w:id="1807553017">
      <w:bodyDiv w:val="1"/>
      <w:marLeft w:val="0"/>
      <w:marRight w:val="0"/>
      <w:marTop w:val="0"/>
      <w:marBottom w:val="0"/>
      <w:divBdr>
        <w:top w:val="none" w:sz="0" w:space="0" w:color="auto"/>
        <w:left w:val="none" w:sz="0" w:space="0" w:color="auto"/>
        <w:bottom w:val="none" w:sz="0" w:space="0" w:color="auto"/>
        <w:right w:val="none" w:sz="0" w:space="0" w:color="auto"/>
      </w:divBdr>
    </w:div>
    <w:div w:id="1829634461">
      <w:bodyDiv w:val="1"/>
      <w:marLeft w:val="0"/>
      <w:marRight w:val="0"/>
      <w:marTop w:val="0"/>
      <w:marBottom w:val="0"/>
      <w:divBdr>
        <w:top w:val="none" w:sz="0" w:space="0" w:color="auto"/>
        <w:left w:val="none" w:sz="0" w:space="0" w:color="auto"/>
        <w:bottom w:val="none" w:sz="0" w:space="0" w:color="auto"/>
        <w:right w:val="none" w:sz="0" w:space="0" w:color="auto"/>
      </w:divBdr>
    </w:div>
    <w:div w:id="1833183722">
      <w:bodyDiv w:val="1"/>
      <w:marLeft w:val="0"/>
      <w:marRight w:val="0"/>
      <w:marTop w:val="0"/>
      <w:marBottom w:val="0"/>
      <w:divBdr>
        <w:top w:val="none" w:sz="0" w:space="0" w:color="auto"/>
        <w:left w:val="none" w:sz="0" w:space="0" w:color="auto"/>
        <w:bottom w:val="none" w:sz="0" w:space="0" w:color="auto"/>
        <w:right w:val="none" w:sz="0" w:space="0" w:color="auto"/>
      </w:divBdr>
    </w:div>
    <w:div w:id="1923292177">
      <w:bodyDiv w:val="1"/>
      <w:marLeft w:val="0"/>
      <w:marRight w:val="0"/>
      <w:marTop w:val="0"/>
      <w:marBottom w:val="0"/>
      <w:divBdr>
        <w:top w:val="none" w:sz="0" w:space="0" w:color="auto"/>
        <w:left w:val="none" w:sz="0" w:space="0" w:color="auto"/>
        <w:bottom w:val="none" w:sz="0" w:space="0" w:color="auto"/>
        <w:right w:val="none" w:sz="0" w:space="0" w:color="auto"/>
      </w:divBdr>
    </w:div>
    <w:div w:id="202173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sciencedirect.com/science/article/abs/pii/S136192092200414X"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hyperlink" Target="mailto:swapniljagtap111@gmail.com" TargetMode="External"/><Relationship Id="rId11" Type="http://schemas.openxmlformats.org/officeDocument/2006/relationships/image" Target="media/image4.ti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ABCAE08-2EA7-4DD5-899B-82ACEFE75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79</Pages>
  <Words>74116</Words>
  <Characters>422465</Characters>
  <Application>Microsoft Office Word</Application>
  <DocSecurity>0</DocSecurity>
  <Lines>3520</Lines>
  <Paragraphs>991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Jagtap, Swapnil S</dc:creator>
  <cp:keywords/>
  <dc:description/>
  <cp:lastModifiedBy>Jagtap, Swapnil</cp:lastModifiedBy>
  <cp:revision>7</cp:revision>
  <dcterms:created xsi:type="dcterms:W3CDTF">2022-11-24T23:55:00Z</dcterms:created>
  <dcterms:modified xsi:type="dcterms:W3CDTF">2025-01-07T15:04:00Z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http://www.zotero.org/styles/applied-energy</vt:lpwstr>
  </property>
  <property fmtid="{D5CDD505-2E9C-101B-9397-08002B2CF9AE}" pid="9" name="Mendeley Recent Style Name 3_1">
    <vt:lpwstr>Applied Energy</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http://www.zotero.org/styles/international-journal-of-hydrogen-energy</vt:lpwstr>
  </property>
  <property fmtid="{D5CDD505-2E9C-101B-9397-08002B2CF9AE}" pid="17" name="Mendeley Recent Style Name 7_1">
    <vt:lpwstr>International Journal of Hydrogen Energy</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http://www.zotero.org/styles/transportation-research-part-d</vt:lpwstr>
  </property>
  <property fmtid="{D5CDD505-2E9C-101B-9397-08002B2CF9AE}" pid="21" name="Mendeley Recent Style Name 9_1">
    <vt:lpwstr>Transportation Research Part D</vt:lpwstr>
  </property>
  <property fmtid="{D5CDD505-2E9C-101B-9397-08002B2CF9AE}" pid="22" name="Mendeley Document_1">
    <vt:lpwstr>True</vt:lpwstr>
  </property>
  <property fmtid="{D5CDD505-2E9C-101B-9397-08002B2CF9AE}" pid="23" name="Mendeley Unique User Id_1">
    <vt:lpwstr>8e327267-5314-3de6-8c22-753863fb427a</vt:lpwstr>
  </property>
  <property fmtid="{D5CDD505-2E9C-101B-9397-08002B2CF9AE}" pid="24" name="Mendeley Citation Style_1">
    <vt:lpwstr>http://www.zotero.org/styles/ieee</vt:lpwstr>
  </property>
</Properties>
</file>