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2E632" w14:textId="45F1F974" w:rsidR="002F63CF" w:rsidRPr="00DB2332" w:rsidRDefault="003A4BC4" w:rsidP="00B0121E">
      <w:pPr>
        <w:pStyle w:val="Heading1"/>
        <w:numPr>
          <w:ilvl w:val="0"/>
          <w:numId w:val="0"/>
        </w:numPr>
        <w:spacing w:before="0" w:after="240" w:line="480" w:lineRule="auto"/>
        <w:jc w:val="both"/>
        <w:rPr>
          <w:rFonts w:ascii="Times New Roman" w:eastAsia="Times New Roman" w:hAnsi="Times New Roman" w:cs="Times New Roman"/>
          <w:b/>
          <w:bCs/>
          <w:color w:val="auto"/>
          <w:sz w:val="24"/>
          <w:szCs w:val="24"/>
          <w:bdr w:val="none" w:sz="0" w:space="0" w:color="auto" w:frame="1"/>
          <w:lang w:eastAsia="en-GB"/>
        </w:rPr>
      </w:pPr>
      <w:r w:rsidRPr="00FA6B79">
        <w:rPr>
          <w:rFonts w:ascii="Times New Roman" w:eastAsia="Times New Roman" w:hAnsi="Times New Roman" w:cs="Times New Roman"/>
          <w:b/>
          <w:bCs/>
          <w:color w:val="auto"/>
          <w:sz w:val="24"/>
          <w:szCs w:val="24"/>
          <w:bdr w:val="none" w:sz="0" w:space="0" w:color="auto" w:frame="1"/>
          <w:lang w:eastAsia="en-GB"/>
        </w:rPr>
        <w:t>Energy performance e</w:t>
      </w:r>
      <w:r w:rsidR="005104BF" w:rsidRPr="00DB2332">
        <w:rPr>
          <w:rFonts w:ascii="Times New Roman" w:eastAsia="Times New Roman" w:hAnsi="Times New Roman" w:cs="Times New Roman"/>
          <w:b/>
          <w:bCs/>
          <w:color w:val="auto"/>
          <w:sz w:val="24"/>
          <w:szCs w:val="24"/>
          <w:bdr w:val="none" w:sz="0" w:space="0" w:color="auto" w:frame="1"/>
          <w:lang w:eastAsia="en-GB"/>
        </w:rPr>
        <w:t>valuation</w:t>
      </w:r>
      <w:r w:rsidR="005C4890" w:rsidRPr="00DB2332">
        <w:rPr>
          <w:rFonts w:ascii="Times New Roman" w:eastAsia="Times New Roman" w:hAnsi="Times New Roman" w:cs="Times New Roman"/>
          <w:b/>
          <w:bCs/>
          <w:color w:val="auto"/>
          <w:sz w:val="24"/>
          <w:szCs w:val="24"/>
          <w:bdr w:val="none" w:sz="0" w:space="0" w:color="auto" w:frame="1"/>
          <w:lang w:eastAsia="en-GB"/>
        </w:rPr>
        <w:t xml:space="preserve"> of </w:t>
      </w:r>
      <w:r w:rsidR="00D73810" w:rsidRPr="00DB2332">
        <w:rPr>
          <w:rFonts w:ascii="Times New Roman" w:eastAsia="Times New Roman" w:hAnsi="Times New Roman" w:cs="Times New Roman"/>
          <w:b/>
          <w:bCs/>
          <w:color w:val="auto"/>
          <w:sz w:val="24"/>
          <w:szCs w:val="24"/>
          <w:bdr w:val="none" w:sz="0" w:space="0" w:color="auto" w:frame="1"/>
          <w:lang w:eastAsia="en-GB"/>
        </w:rPr>
        <w:t xml:space="preserve">alternative energy vectors for </w:t>
      </w:r>
      <w:r w:rsidR="005C4890" w:rsidRPr="00DB2332">
        <w:rPr>
          <w:rFonts w:ascii="Times New Roman" w:eastAsia="Times New Roman" w:hAnsi="Times New Roman" w:cs="Times New Roman"/>
          <w:b/>
          <w:bCs/>
          <w:color w:val="auto"/>
          <w:sz w:val="24"/>
          <w:szCs w:val="24"/>
          <w:bdr w:val="none" w:sz="0" w:space="0" w:color="auto" w:frame="1"/>
          <w:lang w:eastAsia="en-GB"/>
        </w:rPr>
        <w:t xml:space="preserve">subsonic </w:t>
      </w:r>
      <w:r w:rsidR="00E96892" w:rsidRPr="00DB2332">
        <w:rPr>
          <w:rFonts w:ascii="Times New Roman" w:eastAsia="Times New Roman" w:hAnsi="Times New Roman" w:cs="Times New Roman"/>
          <w:b/>
          <w:bCs/>
          <w:color w:val="auto"/>
          <w:sz w:val="24"/>
          <w:szCs w:val="24"/>
          <w:bdr w:val="none" w:sz="0" w:space="0" w:color="auto" w:frame="1"/>
          <w:lang w:eastAsia="en-GB"/>
        </w:rPr>
        <w:t>long-range</w:t>
      </w:r>
      <w:r w:rsidR="002F63CF" w:rsidRPr="00DB2332">
        <w:rPr>
          <w:rFonts w:ascii="Times New Roman" w:eastAsia="Times New Roman" w:hAnsi="Times New Roman" w:cs="Times New Roman"/>
          <w:b/>
          <w:bCs/>
          <w:color w:val="auto"/>
          <w:sz w:val="24"/>
          <w:szCs w:val="24"/>
          <w:bdr w:val="none" w:sz="0" w:space="0" w:color="auto" w:frame="1"/>
          <w:lang w:eastAsia="en-GB"/>
        </w:rPr>
        <w:t xml:space="preserve"> </w:t>
      </w:r>
      <w:r w:rsidR="00F43DE4" w:rsidRPr="00DB2332">
        <w:rPr>
          <w:rFonts w:ascii="Times New Roman" w:eastAsia="Times New Roman" w:hAnsi="Times New Roman" w:cs="Times New Roman"/>
          <w:b/>
          <w:bCs/>
          <w:color w:val="auto"/>
          <w:sz w:val="24"/>
          <w:szCs w:val="24"/>
          <w:bdr w:val="none" w:sz="0" w:space="0" w:color="auto" w:frame="1"/>
          <w:lang w:eastAsia="en-GB"/>
        </w:rPr>
        <w:t xml:space="preserve">tube-wing </w:t>
      </w:r>
      <w:r w:rsidR="00D73810" w:rsidRPr="00DB2332">
        <w:rPr>
          <w:rFonts w:ascii="Times New Roman" w:eastAsia="Times New Roman" w:hAnsi="Times New Roman" w:cs="Times New Roman"/>
          <w:b/>
          <w:bCs/>
          <w:color w:val="auto"/>
          <w:sz w:val="24"/>
          <w:szCs w:val="24"/>
          <w:bdr w:val="none" w:sz="0" w:space="0" w:color="auto" w:frame="1"/>
          <w:lang w:eastAsia="en-GB"/>
        </w:rPr>
        <w:t>aircraft</w:t>
      </w:r>
    </w:p>
    <w:p w14:paraId="46BBF622" w14:textId="77777777" w:rsidR="00170F7F" w:rsidRPr="00DB2332" w:rsidRDefault="00170F7F" w:rsidP="00170F7F">
      <w:pPr>
        <w:shd w:val="clear" w:color="auto" w:fill="FFFFFF"/>
        <w:spacing w:line="480" w:lineRule="auto"/>
        <w:rPr>
          <w:rFonts w:ascii="Times New Roman" w:eastAsia="Times New Roman" w:hAnsi="Times New Roman" w:cs="Times New Roman"/>
          <w:iCs/>
          <w:sz w:val="24"/>
          <w:szCs w:val="24"/>
        </w:rPr>
      </w:pPr>
      <w:r w:rsidRPr="00DB2332">
        <w:rPr>
          <w:rFonts w:ascii="Times New Roman" w:eastAsia="Times New Roman" w:hAnsi="Times New Roman" w:cs="Times New Roman"/>
          <w:sz w:val="24"/>
          <w:szCs w:val="24"/>
        </w:rPr>
        <w:t xml:space="preserve">Swapnil S. Jagtap </w:t>
      </w:r>
      <w:r w:rsidRPr="00DB2332">
        <w:rPr>
          <w:rFonts w:ascii="Times New Roman" w:eastAsia="Times New Roman" w:hAnsi="Times New Roman" w:cs="Times New Roman"/>
          <w:sz w:val="24"/>
          <w:szCs w:val="24"/>
          <w:vertAlign w:val="superscript"/>
        </w:rPr>
        <w:t>a</w:t>
      </w:r>
      <w:r w:rsidRPr="00DB2332">
        <w:rPr>
          <w:rFonts w:ascii="Times New Roman" w:eastAsia="Times New Roman" w:hAnsi="Times New Roman" w:cs="Times New Roman"/>
          <w:sz w:val="24"/>
          <w:szCs w:val="24"/>
        </w:rPr>
        <w:t xml:space="preserve">, Peter R.N. Childs </w:t>
      </w:r>
      <w:r w:rsidRPr="00DB2332">
        <w:rPr>
          <w:rFonts w:ascii="Times New Roman" w:eastAsia="Times New Roman" w:hAnsi="Times New Roman" w:cs="Times New Roman"/>
          <w:sz w:val="24"/>
          <w:szCs w:val="24"/>
          <w:vertAlign w:val="superscript"/>
        </w:rPr>
        <w:t>b</w:t>
      </w:r>
      <w:r w:rsidRPr="00DB2332">
        <w:rPr>
          <w:rFonts w:ascii="Times New Roman" w:eastAsia="Times New Roman" w:hAnsi="Times New Roman" w:cs="Times New Roman"/>
          <w:sz w:val="24"/>
          <w:szCs w:val="24"/>
        </w:rPr>
        <w:t xml:space="preserve"> and Marc E.J. Stettler </w:t>
      </w:r>
      <w:r w:rsidRPr="00DB2332">
        <w:rPr>
          <w:rFonts w:ascii="Times New Roman" w:eastAsia="Times New Roman" w:hAnsi="Times New Roman" w:cs="Times New Roman"/>
          <w:sz w:val="24"/>
          <w:szCs w:val="24"/>
          <w:vertAlign w:val="superscript"/>
        </w:rPr>
        <w:t>a*</w:t>
      </w:r>
    </w:p>
    <w:p w14:paraId="33DE5CC8" w14:textId="77777777" w:rsidR="00170F7F" w:rsidRPr="00DB2332" w:rsidRDefault="00170F7F" w:rsidP="00170F7F">
      <w:pPr>
        <w:shd w:val="clear" w:color="auto" w:fill="FFFFFF"/>
        <w:spacing w:after="240" w:line="480" w:lineRule="auto"/>
        <w:rPr>
          <w:rFonts w:ascii="Times New Roman" w:eastAsia="Times New Roman" w:hAnsi="Times New Roman" w:cs="Times New Roman"/>
          <w:iCs/>
          <w:sz w:val="24"/>
          <w:szCs w:val="24"/>
        </w:rPr>
      </w:pPr>
      <w:r w:rsidRPr="00DB2332">
        <w:rPr>
          <w:rFonts w:ascii="Times New Roman" w:eastAsia="Times New Roman" w:hAnsi="Times New Roman" w:cs="Times New Roman"/>
          <w:iCs/>
          <w:sz w:val="24"/>
          <w:szCs w:val="24"/>
          <w:vertAlign w:val="superscript"/>
        </w:rPr>
        <w:t>a</w:t>
      </w:r>
      <w:r w:rsidRPr="00DB2332">
        <w:rPr>
          <w:rFonts w:ascii="Times New Roman" w:eastAsia="Times New Roman" w:hAnsi="Times New Roman" w:cs="Times New Roman"/>
          <w:iCs/>
          <w:sz w:val="24"/>
          <w:szCs w:val="24"/>
        </w:rPr>
        <w:t xml:space="preserve"> Centre for Transport Studies, Department of Civil and Environmental Engineering, Imperial College London, London SW7 2AZ, United Kingdom</w:t>
      </w:r>
    </w:p>
    <w:p w14:paraId="749A23BE" w14:textId="77777777" w:rsidR="00170F7F" w:rsidRPr="00DB2332" w:rsidRDefault="00170F7F" w:rsidP="00170F7F">
      <w:pPr>
        <w:shd w:val="clear" w:color="auto" w:fill="FFFFFF" w:themeFill="background1"/>
        <w:spacing w:after="240" w:line="480" w:lineRule="auto"/>
        <w:rPr>
          <w:rFonts w:ascii="Times New Roman" w:eastAsia="Times New Roman" w:hAnsi="Times New Roman" w:cs="Times New Roman"/>
          <w:sz w:val="24"/>
          <w:szCs w:val="24"/>
        </w:rPr>
      </w:pPr>
      <w:r w:rsidRPr="00DB2332">
        <w:rPr>
          <w:rFonts w:ascii="Times New Roman" w:eastAsia="Times New Roman" w:hAnsi="Times New Roman" w:cs="Times New Roman"/>
          <w:sz w:val="24"/>
          <w:szCs w:val="24"/>
          <w:vertAlign w:val="superscript"/>
        </w:rPr>
        <w:t>b</w:t>
      </w:r>
      <w:r w:rsidRPr="00DB2332">
        <w:rPr>
          <w:rFonts w:ascii="Times New Roman" w:eastAsia="Times New Roman" w:hAnsi="Times New Roman" w:cs="Times New Roman"/>
          <w:sz w:val="24"/>
          <w:szCs w:val="24"/>
        </w:rPr>
        <w:t xml:space="preserve"> Energy Futures Lab, Imperial College London, London SW7 2AZ, United Kingdom</w:t>
      </w:r>
    </w:p>
    <w:p w14:paraId="585A2DFA" w14:textId="77777777" w:rsidR="00170F7F" w:rsidRPr="00DB2332" w:rsidRDefault="00170F7F" w:rsidP="00170F7F">
      <w:pPr>
        <w:shd w:val="clear" w:color="auto" w:fill="FFFFFF"/>
        <w:spacing w:after="240" w:line="480" w:lineRule="auto"/>
        <w:rPr>
          <w:rFonts w:ascii="Times New Roman" w:eastAsia="Times New Roman" w:hAnsi="Times New Roman" w:cs="Times New Roman"/>
          <w:iCs/>
          <w:sz w:val="24"/>
          <w:szCs w:val="24"/>
        </w:rPr>
      </w:pPr>
      <w:r w:rsidRPr="00DB2332">
        <w:rPr>
          <w:rFonts w:ascii="Times New Roman" w:eastAsia="Times New Roman" w:hAnsi="Times New Roman" w:cs="Times New Roman"/>
          <w:iCs/>
          <w:sz w:val="24"/>
          <w:szCs w:val="24"/>
        </w:rPr>
        <w:t xml:space="preserve">* Corresponding author: </w:t>
      </w:r>
      <w:hyperlink r:id="rId11" w:history="1">
        <w:r w:rsidRPr="00DB2332">
          <w:rPr>
            <w:rStyle w:val="Hyperlink"/>
            <w:rFonts w:ascii="Times New Roman" w:eastAsia="Times New Roman" w:hAnsi="Times New Roman" w:cs="Times New Roman"/>
            <w:iCs/>
            <w:sz w:val="24"/>
            <w:szCs w:val="24"/>
          </w:rPr>
          <w:t>m.stettler@imperial.ac.uk</w:t>
        </w:r>
      </w:hyperlink>
      <w:r w:rsidRPr="00FA6B79">
        <w:rPr>
          <w:rFonts w:ascii="Times New Roman" w:eastAsia="Times New Roman" w:hAnsi="Times New Roman" w:cs="Times New Roman"/>
          <w:iCs/>
          <w:sz w:val="24"/>
          <w:szCs w:val="24"/>
        </w:rPr>
        <w:t xml:space="preserve"> </w:t>
      </w:r>
    </w:p>
    <w:p w14:paraId="4459EB99" w14:textId="5AC769F6" w:rsidR="002F63CF" w:rsidRPr="00DB2332" w:rsidRDefault="002F63CF" w:rsidP="00A55A5B">
      <w:pPr>
        <w:pStyle w:val="Heading1"/>
        <w:numPr>
          <w:ilvl w:val="0"/>
          <w:numId w:val="0"/>
        </w:numPr>
        <w:spacing w:before="0" w:after="240" w:line="480" w:lineRule="auto"/>
        <w:rPr>
          <w:rFonts w:ascii="Times New Roman" w:eastAsia="Times New Roman" w:hAnsi="Times New Roman" w:cs="Times New Roman"/>
          <w:b/>
          <w:bCs/>
          <w:color w:val="auto"/>
          <w:sz w:val="24"/>
          <w:szCs w:val="24"/>
          <w:bdr w:val="none" w:sz="0" w:space="0" w:color="auto" w:frame="1"/>
          <w:lang w:eastAsia="en-GB"/>
        </w:rPr>
      </w:pPr>
      <w:r w:rsidRPr="00DB2332">
        <w:rPr>
          <w:rFonts w:ascii="Times New Roman" w:eastAsia="Times New Roman" w:hAnsi="Times New Roman" w:cs="Times New Roman"/>
          <w:b/>
          <w:bCs/>
          <w:color w:val="auto"/>
          <w:sz w:val="24"/>
          <w:szCs w:val="24"/>
          <w:bdr w:val="none" w:sz="0" w:space="0" w:color="auto" w:frame="1"/>
          <w:lang w:eastAsia="en-GB"/>
        </w:rPr>
        <w:t>Abstract</w:t>
      </w:r>
    </w:p>
    <w:p w14:paraId="4399098C" w14:textId="10BDE03E" w:rsidR="001B5FF2" w:rsidRPr="00DB2332" w:rsidRDefault="00FC2870" w:rsidP="000C5E43">
      <w:pPr>
        <w:tabs>
          <w:tab w:val="left" w:pos="709"/>
        </w:tabs>
        <w:spacing w:after="240" w:line="480" w:lineRule="auto"/>
        <w:jc w:val="both"/>
        <w:rPr>
          <w:rFonts w:ascii="Times New Roman" w:eastAsia="Times New Roman" w:hAnsi="Times New Roman" w:cs="Times New Roman"/>
          <w:sz w:val="24"/>
          <w:szCs w:val="24"/>
          <w:bdr w:val="none" w:sz="0" w:space="0" w:color="auto" w:frame="1"/>
          <w:lang w:eastAsia="en-GB"/>
        </w:rPr>
      </w:pPr>
      <w:r w:rsidRPr="00DB2332">
        <w:rPr>
          <w:rFonts w:ascii="Times New Roman" w:eastAsia="Times New Roman" w:hAnsi="Times New Roman" w:cs="Times New Roman"/>
          <w:bCs/>
          <w:sz w:val="24"/>
          <w:szCs w:val="24"/>
        </w:rPr>
        <w:tab/>
      </w:r>
      <w:r w:rsidR="00CF5C27" w:rsidRPr="00DB2332">
        <w:rPr>
          <w:rFonts w:ascii="Times New Roman" w:eastAsia="Times New Roman" w:hAnsi="Times New Roman" w:cs="Times New Roman"/>
          <w:sz w:val="24"/>
          <w:szCs w:val="24"/>
        </w:rPr>
        <w:t xml:space="preserve">Decarbonising long-range aviation is challenging. This study evaluates the performance of six low-carbon fuels </w:t>
      </w:r>
      <w:r w:rsidR="00CF5C27" w:rsidRPr="00DB2332">
        <w:rPr>
          <w:rFonts w:ascii="Times New Roman" w:hAnsi="Times New Roman" w:cs="Times New Roman"/>
          <w:sz w:val="24"/>
          <w:szCs w:val="24"/>
        </w:rPr>
        <w:t>and their realistic impacts on aircraft design</w:t>
      </w:r>
      <w:r w:rsidR="00CF5C27" w:rsidRPr="00DB2332">
        <w:rPr>
          <w:rFonts w:ascii="Times New Roman" w:eastAsia="Times New Roman" w:hAnsi="Times New Roman" w:cs="Times New Roman"/>
          <w:sz w:val="24"/>
          <w:szCs w:val="24"/>
        </w:rPr>
        <w:t xml:space="preserve"> for a large long-range passenger aircraft</w:t>
      </w:r>
      <w:r w:rsidR="00CF5C27" w:rsidRPr="00DB2332">
        <w:rPr>
          <w:rFonts w:ascii="Times New Roman" w:hAnsi="Times New Roman" w:cs="Times New Roman"/>
          <w:sz w:val="24"/>
          <w:szCs w:val="24"/>
        </w:rPr>
        <w:t xml:space="preserve"> using Breguet’s range equation. Liquid hydrogen (LH</w:t>
      </w:r>
      <w:r w:rsidR="00CF5C27" w:rsidRPr="00DB2332">
        <w:rPr>
          <w:rFonts w:ascii="Times New Roman" w:hAnsi="Times New Roman" w:cs="Times New Roman"/>
          <w:sz w:val="24"/>
          <w:szCs w:val="24"/>
          <w:vertAlign w:val="subscript"/>
        </w:rPr>
        <w:t>2</w:t>
      </w:r>
      <w:r w:rsidR="00CF5C27" w:rsidRPr="00DB2332">
        <w:rPr>
          <w:rFonts w:ascii="Times New Roman" w:hAnsi="Times New Roman" w:cs="Times New Roman"/>
          <w:sz w:val="24"/>
          <w:szCs w:val="24"/>
        </w:rPr>
        <w:t xml:space="preserve">) and 100% synthetic paraffin kerosene (SPK) are the only two alternative fuels found </w:t>
      </w:r>
      <w:r w:rsidR="0B56107B" w:rsidRPr="00DB2332">
        <w:rPr>
          <w:rFonts w:ascii="Times New Roman" w:hAnsi="Times New Roman" w:cs="Times New Roman"/>
          <w:sz w:val="24"/>
          <w:szCs w:val="24"/>
        </w:rPr>
        <w:t xml:space="preserve">to be </w:t>
      </w:r>
      <w:r w:rsidR="414722F8" w:rsidRPr="00DB2332">
        <w:rPr>
          <w:rFonts w:ascii="Times New Roman" w:hAnsi="Times New Roman" w:cs="Times New Roman"/>
          <w:sz w:val="24"/>
          <w:szCs w:val="24"/>
        </w:rPr>
        <w:t>viable</w:t>
      </w:r>
      <w:r w:rsidR="00CF5C27" w:rsidRPr="00DB2332">
        <w:rPr>
          <w:rFonts w:ascii="Times New Roman" w:hAnsi="Times New Roman" w:cs="Times New Roman"/>
          <w:sz w:val="24"/>
          <w:szCs w:val="24"/>
        </w:rPr>
        <w:t>. Using present-day technology, we find that the design</w:t>
      </w:r>
      <w:r w:rsidR="00EE3F58" w:rsidRPr="00A534E5">
        <w:rPr>
          <w:rFonts w:ascii="Times New Roman" w:hAnsi="Times New Roman" w:cs="Times New Roman"/>
          <w:sz w:val="24"/>
          <w:szCs w:val="24"/>
        </w:rPr>
        <w:t>-</w:t>
      </w:r>
      <w:r w:rsidR="00CF5C27" w:rsidRPr="00DB2332">
        <w:rPr>
          <w:rFonts w:ascii="Times New Roman" w:hAnsi="Times New Roman" w:cs="Times New Roman"/>
          <w:sz w:val="24"/>
          <w:szCs w:val="24"/>
        </w:rPr>
        <w:t xml:space="preserve">point specific energy consumption (SEC, MJ/tonne-km) of </w:t>
      </w:r>
      <w:r w:rsidR="0CF1E0DC" w:rsidRPr="00DB2332">
        <w:rPr>
          <w:rFonts w:ascii="Times New Roman" w:hAnsi="Times New Roman" w:cs="Times New Roman"/>
          <w:sz w:val="24"/>
          <w:szCs w:val="24"/>
        </w:rPr>
        <w:t xml:space="preserve">tube-wing </w:t>
      </w:r>
      <w:r w:rsidR="00CF5C27" w:rsidRPr="00DB2332">
        <w:rPr>
          <w:rFonts w:ascii="Times New Roman" w:hAnsi="Times New Roman" w:cs="Times New Roman"/>
          <w:sz w:val="24"/>
          <w:szCs w:val="24"/>
        </w:rPr>
        <w:t>aircraft powered by LH</w:t>
      </w:r>
      <w:r w:rsidR="00CF5C27" w:rsidRPr="00DB2332">
        <w:rPr>
          <w:rFonts w:ascii="Times New Roman" w:hAnsi="Times New Roman" w:cs="Times New Roman"/>
          <w:sz w:val="24"/>
          <w:szCs w:val="24"/>
          <w:vertAlign w:val="subscript"/>
        </w:rPr>
        <w:t>2</w:t>
      </w:r>
      <w:r w:rsidR="00CF5C27" w:rsidRPr="00DB2332">
        <w:rPr>
          <w:rFonts w:ascii="Times New Roman" w:hAnsi="Times New Roman" w:cs="Times New Roman"/>
          <w:sz w:val="24"/>
          <w:szCs w:val="24"/>
        </w:rPr>
        <w:t xml:space="preserve"> and 100% SPK are 11% higher and 0.2% lower relative to Jet-A, respectively. At off-design points, SEC of 100% SPK and LH</w:t>
      </w:r>
      <w:r w:rsidR="00CF5C27" w:rsidRPr="00DB2332">
        <w:rPr>
          <w:rFonts w:ascii="Times New Roman" w:hAnsi="Times New Roman" w:cs="Times New Roman"/>
          <w:sz w:val="24"/>
          <w:szCs w:val="24"/>
          <w:vertAlign w:val="subscript"/>
        </w:rPr>
        <w:t>2</w:t>
      </w:r>
      <w:r w:rsidR="00CF5C27" w:rsidRPr="00DB2332">
        <w:rPr>
          <w:rFonts w:ascii="Times New Roman" w:hAnsi="Times New Roman" w:cs="Times New Roman"/>
          <w:sz w:val="24"/>
          <w:szCs w:val="24"/>
        </w:rPr>
        <w:t xml:space="preserve"> are always </w:t>
      </w:r>
      <w:proofErr w:type="gramStart"/>
      <w:r w:rsidR="00CF5C27" w:rsidRPr="00DB2332">
        <w:rPr>
          <w:rFonts w:ascii="Times New Roman" w:hAnsi="Times New Roman" w:cs="Times New Roman"/>
          <w:sz w:val="24"/>
          <w:szCs w:val="24"/>
        </w:rPr>
        <w:t>similar to</w:t>
      </w:r>
      <w:proofErr w:type="gramEnd"/>
      <w:r w:rsidR="00CF5C27" w:rsidRPr="00DB2332">
        <w:rPr>
          <w:rFonts w:ascii="Times New Roman" w:hAnsi="Times New Roman" w:cs="Times New Roman"/>
          <w:sz w:val="24"/>
          <w:szCs w:val="24"/>
        </w:rPr>
        <w:t xml:space="preserve"> </w:t>
      </w:r>
      <w:r w:rsidR="00AD736C" w:rsidRPr="00DB2332">
        <w:rPr>
          <w:rFonts w:ascii="Times New Roman" w:hAnsi="Times New Roman" w:cs="Times New Roman"/>
          <w:sz w:val="24"/>
          <w:szCs w:val="24"/>
        </w:rPr>
        <w:t>and</w:t>
      </w:r>
      <w:r w:rsidR="4DBC97EE" w:rsidRPr="00DB2332">
        <w:rPr>
          <w:rFonts w:ascii="Times New Roman" w:hAnsi="Times New Roman" w:cs="Times New Roman"/>
          <w:sz w:val="24"/>
          <w:szCs w:val="24"/>
        </w:rPr>
        <w:t xml:space="preserve"> </w:t>
      </w:r>
      <w:r w:rsidR="00CF5C27" w:rsidRPr="00DB2332">
        <w:rPr>
          <w:rFonts w:ascii="Times New Roman" w:hAnsi="Times New Roman" w:cs="Times New Roman"/>
          <w:sz w:val="24"/>
          <w:szCs w:val="24"/>
        </w:rPr>
        <w:t>greater than Jet-A, respectively. LH</w:t>
      </w:r>
      <w:r w:rsidR="00CF5C27" w:rsidRPr="00DB2332">
        <w:rPr>
          <w:rFonts w:ascii="Times New Roman" w:hAnsi="Times New Roman" w:cs="Times New Roman"/>
          <w:sz w:val="24"/>
          <w:szCs w:val="24"/>
          <w:vertAlign w:val="subscript"/>
        </w:rPr>
        <w:t>2</w:t>
      </w:r>
      <w:r w:rsidR="00CF5C27" w:rsidRPr="00DB2332">
        <w:rPr>
          <w:rFonts w:ascii="Times New Roman" w:hAnsi="Times New Roman" w:cs="Times New Roman"/>
          <w:sz w:val="24"/>
          <w:szCs w:val="24"/>
        </w:rPr>
        <w:t xml:space="preserve"> aircraft SEC decreases with increasing range and is less sensitive beyond 10,000 km. </w:t>
      </w:r>
      <w:r w:rsidR="00204897" w:rsidRPr="00DB2332">
        <w:rPr>
          <w:rFonts w:ascii="Times New Roman" w:hAnsi="Times New Roman" w:cs="Times New Roman"/>
          <w:sz w:val="24"/>
          <w:szCs w:val="24"/>
        </w:rPr>
        <w:t>In a first, we develop an equation that enables LH</w:t>
      </w:r>
      <w:r w:rsidR="00204897" w:rsidRPr="00DB2332">
        <w:rPr>
          <w:rFonts w:ascii="Times New Roman" w:hAnsi="Times New Roman" w:cs="Times New Roman"/>
          <w:sz w:val="24"/>
          <w:szCs w:val="24"/>
          <w:vertAlign w:val="subscript"/>
        </w:rPr>
        <w:t>2</w:t>
      </w:r>
      <w:r w:rsidR="00204897" w:rsidRPr="00DB2332">
        <w:rPr>
          <w:rFonts w:ascii="Times New Roman" w:hAnsi="Times New Roman" w:cs="Times New Roman"/>
          <w:sz w:val="24"/>
          <w:szCs w:val="24"/>
        </w:rPr>
        <w:t xml:space="preserve"> aircraft weight-sizing. </w:t>
      </w:r>
      <w:r w:rsidR="00CF5C27" w:rsidRPr="00DB2332">
        <w:rPr>
          <w:rFonts w:ascii="Times New Roman" w:hAnsi="Times New Roman" w:cs="Times New Roman"/>
          <w:sz w:val="24"/>
          <w:szCs w:val="24"/>
        </w:rPr>
        <w:t xml:space="preserve">Our results </w:t>
      </w:r>
      <w:r w:rsidR="00CF5C27" w:rsidRPr="00DB2332">
        <w:rPr>
          <w:rFonts w:ascii="Times New Roman" w:eastAsia="Times New Roman" w:hAnsi="Times New Roman" w:cs="Times New Roman"/>
          <w:sz w:val="24"/>
          <w:szCs w:val="24"/>
          <w:bdr w:val="none" w:sz="0" w:space="0" w:color="auto" w:frame="1"/>
          <w:lang w:eastAsia="en-GB"/>
        </w:rPr>
        <w:t xml:space="preserve">should inform studies on </w:t>
      </w:r>
      <w:r w:rsidR="00CF5C27" w:rsidRPr="00DB2332">
        <w:rPr>
          <w:rFonts w:ascii="Times New Roman" w:hAnsi="Times New Roman" w:cs="Times New Roman"/>
          <w:sz w:val="24"/>
          <w:szCs w:val="24"/>
        </w:rPr>
        <w:t>LH</w:t>
      </w:r>
      <w:r w:rsidR="00CF5C27" w:rsidRPr="00DB2332">
        <w:rPr>
          <w:rFonts w:ascii="Times New Roman" w:hAnsi="Times New Roman" w:cs="Times New Roman"/>
          <w:sz w:val="24"/>
          <w:szCs w:val="24"/>
          <w:vertAlign w:val="subscript"/>
        </w:rPr>
        <w:t>2</w:t>
      </w:r>
      <w:r w:rsidR="00CF5C27" w:rsidRPr="00DB2332">
        <w:rPr>
          <w:rFonts w:ascii="Times New Roman" w:hAnsi="Times New Roman" w:cs="Times New Roman"/>
          <w:sz w:val="24"/>
          <w:szCs w:val="24"/>
        </w:rPr>
        <w:t xml:space="preserve"> and 100% SPK</w:t>
      </w:r>
      <w:r w:rsidR="00CF5C27" w:rsidRPr="00DB2332">
        <w:rPr>
          <w:rFonts w:ascii="Times New Roman" w:eastAsia="Times New Roman" w:hAnsi="Times New Roman" w:cs="Times New Roman"/>
          <w:sz w:val="24"/>
          <w:szCs w:val="24"/>
          <w:bdr w:val="none" w:sz="0" w:space="0" w:color="auto" w:frame="1"/>
          <w:lang w:eastAsia="en-GB"/>
        </w:rPr>
        <w:t xml:space="preserve"> aircraft operating costs and lifecycle emissions.</w:t>
      </w:r>
    </w:p>
    <w:p w14:paraId="1F1F0D9C" w14:textId="40B38F9B" w:rsidR="00A21ED3" w:rsidRPr="00DB2332" w:rsidRDefault="00A21ED3" w:rsidP="000C5E43">
      <w:pPr>
        <w:tabs>
          <w:tab w:val="left" w:pos="709"/>
        </w:tabs>
        <w:spacing w:after="240" w:line="480" w:lineRule="auto"/>
        <w:jc w:val="both"/>
        <w:rPr>
          <w:rFonts w:ascii="Times New Roman" w:eastAsia="Times New Roman" w:hAnsi="Times New Roman" w:cs="Times New Roman"/>
          <w:sz w:val="24"/>
          <w:szCs w:val="24"/>
          <w:bdr w:val="none" w:sz="0" w:space="0" w:color="auto" w:frame="1"/>
          <w:lang w:eastAsia="en-GB"/>
        </w:rPr>
        <w:sectPr w:rsidR="00A21ED3" w:rsidRPr="00DB2332" w:rsidSect="00391BCC">
          <w:footerReference w:type="default" r:id="rId12"/>
          <w:pgSz w:w="11906" w:h="16838"/>
          <w:pgMar w:top="1440" w:right="1440" w:bottom="1440" w:left="1440" w:header="709" w:footer="709" w:gutter="0"/>
          <w:cols w:space="708"/>
          <w:docGrid w:linePitch="360"/>
        </w:sectPr>
      </w:pPr>
    </w:p>
    <w:p w14:paraId="1C2D0594" w14:textId="77777777" w:rsidR="00E54D4F" w:rsidRPr="00DB2332" w:rsidRDefault="001B5FF2" w:rsidP="000C5E43">
      <w:pPr>
        <w:spacing w:line="480" w:lineRule="auto"/>
        <w:rPr>
          <w:rFonts w:ascii="Times New Roman" w:eastAsia="Times New Roman" w:hAnsi="Times New Roman" w:cs="Times New Roman"/>
          <w:b/>
          <w:bCs/>
          <w:sz w:val="24"/>
          <w:szCs w:val="24"/>
          <w:bdr w:val="none" w:sz="0" w:space="0" w:color="auto" w:frame="1"/>
          <w:lang w:eastAsia="en-GB"/>
        </w:rPr>
      </w:pPr>
      <w:r w:rsidRPr="00FA6B79">
        <w:rPr>
          <w:rFonts w:ascii="Times New Roman" w:eastAsia="Times New Roman" w:hAnsi="Times New Roman" w:cs="Times New Roman"/>
          <w:b/>
          <w:bCs/>
          <w:sz w:val="24"/>
          <w:szCs w:val="24"/>
          <w:bdr w:val="none" w:sz="0" w:space="0" w:color="auto" w:frame="1"/>
          <w:lang w:eastAsia="en-GB"/>
        </w:rPr>
        <w:t>Keywords</w:t>
      </w:r>
    </w:p>
    <w:p w14:paraId="76AABE22" w14:textId="07F8C8A6" w:rsidR="001B101D" w:rsidRPr="00DB2332" w:rsidRDefault="00E54D4F" w:rsidP="000C5E43">
      <w:pPr>
        <w:spacing w:line="480" w:lineRule="auto"/>
        <w:rPr>
          <w:rFonts w:ascii="Times New Roman" w:eastAsia="Times New Roman" w:hAnsi="Times New Roman" w:cs="Times New Roman"/>
          <w:b/>
          <w:bCs/>
          <w:sz w:val="24"/>
          <w:szCs w:val="24"/>
          <w:bdr w:val="none" w:sz="0" w:space="0" w:color="auto" w:frame="1"/>
          <w:lang w:eastAsia="en-GB"/>
        </w:rPr>
      </w:pPr>
      <w:r w:rsidRPr="00DB2332">
        <w:rPr>
          <w:rFonts w:ascii="Times New Roman" w:eastAsia="Times New Roman" w:hAnsi="Times New Roman" w:cs="Times New Roman"/>
          <w:sz w:val="24"/>
          <w:szCs w:val="24"/>
          <w:bdr w:val="none" w:sz="0" w:space="0" w:color="auto" w:frame="1"/>
          <w:lang w:eastAsia="en-GB"/>
        </w:rPr>
        <w:t xml:space="preserve">Alternative fuels; </w:t>
      </w:r>
      <w:r w:rsidR="00684EE3" w:rsidRPr="00DB2332">
        <w:rPr>
          <w:rFonts w:ascii="Times New Roman" w:eastAsia="Times New Roman" w:hAnsi="Times New Roman" w:cs="Times New Roman"/>
          <w:sz w:val="24"/>
          <w:szCs w:val="24"/>
          <w:bdr w:val="none" w:sz="0" w:space="0" w:color="auto" w:frame="1"/>
          <w:lang w:eastAsia="en-GB"/>
        </w:rPr>
        <w:t xml:space="preserve">low-carbon aviation; </w:t>
      </w:r>
      <w:r w:rsidRPr="00DB2332">
        <w:rPr>
          <w:rFonts w:ascii="Times New Roman" w:eastAsia="Times New Roman" w:hAnsi="Times New Roman" w:cs="Times New Roman"/>
          <w:sz w:val="24"/>
          <w:szCs w:val="24"/>
          <w:bdr w:val="none" w:sz="0" w:space="0" w:color="auto" w:frame="1"/>
          <w:lang w:eastAsia="en-GB"/>
        </w:rPr>
        <w:t>liquid hydrogen aircraft;</w:t>
      </w:r>
      <w:r w:rsidR="009F1146" w:rsidRPr="00DB2332">
        <w:rPr>
          <w:rFonts w:ascii="Times New Roman" w:eastAsia="Times New Roman" w:hAnsi="Times New Roman" w:cs="Times New Roman"/>
          <w:sz w:val="24"/>
          <w:szCs w:val="24"/>
          <w:bdr w:val="none" w:sz="0" w:space="0" w:color="auto" w:frame="1"/>
          <w:lang w:eastAsia="en-GB"/>
        </w:rPr>
        <w:t xml:space="preserve"> </w:t>
      </w:r>
      <w:r w:rsidR="00540D1D" w:rsidRPr="00DB2332">
        <w:rPr>
          <w:rFonts w:ascii="Times New Roman" w:eastAsia="Times New Roman" w:hAnsi="Times New Roman" w:cs="Times New Roman"/>
          <w:sz w:val="24"/>
          <w:szCs w:val="24"/>
          <w:bdr w:val="none" w:sz="0" w:space="0" w:color="auto" w:frame="1"/>
          <w:lang w:eastAsia="en-GB"/>
        </w:rPr>
        <w:t>decarbonising</w:t>
      </w:r>
      <w:r w:rsidR="00D46614" w:rsidRPr="00DB2332">
        <w:rPr>
          <w:rFonts w:ascii="Times New Roman" w:eastAsia="Times New Roman" w:hAnsi="Times New Roman" w:cs="Times New Roman"/>
          <w:sz w:val="24"/>
          <w:szCs w:val="24"/>
          <w:bdr w:val="none" w:sz="0" w:space="0" w:color="auto" w:frame="1"/>
          <w:lang w:eastAsia="en-GB"/>
        </w:rPr>
        <w:t xml:space="preserve"> long-range </w:t>
      </w:r>
      <w:r w:rsidR="008F77E2" w:rsidRPr="00DB2332">
        <w:rPr>
          <w:rFonts w:ascii="Times New Roman" w:eastAsia="Times New Roman" w:hAnsi="Times New Roman" w:cs="Times New Roman"/>
          <w:sz w:val="24"/>
          <w:szCs w:val="24"/>
          <w:bdr w:val="none" w:sz="0" w:space="0" w:color="auto" w:frame="1"/>
          <w:lang w:eastAsia="en-GB"/>
        </w:rPr>
        <w:t>flight</w:t>
      </w:r>
      <w:r w:rsidR="001B101D" w:rsidRPr="00DB2332">
        <w:rPr>
          <w:rFonts w:ascii="Times New Roman" w:eastAsia="Times New Roman" w:hAnsi="Times New Roman" w:cs="Times New Roman"/>
          <w:b/>
          <w:bCs/>
          <w:sz w:val="24"/>
          <w:szCs w:val="24"/>
          <w:bdr w:val="none" w:sz="0" w:space="0" w:color="auto" w:frame="1"/>
          <w:lang w:eastAsia="en-GB"/>
        </w:rPr>
        <w:br w:type="page"/>
      </w:r>
    </w:p>
    <w:p w14:paraId="28493B63" w14:textId="77777777" w:rsidR="00E54D4F" w:rsidRPr="00DB2332" w:rsidRDefault="00E54D4F" w:rsidP="000C5E43">
      <w:pPr>
        <w:pStyle w:val="Heading1"/>
        <w:numPr>
          <w:ilvl w:val="0"/>
          <w:numId w:val="0"/>
        </w:numPr>
        <w:spacing w:before="0" w:after="240" w:line="480" w:lineRule="auto"/>
        <w:rPr>
          <w:rFonts w:ascii="Times New Roman" w:eastAsia="Times New Roman" w:hAnsi="Times New Roman" w:cs="Times New Roman"/>
          <w:b/>
          <w:bCs/>
          <w:color w:val="auto"/>
          <w:sz w:val="24"/>
          <w:szCs w:val="24"/>
          <w:bdr w:val="none" w:sz="0" w:space="0" w:color="auto" w:frame="1"/>
          <w:lang w:eastAsia="en-GB"/>
        </w:rPr>
        <w:sectPr w:rsidR="00E54D4F" w:rsidRPr="00DB2332" w:rsidSect="00391BCC">
          <w:type w:val="continuous"/>
          <w:pgSz w:w="11906" w:h="16838"/>
          <w:pgMar w:top="1440" w:right="1440" w:bottom="1440" w:left="1440" w:header="708" w:footer="708" w:gutter="0"/>
          <w:cols w:space="852"/>
          <w:docGrid w:linePitch="360"/>
        </w:sectPr>
      </w:pPr>
    </w:p>
    <w:p w14:paraId="0F4D1651" w14:textId="7C8646B9" w:rsidR="001B101D" w:rsidRPr="00DB2332" w:rsidRDefault="001B101D" w:rsidP="00BB42D5">
      <w:pPr>
        <w:pStyle w:val="Heading1"/>
        <w:numPr>
          <w:ilvl w:val="0"/>
          <w:numId w:val="0"/>
        </w:numPr>
        <w:spacing w:before="0" w:after="240" w:line="480" w:lineRule="auto"/>
        <w:rPr>
          <w:rFonts w:ascii="Times New Roman" w:eastAsia="Times New Roman" w:hAnsi="Times New Roman" w:cs="Times New Roman"/>
          <w:b/>
          <w:bCs/>
          <w:color w:val="auto"/>
          <w:sz w:val="24"/>
          <w:szCs w:val="24"/>
          <w:bdr w:val="none" w:sz="0" w:space="0" w:color="auto" w:frame="1"/>
          <w:lang w:eastAsia="en-GB"/>
        </w:rPr>
      </w:pPr>
      <w:r w:rsidRPr="00FA6B79">
        <w:rPr>
          <w:rFonts w:ascii="Times New Roman" w:eastAsia="Times New Roman" w:hAnsi="Times New Roman" w:cs="Times New Roman"/>
          <w:b/>
          <w:bCs/>
          <w:color w:val="auto"/>
          <w:sz w:val="24"/>
          <w:szCs w:val="24"/>
          <w:bdr w:val="none" w:sz="0" w:space="0" w:color="auto" w:frame="1"/>
          <w:lang w:eastAsia="en-GB"/>
        </w:rPr>
        <w:lastRenderedPageBreak/>
        <w:t>Nomenclature</w:t>
      </w:r>
    </w:p>
    <w:tbl>
      <w:tblPr>
        <w:tblStyle w:val="TableGrid"/>
        <w:tblW w:w="9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621"/>
        <w:gridCol w:w="1105"/>
        <w:gridCol w:w="3490"/>
      </w:tblGrid>
      <w:tr w:rsidR="006C455B" w:rsidRPr="00DB2332" w14:paraId="54814FB6" w14:textId="6AB56157" w:rsidTr="00371529">
        <w:trPr>
          <w:trHeight w:val="399"/>
          <w:jc w:val="center"/>
        </w:trPr>
        <w:tc>
          <w:tcPr>
            <w:tcW w:w="976" w:type="dxa"/>
          </w:tcPr>
          <w:p w14:paraId="080E0EEF" w14:textId="53C735F0" w:rsidR="006C455B" w:rsidRPr="00DB2332" w:rsidRDefault="006C455B"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AR</w:t>
            </w:r>
          </w:p>
        </w:tc>
        <w:tc>
          <w:tcPr>
            <w:tcW w:w="3621" w:type="dxa"/>
          </w:tcPr>
          <w:p w14:paraId="1E5F991A" w14:textId="1C6D2390" w:rsidR="006C455B" w:rsidRPr="00DB2332" w:rsidRDefault="006C455B"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Aspect ratio</w:t>
            </w:r>
          </w:p>
        </w:tc>
        <w:tc>
          <w:tcPr>
            <w:tcW w:w="1105" w:type="dxa"/>
          </w:tcPr>
          <w:p w14:paraId="5D2F1133" w14:textId="192B0605" w:rsidR="006C455B" w:rsidRPr="00DB2332" w:rsidRDefault="006C455B"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rPr>
              <w:t>SPK</w:t>
            </w:r>
          </w:p>
        </w:tc>
        <w:tc>
          <w:tcPr>
            <w:tcW w:w="3490" w:type="dxa"/>
          </w:tcPr>
          <w:p w14:paraId="4B642C5C" w14:textId="2292B9A5" w:rsidR="006C455B" w:rsidRPr="00DB2332" w:rsidRDefault="006C455B"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rPr>
              <w:t>Synthetic paraffin kerosene</w:t>
            </w:r>
          </w:p>
        </w:tc>
      </w:tr>
      <w:tr w:rsidR="00D823ED" w:rsidRPr="00DB2332" w14:paraId="2EB2D499" w14:textId="77777777" w:rsidTr="00371529">
        <w:trPr>
          <w:trHeight w:val="399"/>
          <w:jc w:val="center"/>
        </w:trPr>
        <w:tc>
          <w:tcPr>
            <w:tcW w:w="976" w:type="dxa"/>
          </w:tcPr>
          <w:p w14:paraId="6AB02A25" w14:textId="1A001971"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ATR</w:t>
            </w:r>
          </w:p>
        </w:tc>
        <w:tc>
          <w:tcPr>
            <w:tcW w:w="3621" w:type="dxa"/>
          </w:tcPr>
          <w:p w14:paraId="034DAC4E" w14:textId="4CCD7254"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Average temperature response</w:t>
            </w:r>
          </w:p>
        </w:tc>
        <w:tc>
          <w:tcPr>
            <w:tcW w:w="1105" w:type="dxa"/>
          </w:tcPr>
          <w:p w14:paraId="55D7DE2A" w14:textId="2147A88C" w:rsidR="00D823ED" w:rsidRPr="00DB2332" w:rsidRDefault="00D823ED" w:rsidP="00011191">
            <w:pPr>
              <w:spacing w:line="276" w:lineRule="auto"/>
              <w:rPr>
                <w:rFonts w:ascii="Times New Roman" w:hAnsi="Times New Roman" w:cs="Times New Roman"/>
                <w:sz w:val="24"/>
                <w:szCs w:val="24"/>
              </w:rPr>
            </w:pPr>
            <w:proofErr w:type="spellStart"/>
            <w:r w:rsidRPr="00DB2332">
              <w:rPr>
                <w:rFonts w:ascii="Times New Roman" w:hAnsi="Times New Roman" w:cs="Times New Roman"/>
                <w:i/>
                <w:iCs/>
                <w:sz w:val="24"/>
                <w:szCs w:val="24"/>
                <w:lang w:eastAsia="en-GB"/>
              </w:rPr>
              <w:t>S</w:t>
            </w:r>
            <w:r w:rsidRPr="00DB2332">
              <w:rPr>
                <w:rFonts w:ascii="Times New Roman" w:hAnsi="Times New Roman" w:cs="Times New Roman"/>
                <w:sz w:val="24"/>
                <w:szCs w:val="24"/>
                <w:vertAlign w:val="subscript"/>
                <w:lang w:eastAsia="en-GB"/>
              </w:rPr>
              <w:t>wet</w:t>
            </w:r>
            <w:proofErr w:type="spellEnd"/>
          </w:p>
        </w:tc>
        <w:tc>
          <w:tcPr>
            <w:tcW w:w="3490" w:type="dxa"/>
          </w:tcPr>
          <w:p w14:paraId="5572C315" w14:textId="5519C3F9" w:rsidR="00D823ED" w:rsidRPr="00DB2332" w:rsidRDefault="00D823ED" w:rsidP="00011191">
            <w:pPr>
              <w:spacing w:line="276" w:lineRule="auto"/>
              <w:rPr>
                <w:rFonts w:ascii="Times New Roman" w:hAnsi="Times New Roman" w:cs="Times New Roman"/>
                <w:sz w:val="24"/>
                <w:szCs w:val="24"/>
              </w:rPr>
            </w:pPr>
            <w:r w:rsidRPr="00DB2332">
              <w:rPr>
                <w:rFonts w:ascii="Times New Roman" w:hAnsi="Times New Roman" w:cs="Times New Roman"/>
                <w:sz w:val="24"/>
                <w:szCs w:val="24"/>
                <w:lang w:eastAsia="en-GB"/>
              </w:rPr>
              <w:t>Aircraft wetted area</w:t>
            </w:r>
          </w:p>
        </w:tc>
      </w:tr>
      <w:tr w:rsidR="00D823ED" w:rsidRPr="00DB2332" w14:paraId="668A48C7" w14:textId="2AD6BE11" w:rsidTr="00371529">
        <w:trPr>
          <w:trHeight w:val="399"/>
          <w:jc w:val="center"/>
        </w:trPr>
        <w:tc>
          <w:tcPr>
            <w:tcW w:w="976" w:type="dxa"/>
          </w:tcPr>
          <w:p w14:paraId="5D84B626" w14:textId="1D7A4A88"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C and D</w:t>
            </w:r>
          </w:p>
        </w:tc>
        <w:tc>
          <w:tcPr>
            <w:tcW w:w="3621" w:type="dxa"/>
          </w:tcPr>
          <w:p w14:paraId="474CC0B9" w14:textId="4A4A41AA"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Regression coefficients</w:t>
            </w:r>
          </w:p>
        </w:tc>
        <w:tc>
          <w:tcPr>
            <w:tcW w:w="1105" w:type="dxa"/>
          </w:tcPr>
          <w:p w14:paraId="0589120B" w14:textId="4576D73A"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S</w:t>
            </w:r>
            <w:r w:rsidRPr="00DB2332">
              <w:rPr>
                <w:rFonts w:ascii="Times New Roman" w:hAnsi="Times New Roman" w:cs="Times New Roman"/>
                <w:sz w:val="24"/>
                <w:szCs w:val="24"/>
                <w:vertAlign w:val="subscript"/>
                <w:lang w:eastAsia="en-GB"/>
              </w:rPr>
              <w:t>wet</w:t>
            </w:r>
            <w:proofErr w:type="spellEnd"/>
            <w:r w:rsidRPr="00DB2332">
              <w:rPr>
                <w:rFonts w:ascii="Times New Roman" w:hAnsi="Times New Roman" w:cs="Times New Roman"/>
                <w:sz w:val="24"/>
                <w:szCs w:val="24"/>
                <w:vertAlign w:val="subscript"/>
                <w:lang w:eastAsia="en-GB"/>
              </w:rPr>
              <w:t>, Fuselage</w:t>
            </w:r>
          </w:p>
        </w:tc>
        <w:tc>
          <w:tcPr>
            <w:tcW w:w="3490" w:type="dxa"/>
          </w:tcPr>
          <w:p w14:paraId="0B466D71" w14:textId="7B2BB32B"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Fuselage wetted area</w:t>
            </w:r>
          </w:p>
        </w:tc>
      </w:tr>
      <w:tr w:rsidR="00D823ED" w:rsidRPr="00DB2332" w14:paraId="16C36DD6" w14:textId="77777777" w:rsidTr="00371529">
        <w:trPr>
          <w:trHeight w:val="399"/>
          <w:jc w:val="center"/>
        </w:trPr>
        <w:tc>
          <w:tcPr>
            <w:tcW w:w="976" w:type="dxa"/>
          </w:tcPr>
          <w:p w14:paraId="5B669B3B" w14:textId="5A20D44E"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COC</w:t>
            </w:r>
          </w:p>
        </w:tc>
        <w:tc>
          <w:tcPr>
            <w:tcW w:w="3621" w:type="dxa"/>
          </w:tcPr>
          <w:p w14:paraId="0A5E1255" w14:textId="2129D141"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Cash operating cost</w:t>
            </w:r>
          </w:p>
        </w:tc>
        <w:tc>
          <w:tcPr>
            <w:tcW w:w="1105" w:type="dxa"/>
          </w:tcPr>
          <w:p w14:paraId="55F20FEF" w14:textId="5685766D"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i/>
                <w:iCs/>
                <w:sz w:val="24"/>
                <w:szCs w:val="24"/>
                <w:lang w:eastAsia="en-GB"/>
              </w:rPr>
              <w:t>V</w:t>
            </w:r>
          </w:p>
        </w:tc>
        <w:tc>
          <w:tcPr>
            <w:tcW w:w="3490" w:type="dxa"/>
          </w:tcPr>
          <w:p w14:paraId="425A217C" w14:textId="591D0C89"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Cruise speed of aircraft</w:t>
            </w:r>
          </w:p>
        </w:tc>
      </w:tr>
      <w:tr w:rsidR="00D823ED" w:rsidRPr="00DB2332" w14:paraId="46D31B52" w14:textId="08E66B89" w:rsidTr="00371529">
        <w:trPr>
          <w:trHeight w:val="399"/>
          <w:jc w:val="center"/>
        </w:trPr>
        <w:tc>
          <w:tcPr>
            <w:tcW w:w="976" w:type="dxa"/>
          </w:tcPr>
          <w:p w14:paraId="24526A16" w14:textId="4F89A399"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i/>
                <w:iCs/>
                <w:sz w:val="24"/>
                <w:szCs w:val="24"/>
                <w:lang w:eastAsia="en-GB"/>
              </w:rPr>
              <w:t>C</w:t>
            </w:r>
            <w:r w:rsidRPr="00DB2332">
              <w:rPr>
                <w:rFonts w:ascii="Times New Roman" w:hAnsi="Times New Roman" w:cs="Times New Roman"/>
                <w:sz w:val="24"/>
                <w:szCs w:val="24"/>
                <w:vertAlign w:val="subscript"/>
                <w:lang w:eastAsia="en-GB"/>
              </w:rPr>
              <w:t>D</w:t>
            </w:r>
          </w:p>
        </w:tc>
        <w:tc>
          <w:tcPr>
            <w:tcW w:w="3621" w:type="dxa"/>
          </w:tcPr>
          <w:p w14:paraId="08BC9CAC" w14:textId="6E56028A"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Total drag coefficient</w:t>
            </w:r>
          </w:p>
        </w:tc>
        <w:tc>
          <w:tcPr>
            <w:tcW w:w="1105" w:type="dxa"/>
          </w:tcPr>
          <w:p w14:paraId="04DF2668" w14:textId="4A76D4E9"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VLTA</w:t>
            </w:r>
          </w:p>
        </w:tc>
        <w:tc>
          <w:tcPr>
            <w:tcW w:w="3490" w:type="dxa"/>
          </w:tcPr>
          <w:p w14:paraId="0AB815FA" w14:textId="4BD2D31F"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Very large twin aisle</w:t>
            </w:r>
          </w:p>
        </w:tc>
      </w:tr>
      <w:tr w:rsidR="00D823ED" w:rsidRPr="00DB2332" w14:paraId="727E681B" w14:textId="3A361B46" w:rsidTr="00371529">
        <w:trPr>
          <w:trHeight w:val="399"/>
          <w:jc w:val="center"/>
        </w:trPr>
        <w:tc>
          <w:tcPr>
            <w:tcW w:w="976" w:type="dxa"/>
          </w:tcPr>
          <w:p w14:paraId="161898A5" w14:textId="38D7BC48"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i/>
                <w:iCs/>
                <w:sz w:val="24"/>
                <w:szCs w:val="24"/>
                <w:lang w:eastAsia="en-GB"/>
              </w:rPr>
              <w:t>C</w:t>
            </w:r>
            <w:r w:rsidRPr="00DB2332">
              <w:rPr>
                <w:rFonts w:ascii="Times New Roman" w:hAnsi="Times New Roman" w:cs="Times New Roman"/>
                <w:sz w:val="24"/>
                <w:szCs w:val="24"/>
                <w:vertAlign w:val="subscript"/>
                <w:lang w:eastAsia="en-GB"/>
              </w:rPr>
              <w:t>D,O</w:t>
            </w:r>
          </w:p>
        </w:tc>
        <w:tc>
          <w:tcPr>
            <w:tcW w:w="3621" w:type="dxa"/>
          </w:tcPr>
          <w:p w14:paraId="48A4B9F3" w14:textId="475EF82A"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Zero-lift drag coefficient</w:t>
            </w:r>
          </w:p>
        </w:tc>
        <w:tc>
          <w:tcPr>
            <w:tcW w:w="1105" w:type="dxa"/>
          </w:tcPr>
          <w:p w14:paraId="38E244B8" w14:textId="71FA3C5A"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aircraft</w:t>
            </w:r>
            <w:proofErr w:type="spellEnd"/>
          </w:p>
        </w:tc>
        <w:tc>
          <w:tcPr>
            <w:tcW w:w="3490" w:type="dxa"/>
          </w:tcPr>
          <w:p w14:paraId="48C1212C" w14:textId="27EA3EB6"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Aircraft weight in cruise</w:t>
            </w:r>
          </w:p>
        </w:tc>
      </w:tr>
      <w:tr w:rsidR="00D823ED" w:rsidRPr="00DB2332" w14:paraId="2B62AC9D" w14:textId="0E72952A" w:rsidTr="00371529">
        <w:trPr>
          <w:trHeight w:val="399"/>
          <w:jc w:val="center"/>
        </w:trPr>
        <w:tc>
          <w:tcPr>
            <w:tcW w:w="976" w:type="dxa"/>
          </w:tcPr>
          <w:p w14:paraId="2BCBF268" w14:textId="74AC5FCA"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C</w:t>
            </w:r>
            <w:r w:rsidRPr="00DB2332">
              <w:rPr>
                <w:rFonts w:ascii="Times New Roman" w:hAnsi="Times New Roman" w:cs="Times New Roman"/>
                <w:sz w:val="24"/>
                <w:szCs w:val="24"/>
                <w:vertAlign w:val="subscript"/>
                <w:lang w:eastAsia="en-GB"/>
              </w:rPr>
              <w:t>f</w:t>
            </w:r>
          </w:p>
        </w:tc>
        <w:tc>
          <w:tcPr>
            <w:tcW w:w="3621" w:type="dxa"/>
          </w:tcPr>
          <w:p w14:paraId="4A1F3C8C" w14:textId="13E3CBBC"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Skin friction coefficient</w:t>
            </w:r>
          </w:p>
        </w:tc>
        <w:tc>
          <w:tcPr>
            <w:tcW w:w="1105" w:type="dxa"/>
          </w:tcPr>
          <w:p w14:paraId="4BA89087" w14:textId="607482E3"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initial</w:t>
            </w:r>
            <w:proofErr w:type="spellEnd"/>
          </w:p>
        </w:tc>
        <w:tc>
          <w:tcPr>
            <w:tcW w:w="3490" w:type="dxa"/>
          </w:tcPr>
          <w:p w14:paraId="5CD11AF0" w14:textId="70CE3633"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Initial cruise aircraft weight</w:t>
            </w:r>
          </w:p>
        </w:tc>
      </w:tr>
      <w:tr w:rsidR="00D823ED" w:rsidRPr="00DB2332" w14:paraId="20950757" w14:textId="2BEDAD4C" w:rsidTr="00371529">
        <w:trPr>
          <w:trHeight w:val="399"/>
          <w:jc w:val="center"/>
        </w:trPr>
        <w:tc>
          <w:tcPr>
            <w:tcW w:w="976" w:type="dxa"/>
          </w:tcPr>
          <w:p w14:paraId="0384D024" w14:textId="43E62459"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i/>
                <w:iCs/>
                <w:sz w:val="24"/>
                <w:szCs w:val="24"/>
                <w:lang w:eastAsia="en-GB"/>
              </w:rPr>
              <w:t>C</w:t>
            </w:r>
            <w:r w:rsidRPr="00DB2332">
              <w:rPr>
                <w:rFonts w:ascii="Times New Roman" w:hAnsi="Times New Roman" w:cs="Times New Roman"/>
                <w:sz w:val="24"/>
                <w:szCs w:val="24"/>
                <w:vertAlign w:val="subscript"/>
                <w:lang w:eastAsia="en-GB"/>
              </w:rPr>
              <w:t>L</w:t>
            </w:r>
          </w:p>
        </w:tc>
        <w:tc>
          <w:tcPr>
            <w:tcW w:w="3621" w:type="dxa"/>
          </w:tcPr>
          <w:p w14:paraId="1931A509" w14:textId="6F0D3B1A"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Lift coefficient</w:t>
            </w:r>
          </w:p>
        </w:tc>
        <w:tc>
          <w:tcPr>
            <w:tcW w:w="1105" w:type="dxa"/>
          </w:tcPr>
          <w:p w14:paraId="5E023F38" w14:textId="32022668"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final</w:t>
            </w:r>
            <w:proofErr w:type="spellEnd"/>
          </w:p>
        </w:tc>
        <w:tc>
          <w:tcPr>
            <w:tcW w:w="3490" w:type="dxa"/>
          </w:tcPr>
          <w:p w14:paraId="581E0391" w14:textId="17884291"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End of cruise aircraft weight</w:t>
            </w:r>
          </w:p>
        </w:tc>
      </w:tr>
      <w:tr w:rsidR="00D823ED" w:rsidRPr="00DB2332" w14:paraId="1DE8824A" w14:textId="35F790C0" w:rsidTr="00371529">
        <w:trPr>
          <w:trHeight w:val="399"/>
          <w:jc w:val="center"/>
        </w:trPr>
        <w:tc>
          <w:tcPr>
            <w:tcW w:w="976" w:type="dxa"/>
          </w:tcPr>
          <w:p w14:paraId="10474982" w14:textId="2AB653A6"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d</w:t>
            </w:r>
            <w:r w:rsidRPr="00DB2332">
              <w:rPr>
                <w:rFonts w:ascii="Times New Roman" w:hAnsi="Times New Roman" w:cs="Times New Roman"/>
                <w:sz w:val="24"/>
                <w:szCs w:val="24"/>
                <w:vertAlign w:val="subscript"/>
                <w:lang w:eastAsia="en-GB"/>
              </w:rPr>
              <w:t>f</w:t>
            </w:r>
            <w:proofErr w:type="spellEnd"/>
          </w:p>
        </w:tc>
        <w:tc>
          <w:tcPr>
            <w:tcW w:w="3621" w:type="dxa"/>
          </w:tcPr>
          <w:p w14:paraId="19DBBCD9" w14:textId="2FB3D575"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Fuselage diameter</w:t>
            </w:r>
          </w:p>
        </w:tc>
        <w:tc>
          <w:tcPr>
            <w:tcW w:w="1105" w:type="dxa"/>
          </w:tcPr>
          <w:p w14:paraId="687C6F7D" w14:textId="616E85E5"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Fuselage</w:t>
            </w:r>
            <w:proofErr w:type="spellEnd"/>
            <w:r w:rsidRPr="00DB2332">
              <w:rPr>
                <w:rFonts w:ascii="Times New Roman" w:hAnsi="Times New Roman" w:cs="Times New Roman"/>
                <w:sz w:val="24"/>
                <w:szCs w:val="24"/>
                <w:lang w:eastAsia="en-GB"/>
              </w:rPr>
              <w:tab/>
            </w:r>
          </w:p>
        </w:tc>
        <w:tc>
          <w:tcPr>
            <w:tcW w:w="3490" w:type="dxa"/>
          </w:tcPr>
          <w:p w14:paraId="7578E698" w14:textId="68139E7F"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Aircraft fuselage weight</w:t>
            </w:r>
          </w:p>
        </w:tc>
      </w:tr>
      <w:tr w:rsidR="00D823ED" w:rsidRPr="00DB2332" w14:paraId="7B2613D1" w14:textId="2ABEE4D6" w:rsidTr="00371529">
        <w:trPr>
          <w:trHeight w:val="418"/>
          <w:jc w:val="center"/>
        </w:trPr>
        <w:tc>
          <w:tcPr>
            <w:tcW w:w="976" w:type="dxa"/>
          </w:tcPr>
          <w:p w14:paraId="7BDAFFDC" w14:textId="04F0BE10"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e</w:t>
            </w:r>
          </w:p>
        </w:tc>
        <w:tc>
          <w:tcPr>
            <w:tcW w:w="3621" w:type="dxa"/>
          </w:tcPr>
          <w:p w14:paraId="1B9696DB" w14:textId="22B80E82"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Oswald’s Skin friction coefficient efficiency factor</w:t>
            </w:r>
          </w:p>
        </w:tc>
        <w:tc>
          <w:tcPr>
            <w:tcW w:w="1105" w:type="dxa"/>
          </w:tcPr>
          <w:p w14:paraId="2610448F" w14:textId="53B45516"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rPr>
              <w:t>W</w:t>
            </w:r>
            <w:r w:rsidRPr="00DB2332">
              <w:rPr>
                <w:rFonts w:ascii="Times New Roman" w:hAnsi="Times New Roman" w:cs="Times New Roman"/>
                <w:sz w:val="24"/>
                <w:szCs w:val="24"/>
                <w:vertAlign w:val="subscript"/>
              </w:rPr>
              <w:t>F,block</w:t>
            </w:r>
            <w:proofErr w:type="spellEnd"/>
          </w:p>
        </w:tc>
        <w:tc>
          <w:tcPr>
            <w:tcW w:w="3490" w:type="dxa"/>
          </w:tcPr>
          <w:p w14:paraId="785DA2F5" w14:textId="48311CDC"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rPr>
              <w:t>Block fuel weight</w:t>
            </w:r>
          </w:p>
        </w:tc>
      </w:tr>
      <w:tr w:rsidR="00D823ED" w:rsidRPr="00DB2332" w14:paraId="2109970E" w14:textId="77777777" w:rsidTr="00371529">
        <w:trPr>
          <w:trHeight w:val="418"/>
          <w:jc w:val="center"/>
        </w:trPr>
        <w:tc>
          <w:tcPr>
            <w:tcW w:w="976" w:type="dxa"/>
          </w:tcPr>
          <w:p w14:paraId="15425563" w14:textId="4627C875"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FCH</w:t>
            </w:r>
          </w:p>
        </w:tc>
        <w:tc>
          <w:tcPr>
            <w:tcW w:w="3621" w:type="dxa"/>
          </w:tcPr>
          <w:p w14:paraId="2CD27BE6" w14:textId="2EEB3300"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Fuel cells and hydrogen</w:t>
            </w:r>
          </w:p>
        </w:tc>
        <w:tc>
          <w:tcPr>
            <w:tcW w:w="1105" w:type="dxa"/>
          </w:tcPr>
          <w:p w14:paraId="21E80498" w14:textId="1F2D0508"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p>
        </w:tc>
        <w:tc>
          <w:tcPr>
            <w:tcW w:w="3490" w:type="dxa"/>
          </w:tcPr>
          <w:p w14:paraId="5D04ED1F" w14:textId="1D26C6F8"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Total fuel weight carried at mission start</w:t>
            </w:r>
          </w:p>
        </w:tc>
      </w:tr>
      <w:tr w:rsidR="00D823ED" w:rsidRPr="00DB2332" w14:paraId="69976451" w14:textId="659DB40D" w:rsidTr="00371529">
        <w:trPr>
          <w:trHeight w:val="418"/>
          <w:jc w:val="center"/>
        </w:trPr>
        <w:tc>
          <w:tcPr>
            <w:tcW w:w="976" w:type="dxa"/>
          </w:tcPr>
          <w:p w14:paraId="013ACB92" w14:textId="774FE87D"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i/>
                <w:iCs/>
                <w:sz w:val="24"/>
                <w:szCs w:val="24"/>
                <w:lang w:eastAsia="en-GB"/>
              </w:rPr>
              <w:t>g</w:t>
            </w:r>
          </w:p>
        </w:tc>
        <w:tc>
          <w:tcPr>
            <w:tcW w:w="3621" w:type="dxa"/>
          </w:tcPr>
          <w:p w14:paraId="47A03ED6" w14:textId="4F96EE1B"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Acceleration due to gravity</w:t>
            </w:r>
          </w:p>
        </w:tc>
        <w:tc>
          <w:tcPr>
            <w:tcW w:w="1105" w:type="dxa"/>
          </w:tcPr>
          <w:p w14:paraId="34E1D472" w14:textId="73ABE15F"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p</w:t>
            </w:r>
            <w:proofErr w:type="spellEnd"/>
          </w:p>
        </w:tc>
        <w:tc>
          <w:tcPr>
            <w:tcW w:w="3490" w:type="dxa"/>
          </w:tcPr>
          <w:p w14:paraId="6E114B62" w14:textId="23F1EC14"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Passenger payload weight</w:t>
            </w:r>
          </w:p>
        </w:tc>
      </w:tr>
      <w:tr w:rsidR="00D823ED" w:rsidRPr="00DB2332" w14:paraId="3F814003" w14:textId="4DDBD701" w:rsidTr="00371529">
        <w:trPr>
          <w:trHeight w:val="399"/>
          <w:jc w:val="center"/>
        </w:trPr>
        <w:tc>
          <w:tcPr>
            <w:tcW w:w="976" w:type="dxa"/>
          </w:tcPr>
          <w:p w14:paraId="7ED324F8" w14:textId="5ACAD527"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rPr>
              <w:t>GTOW</w:t>
            </w:r>
          </w:p>
        </w:tc>
        <w:tc>
          <w:tcPr>
            <w:tcW w:w="3621" w:type="dxa"/>
          </w:tcPr>
          <w:p w14:paraId="053E3B9A" w14:textId="32601F39"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rPr>
              <w:t>Gross take-off weight</w:t>
            </w:r>
          </w:p>
        </w:tc>
        <w:tc>
          <w:tcPr>
            <w:tcW w:w="1105" w:type="dxa"/>
          </w:tcPr>
          <w:p w14:paraId="1E8BF60C" w14:textId="12FA8AC5" w:rsidR="00D823ED" w:rsidRPr="00DB2332" w:rsidRDefault="00D823ED" w:rsidP="00011191">
            <w:pPr>
              <w:spacing w:line="276" w:lineRule="auto"/>
              <w:rPr>
                <w:rFonts w:ascii="Times New Roman" w:hAnsi="Times New Roman" w:cs="Times New Roman"/>
                <w:sz w:val="24"/>
                <w:szCs w:val="24"/>
              </w:rPr>
            </w:pPr>
            <w:r w:rsidRPr="00DB2332">
              <w:rPr>
                <w:rFonts w:ascii="Times New Roman" w:hAnsi="Times New Roman" w:cs="Times New Roman"/>
                <w:sz w:val="24"/>
                <w:szCs w:val="24"/>
              </w:rPr>
              <w:t>ΔL</w:t>
            </w:r>
          </w:p>
        </w:tc>
        <w:tc>
          <w:tcPr>
            <w:tcW w:w="3490" w:type="dxa"/>
          </w:tcPr>
          <w:p w14:paraId="05D4125D" w14:textId="30AA5054" w:rsidR="00D823ED" w:rsidRPr="00DB2332" w:rsidRDefault="00D823ED" w:rsidP="00011191">
            <w:pPr>
              <w:spacing w:line="276" w:lineRule="auto"/>
              <w:rPr>
                <w:rFonts w:ascii="Times New Roman" w:hAnsi="Times New Roman" w:cs="Times New Roman"/>
                <w:sz w:val="24"/>
                <w:szCs w:val="24"/>
              </w:rPr>
            </w:pPr>
            <w:r w:rsidRPr="00DB2332">
              <w:rPr>
                <w:rFonts w:ascii="Times New Roman" w:hAnsi="Times New Roman" w:cs="Times New Roman"/>
                <w:sz w:val="24"/>
                <w:szCs w:val="24"/>
              </w:rPr>
              <w:t>Additional fuselage length for alternative liquid fuels</w:t>
            </w:r>
          </w:p>
        </w:tc>
      </w:tr>
      <w:tr w:rsidR="00D823ED" w:rsidRPr="00DB2332" w14:paraId="1763C5AB" w14:textId="7F416BB0" w:rsidTr="00371529">
        <w:trPr>
          <w:trHeight w:val="399"/>
          <w:jc w:val="center"/>
        </w:trPr>
        <w:tc>
          <w:tcPr>
            <w:tcW w:w="976" w:type="dxa"/>
          </w:tcPr>
          <w:p w14:paraId="5C818E5A" w14:textId="16140E73"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i/>
                <w:iCs/>
                <w:sz w:val="24"/>
                <w:szCs w:val="24"/>
                <w:lang w:eastAsia="en-GB"/>
              </w:rPr>
              <w:t>h</w:t>
            </w:r>
          </w:p>
        </w:tc>
        <w:tc>
          <w:tcPr>
            <w:tcW w:w="3621" w:type="dxa"/>
          </w:tcPr>
          <w:p w14:paraId="713EF5AC" w14:textId="1A7B0CF9"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eastAsia="Times New Roman" w:hAnsi="Times New Roman" w:cs="Times New Roman"/>
                <w:sz w:val="24"/>
                <w:szCs w:val="24"/>
                <w:lang w:eastAsia="en-GB"/>
              </w:rPr>
              <w:t>Lower calorific value</w:t>
            </w:r>
          </w:p>
        </w:tc>
        <w:tc>
          <w:tcPr>
            <w:tcW w:w="1105" w:type="dxa"/>
          </w:tcPr>
          <w:p w14:paraId="16C98832" w14:textId="10D8792A" w:rsidR="00D823ED" w:rsidRPr="00DB2332" w:rsidRDefault="00D823ED" w:rsidP="00011191">
            <w:pPr>
              <w:spacing w:line="276" w:lineRule="auto"/>
              <w:rPr>
                <w:rFonts w:ascii="Times New Roman" w:eastAsia="Times New Roman" w:hAnsi="Times New Roman" w:cs="Times New Roman"/>
                <w:sz w:val="24"/>
                <w:szCs w:val="24"/>
                <w:lang w:eastAsia="en-GB"/>
              </w:rPr>
            </w:pPr>
            <w:r w:rsidRPr="00DB2332">
              <w:rPr>
                <w:rFonts w:ascii="Times New Roman" w:eastAsia="Times New Roman" w:hAnsi="Times New Roman" w:cs="Times New Roman"/>
                <w:i/>
                <w:iCs/>
                <w:sz w:val="24"/>
                <w:szCs w:val="24"/>
                <w:lang w:eastAsia="en-GB"/>
              </w:rPr>
              <w:t>η</w:t>
            </w:r>
          </w:p>
        </w:tc>
        <w:tc>
          <w:tcPr>
            <w:tcW w:w="3490" w:type="dxa"/>
          </w:tcPr>
          <w:p w14:paraId="0BCD2AC3" w14:textId="5BAD0125" w:rsidR="00D823ED" w:rsidRPr="00DB2332" w:rsidRDefault="00D823ED" w:rsidP="00011191">
            <w:pPr>
              <w:spacing w:line="276" w:lineRule="auto"/>
              <w:rPr>
                <w:rFonts w:ascii="Times New Roman" w:eastAsia="Times New Roman" w:hAnsi="Times New Roman" w:cs="Times New Roman"/>
                <w:sz w:val="24"/>
                <w:szCs w:val="24"/>
                <w:lang w:eastAsia="en-GB"/>
              </w:rPr>
            </w:pPr>
            <w:r w:rsidRPr="00DB2332">
              <w:rPr>
                <w:rFonts w:ascii="Times New Roman" w:hAnsi="Times New Roman" w:cs="Times New Roman"/>
                <w:sz w:val="24"/>
                <w:szCs w:val="24"/>
                <w:lang w:eastAsia="en-GB"/>
              </w:rPr>
              <w:t>Gravimetric index</w:t>
            </w:r>
          </w:p>
        </w:tc>
      </w:tr>
      <w:tr w:rsidR="00D823ED" w:rsidRPr="00DB2332" w14:paraId="3C252C90" w14:textId="1260CA0B" w:rsidTr="00371529">
        <w:trPr>
          <w:trHeight w:val="399"/>
          <w:jc w:val="center"/>
        </w:trPr>
        <w:tc>
          <w:tcPr>
            <w:tcW w:w="976" w:type="dxa"/>
          </w:tcPr>
          <w:p w14:paraId="69A2E019" w14:textId="0D1178FB" w:rsidR="00D823ED" w:rsidRPr="00DB2332" w:rsidRDefault="00D823ED" w:rsidP="00011191">
            <w:pPr>
              <w:spacing w:line="276" w:lineRule="auto"/>
              <w:rPr>
                <w:rFonts w:ascii="Times New Roman" w:hAnsi="Times New Roman" w:cs="Times New Roman"/>
                <w:i/>
                <w:iCs/>
                <w:sz w:val="24"/>
                <w:szCs w:val="24"/>
                <w:lang w:eastAsia="en-GB"/>
              </w:rPr>
            </w:pPr>
            <w:proofErr w:type="spellStart"/>
            <w:r w:rsidRPr="00DB2332">
              <w:rPr>
                <w:rFonts w:ascii="Times New Roman" w:hAnsi="Times New Roman" w:cs="Times New Roman"/>
                <w:i/>
                <w:iCs/>
                <w:sz w:val="24"/>
                <w:szCs w:val="24"/>
                <w:lang w:eastAsia="en-GB"/>
              </w:rPr>
              <w:t>l</w:t>
            </w:r>
            <w:r w:rsidRPr="00DB2332">
              <w:rPr>
                <w:rFonts w:ascii="Times New Roman" w:hAnsi="Times New Roman" w:cs="Times New Roman"/>
                <w:sz w:val="24"/>
                <w:szCs w:val="24"/>
                <w:vertAlign w:val="subscript"/>
                <w:lang w:eastAsia="en-GB"/>
              </w:rPr>
              <w:t>f</w:t>
            </w:r>
            <w:proofErr w:type="spellEnd"/>
          </w:p>
        </w:tc>
        <w:tc>
          <w:tcPr>
            <w:tcW w:w="3621" w:type="dxa"/>
          </w:tcPr>
          <w:p w14:paraId="287C1B04" w14:textId="725AE92E"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Fuselage length</w:t>
            </w:r>
          </w:p>
        </w:tc>
        <w:tc>
          <w:tcPr>
            <w:tcW w:w="1105" w:type="dxa"/>
          </w:tcPr>
          <w:p w14:paraId="78AB4C69" w14:textId="1711CDD2"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eastAsia="Times New Roman" w:hAnsi="Times New Roman" w:cs="Times New Roman"/>
                <w:i/>
                <w:iCs/>
                <w:sz w:val="24"/>
                <w:szCs w:val="24"/>
                <w:lang w:eastAsia="en-GB"/>
              </w:rPr>
              <w:t>η</w:t>
            </w:r>
            <w:r w:rsidRPr="00DB2332">
              <w:rPr>
                <w:rFonts w:ascii="Times New Roman" w:eastAsia="Times New Roman" w:hAnsi="Times New Roman" w:cs="Times New Roman"/>
                <w:sz w:val="24"/>
                <w:szCs w:val="24"/>
                <w:vertAlign w:val="subscript"/>
                <w:lang w:eastAsia="en-GB"/>
              </w:rPr>
              <w:t>o</w:t>
            </w:r>
            <w:proofErr w:type="spellEnd"/>
          </w:p>
        </w:tc>
        <w:tc>
          <w:tcPr>
            <w:tcW w:w="3490" w:type="dxa"/>
          </w:tcPr>
          <w:p w14:paraId="2633D2ED" w14:textId="2111C1EA"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Overall efficiency</w:t>
            </w:r>
          </w:p>
        </w:tc>
      </w:tr>
      <w:tr w:rsidR="00D823ED" w:rsidRPr="00DB2332" w14:paraId="494F42BC" w14:textId="38AF7C6E" w:rsidTr="00371529">
        <w:trPr>
          <w:trHeight w:val="399"/>
          <w:jc w:val="center"/>
        </w:trPr>
        <w:tc>
          <w:tcPr>
            <w:tcW w:w="976" w:type="dxa"/>
          </w:tcPr>
          <w:p w14:paraId="1FD3AF1C" w14:textId="6D27B057"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LTA</w:t>
            </w:r>
          </w:p>
        </w:tc>
        <w:tc>
          <w:tcPr>
            <w:tcW w:w="3621" w:type="dxa"/>
          </w:tcPr>
          <w:p w14:paraId="16F17CD9" w14:textId="1CEE3FB4"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Large twin aisle</w:t>
            </w:r>
          </w:p>
        </w:tc>
        <w:tc>
          <w:tcPr>
            <w:tcW w:w="1105" w:type="dxa"/>
          </w:tcPr>
          <w:p w14:paraId="49243E69" w14:textId="4148F291"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eastAsia="Times New Roman" w:hAnsi="Times New Roman" w:cs="Times New Roman"/>
                <w:i/>
                <w:iCs/>
                <w:sz w:val="24"/>
                <w:szCs w:val="24"/>
                <w:lang w:eastAsia="en-GB"/>
              </w:rPr>
              <w:t>λ</w:t>
            </w:r>
          </w:p>
        </w:tc>
        <w:tc>
          <w:tcPr>
            <w:tcW w:w="3490" w:type="dxa"/>
          </w:tcPr>
          <w:p w14:paraId="3F455DFB" w14:textId="268E863C"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eastAsia="Times New Roman" w:hAnsi="Times New Roman" w:cs="Times New Roman"/>
                <w:sz w:val="24"/>
                <w:szCs w:val="24"/>
                <w:lang w:eastAsia="en-GB"/>
              </w:rPr>
              <w:t xml:space="preserve">Ratio of </w:t>
            </w:r>
            <w:r w:rsidRPr="00DB2332">
              <w:rPr>
                <w:rFonts w:ascii="Times New Roman" w:hAnsi="Times New Roman" w:cs="Times New Roman"/>
                <w:sz w:val="24"/>
                <w:szCs w:val="24"/>
                <w:lang w:eastAsia="en-GB"/>
              </w:rPr>
              <w:t xml:space="preserve">dry tank weight and </w:t>
            </w:r>
            <w:r w:rsidRPr="00DB2332">
              <w:rPr>
                <w:rFonts w:ascii="Times New Roman" w:eastAsia="Times New Roman" w:hAnsi="Times New Roman" w:cs="Times New Roman"/>
                <w:sz w:val="24"/>
                <w:szCs w:val="24"/>
                <w:lang w:eastAsia="en-GB"/>
              </w:rPr>
              <w:t xml:space="preserve">cryogenic fuel </w:t>
            </w:r>
            <w:r w:rsidRPr="00DB2332">
              <w:rPr>
                <w:rFonts w:ascii="Times New Roman" w:hAnsi="Times New Roman" w:cs="Times New Roman"/>
                <w:sz w:val="24"/>
                <w:szCs w:val="24"/>
                <w:lang w:eastAsia="en-GB"/>
              </w:rPr>
              <w:t>weight</w:t>
            </w:r>
          </w:p>
        </w:tc>
      </w:tr>
      <w:tr w:rsidR="00D823ED" w:rsidRPr="00DB2332" w14:paraId="7281F0E1" w14:textId="56B35243" w:rsidTr="00371529">
        <w:trPr>
          <w:trHeight w:val="399"/>
          <w:jc w:val="center"/>
        </w:trPr>
        <w:tc>
          <w:tcPr>
            <w:tcW w:w="976" w:type="dxa"/>
          </w:tcPr>
          <w:p w14:paraId="593DB140" w14:textId="7D73CFAC"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LH</w:t>
            </w:r>
            <w:r w:rsidRPr="00DB2332">
              <w:rPr>
                <w:rFonts w:ascii="Times New Roman" w:hAnsi="Times New Roman" w:cs="Times New Roman"/>
                <w:sz w:val="24"/>
                <w:szCs w:val="24"/>
                <w:vertAlign w:val="subscript"/>
                <w:lang w:eastAsia="en-GB"/>
              </w:rPr>
              <w:t>2</w:t>
            </w:r>
          </w:p>
        </w:tc>
        <w:tc>
          <w:tcPr>
            <w:tcW w:w="3621" w:type="dxa"/>
          </w:tcPr>
          <w:p w14:paraId="2EC5BA1F" w14:textId="6E58CC33"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Liquid hydrogen</w:t>
            </w:r>
          </w:p>
        </w:tc>
        <w:tc>
          <w:tcPr>
            <w:tcW w:w="1105" w:type="dxa"/>
          </w:tcPr>
          <w:p w14:paraId="35CA2851" w14:textId="44C0724E"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i/>
                <w:iCs/>
                <w:sz w:val="24"/>
                <w:szCs w:val="24"/>
                <w:lang w:eastAsia="en-GB"/>
              </w:rPr>
              <w:t>ω</w:t>
            </w:r>
          </w:p>
        </w:tc>
        <w:tc>
          <w:tcPr>
            <w:tcW w:w="3490" w:type="dxa"/>
          </w:tcPr>
          <w:p w14:paraId="3867BA3E" w14:textId="25EDF141"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Weight reduction factor for fuselage weight and OEW</w:t>
            </w:r>
          </w:p>
        </w:tc>
      </w:tr>
      <w:tr w:rsidR="00D823ED" w:rsidRPr="00DB2332" w14:paraId="659717DB" w14:textId="3B30034B" w:rsidTr="00371529">
        <w:trPr>
          <w:trHeight w:val="399"/>
          <w:jc w:val="center"/>
        </w:trPr>
        <w:tc>
          <w:tcPr>
            <w:tcW w:w="976" w:type="dxa"/>
          </w:tcPr>
          <w:p w14:paraId="3A017AF1" w14:textId="7A00884F"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LNG</w:t>
            </w:r>
          </w:p>
        </w:tc>
        <w:tc>
          <w:tcPr>
            <w:tcW w:w="3621" w:type="dxa"/>
          </w:tcPr>
          <w:p w14:paraId="65D63409" w14:textId="51FBBC32"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Liquid natural gas</w:t>
            </w:r>
          </w:p>
        </w:tc>
        <w:tc>
          <w:tcPr>
            <w:tcW w:w="1105" w:type="dxa"/>
          </w:tcPr>
          <w:p w14:paraId="641493FE" w14:textId="344D1910"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i/>
                <w:iCs/>
                <w:sz w:val="24"/>
                <w:szCs w:val="24"/>
                <w:lang w:eastAsia="en-GB"/>
              </w:rPr>
              <w:t>ρ</w:t>
            </w:r>
          </w:p>
        </w:tc>
        <w:tc>
          <w:tcPr>
            <w:tcW w:w="3490" w:type="dxa"/>
          </w:tcPr>
          <w:p w14:paraId="3BFB3667" w14:textId="0CC75B79"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Fuel density</w:t>
            </w:r>
          </w:p>
        </w:tc>
      </w:tr>
      <w:tr w:rsidR="00D823ED" w:rsidRPr="00DB2332" w14:paraId="581B6CBD" w14:textId="304F188A" w:rsidTr="00371529">
        <w:trPr>
          <w:trHeight w:val="399"/>
          <w:jc w:val="center"/>
        </w:trPr>
        <w:tc>
          <w:tcPr>
            <w:tcW w:w="976" w:type="dxa"/>
          </w:tcPr>
          <w:p w14:paraId="42DEE652" w14:textId="6C3B5825"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LNH</w:t>
            </w:r>
            <w:r w:rsidRPr="00DB2332">
              <w:rPr>
                <w:rFonts w:ascii="Times New Roman" w:hAnsi="Times New Roman" w:cs="Times New Roman"/>
                <w:sz w:val="24"/>
                <w:szCs w:val="24"/>
                <w:vertAlign w:val="subscript"/>
                <w:lang w:eastAsia="en-GB"/>
              </w:rPr>
              <w:t>3</w:t>
            </w:r>
          </w:p>
        </w:tc>
        <w:tc>
          <w:tcPr>
            <w:tcW w:w="3621" w:type="dxa"/>
          </w:tcPr>
          <w:p w14:paraId="7C36A9C2" w14:textId="29866F80"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Liquid ammonia</w:t>
            </w:r>
          </w:p>
        </w:tc>
        <w:tc>
          <w:tcPr>
            <w:tcW w:w="1105" w:type="dxa"/>
          </w:tcPr>
          <w:p w14:paraId="3E29EEB8" w14:textId="570CF092" w:rsidR="00D823ED" w:rsidRPr="00DB2332" w:rsidRDefault="00D823ED" w:rsidP="00011191">
            <w:pPr>
              <w:spacing w:line="276" w:lineRule="auto"/>
              <w:rPr>
                <w:rFonts w:ascii="Times New Roman" w:hAnsi="Times New Roman" w:cs="Times New Roman"/>
                <w:sz w:val="24"/>
                <w:szCs w:val="24"/>
                <w:lang w:eastAsia="en-GB"/>
              </w:rPr>
            </w:pPr>
            <w:proofErr w:type="spellStart"/>
            <w:r w:rsidRPr="00DB2332">
              <w:rPr>
                <w:rFonts w:ascii="Times New Roman" w:hAnsi="Times New Roman" w:cs="Times New Roman"/>
                <w:i/>
                <w:iCs/>
                <w:sz w:val="24"/>
                <w:szCs w:val="24"/>
                <w:lang w:eastAsia="en-GB"/>
              </w:rPr>
              <w:t>ρ</w:t>
            </w:r>
            <w:r w:rsidRPr="00DB2332">
              <w:rPr>
                <w:rFonts w:ascii="Times New Roman" w:hAnsi="Times New Roman" w:cs="Times New Roman"/>
                <w:sz w:val="24"/>
                <w:szCs w:val="24"/>
                <w:vertAlign w:val="subscript"/>
                <w:lang w:eastAsia="en-GB"/>
              </w:rPr>
              <w:t>a</w:t>
            </w:r>
            <w:proofErr w:type="spellEnd"/>
          </w:p>
        </w:tc>
        <w:tc>
          <w:tcPr>
            <w:tcW w:w="3490" w:type="dxa"/>
          </w:tcPr>
          <w:p w14:paraId="656D2A9E" w14:textId="2675F30C"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Density of air at cruise altitude</w:t>
            </w:r>
          </w:p>
        </w:tc>
      </w:tr>
      <w:tr w:rsidR="00D823ED" w:rsidRPr="00DB2332" w14:paraId="0A104457" w14:textId="5F4D9A91" w:rsidTr="00371529">
        <w:trPr>
          <w:trHeight w:val="399"/>
          <w:jc w:val="center"/>
        </w:trPr>
        <w:tc>
          <w:tcPr>
            <w:tcW w:w="976" w:type="dxa"/>
          </w:tcPr>
          <w:p w14:paraId="792B6E6B" w14:textId="10B15949"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i/>
                <w:iCs/>
                <w:sz w:val="24"/>
                <w:szCs w:val="24"/>
                <w:lang w:eastAsia="en-GB"/>
              </w:rPr>
              <w:t>L/D</w:t>
            </w:r>
          </w:p>
        </w:tc>
        <w:tc>
          <w:tcPr>
            <w:tcW w:w="3621" w:type="dxa"/>
          </w:tcPr>
          <w:p w14:paraId="12380479" w14:textId="7EBB0774"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Lift to drag ratio</w:t>
            </w:r>
          </w:p>
        </w:tc>
        <w:tc>
          <w:tcPr>
            <w:tcW w:w="1105" w:type="dxa"/>
          </w:tcPr>
          <w:p w14:paraId="780A07D6" w14:textId="42354C61" w:rsidR="00D823ED" w:rsidRPr="00DB2332" w:rsidRDefault="00D823ED" w:rsidP="00011191">
            <w:pPr>
              <w:spacing w:line="276" w:lineRule="auto"/>
              <w:rPr>
                <w:rFonts w:ascii="Times New Roman" w:hAnsi="Times New Roman" w:cs="Times New Roman"/>
                <w:sz w:val="24"/>
                <w:szCs w:val="24"/>
                <w:lang w:eastAsia="en-GB"/>
              </w:rPr>
            </w:pPr>
          </w:p>
        </w:tc>
        <w:tc>
          <w:tcPr>
            <w:tcW w:w="3490" w:type="dxa"/>
          </w:tcPr>
          <w:p w14:paraId="3F2F8C5C" w14:textId="57A3CE7C" w:rsidR="00D823ED" w:rsidRPr="00DB2332" w:rsidRDefault="00D823ED" w:rsidP="00011191">
            <w:pPr>
              <w:spacing w:line="276" w:lineRule="auto"/>
              <w:rPr>
                <w:rFonts w:ascii="Times New Roman" w:hAnsi="Times New Roman" w:cs="Times New Roman"/>
                <w:sz w:val="24"/>
                <w:szCs w:val="24"/>
                <w:lang w:eastAsia="en-GB"/>
              </w:rPr>
            </w:pPr>
          </w:p>
        </w:tc>
      </w:tr>
      <w:tr w:rsidR="00D823ED" w:rsidRPr="00DB2332" w14:paraId="5F18AC02" w14:textId="433E6BFF" w:rsidTr="00371529">
        <w:trPr>
          <w:trHeight w:val="399"/>
          <w:jc w:val="center"/>
        </w:trPr>
        <w:tc>
          <w:tcPr>
            <w:tcW w:w="976" w:type="dxa"/>
          </w:tcPr>
          <w:p w14:paraId="039278F9" w14:textId="44E7384E" w:rsidR="00D823ED" w:rsidRPr="00FA6B79" w:rsidRDefault="00000000" w:rsidP="00011191">
            <w:pPr>
              <w:spacing w:line="276" w:lineRule="auto"/>
              <w:rPr>
                <w:rFonts w:ascii="Times New Roman" w:hAnsi="Times New Roman" w:cs="Times New Roman"/>
                <w:i/>
                <w:iCs/>
                <w:sz w:val="24"/>
                <w:szCs w:val="24"/>
                <w:lang w:eastAsia="en-GB"/>
              </w:rPr>
            </w:pPr>
            <m:oMathPara>
              <m:oMathParaPr>
                <m:jc m:val="left"/>
              </m:oMathParaPr>
              <m:oMath>
                <m:sSub>
                  <m:sSubPr>
                    <m:ctrlPr>
                      <w:rPr>
                        <w:rFonts w:ascii="Cambria Math" w:hAnsi="Cambria Math" w:cs="Times New Roman"/>
                        <w:i/>
                        <w:iCs/>
                        <w:sz w:val="24"/>
                        <w:szCs w:val="24"/>
                        <w:lang w:eastAsia="en-GB"/>
                      </w:rPr>
                    </m:ctrlPr>
                  </m:sSubPr>
                  <m:e>
                    <m:acc>
                      <m:accPr>
                        <m:chr m:val="̇"/>
                        <m:ctrlPr>
                          <w:rPr>
                            <w:rFonts w:ascii="Cambria Math" w:hAnsi="Cambria Math" w:cs="Times New Roman"/>
                            <w:i/>
                            <w:iCs/>
                            <w:sz w:val="24"/>
                            <w:szCs w:val="24"/>
                            <w:lang w:eastAsia="en-GB"/>
                          </w:rPr>
                        </m:ctrlPr>
                      </m:accPr>
                      <m:e>
                        <m:r>
                          <w:rPr>
                            <w:rFonts w:ascii="Cambria Math" w:hAnsi="Cambria Math" w:cs="Times New Roman"/>
                            <w:sz w:val="24"/>
                            <w:szCs w:val="24"/>
                            <w:lang w:eastAsia="en-GB"/>
                          </w:rPr>
                          <m:t>m</m:t>
                        </m:r>
                      </m:e>
                    </m:acc>
                  </m:e>
                  <m:sub>
                    <m:r>
                      <m:rPr>
                        <m:sty m:val="p"/>
                      </m:rPr>
                      <w:rPr>
                        <w:rFonts w:ascii="Cambria Math" w:hAnsi="Cambria Math" w:cs="Times New Roman"/>
                        <w:sz w:val="24"/>
                        <w:szCs w:val="24"/>
                        <w:lang w:eastAsia="en-GB"/>
                      </w:rPr>
                      <m:t>f</m:t>
                    </m:r>
                  </m:sub>
                </m:sSub>
              </m:oMath>
            </m:oMathPara>
          </w:p>
        </w:tc>
        <w:tc>
          <w:tcPr>
            <w:tcW w:w="3621" w:type="dxa"/>
          </w:tcPr>
          <w:p w14:paraId="25378C93" w14:textId="7567E206"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eastAsiaTheme="minorEastAsia" w:hAnsi="Times New Roman" w:cs="Times New Roman"/>
                <w:iCs/>
                <w:sz w:val="24"/>
                <w:szCs w:val="24"/>
                <w:lang w:eastAsia="en-GB"/>
              </w:rPr>
              <w:t>Fuel consumption rate</w:t>
            </w:r>
          </w:p>
        </w:tc>
        <w:tc>
          <w:tcPr>
            <w:tcW w:w="1105" w:type="dxa"/>
          </w:tcPr>
          <w:p w14:paraId="627BB456" w14:textId="0D61972D" w:rsidR="00D823ED" w:rsidRPr="00DB2332" w:rsidRDefault="00D823ED" w:rsidP="00011191">
            <w:pPr>
              <w:spacing w:line="276" w:lineRule="auto"/>
              <w:rPr>
                <w:rFonts w:ascii="Times New Roman" w:eastAsiaTheme="minorEastAsia" w:hAnsi="Times New Roman" w:cs="Times New Roman"/>
                <w:iCs/>
                <w:sz w:val="24"/>
                <w:szCs w:val="24"/>
                <w:lang w:eastAsia="en-GB"/>
              </w:rPr>
            </w:pPr>
          </w:p>
        </w:tc>
        <w:tc>
          <w:tcPr>
            <w:tcW w:w="3490" w:type="dxa"/>
          </w:tcPr>
          <w:p w14:paraId="4CC1DB3F" w14:textId="11BFFD35" w:rsidR="00D823ED" w:rsidRPr="00DB2332" w:rsidRDefault="00D823ED" w:rsidP="00011191">
            <w:pPr>
              <w:spacing w:line="276" w:lineRule="auto"/>
              <w:rPr>
                <w:rFonts w:ascii="Times New Roman" w:eastAsiaTheme="minorEastAsia" w:hAnsi="Times New Roman" w:cs="Times New Roman"/>
                <w:iCs/>
                <w:sz w:val="24"/>
                <w:szCs w:val="24"/>
                <w:lang w:eastAsia="en-GB"/>
              </w:rPr>
            </w:pPr>
          </w:p>
        </w:tc>
      </w:tr>
      <w:tr w:rsidR="00D823ED" w:rsidRPr="00DB2332" w14:paraId="1C1514FC" w14:textId="781FA23C" w:rsidTr="00371529">
        <w:trPr>
          <w:trHeight w:val="399"/>
          <w:jc w:val="center"/>
        </w:trPr>
        <w:tc>
          <w:tcPr>
            <w:tcW w:w="976" w:type="dxa"/>
          </w:tcPr>
          <w:p w14:paraId="2D1A81CB" w14:textId="394584DD"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sz w:val="24"/>
                <w:szCs w:val="24"/>
              </w:rPr>
              <w:t>MTOW</w:t>
            </w:r>
          </w:p>
        </w:tc>
        <w:tc>
          <w:tcPr>
            <w:tcW w:w="3621" w:type="dxa"/>
          </w:tcPr>
          <w:p w14:paraId="6CF20775" w14:textId="3B06ECCD" w:rsidR="00D823ED" w:rsidRPr="00DB2332" w:rsidRDefault="00D823ED" w:rsidP="00011191">
            <w:pPr>
              <w:spacing w:line="276" w:lineRule="auto"/>
              <w:rPr>
                <w:rFonts w:ascii="Times New Roman" w:eastAsiaTheme="minorEastAsia" w:hAnsi="Times New Roman" w:cs="Times New Roman"/>
                <w:iCs/>
                <w:sz w:val="24"/>
                <w:szCs w:val="24"/>
                <w:lang w:eastAsia="en-GB"/>
              </w:rPr>
            </w:pPr>
            <w:r w:rsidRPr="00DB2332">
              <w:rPr>
                <w:rFonts w:ascii="Times New Roman" w:hAnsi="Times New Roman" w:cs="Times New Roman"/>
                <w:sz w:val="24"/>
                <w:szCs w:val="24"/>
              </w:rPr>
              <w:t>Maximum take-off weight</w:t>
            </w:r>
          </w:p>
        </w:tc>
        <w:tc>
          <w:tcPr>
            <w:tcW w:w="1105" w:type="dxa"/>
          </w:tcPr>
          <w:p w14:paraId="75675053" w14:textId="77777777" w:rsidR="00D823ED" w:rsidRPr="00DB2332" w:rsidRDefault="00D823ED" w:rsidP="00011191">
            <w:pPr>
              <w:spacing w:line="276" w:lineRule="auto"/>
              <w:rPr>
                <w:rFonts w:ascii="Times New Roman" w:hAnsi="Times New Roman" w:cs="Times New Roman"/>
                <w:sz w:val="24"/>
                <w:szCs w:val="24"/>
              </w:rPr>
            </w:pPr>
          </w:p>
        </w:tc>
        <w:tc>
          <w:tcPr>
            <w:tcW w:w="3490" w:type="dxa"/>
          </w:tcPr>
          <w:p w14:paraId="709FC1AB" w14:textId="77777777" w:rsidR="00D823ED" w:rsidRPr="00DB2332" w:rsidRDefault="00D823ED" w:rsidP="00011191">
            <w:pPr>
              <w:spacing w:line="276" w:lineRule="auto"/>
              <w:rPr>
                <w:rFonts w:ascii="Times New Roman" w:hAnsi="Times New Roman" w:cs="Times New Roman"/>
                <w:sz w:val="24"/>
                <w:szCs w:val="24"/>
              </w:rPr>
            </w:pPr>
          </w:p>
        </w:tc>
      </w:tr>
      <w:tr w:rsidR="00D823ED" w:rsidRPr="00DB2332" w14:paraId="4C3C59BB" w14:textId="098060F1" w:rsidTr="00371529">
        <w:trPr>
          <w:trHeight w:val="399"/>
          <w:jc w:val="center"/>
        </w:trPr>
        <w:tc>
          <w:tcPr>
            <w:tcW w:w="976" w:type="dxa"/>
          </w:tcPr>
          <w:p w14:paraId="6FD2B63A" w14:textId="0EE30ED2"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sz w:val="24"/>
                <w:szCs w:val="24"/>
              </w:rPr>
              <w:t>OEW</w:t>
            </w:r>
          </w:p>
        </w:tc>
        <w:tc>
          <w:tcPr>
            <w:tcW w:w="3621" w:type="dxa"/>
          </w:tcPr>
          <w:p w14:paraId="01A5AF22" w14:textId="37BC5373"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rPr>
              <w:t>Operating empty weight</w:t>
            </w:r>
          </w:p>
        </w:tc>
        <w:tc>
          <w:tcPr>
            <w:tcW w:w="1105" w:type="dxa"/>
          </w:tcPr>
          <w:p w14:paraId="6429E111" w14:textId="77777777" w:rsidR="00D823ED" w:rsidRPr="00DB2332" w:rsidRDefault="00D823ED" w:rsidP="00011191">
            <w:pPr>
              <w:spacing w:line="276" w:lineRule="auto"/>
              <w:rPr>
                <w:rFonts w:ascii="Times New Roman" w:hAnsi="Times New Roman" w:cs="Times New Roman"/>
                <w:sz w:val="24"/>
                <w:szCs w:val="24"/>
              </w:rPr>
            </w:pPr>
          </w:p>
        </w:tc>
        <w:tc>
          <w:tcPr>
            <w:tcW w:w="3490" w:type="dxa"/>
          </w:tcPr>
          <w:p w14:paraId="1D13ACD5" w14:textId="77777777" w:rsidR="00D823ED" w:rsidRPr="00DB2332" w:rsidRDefault="00D823ED" w:rsidP="00011191">
            <w:pPr>
              <w:spacing w:line="276" w:lineRule="auto"/>
              <w:rPr>
                <w:rFonts w:ascii="Times New Roman" w:hAnsi="Times New Roman" w:cs="Times New Roman"/>
                <w:sz w:val="24"/>
                <w:szCs w:val="24"/>
              </w:rPr>
            </w:pPr>
          </w:p>
        </w:tc>
      </w:tr>
      <w:tr w:rsidR="00D823ED" w:rsidRPr="00DB2332" w14:paraId="196C7D0F" w14:textId="77777777" w:rsidTr="00371529">
        <w:trPr>
          <w:trHeight w:val="399"/>
          <w:jc w:val="center"/>
        </w:trPr>
        <w:tc>
          <w:tcPr>
            <w:tcW w:w="976" w:type="dxa"/>
          </w:tcPr>
          <w:p w14:paraId="5A160974" w14:textId="3D4C913E" w:rsidR="00D823ED" w:rsidRPr="00DB2332" w:rsidRDefault="00D823ED" w:rsidP="00011191">
            <w:pPr>
              <w:spacing w:line="276" w:lineRule="auto"/>
              <w:rPr>
                <w:rFonts w:ascii="Times New Roman" w:hAnsi="Times New Roman" w:cs="Times New Roman"/>
                <w:sz w:val="24"/>
                <w:szCs w:val="24"/>
              </w:rPr>
            </w:pPr>
            <w:r w:rsidRPr="00DB2332">
              <w:rPr>
                <w:rFonts w:ascii="Times New Roman" w:hAnsi="Times New Roman" w:cs="Times New Roman"/>
                <w:sz w:val="24"/>
                <w:szCs w:val="24"/>
              </w:rPr>
              <w:t>PAX</w:t>
            </w:r>
          </w:p>
        </w:tc>
        <w:tc>
          <w:tcPr>
            <w:tcW w:w="3621" w:type="dxa"/>
          </w:tcPr>
          <w:p w14:paraId="1A75A03A" w14:textId="10D0DC7C" w:rsidR="00D823ED" w:rsidRPr="00DB2332" w:rsidRDefault="00D823ED" w:rsidP="00011191">
            <w:pPr>
              <w:spacing w:line="276" w:lineRule="auto"/>
              <w:rPr>
                <w:rFonts w:ascii="Times New Roman" w:hAnsi="Times New Roman" w:cs="Times New Roman"/>
                <w:sz w:val="24"/>
                <w:szCs w:val="24"/>
              </w:rPr>
            </w:pPr>
            <w:r w:rsidRPr="00DB2332">
              <w:rPr>
                <w:rFonts w:ascii="Times New Roman" w:hAnsi="Times New Roman" w:cs="Times New Roman"/>
                <w:sz w:val="24"/>
                <w:szCs w:val="24"/>
              </w:rPr>
              <w:t>Passengers</w:t>
            </w:r>
          </w:p>
        </w:tc>
        <w:tc>
          <w:tcPr>
            <w:tcW w:w="1105" w:type="dxa"/>
          </w:tcPr>
          <w:p w14:paraId="2D9098EE" w14:textId="77777777" w:rsidR="00D823ED" w:rsidRPr="00DB2332" w:rsidRDefault="00D823ED" w:rsidP="00011191">
            <w:pPr>
              <w:spacing w:line="276" w:lineRule="auto"/>
              <w:rPr>
                <w:rFonts w:ascii="Times New Roman" w:hAnsi="Times New Roman" w:cs="Times New Roman"/>
                <w:sz w:val="24"/>
                <w:szCs w:val="24"/>
              </w:rPr>
            </w:pPr>
          </w:p>
        </w:tc>
        <w:tc>
          <w:tcPr>
            <w:tcW w:w="3490" w:type="dxa"/>
          </w:tcPr>
          <w:p w14:paraId="1F479D5B" w14:textId="77777777" w:rsidR="00D823ED" w:rsidRPr="00DB2332" w:rsidRDefault="00D823ED" w:rsidP="00011191">
            <w:pPr>
              <w:spacing w:line="276" w:lineRule="auto"/>
              <w:rPr>
                <w:rFonts w:ascii="Times New Roman" w:hAnsi="Times New Roman" w:cs="Times New Roman"/>
                <w:sz w:val="24"/>
                <w:szCs w:val="24"/>
              </w:rPr>
            </w:pPr>
          </w:p>
        </w:tc>
      </w:tr>
      <w:tr w:rsidR="00D823ED" w:rsidRPr="00DB2332" w14:paraId="379F342B" w14:textId="4DF09D62" w:rsidTr="00371529">
        <w:trPr>
          <w:trHeight w:val="399"/>
          <w:jc w:val="center"/>
        </w:trPr>
        <w:tc>
          <w:tcPr>
            <w:tcW w:w="976" w:type="dxa"/>
          </w:tcPr>
          <w:p w14:paraId="424B457C" w14:textId="298F401B"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i/>
                <w:iCs/>
                <w:sz w:val="24"/>
                <w:szCs w:val="24"/>
                <w:lang w:eastAsia="en-GB"/>
              </w:rPr>
              <w:t>R</w:t>
            </w:r>
          </w:p>
        </w:tc>
        <w:tc>
          <w:tcPr>
            <w:tcW w:w="3621" w:type="dxa"/>
          </w:tcPr>
          <w:p w14:paraId="5CB57039" w14:textId="779B1CBB"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Aircraft range</w:t>
            </w:r>
          </w:p>
        </w:tc>
        <w:tc>
          <w:tcPr>
            <w:tcW w:w="1105" w:type="dxa"/>
          </w:tcPr>
          <w:p w14:paraId="6438A22E" w14:textId="77777777" w:rsidR="00D823ED" w:rsidRPr="00DB2332" w:rsidRDefault="00D823ED" w:rsidP="00011191">
            <w:pPr>
              <w:spacing w:line="276" w:lineRule="auto"/>
              <w:rPr>
                <w:rFonts w:ascii="Times New Roman" w:hAnsi="Times New Roman" w:cs="Times New Roman"/>
                <w:sz w:val="24"/>
                <w:szCs w:val="24"/>
                <w:lang w:eastAsia="en-GB"/>
              </w:rPr>
            </w:pPr>
          </w:p>
        </w:tc>
        <w:tc>
          <w:tcPr>
            <w:tcW w:w="3490" w:type="dxa"/>
          </w:tcPr>
          <w:p w14:paraId="22D289C0" w14:textId="77777777" w:rsidR="00D823ED" w:rsidRPr="00DB2332" w:rsidRDefault="00D823ED" w:rsidP="00011191">
            <w:pPr>
              <w:spacing w:line="276" w:lineRule="auto"/>
              <w:rPr>
                <w:rFonts w:ascii="Times New Roman" w:hAnsi="Times New Roman" w:cs="Times New Roman"/>
                <w:sz w:val="24"/>
                <w:szCs w:val="24"/>
                <w:lang w:eastAsia="en-GB"/>
              </w:rPr>
            </w:pPr>
          </w:p>
        </w:tc>
      </w:tr>
      <w:tr w:rsidR="00D823ED" w:rsidRPr="00DB2332" w14:paraId="224CEA55" w14:textId="77777777" w:rsidTr="00371529">
        <w:trPr>
          <w:trHeight w:val="399"/>
          <w:jc w:val="center"/>
        </w:trPr>
        <w:tc>
          <w:tcPr>
            <w:tcW w:w="976" w:type="dxa"/>
          </w:tcPr>
          <w:p w14:paraId="0516F5F3" w14:textId="0A9EB662"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RF</w:t>
            </w:r>
          </w:p>
        </w:tc>
        <w:tc>
          <w:tcPr>
            <w:tcW w:w="3621" w:type="dxa"/>
          </w:tcPr>
          <w:p w14:paraId="5CE61DA1" w14:textId="676DC25B"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Radiative forcing</w:t>
            </w:r>
          </w:p>
        </w:tc>
        <w:tc>
          <w:tcPr>
            <w:tcW w:w="1105" w:type="dxa"/>
          </w:tcPr>
          <w:p w14:paraId="030B85BB" w14:textId="77777777" w:rsidR="00D823ED" w:rsidRPr="00DB2332" w:rsidRDefault="00D823ED" w:rsidP="00011191">
            <w:pPr>
              <w:spacing w:line="276" w:lineRule="auto"/>
              <w:rPr>
                <w:rFonts w:ascii="Times New Roman" w:hAnsi="Times New Roman" w:cs="Times New Roman"/>
                <w:sz w:val="24"/>
                <w:szCs w:val="24"/>
                <w:lang w:eastAsia="en-GB"/>
              </w:rPr>
            </w:pPr>
          </w:p>
        </w:tc>
        <w:tc>
          <w:tcPr>
            <w:tcW w:w="3490" w:type="dxa"/>
          </w:tcPr>
          <w:p w14:paraId="6C15FB0C" w14:textId="77777777" w:rsidR="00D823ED" w:rsidRPr="00DB2332" w:rsidRDefault="00D823ED" w:rsidP="00011191">
            <w:pPr>
              <w:spacing w:line="276" w:lineRule="auto"/>
              <w:rPr>
                <w:rFonts w:ascii="Times New Roman" w:hAnsi="Times New Roman" w:cs="Times New Roman"/>
                <w:sz w:val="24"/>
                <w:szCs w:val="24"/>
                <w:lang w:eastAsia="en-GB"/>
              </w:rPr>
            </w:pPr>
          </w:p>
        </w:tc>
      </w:tr>
      <w:tr w:rsidR="00D823ED" w:rsidRPr="00DB2332" w14:paraId="238637FB" w14:textId="0741084B" w:rsidTr="00371529">
        <w:trPr>
          <w:trHeight w:val="399"/>
          <w:jc w:val="center"/>
        </w:trPr>
        <w:tc>
          <w:tcPr>
            <w:tcW w:w="976" w:type="dxa"/>
          </w:tcPr>
          <w:p w14:paraId="71A119F4" w14:textId="21311AB2"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i/>
                <w:iCs/>
                <w:sz w:val="24"/>
                <w:szCs w:val="24"/>
                <w:lang w:eastAsia="en-GB"/>
              </w:rPr>
              <w:t>S</w:t>
            </w:r>
          </w:p>
        </w:tc>
        <w:tc>
          <w:tcPr>
            <w:tcW w:w="3621" w:type="dxa"/>
          </w:tcPr>
          <w:p w14:paraId="4C6D98A8" w14:textId="73D9E192"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lang w:eastAsia="en-GB"/>
              </w:rPr>
              <w:t>Wing area</w:t>
            </w:r>
          </w:p>
        </w:tc>
        <w:tc>
          <w:tcPr>
            <w:tcW w:w="1105" w:type="dxa"/>
          </w:tcPr>
          <w:p w14:paraId="5F2426C2" w14:textId="77777777" w:rsidR="00D823ED" w:rsidRPr="00DB2332" w:rsidRDefault="00D823ED" w:rsidP="00011191">
            <w:pPr>
              <w:spacing w:line="276" w:lineRule="auto"/>
              <w:rPr>
                <w:rFonts w:ascii="Times New Roman" w:hAnsi="Times New Roman" w:cs="Times New Roman"/>
                <w:sz w:val="24"/>
                <w:szCs w:val="24"/>
                <w:lang w:eastAsia="en-GB"/>
              </w:rPr>
            </w:pPr>
          </w:p>
        </w:tc>
        <w:tc>
          <w:tcPr>
            <w:tcW w:w="3490" w:type="dxa"/>
          </w:tcPr>
          <w:p w14:paraId="64E7D426" w14:textId="77777777" w:rsidR="00D823ED" w:rsidRPr="00DB2332" w:rsidRDefault="00D823ED" w:rsidP="00011191">
            <w:pPr>
              <w:spacing w:line="276" w:lineRule="auto"/>
              <w:rPr>
                <w:rFonts w:ascii="Times New Roman" w:hAnsi="Times New Roman" w:cs="Times New Roman"/>
                <w:sz w:val="24"/>
                <w:szCs w:val="24"/>
                <w:lang w:eastAsia="en-GB"/>
              </w:rPr>
            </w:pPr>
          </w:p>
        </w:tc>
      </w:tr>
      <w:tr w:rsidR="00D823ED" w:rsidRPr="00DB2332" w14:paraId="67422A49" w14:textId="7350E2D8" w:rsidTr="00371529">
        <w:trPr>
          <w:trHeight w:val="399"/>
          <w:jc w:val="center"/>
        </w:trPr>
        <w:tc>
          <w:tcPr>
            <w:tcW w:w="976" w:type="dxa"/>
          </w:tcPr>
          <w:p w14:paraId="5769FD55" w14:textId="1E9927C4" w:rsidR="00D823ED" w:rsidRPr="00DB2332" w:rsidRDefault="00D823ED" w:rsidP="00011191">
            <w:pPr>
              <w:spacing w:line="276" w:lineRule="auto"/>
              <w:rPr>
                <w:rFonts w:ascii="Times New Roman" w:hAnsi="Times New Roman" w:cs="Times New Roman"/>
                <w:i/>
                <w:iCs/>
                <w:sz w:val="24"/>
                <w:szCs w:val="24"/>
                <w:lang w:eastAsia="en-GB"/>
              </w:rPr>
            </w:pPr>
            <w:r w:rsidRPr="00DB2332">
              <w:rPr>
                <w:rFonts w:ascii="Times New Roman" w:hAnsi="Times New Roman" w:cs="Times New Roman"/>
                <w:sz w:val="24"/>
                <w:szCs w:val="24"/>
              </w:rPr>
              <w:t>SEC</w:t>
            </w:r>
          </w:p>
        </w:tc>
        <w:tc>
          <w:tcPr>
            <w:tcW w:w="3621" w:type="dxa"/>
          </w:tcPr>
          <w:p w14:paraId="182890A8" w14:textId="74975D85" w:rsidR="00D823ED" w:rsidRPr="00DB2332" w:rsidRDefault="00D823ED" w:rsidP="00011191">
            <w:pPr>
              <w:spacing w:line="276" w:lineRule="auto"/>
              <w:rPr>
                <w:rFonts w:ascii="Times New Roman" w:hAnsi="Times New Roman" w:cs="Times New Roman"/>
                <w:sz w:val="24"/>
                <w:szCs w:val="24"/>
                <w:lang w:eastAsia="en-GB"/>
              </w:rPr>
            </w:pPr>
            <w:r w:rsidRPr="00DB2332">
              <w:rPr>
                <w:rFonts w:ascii="Times New Roman" w:hAnsi="Times New Roman" w:cs="Times New Roman"/>
                <w:sz w:val="24"/>
                <w:szCs w:val="24"/>
              </w:rPr>
              <w:t>Specific energy consumption</w:t>
            </w:r>
          </w:p>
        </w:tc>
        <w:tc>
          <w:tcPr>
            <w:tcW w:w="1105" w:type="dxa"/>
          </w:tcPr>
          <w:p w14:paraId="7191D30D" w14:textId="77777777" w:rsidR="00D823ED" w:rsidRPr="00DB2332" w:rsidRDefault="00D823ED" w:rsidP="00011191">
            <w:pPr>
              <w:spacing w:line="276" w:lineRule="auto"/>
              <w:rPr>
                <w:rFonts w:ascii="Times New Roman" w:hAnsi="Times New Roman" w:cs="Times New Roman"/>
                <w:sz w:val="24"/>
                <w:szCs w:val="24"/>
              </w:rPr>
            </w:pPr>
          </w:p>
        </w:tc>
        <w:tc>
          <w:tcPr>
            <w:tcW w:w="3490" w:type="dxa"/>
          </w:tcPr>
          <w:p w14:paraId="011B5B3A" w14:textId="77777777" w:rsidR="00D823ED" w:rsidRPr="00DB2332" w:rsidRDefault="00D823ED" w:rsidP="00011191">
            <w:pPr>
              <w:spacing w:line="276" w:lineRule="auto"/>
              <w:rPr>
                <w:rFonts w:ascii="Times New Roman" w:hAnsi="Times New Roman" w:cs="Times New Roman"/>
                <w:sz w:val="24"/>
                <w:szCs w:val="24"/>
              </w:rPr>
            </w:pPr>
          </w:p>
        </w:tc>
      </w:tr>
    </w:tbl>
    <w:p w14:paraId="50E8378C" w14:textId="43C3F76B" w:rsidR="00663AAB" w:rsidRPr="00DB2332" w:rsidRDefault="00663AAB">
      <w:pPr>
        <w:rPr>
          <w:rFonts w:ascii="Times New Roman" w:eastAsia="Times New Roman" w:hAnsi="Times New Roman" w:cs="Times New Roman"/>
          <w:b/>
          <w:bCs/>
          <w:sz w:val="24"/>
          <w:szCs w:val="24"/>
          <w:bdr w:val="none" w:sz="0" w:space="0" w:color="auto" w:frame="1"/>
          <w:lang w:eastAsia="en-GB"/>
        </w:rPr>
      </w:pPr>
    </w:p>
    <w:p w14:paraId="267FE8C6" w14:textId="11AA64C3" w:rsidR="002F63CF" w:rsidRPr="00DB2332" w:rsidRDefault="002F63CF" w:rsidP="000C5E43">
      <w:pPr>
        <w:pStyle w:val="Heading1"/>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DB2332">
        <w:rPr>
          <w:rFonts w:ascii="Times New Roman" w:eastAsia="Times New Roman" w:hAnsi="Times New Roman" w:cs="Times New Roman"/>
          <w:b/>
          <w:bCs/>
          <w:color w:val="auto"/>
          <w:sz w:val="24"/>
          <w:szCs w:val="24"/>
          <w:bdr w:val="none" w:sz="0" w:space="0" w:color="auto" w:frame="1"/>
          <w:lang w:eastAsia="en-GB"/>
        </w:rPr>
        <w:lastRenderedPageBreak/>
        <w:t>Introduction</w:t>
      </w:r>
    </w:p>
    <w:p w14:paraId="0908A6FC" w14:textId="3B347DBE" w:rsidR="00756E4E" w:rsidRPr="00DB2332" w:rsidRDefault="001E681A" w:rsidP="000C5E43">
      <w:pPr>
        <w:pStyle w:val="Text"/>
        <w:tabs>
          <w:tab w:val="clear" w:pos="288"/>
          <w:tab w:val="left" w:pos="567"/>
        </w:tabs>
        <w:ind w:right="-46" w:firstLine="0"/>
        <w:rPr>
          <w:sz w:val="24"/>
          <w:szCs w:val="24"/>
          <w:lang w:val="en-GB"/>
        </w:rPr>
      </w:pPr>
      <w:r w:rsidRPr="00DB2332">
        <w:rPr>
          <w:sz w:val="24"/>
          <w:szCs w:val="24"/>
          <w:lang w:val="en-GB"/>
        </w:rPr>
        <w:tab/>
      </w:r>
      <w:r w:rsidR="00DB52A2" w:rsidRPr="00DB2332">
        <w:rPr>
          <w:sz w:val="24"/>
          <w:szCs w:val="24"/>
          <w:lang w:val="en-GB"/>
        </w:rPr>
        <w:t>C</w:t>
      </w:r>
      <w:r w:rsidR="002227EE" w:rsidRPr="00DB2332">
        <w:rPr>
          <w:sz w:val="24"/>
          <w:szCs w:val="24"/>
          <w:lang w:val="en-GB"/>
        </w:rPr>
        <w:t>urrently aviation accounts for</w:t>
      </w:r>
      <w:r w:rsidR="00DB52A2" w:rsidRPr="00DB2332">
        <w:rPr>
          <w:sz w:val="24"/>
          <w:szCs w:val="24"/>
          <w:lang w:val="en-GB"/>
        </w:rPr>
        <w:t xml:space="preserve"> </w:t>
      </w:r>
      <w:r w:rsidR="00AE5FB0">
        <w:rPr>
          <w:sz w:val="24"/>
          <w:szCs w:val="24"/>
          <w:lang w:val="en-GB"/>
        </w:rPr>
        <w:t>~3.5</w:t>
      </w:r>
      <w:r w:rsidR="00B34C36" w:rsidRPr="00DB2332">
        <w:rPr>
          <w:sz w:val="24"/>
          <w:szCs w:val="24"/>
          <w:lang w:val="en-GB"/>
        </w:rPr>
        <w:t>% of</w:t>
      </w:r>
      <w:r w:rsidR="00C559EF" w:rsidRPr="00DB2332">
        <w:rPr>
          <w:sz w:val="24"/>
          <w:szCs w:val="24"/>
          <w:lang w:val="en-GB"/>
        </w:rPr>
        <w:t xml:space="preserve"> the</w:t>
      </w:r>
      <w:r w:rsidR="0030306B" w:rsidRPr="00DB2332">
        <w:rPr>
          <w:sz w:val="24"/>
          <w:szCs w:val="24"/>
          <w:lang w:val="en-GB"/>
        </w:rPr>
        <w:t xml:space="preserve"> total </w:t>
      </w:r>
      <w:r w:rsidR="00B06266" w:rsidRPr="00DB2332">
        <w:rPr>
          <w:sz w:val="24"/>
          <w:szCs w:val="24"/>
          <w:lang w:val="en-GB"/>
        </w:rPr>
        <w:t>anthropogenic</w:t>
      </w:r>
      <w:r w:rsidR="00B34C36" w:rsidRPr="00DB2332">
        <w:rPr>
          <w:sz w:val="24"/>
          <w:szCs w:val="24"/>
          <w:lang w:val="en-GB"/>
        </w:rPr>
        <w:t xml:space="preserve"> </w:t>
      </w:r>
      <w:r w:rsidR="00DB52A2" w:rsidRPr="00DB2332">
        <w:rPr>
          <w:sz w:val="24"/>
          <w:szCs w:val="24"/>
          <w:lang w:val="en-GB"/>
        </w:rPr>
        <w:t>radiative forcing</w:t>
      </w:r>
      <w:r w:rsidR="006533D7" w:rsidRPr="00DB2332">
        <w:rPr>
          <w:sz w:val="24"/>
          <w:szCs w:val="24"/>
          <w:lang w:val="en-GB"/>
        </w:rPr>
        <w:t xml:space="preserve"> (RF)</w:t>
      </w:r>
      <w:r w:rsidR="001912D7" w:rsidRPr="00DB2332">
        <w:rPr>
          <w:sz w:val="24"/>
          <w:szCs w:val="24"/>
          <w:lang w:val="en-GB"/>
        </w:rPr>
        <w:t>,</w:t>
      </w:r>
      <w:r w:rsidR="00DB52A2" w:rsidRPr="00DB2332">
        <w:rPr>
          <w:sz w:val="24"/>
          <w:szCs w:val="24"/>
          <w:lang w:val="en-GB"/>
        </w:rPr>
        <w:t xml:space="preserve"> </w:t>
      </w:r>
      <w:r w:rsidR="00FB3853" w:rsidRPr="00DB2332">
        <w:rPr>
          <w:sz w:val="24"/>
          <w:szCs w:val="24"/>
          <w:lang w:val="en-GB"/>
        </w:rPr>
        <w:t>including</w:t>
      </w:r>
      <w:r w:rsidR="00DB52A2" w:rsidRPr="00DB2332">
        <w:rPr>
          <w:sz w:val="24"/>
          <w:szCs w:val="24"/>
          <w:lang w:val="en-GB"/>
        </w:rPr>
        <w:t xml:space="preserve"> the effects of </w:t>
      </w:r>
      <w:r w:rsidR="006569E5" w:rsidRPr="00DB2332">
        <w:rPr>
          <w:sz w:val="24"/>
          <w:szCs w:val="24"/>
          <w:lang w:val="en-GB"/>
        </w:rPr>
        <w:t>aviation induced cirrus</w:t>
      </w:r>
      <w:r w:rsidR="00B34C36" w:rsidRPr="00DB2332">
        <w:rPr>
          <w:sz w:val="24"/>
          <w:szCs w:val="24"/>
          <w:lang w:val="en-GB"/>
        </w:rPr>
        <w:t xml:space="preserve"> </w:t>
      </w:r>
      <w:r w:rsidR="00DB52A2" w:rsidRPr="00DB2332">
        <w:rPr>
          <w:sz w:val="24"/>
          <w:szCs w:val="24"/>
          <w:lang w:val="en-GB"/>
        </w:rPr>
        <w:fldChar w:fldCharType="begin" w:fldLock="1"/>
      </w:r>
      <w:r w:rsidR="00CF53DC" w:rsidRPr="00DB2332">
        <w:rPr>
          <w:sz w:val="24"/>
          <w:szCs w:val="24"/>
          <w:lang w:val="en-GB"/>
        </w:rPr>
        <w:instrText xml:space="preserve">ADDIN CSL_CITATION {"citationItems":[{"id":"ITEM-1","itemData":{"URL":"https://repository.upenn.edu/cgi/viewcontent.cgi?article=1066&amp;context=library_papers","accessed":{"date-parts":[["2020","1","2"]]},"author":[{"dropping-particle":"","family":"Vedantham","given":"Anu","non-dropping-particle":"","parse-names":false,"suffix":""}],"id":"ITEM-1","issued":{"date-parts":[["1999"]]},"title":"Aviation and the Global Atmosphere: A Special Report of IPCC Working Groups I and III","type":"webpage"},"uris":["http://www.mendeley.com/documents/?uuid=14429d83-102d-3a29-bd7f-1f07fda1ed15"]},{"id":"ITEM-2","itemData":{"DOI":"10.1016/J.ATMOSENV.2009.04.024","ISSN":"1352-2310","abstract":"Aviation emissions contribute to the radiative forcing (RF) of climate. Of importance are emissions of carbon dioxide (CO2), nitrogen oxides (NOx), aerosols and their precursors (soot and sulphate), and increased cloudiness in the form of persistent linear contrails and induced-cirrus cloudiness. The recent Fourth Assessment Report (AR4) of the Intergovernmental Panel on Climate Change (IPCC) quantified aviation's RF contribution for 2005 based upon 2000 operations data. Aviation has grown strongly over the past years, despite world-changing events in the early 2000s; the average annual passenger traffic growth rate was 5.3% yr−1 between 2000 and 2007, resulting in an increase of passenger traffic of 38%. Presented here are updated values of aviation RF for 2005 based upon new operations data that show an increase in traffic of 22.5%, fuel use of 8.4% and total aviation RF of 14% (excluding induced-cirrus enhancement) over the period 2000–2005. The lack of physical process models and adequate observational data for aviation-induced cirrus effects limit confidence in quantifying their RF contribution. Total aviation RF (excluding induced cirrus) in 2005 was </w:instrText>
      </w:r>
      <w:r w:rsidR="00CF53DC" w:rsidRPr="00DB2332">
        <w:rPr>
          <w:rFonts w:ascii="Cambria Math" w:hAnsi="Cambria Math" w:cs="Cambria Math"/>
          <w:sz w:val="24"/>
          <w:szCs w:val="24"/>
          <w:lang w:val="en-GB"/>
        </w:rPr>
        <w:instrText>∼</w:instrText>
      </w:r>
      <w:r w:rsidR="00CF53DC" w:rsidRPr="00DB2332">
        <w:rPr>
          <w:sz w:val="24"/>
          <w:szCs w:val="24"/>
          <w:lang w:val="en-GB"/>
        </w:rPr>
        <w:instrText>55 mW m−2 (23–87 mW m−2, 90% likelihood range), which was 3.5% (range 1.3–10%, 90% likelihood range) of total anthropogenic forcing. Including estimates for aviation-induced cirrus RF increases the total aviation RF in 2005–78 mW m−2 (38–139 mW m−2, 90% likelihood range), which represents 4.9% of total anthropogenic forcing (2–14%, 90% likelihood range). Future scenarios of aviation emissions for 2050 that are consistent with IPCC SRES A1 and B2 scenario assumptions have been presented that show an increase of fuel usage by factors of 2.7–3.9 over 2000. Simplified calculations of total aviation RF in 2050 indicate increases by factors of 3.0–4.0 over the 2000 value, representing 4–4.7% of total RF (excluding induced cirrus). An examination of a range of future technological options shows that substantive reductions in aviation fuel usage are possible only with the introduction of radical technologies. Incorporation of aviation into an emissions trading system offers the potential for overall (i.e., beyond the aviation sector) CO2 emissions reductions. Proposals exist for introduction of such a system at a European level, but no agreement has been reached at a global level.","author":[{"dropping-particle":"","family":"Lee","given":"David S.","non-dropping-particle":"","parse-names":false,"suffix":""},{"dropping-particle":"","family":"Fahey","given":"David W.","non-dropping-particle":"","parse-names":false,"suffix":""},{"dropping-particle":"","family":"Forster","given":"Piers M.","non-dropping-particle":"","parse-names":false,"suffix":""},{"dropping-particle":"","family":"Newton","given":"Peter J.","non-dropping-particle":"","parse-names":false,"suffix":""},{"dropping-particle":"","family":"Wit","given":"Ron C.N.","non-dropping-particle":"","parse-names":false,"suffix":""},{"dropping-particle":"","family":"Lim","given":"Ling L.","non-dropping-particle":"","parse-names":false,"suffix":""},{"dropping-particle":"","family":"Owen","given":"Bethan","non-dropping-particle":"","parse-names":false,"suffix":""},{"dropping-particle":"","family":"Sausen","given":"Robert","non-dropping-particle":"","parse-names":false,"suffix":""}],"container-title":"Atmospheric Environment","id":"ITEM-2","issue":"22-23","issued":{"date-parts":[["2009","7","1"]]},"page":"3520-3537","publisher":"Pergamon","title":"Aviation and global climate change in the 21st century","type":"article-journal","volume":"43"},"uris":["http://www.mendeley.com/documents/?uuid=1316ecea-6774-36fb-a734-d7351ce8d9da"]},{"id":"ITEM-3","itemData":{"URL":"https://assets.publishing.service.gov.uk/government/uploads/system/uploads/attachment_data/file/813342/non-CO2-effects-report.pdf","abstract":"Aviation has impacts on climate change through both its carbon dioxide (CO 2) emissions and non-CO2 effects. The non-CO2 emissions of gases and aerosol particles affect atmospheric composition and cloudiness, adding to the overall climate impact from the sector's CO2 emissions. Climate impacts can be measured with a metric known as 'radiative forcing' (RF) and the total RF of aviation has been estimated to be around 5% of global anthropogenic forcing (2-14% uncertainty range), of which the non-CO2 effects comprise 50-60% of this 5% fraction. However, these non-CO2 impacts have a larger scientific uncertainty than the CO2 impacts, particularly for impacts on cloudiness. Many improvements have been made to the science over the last 5 years since the publication of the DfT Aviation Policy Framework in 2013, which pointed to these uncertainties. Nonetheless, the uncertainties remain large, and new effects have been identified that potentially have large impacts but for which no best estimates are available. Firstly, in the case of soot emission impacts on high altitude cirrus cloud formation, both the magnitude and sign (warming or cooling) of the forcing are uncertain; secondly, in the case of the impact of aviation sulphur compound emissions on low-level clouds, the sign of the impact is known (cooling) but the magnitude is uncertain. Significant progress has been made on modelling the emission impacts of aviation oxides of nitrogen (NOx), and the formation and impacts of linear contrails and contrail-cirrus. However, a large uncertainty remains as to whether contrails and contrail-cirrus warm the Earth's surface as much as other aviation effects, per unit forcing. Mitigation strategies have been suggested that potentially have technological or operational trade-offs, whereby non-CO2 impacts might be reduced, but at the expense of additional CO2 emissions. Weighing the costs and benefits of these trade-offs is complex, involving both uncertainties in the non-CO2 impacts and the choice and usage of metrics to compare the impacts. 1","accessed":{"date-parts":[["2020","1","2"]]},"author":[{"dropping-particle":"","family":"Lee","given":"David S","non-dropping-particle":"","parse-names":false,"suffix":""}],"container-title":"Manchester Metropolitan University","id":"ITEM-3","issued":{"date-parts":[["2018"]]},"title":"The current state of scientific understanding of the non-CO2 effects of aviation on climate","type":"webpage"},"uris":["http://www.mendeley.com/documents/?uuid=93eb2b7f-a4c1-3f5f-a07a-1cd68e5595d2"]}],"mendeley":{"formattedCitation":"(Lee, 2018; Lee et al., 2009; Vedantham, 1999)","plainTextFormattedCitation":"(Lee, 2018; Lee et al., 2009; Vedantham, 1999)","previouslyFormattedCitation":"(Lee, 2018; Lee et al., 2009; Vedantham, 1999)"},"properties":{"noteIndex":0},"schema":"https://github.com/citation-style-language/schema/raw/master/csl-citation.json"}</w:instrText>
      </w:r>
      <w:r w:rsidR="00DB52A2" w:rsidRPr="00DB2332">
        <w:rPr>
          <w:sz w:val="24"/>
          <w:szCs w:val="24"/>
          <w:lang w:val="en-GB"/>
        </w:rPr>
        <w:fldChar w:fldCharType="separate"/>
      </w:r>
      <w:r w:rsidR="00E07378" w:rsidRPr="00DB2332">
        <w:rPr>
          <w:noProof/>
          <w:sz w:val="24"/>
          <w:szCs w:val="24"/>
          <w:lang w:val="en-GB"/>
        </w:rPr>
        <w:t>(Lee</w:t>
      </w:r>
      <w:r w:rsidR="00AE5FB0">
        <w:rPr>
          <w:noProof/>
          <w:sz w:val="24"/>
          <w:szCs w:val="24"/>
          <w:lang w:val="en-GB"/>
        </w:rPr>
        <w:t xml:space="preserve"> et al.</w:t>
      </w:r>
      <w:r w:rsidR="00E07378" w:rsidRPr="00DB2332">
        <w:rPr>
          <w:noProof/>
          <w:sz w:val="24"/>
          <w:szCs w:val="24"/>
          <w:lang w:val="en-GB"/>
        </w:rPr>
        <w:t>, 20</w:t>
      </w:r>
      <w:r w:rsidR="00AE5FB0">
        <w:rPr>
          <w:noProof/>
          <w:sz w:val="24"/>
          <w:szCs w:val="24"/>
          <w:lang w:val="en-GB"/>
        </w:rPr>
        <w:t>21)</w:t>
      </w:r>
      <w:r w:rsidR="00E07378" w:rsidRPr="00DB2332">
        <w:rPr>
          <w:noProof/>
          <w:sz w:val="24"/>
          <w:szCs w:val="24"/>
          <w:lang w:val="en-GB"/>
        </w:rPr>
        <w:t xml:space="preserve"> </w:t>
      </w:r>
      <w:r w:rsidR="00DB52A2" w:rsidRPr="00DB2332">
        <w:rPr>
          <w:sz w:val="24"/>
          <w:szCs w:val="24"/>
          <w:lang w:val="en-GB"/>
        </w:rPr>
        <w:fldChar w:fldCharType="end"/>
      </w:r>
      <w:r w:rsidR="008D0F2A" w:rsidRPr="00FA6B79">
        <w:rPr>
          <w:sz w:val="24"/>
          <w:szCs w:val="24"/>
          <w:lang w:val="en-GB"/>
        </w:rPr>
        <w:t xml:space="preserve">. </w:t>
      </w:r>
      <w:r w:rsidR="00AC3916" w:rsidRPr="00DB2332">
        <w:rPr>
          <w:sz w:val="24"/>
          <w:szCs w:val="24"/>
          <w:lang w:val="en-GB"/>
        </w:rPr>
        <w:t xml:space="preserve">The aviation industry </w:t>
      </w:r>
      <w:r w:rsidR="00AD10F1" w:rsidRPr="00DB2332">
        <w:rPr>
          <w:sz w:val="24"/>
          <w:szCs w:val="24"/>
          <w:lang w:val="en-GB"/>
        </w:rPr>
        <w:t>anticipate</w:t>
      </w:r>
      <w:r w:rsidR="00AC3916" w:rsidRPr="00DB2332">
        <w:rPr>
          <w:sz w:val="24"/>
          <w:szCs w:val="24"/>
          <w:lang w:val="en-GB"/>
        </w:rPr>
        <w:t>s a</w:t>
      </w:r>
      <w:r w:rsidR="00F837C3" w:rsidRPr="00DB2332">
        <w:rPr>
          <w:sz w:val="24"/>
          <w:szCs w:val="24"/>
          <w:lang w:val="en-GB"/>
        </w:rPr>
        <w:t xml:space="preserve"> doubling of</w:t>
      </w:r>
      <w:r w:rsidR="00AD10F1" w:rsidRPr="00DB2332">
        <w:rPr>
          <w:sz w:val="24"/>
          <w:szCs w:val="24"/>
          <w:lang w:val="en-GB"/>
        </w:rPr>
        <w:t xml:space="preserve"> </w:t>
      </w:r>
      <w:r w:rsidR="00B06266" w:rsidRPr="00DB2332">
        <w:rPr>
          <w:sz w:val="24"/>
          <w:szCs w:val="24"/>
          <w:lang w:val="en-GB"/>
        </w:rPr>
        <w:t xml:space="preserve">air-traffic </w:t>
      </w:r>
      <w:r w:rsidR="00F837C3" w:rsidRPr="00DB2332">
        <w:rPr>
          <w:sz w:val="24"/>
          <w:szCs w:val="24"/>
          <w:lang w:val="en-GB"/>
        </w:rPr>
        <w:t xml:space="preserve">by 2040 </w:t>
      </w:r>
      <w:r w:rsidR="00B06266" w:rsidRPr="00DB2332">
        <w:rPr>
          <w:sz w:val="24"/>
          <w:szCs w:val="24"/>
          <w:lang w:val="en-GB"/>
        </w:rPr>
        <w:fldChar w:fldCharType="begin" w:fldLock="1"/>
      </w:r>
      <w:r w:rsidR="00CF53DC" w:rsidRPr="00DB2332">
        <w:rPr>
          <w:sz w:val="24"/>
          <w:szCs w:val="24"/>
          <w:lang w:val="en-GB"/>
        </w:rPr>
        <w:instrText>ADDIN CSL_CITATION {"citationItems":[{"id":"ITEM-1","itemData":{"URL":"https://www.boeing.com/commercial/market/commercial-market-outlook/","accessed":{"date-parts":[["2020","12","10"]]},"author":[{"dropping-particle":"","family":"Boeing","given":"","non-dropping-particle":"","parse-names":false,"suffix":""}],"id":"ITEM-1","issued":{"date-parts":[["2020"]]},"title":"COMMERCIAL MARKET OUTLOOK 2020–2039","type":"webpage"},"uris":["http://www.mendeley.com/documents/?uuid=a7f0c3e9-70cd-3419-8251-7323779900bd"]}],"mendeley":{"formattedCitation":"(Boeing, 2020)","plainTextFormattedCitation":"(Boeing, 2020)","previouslyFormattedCitation":"(Boeing, 2020)"},"properties":{"noteIndex":0},"schema":"https://github.com/citation-style-language/schema/raw/master/csl-citation.json"}</w:instrText>
      </w:r>
      <w:r w:rsidR="00B06266" w:rsidRPr="00DB2332">
        <w:rPr>
          <w:sz w:val="24"/>
          <w:szCs w:val="24"/>
          <w:lang w:val="en-GB"/>
        </w:rPr>
        <w:fldChar w:fldCharType="separate"/>
      </w:r>
      <w:r w:rsidR="00E07378" w:rsidRPr="00DB2332">
        <w:rPr>
          <w:noProof/>
          <w:sz w:val="24"/>
          <w:szCs w:val="24"/>
          <w:lang w:val="en-GB"/>
        </w:rPr>
        <w:t>(Boeing, 2020)</w:t>
      </w:r>
      <w:r w:rsidR="00B06266" w:rsidRPr="00DB2332">
        <w:rPr>
          <w:sz w:val="24"/>
          <w:szCs w:val="24"/>
          <w:lang w:val="en-GB"/>
        </w:rPr>
        <w:fldChar w:fldCharType="end"/>
      </w:r>
      <w:r w:rsidR="00B06266" w:rsidRPr="00FA6B79">
        <w:rPr>
          <w:sz w:val="24"/>
          <w:szCs w:val="24"/>
          <w:lang w:val="en-GB"/>
        </w:rPr>
        <w:t xml:space="preserve">, despite the </w:t>
      </w:r>
      <w:r w:rsidR="00AD10F1" w:rsidRPr="00DB2332">
        <w:rPr>
          <w:sz w:val="24"/>
          <w:szCs w:val="24"/>
          <w:lang w:val="en-GB"/>
        </w:rPr>
        <w:t>COVID-19 pandemic</w:t>
      </w:r>
      <w:r w:rsidR="00B06266" w:rsidRPr="00DB2332">
        <w:rPr>
          <w:sz w:val="24"/>
          <w:szCs w:val="24"/>
          <w:lang w:val="en-GB"/>
        </w:rPr>
        <w:t xml:space="preserve"> </w:t>
      </w:r>
      <w:r w:rsidR="007D0EB5" w:rsidRPr="00DB2332">
        <w:rPr>
          <w:sz w:val="24"/>
          <w:szCs w:val="24"/>
          <w:lang w:val="en-GB"/>
        </w:rPr>
        <w:fldChar w:fldCharType="begin" w:fldLock="1"/>
      </w:r>
      <w:r w:rsidR="00AE530D" w:rsidRPr="00DB2332">
        <w:rPr>
          <w:sz w:val="24"/>
          <w:szCs w:val="24"/>
          <w:lang w:val="en-GB"/>
        </w:rPr>
        <w:instrText>ADDIN CSL_CITATION {"citationItems":[{"id":"ITEM-1","itemData":{"URL":"https://www.boeing.com/commercial/market/commercial-market-outlook/","accessed":{"date-parts":[["2020","12","10"]]},"author":[{"dropping-particle":"","family":"Boeing","given":"","non-dropping-particle":"","parse-names":false,"suffix":""}],"id":"ITEM-1","issued":{"date-parts":[["2020"]]},"title":"COMMERCIAL MARKET OUTLOOK 2020–2039","type":"webpage"},"uris":["http://www.mendeley.com/documents/?uuid=a7f0c3e9-70cd-3419-8251-7323779900bd"]},{"id":"ITEM-2","itemData":{"URL":"https://www.iata.org/contentassets/e938e150c0f547449c1093239597cc18/pax-forecast-infographic-2020-final.pdf","author":[{"dropping-particle":"","family":"IATA","given":"","non-dropping-particle":"","parse-names":false,"suffix":""}],"id":"ITEM-2","issued":{"date-parts":[["2021"]]},"title":"2021-2039 CURRENT TRENDS","type":"webpage"},"uris":["http://www.mendeley.com/documents/?uuid=d9307cf9-b78e-48c9-846c-53b5aec0004e"]}],"mendeley":{"formattedCitation":"(Boeing, 2020; IATA, 2021a)","plainTextFormattedCitation":"(Boeing, 2020; IATA, 2021a)","previouslyFormattedCitation":"(Boeing, 2020; IATA, 2021a)"},"properties":{"noteIndex":0},"schema":"https://github.com/citation-style-language/schema/raw/master/csl-citation.json"}</w:instrText>
      </w:r>
      <w:r w:rsidR="007D0EB5" w:rsidRPr="00DB2332">
        <w:rPr>
          <w:sz w:val="24"/>
          <w:szCs w:val="24"/>
          <w:lang w:val="en-GB"/>
        </w:rPr>
        <w:fldChar w:fldCharType="separate"/>
      </w:r>
      <w:r w:rsidR="00D518CE" w:rsidRPr="00DB2332">
        <w:rPr>
          <w:noProof/>
          <w:sz w:val="24"/>
          <w:szCs w:val="24"/>
          <w:lang w:val="en-GB"/>
        </w:rPr>
        <w:t>(Boeing, 2020; IATA, 2021a)</w:t>
      </w:r>
      <w:r w:rsidR="007D0EB5" w:rsidRPr="00DB2332">
        <w:rPr>
          <w:sz w:val="24"/>
          <w:szCs w:val="24"/>
          <w:lang w:val="en-GB"/>
        </w:rPr>
        <w:fldChar w:fldCharType="end"/>
      </w:r>
      <w:r w:rsidR="005264AD" w:rsidRPr="00FA6B79">
        <w:rPr>
          <w:sz w:val="24"/>
          <w:szCs w:val="24"/>
          <w:lang w:val="en-GB"/>
        </w:rPr>
        <w:t xml:space="preserve"> </w:t>
      </w:r>
      <w:r w:rsidR="005264AD" w:rsidRPr="00DB2332">
        <w:rPr>
          <w:sz w:val="24"/>
          <w:szCs w:val="24"/>
          <w:lang w:val="en-GB"/>
        </w:rPr>
        <w:t>and therefore</w:t>
      </w:r>
      <w:r w:rsidR="00E03956" w:rsidRPr="00DB2332">
        <w:rPr>
          <w:sz w:val="24"/>
          <w:szCs w:val="24"/>
          <w:lang w:val="en-GB"/>
        </w:rPr>
        <w:t xml:space="preserve"> </w:t>
      </w:r>
      <w:r w:rsidR="00AD10F1" w:rsidRPr="00DB2332">
        <w:rPr>
          <w:sz w:val="24"/>
          <w:szCs w:val="24"/>
          <w:lang w:val="en-GB"/>
        </w:rPr>
        <w:t xml:space="preserve">aviation’s total contribution </w:t>
      </w:r>
      <w:r w:rsidR="00E74B5C" w:rsidRPr="00DB2332">
        <w:rPr>
          <w:sz w:val="24"/>
          <w:szCs w:val="24"/>
          <w:lang w:val="en-GB"/>
        </w:rPr>
        <w:t xml:space="preserve">to </w:t>
      </w:r>
      <w:r w:rsidR="00B06266" w:rsidRPr="00DB2332">
        <w:rPr>
          <w:sz w:val="24"/>
          <w:szCs w:val="24"/>
          <w:lang w:val="en-GB"/>
        </w:rPr>
        <w:t>anthropogenic</w:t>
      </w:r>
      <w:r w:rsidR="00E74B5C" w:rsidRPr="00DB2332">
        <w:rPr>
          <w:sz w:val="24"/>
          <w:szCs w:val="24"/>
          <w:lang w:val="en-GB"/>
        </w:rPr>
        <w:t xml:space="preserve"> </w:t>
      </w:r>
      <w:r w:rsidR="003C5FDD" w:rsidRPr="00DB2332">
        <w:rPr>
          <w:sz w:val="24"/>
          <w:szCs w:val="24"/>
          <w:lang w:val="en-GB"/>
        </w:rPr>
        <w:t>radiative forcing</w:t>
      </w:r>
      <w:r w:rsidR="005264AD" w:rsidRPr="00DB2332">
        <w:rPr>
          <w:sz w:val="24"/>
          <w:szCs w:val="24"/>
          <w:lang w:val="en-GB"/>
        </w:rPr>
        <w:t xml:space="preserve"> is forecast to increase </w:t>
      </w:r>
      <w:r w:rsidR="00AD10F1" w:rsidRPr="00DB2332">
        <w:rPr>
          <w:sz w:val="24"/>
          <w:szCs w:val="24"/>
          <w:lang w:val="en-GB"/>
        </w:rPr>
        <w:t>by 2050</w:t>
      </w:r>
      <w:r w:rsidR="001D2106" w:rsidRPr="00DB2332">
        <w:rPr>
          <w:sz w:val="24"/>
          <w:szCs w:val="24"/>
          <w:lang w:val="en-GB"/>
        </w:rPr>
        <w:t xml:space="preserve"> </w:t>
      </w:r>
      <w:r w:rsidR="00AD10F1" w:rsidRPr="00DB2332">
        <w:rPr>
          <w:sz w:val="24"/>
          <w:szCs w:val="24"/>
          <w:lang w:val="en-GB"/>
        </w:rPr>
        <w:t xml:space="preserve"> </w:t>
      </w:r>
      <w:r w:rsidR="00AD10F1" w:rsidRPr="00DB2332">
        <w:rPr>
          <w:sz w:val="24"/>
          <w:szCs w:val="24"/>
          <w:lang w:val="en-GB"/>
        </w:rPr>
        <w:fldChar w:fldCharType="begin" w:fldLock="1"/>
      </w:r>
      <w:r w:rsidR="001A1553" w:rsidRPr="00DB2332">
        <w:rPr>
          <w:sz w:val="24"/>
          <w:szCs w:val="24"/>
          <w:lang w:val="en-GB"/>
        </w:rPr>
        <w:instrText>ADDIN CSL_CITATION {"citationItems":[{"id":"ITEM-1","itemData":{"URL":"https://www.icao.int/environmental-protection/Documents/EnvironmentReport-2010/ICAO_EnvReport10-Ch1_en.pdf","accessed":{"date-parts":[["2019","7","4"]]},"author":[{"dropping-particle":"","family":"International Civil Aviation Organization Secretariat","given":"","non-dropping-particle":"","parse-names":false,"suffix":""}],"id":"ITEM-1","issued":{"date-parts":[["2010"]]},"title":"Aviation's Contribution to Climate Change","type":"webpage"},"uris":["http://www.mendeley.com/documents/?uuid=38724d0c-67e3-390f-abe4-e4377dff7cad"]},{"id":"ITEM-2","itemData":{"URL":"https://repository.upenn.edu/cgi/viewcontent.cgi?article=1066&amp;context=library_papers","accessed":{"date-parts":[["2020","1","2"]]},"author":[{"dropping-particle":"","family":"Vedantham","given":"Anu","non-dropping-particle":"","parse-names":false,"suffix":""}],"id":"ITEM-2","issued":{"date-parts":[["1999"]]},"title":"Aviation and the Global Atmosphere: A Special Report of IPCC Working Groups I and III","type":"webpage"},"uris":["http://www.mendeley.com/documents/?uuid=14429d83-102d-3a29-bd7f-1f07fda1ed15"]},{"id":"ITEM-3","itemData":{"URL":"https://www.iata.org/en/iata-repository/pressroom/fact-sheets/fact-sheet--climate-change/","accessed":{"date-parts":[["2020","1","2"]]},"author":[{"dropping-particle":"","family":"IATA","given":"","non-dropping-particle":"","parse-names":false,"suffix":""}],"container-title":"International Air Transport Association","id":"ITEM-3","issued":{"date-parts":[["2021"]]},"title":"Aviation &amp; Climate Change","type":"webpage"},"uris":["http://www.mendeley.com/documents/?uuid=cee4340a-af4b-3aae-9daf-cf38d8aab6e6"]},{"id":"ITEM-4","itemData":{"URL":"https://assets.publishing.service.gov.uk/government/uploads/system/uploads/attachment_data/file/813342/non-CO2-effects-report.pdf","abstract":"Aviation has impacts on climate change through both its carbon dioxide (CO 2) emissions and non-CO2 effects. The non-CO2 emissions of gases and aerosol particles affect atmospheric composition and cloudiness, adding to the overall climate impact from the sector's CO2 emissions. Climate impacts can be measured with a metric known as 'radiative forcing' (RF) and the total RF of aviation has been estimated to be around 5% of global anthropogenic forcing (2-14% uncertainty range), of which the non-CO2 effects comprise 50-60% of this 5% fraction. However, these non-CO2 impacts have a larger scientific uncertainty than the CO2 impacts, particularly for impacts on cloudiness. Many improvements have been made to the science over the last 5 years since the publication of the DfT Aviation Policy Framework in 2013, which pointed to these uncertainties. Nonetheless, the uncertainties remain large, and new effects have been identified that potentially have large impacts but for which no best estimates are available. Firstly, in the case of soot emission impacts on high altitude cirrus cloud formation, both the magnitude and sign (warming or cooling) of the forcing are uncertain; secondly, in the case of the impact of aviation sulphur compound emissions on low-level clouds, the sign of the impact is known (cooling) but the magnitude is uncertain. Significant progress has been made on modelling the emission impacts of aviation oxides of nitrogen (NOx), and the formation and impacts of linear contrails and contrail-cirrus. However, a large uncertainty remains as to whether contrails and contrail-cirrus warm the Earth's surface as much as other aviation effects, per unit forcing. Mitigation strategies have been suggested that potentially have technological or operational trade-offs, whereby non-CO2 impacts might be reduced, but at the expense of additional CO2 emissions. Weighing the costs and benefits of these trade-offs is complex, involving both uncertainties in the non-CO2 impacts and the choice and usage of metrics to compare the impacts. 1","accessed":{"date-parts":[["2020","1","2"]]},"author":[{"dropping-particle":"","family":"Lee","given":"David S","non-dropping-particle":"","parse-names":false,"suffix":""}],"container-title":"Manchester Metropolitan University","id":"ITEM-4","issued":{"date-parts":[["2018"]]},"title":"The current state of scientific understanding of the non-CO2 effects of aviation on climate","type":"webpage"},"uris":["http://www.mendeley.com/documents/?uuid=93eb2b7f-a4c1-3f5f-a07a-1cd68e5595d2"]},{"id":"ITEM-5","itemData":{"DOI":"10.1016/J.ATMOSENV.2020.117834","ISSN":"1352-2310","abstract":"Global aviation operations contribute to anthropogenic climate change via a complex set of processes that lead to a net surface warming. Of importance are aviation emissions of carbon dioxide (CO2), nitrogen oxides (NOx), water vapor, soot and sulfate aerosols, and increased cloudiness due to contrail formation. Aviation grew strongly over the past decades (1960–2018) in terms of activity, with revenue passenger kilometers increasing from 109 to 8269 billion km yr−1, and in terms of climate change impacts, with CO2 emissions increasing by a factor of 6.8 to 1034 Tg CO2 yr−1. Over the period 2013–2018, the growth rates in both terms show a marked increase. Here, we present a new comprehensive and quantitative approach for evaluating aviation climate forcing terms. Both radiative forcing (RF) and effective radiative forcing (ERF) terms and their sums are calculated for the years 2000–2018. Contrail cirrus, consisting of linear contrails and the cirrus cloudiness arising from them, yields the largest positive net (warming) ERF term followed by CO2 and NOx emissions. The formation and emission of sulfate aerosol yields a negative (cooling) term. The mean contrail cirrus ERF/RF ratio of 0.42 indicates that contrail cirrus is less effective in surface warming than other terms. For 2018 the net aviation ERF is +100.9 milliwatts (mW) m−2 (5–95% likelihood range of (55, 145)) with major contributions from contrail cirrus (57.4 mW m−2), CO2 (34.3 mW m−2), and NOx (17.5 mW m−2). Non-CO2 terms sum to yield a net positive (warming) ERF that accounts for more than half (66%) of the aviation net ERF in 2018. Using normalization to aviation fuel use, the contribution of global aviation in 2011 was calculated to be 3.5 (4.0, 3.4) % of the net anthropogenic ERF of 2290 (1130, 3330) mW m−2. Uncertainty distributions (5%, 95%) show that non-CO2 forcing terms contribute about 8 times more than CO2 to the uncertainty in the aviation net ERF in 2018. The best estimates of the ERFs from aviation aerosol-cloud interactions for soot and sulfate remain undetermined. CO2-warming-equivalent emissions based on global warming potentials (GWP* method) indicate that aviation emissions are currently warming the climate at approximately three times the rate of that associated with aviation CO2 emissions alone. CO2 and NOx aviation emissions and cloud effects remain a continued focus of anthropogenic climate change research and policy discussions.","author":[{"dropping-particle":"","family":"Lee","given":"D. S.","non-dropping-particle":"","parse-names":false,"suffix":""},{"dropping-particle":"","family":"Fahey","given":"D. W.","non-dropping-particle":"","parse-names":false,"suffix":""},{"dropping-particle":"","family":"Skowron","given":"A.","non-dropping-particle":"","parse-names":false,"suffix":""},{"dropping-particle":"","family":"Allen","given":"M. R.","non-dropping-particle":"","parse-names":false,"suffix":""},{"dropping-particle":"","family":"Burkhardt","given":"U.","non-dropping-particle":"","parse-names":false,"suffix":""},{"dropping-particle":"","family":"Chen","given":"Q.","non-dropping-particle":"","parse-names":false,"suffix":""},{"dropping-particle":"","family":"Doherty","given":"S. J.","non-dropping-particle":"","parse-names":false,"suffix":""},{"dropping-particle":"","family":"Freeman","given":"S.","non-dropping-particle":"","parse-names":false,"suffix":""},{"dropping-particle":"","family":"Forster","given":"P. M.","non-dropping-particle":"","parse-names":false,"suffix":""},{"dropping-particle":"","family":"Fuglestvedt","given":"J.","non-dropping-particle":"","parse-names":false,"suffix":""},{"dropping-particle":"","family":"Gettelman","given":"A.","non-dropping-particle":"","parse-names":false,"suffix":""},{"dropping-particle":"","family":"León","given":"R. R.","non-dropping-particle":"De","parse-names":false,"suffix":""},{"dropping-particle":"","family":"Lim","given":"L. L.","non-dropping-particle":"","parse-names":false,"suffix":""},{"dropping-particle":"","family":"Lund","given":"M. T.","non-dropping-particle":"","parse-names":false,"suffix":""},{"dropping-particle":"","family":"Millar","given":"R. J.","non-dropping-particle":"","parse-names":false,"suffix":""},{"dropping-particle":"","family":"Owen","given":"B.","non-dropping-particle":"","parse-names":false,"suffix":""},{"dropping-particle":"","family":"Penner","given":"J. E.","non-dropping-particle":"","parse-names":false,"suffix":""},{"dropping-particle":"","family":"Pitari","given":"G.","non-dropping-particle":"","parse-names":false,"suffix":""},{"dropping-particle":"","family":"Prather","given":"M. J.","non-dropping-particle":"","parse-names":false,"suffix":""},{"dropping-particle":"","family":"Sausen","given":"R.","non-dropping-particle":"","parse-names":false,"suffix":""},{"dropping-particle":"","family":"Wilcox","given":"L. J.","non-dropping-particle":"","parse-names":false,"suffix":""}],"container-title":"Atmospheric Environment","id":"ITEM-5","issued":{"date-parts":[["2021","1","1"]]},"page":"117834","publisher":"Pergamon","title":"The contribution of global aviation to anthropogenic climate forcing for 2000 to 2018","type":"article-journal","volume":"244"},"uris":["http://www.mendeley.com/documents/?uuid=1443d66c-a630-39d9-83e4-f99ac21d19a9"]}],"mendeley":{"formattedCitation":"(IATA, 2021b; International Civil Aviation Organization Secretariat, 2010; Lee, 2018; Lee et al., 2021; Vedantham, 1999)","plainTextFormattedCitation":"(IATA, 2021b; International Civil Aviation Organization Secretariat, 2010; Lee, 2018; Lee et al., 2021; Vedantham, 1999)","previouslyFormattedCitation":"(IATA, 2021b; International Civil Aviation Organization Secretariat, 2010; Lee, 2018; Lee et al., 2021; Vedantham, 1999)"},"properties":{"noteIndex":0},"schema":"https://github.com/citation-style-language/schema/raw/master/csl-citation.json"}</w:instrText>
      </w:r>
      <w:r w:rsidR="00AD10F1" w:rsidRPr="00DB2332">
        <w:rPr>
          <w:sz w:val="24"/>
          <w:szCs w:val="24"/>
          <w:lang w:val="en-GB"/>
        </w:rPr>
        <w:fldChar w:fldCharType="separate"/>
      </w:r>
      <w:r w:rsidR="00BB485A" w:rsidRPr="00DB2332">
        <w:rPr>
          <w:noProof/>
          <w:sz w:val="24"/>
          <w:szCs w:val="24"/>
          <w:lang w:val="en-GB"/>
        </w:rPr>
        <w:t>(IATA, 2021b; International Civil Aviation Organization Secretariat, 2010; Lee, 2018; Lee et al., 2021; Vedantham, 1999)</w:t>
      </w:r>
      <w:r w:rsidR="00AD10F1" w:rsidRPr="00DB2332">
        <w:rPr>
          <w:sz w:val="24"/>
          <w:szCs w:val="24"/>
          <w:lang w:val="en-GB"/>
        </w:rPr>
        <w:fldChar w:fldCharType="end"/>
      </w:r>
      <w:r w:rsidR="00AD10F1" w:rsidRPr="00FA6B79">
        <w:rPr>
          <w:sz w:val="24"/>
          <w:szCs w:val="24"/>
          <w:lang w:val="en-GB"/>
        </w:rPr>
        <w:t xml:space="preserve">. </w:t>
      </w:r>
      <w:r w:rsidR="780D141D" w:rsidRPr="00DB2332">
        <w:rPr>
          <w:sz w:val="24"/>
          <w:szCs w:val="24"/>
          <w:lang w:val="en-GB"/>
        </w:rPr>
        <w:t>In response</w:t>
      </w:r>
      <w:r w:rsidR="00F03FA9" w:rsidRPr="00DB2332">
        <w:rPr>
          <w:sz w:val="24"/>
          <w:szCs w:val="24"/>
          <w:lang w:val="en-GB"/>
        </w:rPr>
        <w:t xml:space="preserve">, the </w:t>
      </w:r>
      <w:r w:rsidR="00AD10F1" w:rsidRPr="00DB2332">
        <w:rPr>
          <w:sz w:val="24"/>
          <w:szCs w:val="24"/>
          <w:lang w:val="en-GB"/>
        </w:rPr>
        <w:t>aviation industry</w:t>
      </w:r>
      <w:r w:rsidR="00AA385E" w:rsidRPr="00DB2332">
        <w:rPr>
          <w:sz w:val="24"/>
          <w:szCs w:val="24"/>
          <w:lang w:val="en-GB"/>
        </w:rPr>
        <w:t xml:space="preserve"> has set</w:t>
      </w:r>
      <w:r w:rsidR="6665E757" w:rsidRPr="00DB2332">
        <w:rPr>
          <w:sz w:val="24"/>
          <w:szCs w:val="24"/>
          <w:lang w:val="en-GB"/>
        </w:rPr>
        <w:t xml:space="preserve"> a</w:t>
      </w:r>
      <w:r w:rsidR="00AA385E" w:rsidRPr="00DB2332">
        <w:rPr>
          <w:sz w:val="24"/>
          <w:szCs w:val="24"/>
          <w:lang w:val="en-GB"/>
        </w:rPr>
        <w:t xml:space="preserve"> target for ‘carbon neutral growth’ from </w:t>
      </w:r>
      <w:r w:rsidR="00F25060" w:rsidRPr="00DB2332">
        <w:rPr>
          <w:sz w:val="24"/>
          <w:szCs w:val="24"/>
          <w:lang w:val="en-GB"/>
        </w:rPr>
        <w:t>2020</w:t>
      </w:r>
      <w:r w:rsidR="00D110D0" w:rsidRPr="00DB2332">
        <w:rPr>
          <w:sz w:val="24"/>
          <w:szCs w:val="24"/>
          <w:lang w:val="en-GB"/>
        </w:rPr>
        <w:t>.</w:t>
      </w:r>
      <w:r w:rsidR="003B4EDC" w:rsidRPr="00DB2332">
        <w:rPr>
          <w:sz w:val="24"/>
          <w:szCs w:val="24"/>
          <w:lang w:val="en-GB"/>
        </w:rPr>
        <w:t xml:space="preserve"> </w:t>
      </w:r>
      <w:r w:rsidR="00D110D0" w:rsidRPr="00DB2332">
        <w:rPr>
          <w:sz w:val="24"/>
          <w:szCs w:val="24"/>
          <w:lang w:val="en-GB"/>
        </w:rPr>
        <w:t xml:space="preserve">Considering the </w:t>
      </w:r>
      <w:r w:rsidR="575F86B6" w:rsidRPr="00DB2332">
        <w:rPr>
          <w:sz w:val="24"/>
          <w:szCs w:val="24"/>
          <w:lang w:val="en-GB"/>
        </w:rPr>
        <w:t xml:space="preserve">projected growth in </w:t>
      </w:r>
      <w:r w:rsidR="00D110D0" w:rsidRPr="00DB2332">
        <w:rPr>
          <w:sz w:val="24"/>
          <w:szCs w:val="24"/>
          <w:lang w:val="en-GB"/>
        </w:rPr>
        <w:t>air traffic,</w:t>
      </w:r>
      <w:r w:rsidR="00391ED8" w:rsidRPr="00DB2332">
        <w:rPr>
          <w:sz w:val="24"/>
          <w:szCs w:val="24"/>
          <w:lang w:val="en-GB"/>
        </w:rPr>
        <w:t xml:space="preserve"> the</w:t>
      </w:r>
      <w:r w:rsidR="00DD00DC" w:rsidRPr="00DB2332">
        <w:rPr>
          <w:sz w:val="24"/>
          <w:szCs w:val="24"/>
          <w:lang w:val="en-GB"/>
        </w:rPr>
        <w:t xml:space="preserve"> industry </w:t>
      </w:r>
      <w:r w:rsidR="1BE6D02A" w:rsidRPr="00DB2332">
        <w:rPr>
          <w:sz w:val="24"/>
          <w:szCs w:val="24"/>
          <w:lang w:val="en-GB"/>
        </w:rPr>
        <w:t xml:space="preserve">expects </w:t>
      </w:r>
      <w:r w:rsidR="00DD00DC" w:rsidRPr="00DB2332">
        <w:rPr>
          <w:sz w:val="24"/>
          <w:szCs w:val="24"/>
          <w:lang w:val="en-GB"/>
        </w:rPr>
        <w:t>that</w:t>
      </w:r>
      <w:r w:rsidR="00F25060" w:rsidRPr="00DB2332">
        <w:rPr>
          <w:sz w:val="24"/>
          <w:szCs w:val="24"/>
          <w:lang w:val="en-GB"/>
        </w:rPr>
        <w:t xml:space="preserve"> </w:t>
      </w:r>
      <w:r w:rsidR="00D110D0" w:rsidRPr="00DB2332">
        <w:rPr>
          <w:sz w:val="24"/>
          <w:szCs w:val="24"/>
          <w:lang w:val="en-GB"/>
        </w:rPr>
        <w:t>emission</w:t>
      </w:r>
      <w:r w:rsidR="27E0B899" w:rsidRPr="00DB2332">
        <w:rPr>
          <w:sz w:val="24"/>
          <w:szCs w:val="24"/>
          <w:lang w:val="en-GB"/>
        </w:rPr>
        <w:t>s</w:t>
      </w:r>
      <w:r w:rsidR="00D110D0" w:rsidRPr="00DB2332">
        <w:rPr>
          <w:sz w:val="24"/>
          <w:szCs w:val="24"/>
          <w:lang w:val="en-GB"/>
        </w:rPr>
        <w:t xml:space="preserve"> reduction</w:t>
      </w:r>
      <w:r w:rsidR="2E851A3F" w:rsidRPr="00DB2332">
        <w:rPr>
          <w:sz w:val="24"/>
          <w:szCs w:val="24"/>
          <w:lang w:val="en-GB"/>
        </w:rPr>
        <w:t>s</w:t>
      </w:r>
      <w:r w:rsidR="00D110D0" w:rsidRPr="00DB2332">
        <w:rPr>
          <w:sz w:val="24"/>
          <w:szCs w:val="24"/>
          <w:lang w:val="en-GB"/>
        </w:rPr>
        <w:t xml:space="preserve"> </w:t>
      </w:r>
      <w:r w:rsidR="2FF35AEF" w:rsidRPr="00DB2332">
        <w:rPr>
          <w:sz w:val="24"/>
          <w:szCs w:val="24"/>
          <w:lang w:val="en-GB"/>
        </w:rPr>
        <w:t>will result from</w:t>
      </w:r>
      <w:r w:rsidR="006D349C" w:rsidRPr="00DB2332">
        <w:rPr>
          <w:sz w:val="24"/>
          <w:szCs w:val="24"/>
          <w:lang w:val="en-GB"/>
        </w:rPr>
        <w:t xml:space="preserve"> </w:t>
      </w:r>
      <w:r w:rsidR="00836663" w:rsidRPr="00DB2332">
        <w:rPr>
          <w:sz w:val="24"/>
          <w:szCs w:val="24"/>
          <w:lang w:val="en-GB"/>
        </w:rPr>
        <w:t xml:space="preserve">low-carbon alternative fuels, </w:t>
      </w:r>
      <w:r w:rsidR="006D349C" w:rsidRPr="00DB2332">
        <w:rPr>
          <w:sz w:val="24"/>
          <w:szCs w:val="24"/>
          <w:lang w:val="en-GB"/>
        </w:rPr>
        <w:t>improved aircraft technolog</w:t>
      </w:r>
      <w:r w:rsidR="00AA385E" w:rsidRPr="00DB2332">
        <w:rPr>
          <w:sz w:val="24"/>
          <w:szCs w:val="24"/>
          <w:lang w:val="en-GB"/>
        </w:rPr>
        <w:t>ies</w:t>
      </w:r>
      <w:r w:rsidR="006D349C" w:rsidRPr="00DB2332">
        <w:rPr>
          <w:sz w:val="24"/>
          <w:szCs w:val="24"/>
          <w:lang w:val="en-GB"/>
        </w:rPr>
        <w:t xml:space="preserve"> </w:t>
      </w:r>
      <w:r w:rsidR="00836663" w:rsidRPr="00DB2332">
        <w:rPr>
          <w:sz w:val="24"/>
          <w:szCs w:val="24"/>
          <w:lang w:val="en-GB"/>
        </w:rPr>
        <w:t>and operational improvements</w:t>
      </w:r>
      <w:r w:rsidR="244D73E3" w:rsidRPr="00DB2332">
        <w:rPr>
          <w:sz w:val="24"/>
          <w:szCs w:val="24"/>
          <w:lang w:val="en-GB"/>
        </w:rPr>
        <w:t xml:space="preserve">, contributing </w:t>
      </w:r>
      <w:r w:rsidR="00836663" w:rsidRPr="00DB2332">
        <w:rPr>
          <w:sz w:val="24"/>
          <w:szCs w:val="24"/>
          <w:lang w:val="en-GB"/>
        </w:rPr>
        <w:t>50%, 30% and 20</w:t>
      </w:r>
      <w:r w:rsidR="00AC14FD" w:rsidRPr="00DB2332">
        <w:rPr>
          <w:sz w:val="24"/>
          <w:szCs w:val="24"/>
          <w:lang w:val="en-GB"/>
        </w:rPr>
        <w:t>%</w:t>
      </w:r>
      <w:r w:rsidR="006C758F" w:rsidRPr="00DB2332">
        <w:rPr>
          <w:sz w:val="24"/>
          <w:szCs w:val="24"/>
          <w:lang w:val="en-GB"/>
        </w:rPr>
        <w:t xml:space="preserve"> to the carbon neutral growth target,</w:t>
      </w:r>
      <w:r w:rsidR="00836663" w:rsidRPr="00DB2332">
        <w:rPr>
          <w:sz w:val="24"/>
          <w:szCs w:val="24"/>
          <w:lang w:val="en-GB"/>
        </w:rPr>
        <w:t xml:space="preserve"> respectively </w:t>
      </w:r>
      <w:r w:rsidR="007F0D03" w:rsidRPr="00DB2332">
        <w:rPr>
          <w:sz w:val="24"/>
          <w:szCs w:val="24"/>
          <w:lang w:val="en-GB"/>
        </w:rPr>
        <w:fldChar w:fldCharType="begin" w:fldLock="1"/>
      </w:r>
      <w:r w:rsidR="00CF53DC" w:rsidRPr="00DB2332">
        <w:rPr>
          <w:sz w:val="24"/>
          <w:szCs w:val="24"/>
          <w:lang w:val="en-GB"/>
        </w:rPr>
        <w:instrText>ADDIN CSL_CITATION {"citationItems":[{"id":"ITEM-1","itemData":{"URL":"https://www.icao.int/Meetings/GreenRecoverySeminar/Documents/1.1 ICAO AGR - Setting the scene.pdf","accessed":{"date-parts":[["2021","6","5"]]},"author":[{"dropping-particle":"","family":"Hupe","given":"Jane","non-dropping-particle":"","parse-names":false,"suffix":""}],"container-title":"ICAO Aviation Green Recovery Seminar","id":"ITEM-1","issued":{"date-parts":[["2020"]]},"title":"Setting the Scene-Aviation and Climate Change","type":"webpage"},"uris":["http://www.mendeley.com/documents/?uuid=631e8571-e676-35df-82e7-8646ac3f51f0"]}],"mendeley":{"formattedCitation":"(Hupe, 2020)","plainTextFormattedCitation":"(Hupe, 2020)","previouslyFormattedCitation":"(Hupe, 2020)"},"properties":{"noteIndex":0},"schema":"https://github.com/citation-style-language/schema/raw/master/csl-citation.json"}</w:instrText>
      </w:r>
      <w:r w:rsidR="007F0D03" w:rsidRPr="00DB2332">
        <w:rPr>
          <w:sz w:val="24"/>
          <w:szCs w:val="24"/>
          <w:lang w:val="en-GB"/>
        </w:rPr>
        <w:fldChar w:fldCharType="separate"/>
      </w:r>
      <w:r w:rsidR="00E07378" w:rsidRPr="00DB2332">
        <w:rPr>
          <w:noProof/>
          <w:sz w:val="24"/>
          <w:szCs w:val="24"/>
          <w:lang w:val="en-GB"/>
        </w:rPr>
        <w:t>(Hupe, 2020)</w:t>
      </w:r>
      <w:r w:rsidR="007F0D03" w:rsidRPr="00DB2332">
        <w:rPr>
          <w:sz w:val="24"/>
          <w:szCs w:val="24"/>
          <w:lang w:val="en-GB"/>
        </w:rPr>
        <w:fldChar w:fldCharType="end"/>
      </w:r>
      <w:r w:rsidR="00756E4E" w:rsidRPr="00FA6B79">
        <w:rPr>
          <w:sz w:val="24"/>
          <w:szCs w:val="24"/>
          <w:lang w:val="en-GB"/>
        </w:rPr>
        <w:t>.</w:t>
      </w:r>
    </w:p>
    <w:p w14:paraId="5AEFC789" w14:textId="181D10B5" w:rsidR="001526E8" w:rsidRPr="00DB2332" w:rsidRDefault="002B04CE" w:rsidP="006A72AC">
      <w:pPr>
        <w:pStyle w:val="Text"/>
        <w:tabs>
          <w:tab w:val="clear" w:pos="288"/>
          <w:tab w:val="left" w:pos="567"/>
        </w:tabs>
        <w:ind w:right="-46" w:firstLine="0"/>
        <w:rPr>
          <w:sz w:val="24"/>
          <w:szCs w:val="24"/>
          <w:lang w:val="en-GB"/>
        </w:rPr>
      </w:pPr>
      <w:r w:rsidRPr="00DB2332">
        <w:rPr>
          <w:sz w:val="24"/>
          <w:szCs w:val="24"/>
          <w:lang w:val="en-GB"/>
        </w:rPr>
        <w:tab/>
        <w:t>Long-range aircraft</w:t>
      </w:r>
      <w:r w:rsidR="00611626" w:rsidRPr="00DB2332">
        <w:rPr>
          <w:sz w:val="24"/>
          <w:szCs w:val="24"/>
          <w:lang w:val="en-GB"/>
        </w:rPr>
        <w:t xml:space="preserve"> </w:t>
      </w:r>
      <w:r w:rsidRPr="00DB2332">
        <w:rPr>
          <w:sz w:val="24"/>
          <w:szCs w:val="24"/>
          <w:lang w:val="en-GB"/>
        </w:rPr>
        <w:t>are either</w:t>
      </w:r>
      <w:r w:rsidR="563A95C4" w:rsidRPr="00DB2332">
        <w:rPr>
          <w:sz w:val="24"/>
          <w:szCs w:val="24"/>
          <w:lang w:val="en-GB"/>
        </w:rPr>
        <w:t>:</w:t>
      </w:r>
      <w:r w:rsidRPr="00DB2332">
        <w:rPr>
          <w:sz w:val="24"/>
          <w:szCs w:val="24"/>
          <w:lang w:val="en-GB"/>
        </w:rPr>
        <w:t xml:space="preserve"> large twin aisle (LTA) aircraft</w:t>
      </w:r>
      <w:r w:rsidR="00611626" w:rsidRPr="00DB2332">
        <w:rPr>
          <w:sz w:val="24"/>
          <w:szCs w:val="24"/>
          <w:lang w:val="en-GB"/>
        </w:rPr>
        <w:t xml:space="preserve"> seating approximately 300 </w:t>
      </w:r>
      <w:r w:rsidR="003F782D" w:rsidRPr="00DB2332">
        <w:rPr>
          <w:sz w:val="24"/>
          <w:szCs w:val="24"/>
          <w:lang w:val="en-GB"/>
        </w:rPr>
        <w:t>passengers (</w:t>
      </w:r>
      <w:r w:rsidR="00D343FF" w:rsidRPr="00DB2332">
        <w:rPr>
          <w:sz w:val="24"/>
          <w:szCs w:val="24"/>
          <w:lang w:val="en-GB"/>
        </w:rPr>
        <w:t>PAX</w:t>
      </w:r>
      <w:r w:rsidR="003F782D" w:rsidRPr="00DB2332">
        <w:rPr>
          <w:sz w:val="24"/>
          <w:szCs w:val="24"/>
          <w:lang w:val="en-GB"/>
        </w:rPr>
        <w:t>)</w:t>
      </w:r>
      <w:r w:rsidR="00611626" w:rsidRPr="00DB2332">
        <w:rPr>
          <w:sz w:val="24"/>
          <w:szCs w:val="24"/>
          <w:lang w:val="en-GB"/>
        </w:rPr>
        <w:t xml:space="preserve"> over 14,000 km</w:t>
      </w:r>
      <w:r w:rsidR="00391ED8" w:rsidRPr="00DB2332">
        <w:rPr>
          <w:sz w:val="24"/>
          <w:szCs w:val="24"/>
          <w:lang w:val="en-GB"/>
        </w:rPr>
        <w:t xml:space="preserve"> at design point</w:t>
      </w:r>
      <w:r w:rsidR="00611626" w:rsidRPr="00DB2332">
        <w:rPr>
          <w:sz w:val="24"/>
          <w:szCs w:val="24"/>
          <w:lang w:val="en-GB"/>
        </w:rPr>
        <w:t>,</w:t>
      </w:r>
      <w:r w:rsidRPr="00DB2332">
        <w:rPr>
          <w:sz w:val="24"/>
          <w:szCs w:val="24"/>
          <w:lang w:val="en-GB"/>
        </w:rPr>
        <w:t xml:space="preserve"> such as </w:t>
      </w:r>
      <w:r w:rsidR="1AC1DF38" w:rsidRPr="00DB2332">
        <w:rPr>
          <w:sz w:val="24"/>
          <w:szCs w:val="24"/>
          <w:lang w:val="en-GB"/>
        </w:rPr>
        <w:t xml:space="preserve">the </w:t>
      </w:r>
      <w:r w:rsidRPr="00DB2332">
        <w:rPr>
          <w:sz w:val="24"/>
          <w:szCs w:val="24"/>
          <w:lang w:val="en-GB"/>
        </w:rPr>
        <w:t xml:space="preserve">Boeing 777 and 787, </w:t>
      </w:r>
      <w:r w:rsidR="00611626" w:rsidRPr="00DB2332">
        <w:rPr>
          <w:sz w:val="24"/>
          <w:szCs w:val="24"/>
          <w:lang w:val="en-GB"/>
        </w:rPr>
        <w:t xml:space="preserve">and </w:t>
      </w:r>
      <w:r w:rsidRPr="00DB2332">
        <w:rPr>
          <w:sz w:val="24"/>
          <w:szCs w:val="24"/>
          <w:lang w:val="en-GB"/>
        </w:rPr>
        <w:t>Airbus A350</w:t>
      </w:r>
      <w:r w:rsidR="6351B84B" w:rsidRPr="00DB2332">
        <w:rPr>
          <w:sz w:val="24"/>
          <w:szCs w:val="24"/>
          <w:lang w:val="en-GB"/>
        </w:rPr>
        <w:t>;</w:t>
      </w:r>
      <w:r w:rsidRPr="00DB2332">
        <w:rPr>
          <w:sz w:val="24"/>
          <w:szCs w:val="24"/>
          <w:lang w:val="en-GB"/>
        </w:rPr>
        <w:t xml:space="preserve"> or very large twin aisle (VLTA) aircraft </w:t>
      </w:r>
      <w:r w:rsidR="00611626" w:rsidRPr="00DB2332">
        <w:rPr>
          <w:sz w:val="24"/>
          <w:szCs w:val="24"/>
          <w:lang w:val="en-GB"/>
        </w:rPr>
        <w:t xml:space="preserve">seating at least 400 </w:t>
      </w:r>
      <w:r w:rsidR="00D343FF" w:rsidRPr="00DB2332">
        <w:rPr>
          <w:sz w:val="24"/>
          <w:szCs w:val="24"/>
          <w:lang w:val="en-GB"/>
        </w:rPr>
        <w:t>PAX</w:t>
      </w:r>
      <w:r w:rsidR="00611626" w:rsidRPr="00DB2332">
        <w:rPr>
          <w:sz w:val="24"/>
          <w:szCs w:val="24"/>
          <w:lang w:val="en-GB"/>
        </w:rPr>
        <w:t xml:space="preserve"> for more than 14,000 km </w:t>
      </w:r>
      <w:r w:rsidR="00391ED8" w:rsidRPr="00DB2332">
        <w:rPr>
          <w:sz w:val="24"/>
          <w:szCs w:val="24"/>
          <w:lang w:val="en-GB"/>
        </w:rPr>
        <w:t>at design point</w:t>
      </w:r>
      <w:r w:rsidR="12F134F5" w:rsidRPr="00DB2332">
        <w:rPr>
          <w:sz w:val="24"/>
          <w:szCs w:val="24"/>
          <w:lang w:val="en-GB"/>
        </w:rPr>
        <w:t>,</w:t>
      </w:r>
      <w:r w:rsidR="00391ED8" w:rsidRPr="00DB2332">
        <w:rPr>
          <w:sz w:val="24"/>
          <w:szCs w:val="24"/>
          <w:lang w:val="en-GB"/>
        </w:rPr>
        <w:t xml:space="preserve"> </w:t>
      </w:r>
      <w:r w:rsidRPr="00DB2332">
        <w:rPr>
          <w:sz w:val="24"/>
          <w:szCs w:val="24"/>
          <w:lang w:val="en-GB"/>
        </w:rPr>
        <w:t xml:space="preserve">such as </w:t>
      </w:r>
      <w:r w:rsidR="58381C46" w:rsidRPr="00DB2332">
        <w:rPr>
          <w:sz w:val="24"/>
          <w:szCs w:val="24"/>
          <w:lang w:val="en-GB"/>
        </w:rPr>
        <w:t xml:space="preserve">the </w:t>
      </w:r>
      <w:r w:rsidRPr="00DB2332">
        <w:rPr>
          <w:sz w:val="24"/>
          <w:szCs w:val="24"/>
          <w:lang w:val="en-GB"/>
        </w:rPr>
        <w:t>Boeing 747</w:t>
      </w:r>
      <w:r w:rsidR="00611626" w:rsidRPr="00DB2332">
        <w:rPr>
          <w:sz w:val="24"/>
          <w:szCs w:val="24"/>
          <w:lang w:val="en-GB"/>
        </w:rPr>
        <w:t xml:space="preserve"> and </w:t>
      </w:r>
      <w:r w:rsidRPr="00DB2332">
        <w:rPr>
          <w:sz w:val="24"/>
          <w:szCs w:val="24"/>
          <w:lang w:val="en-GB"/>
        </w:rPr>
        <w:t>Airbus A380. Long-range passenger aircraft</w:t>
      </w:r>
      <w:r w:rsidR="002D7B9C" w:rsidRPr="00DB2332">
        <w:rPr>
          <w:sz w:val="24"/>
          <w:szCs w:val="24"/>
          <w:lang w:val="en-GB"/>
        </w:rPr>
        <w:t xml:space="preserve"> (range &gt; 5,000 km, seating approximately 250 </w:t>
      </w:r>
      <w:r w:rsidR="00D343FF" w:rsidRPr="00DB2332">
        <w:rPr>
          <w:sz w:val="24"/>
          <w:szCs w:val="24"/>
          <w:lang w:val="en-GB"/>
        </w:rPr>
        <w:t>PAX</w:t>
      </w:r>
      <w:r w:rsidR="002D7B9C" w:rsidRPr="00DB2332">
        <w:rPr>
          <w:sz w:val="24"/>
          <w:szCs w:val="24"/>
          <w:lang w:val="en-GB"/>
        </w:rPr>
        <w:t>)</w:t>
      </w:r>
      <w:r w:rsidRPr="00DB2332">
        <w:rPr>
          <w:sz w:val="24"/>
          <w:szCs w:val="24"/>
          <w:lang w:val="en-GB"/>
        </w:rPr>
        <w:t xml:space="preserve"> contribute to 27% of the global aviation CO</w:t>
      </w:r>
      <w:r w:rsidRPr="00DB2332">
        <w:rPr>
          <w:sz w:val="24"/>
          <w:szCs w:val="24"/>
          <w:vertAlign w:val="subscript"/>
          <w:lang w:val="en-GB"/>
        </w:rPr>
        <w:t>2</w:t>
      </w:r>
      <w:r w:rsidRPr="00DB2332">
        <w:rPr>
          <w:sz w:val="24"/>
          <w:szCs w:val="24"/>
          <w:lang w:val="en-GB"/>
        </w:rPr>
        <w:t xml:space="preserve"> emissions </w:t>
      </w:r>
      <w:r w:rsidRPr="00DB2332">
        <w:rPr>
          <w:sz w:val="24"/>
          <w:szCs w:val="24"/>
          <w:lang w:val="en-GB"/>
        </w:rPr>
        <w:fldChar w:fldCharType="begin" w:fldLock="1"/>
      </w:r>
      <w:r w:rsidR="007D625D" w:rsidRPr="00DB2332">
        <w:rPr>
          <w:sz w:val="24"/>
          <w:szCs w:val="24"/>
          <w:lang w:val="en-GB"/>
        </w:rPr>
        <w:instrText>ADDIN CSL_CITATION {"citationItems":[{"id":"ITEM-1","itemData":{"URL":"http://sustainablehighworth.co.uk/wp-content/uploads/2020/10/ICCT_CO2-commercl-aviation-2018_20190918.pdf","abstract":"Greenhouse gas emissions from commercial aviation are rapidly increasing , as is interest among fliers in reducing their carbon footprints. Under a business-as-usual trajecto-ry, the United Nations' International Civil Aviation Organization (ICAO) expects aviation emissions to roughly triple by 2050, at which time aircraft might account for 25% of the global carbon budget. Although ICAO and the International Air Transport Association (IATA) publish annual summary statistics of aircraft operations and economics , respectively, relatively little data is available about fuel burn, fuel efficiency , and carbon emissions at the regional and national levels. Policymakers cannot determine the precise amount of carbon emissions associated with flights departing from individual countries, nor can they distinguish the proportion o f e m i s s i o n s f ro m p a s s e n g e r-a n d-f re i g h t a n d a l l-f re i g h t o p-erations, or from domestic and international flights. To better understand carbon emissions associated with commercial aviation, this paper develops a bottom-up, global aviation CO 2 inventory for calendar year 2018. Using historical data from OAG Aviation Worldwide Limited, national governments, international agencies, and the Piano aircraft emissions modelling software, this paper details a global, transparent, and geographically allocated CO 2 inventory for commercial aviation. Our estimates of total global carbon emissions, and the operations estimated in this study in terms of revenue passenger kilometers (RPKs) and freight tonne kilometers (FTKs), agree well with aggregate industry estimates. Nearly 39 million flights from 2018 were analyzed, and 38 million of these were flown by passenger aircraft. Total CO 2 emissions from all commercial operations , including passenger movement, belly freight, and dedicated freight, totaled 918 million metric tons (MMT) in 2018. That is 2.4% of global CO 2 emissions from fossil fuel use and a 32% increase over the past five years. Further, this emissions growth rate is 70% higher than assumed under current ICAO projections. The data shows that passenger transport accounted for 747 MMT, or 81%, of total emissions from commercial aviation in 2018. Globally, two-thirds of all flights were domestic , and these accounted for approximately one-third of global RPKs and 40% of global passenger transport-related CO 2 emissions. On a national level, flights departing airports in the United States and its territor…","accessed":{"date-parts":[["2021","9","10"]]},"author":[{"dropping-particle":"","family":"Graver","given":"Brandon","non-dropping-particle":"","parse-names":false,"suffix":""},{"dropping-particle":"","family":"Zhang","given":"Kevin","non-dropping-particle":"","parse-names":false,"suffix":""},{"dropping-particle":"","family":"Rutherford","given":"Dan","non-dropping-particle":"","parse-names":false,"suffix":""}],"container-title":"INTERNATIONAL COUNCIL ON CLEAN TRANSPORTATION","id":"ITEM-1","issued":{"date-parts":[["2019"]]},"title":"CO 2 emissions from commercial aviation, 2018","type":"webpage"},"uris":["http://www.mendeley.com/documents/?uuid=0744c49a-7ba5-3311-bcb4-60de6f561254"]},{"id":"ITEM-2","itemData":{"URL":"https://ourworldindata.org/breakdown-co2-aviation","accessed":{"date-parts":[["2021","9","10"]]},"author":[{"dropping-particle":"","family":"Ritchie","given":"Hannah","non-dropping-particle":"","parse-names":false,"suffix":""}],"container-title":"Our World in Data","id":"ITEM-2","issued":{"date-parts":[["2020"]]},"title":"Short-haul vs. long-haul; rich vs. poor countries: where do global CO2 emissions from aviation come from? - Our World in Data","type":"webpage"},"uris":["http://www.mendeley.com/documents/?uuid=21595cf6-d5df-3ffc-9e39-ee478a3ff19f"]}],"mendeley":{"formattedCitation":"(Graver et al., 2019; Ritchie, 2020)","plainTextFormattedCitation":"(Graver et al., 2019; Ritchie, 2020)","previouslyFormattedCitation":"(Graver et al., 2019; Ritchie, 2020)"},"properties":{"noteIndex":0},"schema":"https://github.com/citation-style-language/schema/raw/master/csl-citation.json"}</w:instrText>
      </w:r>
      <w:r w:rsidRPr="00DB2332">
        <w:rPr>
          <w:sz w:val="24"/>
          <w:szCs w:val="24"/>
          <w:lang w:val="en-GB"/>
        </w:rPr>
        <w:fldChar w:fldCharType="separate"/>
      </w:r>
      <w:r w:rsidR="00AE530D" w:rsidRPr="00DB2332">
        <w:rPr>
          <w:noProof/>
          <w:sz w:val="24"/>
          <w:szCs w:val="24"/>
          <w:lang w:val="en-GB"/>
        </w:rPr>
        <w:t>(Graver et al., 2019; Ritchie, 2020)</w:t>
      </w:r>
      <w:r w:rsidRPr="00DB2332">
        <w:rPr>
          <w:sz w:val="24"/>
          <w:szCs w:val="24"/>
          <w:lang w:val="en-GB"/>
        </w:rPr>
        <w:fldChar w:fldCharType="end"/>
      </w:r>
      <w:r w:rsidRPr="00FA6B79">
        <w:rPr>
          <w:sz w:val="24"/>
          <w:szCs w:val="24"/>
          <w:lang w:val="en-GB"/>
        </w:rPr>
        <w:t>. More recent LTA aircraft ha</w:t>
      </w:r>
      <w:r w:rsidRPr="00DB2332">
        <w:rPr>
          <w:sz w:val="24"/>
          <w:szCs w:val="24"/>
          <w:lang w:val="en-GB"/>
        </w:rPr>
        <w:t xml:space="preserve">ve enabled 235 new point-to-point routes </w:t>
      </w:r>
      <w:r w:rsidRPr="00DB2332">
        <w:rPr>
          <w:sz w:val="24"/>
          <w:szCs w:val="24"/>
          <w:lang w:val="en-GB"/>
        </w:rPr>
        <w:fldChar w:fldCharType="begin" w:fldLock="1"/>
      </w:r>
      <w:r w:rsidR="000C52F9" w:rsidRPr="00DB2332">
        <w:rPr>
          <w:sz w:val="24"/>
          <w:szCs w:val="24"/>
          <w:lang w:val="en-GB"/>
        </w:rPr>
        <w:instrText>ADDIN CSL_CITATION {"citationItems":[{"id":"ITEM-1","itemData":{"URL":"https://www.boeing.com/commercial/787/","accessed":{"date-parts":[["2020","8","5"]]},"author":[{"dropping-particle":"","family":"Boeing","given":"","non-dropping-particle":"","parse-names":false,"suffix":""}],"container-title":"Boeing","id":"ITEM-1","issued":{"date-parts":[["2016"]]},"title":"Boeing: 787 Dreamliner","type":"webpage"},"uris":["http://www.mendeley.com/documents/?uuid=4df9f0fb-80fa-316b-bd52-b7682cbab313"]}],"mendeley":{"formattedCitation":"(Boeing, 2016)","plainTextFormattedCitation":"(Boeing, 2016)","previouslyFormattedCitation":"(Boeing, 2016)"},"properties":{"noteIndex":0},"schema":"https://github.com/citation-style-language/schema/raw/master/csl-citation.json"}</w:instrText>
      </w:r>
      <w:r w:rsidRPr="00DB2332">
        <w:rPr>
          <w:sz w:val="24"/>
          <w:szCs w:val="24"/>
          <w:lang w:val="en-GB"/>
        </w:rPr>
        <w:fldChar w:fldCharType="separate"/>
      </w:r>
      <w:r w:rsidR="00B176E2" w:rsidRPr="00DB2332">
        <w:rPr>
          <w:noProof/>
          <w:sz w:val="24"/>
          <w:szCs w:val="24"/>
          <w:lang w:val="en-GB"/>
        </w:rPr>
        <w:t>(Boeing, 2016)</w:t>
      </w:r>
      <w:r w:rsidRPr="00DB2332">
        <w:rPr>
          <w:sz w:val="24"/>
          <w:szCs w:val="24"/>
          <w:lang w:val="en-GB"/>
        </w:rPr>
        <w:fldChar w:fldCharType="end"/>
      </w:r>
      <w:r w:rsidRPr="00FA6B79">
        <w:rPr>
          <w:sz w:val="24"/>
          <w:szCs w:val="24"/>
          <w:lang w:val="en-GB"/>
        </w:rPr>
        <w:t xml:space="preserve">. During the 2020 COVID-19 lockdown, a number of major airlines retired their VLTAs (A380 and/or B747) </w:t>
      </w:r>
      <w:r w:rsidRPr="00DB2332">
        <w:rPr>
          <w:sz w:val="24"/>
          <w:szCs w:val="24"/>
          <w:lang w:val="en-GB"/>
        </w:rPr>
        <w:fldChar w:fldCharType="begin" w:fldLock="1"/>
      </w:r>
      <w:r w:rsidR="00FA1D64" w:rsidRPr="00DB2332">
        <w:rPr>
          <w:sz w:val="24"/>
          <w:szCs w:val="24"/>
          <w:lang w:val="en-GB"/>
        </w:rPr>
        <w:instrText>ADDIN CSL_CITATION {"citationItems":[{"id":"ITEM-1","itemData":{"URL":"https://www.cnbc.com/2020/07/17/british-airways-retires-its-entire-fleet-of-boeing-747-jets.html","accessed":{"date-parts":[["2020","8","5"]]},"author":[{"dropping-particle":"","family":"Clinch","given":"Matt","non-dropping-particle":"","parse-names":false,"suffix":""}],"container-title":"CNBC","id":"ITEM-1","issued":{"date-parts":[["2020"]]},"title":"British Airways retires its entire fleet of Boeing 747 jets","type":"webpage"},"uris":["http://www.mendeley.com/documents/?uuid=778b69a2-4a6c-3361-a732-0e2e47a296ec"]},{"id":"ITEM-2","itemData":{"URL":"https://www.forbes.com/sites/ramseyqubein/2020/06/19/lufthansa-retires-airbus-a380-from-frankfurt-schedule-but-munich-flights-possible-by-2022/#2d7ba9df5489","accessed":{"date-parts":[["2020","8","5"]]},"author":[{"dropping-particle":"","family":"Qubein","given":"Ramsey","non-dropping-particle":"","parse-names":false,"suffix":""}],"container-title":"Forbes","id":"ITEM-2","issued":{"date-parts":[["2020"]]},"title":"Lufthansa Retires Airbus A380 From Frankfurt Schedule, But Munich Flights Possible By 2022","type":"webpage"},"uris":["http://www.mendeley.com/documents/?uuid=5b3c855b-2cc1-36b6-b1f0-2a1a6c96e4eb"]},{"id":"ITEM-3","itemData":{"URL":"https://www.ainonline.com/aviation-news/air-transport/2020-05-20/air-france-klm-accelerates-airbus-a380-retirements","accessed":{"date-parts":[["2020","8","5"]]},"author":[{"dropping-particle":"","family":"Polek","given":"Gregory","non-dropping-particle":"","parse-names":false,"suffix":""}],"container-title":"Air Transport News: Aviation International News","id":"ITEM-3","issued":{"date-parts":[["2020"]]},"title":"Air France-KLM Accelerates Airbus A380 Retirements","type":"webpage"},"uris":["http://www.mendeley.com/documents/?uuid=170f5f9c-2f51-3361-b32c-38b035a8f589"]}],"mendeley":{"formattedCitation":"(Clinch, 2020; Polek, 2020; Qubein, 2020)","plainTextFormattedCitation":"(Clinch, 2020; Polek, 2020; Qubein, 2020)","previouslyFormattedCitation":"(Clinch, 2020; Polek, 2020; Qubein, 2020)"},"properties":{"noteIndex":0},"schema":"https://github.com/citation-style-language/schema/raw/master/csl-citation.json"}</w:instrText>
      </w:r>
      <w:r w:rsidRPr="00DB2332">
        <w:rPr>
          <w:sz w:val="24"/>
          <w:szCs w:val="24"/>
          <w:lang w:val="en-GB"/>
        </w:rPr>
        <w:fldChar w:fldCharType="separate"/>
      </w:r>
      <w:r w:rsidR="00487681" w:rsidRPr="00DB2332">
        <w:rPr>
          <w:noProof/>
          <w:sz w:val="24"/>
          <w:szCs w:val="24"/>
          <w:lang w:val="en-GB"/>
        </w:rPr>
        <w:t>(Clinch, 2020; Polek, 2020; Qubein, 2020)</w:t>
      </w:r>
      <w:r w:rsidRPr="00DB2332">
        <w:rPr>
          <w:sz w:val="24"/>
          <w:szCs w:val="24"/>
          <w:lang w:val="en-GB"/>
        </w:rPr>
        <w:fldChar w:fldCharType="end"/>
      </w:r>
      <w:r w:rsidRPr="00FA6B79">
        <w:rPr>
          <w:sz w:val="24"/>
          <w:szCs w:val="24"/>
          <w:lang w:val="en-GB"/>
        </w:rPr>
        <w:t>. Therefor</w:t>
      </w:r>
      <w:r w:rsidRPr="00DB2332">
        <w:rPr>
          <w:sz w:val="24"/>
          <w:szCs w:val="24"/>
          <w:lang w:val="en-GB"/>
        </w:rPr>
        <w:t xml:space="preserve">e, it appears that LTAs will </w:t>
      </w:r>
      <w:r w:rsidR="001526E8" w:rsidRPr="00DB2332">
        <w:rPr>
          <w:sz w:val="24"/>
          <w:szCs w:val="24"/>
          <w:lang w:val="en-GB"/>
        </w:rPr>
        <w:t xml:space="preserve">likely </w:t>
      </w:r>
      <w:r w:rsidRPr="00DB2332">
        <w:rPr>
          <w:sz w:val="24"/>
          <w:szCs w:val="24"/>
          <w:lang w:val="en-GB"/>
        </w:rPr>
        <w:t>be the most common means of intercontinental</w:t>
      </w:r>
      <w:r w:rsidR="006277BD" w:rsidRPr="00DB2332">
        <w:rPr>
          <w:sz w:val="24"/>
          <w:szCs w:val="24"/>
          <w:lang w:val="en-GB"/>
        </w:rPr>
        <w:t xml:space="preserve"> or long-range</w:t>
      </w:r>
      <w:r w:rsidRPr="00DB2332">
        <w:rPr>
          <w:sz w:val="24"/>
          <w:szCs w:val="24"/>
          <w:lang w:val="en-GB"/>
        </w:rPr>
        <w:t xml:space="preserve"> travel in the coming decades</w:t>
      </w:r>
      <w:r w:rsidR="660F73FC" w:rsidRPr="00DB2332">
        <w:rPr>
          <w:sz w:val="24"/>
          <w:szCs w:val="24"/>
          <w:lang w:val="en-GB"/>
        </w:rPr>
        <w:t xml:space="preserve">. </w:t>
      </w:r>
      <w:r w:rsidR="0581F35F" w:rsidRPr="00DB2332">
        <w:rPr>
          <w:sz w:val="24"/>
          <w:szCs w:val="24"/>
          <w:lang w:val="en-GB"/>
        </w:rPr>
        <w:t xml:space="preserve">There </w:t>
      </w:r>
      <w:r w:rsidR="00E53462" w:rsidRPr="00DB2332">
        <w:rPr>
          <w:sz w:val="24"/>
          <w:szCs w:val="24"/>
          <w:lang w:val="en-GB"/>
        </w:rPr>
        <w:t xml:space="preserve">are </w:t>
      </w:r>
      <w:r w:rsidR="00E16EB5" w:rsidRPr="00DB2332">
        <w:rPr>
          <w:sz w:val="24"/>
          <w:szCs w:val="24"/>
          <w:lang w:val="en-GB"/>
        </w:rPr>
        <w:t xml:space="preserve">all </w:t>
      </w:r>
      <w:r w:rsidR="00E53462" w:rsidRPr="00DB2332">
        <w:rPr>
          <w:sz w:val="24"/>
          <w:szCs w:val="24"/>
          <w:lang w:val="en-GB"/>
        </w:rPr>
        <w:t>single</w:t>
      </w:r>
      <w:r w:rsidR="00E16EB5" w:rsidRPr="00DB2332">
        <w:rPr>
          <w:sz w:val="24"/>
          <w:szCs w:val="24"/>
          <w:lang w:val="en-GB"/>
        </w:rPr>
        <w:t>-</w:t>
      </w:r>
      <w:r w:rsidR="00E53462" w:rsidRPr="00DB2332">
        <w:rPr>
          <w:sz w:val="24"/>
          <w:szCs w:val="24"/>
          <w:lang w:val="en-GB"/>
        </w:rPr>
        <w:t xml:space="preserve">decker </w:t>
      </w:r>
      <w:r w:rsidR="008C4A8A" w:rsidRPr="00DB2332">
        <w:rPr>
          <w:sz w:val="24"/>
          <w:szCs w:val="24"/>
          <w:lang w:val="en-GB"/>
        </w:rPr>
        <w:t xml:space="preserve">LTA </w:t>
      </w:r>
      <w:r w:rsidR="00E16EB5" w:rsidRPr="00DB2332">
        <w:rPr>
          <w:sz w:val="24"/>
          <w:szCs w:val="24"/>
          <w:lang w:val="en-GB"/>
        </w:rPr>
        <w:t xml:space="preserve">aircraft </w:t>
      </w:r>
      <w:r w:rsidR="00371726" w:rsidRPr="00DB2332">
        <w:rPr>
          <w:sz w:val="24"/>
          <w:szCs w:val="24"/>
          <w:lang w:val="en-GB"/>
        </w:rPr>
        <w:t xml:space="preserve">(in the present fleet) </w:t>
      </w:r>
      <w:r w:rsidR="0F476229" w:rsidRPr="00DB2332">
        <w:rPr>
          <w:sz w:val="24"/>
          <w:szCs w:val="24"/>
          <w:lang w:val="en-GB"/>
        </w:rPr>
        <w:t xml:space="preserve">with a </w:t>
      </w:r>
      <w:r w:rsidR="00E16EB5" w:rsidRPr="00DB2332">
        <w:rPr>
          <w:sz w:val="24"/>
          <w:szCs w:val="24"/>
          <w:lang w:val="en-GB"/>
        </w:rPr>
        <w:t>typical fuselage diameter of ~ 6 m</w:t>
      </w:r>
      <w:r w:rsidRPr="00DB2332">
        <w:rPr>
          <w:sz w:val="24"/>
          <w:szCs w:val="24"/>
          <w:lang w:val="en-GB"/>
        </w:rPr>
        <w:t>.</w:t>
      </w:r>
      <w:r w:rsidR="002D7B9C" w:rsidRPr="00DB2332">
        <w:rPr>
          <w:sz w:val="24"/>
          <w:szCs w:val="24"/>
          <w:lang w:val="en-GB"/>
        </w:rPr>
        <w:t xml:space="preserve"> </w:t>
      </w:r>
    </w:p>
    <w:p w14:paraId="5468F0B9" w14:textId="42D85663" w:rsidR="00284FE2" w:rsidRPr="00DB2332" w:rsidRDefault="00836033" w:rsidP="0050213D">
      <w:pPr>
        <w:pStyle w:val="Text"/>
        <w:tabs>
          <w:tab w:val="clear" w:pos="288"/>
          <w:tab w:val="left" w:pos="567"/>
        </w:tabs>
        <w:ind w:right="-46" w:firstLine="0"/>
        <w:rPr>
          <w:sz w:val="24"/>
          <w:szCs w:val="24"/>
          <w:lang w:val="en-GB" w:eastAsia="en-GB"/>
        </w:rPr>
      </w:pPr>
      <w:r w:rsidRPr="00DB2332">
        <w:rPr>
          <w:sz w:val="24"/>
          <w:szCs w:val="24"/>
          <w:lang w:val="en-GB"/>
        </w:rPr>
        <w:tab/>
        <w:t xml:space="preserve">Long-haul aviation is an extremely difficult </w:t>
      </w:r>
      <w:r w:rsidR="00472872" w:rsidRPr="00DB2332">
        <w:rPr>
          <w:sz w:val="24"/>
          <w:szCs w:val="24"/>
          <w:lang w:val="en-GB"/>
        </w:rPr>
        <w:t xml:space="preserve">sector to decarbonise as there are a limited alternative energy vectors </w:t>
      </w:r>
      <w:r w:rsidR="00085893" w:rsidRPr="00DB2332">
        <w:rPr>
          <w:sz w:val="24"/>
          <w:szCs w:val="24"/>
          <w:lang w:val="en-GB"/>
        </w:rPr>
        <w:t>that can match the energy density (both gravimetric and volumetric) of Jet-A fuel</w:t>
      </w:r>
      <w:r w:rsidR="0035158B" w:rsidRPr="00DB2332">
        <w:rPr>
          <w:sz w:val="24"/>
          <w:szCs w:val="24"/>
          <w:lang w:val="en-GB"/>
        </w:rPr>
        <w:t xml:space="preserve"> </w:t>
      </w:r>
      <w:r w:rsidR="0035158B" w:rsidRPr="00DB2332">
        <w:rPr>
          <w:sz w:val="24"/>
          <w:szCs w:val="24"/>
          <w:lang w:val="en-GB"/>
        </w:rPr>
        <w:fldChar w:fldCharType="begin" w:fldLock="1"/>
      </w:r>
      <w:r w:rsidR="00CF53DC" w:rsidRPr="00DB2332">
        <w:rPr>
          <w:sz w:val="24"/>
          <w:szCs w:val="24"/>
          <w:lang w:val="en-GB"/>
        </w:rPr>
        <w:instrText>ADDIN CSL_CITATION {"citationItems":[{"id":"ITEM-1","itemData":{"author":[{"dropping-particle":"","family":"World Economic Forum","given":"","non-dropping-particle":"","parse-names":false,"suffix":""}],"id":"ITEM-1","issued":{"date-parts":[["2022"]]},"title":"Target True Zero Unlocking Sustainable Battery and Hydrogen-Powered Flight - Insight Report","type":"report"},"uris":["http://www.mendeley.com/documents/?uuid=de25ae3a-fdb8-379e-9dab-7988c5f838dd"]}],"mendeley":{"formattedCitation":"(World Economic Forum, 2022)","plainTextFormattedCitation":"(World Economic Forum, 2022)","previouslyFormattedCitation":"(World Economic Forum, 2022)"},"properties":{"noteIndex":0},"schema":"https://github.com/citation-style-language/schema/raw/master/csl-citation.json"}</w:instrText>
      </w:r>
      <w:r w:rsidR="0035158B" w:rsidRPr="00DB2332">
        <w:rPr>
          <w:sz w:val="24"/>
          <w:szCs w:val="24"/>
          <w:lang w:val="en-GB"/>
        </w:rPr>
        <w:fldChar w:fldCharType="separate"/>
      </w:r>
      <w:r w:rsidR="00E07378" w:rsidRPr="00DB2332">
        <w:rPr>
          <w:noProof/>
          <w:sz w:val="24"/>
          <w:szCs w:val="24"/>
          <w:lang w:val="en-GB"/>
        </w:rPr>
        <w:t>(World Economic Forum, 2022)</w:t>
      </w:r>
      <w:r w:rsidR="0035158B" w:rsidRPr="00DB2332">
        <w:rPr>
          <w:sz w:val="24"/>
          <w:szCs w:val="24"/>
          <w:lang w:val="en-GB"/>
        </w:rPr>
        <w:fldChar w:fldCharType="end"/>
      </w:r>
      <w:r w:rsidR="00472872" w:rsidRPr="00FA6B79">
        <w:rPr>
          <w:sz w:val="24"/>
          <w:szCs w:val="24"/>
          <w:lang w:val="en-GB"/>
        </w:rPr>
        <w:t xml:space="preserve">. </w:t>
      </w:r>
      <w:r w:rsidR="00104940" w:rsidRPr="00DB2332">
        <w:rPr>
          <w:sz w:val="24"/>
          <w:szCs w:val="24"/>
          <w:lang w:val="en-GB"/>
        </w:rPr>
        <w:t>Liquid hydrogen</w:t>
      </w:r>
      <w:r w:rsidR="00472872" w:rsidRPr="00DB2332">
        <w:rPr>
          <w:sz w:val="24"/>
          <w:szCs w:val="24"/>
          <w:lang w:val="en-GB"/>
        </w:rPr>
        <w:t xml:space="preserve"> </w:t>
      </w:r>
      <w:r w:rsidR="00104940" w:rsidRPr="00DB2332">
        <w:rPr>
          <w:sz w:val="24"/>
          <w:szCs w:val="24"/>
          <w:lang w:val="en-GB"/>
        </w:rPr>
        <w:t>(</w:t>
      </w:r>
      <w:r w:rsidR="00472872" w:rsidRPr="00DB2332">
        <w:rPr>
          <w:sz w:val="24"/>
          <w:szCs w:val="24"/>
          <w:lang w:val="en-GB"/>
        </w:rPr>
        <w:t>LH</w:t>
      </w:r>
      <w:r w:rsidR="00472872" w:rsidRPr="00DB2332">
        <w:rPr>
          <w:sz w:val="24"/>
          <w:szCs w:val="24"/>
          <w:vertAlign w:val="subscript"/>
          <w:lang w:val="en-GB"/>
        </w:rPr>
        <w:t>2</w:t>
      </w:r>
      <w:r w:rsidR="00104940" w:rsidRPr="00DB2332">
        <w:rPr>
          <w:sz w:val="24"/>
          <w:szCs w:val="24"/>
          <w:lang w:val="en-GB"/>
        </w:rPr>
        <w:t xml:space="preserve">), </w:t>
      </w:r>
      <w:r w:rsidR="00472872" w:rsidRPr="00DB2332">
        <w:rPr>
          <w:sz w:val="24"/>
          <w:szCs w:val="24"/>
          <w:lang w:val="en-GB"/>
        </w:rPr>
        <w:t xml:space="preserve">liquid natural gas </w:t>
      </w:r>
      <w:r w:rsidR="00472872" w:rsidRPr="00DB2332">
        <w:rPr>
          <w:sz w:val="24"/>
          <w:szCs w:val="24"/>
          <w:lang w:val="en-GB"/>
        </w:rPr>
        <w:lastRenderedPageBreak/>
        <w:t>(LNG), liquid ammonia (LNH</w:t>
      </w:r>
      <w:r w:rsidR="00472872" w:rsidRPr="00DB2332">
        <w:rPr>
          <w:sz w:val="24"/>
          <w:szCs w:val="24"/>
          <w:vertAlign w:val="subscript"/>
          <w:lang w:val="en-GB"/>
        </w:rPr>
        <w:t>3</w:t>
      </w:r>
      <w:r w:rsidR="00472872" w:rsidRPr="00DB2332">
        <w:rPr>
          <w:sz w:val="24"/>
          <w:szCs w:val="24"/>
          <w:lang w:val="en-GB"/>
        </w:rPr>
        <w:t>), ethanol, and methanol</w:t>
      </w:r>
      <w:r w:rsidR="00C000F6" w:rsidRPr="00DB2332">
        <w:rPr>
          <w:sz w:val="24"/>
          <w:szCs w:val="24"/>
          <w:lang w:val="en-GB"/>
        </w:rPr>
        <w:t xml:space="preserve"> </w:t>
      </w:r>
      <w:r w:rsidR="002A3C87" w:rsidRPr="00DB2332">
        <w:rPr>
          <w:sz w:val="24"/>
          <w:szCs w:val="24"/>
          <w:lang w:val="en-GB"/>
        </w:rPr>
        <w:t xml:space="preserve">appear to be </w:t>
      </w:r>
      <w:r w:rsidR="00CC2308" w:rsidRPr="00DB2332">
        <w:rPr>
          <w:sz w:val="24"/>
          <w:szCs w:val="24"/>
          <w:lang w:val="en-GB"/>
        </w:rPr>
        <w:t>alternatives to Jet-A</w:t>
      </w:r>
      <w:r w:rsidR="00941B2C" w:rsidRPr="00DB2332">
        <w:rPr>
          <w:sz w:val="24"/>
          <w:szCs w:val="24"/>
          <w:lang w:val="en-GB"/>
        </w:rPr>
        <w:t xml:space="preserve"> fuel</w:t>
      </w:r>
      <w:r w:rsidR="00C000F6" w:rsidRPr="00DB2332">
        <w:rPr>
          <w:sz w:val="24"/>
          <w:szCs w:val="24"/>
          <w:lang w:val="en-GB"/>
        </w:rPr>
        <w:t xml:space="preserve"> according to a study by </w:t>
      </w:r>
      <w:proofErr w:type="spellStart"/>
      <w:r w:rsidR="00CC2308" w:rsidRPr="00DB2332">
        <w:rPr>
          <w:sz w:val="24"/>
          <w:szCs w:val="24"/>
          <w:lang w:val="en-GB"/>
        </w:rPr>
        <w:t>Bicer</w:t>
      </w:r>
      <w:proofErr w:type="spellEnd"/>
      <w:r w:rsidR="00CC2308" w:rsidRPr="00DB2332">
        <w:rPr>
          <w:sz w:val="24"/>
          <w:szCs w:val="24"/>
          <w:lang w:val="en-GB"/>
        </w:rPr>
        <w:t xml:space="preserve"> et al. </w:t>
      </w:r>
      <w:r w:rsidR="00CC2308" w:rsidRPr="00DB2332">
        <w:rPr>
          <w:sz w:val="24"/>
          <w:szCs w:val="24"/>
          <w:lang w:val="en-GB"/>
        </w:rPr>
        <w:fldChar w:fldCharType="begin" w:fldLock="1"/>
      </w:r>
      <w:r w:rsidR="00CF53DC" w:rsidRPr="00DB2332">
        <w:rPr>
          <w:sz w:val="24"/>
          <w:szCs w:val="24"/>
          <w:lang w:val="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aircrafts","type":"article-journal","volume":"42"},"uris":["http://www.mendeley.com/documents/?uuid=2a2cc1c3-f7c4-37da-9506-37d410e87790"]}],"mendeley":{"formattedCitation":"(Bicer and Dincer, 2017)","plainTextFormattedCitation":"(Bicer and Dincer, 2017)","previouslyFormattedCitation":"(Bicer and Dincer, 2017)"},"properties":{"noteIndex":0},"schema":"https://github.com/citation-style-language/schema/raw/master/csl-citation.json"}</w:instrText>
      </w:r>
      <w:r w:rsidR="00CC2308" w:rsidRPr="00DB2332">
        <w:rPr>
          <w:sz w:val="24"/>
          <w:szCs w:val="24"/>
          <w:lang w:val="en-GB"/>
        </w:rPr>
        <w:fldChar w:fldCharType="separate"/>
      </w:r>
      <w:r w:rsidR="00E07378" w:rsidRPr="00DB2332">
        <w:rPr>
          <w:noProof/>
          <w:sz w:val="24"/>
          <w:szCs w:val="24"/>
          <w:lang w:val="en-GB"/>
        </w:rPr>
        <w:t>(Bicer and Dincer, 2017)</w:t>
      </w:r>
      <w:r w:rsidR="00CC2308" w:rsidRPr="00DB2332">
        <w:rPr>
          <w:sz w:val="24"/>
          <w:szCs w:val="24"/>
          <w:lang w:val="en-GB"/>
        </w:rPr>
        <w:fldChar w:fldCharType="end"/>
      </w:r>
      <w:r w:rsidR="00DD15DD" w:rsidRPr="00FA6B79">
        <w:rPr>
          <w:sz w:val="24"/>
          <w:szCs w:val="24"/>
          <w:lang w:val="en-GB"/>
        </w:rPr>
        <w:t>, in addition to 100% synthetic paraffin kerosene</w:t>
      </w:r>
      <w:r w:rsidR="3820F9F4" w:rsidRPr="00DB2332">
        <w:rPr>
          <w:sz w:val="24"/>
          <w:szCs w:val="24"/>
          <w:lang w:val="en-GB"/>
        </w:rPr>
        <w:t xml:space="preserve"> (SPK)</w:t>
      </w:r>
      <w:r w:rsidR="00DD15DD" w:rsidRPr="00DB2332">
        <w:rPr>
          <w:sz w:val="24"/>
          <w:szCs w:val="24"/>
          <w:lang w:val="en-GB"/>
        </w:rPr>
        <w:t xml:space="preserve"> according to studies by Hileman et al</w:t>
      </w:r>
      <w:r w:rsidR="0035158B" w:rsidRPr="00DB2332">
        <w:rPr>
          <w:sz w:val="24"/>
          <w:szCs w:val="24"/>
          <w:lang w:val="en-GB"/>
        </w:rPr>
        <w:t>.</w:t>
      </w:r>
      <w:r w:rsidR="00DD15DD" w:rsidRPr="00DB2332">
        <w:rPr>
          <w:sz w:val="24"/>
          <w:szCs w:val="24"/>
          <w:lang w:val="en-GB"/>
        </w:rPr>
        <w:t xml:space="preserve"> and </w:t>
      </w:r>
      <w:proofErr w:type="spellStart"/>
      <w:r w:rsidR="00DD15DD" w:rsidRPr="00DB2332">
        <w:rPr>
          <w:sz w:val="24"/>
          <w:szCs w:val="24"/>
          <w:lang w:val="en-GB"/>
        </w:rPr>
        <w:t>Proesmans</w:t>
      </w:r>
      <w:proofErr w:type="spellEnd"/>
      <w:r w:rsidR="00DD15DD" w:rsidRPr="00DB2332">
        <w:rPr>
          <w:sz w:val="24"/>
          <w:szCs w:val="24"/>
          <w:lang w:val="en-GB"/>
        </w:rPr>
        <w:t xml:space="preserve"> et al.</w:t>
      </w:r>
      <w:r w:rsidR="00DF5D5F" w:rsidRPr="00DB2332">
        <w:rPr>
          <w:sz w:val="24"/>
          <w:szCs w:val="24"/>
          <w:lang w:val="en-GB"/>
        </w:rPr>
        <w:t xml:space="preserve"> </w:t>
      </w:r>
      <w:r w:rsidR="00DD15DD" w:rsidRPr="00DB2332">
        <w:rPr>
          <w:sz w:val="24"/>
          <w:szCs w:val="24"/>
          <w:lang w:val="en-GB"/>
        </w:rPr>
        <w:fldChar w:fldCharType="begin" w:fldLock="1"/>
      </w:r>
      <w:r w:rsidR="00CF53DC" w:rsidRPr="00DB2332">
        <w:rPr>
          <w:sz w:val="24"/>
          <w:szCs w:val="24"/>
          <w:lang w:val="en-GB"/>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00DD15DD" w:rsidRPr="00DB2332">
        <w:rPr>
          <w:sz w:val="24"/>
          <w:szCs w:val="24"/>
          <w:lang w:val="en-GB"/>
        </w:rPr>
        <w:fldChar w:fldCharType="separate"/>
      </w:r>
      <w:r w:rsidR="00E07378" w:rsidRPr="00DB2332">
        <w:rPr>
          <w:noProof/>
          <w:sz w:val="24"/>
          <w:szCs w:val="24"/>
          <w:lang w:val="en-GB"/>
        </w:rPr>
        <w:t>(Proesmans and Vos, 2022)</w:t>
      </w:r>
      <w:r w:rsidR="00DD15DD" w:rsidRPr="00DB2332">
        <w:rPr>
          <w:sz w:val="24"/>
          <w:szCs w:val="24"/>
          <w:lang w:val="en-GB"/>
        </w:rPr>
        <w:fldChar w:fldCharType="end"/>
      </w:r>
      <w:r w:rsidR="00DF5D5F" w:rsidRPr="00FA6B79">
        <w:rPr>
          <w:sz w:val="24"/>
          <w:szCs w:val="24"/>
          <w:lang w:val="en-GB"/>
        </w:rPr>
        <w:t>.</w:t>
      </w:r>
      <w:r w:rsidR="00CC2308" w:rsidRPr="00DB2332">
        <w:rPr>
          <w:sz w:val="24"/>
          <w:szCs w:val="24"/>
          <w:lang w:val="en-GB"/>
        </w:rPr>
        <w:t xml:space="preserve"> </w:t>
      </w:r>
      <w:r w:rsidR="002A6E31" w:rsidRPr="00DB2332">
        <w:rPr>
          <w:sz w:val="24"/>
          <w:szCs w:val="24"/>
          <w:lang w:val="en-GB"/>
        </w:rPr>
        <w:t xml:space="preserve">Moreover, studies by </w:t>
      </w:r>
      <w:proofErr w:type="spellStart"/>
      <w:r w:rsidR="00EE3F58" w:rsidRPr="000B7DCE">
        <w:rPr>
          <w:sz w:val="24"/>
          <w:szCs w:val="24"/>
          <w:lang w:eastAsia="en-GB"/>
        </w:rPr>
        <w:t>Huete</w:t>
      </w:r>
      <w:proofErr w:type="spellEnd"/>
      <w:r w:rsidR="00EE3F58" w:rsidRPr="000B7DCE">
        <w:rPr>
          <w:sz w:val="24"/>
          <w:szCs w:val="24"/>
          <w:lang w:eastAsia="en-GB"/>
        </w:rPr>
        <w:t xml:space="preserve"> et al. </w:t>
      </w:r>
      <w:r w:rsidR="00EE3F58" w:rsidRPr="000B7DCE">
        <w:rPr>
          <w:sz w:val="24"/>
          <w:szCs w:val="24"/>
          <w:lang w:eastAsia="en-GB"/>
        </w:rPr>
        <w:fldChar w:fldCharType="begin" w:fldLock="1"/>
      </w:r>
      <w:r w:rsidR="00EE3F58" w:rsidRPr="000B7DCE">
        <w:rPr>
          <w:sz w:val="24"/>
          <w:szCs w:val="24"/>
          <w:lang w:eastAsia="en-GB"/>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airliner","type":"article-journal","volume":"126"},"uris":["http://www.mendeley.com/documents/?uuid=fba1efc2-04d0-3648-b980-8644a5af1241"]},{"id":"ITEM-2","itemData":{"DOI":"10.1017/AER.2021.36","ISSN":"0001-9240","abstract":"An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Journal","id":"ITEM-2","issue":"1291","issued":{"date-parts":[["2021","9","28"]]},"page":"1654-1665","publisher":"Cambridge University Press","title":"Propulsion system integration for a first-generation hydrogen civil airliner?","type":"article-journal","volume":"125"},"uris":["http://www.mendeley.com/documents/?uuid=c313c287-bc1e-3fbc-9909-4178109b80b1"]}],"mendeley":{"formattedCitation":"(Huete et al., 2022, 2021)","plainTextFormattedCitation":"(Huete et al., 2022, 2021)","previouslyFormattedCitation":"(Huete et al., 2022, 2021)"},"properties":{"noteIndex":0},"schema":"https://github.com/citation-style-language/schema/raw/master/csl-citation.json"}</w:instrText>
      </w:r>
      <w:r w:rsidR="00EE3F58" w:rsidRPr="000B7DCE">
        <w:rPr>
          <w:sz w:val="24"/>
          <w:szCs w:val="24"/>
          <w:lang w:eastAsia="en-GB"/>
        </w:rPr>
        <w:fldChar w:fldCharType="separate"/>
      </w:r>
      <w:r w:rsidR="00EE3F58" w:rsidRPr="000B7DCE">
        <w:rPr>
          <w:noProof/>
          <w:sz w:val="24"/>
          <w:szCs w:val="24"/>
          <w:lang w:eastAsia="en-GB"/>
        </w:rPr>
        <w:t>(Huete et al., 2022, 2021)</w:t>
      </w:r>
      <w:r w:rsidR="00EE3F58" w:rsidRPr="000B7DCE">
        <w:rPr>
          <w:sz w:val="24"/>
          <w:szCs w:val="24"/>
          <w:lang w:eastAsia="en-GB"/>
        </w:rPr>
        <w:fldChar w:fldCharType="end"/>
      </w:r>
      <w:r w:rsidR="00EE3F58" w:rsidRPr="00FA6B79">
        <w:rPr>
          <w:sz w:val="24"/>
          <w:szCs w:val="24"/>
          <w:lang w:eastAsia="en-GB"/>
        </w:rPr>
        <w:t xml:space="preserve">, </w:t>
      </w:r>
      <w:proofErr w:type="spellStart"/>
      <w:r w:rsidR="002A6E31" w:rsidRPr="00DB2332">
        <w:rPr>
          <w:sz w:val="24"/>
          <w:szCs w:val="24"/>
          <w:lang w:val="en-GB" w:eastAsia="en-GB"/>
        </w:rPr>
        <w:t>Verstraete</w:t>
      </w:r>
      <w:proofErr w:type="spellEnd"/>
      <w:r w:rsidR="002A6E31" w:rsidRPr="00DB2332">
        <w:rPr>
          <w:sz w:val="24"/>
          <w:szCs w:val="24"/>
          <w:lang w:val="en-GB" w:eastAsia="en-GB"/>
        </w:rPr>
        <w:t xml:space="preserve"> </w:t>
      </w:r>
      <w:r w:rsidR="002A6E31" w:rsidRPr="00DB2332">
        <w:rPr>
          <w:sz w:val="24"/>
          <w:szCs w:val="24"/>
          <w:lang w:val="en-GB" w:eastAsia="en-GB"/>
        </w:rPr>
        <w:fldChar w:fldCharType="begin" w:fldLock="1"/>
      </w:r>
      <w:r w:rsidR="00CF53DC" w:rsidRPr="00DB2332">
        <w:rPr>
          <w:sz w:val="24"/>
          <w:szCs w:val="24"/>
          <w:lang w:val="en-GB" w:eastAsia="en-GB"/>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aircraft","type":"article-journal","volume":"40"},"uris":["http://www.mendeley.com/documents/?uuid=2925cc4c-1b67-3876-8842-b7c825d091c4"]}],"mendeley":{"formattedCitation":"(Verstraete, 2015)","plainTextFormattedCitation":"(Verstraete, 2015)","previouslyFormattedCitation":"(Verstraete, 2015)"},"properties":{"noteIndex":0},"schema":"https://github.com/citation-style-language/schema/raw/master/csl-citation.json"}</w:instrText>
      </w:r>
      <w:r w:rsidR="002A6E31" w:rsidRPr="00DB2332">
        <w:rPr>
          <w:sz w:val="24"/>
          <w:szCs w:val="24"/>
          <w:lang w:val="en-GB" w:eastAsia="en-GB"/>
        </w:rPr>
        <w:fldChar w:fldCharType="separate"/>
      </w:r>
      <w:r w:rsidR="00E07378" w:rsidRPr="00DB2332">
        <w:rPr>
          <w:noProof/>
          <w:sz w:val="24"/>
          <w:szCs w:val="24"/>
          <w:lang w:val="en-GB" w:eastAsia="en-GB"/>
        </w:rPr>
        <w:t>(Verstraete, 2015)</w:t>
      </w:r>
      <w:r w:rsidR="002A6E31" w:rsidRPr="00DB2332">
        <w:rPr>
          <w:sz w:val="24"/>
          <w:szCs w:val="24"/>
          <w:lang w:val="en-GB" w:eastAsia="en-GB"/>
        </w:rPr>
        <w:fldChar w:fldCharType="end"/>
      </w:r>
      <w:r w:rsidR="002A6E31" w:rsidRPr="00FA6B79">
        <w:rPr>
          <w:sz w:val="24"/>
          <w:szCs w:val="24"/>
          <w:lang w:val="en-GB" w:eastAsia="en-GB"/>
        </w:rPr>
        <w:t xml:space="preserve">, Brewer </w:t>
      </w:r>
      <w:r w:rsidR="002A6E31" w:rsidRPr="00DB2332">
        <w:rPr>
          <w:sz w:val="24"/>
          <w:szCs w:val="24"/>
          <w:lang w:val="en-GB" w:eastAsia="en-GB"/>
        </w:rPr>
        <w:fldChar w:fldCharType="begin" w:fldLock="1"/>
      </w:r>
      <w:r w:rsidR="00CF53DC" w:rsidRPr="00DB2332">
        <w:rPr>
          <w:sz w:val="24"/>
          <w:szCs w:val="24"/>
          <w:lang w:val="en-GB"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technology","type":"book"},"uris":["http://www.mendeley.com/documents/?uuid=98dde589-563e-344e-842a-c8eac36971f0"]}],"mendeley":{"formattedCitation":"(Brewer, 2017)","plainTextFormattedCitation":"(Brewer, 2017)","previouslyFormattedCitation":"(Brewer, 2017)"},"properties":{"noteIndex":0},"schema":"https://github.com/citation-style-language/schema/raw/master/csl-citation.json"}</w:instrText>
      </w:r>
      <w:r w:rsidR="002A6E31" w:rsidRPr="00DB2332">
        <w:rPr>
          <w:sz w:val="24"/>
          <w:szCs w:val="24"/>
          <w:lang w:val="en-GB" w:eastAsia="en-GB"/>
        </w:rPr>
        <w:fldChar w:fldCharType="separate"/>
      </w:r>
      <w:r w:rsidR="00E07378" w:rsidRPr="00DB2332">
        <w:rPr>
          <w:noProof/>
          <w:sz w:val="24"/>
          <w:szCs w:val="24"/>
          <w:lang w:val="en-GB" w:eastAsia="en-GB"/>
        </w:rPr>
        <w:t>(Brewer, 2017)</w:t>
      </w:r>
      <w:r w:rsidR="002A6E31" w:rsidRPr="00DB2332">
        <w:rPr>
          <w:sz w:val="24"/>
          <w:szCs w:val="24"/>
          <w:lang w:val="en-GB" w:eastAsia="en-GB"/>
        </w:rPr>
        <w:fldChar w:fldCharType="end"/>
      </w:r>
      <w:r w:rsidR="002A6E31" w:rsidRPr="00FA6B79">
        <w:rPr>
          <w:sz w:val="24"/>
          <w:szCs w:val="24"/>
          <w:lang w:val="en-GB" w:eastAsia="en-GB"/>
        </w:rPr>
        <w:t xml:space="preserve">, and </w:t>
      </w:r>
      <w:r w:rsidR="602D0FBA" w:rsidRPr="00DB2332">
        <w:rPr>
          <w:sz w:val="24"/>
          <w:szCs w:val="24"/>
          <w:lang w:val="en-GB" w:eastAsia="en-GB"/>
        </w:rPr>
        <w:t xml:space="preserve">the </w:t>
      </w:r>
      <w:r w:rsidR="002A6E31" w:rsidRPr="00DB2332">
        <w:rPr>
          <w:sz w:val="24"/>
          <w:szCs w:val="24"/>
          <w:lang w:val="en-GB" w:eastAsia="en-GB"/>
        </w:rPr>
        <w:t xml:space="preserve">Airbus </w:t>
      </w:r>
      <w:proofErr w:type="spellStart"/>
      <w:r w:rsidR="002A6E31" w:rsidRPr="00DB2332">
        <w:rPr>
          <w:sz w:val="24"/>
          <w:szCs w:val="24"/>
          <w:lang w:val="en-GB" w:eastAsia="en-GB"/>
        </w:rPr>
        <w:t>Cryoplane</w:t>
      </w:r>
      <w:proofErr w:type="spellEnd"/>
      <w:r w:rsidR="002A6E31" w:rsidRPr="00DB2332">
        <w:rPr>
          <w:sz w:val="24"/>
          <w:szCs w:val="24"/>
          <w:lang w:val="en-GB" w:eastAsia="en-GB"/>
        </w:rPr>
        <w:t xml:space="preserve"> study </w:t>
      </w:r>
      <w:r w:rsidR="002A6E31" w:rsidRPr="00DB2332">
        <w:rPr>
          <w:sz w:val="24"/>
          <w:szCs w:val="24"/>
          <w:lang w:val="en-GB" w:eastAsia="en-GB"/>
        </w:rPr>
        <w:fldChar w:fldCharType="begin" w:fldLock="1"/>
      </w:r>
      <w:r w:rsidR="00CF53DC" w:rsidRPr="00DB2332">
        <w:rPr>
          <w:sz w:val="24"/>
          <w:szCs w:val="24"/>
          <w:lang w:val="en-GB" w:eastAsia="en-GB"/>
        </w:rPr>
        <w:instrText>ADDIN CSL_CITATION {"citationItems":[{"id":"ITEM-1","itemData":{"URL":"https://www.fzt.haw-hamburg.de/pers/Scholz/dglr/hh/text_2001_12_06_Cryoplane.pdf","accessed":{"date-parts":[["2019","12","28"]]},"author":[{"dropping-particle":"","family":"Reinhard Faass","given":"","non-dropping-particle":"","parse-names":false,"suffix":""}],"id":"ITEM-1","issued":{"date-parts":[["2001"]]},"page":"6","publisher":"University of Hamburg","title":"CRYOPLANE","type":"webpage"},"uris":["http://www.mendeley.com/documents/?uuid=bdcbf67c-9e30-35e4-8cef-6cfa20194833"]}],"mendeley":{"formattedCitation":"(Reinhard Faass, 2001)","plainTextFormattedCitation":"(Reinhard Faass, 2001)","previouslyFormattedCitation":"(Reinhard Faass, 2001)"},"properties":{"noteIndex":0},"schema":"https://github.com/citation-style-language/schema/raw/master/csl-citation.json"}</w:instrText>
      </w:r>
      <w:r w:rsidR="002A6E31" w:rsidRPr="00DB2332">
        <w:rPr>
          <w:sz w:val="24"/>
          <w:szCs w:val="24"/>
          <w:lang w:val="en-GB" w:eastAsia="en-GB"/>
        </w:rPr>
        <w:fldChar w:fldCharType="separate"/>
      </w:r>
      <w:r w:rsidR="00E07378" w:rsidRPr="00DB2332">
        <w:rPr>
          <w:noProof/>
          <w:sz w:val="24"/>
          <w:szCs w:val="24"/>
          <w:lang w:val="en-GB" w:eastAsia="en-GB"/>
        </w:rPr>
        <w:t>(Reinhard Faass, 2001)</w:t>
      </w:r>
      <w:r w:rsidR="002A6E31" w:rsidRPr="00DB2332">
        <w:rPr>
          <w:sz w:val="24"/>
          <w:szCs w:val="24"/>
          <w:lang w:val="en-GB" w:eastAsia="en-GB"/>
        </w:rPr>
        <w:fldChar w:fldCharType="end"/>
      </w:r>
      <w:r w:rsidR="002A6E31" w:rsidRPr="00FA6B79">
        <w:rPr>
          <w:sz w:val="24"/>
          <w:szCs w:val="24"/>
          <w:lang w:val="en-GB" w:eastAsia="en-GB"/>
        </w:rPr>
        <w:t xml:space="preserve">, model the </w:t>
      </w:r>
      <w:r w:rsidR="002A6E31" w:rsidRPr="00DB2332">
        <w:rPr>
          <w:sz w:val="24"/>
          <w:szCs w:val="24"/>
          <w:lang w:val="en-GB" w:eastAsia="en-GB"/>
        </w:rPr>
        <w:t>performance of a long-range large aircraft</w:t>
      </w:r>
      <w:r w:rsidR="00583A49" w:rsidRPr="00DB2332">
        <w:rPr>
          <w:sz w:val="24"/>
          <w:szCs w:val="24"/>
          <w:lang w:val="en-GB" w:eastAsia="en-GB"/>
        </w:rPr>
        <w:t xml:space="preserve"> completely</w:t>
      </w:r>
      <w:r w:rsidR="002A6E31" w:rsidRPr="00DB2332">
        <w:rPr>
          <w:sz w:val="24"/>
          <w:szCs w:val="24"/>
          <w:lang w:val="en-GB" w:eastAsia="en-GB"/>
        </w:rPr>
        <w:t xml:space="preserve"> powered by</w:t>
      </w:r>
      <w:r w:rsidR="00496243" w:rsidRPr="00DB2332">
        <w:rPr>
          <w:sz w:val="24"/>
          <w:szCs w:val="24"/>
          <w:lang w:val="en-GB" w:eastAsia="en-GB"/>
        </w:rPr>
        <w:t xml:space="preserve"> </w:t>
      </w:r>
      <w:r w:rsidR="00496243" w:rsidRPr="00DB2332">
        <w:rPr>
          <w:sz w:val="24"/>
          <w:szCs w:val="24"/>
          <w:lang w:val="en-GB"/>
        </w:rPr>
        <w:t>LH</w:t>
      </w:r>
      <w:r w:rsidR="00496243" w:rsidRPr="00DB2332">
        <w:rPr>
          <w:sz w:val="24"/>
          <w:szCs w:val="24"/>
          <w:vertAlign w:val="subscript"/>
          <w:lang w:val="en-GB"/>
        </w:rPr>
        <w:t>2</w:t>
      </w:r>
      <w:r w:rsidR="002A6E31" w:rsidRPr="00DB2332">
        <w:rPr>
          <w:sz w:val="24"/>
          <w:szCs w:val="24"/>
          <w:lang w:val="en-GB" w:eastAsia="en-GB"/>
        </w:rPr>
        <w:t xml:space="preserve"> </w:t>
      </w:r>
      <w:r w:rsidR="00496243" w:rsidRPr="00DB2332">
        <w:rPr>
          <w:sz w:val="24"/>
          <w:szCs w:val="24"/>
          <w:lang w:val="en-GB" w:eastAsia="en-GB"/>
        </w:rPr>
        <w:t>but using a double-decker tube-wing airframe</w:t>
      </w:r>
      <w:r w:rsidR="002A6E31" w:rsidRPr="00DB2332">
        <w:rPr>
          <w:sz w:val="24"/>
          <w:szCs w:val="24"/>
          <w:lang w:val="en-GB" w:eastAsia="en-GB"/>
        </w:rPr>
        <w:t xml:space="preserve">. </w:t>
      </w:r>
      <w:r w:rsidR="00BE406C" w:rsidRPr="00DB2332">
        <w:rPr>
          <w:sz w:val="24"/>
          <w:szCs w:val="24"/>
          <w:lang w:val="en-GB" w:eastAsia="en-GB"/>
        </w:rPr>
        <w:t xml:space="preserve">Studies by </w:t>
      </w:r>
      <w:proofErr w:type="spellStart"/>
      <w:r w:rsidR="002A6E31" w:rsidRPr="00DB2332">
        <w:rPr>
          <w:sz w:val="24"/>
          <w:szCs w:val="24"/>
          <w:lang w:val="en-GB" w:eastAsia="en-GB"/>
        </w:rPr>
        <w:t>Troeltsch</w:t>
      </w:r>
      <w:proofErr w:type="spellEnd"/>
      <w:r w:rsidR="002A6E31" w:rsidRPr="00DB2332">
        <w:rPr>
          <w:sz w:val="24"/>
          <w:szCs w:val="24"/>
          <w:lang w:val="en-GB" w:eastAsia="en-GB"/>
        </w:rPr>
        <w:t xml:space="preserve"> et al. </w:t>
      </w:r>
      <w:r w:rsidR="002A6E31" w:rsidRPr="00DB2332">
        <w:rPr>
          <w:sz w:val="24"/>
          <w:szCs w:val="24"/>
          <w:lang w:val="en-GB" w:eastAsia="en-GB"/>
        </w:rPr>
        <w:fldChar w:fldCharType="begin" w:fldLock="1"/>
      </w:r>
      <w:r w:rsidR="00CF53DC" w:rsidRPr="00DB2332">
        <w:rPr>
          <w:sz w:val="24"/>
          <w:szCs w:val="24"/>
          <w:lang w:val="en-GB" w:eastAsia="en-GB"/>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impact","type":"article-journal"},"uris":["http://www.mendeley.com/documents/?uuid=d90e0e6c-9dda-3352-b961-f4f1159f9774"]}],"mendeley":{"formattedCitation":"(Troeltsch et al., 2020)","plainTextFormattedCitation":"(Troeltsch et al., 2020)","previouslyFormattedCitation":"(Troeltsch et al., 2020)"},"properties":{"noteIndex":0},"schema":"https://github.com/citation-style-language/schema/raw/master/csl-citation.json"}</w:instrText>
      </w:r>
      <w:r w:rsidR="002A6E31" w:rsidRPr="00DB2332">
        <w:rPr>
          <w:sz w:val="24"/>
          <w:szCs w:val="24"/>
          <w:lang w:val="en-GB" w:eastAsia="en-GB"/>
        </w:rPr>
        <w:fldChar w:fldCharType="separate"/>
      </w:r>
      <w:r w:rsidR="00E07378" w:rsidRPr="00DB2332">
        <w:rPr>
          <w:noProof/>
          <w:sz w:val="24"/>
          <w:szCs w:val="24"/>
          <w:lang w:val="en-GB" w:eastAsia="en-GB"/>
        </w:rPr>
        <w:t>(Troeltsch et al., 2020)</w:t>
      </w:r>
      <w:r w:rsidR="002A6E31" w:rsidRPr="00DB2332">
        <w:rPr>
          <w:sz w:val="24"/>
          <w:szCs w:val="24"/>
          <w:lang w:val="en-GB" w:eastAsia="en-GB"/>
        </w:rPr>
        <w:fldChar w:fldCharType="end"/>
      </w:r>
      <w:r w:rsidR="00BE406C" w:rsidRPr="00FA6B79">
        <w:rPr>
          <w:sz w:val="24"/>
          <w:szCs w:val="24"/>
          <w:lang w:val="en-GB" w:eastAsia="en-GB"/>
        </w:rPr>
        <w:t xml:space="preserve"> and</w:t>
      </w:r>
      <w:r w:rsidR="002A6E31" w:rsidRPr="00DB2332">
        <w:rPr>
          <w:sz w:val="24"/>
          <w:szCs w:val="24"/>
          <w:lang w:val="en-GB" w:eastAsia="en-GB"/>
        </w:rPr>
        <w:t xml:space="preserve"> </w:t>
      </w:r>
      <w:proofErr w:type="spellStart"/>
      <w:r w:rsidR="002A6E31" w:rsidRPr="00DB2332">
        <w:rPr>
          <w:sz w:val="24"/>
          <w:szCs w:val="24"/>
          <w:lang w:val="en-GB" w:eastAsia="en-GB"/>
        </w:rPr>
        <w:t>Proesmans</w:t>
      </w:r>
      <w:proofErr w:type="spellEnd"/>
      <w:r w:rsidR="002A6E31" w:rsidRPr="00DB2332">
        <w:rPr>
          <w:sz w:val="24"/>
          <w:szCs w:val="24"/>
          <w:lang w:val="en-GB" w:eastAsia="en-GB"/>
        </w:rPr>
        <w:t xml:space="preserve"> et al. </w:t>
      </w:r>
      <w:r w:rsidR="002A6E31" w:rsidRPr="00DB2332">
        <w:rPr>
          <w:sz w:val="24"/>
          <w:szCs w:val="24"/>
          <w:lang w:val="en-GB" w:eastAsia="en-GB"/>
        </w:rPr>
        <w:fldChar w:fldCharType="begin" w:fldLock="1"/>
      </w:r>
      <w:r w:rsidR="00CF53DC" w:rsidRPr="00DB2332">
        <w:rPr>
          <w:sz w:val="24"/>
          <w:szCs w:val="24"/>
          <w:lang w:val="en-GB" w:eastAsia="en-GB"/>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002A6E31" w:rsidRPr="00DB2332">
        <w:rPr>
          <w:sz w:val="24"/>
          <w:szCs w:val="24"/>
          <w:lang w:val="en-GB" w:eastAsia="en-GB"/>
        </w:rPr>
        <w:fldChar w:fldCharType="separate"/>
      </w:r>
      <w:r w:rsidR="00E07378" w:rsidRPr="00DB2332">
        <w:rPr>
          <w:noProof/>
          <w:sz w:val="24"/>
          <w:szCs w:val="24"/>
          <w:lang w:val="en-GB" w:eastAsia="en-GB"/>
        </w:rPr>
        <w:t>(Proesmans and Vos, 2022)</w:t>
      </w:r>
      <w:r w:rsidR="002A6E31" w:rsidRPr="00DB2332">
        <w:rPr>
          <w:sz w:val="24"/>
          <w:szCs w:val="24"/>
          <w:lang w:val="en-GB" w:eastAsia="en-GB"/>
        </w:rPr>
        <w:fldChar w:fldCharType="end"/>
      </w:r>
      <w:r w:rsidR="008E42FB" w:rsidRPr="00FA6B79">
        <w:rPr>
          <w:sz w:val="24"/>
          <w:szCs w:val="24"/>
          <w:lang w:val="en-GB" w:eastAsia="en-GB"/>
        </w:rPr>
        <w:t xml:space="preserve"> simulate the performance of a long-range large </w:t>
      </w:r>
      <w:r w:rsidR="000C7672" w:rsidRPr="00DB2332">
        <w:rPr>
          <w:sz w:val="24"/>
          <w:szCs w:val="24"/>
          <w:lang w:val="en-GB"/>
        </w:rPr>
        <w:t>LH</w:t>
      </w:r>
      <w:r w:rsidR="000C7672" w:rsidRPr="00DB2332">
        <w:rPr>
          <w:sz w:val="24"/>
          <w:szCs w:val="24"/>
          <w:vertAlign w:val="subscript"/>
          <w:lang w:val="en-GB"/>
        </w:rPr>
        <w:t>2</w:t>
      </w:r>
      <w:r w:rsidR="000C7672" w:rsidRPr="00DB2332">
        <w:rPr>
          <w:sz w:val="24"/>
          <w:szCs w:val="24"/>
          <w:lang w:val="en-GB" w:eastAsia="en-GB"/>
        </w:rPr>
        <w:t xml:space="preserve"> a</w:t>
      </w:r>
      <w:r w:rsidR="008E42FB" w:rsidRPr="00DB2332">
        <w:rPr>
          <w:sz w:val="24"/>
          <w:szCs w:val="24"/>
          <w:lang w:val="en-GB" w:eastAsia="en-GB"/>
        </w:rPr>
        <w:t xml:space="preserve">ircraft </w:t>
      </w:r>
      <w:r w:rsidR="00701203" w:rsidRPr="00DB2332">
        <w:rPr>
          <w:sz w:val="24"/>
          <w:szCs w:val="24"/>
          <w:lang w:val="en-GB" w:eastAsia="en-GB"/>
        </w:rPr>
        <w:t>which cruises at a</w:t>
      </w:r>
      <w:r w:rsidR="39C72512" w:rsidRPr="00DB2332">
        <w:rPr>
          <w:sz w:val="24"/>
          <w:szCs w:val="24"/>
          <w:lang w:eastAsia="en-GB"/>
        </w:rPr>
        <w:t xml:space="preserve"> lower </w:t>
      </w:r>
      <w:r w:rsidR="00701203" w:rsidRPr="00DB2332">
        <w:rPr>
          <w:sz w:val="24"/>
          <w:szCs w:val="24"/>
          <w:lang w:eastAsia="en-GB"/>
        </w:rPr>
        <w:t>altitude and</w:t>
      </w:r>
      <w:r w:rsidR="39C72512" w:rsidRPr="00DB2332">
        <w:rPr>
          <w:sz w:val="24"/>
          <w:szCs w:val="24"/>
          <w:lang w:eastAsia="en-GB"/>
        </w:rPr>
        <w:t xml:space="preserve"> Mach number, </w:t>
      </w:r>
      <w:r w:rsidR="00C03619" w:rsidRPr="00DB2332">
        <w:rPr>
          <w:sz w:val="24"/>
          <w:szCs w:val="24"/>
          <w:lang w:eastAsia="en-GB"/>
        </w:rPr>
        <w:t>which would</w:t>
      </w:r>
      <w:r w:rsidR="6B74D67A" w:rsidRPr="00DB2332">
        <w:rPr>
          <w:sz w:val="24"/>
          <w:szCs w:val="24"/>
          <w:lang w:eastAsia="en-GB"/>
        </w:rPr>
        <w:t xml:space="preserve"> </w:t>
      </w:r>
      <w:r w:rsidR="000C7672" w:rsidRPr="00DB2332">
        <w:rPr>
          <w:sz w:val="24"/>
          <w:szCs w:val="24"/>
          <w:lang w:eastAsia="en-GB"/>
        </w:rPr>
        <w:t xml:space="preserve">directly affect </w:t>
      </w:r>
      <w:r w:rsidR="00050EAE" w:rsidRPr="00DB2332">
        <w:rPr>
          <w:sz w:val="24"/>
          <w:szCs w:val="24"/>
          <w:lang w:eastAsia="en-GB"/>
        </w:rPr>
        <w:t>journey time</w:t>
      </w:r>
      <w:r w:rsidR="00BE406C" w:rsidRPr="00DB2332">
        <w:rPr>
          <w:sz w:val="24"/>
          <w:szCs w:val="24"/>
          <w:lang w:val="en-GB" w:eastAsia="en-GB"/>
        </w:rPr>
        <w:t xml:space="preserve">. </w:t>
      </w:r>
    </w:p>
    <w:p w14:paraId="5C82B02A" w14:textId="6526C4A5" w:rsidR="00836033" w:rsidRPr="00DB2332" w:rsidRDefault="00284FE2" w:rsidP="0050213D">
      <w:pPr>
        <w:pStyle w:val="Text"/>
        <w:tabs>
          <w:tab w:val="clear" w:pos="288"/>
          <w:tab w:val="left" w:pos="567"/>
        </w:tabs>
        <w:ind w:right="-46" w:firstLine="0"/>
        <w:rPr>
          <w:sz w:val="24"/>
          <w:szCs w:val="24"/>
          <w:lang w:val="en-GB" w:eastAsia="en-GB"/>
        </w:rPr>
      </w:pPr>
      <w:r w:rsidRPr="00DB2332">
        <w:rPr>
          <w:sz w:val="24"/>
          <w:szCs w:val="24"/>
          <w:lang w:val="en-GB" w:eastAsia="en-GB"/>
        </w:rPr>
        <w:tab/>
        <w:t>It is clear from the above discussion that</w:t>
      </w:r>
      <w:r w:rsidRPr="00DB2332">
        <w:rPr>
          <w:sz w:val="24"/>
          <w:szCs w:val="24"/>
          <w:lang w:val="en-GB"/>
        </w:rPr>
        <w:t xml:space="preserve"> there is a need to examine and compare the aircraft performance of the six identified alternative fuels to check whether they could enable a typical long-range flight with an LTA aircraft while considering both gravimetric and volumetric energy density effects on aircraft design (associated weight, aerodynamics, and energy performance penalties), especially for cryogenic fuels like LH</w:t>
      </w:r>
      <w:r w:rsidRPr="00DB2332">
        <w:rPr>
          <w:sz w:val="24"/>
          <w:szCs w:val="24"/>
          <w:vertAlign w:val="subscript"/>
          <w:lang w:val="en-GB"/>
        </w:rPr>
        <w:t>2</w:t>
      </w:r>
      <w:r w:rsidRPr="00DB2332">
        <w:rPr>
          <w:sz w:val="24"/>
          <w:szCs w:val="24"/>
          <w:lang w:val="en-GB"/>
        </w:rPr>
        <w:t>, LNG, and LNH</w:t>
      </w:r>
      <w:r w:rsidRPr="00DB2332">
        <w:rPr>
          <w:sz w:val="24"/>
          <w:szCs w:val="24"/>
          <w:vertAlign w:val="subscript"/>
          <w:lang w:val="en-GB"/>
        </w:rPr>
        <w:t>3</w:t>
      </w:r>
      <w:r w:rsidRPr="00DB2332">
        <w:rPr>
          <w:sz w:val="24"/>
          <w:szCs w:val="24"/>
          <w:lang w:val="en-GB"/>
        </w:rPr>
        <w:t>.</w:t>
      </w:r>
      <w:r w:rsidR="00634220" w:rsidRPr="00DB2332">
        <w:rPr>
          <w:sz w:val="24"/>
          <w:szCs w:val="24"/>
          <w:lang w:val="en-GB"/>
        </w:rPr>
        <w:t xml:space="preserve"> Furthermore, </w:t>
      </w:r>
      <w:r w:rsidR="008126A5" w:rsidRPr="00DB2332">
        <w:rPr>
          <w:sz w:val="24"/>
          <w:szCs w:val="24"/>
          <w:lang w:val="en-GB"/>
        </w:rPr>
        <w:t xml:space="preserve">there is </w:t>
      </w:r>
      <w:r w:rsidR="009E3C68" w:rsidRPr="00DB2332">
        <w:rPr>
          <w:sz w:val="24"/>
          <w:szCs w:val="24"/>
          <w:lang w:val="en-GB"/>
        </w:rPr>
        <w:t xml:space="preserve">a </w:t>
      </w:r>
      <w:r w:rsidR="008126A5" w:rsidRPr="00DB2332">
        <w:rPr>
          <w:sz w:val="24"/>
          <w:szCs w:val="24"/>
          <w:lang w:val="en-GB"/>
        </w:rPr>
        <w:t>scarc</w:t>
      </w:r>
      <w:r w:rsidR="00210BF6" w:rsidRPr="00DB2332">
        <w:rPr>
          <w:sz w:val="24"/>
          <w:szCs w:val="24"/>
          <w:lang w:val="en-GB"/>
        </w:rPr>
        <w:t xml:space="preserve">ity of </w:t>
      </w:r>
      <w:r w:rsidR="008C4ECB" w:rsidRPr="00DB2332">
        <w:rPr>
          <w:sz w:val="24"/>
          <w:szCs w:val="24"/>
          <w:lang w:val="en-GB" w:eastAsia="en-GB"/>
        </w:rPr>
        <w:t xml:space="preserve">literature </w:t>
      </w:r>
      <w:r w:rsidR="006B20BD" w:rsidRPr="00DB2332">
        <w:rPr>
          <w:sz w:val="24"/>
          <w:szCs w:val="24"/>
          <w:lang w:val="en-GB" w:eastAsia="en-GB"/>
        </w:rPr>
        <w:t xml:space="preserve">on the </w:t>
      </w:r>
      <w:r w:rsidR="008C4ECB" w:rsidRPr="00DB2332">
        <w:rPr>
          <w:sz w:val="24"/>
          <w:szCs w:val="24"/>
          <w:lang w:val="en-GB" w:eastAsia="en-GB"/>
        </w:rPr>
        <w:t xml:space="preserve">design </w:t>
      </w:r>
      <w:r w:rsidR="00EE3F58" w:rsidRPr="00DB2332">
        <w:rPr>
          <w:sz w:val="24"/>
          <w:szCs w:val="24"/>
          <w:lang w:val="en-GB" w:eastAsia="en-GB"/>
        </w:rPr>
        <w:t xml:space="preserve">of </w:t>
      </w:r>
      <w:r w:rsidR="008C4ECB" w:rsidRPr="00DB2332">
        <w:rPr>
          <w:sz w:val="24"/>
          <w:szCs w:val="24"/>
          <w:lang w:val="en-GB" w:eastAsia="en-GB"/>
        </w:rPr>
        <w:t>an LTA long-range single-decker aircraft completely powered by the combustion of LH</w:t>
      </w:r>
      <w:r w:rsidR="008C4ECB" w:rsidRPr="00DB2332">
        <w:rPr>
          <w:sz w:val="24"/>
          <w:szCs w:val="24"/>
          <w:vertAlign w:val="subscript"/>
          <w:lang w:val="en-GB" w:eastAsia="en-GB"/>
        </w:rPr>
        <w:t>2</w:t>
      </w:r>
      <w:r w:rsidR="008C4ECB" w:rsidRPr="00DB2332">
        <w:rPr>
          <w:sz w:val="24"/>
          <w:szCs w:val="24"/>
          <w:lang w:val="en-GB" w:eastAsia="en-GB"/>
        </w:rPr>
        <w:t>, to the same design specification as that of the baseline Jet-A aircraft.</w:t>
      </w:r>
      <w:r w:rsidR="00291DC8" w:rsidRPr="00DB2332">
        <w:rPr>
          <w:sz w:val="24"/>
          <w:szCs w:val="24"/>
          <w:lang w:val="en-GB" w:eastAsia="en-GB"/>
        </w:rPr>
        <w:t xml:space="preserve"> The literature review is f</w:t>
      </w:r>
      <w:r w:rsidR="00A33380" w:rsidRPr="00DB2332">
        <w:rPr>
          <w:sz w:val="24"/>
          <w:szCs w:val="24"/>
          <w:lang w:val="en-GB" w:eastAsia="en-GB"/>
        </w:rPr>
        <w:t xml:space="preserve">urther detailed in </w:t>
      </w:r>
      <w:r w:rsidR="00A33380" w:rsidRPr="00DB2332">
        <w:rPr>
          <w:sz w:val="24"/>
          <w:szCs w:val="24"/>
          <w:lang w:val="en-GB"/>
        </w:rPr>
        <w:t>§2.</w:t>
      </w:r>
      <w:r w:rsidR="00A33380" w:rsidRPr="00DB2332">
        <w:rPr>
          <w:sz w:val="24"/>
          <w:szCs w:val="24"/>
          <w:lang w:val="en-GB" w:eastAsia="en-GB"/>
        </w:rPr>
        <w:t xml:space="preserve"> </w:t>
      </w:r>
    </w:p>
    <w:p w14:paraId="055ACE22" w14:textId="00D1AB2B" w:rsidR="006E37DD" w:rsidRPr="00DB2332" w:rsidRDefault="006E37DD" w:rsidP="006E37DD">
      <w:pPr>
        <w:pStyle w:val="Text"/>
        <w:tabs>
          <w:tab w:val="clear" w:pos="288"/>
          <w:tab w:val="left" w:pos="567"/>
        </w:tabs>
        <w:spacing w:after="240"/>
        <w:ind w:right="-46" w:firstLine="0"/>
        <w:rPr>
          <w:sz w:val="24"/>
          <w:szCs w:val="24"/>
          <w:lang w:val="en-GB"/>
        </w:rPr>
      </w:pPr>
      <w:r w:rsidRPr="00DB2332">
        <w:rPr>
          <w:sz w:val="24"/>
          <w:szCs w:val="24"/>
          <w:lang w:val="en-GB" w:eastAsia="en-GB"/>
        </w:rPr>
        <w:tab/>
        <w:t>The use of low-carbon energy vectors and/or alternative fuels is critical to the mitigation of aviation’s climate impact. The objectives of this work are to: (</w:t>
      </w:r>
      <w:proofErr w:type="spellStart"/>
      <w:r w:rsidRPr="00DB2332">
        <w:rPr>
          <w:sz w:val="24"/>
          <w:szCs w:val="24"/>
          <w:lang w:val="en-GB" w:eastAsia="en-GB"/>
        </w:rPr>
        <w:t>i</w:t>
      </w:r>
      <w:proofErr w:type="spellEnd"/>
      <w:r w:rsidRPr="00DB2332">
        <w:rPr>
          <w:sz w:val="24"/>
          <w:szCs w:val="24"/>
          <w:lang w:val="en-GB" w:eastAsia="en-GB"/>
        </w:rPr>
        <w:t xml:space="preserve">) quantitatively evaluate the energy performance characteristics of six alternative fuels – </w:t>
      </w:r>
      <w:r w:rsidRPr="00DB2332">
        <w:rPr>
          <w:sz w:val="24"/>
          <w:szCs w:val="24"/>
          <w:lang w:val="en-GB"/>
        </w:rPr>
        <w:t>methanol, ethanol, 100% SPK, LH</w:t>
      </w:r>
      <w:r w:rsidRPr="00DB2332">
        <w:rPr>
          <w:sz w:val="24"/>
          <w:szCs w:val="24"/>
          <w:vertAlign w:val="subscript"/>
          <w:lang w:val="en-GB"/>
        </w:rPr>
        <w:t>2</w:t>
      </w:r>
      <w:r w:rsidRPr="00DB2332">
        <w:rPr>
          <w:sz w:val="24"/>
          <w:szCs w:val="24"/>
          <w:lang w:val="en-GB"/>
        </w:rPr>
        <w:t>, LNG and LNH</w:t>
      </w:r>
      <w:r w:rsidRPr="00DB2332">
        <w:rPr>
          <w:sz w:val="24"/>
          <w:szCs w:val="24"/>
          <w:vertAlign w:val="subscript"/>
          <w:lang w:val="en-GB"/>
        </w:rPr>
        <w:t>3</w:t>
      </w:r>
      <w:r w:rsidRPr="00DB2332">
        <w:rPr>
          <w:sz w:val="24"/>
          <w:szCs w:val="24"/>
          <w:lang w:val="en-GB" w:eastAsia="en-GB"/>
        </w:rPr>
        <w:t xml:space="preserve"> – to identify fuels that enable the typical design target for future single-decker LTA aircraft (similar to Jet-A); (ii) conduct off-design point analysis for the identified fuel(s)  and evaluate sensitivity of specific energy consumption (SEC in MJ/tonne-km) to range and payload combinations, especially for LH</w:t>
      </w:r>
      <w:r w:rsidRPr="00DB2332">
        <w:rPr>
          <w:sz w:val="24"/>
          <w:szCs w:val="24"/>
          <w:vertAlign w:val="subscript"/>
          <w:lang w:val="en-GB" w:eastAsia="en-GB"/>
        </w:rPr>
        <w:t>2</w:t>
      </w:r>
      <w:r w:rsidRPr="00DB2332">
        <w:rPr>
          <w:sz w:val="24"/>
          <w:szCs w:val="24"/>
          <w:lang w:val="en-GB" w:eastAsia="en-GB"/>
        </w:rPr>
        <w:t xml:space="preserve"> aircraft; and (iii) quantify the relationship </w:t>
      </w:r>
      <w:r w:rsidRPr="00DB2332">
        <w:rPr>
          <w:sz w:val="24"/>
          <w:szCs w:val="24"/>
          <w:lang w:val="en-GB" w:eastAsia="en-GB"/>
        </w:rPr>
        <w:lastRenderedPageBreak/>
        <w:t>between the operating empty weight (OEW) and gross take-off weight (GTOW) for combustion based LH</w:t>
      </w:r>
      <w:r w:rsidRPr="00DB2332">
        <w:rPr>
          <w:sz w:val="24"/>
          <w:szCs w:val="24"/>
          <w:vertAlign w:val="subscript"/>
          <w:lang w:val="en-GB" w:eastAsia="en-GB"/>
        </w:rPr>
        <w:t>2</w:t>
      </w:r>
      <w:r w:rsidRPr="00DB2332">
        <w:rPr>
          <w:sz w:val="24"/>
          <w:szCs w:val="24"/>
          <w:lang w:val="en-GB" w:eastAsia="en-GB"/>
        </w:rPr>
        <w:t xml:space="preserve"> aircraft based on regression analysis of the data obtained from the present work and literature to inform future studies on LH</w:t>
      </w:r>
      <w:r w:rsidRPr="00DB2332">
        <w:rPr>
          <w:sz w:val="24"/>
          <w:szCs w:val="24"/>
          <w:vertAlign w:val="subscript"/>
          <w:lang w:val="en-GB" w:eastAsia="en-GB"/>
        </w:rPr>
        <w:t>2</w:t>
      </w:r>
      <w:r w:rsidRPr="00DB2332">
        <w:rPr>
          <w:sz w:val="24"/>
          <w:szCs w:val="24"/>
          <w:lang w:val="en-GB" w:eastAsia="en-GB"/>
        </w:rPr>
        <w:t xml:space="preserve"> aircraft weight sizing. </w:t>
      </w:r>
      <w:r w:rsidR="005444FD" w:rsidRPr="00DB2332">
        <w:rPr>
          <w:sz w:val="24"/>
          <w:szCs w:val="24"/>
          <w:lang w:val="en-GB" w:eastAsia="en-GB"/>
        </w:rPr>
        <w:t>The above thre</w:t>
      </w:r>
      <w:r w:rsidR="00B6602E" w:rsidRPr="00DB2332">
        <w:rPr>
          <w:sz w:val="24"/>
          <w:szCs w:val="24"/>
          <w:lang w:val="en-GB" w:eastAsia="en-GB"/>
        </w:rPr>
        <w:t xml:space="preserve">e </w:t>
      </w:r>
      <w:r w:rsidR="00921149" w:rsidRPr="00DB2332">
        <w:rPr>
          <w:sz w:val="24"/>
          <w:szCs w:val="24"/>
          <w:lang w:val="en-GB" w:eastAsia="en-GB"/>
        </w:rPr>
        <w:t>research</w:t>
      </w:r>
      <w:r w:rsidR="009523FC" w:rsidRPr="00DB2332">
        <w:rPr>
          <w:sz w:val="24"/>
          <w:szCs w:val="24"/>
          <w:lang w:val="en-GB" w:eastAsia="en-GB"/>
        </w:rPr>
        <w:t xml:space="preserve"> items</w:t>
      </w:r>
      <w:r w:rsidR="005444FD" w:rsidRPr="00DB2332">
        <w:rPr>
          <w:sz w:val="24"/>
          <w:szCs w:val="24"/>
          <w:lang w:val="en-GB" w:eastAsia="en-GB"/>
        </w:rPr>
        <w:t xml:space="preserve"> are missing </w:t>
      </w:r>
      <w:r w:rsidR="00B6602E" w:rsidRPr="00DB2332">
        <w:rPr>
          <w:sz w:val="24"/>
          <w:szCs w:val="24"/>
          <w:lang w:val="en-GB" w:eastAsia="en-GB"/>
        </w:rPr>
        <w:t>from literature and</w:t>
      </w:r>
      <w:r w:rsidR="00D5685A" w:rsidRPr="00DB2332">
        <w:rPr>
          <w:sz w:val="24"/>
          <w:szCs w:val="24"/>
          <w:lang w:val="en-GB" w:eastAsia="en-GB"/>
        </w:rPr>
        <w:t xml:space="preserve"> thus</w:t>
      </w:r>
      <w:r w:rsidR="009523FC" w:rsidRPr="00DB2332">
        <w:rPr>
          <w:sz w:val="24"/>
          <w:szCs w:val="24"/>
          <w:lang w:val="en-GB" w:eastAsia="en-GB"/>
        </w:rPr>
        <w:t xml:space="preserve"> </w:t>
      </w:r>
      <w:r w:rsidR="004C046A" w:rsidRPr="00DB2332">
        <w:rPr>
          <w:sz w:val="24"/>
          <w:szCs w:val="24"/>
          <w:lang w:val="en-GB" w:eastAsia="en-GB"/>
        </w:rPr>
        <w:t xml:space="preserve">are </w:t>
      </w:r>
      <w:r w:rsidR="009523FC" w:rsidRPr="00DB2332">
        <w:rPr>
          <w:sz w:val="24"/>
          <w:szCs w:val="24"/>
          <w:lang w:val="en-GB" w:eastAsia="en-GB"/>
        </w:rPr>
        <w:t>novel contributions of this work.</w:t>
      </w:r>
      <w:r w:rsidR="00B6602E" w:rsidRPr="00DB2332">
        <w:rPr>
          <w:sz w:val="24"/>
          <w:szCs w:val="24"/>
          <w:lang w:val="en-GB" w:eastAsia="en-GB"/>
        </w:rPr>
        <w:t xml:space="preserve"> </w:t>
      </w:r>
      <w:r w:rsidRPr="00DB2332">
        <w:rPr>
          <w:sz w:val="24"/>
          <w:szCs w:val="24"/>
          <w:lang w:val="en-GB" w:eastAsia="en-GB"/>
        </w:rPr>
        <w:t xml:space="preserve">The above analysis will be conducted using Breguet’s range equation, a fundamental equation in aeronautics which predicts the aircraft range from fuel type (or calorific value), aircraft aerodynamics, overall efficiency, and structural weight </w:t>
      </w:r>
      <w:r w:rsidRPr="00DB2332">
        <w:rPr>
          <w:sz w:val="24"/>
          <w:szCs w:val="24"/>
          <w:lang w:val="en-GB" w:eastAsia="en-GB"/>
        </w:rPr>
        <w:fldChar w:fldCharType="begin" w:fldLock="1"/>
      </w:r>
      <w:r w:rsidR="00977C66" w:rsidRPr="00DB2332">
        <w:rPr>
          <w:sz w:val="24"/>
          <w:szCs w:val="24"/>
          <w:lang w:val="en-GB" w:eastAsia="en-GB"/>
        </w:rPr>
        <w:instrText>ADDIN CSL_CITATION {"citationItems":[{"id":"ITEM-1","itemData":{"URL":"https://web.mit.edu/16.unified/www/FALL/Unified_Concepts/Breguet-Range-U2-notes-Fall08(2).pdf","accessed":{"date-parts":[["2020","8","27"]]},"author":[{"dropping-particle":"","family":"Waitz.","given":"Ian A.","non-dropping-particle":"","parse-names":false,"suffix":""}],"container-title":"Lecture notes","id":"ITEM-1","issued":{"date-parts":[["2008"]]},"title":"Lecture: Breguet's range equation","type":"webpage"},"uris":["http://www.mendeley.com/documents/?uuid=ab7fd911-2b42-391a-9b6a-f337941278ab"]}],"mendeley":{"formattedCitation":"(Waitz., 2008)","plainTextFormattedCitation":"(Waitz., 2008)","previouslyFormattedCitation":"(Waitz., 2008)"},"properties":{"noteIndex":0},"schema":"https://github.com/citation-style-language/schema/raw/master/csl-citation.json"}</w:instrText>
      </w:r>
      <w:r w:rsidRPr="00DB2332">
        <w:rPr>
          <w:sz w:val="24"/>
          <w:szCs w:val="24"/>
          <w:lang w:val="en-GB" w:eastAsia="en-GB"/>
        </w:rPr>
        <w:fldChar w:fldCharType="separate"/>
      </w:r>
      <w:r w:rsidR="00EF465A" w:rsidRPr="00DB2332">
        <w:rPr>
          <w:noProof/>
          <w:sz w:val="24"/>
          <w:szCs w:val="24"/>
          <w:lang w:val="en-GB" w:eastAsia="en-GB"/>
        </w:rPr>
        <w:t>(Waitz., 2008)</w:t>
      </w:r>
      <w:r w:rsidRPr="00DB2332">
        <w:rPr>
          <w:sz w:val="24"/>
          <w:szCs w:val="24"/>
          <w:lang w:val="en-GB" w:eastAsia="en-GB"/>
        </w:rPr>
        <w:fldChar w:fldCharType="end"/>
      </w:r>
      <w:r w:rsidRPr="00FA6B79">
        <w:rPr>
          <w:sz w:val="24"/>
          <w:szCs w:val="24"/>
          <w:lang w:val="en-GB" w:eastAsia="en-GB"/>
        </w:rPr>
        <w:t>.</w:t>
      </w:r>
    </w:p>
    <w:p w14:paraId="5A50B70D" w14:textId="67C8A801" w:rsidR="005B400F" w:rsidRPr="00DB2332" w:rsidRDefault="005B400F" w:rsidP="005B400F">
      <w:pPr>
        <w:pStyle w:val="Heading1"/>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DB2332">
        <w:rPr>
          <w:rFonts w:ascii="Times New Roman" w:eastAsia="Times New Roman" w:hAnsi="Times New Roman" w:cs="Times New Roman"/>
          <w:b/>
          <w:bCs/>
          <w:color w:val="auto"/>
          <w:sz w:val="24"/>
          <w:szCs w:val="24"/>
          <w:bdr w:val="none" w:sz="0" w:space="0" w:color="auto" w:frame="1"/>
          <w:lang w:eastAsia="en-GB"/>
        </w:rPr>
        <w:t>Literature review</w:t>
      </w:r>
    </w:p>
    <w:p w14:paraId="447B9AE7" w14:textId="5098D74B" w:rsidR="0045513D" w:rsidRPr="00DB2332" w:rsidRDefault="00833A21" w:rsidP="000B7DCE">
      <w:pPr>
        <w:pStyle w:val="Text"/>
        <w:tabs>
          <w:tab w:val="clear" w:pos="288"/>
          <w:tab w:val="left" w:pos="567"/>
        </w:tabs>
        <w:ind w:right="-46" w:firstLine="0"/>
        <w:rPr>
          <w:sz w:val="24"/>
          <w:szCs w:val="24"/>
          <w:lang w:eastAsia="en-GB"/>
        </w:rPr>
      </w:pPr>
      <w:r w:rsidRPr="00FA6B79">
        <w:rPr>
          <w:sz w:val="24"/>
          <w:szCs w:val="24"/>
        </w:rPr>
        <w:tab/>
      </w:r>
      <w:r w:rsidR="002B79FE" w:rsidRPr="00FA6B79">
        <w:rPr>
          <w:sz w:val="24"/>
          <w:szCs w:val="24"/>
        </w:rPr>
        <w:t xml:space="preserve">Studies on </w:t>
      </w:r>
      <w:r w:rsidR="00A74ADE" w:rsidRPr="00FA6B79">
        <w:rPr>
          <w:sz w:val="24"/>
          <w:szCs w:val="24"/>
        </w:rPr>
        <w:t xml:space="preserve">disruptive technologies like </w:t>
      </w:r>
      <w:r w:rsidR="002B79FE" w:rsidRPr="00FA6B79">
        <w:rPr>
          <w:sz w:val="24"/>
          <w:szCs w:val="24"/>
        </w:rPr>
        <w:t>s</w:t>
      </w:r>
      <w:r w:rsidRPr="00FA6B79">
        <w:rPr>
          <w:sz w:val="24"/>
          <w:szCs w:val="24"/>
        </w:rPr>
        <w:t xml:space="preserve">olar-electric </w:t>
      </w:r>
      <w:r w:rsidR="00661040" w:rsidRPr="00DB2332">
        <w:rPr>
          <w:sz w:val="24"/>
          <w:szCs w:val="24"/>
          <w:lang w:eastAsia="en-GB"/>
        </w:rPr>
        <w:fldChar w:fldCharType="begin" w:fldLock="1"/>
      </w:r>
      <w:r w:rsidR="00D34ABB" w:rsidRPr="00FA6B79">
        <w:rPr>
          <w:sz w:val="24"/>
          <w:szCs w:val="24"/>
          <w:lang w:eastAsia="en-GB"/>
        </w:rPr>
        <w:instrText>ADDIN CSL_CITATION {"citationItems":[{"id":"ITEM-1","itemData":{"abstract":"High altitude, long endurance aircraft can serve as platform for scientists to make observations of the earth over a long period of time. Staying airborne only by solar electric energy is, as of today, a challenge for the aircraft design and requires an extremely light weight structure at the edge of the physically possible. This paper focuses on the loads and aeroelastic aspects of such a  configuration, discusses the selected strategies and presents the applied methods and tools, including the resulting models prepared for the HAPomega configuration currently under development at the DLR. Because of the structural flexibility and the slow speed of the aircraft, flight mechanical and flight control aspects interact with aeroelastics e.g. during a gust encounter, making a non-linear time domain simulation necessary. Both maneuver and gust loads are used for the structural sizing and result in a very light and slender airframe with very low eigenfrequencies.","author":[{"dropping-particle":"","family":"Voß","given":"Arne","non-dropping-particle":"","parse-names":false,"suffix":""},{"dropping-particle":"","family":"Handojo","given":"Vega","non-dropping-particle":"","parse-names":false,"suffix":""},{"dropping-particle":"","family":"Weiser","given":"Christian","non-dropping-particle":"","parse-names":false,"suffix":""},{"dropping-particle":"","family":"Niemann","given":"Steffen","non-dropping-particle":"","parse-names":false,"suffix":""}],"container-title":"AEC2020 Aerospace Europe Conference","id":"ITEM-1","issued":{"date-parts":[["2020","2","25"]]},"title":"Preparation of Loads and Aeroelastic Analyses of a High Altitude, Long Endurance, Solar Electric Aircraft","type":"paper-conference"},"uris":["http://www.mendeley.com/documents/?uuid=104dce72-08be-3728-80ad-c4655174f3ea"]}],"mendeley":{"formattedCitation":"(Voß et al., 2020)","plainTextFormattedCitation":"(Voß et al., 2020)","previouslyFormattedCitation":"(Voß et al., 2020)"},"properties":{"noteIndex":0},"schema":"https://github.com/citation-style-language/schema/raw/master/csl-citation.json"}</w:instrText>
      </w:r>
      <w:r w:rsidR="00661040" w:rsidRPr="00DB2332">
        <w:rPr>
          <w:sz w:val="24"/>
          <w:szCs w:val="24"/>
          <w:lang w:eastAsia="en-GB"/>
        </w:rPr>
        <w:fldChar w:fldCharType="separate"/>
      </w:r>
      <w:r w:rsidR="00EF54AE" w:rsidRPr="00FA6B79">
        <w:rPr>
          <w:noProof/>
          <w:sz w:val="24"/>
          <w:szCs w:val="24"/>
          <w:lang w:eastAsia="en-GB"/>
        </w:rPr>
        <w:t>(Voß et al., 2020)</w:t>
      </w:r>
      <w:r w:rsidR="00661040" w:rsidRPr="00DB2332">
        <w:rPr>
          <w:sz w:val="24"/>
          <w:szCs w:val="24"/>
          <w:lang w:eastAsia="en-GB"/>
        </w:rPr>
        <w:fldChar w:fldCharType="end"/>
      </w:r>
      <w:r w:rsidR="00910B1E" w:rsidRPr="00FA6B79">
        <w:rPr>
          <w:sz w:val="24"/>
          <w:szCs w:val="24"/>
          <w:lang w:eastAsia="en-GB"/>
        </w:rPr>
        <w:t xml:space="preserve">, </w:t>
      </w:r>
      <w:r w:rsidRPr="00FA6B79">
        <w:rPr>
          <w:sz w:val="24"/>
          <w:szCs w:val="24"/>
        </w:rPr>
        <w:t xml:space="preserve">ion propulsion </w:t>
      </w:r>
      <w:r w:rsidR="002275CE" w:rsidRPr="00DB2332">
        <w:rPr>
          <w:sz w:val="24"/>
          <w:szCs w:val="24"/>
          <w:lang w:eastAsia="en-GB"/>
        </w:rPr>
        <w:fldChar w:fldCharType="begin" w:fldLock="1"/>
      </w:r>
      <w:r w:rsidR="00D46396" w:rsidRPr="00FA6B79">
        <w:rPr>
          <w:sz w:val="24"/>
          <w:szCs w:val="24"/>
          <w:lang w:eastAsia="en-GB"/>
        </w:rPr>
        <w:instrText>ADDIN CSL_CITATION {"citationItems":[{"id":"ITEM-1","itemData":{"DOI":"10.1038/s41586-018-0707-9","ISSN":"1476-4687","PMID":"30464270","abstract":"Since the first aeroplane flight more than 100 years ago, aeroplanes have been propelled using moving surfaces such as propellers and turbines. Most have been powered by fossil-fuel combustion. Electroaerodynamics, in which electrical forces accelerate ions in a fluid1,2, has been proposed as an alternative method of propelling aeroplanes—without moving parts, nearly silently and without combustion emissions3–6. However, no aeroplane with such&amp;nbsp;a&amp;nbsp;solid-state propulsion system has yet flown. Here we demonstrate that a solid-state propulsion system can sustain powered flight, by designing and flying an electroaerodynamically propelled heavier-than-air aeroplane. We flew a fixed-wing aeroplane with a five-metre wingspan ten times and showed that it achieved steady-level flight. All batteries and power systems, including a specifically developed ultralight high-voltage (40-kilovolt) power converter, were carried on-board. We show that conventionally accepted limitations in thrust-to-power ratio and thrust density4,6,7, which were previously thought to make electroaerodynamics unfeasible as a method of aeroplane propulsion, are surmountable. We provide a proof of concept for electroaerodynamic aeroplane propulsion, opening up possibilities for aircraft and aerodynamic devices that are quieter, mechanically simpler and do not emit combustion emissions. A solid-state propulsion system can sustain powered flight, as demonstrated by an electroaerodynamically propelled heavier-than-air aeroplane.","author":[{"dropping-particle":"","family":"Xu","given":"Haofeng","non-dropping-particle":"","parse-names":false,"suffix":""},{"dropping-particle":"","family":"He","given":"Yiou","non-dropping-particle":"","parse-names":false,"suffix":""},{"dropping-particle":"","family":"Strobel","given":"Kieran L.","non-dropping-particle":"","parse-names":false,"suffix":""},{"dropping-particle":"","family":"Gilmore","given":"Christopher K.","non-dropping-particle":"","parse-names":false,"suffix":""},{"dropping-particle":"","family":"Kelley","given":"Sean P.","non-dropping-particle":"","parse-names":false,"suffix":""},{"dropping-particle":"","family":"Hennick","given":"Cooper C.","non-dropping-particle":"","parse-names":false,"suffix":""},{"dropping-particle":"","family":"Sebastian","given":"Thomas","non-dropping-particle":"","parse-names":false,"suffix":""},{"dropping-particle":"","family":"Woolston","given":"Mark R.","non-dropping-particle":"","parse-names":false,"suffix":""},{"dropping-particle":"","family":"Perreault","given":"David J.","non-dropping-particle":"","parse-names":false,"suffix":""},{"dropping-particle":"","family":"Barrett","given":"Steven R.H.","non-dropping-particle":"","parse-names":false,"suffix":""}],"container-title":"Nature 2018 563:7732","id":"ITEM-1","issue":"7732","issued":{"date-parts":[["2018","11","21"]]},"page":"532-535","publisher":"Nature Publishing Group","title":"Flight of an aeroplane with solid-state propulsion","type":"article-journal","volume":"563"},"uris":["http://www.mendeley.com/documents/?uuid=b017415a-650c-3792-ab15-93359ab79dd2"]}],"mendeley":{"formattedCitation":"(Xu et al., 2018)","plainTextFormattedCitation":"(Xu et al., 2018)","previouslyFormattedCitation":"(Xu et al., 2018)"},"properties":{"noteIndex":0},"schema":"https://github.com/citation-style-language/schema/raw/master/csl-citation.json"}</w:instrText>
      </w:r>
      <w:r w:rsidR="002275CE" w:rsidRPr="00DB2332">
        <w:rPr>
          <w:sz w:val="24"/>
          <w:szCs w:val="24"/>
          <w:lang w:eastAsia="en-GB"/>
        </w:rPr>
        <w:fldChar w:fldCharType="separate"/>
      </w:r>
      <w:r w:rsidR="00D34ABB" w:rsidRPr="00FA6B79">
        <w:rPr>
          <w:noProof/>
          <w:sz w:val="24"/>
          <w:szCs w:val="24"/>
          <w:lang w:eastAsia="en-GB"/>
        </w:rPr>
        <w:t>(Xu et al., 2018)</w:t>
      </w:r>
      <w:r w:rsidR="002275CE" w:rsidRPr="00DB2332">
        <w:rPr>
          <w:sz w:val="24"/>
          <w:szCs w:val="24"/>
          <w:lang w:eastAsia="en-GB"/>
        </w:rPr>
        <w:fldChar w:fldCharType="end"/>
      </w:r>
      <w:r w:rsidR="00A63151" w:rsidRPr="00FA6B79">
        <w:rPr>
          <w:sz w:val="24"/>
          <w:szCs w:val="24"/>
        </w:rPr>
        <w:t xml:space="preserve">, </w:t>
      </w:r>
      <w:r w:rsidR="00F62A21" w:rsidRPr="00FA6B79">
        <w:rPr>
          <w:sz w:val="24"/>
          <w:szCs w:val="24"/>
        </w:rPr>
        <w:t xml:space="preserve">electric </w:t>
      </w:r>
      <w:r w:rsidR="00336157" w:rsidRPr="00FA6B79">
        <w:rPr>
          <w:sz w:val="24"/>
          <w:szCs w:val="24"/>
        </w:rPr>
        <w:t>aircraft</w:t>
      </w:r>
      <w:r w:rsidR="008902E5" w:rsidRPr="00FA6B79">
        <w:rPr>
          <w:sz w:val="24"/>
          <w:szCs w:val="24"/>
        </w:rPr>
        <w:t xml:space="preserve"> (</w:t>
      </w:r>
      <w:r w:rsidR="00F62A21" w:rsidRPr="00FA6B79">
        <w:rPr>
          <w:sz w:val="24"/>
          <w:szCs w:val="24"/>
        </w:rPr>
        <w:t xml:space="preserve">turbo-electric, battery electric – </w:t>
      </w:r>
      <w:r w:rsidR="00964219" w:rsidRPr="00FA6B79">
        <w:rPr>
          <w:sz w:val="24"/>
          <w:szCs w:val="24"/>
        </w:rPr>
        <w:t>hybrid and/or full electric</w:t>
      </w:r>
      <w:r w:rsidR="008902E5" w:rsidRPr="00FA6B79">
        <w:rPr>
          <w:sz w:val="24"/>
          <w:szCs w:val="24"/>
        </w:rPr>
        <w:t>)</w:t>
      </w:r>
      <w:r w:rsidR="00642F15" w:rsidRPr="00FA6B79">
        <w:rPr>
          <w:sz w:val="24"/>
          <w:szCs w:val="24"/>
        </w:rPr>
        <w:t xml:space="preserve"> </w:t>
      </w:r>
      <w:r w:rsidR="0007422D" w:rsidRPr="00DB2332">
        <w:rPr>
          <w:sz w:val="24"/>
          <w:szCs w:val="24"/>
        </w:rPr>
        <w:fldChar w:fldCharType="begin" w:fldLock="1"/>
      </w:r>
      <w:r w:rsidR="0013430A" w:rsidRPr="00FA6B79">
        <w:rPr>
          <w:sz w:val="24"/>
          <w:szCs w:val="24"/>
        </w:rPr>
        <w:instrText>ADDIN CSL_CITATION {"citationItems":[{"id":"ITEM-1","itemData":{"DOI":"10.1115/GT2016-56123","ISBN":"978-0-7918-4974-3","author":[{"dropping-particle":"","family":"Grönstedt","given":"Tomas","non-dropping-particle":"","parse-names":false,"suffix":""},{"dropping-particle":"","family":"Xisto","given":"Carlos","non-dropping-particle":"","parse-names":false,"suffix":""},{"dropping-particle":"","family":"Sethi","given":"Vishal","non-dropping-particle":"","parse-names":false,"suffix":""},{"dropping-particle":"","family":"Rolt","given":"Andrew","non-dropping-particle":"","parse-names":false,"suffix":""},{"dropping-particle":"","family":"García Rosa","given":"Nicolás","non-dropping-particle":"","parse-names":false,"suffix":""},{"dropping-particle":"","family":"Seitz","given":"Arne","non-dropping-particle":"","parse-names":false,"suffix":""},{"dropping-particle":"","family":"Yakinthos","given":"Kyros","non-dropping-particle":"","parse-names":false,"suffix":""},{"dropping-particle":"","family":"Donnerhack","given":"Stefan","non-dropping-particle":"","parse-names":false,"suffix":""},{"dropping-particle":"","family":"Newton","given":"Paul","non-dropping-particle":"","parse-names":false,"suffix":""},{"dropping-particle":"","family":"Tantot","given":"Nicolas","non-dropping-particle":"","parse-names":false,"suffix":""},{"dropping-particle":"","family":"Schmitz","given":"Oliver","non-dropping-particle":"","parse-names":false,"suffix":""},{"dropping-particle":"","family":"Lundbladh","given":"Anders","non-dropping-particle":"","parse-names":false,"suffix":""}],"container-title":"Volume 3: Coal, Biomass and Alternative Fuels; Cycle Innovations; Electric Power; Industrial and Cogeneration; Organic Rankine Cycle Power Systems","id":"ITEM-1","issued":{"date-parts":[["2016","6","13"]]},"page":"V003T06A001","publisher":"ASME","title":"Ultra Low Emission Technology Innovations for Mid-Century Aircraft Turbine Engines","type":"paper-conference"},"uris":["http://www.mendeley.com/documents/?uuid=6e5fd9e7-e660-3ffd-85d0-01e2665b860d"]},{"id":"ITEM-2","itemData":{"DOI":"10.1016/J.PAEROSCI.2018.06.004","ISSN":"0376-0421","abstract":"Following high-profile government and industry studies, electric aircraft propulsion has emerged as an important research topic. This article surveys the scholarly and business literature on fixed-wing aircraft propelled in whole or in part by electricity. This includes all-electric, hybrid electric, and turboelectric architectures. We introduce a classification of electric aircraft, technology factors, and performance parameters. Next, we present an overview of electrical components and electric propulsion architectures. We survey existing commercial products, prototypes, demonstrators, and conceptual studies, and develop a list of potential benefits and disadvantages of electric propulsion with estimates of potential benefit. We present an introduction to power electronics, electric machines, and batteries for aircraft designers, and explore the emerging problem of aircraft thermal management. We review modeling, simulation, and multidisciplinary optimization capabilities, and identify current shortcomings. We conclude that the electric aircraft design problem introduces new coupling between previously distinct disciplines, such as aerodynamics and propulsion, which may only become apparent with high-fidelity, physics-based analysis. High-fidelity multidisciplinary design analysis and optimization of electric aircraft, including safety and economic analysis, remains an open challenge.","author":[{"dropping-particle":"","family":"Brelje","given":"Benjamin J.","non-dropping-particle":"","parse-names":false,"suffix":""},{"dropping-particle":"","family":"Martins","given":"Joaquim R.R.A.","non-dropping-particle":"","parse-names":false,"suffix":""}],"container-title":"Progress in Aerospace Sciences","id":"ITEM-2","issued":{"date-parts":[["2019","1","1"]]},"page":"1-19","publisher":"Pergamon","title":"Electric, hybrid, and turboelectric fixed-wing aircraft: A review of concepts, models, and design approaches","type":"article-journal","volume":"104"},"uris":["http://www.mendeley.com/documents/?uuid=f1e0d1be-90d9-3dad-9985-684822b3a2bb"]},{"id":"ITEM-3","itemData":{"DOI":"10.1016/J.PAEROSCI.2015.09.002","ISSN":"0376-0421","abstract":"The European Flightpath 2050 and corresponding Strategic Research and Innovation Agenda (SRIA) as well as the NASA Environmentally Responsible Aviation N+ series have elaborated aggressive emissions and external noise reduction targets according to chronological waypoints. In order to deliver ultra-low or even zero in-flight emissions levels, there exists an increasing amount of international research and development emphasis on electrification of the propulsion and power systems of aircraft. Since the late 1990s, a series of experimental and a host of burgeouning commercial activities for fixed-wing aviation have focused on glider, ultra-light and light-sport airplane, and this is proving to serve as a cornerstone for more ambitious transport aircraft design and integration technical approaches. The introduction of hybrid-electric technology has dramatically expanded the design space and the full-potential of these technologies will be drawn through synergetic, tightly-coupled morphological and systems integration emphasizing propulsion – as exemplified by the potential afforded by distributed propulsion solutions. With the aim of expanding upon the current repository of knowledge associated with hybrid-electric propulsion systems a quad-fan arranged narrow-body transport aircraft equipped with two advanced Geared-Turbofans (GTF) and two Electrical Fans (EF) in an under-wing podded installation is presented in this technical article. The assessment and implications of an increasing Degree-of-Hybridization for Useful Power (HP,USE) on the overall sizing, performance as well as flight technique optimization of fuel-battery hybrid-electric aircraft is addressed herein. The integrated performance of the concept was analyzed in terms of potential block fuel burn reduction and change in vehicular efficiency in comparison to a suitably projected conventional aircraft employing GTF-only propulsion targeting year 2035. Results showed that by increasing HP,USE, significant fuel burn reduction can be achieved; however, this also proves to be detrimental in terms of vehicular efficiency. The potential in block fuel reduction diminishes with increasing design range – especially for low battery gravimetric specific energies. In addition, the narrow shape of the fuselage represents a volumetric constraint for the storage of the battery and typical cargo. It was concluded that the short-range/regional market segment would be the most suited for the application of such…","author":[{"dropping-particle":"","family":"Pornet","given":"C.","non-dropping-particle":"","parse-names":false,"suffix":""},{"dropping-particle":"","family":"Isikveren","given":"A.T.","non-dropping-particle":"","parse-names":false,"suffix":""}],"container-title":"Progress in Aerospace Sciences","id":"ITEM-3","issued":{"date-parts":[["2015","11","1"]]},"page":"114-135","publisher":"Pergamon","title":"Conceptual design of hybrid-electric transport aircraft","type":"article-journal","volume":"79"},"uris":["http://www.mendeley.com/documents/?uuid=df5e1c13-98d8-3910-8dc0-a5975671b405"]},{"id":"ITEM-4","itemData":{"DOI":"10.1007/s13272-017-0272-1","ISSN":"1869-5582","author":[{"dropping-particle":"","family":"Voskuijl","given":"Mark","non-dropping-particle":"","parse-names":false,"suffix":""},{"dropping-particle":"","family":"Bogaert","given":"Joris","non-dropping-particle":"van","parse-names":false,"suffix":""},{"dropping-particle":"","family":"Rao","given":"Arvind G.","non-dropping-particle":"","parse-names":false,"suffix":""}],"container-title":"CEAS Aeronautical Journal","id":"ITEM-4","issue":"1","issued":{"date-parts":[["2018","3","31"]]},"page":"15-25","publisher":"Springer Vienna","title":"Analysis and design of hybrid electric regional turboprop aircraft","type":"article-journal","volume":"9"},"uris":["http://www.mendeley.com/documents/?uuid=1ccc42a8-f2fe-3139-bdd3-9a1c541e6985"]},{"id":"ITEM-5","itemData":{"DOI":"10.2514/1.C032660","ISSN":"0021-8669","abstract":"Against a background of increasing energy demand and rising fuel prices, hybrid-electric propulsion systems have the potential to significantly reduce fuel consumption in the aviation industry, particularly in the lighter sectors. By taking advantage of both electric motor and internal combustion engine, hybrid-electric propulsion systems provide not only a benefit in fuel saving but also a reduction in takeoff noise and the emission levels. This research considers the design and sizing process of a hybrid-electric propulsion system for a single-seat demonstrator aircraft, the experimental derivation of the internal combustion engine map, and the electric motor parameters. In addition to the experimental data, a novel modeling approach including several linked desktop PC software packages is presented to analyze and optimize hybrid-electric technology for aircraft. Further to the analysis of a parallel hybrid-electric, midscale aircraft, this paper also presents a scaling approach for a 20 kg unmanned aer...","author":[{"dropping-particle":"","family":"Friedrich","given":"C.","non-dropping-particle":"","parse-names":false,"suffix":""},{"dropping-particle":"","family":"Robertson","given":"P.A.","non-dropping-particle":"","parse-names":false,"suffix":""}],"container-title":"Journal of Aircraft","id":"ITEM-5","issue":"1","issued":{"date-parts":[["2015","1","5"]]},"page":"176-189","publisher":"American Institute of Aeronautics and Astronautics","title":"Hybrid-Electric Propulsion for Aircraft","type":"article-journal","volume":"52"},"uris":["http://www.mendeley.com/documents/?uuid=76d12931-0a7f-35da-bcc4-4eaa0e399930"]},{"id":"ITEM-6","itemData":{"DOI":"10.1038/s41560-018-0294-x","ISSN":"2058-7546","abstract":"Ever since the Wright brothers’ first powered flight in 1903, commercial aircraft have relied on liquid hydrocarbon fuels. However, the need for greenhouse gas emission reductions along with recent progress in battery technology for automobiles has generated strong interest in electric propulsion in aviation. This Analysis provides a first-order assessment of the energy, economic and environmental implications of all-electric aircraft. We show that batteries with significantly higher specific energy and lower cost, coupled with further reductions of costs and CO2 intensity of electricity, are necessary for exploiting the full range of economic and environmental benefits provided by all-electric aircraft. A global fleet of all-electric aircraft serving all flights up to a distance of 400–600 nautical miles (741–1,111 km) would demand an equivalent of 0.6–1.7% of worldwide electricity consumption in 2015. Although lifecycle CO2 emissions of all-electric aircraft depend on the power generation mix, all direct combustion emissions and thus direct air pollutants and direct non-CO2 warming impacts would be eliminated.","author":[{"dropping-particle":"","family":"Schäfer","given":"Andreas W.","non-dropping-particle":"","parse-names":false,"suffix":""},{"dropping-particle":"","family":"Barrett","given":"Steven R. H.","non-dropping-particle":"","parse-names":false,"suffix":""},{"dropping-particle":"","family":"Doyme","given":"Khan","non-dropping-particle":"","parse-names":false,"suffix":""},{"dropping-particle":"","family":"Dray","given":"Lynnette M.","non-dropping-particle":"","parse-names":false,"suffix":""},{"dropping-particle":"","family":"Gnadt","given":"Albert R.","non-dropping-particle":"","parse-names":false,"suffix":""},{"dropping-particle":"","family":"Self","given":"Rod","non-dropping-particle":"","parse-names":false,"suffix":""},{"dropping-particle":"","family":"O’Sullivan","given":"Aidan","non-dropping-particle":"","parse-names":false,"suffix":""},{"dropping-particle":"","family":"Synodinos","given":"Athanasios P.","non-dropping-particle":"","parse-names":false,"suffix":""},{"dropping-particle":"","family":"Torija","given":"Antonio J.","non-dropping-particle":"","parse-names":false,"suffix":""}],"container-title":"Nature Energy","id":"ITEM-6","issue":"2","issued":{"date-parts":[["2019","2","10"]]},"page":"160-166","publisher":"Nature Publishing Group","title":"Technological, economic and environmental prospects of all-electric aircraft","type":"article-journal","volume":"4"},"uris":["http://www.mendeley.com/documents/?uuid=87e44bd2-d369-336c-87ce-e3c724388749"]},{"id":"ITEM-7","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L","non-dropping-particle":"","parse-names":false,"suffix":""}],"id":"ITEM-7","issued":{"date-parts":[["2011"]]},"publisher":"NASA John H. Glenn Research Center at Lewis Field","title":"Review of propulsion technologies for N+3 subsonic vehicle concepts (Report # 20110022435)","type":"webpage"},"uris":["http://www.mendeley.com/documents/?uuid=483d134d-dc69-4474-bc43-149e351c5d23"]},{"id":"ITEM-8","itemData":{"DOI":"https://doi.org/10.15282/ijame.16.4.2019.07.0541","author":[{"dropping-particle":"","family":"Jagtap","given":"Swapnil Sarjerao","non-dropping-particle":"","parse-names":false,"suffix":""}],"container-title":"International Journal of Automotive and Mechanical Engineering","id":"ITEM-8","issue":"4","issued":{"date-parts":[["2019"]]},"page":"7259–7286","title":"Systems evaluation of subsonic hybrid-electric propulsion concepts for NASA N+3 goals and conceptual aircraft sizing","type":"article-journal","volume":"16"},"uris":["http://www.mendeley.com/documents/?uuid=8a6e39f5-034f-426c-9b30-6c4301d8e03c"]},{"id":"ITEM-9","itemData":{"author":[{"dropping-particle":"","family":"Felder","given":"James L.","non-dropping-particle":"","parse-names":false,"suffix":""},{"dropping-particle":"V.","family":"Brown","given":"Gerald","non-dropping-particle":"","parse-names":false,"suffix":""},{"dropping-particle":"","family":"DaeKim","given":"Hyun","non-dropping-particle":"","parse-names":false,"suffix":""},{"dropping-particle":"","family":"Chu","given":"Julio","non-dropping-particle":"","parse-names":false,"suffix":""}],"id":"ITEM-9","issued":{"date-parts":[["2011"]]},"title":"Turboelectric Distributed Propulsion in a Hybrid Wing Body Aircraft","type":"report"},"uris":["http://www.mendeley.com/documents/?uuid=3c0052f3-0da4-3363-ab98-de1d8b57db21"]},{"id":"ITEM-10","itemData":{"abstract":"High altitude, long endurance aircraft can serve as platform for scientists to make observations of the earth over a long period of time. Staying airborne only by solar electric energy is, as of today, a challenge for the aircraft design and requires an extremely light weight structure at the edge of the physically possible. This paper focuses on the loads and aeroelastic aspects of such a  configuration, discusses the selected strategies and presents the applied methods and tools, including the resulting models prepared for the HAPomega configuration currently under development at the DLR. Because of the structural flexibility and the slow speed of the aircraft, flight mechanical and flight control aspects interact with aeroelastics e.g. during a gust encounter, making a non-linear time domain simulation necessary. Both maneuver and gust loads are used for the structural sizing and result in a very light and slender airframe with very low eigenfrequencies.","author":[{"dropping-particle":"","family":"Voß","given":"Arne","non-dropping-particle":"","parse-names":false,"suffix":""},{"dropping-particle":"","family":"Handojo","given":"Vega","non-dropping-particle":"","parse-names":false,"suffix":""},{"dropping-particle":"","family":"Weiser","given":"Christian","non-dropping-particle":"","parse-names":false,"suffix":""},{"dropping-particle":"","family":"Niemann","given":"Steffen","non-dropping-particle":"","parse-names":false,"suffix":""}],"container-title":"AEC2020 Aerospace Europe Conference","id":"ITEM-10","issued":{"date-parts":[["2020","2","25"]]},"title":"Preparation of Loads and Aeroelastic Analyses of a High Altitude, Long Endurance, Solar Electric Aircraft","type":"paper-conference"},"uris":["http://www.mendeley.com/documents/?uuid=104dce72-08be-3728-80ad-c4655174f3ea"]},{"id":"ITEM-11","itemData":{"DOI":"10.25967/480344","abstract":"Polaris is a liquid hydrogen turbo-electric transport aircraft which is designed to fulfill the NASA N+3 goals for entry into service in 2045. The main objective is to reduce the energy consumption by at least 60% compared to an A320 of 2005. Secondary objectives are the reduction of the NOX emissions by 80% and minimizing the noise emissions. The concept combines the synergies of a liquid hydrogen fuel system with a HTS power transmission and an intercooled gas turbine. By this a reduction of 62% in energy consumption and 80% lower NOx emissions are achieved at a comparable design mission.","author":[{"dropping-particle":"","family":"Dietl","given":"T","non-dropping-particle":"","parse-names":false,"suffix":""},{"dropping-particle":"","family":"Karger","given":"J","non-dropping-particle":"","parse-names":false,"suffix":""},{"dropping-particle":"","family":"Kaupe","given":"K","non-dropping-particle":"","parse-names":false,"suffix":""},{"dropping-particle":"","family":"Pfemeter","given":"A","non-dropping-particle":"","parse-names":false,"suffix":""},{"dropping-particle":"","family":"Weber","given":"P","non-dropping-particle":"","parse-names":false,"suffix":""},{"dropping-particle":"","family":"Zakrzewski","given":"A","non-dropping-particle":"","parse-names":false,"suffix":""},{"dropping-particle":"","family":"Strohmayer","given":"A","non-dropping-particle":"","parse-names":false,"suffix":""}],"id":"ITEM-11","issued":{"date-parts":[["2018"]]},"publisher":"Deutsche Gesellschaft für Luft- und Raumfahrt","title":"POLARIS-DESIGN OF A LIQUID HYDROGEN TURBO-ELECTRIC TRANSPORT AIRCRAFT","type":"paper-conference"},"uris":["http://www.mendeley.com/documents/?uuid=bd1b7241-cb8b-30b6-a79a-ea626ebcbbe5"]},{"id":"ITEM-12","itemData":{"DOI":"10.2514/6.2022-1025","ISBN":"9781624106316","abstract":"This study addresses the design of tube-and-wing, turbofan, hydrogen powered passenger transport airplanes from a top-level conceptual approach. The integration of liquid hydrogen fuel systems in the airplane is modeled in a multidisciplinary framework in order to rank the different possible architectures according to overall technical feasibility and performances. If we exclude the Cryoplane layout [1] which has been already studied in the 2000s, we identified mainly three realistic possibilities to store important volume of hydrogen in a classical tubeand-wing layout: in the rear fuselage, within under-wing pods or within piggy-back tank. In this study, we assume that the piggy-back tank is a separated tapered shape attached on top of the fuselage for safety reasons. Adding external tanks to a tube-and-wing configuration also brings additional drag and weight. The possibility to recover some penalty by installing boundary layer ingesting pusher fans on the tail cones of the different tapered bodies of each configuration is analyzed in both contexts of pure thermal propulsive architecture or partial turbo-electric architecture. It appears that boundary layer ingestion is likely to improve significantly the performances in case of external tanks. The feasibility limit of each configuration is discussed according to geometrical constraints and its performances are compared with those of a classical kerosene airplane designed with the same requirements. Finally, a short sensitivity analysis illustrates the effect of technological parameters associated with liquid hydrogen storage and fuel cells integration.","author":[{"dropping-particle":"","family":"Druot","given":"Thierry Y.J.","non-dropping-particle":"","parse-names":false,"suffix":""},{"dropping-particle":"","family":"Peteilh","given":"Nicolas","non-dropping-particle":"","parse-names":false,"suffix":""},{"dropping-particle":"","family":"Roches","given":"Pascal","non-dropping-particle":"","parse-names":false,"suffix":""},{"dropping-particle":"","family":"Monrolin","given":"Nicolas","non-dropping-particle":"","parse-names":false,"suffix":""}],"container-title":"AIAA Science and Technology Forum and Exposition, AIAA SciTech Forum 2022","id":"ITEM-12","issued":{"date-parts":[["2022"]]},"publisher":"American Institute of Aeronautics and Astronautics Inc, AIAA","title":"Hydrogen Powered Airplanes, an exploration of possible architectures leveraging boundary layer ingestion and hybridization","type":"article-journal"},"uris":["http://www.mendeley.com/documents/?uuid=8e655846-0f99-391d-af88-59c5b81c0dc3"]},{"id":"ITEM-13","itemData":{"abstract":"Front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-13","issued":{"date-parts":[["2022"]]},"title":"SUSTAINABILITY REPORT - The Lifecycle Impact of Hydrogen-Powered Aircraft","type":"report"},"uris":["http://www.mendeley.com/documents/?uuid=23fcdda0-b06a-3cb9-9281-dc34456733bb"]}],"mendeley":{"formattedCitation":"(Ashcraft et al., 2011; Brelje and Martins, 2019; Dietl et al., 2018; Druot et al., 2022; Felder et al., 2011; Friedrich and Robertson, 2015; Grönstedt et al., 2016; Jagtap, 2019a; Job et al., 2022; Pornet and Isikveren, 2015; Schäfer et al., 2019; Voskuijl et al., 2018; Voß et al., 2020)","plainTextFormattedCitation":"(Ashcraft et al., 2011; Brelje and Martins, 2019; Dietl et al., 2018; Druot et al., 2022; Felder et al., 2011; Friedrich and Robertson, 2015; Grönstedt et al., 2016; Jagtap, 2019a; Job et al., 2022; Pornet and Isikveren, 2015; Schäfer et al., 2019; Voskuijl et al., 2018; Voß et al., 2020)","previouslyFormattedCitation":"(Ashcraft et al., 2011; Brelje and Martins, 2019; Dietl et al., 2018; Druot et al., 2022; Felder et al., 2011; Friedrich and Robertson, 2015; Grönstedt et al., 2016; Jagtap, 2019a; Job et al., 2022; Pornet and Isikveren, 2015; Schäfer et al., 2019; Voskuijl et al., 2018; Voß et al., 2020)"},"properties":{"noteIndex":0},"schema":"https://github.com/citation-style-language/schema/raw/master/csl-citation.json"}</w:instrText>
      </w:r>
      <w:r w:rsidR="0007422D" w:rsidRPr="00DB2332">
        <w:rPr>
          <w:sz w:val="24"/>
          <w:szCs w:val="24"/>
        </w:rPr>
        <w:fldChar w:fldCharType="separate"/>
      </w:r>
      <w:r w:rsidR="002623FC" w:rsidRPr="00FA6B79">
        <w:rPr>
          <w:noProof/>
          <w:sz w:val="24"/>
          <w:szCs w:val="24"/>
        </w:rPr>
        <w:t>(Ashcraft et al., 2011; Brelje and Martins, 2019; Dietl et al., 2018; Druot et al., 2022; Felder et al., 2011; Friedrich and Robertson, 2015; Grönstedt et al., 2016; Jagtap, 2019a; Job et al., 2022; Pornet and Isikveren, 2015; Schäfer et al., 2019; Voskuijl et al., 2018; Voß et al., 2020)</w:t>
      </w:r>
      <w:r w:rsidR="0007422D" w:rsidRPr="00DB2332">
        <w:rPr>
          <w:sz w:val="24"/>
          <w:szCs w:val="24"/>
        </w:rPr>
        <w:fldChar w:fldCharType="end"/>
      </w:r>
      <w:r w:rsidR="0007422D" w:rsidRPr="00FA6B79">
        <w:rPr>
          <w:sz w:val="24"/>
          <w:szCs w:val="24"/>
        </w:rPr>
        <w:t xml:space="preserve"> </w:t>
      </w:r>
      <w:r w:rsidR="00441AAA" w:rsidRPr="00FA6B79">
        <w:rPr>
          <w:sz w:val="24"/>
          <w:szCs w:val="24"/>
          <w:lang w:eastAsia="en-GB"/>
        </w:rPr>
        <w:t>and</w:t>
      </w:r>
      <w:r w:rsidR="00CB35B6" w:rsidRPr="00FA6B79">
        <w:rPr>
          <w:sz w:val="24"/>
          <w:szCs w:val="24"/>
          <w:lang w:eastAsia="en-GB"/>
        </w:rPr>
        <w:t xml:space="preserve"> </w:t>
      </w:r>
      <w:r w:rsidR="00441AAA" w:rsidRPr="00FA6B79">
        <w:rPr>
          <w:sz w:val="24"/>
          <w:szCs w:val="24"/>
        </w:rPr>
        <w:t>fuel cell</w:t>
      </w:r>
      <w:r w:rsidR="00530B14" w:rsidRPr="00FA6B79">
        <w:rPr>
          <w:sz w:val="24"/>
          <w:szCs w:val="24"/>
        </w:rPr>
        <w:t xml:space="preserve"> liquid hydrogen</w:t>
      </w:r>
      <w:r w:rsidR="00441AAA" w:rsidRPr="00FA6B79">
        <w:rPr>
          <w:sz w:val="24"/>
          <w:szCs w:val="24"/>
        </w:rPr>
        <w:t xml:space="preserve"> </w:t>
      </w:r>
      <w:r w:rsidR="00530B14" w:rsidRPr="00FA6B79">
        <w:rPr>
          <w:sz w:val="24"/>
          <w:szCs w:val="24"/>
        </w:rPr>
        <w:t>(</w:t>
      </w:r>
      <w:r w:rsidR="00441AAA" w:rsidRPr="00FA6B79">
        <w:rPr>
          <w:sz w:val="24"/>
          <w:szCs w:val="24"/>
        </w:rPr>
        <w:t>LH</w:t>
      </w:r>
      <w:r w:rsidR="00441AAA" w:rsidRPr="00FA6B79">
        <w:rPr>
          <w:sz w:val="24"/>
          <w:szCs w:val="24"/>
          <w:vertAlign w:val="subscript"/>
        </w:rPr>
        <w:t>2</w:t>
      </w:r>
      <w:r w:rsidR="00530B14" w:rsidRPr="00FA6B79">
        <w:rPr>
          <w:sz w:val="24"/>
          <w:szCs w:val="24"/>
        </w:rPr>
        <w:t xml:space="preserve">) </w:t>
      </w:r>
      <w:r w:rsidR="00441AAA" w:rsidRPr="00FA6B79">
        <w:rPr>
          <w:sz w:val="24"/>
          <w:szCs w:val="24"/>
        </w:rPr>
        <w:t>powered aircraft</w:t>
      </w:r>
      <w:r w:rsidR="00AB52ED" w:rsidRPr="00FA6B79">
        <w:rPr>
          <w:sz w:val="24"/>
          <w:szCs w:val="24"/>
        </w:rPr>
        <w:t xml:space="preserve"> </w:t>
      </w:r>
      <w:r w:rsidR="00F76805" w:rsidRPr="00DB2332">
        <w:rPr>
          <w:sz w:val="24"/>
          <w:szCs w:val="24"/>
        </w:rPr>
        <w:fldChar w:fldCharType="begin" w:fldLock="1"/>
      </w:r>
      <w:r w:rsidR="00A6146F" w:rsidRPr="00FA6B79">
        <w:rPr>
          <w:sz w:val="24"/>
          <w:szCs w:val="24"/>
        </w:rPr>
        <w:instrText>ADDIN CSL_CITATION {"citationItems":[{"id":"ITEM-1","itemData":{"URL":"https://www.dlr.de/content/en/articles/news/2020/02/20200504_conceptual-study-for-environment-friendly-flight.html","accessed":{"date-parts":[["2021","5","26"]]},"author":[{"dropping-particle":"","family":"DLR","given":"","non-dropping-particle":"","parse-names":false,"suffix":""}],"container-title":"DLR","id":"ITEM-1","issued":{"date-parts":[["2020"]]},"title":"Conceptual study for environment-friendly flight","type":"webpage"},"uris":["http://www.mendeley.com/documents/?uuid=0da13f28-a71e-3d1e-a958-e9231debe118"]},{"id":"ITEM-2","itemData":{"URL":"https://ntrs.nasa.gov/citations/20110022435","author":[{"dropping-particle":"","family":"Ashcraft","given":"Scott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L","non-dropping-particle":"","parse-names":false,"suffix":""}],"id":"ITEM-2","issued":{"date-parts":[["2011"]]},"publisher":"NASA John H. Glenn Research Center at Lewis Field","title":"Review of propulsion technologies for N+3 subsonic vehicle concepts (Report # 20110022435)","type":"webpage"},"uris":["http://www.mendeley.com/documents/?uuid=483d134d-dc69-4474-bc43-149e351c5d23"]},{"id":"ITEM-3","itemData":{"DOI":"10.1002/fuce.201400035","ISSN":"16156846","abstract":"Fuel cells are a promising propulsion technology option in sustainable and zero-emission drivetrain strategies as they offer a high potential to significantly reduce well-to-wheel greenhouse gas emissions and the dependency on fossil energy resources. At the same time, the current technological performance of automotive fuel cell systems is not yet sufficient to meet market demands. Therefore, the technical development of fuel cells is a critical factor for a successful market introduction of fuel cell electric vehicles (FCEV). This paper describes the methodology and results of a two-round Delphi Survey conducted by the Institut für Kraftfahrzeuge of RWTH Aachen University to assess the technological potential of polymer electrolyte membrane fuel cell (PEMFC) systems in automotive applications by 2030. The analysis of the current and future performance level of key performance indicators (KPI) of automotive fuel cell systems helps to identify critical performance parameters and to prioritize research and development demands. KPI analyzed in the Delphi Survey as forecast parameters include system efficiency, durability, power density, and specific power.","author":[{"dropping-particle":"","family":"Thoennes","given":"M.","non-dropping-particle":"","parse-names":false,"suffix":""},{"dropping-particle":"","family":"Busse","given":"A.","non-dropping-particle":"","parse-names":false,"suffix":""},{"dropping-particle":"","family":"Eckstein","given":"L.","non-dropping-particle":"","parse-names":false,"suffix":""}],"container-title":"Fuel Cells","id":"ITEM-3","issue":"6","issued":{"date-parts":[["2014","12","1"]]},"page":"781-791","publisher":"John Wiley and Sons Ltd","title":"Forecast of Performance Parameters of Automotive Fuel Cell Systems - Delphi Study Results","type":"article-journal","volume":"14"},"uris":["http://www.mendeley.com/documents/?uuid=9795efa4-8c90-307e-ac52-092756f3445a"]},{"id":"ITEM-4","itemData":{"URL":"https://www.researchgate.net/publication/326294480_The_Greenliner_Green_Flying_Final_Report_DSE_Group_8","accessed":{"date-parts":[["2020","1","2"]]},"author":[{"dropping-particle":"","family":"Delgado Gosálvez","given":"Marco","non-dropping-particle":"","parse-names":false,"suffix":""},{"dropping-particle":"","family":"Ham van","given":"Jacomijn","non-dropping-particle":"","parse-names":false,"suffix":""},{"dropping-particle":"","family":"Joosten","given":"Sjoerd","non-dropping-particle":"","parse-names":false,"suffix":""},{"dropping-particle":"","family":"Juschus","given":"Daniel","non-dropping-particle":"","parse-names":false,"suffix":""},{"dropping-particle":"","family":"Nieuwerth","given":"Gerjan","non-dropping-particle":"","parse-names":false,"suffix":""},{"dropping-particle":"","family":"Pelt van","given":"Tess","non-dropping-particle":"","parse-names":false,"suffix":""},{"dropping-particle":"","family":"Smit","given":"Lars","non-dropping-particle":"","parse-names":false,"suffix":""},{"dropping-particle":"","family":"Takken","given":"Michel","non-dropping-particle":"","parse-names":false,"suffix":""},{"dropping-particle":"","family":"Wang","given":"Yanbo","non-dropping-particle":"","parse-names":false,"suffix":""},{"dropping-particle":"","family":"Ziere","given":"Tijs","non-dropping-particle":"","parse-names":false,"suffix":""}],"container-title":"TU Delft","id":"ITEM-4","issued":{"date-parts":[["2018"]]},"title":"Green Flying: Final Report","type":"webpage"},"uris":["http://www.mendeley.com/documents/?uuid=89bf987e-28d1-376a-9561-712367fe7050"]},{"id":"ITEM-5","itemData":{"DOI":"10.1016/J.JPOWSOUR.2022.230987","ISSN":"0378-7753","abstract":"Proton-Exchange Membrane-Fuel Cells (PEM-FC) are regarded as one of the prime candidates to provide emissions-free electricity for propulsion systems of aircraft. Here, a turbocharged Fuel Cell Power System (FCPS) powered with liquid H2 (LH2) is designed and modelled to provide a primary power source in retrofitted Cessna 208 Caravan aircraft. The proposed FCPS comprises multiple PEM-FCs assembled in stacks, two single-stage turbochargers to mitigate the variation of the ambient pressure with altitude, two preheaters, two humidifiers, and two combustors. Interlinked component sub-models are constructed in MATLAB and referenced to commercially available equipment. The FCPS model is used to simulate steady-state responses in a proposed 1.5 h (</w:instrText>
      </w:r>
      <w:r w:rsidR="00A6146F" w:rsidRPr="00FA6B79">
        <w:rPr>
          <w:rFonts w:ascii="Cambria Math" w:hAnsi="Cambria Math" w:cs="Cambria Math"/>
          <w:sz w:val="24"/>
          <w:szCs w:val="24"/>
        </w:rPr>
        <w:instrText>∼</w:instrText>
      </w:r>
      <w:r w:rsidR="00A6146F" w:rsidRPr="00FA6B79">
        <w:rPr>
          <w:sz w:val="24"/>
          <w:szCs w:val="24"/>
        </w:rPr>
        <w:instrText xml:space="preserve">350 km) mission flight, determining the overall efficiency of the FCPS at 43% and hydrogen consumption of </w:instrText>
      </w:r>
      <w:r w:rsidR="00A6146F" w:rsidRPr="00FA6B79">
        <w:rPr>
          <w:rFonts w:ascii="Cambria Math" w:hAnsi="Cambria Math" w:cs="Cambria Math"/>
          <w:sz w:val="24"/>
          <w:szCs w:val="24"/>
        </w:rPr>
        <w:instrText>∼</w:instrText>
      </w:r>
      <w:r w:rsidR="00A6146F" w:rsidRPr="00FA6B79">
        <w:rPr>
          <w:sz w:val="24"/>
          <w:szCs w:val="24"/>
        </w:rPr>
        <w:instrText>28 kg/h. The multi-stack FCPS is modelled applying parallel fluidic and electrical architectures, analysing two power-sharing methods: equally distributed and daisy-chaining. The designed LH2-FCPS is then proposed as a power system to a retrofitted Cessna 208 Caravan, and with this example analysed for the probability of failure occurrence. The results demonstrate that the proposed “dual redundant” FCPS can reach failure rates comparable to commercial jet engines with a rate below 1.6 failures per million hours.","author":[{"dropping-particle":"","family":"Abu Kasim","given":"A. F.B.","non-dropping-particle":"","parse-names":false,"suffix":""},{"dropping-particle":"","family":"Chan","given":"M. S.C.","non-dropping-particle":"","parse-names":false,"suffix":""},{"dropping-particle":"","family":"Marek","given":"E. J.","non-dropping-particle":"","parse-names":false,"suffix":""}],"container-title":"Journal of Power Sources","id":"ITEM-5","issued":{"date-parts":[["2022","2","15"]]},"page":"230987","publisher":"Elsevier","title":"Performance and failure analysis of a retrofitted Cessna aircraft with a Fuel Cell Power System fuelled with liquid hydrogen","type":"article-journal","volume":"521"},"uris":["http://www.mendeley.com/documents/?uuid=c2eaaa6f-003e-314b-a9f0-b3459e59593a"]},{"id":"ITEM-6","itemData":{"DOI":"10.1016/J.IJHYDENE.2021.07.127","ISSN":"0360-3199","abstract":"In this paper, an aircraft design from scratch and optimization is carried out to investigate the potentials of using liquid hydrogen and fuel cells in general aviation. The focus is set on finding an efficient aircraft configuration that considers all drive train-related components such as the hydrogen tank, fuel cells, and electric motors as well as passenger seats and cargo hold. The paper starts with the definition of the design requirements and specifications. Following, the baseline design of the aircraft in the SUAVE tool is presented. This includes making extensions to the SUAVE tool regarding the compatibility of fuel cells and hydrogen energy networks. Eventually, a multidisciplinary design optimization process of selected design variables together with the design constraints is carried out in SUAVE. Finally, the design is evaluated in terms of performance and emissions by drawing a comparison with conventional general aviation aircraft.","author":[{"dropping-particle":"","family":"Nicolay","given":"Sebastian","non-dropping-particle":"","parse-names":false,"suffix":""},{"dropping-particle":"","family":"Karpuk","given":"Stanislav","non-dropping-particle":"","parse-names":false,"suffix":""},{"dropping-particle":"","family":"Liu","given":"Yaolong","non-dropping-particle":"","parse-names":false,"suffix":""},{"dropping-particle":"","family":"Elham","given":"Ali","non-dropping-particle":"","parse-names":false,"suffix":""}],"container-title":"International Journal of Hydrogen Energy","id":"ITEM-6","issue":"64","issued":{"date-parts":[["2021","9","16"]]},"page":"32676-32694","publisher":"Pergamon","title":"Conceptual design and optimization of a general aviation aircraft with fuel cells and hydrogen","type":"article-journal","volume":"46"},"uris":["http://www.mendeley.com/documents/?uuid=fc0300f1-55e4-391a-8d93-5b8a65644436"]},{"id":"ITEM-7","itemData":{"author":[{"dropping-particle":"","family":"Vonhoff","given":"George","non-dropping-particle":"","parse-names":false,"suffix":""}],"id":"ITEM-7","issued":{"date-parts":[["2021"]]},"publisher":"Delft University of Technology","title":"Conceptual Design of Hydrogen Fuel Cell Aircraft: Flying on hydrogen for a more sustainable future","type":"thesis"},"uris":["http://www.mendeley.com/documents/?uuid=18606432-be5b-39b3-8eae-218dcacd5744"]},{"id":"ITEM-8","itemData":{"DOI":"10.2514/6.2021-1132","ISBN":"9781624106095","abstract":"Hydrogen has been identified as a potential fuel for air transportation without carbon emissions. Hydrogen contains much higher energy per unit mass than any conceivable rechargeable battery, potentially making longer-range missions possible than pure electric configurations. However, hydrogen’s low volumetric energy density presents practical challenges. Hydrogen must either be kept under deep cryogenic conditions or compressed under very high pressure. Either solution is likely to require adding significant drag and tank weight to the airplane. This is a packing optimization problem subject to aerostructural physics, and we can employ multidisciplinary design optimization techniques to provide insight into optimal wing design for novel hydrogen aircraft concepts. In this paper, we extend prior work on wing packing optimization subject to aerodynamics only, and now incorporate structural analysis and structure geometry into the problem. We optimize the range of a hydrogen-electric aircraft with hydrogen fuel storage located inside the wing outer mold line. The geometry of the hydrogen storage tanks influences the shape of the wing as well as the weight and volumetric capacity of the tank. While the effect of hydrogen storage on other aircraft concepts cannot be generalized from this study, the optimization methods we use are promising for performing relevant aircraft design trade studies. The optimizer finds the correct tradeoff between weight, drag, and fuel storage for the mission, subject to spatial integration feasibility. In our test scenario, we find that the optimal aerostructural design involves substantial wing root thickening.","author":[{"dropping-particle":"","family":"Brelje","given":"Benjamin J.","non-dropping-particle":"","parse-names":false,"suffix":""},{"dropping-particle":"","family":"Martins","given":"Joaquim R.R.A.","non-dropping-particle":"","parse-names":false,"suffix":""}],"container-title":"AIAA Scitech 2021 Forum","id":"ITEM-8","issued":{"date-parts":[["2021"]]},"page":"1-18","publisher":"American Institute of Aeronautics and Astronautics Inc, AIAA","title":"Aerostructural wing optimization for a hydrogen fuel cell aircraft","type":"article-journal"},"uris":["http://www.mendeley.com/documents/?uuid=754a1d70-2cae-3104-b7b1-fe081de9390e"]},{"id":"ITEM-9","itemData":{"DOI":"10.2514/6.2022-3205","author":[{"dropping-particle":"","family":"Nicolosi","given":"Fabrizio","non-dropping-particle":"","parse-names":false,"suffix":""},{"dropping-particle":"","family":"Marciello","given":"Valerio","non-dropping-particle":"","parse-names":false,"suffix":""},{"dropping-particle":"","family":"Orefice","given":"Francesco","non-dropping-particle":"","parse-names":false,"suffix":""}],"id":"ITEM-9","issued":{"date-parts":[["2022","6","27"]]},"publisher":"American Institute of Aeronautics and Astronautics (AIAA)","title":"Conceptual Design of a Hydrogen-Propelled Aircraft with Distributed Electric Propulsion","type":"article-journal"},"uris":["http://www.mendeley.com/documents/?uuid=b48e1d6a-d71b-3936-ac98-2efec3ba8aab"]},{"id":"ITEM-10","itemData":{"DOI":"10.2514/6.2022-3290","author":[{"dropping-particle":"","family":"Pastra","given":"Chrysoula L.","non-dropping-particle":"","parse-names":false,"suffix":""},{"dropping-particle":"","family":"Cinar","given":"Gokcin","non-dropping-particle":"","parse-names":false,"suffix":""},{"dropping-particle":"","family":"Mavris","given":"Dimitri N.","non-dropping-particle":"","parse-names":false,"suffix":""}],"id":"ITEM-10","issued":{"date-parts":[["2022","6","27"]]},"publisher":"American Institute of Aeronautics and Astronautics (AIAA)","title":"Feasibility and benefit assessments of hybrid hydrogen fuel cell and battery configurations on a regional turboprop aircraft","type":"article-journal"},"uris":["http://www.mendeley.com/documents/?uuid=e0abb26b-1f21-310a-a7c5-2de84f71508d"]},{"id":"ITEM-11","itemData":{"abstract":"Front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-11","issued":{"date-parts":[["2022"]]},"title":"SUSTAINABILITY REPORT - The Lifecycle Impact of Hydrogen-Powered Aircraft","type":"report"},"uris":["http://www.mendeley.com/documents/?uuid=23fcdda0-b06a-3cb9-9281-dc34456733bb"]},{"id":"ITEM-12","itemData":{"DOI":"10.2514/6.2021-2409","ISBN":"9781624106101","abstract":"This study considers the aircraft configuration impact of a liquid hydrogen/fuel cell electric propulsion system when integrated into a single-aisle, transport-class aircraft having consistent performance capability of a Boeing 737-800. This study demonstrates that, given reasonable developments in future component and subsystem technologies for a 2050 entry into service date, the design of an aircraft with a liquid hydrogen/fuel cell-based propulsion system can be feasibly achieved while still meeting mission-level performance characteristics consistent with modern commercial aircraft. While the use of hydrogen storage and fuel cell power systems does lead to an increase in maximum takeoff weight of the aircraft, relative to modern kerosene and turbofan-powered systems, the hydrogen fuel cell configuration benefits from leveraging distributed electric propulsion advantages, higher electrochemical efficiency than comparable thermal engines, and decreased thrust lapse rate with altitude when an independent inlet compression system is used. However, several challenges remain related to fuel cell system thermal management, requiring careful tradeoffs in fuel cell system composition, heat exchanger weight, and drag. Nevertheless, these results reveal the promising ability of a liquid hydrogen/fuel cell-based commercial aircraft to serve as a feasible replacement of narrow-body transport aircraft to help meet climate goals set for the aviation industry.","author":[{"dropping-particle":"","family":"Waddington","given":"Elias G.","non-dropping-particle":"","parse-names":false,"suffix":""},{"dropping-particle":"","family":"Merret","given":"Jason M.","non-dropping-particle":"","parse-names":false,"suffix":""},{"dropping-particle":"","family":"Ansell","given":"Phillip J.","non-dropping-particle":"","parse-names":false,"suffix":""}],"container-title":"AIAA Aviation and Aeronautics Forum and Exposition, AIAA AVIATION Forum 2021","id":"ITEM-12","issued":{"date-parts":[["2021"]]},"publisher":"American Institute of Aeronautics and Astronautics Inc, AIAA","title":"Impact of LH2 Fuel Cell-Electric Propulsion on Aircraft Configuration and Integration","type":"article-journal"},"uris":["http://www.mendeley.com/documents/?uuid=bd373ed0-87e3-3eef-81c2-108f5bace74d"]}],"mendeley":{"formattedCitation":"(Abu Kasim et al., 2022; Ashcraft et al., 2011; Brelje and Martins, 2021; Delgado Gosálvez et al., 2018; DLR, 2020; Job et al., 2022; Nicolay et al., 2021; Nicolosi et al., 2022; Pastra et al., 2022; Thoennes et al., 2014; Vonhoff, 2021; Waddington et al., 2021)","plainTextFormattedCitation":"(Abu Kasim et al., 2022; Ashcraft et al., 2011; Brelje and Martins, 2021; Delgado Gosálvez et al., 2018; DLR, 2020; Job et al., 2022; Nicolay et al., 2021; Nicolosi et al., 2022; Pastra et al., 2022; Thoennes et al., 2014; Vonhoff, 2021; Waddington et al., 2021)","previouslyFormattedCitation":"(Abu Kasim et al., 2022; Ashcraft et al., 2011; Brelje and Martins, 2021; Delgado Gosálvez et al., 2018; DLR, 2020; Job et al., 2022; Nicolay et al., 2021; Nicolosi et al., 2022; Pastra et al., 2022; Thoennes et al., 2014; Vonhoff, 2021; Waddington et al., 2021)"},"properties":{"noteIndex":0},"schema":"https://github.com/citation-style-language/schema/raw/master/csl-citation.json"}</w:instrText>
      </w:r>
      <w:r w:rsidR="00F76805" w:rsidRPr="00DB2332">
        <w:rPr>
          <w:sz w:val="24"/>
          <w:szCs w:val="24"/>
        </w:rPr>
        <w:fldChar w:fldCharType="separate"/>
      </w:r>
      <w:r w:rsidR="00AE0C64" w:rsidRPr="00FA6B79">
        <w:rPr>
          <w:noProof/>
          <w:sz w:val="24"/>
          <w:szCs w:val="24"/>
        </w:rPr>
        <w:t>(Abu Kasim et al., 2022; Ashcraft et al., 2011; Brelje and Martins, 2021; Delgado Gosálvez et al., 2018; DLR, 2020; Job et al., 2022; Nicolay et al., 2021; Nicolosi et al., 2022; Pastra et al., 2022; Thoennes et al., 2014; Vonhoff, 2021; Waddington et al., 2021)</w:t>
      </w:r>
      <w:r w:rsidR="00F76805" w:rsidRPr="00DB2332">
        <w:rPr>
          <w:sz w:val="24"/>
          <w:szCs w:val="24"/>
        </w:rPr>
        <w:fldChar w:fldCharType="end"/>
      </w:r>
      <w:r w:rsidR="005466CA" w:rsidRPr="00FA6B79">
        <w:rPr>
          <w:sz w:val="24"/>
          <w:szCs w:val="24"/>
        </w:rPr>
        <w:t xml:space="preserve"> </w:t>
      </w:r>
      <w:r w:rsidR="000E5F8E" w:rsidRPr="00FA6B79">
        <w:rPr>
          <w:sz w:val="24"/>
          <w:szCs w:val="24"/>
        </w:rPr>
        <w:t xml:space="preserve">suggest that these technologies </w:t>
      </w:r>
      <w:r w:rsidR="61219E01" w:rsidRPr="00FA6B79">
        <w:rPr>
          <w:sz w:val="24"/>
          <w:szCs w:val="24"/>
        </w:rPr>
        <w:t>are</w:t>
      </w:r>
      <w:r w:rsidR="000E5F8E" w:rsidRPr="00FA6B79">
        <w:rPr>
          <w:sz w:val="24"/>
          <w:szCs w:val="24"/>
        </w:rPr>
        <w:t xml:space="preserve"> infeasible </w:t>
      </w:r>
      <w:r w:rsidR="7D3EBE07" w:rsidRPr="00FA6B79">
        <w:rPr>
          <w:sz w:val="24"/>
          <w:szCs w:val="24"/>
        </w:rPr>
        <w:t xml:space="preserve">for typical long-range Mach 0.85 flight of an LTA aircraft, </w:t>
      </w:r>
      <w:r w:rsidR="000E5F8E" w:rsidRPr="00FA6B79">
        <w:rPr>
          <w:sz w:val="24"/>
          <w:szCs w:val="24"/>
        </w:rPr>
        <w:t>considering future technology development</w:t>
      </w:r>
      <w:r w:rsidR="127F380C" w:rsidRPr="00FA6B79">
        <w:rPr>
          <w:sz w:val="24"/>
          <w:szCs w:val="24"/>
        </w:rPr>
        <w:t>s</w:t>
      </w:r>
      <w:r w:rsidR="000E5F8E" w:rsidRPr="00FA6B79">
        <w:rPr>
          <w:sz w:val="24"/>
          <w:szCs w:val="24"/>
        </w:rPr>
        <w:t xml:space="preserve"> trend. </w:t>
      </w:r>
      <w:r w:rsidR="00B7520A" w:rsidRPr="00FA6B79">
        <w:rPr>
          <w:sz w:val="24"/>
          <w:szCs w:val="24"/>
        </w:rPr>
        <w:t xml:space="preserve"> </w:t>
      </w:r>
    </w:p>
    <w:p w14:paraId="3AD35B9C" w14:textId="658E6674" w:rsidR="0024142B" w:rsidRPr="00DB2332" w:rsidRDefault="0045513D" w:rsidP="000C5E43">
      <w:pPr>
        <w:tabs>
          <w:tab w:val="left" w:pos="567"/>
        </w:tabs>
        <w:spacing w:after="0" w:line="480" w:lineRule="auto"/>
        <w:ind w:right="-46"/>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r>
      <w:r w:rsidR="00EE3F58" w:rsidRPr="000B7DCE">
        <w:rPr>
          <w:rFonts w:ascii="Times New Roman" w:hAnsi="Times New Roman" w:cs="Times New Roman"/>
          <w:sz w:val="24"/>
          <w:szCs w:val="24"/>
          <w:lang w:eastAsia="en-GB"/>
        </w:rPr>
        <w:t>There is a growing interest in LH</w:t>
      </w:r>
      <w:r w:rsidR="00EE3F58" w:rsidRPr="000B7DCE">
        <w:rPr>
          <w:rFonts w:ascii="Times New Roman" w:hAnsi="Times New Roman" w:cs="Times New Roman"/>
          <w:sz w:val="24"/>
          <w:szCs w:val="24"/>
          <w:vertAlign w:val="subscript"/>
          <w:lang w:eastAsia="en-GB"/>
        </w:rPr>
        <w:t>2</w:t>
      </w:r>
      <w:r w:rsidR="00EE3F58" w:rsidRPr="000B7DCE">
        <w:rPr>
          <w:rFonts w:ascii="Times New Roman" w:hAnsi="Times New Roman" w:cs="Times New Roman"/>
          <w:sz w:val="24"/>
          <w:szCs w:val="24"/>
          <w:lang w:eastAsia="en-GB"/>
        </w:rPr>
        <w:t xml:space="preserve"> as an aviation fuel because of its high gravimetric energy density and its potential to emit zero carbon emissions in the use-phase. The</w:t>
      </w:r>
      <w:r w:rsidR="00257AA8" w:rsidRPr="00DB2332">
        <w:rPr>
          <w:rFonts w:ascii="Times New Roman" w:hAnsi="Times New Roman" w:cs="Times New Roman"/>
          <w:sz w:val="24"/>
          <w:szCs w:val="24"/>
          <w:lang w:eastAsia="en-GB"/>
        </w:rPr>
        <w:t xml:space="preserve"> aviation industry has begun investments and R&amp;D on fuel infrastructure, cryogenic tank testing, conceptualizing aircraft design and plans of fuel testing in aircraft </w:t>
      </w:r>
      <w:r w:rsidR="00257AA8" w:rsidRPr="00DB2332">
        <w:rPr>
          <w:rFonts w:ascii="Times New Roman" w:hAnsi="Times New Roman" w:cs="Times New Roman"/>
          <w:sz w:val="24"/>
          <w:szCs w:val="24"/>
          <w:lang w:eastAsia="en-GB"/>
        </w:rPr>
        <w:fldChar w:fldCharType="begin" w:fldLock="1"/>
      </w:r>
      <w:r w:rsidR="004A7882" w:rsidRPr="00DB2332">
        <w:rPr>
          <w:rFonts w:ascii="Times New Roman" w:hAnsi="Times New Roman" w:cs="Times New Roman"/>
          <w:sz w:val="24"/>
          <w:szCs w:val="24"/>
          <w:lang w:eastAsia="en-GB"/>
        </w:rPr>
        <w:instrText>ADDIN CSL_CITATION {"citationItems":[{"id":"ITEM-1","itemData":{"URL":"https://www.airbus.com/en/newsroom/press-releases/2020-09-airbus-reveals-new-zero-emission-concept-aircraft","accessed":{"date-parts":[["2021","11","15"]]},"author":[{"dropping-particle":"","family":"Airbus","given":"","non-dropping-particle":"","parse-names":false,"suffix":""}],"container-title":"Airbus","id":"ITEM-1","issued":{"date-parts":[["2020"]]},"title":"Airbus reveals new zero-emission concept aircraft","type":"webpage"},"uris":["http://www.mendeley.com/documents/?uuid=e7a9cef1-ec47-352f-8b56-77507de0ad82"]},{"id":"ITEM-2","itemData":{"URL":"https://www.airbus.com/en/newsroom/press-releases/2021-06-airbus-establishes-zero-emission-development-centres-in-germany-and","accessed":{"date-parts":[["2021","11","15"]]},"author":[{"dropping-particle":"","family":"Airbus","given":"","non-dropping-particle":"","parse-names":false,"suffix":""}],"container-title":"Airbus","id":"ITEM-2","issued":{"date-parts":[["2021"]]},"title":"Airbus establishes Zero-Emission Development Centres in Germany and France","type":"webpage"},"uris":["http://www.mendeley.com/documents/?uuid=6abbb916-afe4-395c-b03a-f6152e2d2741"]},{"id":"ITEM-3","itemData":{"URL":"https://www.dlr.de/content/en/articles/news/2021/03/20210708_maintenance-and-ground-processes-for-future-aircraft-generations.html","accessed":{"date-parts":[["2022","9","1"]]},"author":[{"dropping-particle":"","family":"DLR","given":"","non-dropping-particle":"","parse-names":false,"suffix":""}],"container-title":"DLR","id":"ITEM-3","issued":{"date-parts":[["2021"]]},"title":"Testing maintenance and ground processes for future aircraft generations - DLR Portal","type":"webpage"},"uris":["http://www.mendeley.com/documents/?uuid=c7dc1809-7d8f-34ab-8ec0-aee7a13f0057"]},{"id":"ITEM-4","itemData":{"URL":"https://www.airbus.com/en/newsroom/news/2021-12-how-to-store-liquid-hydrogen-for-zero-emission-flight","accessed":{"date-parts":[["2022","9","1"]]},"author":[{"dropping-particle":"","family":"Airbus","given":"","non-dropping-particle":"","parse-names":false,"suffix":""}],"container-title":"Airbus","id":"ITEM-4","issued":{"date-parts":[["2021"]]},"title":"How to store liquid hydrogen for zero-emission flight","type":"webpage"},"uris":["http://www.mendeley.com/documents/?uuid=f1e07a32-d1dd-3c6e-a152-c9e4ab1d7040"]}],"mendeley":{"formattedCitation":"(Airbus, 2020, 2021a, 2021b; DLR, 2021)","plainTextFormattedCitation":"(Airbus, 2020, 2021a, 2021b; DLR, 2021)","previouslyFormattedCitation":"(Airbus, 2021a, 2021b, 2020; DLR, 2021)"},"properties":{"noteIndex":0},"schema":"https://github.com/citation-style-language/schema/raw/master/csl-citation.json"}</w:instrText>
      </w:r>
      <w:r w:rsidR="00257AA8" w:rsidRPr="00DB2332">
        <w:rPr>
          <w:rFonts w:ascii="Times New Roman" w:hAnsi="Times New Roman" w:cs="Times New Roman"/>
          <w:sz w:val="24"/>
          <w:szCs w:val="24"/>
          <w:lang w:eastAsia="en-GB"/>
        </w:rPr>
        <w:fldChar w:fldCharType="separate"/>
      </w:r>
      <w:r w:rsidR="004A7882" w:rsidRPr="00DB2332">
        <w:rPr>
          <w:rFonts w:ascii="Times New Roman" w:hAnsi="Times New Roman" w:cs="Times New Roman"/>
          <w:noProof/>
          <w:sz w:val="24"/>
          <w:szCs w:val="24"/>
          <w:lang w:eastAsia="en-GB"/>
        </w:rPr>
        <w:t>(Airbus, 2020, 2021a, 2021b; DLR, 2021)</w:t>
      </w:r>
      <w:r w:rsidR="00257AA8" w:rsidRPr="00DB2332">
        <w:rPr>
          <w:rFonts w:ascii="Times New Roman" w:hAnsi="Times New Roman" w:cs="Times New Roman"/>
          <w:sz w:val="24"/>
          <w:szCs w:val="24"/>
          <w:lang w:eastAsia="en-GB"/>
        </w:rPr>
        <w:fldChar w:fldCharType="end"/>
      </w:r>
      <w:r w:rsidR="00181EEF" w:rsidRPr="00FA6B79">
        <w:rPr>
          <w:rFonts w:ascii="Times New Roman" w:hAnsi="Times New Roman" w:cs="Times New Roman"/>
          <w:sz w:val="24"/>
          <w:szCs w:val="24"/>
          <w:lang w:eastAsia="en-GB"/>
        </w:rPr>
        <w:t>.</w:t>
      </w:r>
      <w:r w:rsidR="001977D9" w:rsidRPr="00DB2332">
        <w:rPr>
          <w:rFonts w:ascii="Times New Roman" w:hAnsi="Times New Roman" w:cs="Times New Roman"/>
          <w:sz w:val="24"/>
          <w:szCs w:val="24"/>
          <w:lang w:eastAsia="en-GB"/>
        </w:rPr>
        <w:t xml:space="preserve"> </w:t>
      </w:r>
      <w:r w:rsidR="00EE3F58" w:rsidRPr="000B7DCE">
        <w:rPr>
          <w:rFonts w:ascii="Times New Roman" w:hAnsi="Times New Roman" w:cs="Times New Roman"/>
          <w:sz w:val="24"/>
          <w:szCs w:val="24"/>
          <w:lang w:eastAsia="en-GB"/>
        </w:rPr>
        <w:t>Studies on combustion-based LH</w:t>
      </w:r>
      <w:r w:rsidR="00EE3F58" w:rsidRPr="000B7DCE">
        <w:rPr>
          <w:rFonts w:ascii="Times New Roman" w:hAnsi="Times New Roman" w:cs="Times New Roman"/>
          <w:sz w:val="24"/>
          <w:szCs w:val="24"/>
          <w:vertAlign w:val="subscript"/>
          <w:lang w:eastAsia="en-GB"/>
        </w:rPr>
        <w:t>2</w:t>
      </w:r>
      <w:r w:rsidR="00EE3F58" w:rsidRPr="000B7DCE">
        <w:rPr>
          <w:rFonts w:ascii="Times New Roman" w:hAnsi="Times New Roman" w:cs="Times New Roman"/>
          <w:sz w:val="24"/>
          <w:szCs w:val="24"/>
          <w:lang w:eastAsia="en-GB"/>
        </w:rPr>
        <w:t xml:space="preserve"> aircraft </w:t>
      </w:r>
      <w:r w:rsidR="00EE3F58" w:rsidRPr="000B7DCE">
        <w:rPr>
          <w:rFonts w:ascii="Times New Roman" w:hAnsi="Times New Roman" w:cs="Times New Roman"/>
          <w:sz w:val="24"/>
          <w:szCs w:val="24"/>
        </w:rPr>
        <w:fldChar w:fldCharType="begin" w:fldLock="1"/>
      </w:r>
      <w:r w:rsidR="00EE3F58" w:rsidRPr="000B7DCE">
        <w:rPr>
          <w:rFonts w:ascii="Times New Roman" w:hAnsi="Times New Roman" w:cs="Times New Roman"/>
          <w:sz w:val="24"/>
          <w:szCs w:val="24"/>
        </w:rPr>
        <w:instrText>ADDIN CSL_CITATION {"citationItems":[{"id":"ITEM-1","itemData":{"DOI":"10.1007/S13272-022-00601-6/TABLES/11","ISSN":"18695590","abstract":"Zero-carbon-dioxide-emitting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Journal","id":"ITEM-1","issued":{"date-parts":[["2022","9","17"]]},"page":"1-33","publisher":"Springer","title":"Assessment of hydrogen transport aircraft: Effects of fuel tank integration","type":"article-journal","volume":"1"},"uris":["http://www.mendeley.com/documents/?uuid=34cb7987-9f35-35a2-ab6d-541bedeb0e3f"]},{"id":"ITEM-2","itemData":{"DOI":"10.1016/J.IJHYDENE.2020.06.238","ISSN":"0360-3199","abstract":"The use of hydrogen as a fuel in civil aviation depends largely on the mass of the tank system. A key parameter for the evaluation of mass development is the gravimetric storage density. With the goal of gaining a maximum equal operating empty weight (OEW), the resulting total mass of hydrogen (fuel) and structural mass must be at most equal to the current total tank mass. The minimum gravimetric storage density required for this is determined in this paper. The passenger aircraft ATR 72–212A, which was developed for short-range operation, serves as a reference. For the first calculation, the assumption is made that the efficiencies of the propulsion systems do not change after the storage, and the other necessary systems have an equivalent mass. For a flight range of 715NM, which corresponds to the design range, a gravimetric storage density of 19 wt% is already sufficient to cover the flight distance and to load the maximum payload. In order to avoid increased OEW, a storage density in the range of 33–35 wt% is necessary.","author":[{"dropping-particle":"","family":"Prewitz","given":"Marc","non-dropping-particle":"","parse-names":false,"suffix":""},{"dropping-particle":"","family":"Bardenhagen","given":"Andreas","non-dropping-particle":"","parse-names":false,"suffix":""},{"dropping-particle":"","family":"Beck","given":"Ramon","non-dropping-particle":"","parse-names":false,"suffix":""}],"container-title":"International Journal of Hydrogen Energy","id":"ITEM-2","issue":"46","issued":{"date-parts":[["2020","9","21"]]},"page":"25378-25385","publisher":"Pergamon","title":"Hydrogen as the fuel of the future in aircrafts – Challenges and opportunities","type":"article-journal","volume":"45"},"uris":["http://www.mendeley.com/documents/?uuid=7e797451-09e5-3551-b3e0-a3016ac44587"]},{"id":"ITEM-3","itemData":{"DOI":"10.2514/6.2022-3313","author":[{"dropping-particle":"","family":"Yang","given":"Boning","non-dropping-particle":"","parse-names":false,"suffix":""},{"dropping-particle":"","family":"Mane","given":"Muharrem","non-dropping-particle":"","parse-names":false,"suffix":""},{"dropping-particle":"","family":"Crossley","given":"William A.","non-dropping-particle":"","parse-names":false,"suffix":""}],"id":"ITEM-3","issued":{"date-parts":[["2022","6","27"]]},"publisher":"American Institute of Aeronautics and Astronautics (AIAA)","title":"An Approach to Evaluate Fleet Level CO2 Impact of Introducing Liquid-Hydrogen Aircraft to a World-Wide Network","type":"article-journal"},"uris":["http://www.mendeley.com/documents/?uuid=a23e1383-c722-3804-85c8-10c7a2cabc15"]},{"id":"ITEM-4","itemData":{"author":[{"dropping-particle":"","family":"Svensson","given":"Fredrik","non-dropping-particle":"","parse-names":false,"suffix":""}],"id":"ITEM-4","issued":{"date-parts":[["2005"]]},"publisher":"Cranfield University","title":"Potential of reducng the environmental impact of civil subsonic aviation by using liquid hydrogen","type":"thesis"},"uris":["http://www.mendeley.com/documents/?uuid=f00a88f5-e031-392e-9969-f2b2e62a083d"]},{"id":"ITEM-5","itemData":{"abstract":"The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Research","id":"ITEM-5","issued":{"date-parts":[["2019"]]},"title":"ASSESSMENT OF HYDROGEN FUEL TANK INTEGRATION AT AIRCRAFT LEVEL","type":"article-journal"},"uris":["http://www.mendeley.com/documents/?uuid=e105b9c8-532b-3b02-b489-d6d4418cb7a2"]},{"id":"ITEM-6","itemData":{"DOI":"10.1016/J.IJHYDENE.2021.10.239","ISSN":"0360-3199","abstract":"Aircraft powered by green hydrogen (H2) are a lever for the aviation sector to reduce the climate impact. Previous research already focused on evaluations of H2 aircraft technology, but analyses on infrastructure related cost factors are rarely undertaken. Therefore, this paper aims to provide a holistic overview of previous efforts and introduces an approach to assess the importance of a H2 infrastructure for aviation. A short- and a medium-range aircraft are modelled and modified for H2 propulsion. Based on these, a detailed cost analysis is used to compare both aircraft and infrastructure related direct operating costs (DOC). Overall, it is shown that the economy of H2 aviation highly depends on the availability of low-cost, green liquid hydrogen (LH2) supply infrastructure. While total DOC might even slightly decrease in a best LH2 cost case, total DOC could also increase between 10 and 70% (short-range) and 15–102% (medium-range) due to LH2 costs alone.","author":[{"dropping-particle":"","family":"Hoelzen","given":"J.","non-dropping-particle":"","parse-names":false,"suffix":""},{"dropping-particle":"","family":"Silberhorn","given":"D.","non-dropping-particle":"","parse-names":false,"suffix":""},{"dropping-particle":"","family":"Zill","given":"T.","non-dropping-particle":"","parse-names":false,"suffix":""},{"dropping-particle":"","family":"Bensmann","given":"B.","non-dropping-particle":"","parse-names":false,"suffix":""},{"dropping-particle":"","family":"Hanke-Rauschenbach","given":"R.","non-dropping-particle":"","parse-names":false,"suffix":""}],"container-title":"International Journal of Hydrogen Energy","id":"ITEM-6","issue":"5","issued":{"date-parts":[["2022","1","15"]]},"page":"3108-3130","publisher":"Pergamon","title":"Hydrogen-powered aviation and its reliance on green hydrogen infrastructure – Review and research gaps","type":"article-journal","volume":"47"},"uris":["http://www.mendeley.com/documents/?uuid=fc0b4c62-10a4-3e32-be17-ca538d622604"]},{"id":"ITEM-7","itemData":{"URL":"http://hdl.handle.net/10921/1587","abstract":"EXECUTIVE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NLR","id":"ITEM-7","issued":{"date-parts":[["2022"]]},"publisher":"Netherlands Aerospace Centre NLR","title":"Hydrogen-powered propulsion aircraft: conceptual sizing and fleet level impact analysis","type":"webpage"},"uris":["http://www.mendeley.com/documents/?uuid=19a3087a-40f4-374a-98d6-f225bdda5d64"]}],"mendeley":{"formattedCitation":"(Hoelzen et al., 2022; Lammen et al., 2022; Onorato et al., 2022; Prewitz et al., 2020; Silberhorn et al., 2019; Svensson, 2005a; Yang et al., 2022)","plainTextFormattedCitation":"(Hoelzen et al., 2022; Lammen et al., 2022; Onorato et al., 2022; Prewitz et al., 2020; Silberhorn et al., 2019; Svensson, 2005a; Yang et al., 2022)","previouslyFormattedCitation":"(Hoelzen et al., 2022; Lammen et al., 2022; Onorato et al., 2022; Prewitz et al., 2020; Silberhorn et al., 2019; Svensson, 2005a; Yang et al., 2022)"},"properties":{"noteIndex":0},"schema":"https://github.com/citation-style-language/schema/raw/master/csl-citation.json"}</w:instrText>
      </w:r>
      <w:r w:rsidR="00EE3F58" w:rsidRPr="000B7DCE">
        <w:rPr>
          <w:rFonts w:ascii="Times New Roman" w:hAnsi="Times New Roman" w:cs="Times New Roman"/>
          <w:sz w:val="24"/>
          <w:szCs w:val="24"/>
        </w:rPr>
        <w:fldChar w:fldCharType="separate"/>
      </w:r>
      <w:r w:rsidR="00EE3F58" w:rsidRPr="000B7DCE">
        <w:rPr>
          <w:rFonts w:ascii="Times New Roman" w:hAnsi="Times New Roman" w:cs="Times New Roman"/>
          <w:noProof/>
          <w:sz w:val="24"/>
          <w:szCs w:val="24"/>
        </w:rPr>
        <w:t xml:space="preserve">(Hoelzen et al., 2022; Lammen et al., 2022; Onorato et al., 2022; Prewitz et al., 2020; Silberhorn et al., 2019; Svensson, 2005a; Yang </w:t>
      </w:r>
      <w:r w:rsidR="00EE3F58" w:rsidRPr="000B7DCE">
        <w:rPr>
          <w:rFonts w:ascii="Times New Roman" w:hAnsi="Times New Roman" w:cs="Times New Roman"/>
          <w:noProof/>
          <w:sz w:val="24"/>
          <w:szCs w:val="24"/>
        </w:rPr>
        <w:lastRenderedPageBreak/>
        <w:t>et al., 2022)</w:t>
      </w:r>
      <w:r w:rsidR="00EE3F58" w:rsidRPr="000B7DCE">
        <w:rPr>
          <w:rFonts w:ascii="Times New Roman" w:hAnsi="Times New Roman" w:cs="Times New Roman"/>
          <w:sz w:val="24"/>
          <w:szCs w:val="24"/>
        </w:rPr>
        <w:fldChar w:fldCharType="end"/>
      </w:r>
      <w:r w:rsidR="00EE3F58" w:rsidRPr="000B7DCE">
        <w:rPr>
          <w:rFonts w:ascii="Times New Roman" w:hAnsi="Times New Roman" w:cs="Times New Roman"/>
          <w:sz w:val="24"/>
          <w:szCs w:val="24"/>
        </w:rPr>
        <w:t xml:space="preserve"> model the energy performance of a regional/small- to mid-size aircraft for a short- to medium-range application</w:t>
      </w:r>
      <w:r w:rsidR="00EE3F58" w:rsidRPr="00FA6B79">
        <w:rPr>
          <w:rFonts w:ascii="Times New Roman" w:hAnsi="Times New Roman" w:cs="Times New Roman"/>
          <w:sz w:val="24"/>
          <w:szCs w:val="24"/>
        </w:rPr>
        <w:t>.</w:t>
      </w:r>
      <w:r w:rsidR="00B41FC0" w:rsidRPr="00DB2332">
        <w:rPr>
          <w:rFonts w:ascii="Times New Roman" w:hAnsi="Times New Roman" w:cs="Times New Roman"/>
          <w:sz w:val="24"/>
          <w:szCs w:val="24"/>
        </w:rPr>
        <w:t xml:space="preserve"> </w:t>
      </w:r>
      <w:r w:rsidR="00A57391" w:rsidRPr="00DB2332">
        <w:rPr>
          <w:rFonts w:ascii="Times New Roman" w:hAnsi="Times New Roman" w:cs="Times New Roman"/>
          <w:sz w:val="24"/>
          <w:szCs w:val="24"/>
        </w:rPr>
        <w:t xml:space="preserve">Other </w:t>
      </w:r>
      <w:r w:rsidR="0051570A" w:rsidRPr="00DB2332">
        <w:rPr>
          <w:rFonts w:ascii="Times New Roman" w:hAnsi="Times New Roman" w:cs="Times New Roman"/>
          <w:sz w:val="24"/>
          <w:szCs w:val="24"/>
        </w:rPr>
        <w:t>literature</w:t>
      </w:r>
      <w:r w:rsidR="00A57391" w:rsidRPr="00DB2332">
        <w:rPr>
          <w:rFonts w:ascii="Times New Roman" w:hAnsi="Times New Roman" w:cs="Times New Roman"/>
          <w:sz w:val="24"/>
          <w:szCs w:val="24"/>
        </w:rPr>
        <w:t xml:space="preserve"> </w:t>
      </w:r>
      <w:r w:rsidR="7EE17E32" w:rsidRPr="00DB2332">
        <w:rPr>
          <w:rFonts w:ascii="Times New Roman" w:hAnsi="Times New Roman" w:cs="Times New Roman"/>
          <w:sz w:val="24"/>
          <w:szCs w:val="24"/>
          <w:lang w:eastAsia="en-GB"/>
        </w:rPr>
        <w:t>evaluating</w:t>
      </w:r>
      <w:r w:rsidR="004B3D5A" w:rsidRPr="00DB2332">
        <w:rPr>
          <w:rFonts w:ascii="Times New Roman" w:hAnsi="Times New Roman" w:cs="Times New Roman"/>
          <w:sz w:val="24"/>
          <w:szCs w:val="24"/>
          <w:lang w:eastAsia="en-GB"/>
        </w:rPr>
        <w:t xml:space="preserve"> </w:t>
      </w:r>
      <w:r w:rsidR="00E93BAF" w:rsidRPr="00DB2332">
        <w:rPr>
          <w:rFonts w:ascii="Times New Roman" w:hAnsi="Times New Roman" w:cs="Times New Roman"/>
          <w:sz w:val="24"/>
          <w:szCs w:val="24"/>
          <w:lang w:eastAsia="en-GB"/>
        </w:rPr>
        <w:t xml:space="preserve">combustion based </w:t>
      </w:r>
      <w:r w:rsidR="003625F4" w:rsidRPr="00DB2332">
        <w:rPr>
          <w:rFonts w:ascii="Times New Roman" w:hAnsi="Times New Roman" w:cs="Times New Roman"/>
          <w:sz w:val="24"/>
          <w:szCs w:val="24"/>
          <w:lang w:eastAsia="en-GB"/>
        </w:rPr>
        <w:t>LH</w:t>
      </w:r>
      <w:r w:rsidR="003625F4" w:rsidRPr="00DB2332">
        <w:rPr>
          <w:rFonts w:ascii="Times New Roman" w:hAnsi="Times New Roman" w:cs="Times New Roman"/>
          <w:sz w:val="24"/>
          <w:szCs w:val="24"/>
          <w:vertAlign w:val="subscript"/>
          <w:lang w:eastAsia="en-GB"/>
        </w:rPr>
        <w:t>2</w:t>
      </w:r>
      <w:r w:rsidR="003625F4" w:rsidRPr="00DB2332">
        <w:rPr>
          <w:rFonts w:ascii="Times New Roman" w:hAnsi="Times New Roman" w:cs="Times New Roman"/>
          <w:sz w:val="24"/>
          <w:szCs w:val="24"/>
          <w:lang w:eastAsia="en-GB"/>
        </w:rPr>
        <w:t xml:space="preserve"> aircraft</w:t>
      </w:r>
      <w:r w:rsidR="18E20A13" w:rsidRPr="00DB2332">
        <w:rPr>
          <w:rFonts w:ascii="Times New Roman" w:hAnsi="Times New Roman" w:cs="Times New Roman"/>
          <w:sz w:val="24"/>
          <w:szCs w:val="24"/>
          <w:lang w:eastAsia="en-GB"/>
        </w:rPr>
        <w:t xml:space="preserve"> includes studies that have</w:t>
      </w:r>
      <w:r w:rsidR="00940E10" w:rsidRPr="00DB2332">
        <w:rPr>
          <w:rFonts w:ascii="Times New Roman" w:hAnsi="Times New Roman" w:cs="Times New Roman"/>
          <w:sz w:val="24"/>
          <w:szCs w:val="24"/>
          <w:lang w:eastAsia="en-GB"/>
        </w:rPr>
        <w:t>:</w:t>
      </w:r>
      <w:r w:rsidR="003A7DF3" w:rsidRPr="00DB2332">
        <w:rPr>
          <w:rFonts w:ascii="Times New Roman" w:hAnsi="Times New Roman" w:cs="Times New Roman"/>
          <w:sz w:val="24"/>
          <w:szCs w:val="24"/>
          <w:lang w:eastAsia="en-GB"/>
        </w:rPr>
        <w:t xml:space="preserve"> (</w:t>
      </w:r>
      <w:proofErr w:type="spellStart"/>
      <w:r w:rsidR="003A7DF3" w:rsidRPr="00DB2332">
        <w:rPr>
          <w:rFonts w:ascii="Times New Roman" w:hAnsi="Times New Roman" w:cs="Times New Roman"/>
          <w:sz w:val="24"/>
          <w:szCs w:val="24"/>
          <w:lang w:eastAsia="en-GB"/>
        </w:rPr>
        <w:t>i</w:t>
      </w:r>
      <w:proofErr w:type="spellEnd"/>
      <w:r w:rsidR="003A7DF3" w:rsidRPr="00DB2332">
        <w:rPr>
          <w:rFonts w:ascii="Times New Roman" w:hAnsi="Times New Roman" w:cs="Times New Roman"/>
          <w:sz w:val="24"/>
          <w:szCs w:val="24"/>
          <w:lang w:eastAsia="en-GB"/>
        </w:rPr>
        <w:t>)</w:t>
      </w:r>
      <w:r w:rsidR="00641ECE" w:rsidRPr="00DB2332">
        <w:rPr>
          <w:rFonts w:ascii="Times New Roman" w:hAnsi="Times New Roman" w:cs="Times New Roman"/>
          <w:sz w:val="24"/>
          <w:szCs w:val="24"/>
          <w:lang w:eastAsia="en-GB"/>
        </w:rPr>
        <w:t xml:space="preserve"> </w:t>
      </w:r>
      <w:r w:rsidR="7C7E3630" w:rsidRPr="00DB2332">
        <w:rPr>
          <w:rFonts w:ascii="Times New Roman" w:hAnsi="Times New Roman" w:cs="Times New Roman"/>
          <w:sz w:val="24"/>
          <w:szCs w:val="24"/>
          <w:lang w:eastAsia="en-GB"/>
        </w:rPr>
        <w:t xml:space="preserve">evaluated </w:t>
      </w:r>
      <w:r w:rsidR="00FC4923" w:rsidRPr="00DB2332">
        <w:rPr>
          <w:rFonts w:ascii="Times New Roman" w:hAnsi="Times New Roman" w:cs="Times New Roman"/>
          <w:sz w:val="24"/>
          <w:szCs w:val="24"/>
          <w:lang w:eastAsia="en-GB"/>
        </w:rPr>
        <w:t xml:space="preserve">smaller </w:t>
      </w:r>
      <w:r w:rsidR="00940E10" w:rsidRPr="00DB2332">
        <w:rPr>
          <w:rFonts w:ascii="Times New Roman" w:hAnsi="Times New Roman" w:cs="Times New Roman"/>
          <w:sz w:val="24"/>
          <w:szCs w:val="24"/>
          <w:lang w:eastAsia="en-GB"/>
        </w:rPr>
        <w:t>payload and range</w:t>
      </w:r>
      <w:r w:rsidR="003A7DF3" w:rsidRPr="00DB2332">
        <w:rPr>
          <w:rFonts w:ascii="Times New Roman" w:hAnsi="Times New Roman" w:cs="Times New Roman"/>
          <w:sz w:val="24"/>
          <w:szCs w:val="24"/>
          <w:lang w:eastAsia="en-GB"/>
        </w:rPr>
        <w:t xml:space="preserve"> </w:t>
      </w:r>
      <w:r w:rsidR="00A970D7" w:rsidRPr="00DB2332">
        <w:rPr>
          <w:rFonts w:ascii="Times New Roman" w:hAnsi="Times New Roman" w:cs="Times New Roman"/>
          <w:sz w:val="24"/>
          <w:szCs w:val="24"/>
          <w:lang w:eastAsia="en-GB"/>
        </w:rPr>
        <w:t>combination</w:t>
      </w:r>
      <w:r w:rsidR="18E15023" w:rsidRPr="00DB2332">
        <w:rPr>
          <w:rFonts w:ascii="Times New Roman" w:hAnsi="Times New Roman" w:cs="Times New Roman"/>
          <w:sz w:val="24"/>
          <w:szCs w:val="24"/>
          <w:lang w:eastAsia="en-GB"/>
        </w:rPr>
        <w:t>s</w:t>
      </w:r>
      <w:r w:rsidR="00A970D7" w:rsidRPr="00DB2332">
        <w:rPr>
          <w:rFonts w:ascii="Times New Roman" w:hAnsi="Times New Roman" w:cs="Times New Roman"/>
          <w:sz w:val="24"/>
          <w:szCs w:val="24"/>
          <w:lang w:eastAsia="en-GB"/>
        </w:rPr>
        <w:t xml:space="preserve"> </w:t>
      </w:r>
      <w:r w:rsidR="71D89B03" w:rsidRPr="00DB2332">
        <w:rPr>
          <w:rFonts w:ascii="Times New Roman" w:hAnsi="Times New Roman" w:cs="Times New Roman"/>
          <w:sz w:val="24"/>
          <w:szCs w:val="24"/>
          <w:lang w:eastAsia="en-GB"/>
        </w:rPr>
        <w:t>below what is typical for</w:t>
      </w:r>
      <w:r w:rsidR="003A7DF3" w:rsidRPr="00DB2332">
        <w:rPr>
          <w:rFonts w:ascii="Times New Roman" w:hAnsi="Times New Roman" w:cs="Times New Roman"/>
          <w:sz w:val="24"/>
          <w:szCs w:val="24"/>
          <w:lang w:eastAsia="en-GB"/>
        </w:rPr>
        <w:t xml:space="preserve"> long-range LTA aircraft</w:t>
      </w:r>
      <w:r w:rsidR="00B477A9" w:rsidRPr="00DB2332">
        <w:rPr>
          <w:rFonts w:ascii="Times New Roman" w:hAnsi="Times New Roman" w:cs="Times New Roman"/>
          <w:sz w:val="24"/>
          <w:szCs w:val="24"/>
          <w:lang w:eastAsia="en-GB"/>
        </w:rPr>
        <w:t xml:space="preserve"> </w:t>
      </w:r>
      <w:r w:rsidR="00B477A9" w:rsidRPr="00DB2332">
        <w:rPr>
          <w:rFonts w:ascii="Times New Roman" w:hAnsi="Times New Roman" w:cs="Times New Roman"/>
          <w:sz w:val="24"/>
          <w:szCs w:val="24"/>
        </w:rPr>
        <w:fldChar w:fldCharType="begin" w:fldLock="1"/>
      </w:r>
      <w:r w:rsidR="00CF53DC" w:rsidRPr="00DB2332">
        <w:rPr>
          <w:rFonts w:ascii="Times New Roman" w:hAnsi="Times New Roman" w:cs="Times New Roman"/>
          <w:sz w:val="24"/>
          <w:szCs w:val="24"/>
        </w:rPr>
        <w:instrText>ADDIN CSL_CITATION {"citationItems":[{"id":"ITEM-1","itemData":{"DOI":"10.3390/APP12146857","ISSN":"2076-3417","abstract":"The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6857","id":"ITEM-1","issue":"14","issued":{"date-parts":[["2022","7","6"]]},"page":"6857","publisher":"Multidisciplinary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Aircraft","type":"article-journal","volume":"12"},"uris":["http://www.mendeley.com/documents/?uuid=1c093f56-0b03-3068-be1d-5105df0f6e0b"]},{"id":"ITEM-2","itemData":{"DOI":"10.1016/j.ast.2019.105438","ISSN":"12709638","abstract":"LH2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Technology","id":"ITEM-2","issued":{"date-parts":[["2019","12","1"]]},"page":"105438","publisher":"Elsevier Masson SAS","title":"Liquid hydrogen fuel tanks for commercial aviation: Structural sizing and stress analysis","type":"article-journal","volume":"95"},"uris":["http://www.mendeley.com/documents/?uuid=f26a5a65-f439-3539-80c3-e3a1374929ee"]}],"mendeley":{"formattedCitation":"(Cipolla et al., 2022; Gomez and Smith, 2019)","plainTextFormattedCitation":"(Cipolla et al., 2022; Gomez and Smith, 2019)","previouslyFormattedCitation":"(Cipolla et al., 2022; Gomez and Smith, 2019)"},"properties":{"noteIndex":0},"schema":"https://github.com/citation-style-language/schema/raw/master/csl-citation.json"}</w:instrText>
      </w:r>
      <w:r w:rsidR="00B477A9" w:rsidRPr="00DB2332">
        <w:rPr>
          <w:rFonts w:ascii="Times New Roman" w:hAnsi="Times New Roman" w:cs="Times New Roman"/>
          <w:sz w:val="24"/>
          <w:szCs w:val="24"/>
        </w:rPr>
        <w:fldChar w:fldCharType="separate"/>
      </w:r>
      <w:r w:rsidR="00E07378" w:rsidRPr="00DB2332">
        <w:rPr>
          <w:rFonts w:ascii="Times New Roman" w:hAnsi="Times New Roman" w:cs="Times New Roman"/>
          <w:noProof/>
          <w:sz w:val="24"/>
          <w:szCs w:val="24"/>
        </w:rPr>
        <w:t>(Cipolla et al., 2022; Gomez and Smith, 2019)</w:t>
      </w:r>
      <w:r w:rsidR="00B477A9" w:rsidRPr="00DB2332">
        <w:rPr>
          <w:rFonts w:ascii="Times New Roman" w:hAnsi="Times New Roman" w:cs="Times New Roman"/>
          <w:sz w:val="24"/>
          <w:szCs w:val="24"/>
        </w:rPr>
        <w:fldChar w:fldCharType="end"/>
      </w:r>
      <w:r w:rsidR="00AB6E84" w:rsidRPr="00FA6B79">
        <w:rPr>
          <w:rFonts w:ascii="Times New Roman" w:hAnsi="Times New Roman" w:cs="Times New Roman"/>
          <w:sz w:val="24"/>
          <w:szCs w:val="24"/>
        </w:rPr>
        <w:t xml:space="preserve">; (ii) </w:t>
      </w:r>
      <w:r w:rsidR="421A1B91" w:rsidRPr="00DB2332">
        <w:rPr>
          <w:rFonts w:ascii="Times New Roman" w:hAnsi="Times New Roman" w:cs="Times New Roman"/>
          <w:sz w:val="24"/>
          <w:szCs w:val="24"/>
        </w:rPr>
        <w:t xml:space="preserve">significantly change the </w:t>
      </w:r>
      <w:r w:rsidR="136074BD" w:rsidRPr="00DB2332">
        <w:rPr>
          <w:rFonts w:ascii="Times New Roman" w:hAnsi="Times New Roman" w:cs="Times New Roman"/>
          <w:sz w:val="24"/>
          <w:szCs w:val="24"/>
        </w:rPr>
        <w:t>cruis</w:t>
      </w:r>
      <w:r w:rsidR="00B91C67" w:rsidRPr="00DB2332">
        <w:rPr>
          <w:rFonts w:ascii="Times New Roman" w:hAnsi="Times New Roman" w:cs="Times New Roman"/>
          <w:sz w:val="24"/>
          <w:szCs w:val="24"/>
        </w:rPr>
        <w:t>e</w:t>
      </w:r>
      <w:r w:rsidR="00AB6E84" w:rsidRPr="00DB2332">
        <w:rPr>
          <w:rFonts w:ascii="Times New Roman" w:hAnsi="Times New Roman" w:cs="Times New Roman"/>
          <w:sz w:val="24"/>
          <w:szCs w:val="24"/>
        </w:rPr>
        <w:t xml:space="preserve"> Mach </w:t>
      </w:r>
      <w:r w:rsidR="72465440" w:rsidRPr="00DB2332">
        <w:rPr>
          <w:rFonts w:ascii="Times New Roman" w:hAnsi="Times New Roman" w:cs="Times New Roman"/>
          <w:sz w:val="24"/>
          <w:szCs w:val="24"/>
        </w:rPr>
        <w:t xml:space="preserve">number </w:t>
      </w:r>
      <w:r w:rsidR="00AB6E84" w:rsidRPr="00DB2332">
        <w:rPr>
          <w:rFonts w:ascii="Times New Roman" w:hAnsi="Times New Roman" w:cs="Times New Roman"/>
          <w:sz w:val="24"/>
          <w:szCs w:val="24"/>
        </w:rPr>
        <w:t>and/or alti</w:t>
      </w:r>
      <w:r w:rsidR="00A967B2" w:rsidRPr="00DB2332">
        <w:rPr>
          <w:rFonts w:ascii="Times New Roman" w:hAnsi="Times New Roman" w:cs="Times New Roman"/>
          <w:sz w:val="24"/>
          <w:szCs w:val="24"/>
        </w:rPr>
        <w:t>tude</w:t>
      </w:r>
      <w:r w:rsidR="71C0F993" w:rsidRPr="00DB2332">
        <w:rPr>
          <w:rFonts w:ascii="Times New Roman" w:hAnsi="Times New Roman" w:cs="Times New Roman"/>
          <w:sz w:val="24"/>
          <w:szCs w:val="24"/>
        </w:rPr>
        <w:t>, leading to</w:t>
      </w:r>
      <w:r w:rsidR="00A967B2" w:rsidRPr="00DB2332">
        <w:rPr>
          <w:rFonts w:ascii="Times New Roman" w:hAnsi="Times New Roman" w:cs="Times New Roman"/>
          <w:sz w:val="24"/>
          <w:szCs w:val="24"/>
        </w:rPr>
        <w:t xml:space="preserve"> different aircraft design characteristic</w:t>
      </w:r>
      <w:r w:rsidR="00D70442" w:rsidRPr="00DB2332">
        <w:rPr>
          <w:rFonts w:ascii="Times New Roman" w:hAnsi="Times New Roman" w:cs="Times New Roman"/>
          <w:sz w:val="24"/>
          <w:szCs w:val="24"/>
        </w:rPr>
        <w:t>s</w:t>
      </w:r>
      <w:r w:rsidR="00A967B2" w:rsidRPr="00DB2332">
        <w:rPr>
          <w:rFonts w:ascii="Times New Roman" w:hAnsi="Times New Roman" w:cs="Times New Roman"/>
          <w:sz w:val="24"/>
          <w:szCs w:val="24"/>
        </w:rPr>
        <w:t xml:space="preserve"> compared to</w:t>
      </w:r>
      <w:r w:rsidR="00A844BC" w:rsidRPr="00DB2332">
        <w:rPr>
          <w:rFonts w:ascii="Times New Roman" w:hAnsi="Times New Roman" w:cs="Times New Roman"/>
          <w:sz w:val="24"/>
          <w:szCs w:val="24"/>
        </w:rPr>
        <w:t xml:space="preserve"> the typical</w:t>
      </w:r>
      <w:r w:rsidR="00A967B2" w:rsidRPr="00DB2332">
        <w:rPr>
          <w:rFonts w:ascii="Times New Roman" w:hAnsi="Times New Roman" w:cs="Times New Roman"/>
          <w:sz w:val="24"/>
          <w:szCs w:val="24"/>
        </w:rPr>
        <w:t xml:space="preserve"> baseline </w:t>
      </w:r>
      <w:r w:rsidR="00A967B2" w:rsidRPr="00DB2332">
        <w:rPr>
          <w:rFonts w:ascii="Times New Roman" w:hAnsi="Times New Roman" w:cs="Times New Roman"/>
          <w:sz w:val="24"/>
          <w:szCs w:val="24"/>
          <w:lang w:eastAsia="en-GB"/>
        </w:rPr>
        <w:t>long-range LTA aircraft</w:t>
      </w:r>
      <w:r w:rsidR="0059091C" w:rsidRPr="00DB2332">
        <w:rPr>
          <w:rFonts w:ascii="Times New Roman" w:hAnsi="Times New Roman" w:cs="Times New Roman"/>
          <w:sz w:val="24"/>
          <w:szCs w:val="24"/>
        </w:rPr>
        <w:t xml:space="preserve"> </w:t>
      </w:r>
      <w:r w:rsidR="002A76A8" w:rsidRPr="00DB2332">
        <w:rPr>
          <w:rFonts w:ascii="Times New Roman" w:hAnsi="Times New Roman" w:cs="Times New Roman"/>
          <w:sz w:val="24"/>
          <w:szCs w:val="24"/>
        </w:rPr>
        <w:fldChar w:fldCharType="begin" w:fldLock="1"/>
      </w:r>
      <w:r w:rsidR="00CF53DC" w:rsidRPr="00DB2332">
        <w:rPr>
          <w:rFonts w:ascii="Times New Roman" w:hAnsi="Times New Roman" w:cs="Times New Roman"/>
          <w:sz w:val="24"/>
          <w:szCs w:val="24"/>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id":"ITEM-2","itemData":{"DOI":"10.2514/6.2022-3288","author":[{"dropping-particle":"","family":"Proesmans","given":"Pieter-Jan","non-dropping-particle":"","parse-names":false,"suffix":""},{"dropping-particle":"","family":"Vos","given":"Roelof","non-dropping-particle":"","parse-names":false,"suffix":""}],"id":"ITEM-2","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 Troeltsch et al., 2020)","plainTextFormattedCitation":"(Proesmans and Vos, 2022; Troeltsch et al., 2020)","previouslyFormattedCitation":"(Proesmans and Vos, 2022; Troeltsch et al., 2020)"},"properties":{"noteIndex":0},"schema":"https://github.com/citation-style-language/schema/raw/master/csl-citation.json"}</w:instrText>
      </w:r>
      <w:r w:rsidR="002A76A8" w:rsidRPr="00DB2332">
        <w:rPr>
          <w:rFonts w:ascii="Times New Roman" w:hAnsi="Times New Roman" w:cs="Times New Roman"/>
          <w:sz w:val="24"/>
          <w:szCs w:val="24"/>
        </w:rPr>
        <w:fldChar w:fldCharType="separate"/>
      </w:r>
      <w:r w:rsidR="00E07378" w:rsidRPr="00DB2332">
        <w:rPr>
          <w:rFonts w:ascii="Times New Roman" w:hAnsi="Times New Roman" w:cs="Times New Roman"/>
          <w:noProof/>
          <w:sz w:val="24"/>
          <w:szCs w:val="24"/>
        </w:rPr>
        <w:t>(Proesmans and Vos, 2022; Troeltsch et al., 2020)</w:t>
      </w:r>
      <w:r w:rsidR="002A76A8" w:rsidRPr="00DB2332">
        <w:rPr>
          <w:rFonts w:ascii="Times New Roman" w:hAnsi="Times New Roman" w:cs="Times New Roman"/>
          <w:sz w:val="24"/>
          <w:szCs w:val="24"/>
        </w:rPr>
        <w:fldChar w:fldCharType="end"/>
      </w:r>
      <w:r w:rsidR="002A76A8" w:rsidRPr="00FA6B79">
        <w:rPr>
          <w:rFonts w:ascii="Times New Roman" w:hAnsi="Times New Roman" w:cs="Times New Roman"/>
          <w:sz w:val="24"/>
          <w:szCs w:val="24"/>
        </w:rPr>
        <w:t xml:space="preserve">; </w:t>
      </w:r>
      <w:r w:rsidR="703C8B27" w:rsidRPr="00DB2332">
        <w:rPr>
          <w:rFonts w:ascii="Times New Roman" w:hAnsi="Times New Roman" w:cs="Times New Roman"/>
          <w:sz w:val="24"/>
          <w:szCs w:val="24"/>
        </w:rPr>
        <w:t xml:space="preserve">and </w:t>
      </w:r>
      <w:r w:rsidR="002A76A8" w:rsidRPr="00DB2332">
        <w:rPr>
          <w:rFonts w:ascii="Times New Roman" w:hAnsi="Times New Roman" w:cs="Times New Roman"/>
          <w:sz w:val="24"/>
          <w:szCs w:val="24"/>
        </w:rPr>
        <w:t xml:space="preserve">(iii) </w:t>
      </w:r>
      <w:r w:rsidR="33446B63" w:rsidRPr="00DB2332">
        <w:rPr>
          <w:rFonts w:ascii="Times New Roman" w:hAnsi="Times New Roman" w:cs="Times New Roman"/>
          <w:sz w:val="24"/>
          <w:szCs w:val="24"/>
        </w:rPr>
        <w:t>investigated bi-fuel aircraft where</w:t>
      </w:r>
      <w:r w:rsidR="00A65617" w:rsidRPr="00DB2332">
        <w:rPr>
          <w:rFonts w:ascii="Times New Roman" w:hAnsi="Times New Roman" w:cs="Times New Roman"/>
          <w:sz w:val="24"/>
          <w:szCs w:val="24"/>
        </w:rPr>
        <w:t xml:space="preserve"> </w:t>
      </w:r>
      <w:r w:rsidR="00A65617" w:rsidRPr="00DB2332">
        <w:rPr>
          <w:rFonts w:ascii="Times New Roman" w:hAnsi="Times New Roman" w:cs="Times New Roman"/>
          <w:sz w:val="24"/>
          <w:szCs w:val="24"/>
          <w:lang w:eastAsia="en-GB"/>
        </w:rPr>
        <w:t>LH</w:t>
      </w:r>
      <w:r w:rsidR="00A65617" w:rsidRPr="00DB2332">
        <w:rPr>
          <w:rFonts w:ascii="Times New Roman" w:hAnsi="Times New Roman" w:cs="Times New Roman"/>
          <w:sz w:val="24"/>
          <w:szCs w:val="24"/>
          <w:vertAlign w:val="subscript"/>
          <w:lang w:eastAsia="en-GB"/>
        </w:rPr>
        <w:t>2</w:t>
      </w:r>
      <w:r w:rsidR="00A65617" w:rsidRPr="00DB2332">
        <w:rPr>
          <w:rFonts w:ascii="Times New Roman" w:hAnsi="Times New Roman" w:cs="Times New Roman"/>
          <w:sz w:val="24"/>
          <w:szCs w:val="24"/>
          <w:lang w:eastAsia="en-GB"/>
        </w:rPr>
        <w:t xml:space="preserve"> </w:t>
      </w:r>
      <w:r w:rsidR="1F80B752" w:rsidRPr="00DB2332">
        <w:rPr>
          <w:rFonts w:ascii="Times New Roman" w:hAnsi="Times New Roman" w:cs="Times New Roman"/>
          <w:sz w:val="24"/>
          <w:szCs w:val="24"/>
          <w:lang w:eastAsia="en-GB"/>
        </w:rPr>
        <w:t>provides a proportion of the required fuel</w:t>
      </w:r>
      <w:r w:rsidR="00A65617" w:rsidRPr="00DB2332">
        <w:rPr>
          <w:rFonts w:ascii="Times New Roman" w:hAnsi="Times New Roman" w:cs="Times New Roman"/>
          <w:sz w:val="24"/>
          <w:szCs w:val="24"/>
          <w:lang w:eastAsia="en-GB"/>
        </w:rPr>
        <w:t xml:space="preserve"> </w:t>
      </w:r>
      <w:r w:rsidR="00885E0A" w:rsidRPr="00DB2332">
        <w:rPr>
          <w:rFonts w:ascii="Times New Roman" w:hAnsi="Times New Roman" w:cs="Times New Roman"/>
          <w:sz w:val="24"/>
          <w:szCs w:val="24"/>
        </w:rPr>
        <w:fldChar w:fldCharType="begin" w:fldLock="1"/>
      </w:r>
      <w:r w:rsidR="00CF53DC" w:rsidRPr="00DB2332">
        <w:rPr>
          <w:rFonts w:ascii="Times New Roman" w:hAnsi="Times New Roman" w:cs="Times New Roman"/>
          <w:sz w:val="24"/>
          <w:szCs w:val="24"/>
        </w:rPr>
        <w:instrText>ADDIN CSL_CITATION {"citationItems":[{"id":"ITEM-1","itemData":{"DOI":"10.1127/METZ/2016/0758","ISSN":"16101227","abstract":"Air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Zeitschrift","id":"ITEM-1","issue":"6","issued":{"date-parts":[["2017"]]},"page":"711-725","publisher":"Gebruder Borntraeger Verlagsbuchhandlung","title":"Assessing the climate impact of the AHEAD multi-fuel blended wing body","type":"article-journal","volume":"26"},"uris":["http://www.mendeley.com/documents/?uuid=13df412b-c49f-331c-bd73-df857f300473"]}],"mendeley":{"formattedCitation":"(Grewe et al., 2017)","plainTextFormattedCitation":"(Grewe et al., 2017)","previouslyFormattedCitation":"(Grewe et al., 2017)"},"properties":{"noteIndex":0},"schema":"https://github.com/citation-style-language/schema/raw/master/csl-citation.json"}</w:instrText>
      </w:r>
      <w:r w:rsidR="00885E0A" w:rsidRPr="00DB2332">
        <w:rPr>
          <w:rFonts w:ascii="Times New Roman" w:hAnsi="Times New Roman" w:cs="Times New Roman"/>
          <w:sz w:val="24"/>
          <w:szCs w:val="24"/>
        </w:rPr>
        <w:fldChar w:fldCharType="separate"/>
      </w:r>
      <w:r w:rsidR="00E07378" w:rsidRPr="00DB2332">
        <w:rPr>
          <w:rFonts w:ascii="Times New Roman" w:hAnsi="Times New Roman" w:cs="Times New Roman"/>
          <w:noProof/>
          <w:sz w:val="24"/>
          <w:szCs w:val="24"/>
        </w:rPr>
        <w:t>(Grewe et al., 2017)</w:t>
      </w:r>
      <w:r w:rsidR="00885E0A" w:rsidRPr="00DB2332">
        <w:rPr>
          <w:rFonts w:ascii="Times New Roman" w:hAnsi="Times New Roman" w:cs="Times New Roman"/>
          <w:sz w:val="24"/>
          <w:szCs w:val="24"/>
        </w:rPr>
        <w:fldChar w:fldCharType="end"/>
      </w:r>
      <w:r w:rsidR="00F646E6" w:rsidRPr="00FA6B79">
        <w:rPr>
          <w:rFonts w:ascii="Times New Roman" w:hAnsi="Times New Roman" w:cs="Times New Roman"/>
          <w:sz w:val="24"/>
          <w:szCs w:val="24"/>
        </w:rPr>
        <w:t>.</w:t>
      </w:r>
      <w:r w:rsidR="00F75B42" w:rsidRPr="00DB2332">
        <w:rPr>
          <w:rFonts w:ascii="Times New Roman" w:hAnsi="Times New Roman" w:cs="Times New Roman"/>
          <w:sz w:val="24"/>
          <w:szCs w:val="24"/>
        </w:rPr>
        <w:t xml:space="preserve"> </w:t>
      </w:r>
    </w:p>
    <w:p w14:paraId="1DF1F1C1" w14:textId="6B1D0791" w:rsidR="00F0590B" w:rsidRPr="00FA6B79" w:rsidRDefault="00F0590B" w:rsidP="00F0590B">
      <w:pPr>
        <w:tabs>
          <w:tab w:val="left" w:pos="567"/>
        </w:tabs>
        <w:spacing w:after="0" w:line="480" w:lineRule="auto"/>
        <w:ind w:right="-46"/>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r>
      <w:r w:rsidRPr="000B7DCE">
        <w:rPr>
          <w:rFonts w:ascii="Times New Roman" w:hAnsi="Times New Roman" w:cs="Times New Roman"/>
          <w:sz w:val="24"/>
          <w:szCs w:val="24"/>
          <w:lang w:eastAsia="en-GB"/>
        </w:rPr>
        <w:t xml:space="preserve">A study by </w:t>
      </w:r>
      <w:proofErr w:type="spellStart"/>
      <w:r w:rsidRPr="000B7DCE">
        <w:rPr>
          <w:rFonts w:ascii="Times New Roman" w:hAnsi="Times New Roman" w:cs="Times New Roman"/>
          <w:sz w:val="24"/>
          <w:szCs w:val="24"/>
          <w:lang w:eastAsia="en-GB"/>
        </w:rPr>
        <w:t>Onorato</w:t>
      </w:r>
      <w:proofErr w:type="spellEnd"/>
      <w:r w:rsidRPr="000B7DCE">
        <w:rPr>
          <w:rFonts w:ascii="Times New Roman" w:hAnsi="Times New Roman" w:cs="Times New Roman"/>
          <w:sz w:val="24"/>
          <w:szCs w:val="24"/>
          <w:lang w:eastAsia="en-GB"/>
        </w:rPr>
        <w:t xml:space="preserve"> et al. </w:t>
      </w:r>
      <w:r w:rsidRPr="000B7DCE">
        <w:rPr>
          <w:rFonts w:ascii="Times New Roman" w:hAnsi="Times New Roman" w:cs="Times New Roman"/>
          <w:sz w:val="24"/>
          <w:szCs w:val="24"/>
          <w:lang w:eastAsia="en-GB"/>
        </w:rPr>
        <w:fldChar w:fldCharType="begin" w:fldLock="1"/>
      </w:r>
      <w:r w:rsidRPr="000B7DCE">
        <w:rPr>
          <w:rFonts w:ascii="Times New Roman" w:hAnsi="Times New Roman" w:cs="Times New Roman"/>
          <w:sz w:val="24"/>
          <w:szCs w:val="24"/>
          <w:lang w:eastAsia="en-GB"/>
        </w:rPr>
        <w:instrText>ADDIN CSL_CITATION {"citationItems":[{"id":"ITEM-1","itemData":{"DOI":"10.1007/S13272-022-00601-6/TABLES/11","ISSN":"18695590","abstract":"Zero-carbon-dioxide-emitting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Journal","id":"ITEM-1","issued":{"date-parts":[["2022","9","17"]]},"page":"1-33","publisher":"Springer","title":"Assessment of hydrogen transport aircraft: Effects of fuel tank integration","type":"article-journal","volume":"1"},"uris":["http://www.mendeley.com/documents/?uuid=34cb7987-9f35-35a2-ab6d-541bedeb0e3f"]}],"mendeley":{"formattedCitation":"(Onorato et al., 2022)","plainTextFormattedCitation":"(Onorato et al., 2022)","previouslyFormattedCitation":"(Onorato et al., 2022)"},"properties":{"noteIndex":0},"schema":"https://github.com/citation-style-language/schema/raw/master/csl-citation.json"}</w:instrText>
      </w:r>
      <w:r w:rsidRPr="000B7DCE">
        <w:rPr>
          <w:rFonts w:ascii="Times New Roman" w:hAnsi="Times New Roman" w:cs="Times New Roman"/>
          <w:sz w:val="24"/>
          <w:szCs w:val="24"/>
          <w:lang w:eastAsia="en-GB"/>
        </w:rPr>
        <w:fldChar w:fldCharType="separate"/>
      </w:r>
      <w:r w:rsidRPr="000B7DCE">
        <w:rPr>
          <w:rFonts w:ascii="Times New Roman" w:hAnsi="Times New Roman" w:cs="Times New Roman"/>
          <w:noProof/>
          <w:sz w:val="24"/>
          <w:szCs w:val="24"/>
          <w:lang w:eastAsia="en-GB"/>
        </w:rPr>
        <w:t>(Onorato et al., 2022)</w:t>
      </w:r>
      <w:r w:rsidRPr="000B7DCE">
        <w:rPr>
          <w:rFonts w:ascii="Times New Roman" w:hAnsi="Times New Roman" w:cs="Times New Roman"/>
          <w:sz w:val="24"/>
          <w:szCs w:val="24"/>
          <w:lang w:eastAsia="en-GB"/>
        </w:rPr>
        <w:fldChar w:fldCharType="end"/>
      </w:r>
      <w:r w:rsidRPr="000B7DCE">
        <w:rPr>
          <w:rFonts w:ascii="Times New Roman" w:hAnsi="Times New Roman" w:cs="Times New Roman"/>
          <w:sz w:val="24"/>
          <w:szCs w:val="24"/>
          <w:lang w:eastAsia="en-GB"/>
        </w:rPr>
        <w:t xml:space="preserve"> design</w:t>
      </w:r>
      <w:r w:rsidR="005866D3">
        <w:rPr>
          <w:rFonts w:ascii="Times New Roman" w:hAnsi="Times New Roman" w:cs="Times New Roman"/>
          <w:sz w:val="24"/>
          <w:szCs w:val="24"/>
          <w:lang w:eastAsia="en-GB"/>
        </w:rPr>
        <w:t>ed</w:t>
      </w:r>
      <w:r w:rsidRPr="000B7DCE">
        <w:rPr>
          <w:rFonts w:ascii="Times New Roman" w:hAnsi="Times New Roman" w:cs="Times New Roman"/>
          <w:sz w:val="24"/>
          <w:szCs w:val="24"/>
          <w:lang w:eastAsia="en-GB"/>
        </w:rPr>
        <w:t xml:space="preserve"> a large LH</w:t>
      </w:r>
      <w:r w:rsidRPr="000B7DCE">
        <w:rPr>
          <w:rFonts w:ascii="Times New Roman" w:hAnsi="Times New Roman" w:cs="Times New Roman"/>
          <w:sz w:val="24"/>
          <w:szCs w:val="24"/>
          <w:vertAlign w:val="subscript"/>
          <w:lang w:eastAsia="en-GB"/>
        </w:rPr>
        <w:t>2</w:t>
      </w:r>
      <w:r w:rsidRPr="000B7DCE">
        <w:rPr>
          <w:rFonts w:ascii="Times New Roman" w:hAnsi="Times New Roman" w:cs="Times New Roman"/>
          <w:sz w:val="24"/>
          <w:szCs w:val="24"/>
          <w:lang w:eastAsia="en-GB"/>
        </w:rPr>
        <w:t xml:space="preserve"> aircraft (295 passengers, 7,674 km) considering five different tank installation configurations, and </w:t>
      </w:r>
      <w:r w:rsidR="00BC498A">
        <w:rPr>
          <w:rFonts w:ascii="Times New Roman" w:hAnsi="Times New Roman" w:cs="Times New Roman"/>
          <w:sz w:val="24"/>
          <w:szCs w:val="24"/>
          <w:lang w:eastAsia="en-GB"/>
        </w:rPr>
        <w:t>found</w:t>
      </w:r>
      <w:r w:rsidRPr="000B7DCE">
        <w:rPr>
          <w:rFonts w:ascii="Times New Roman" w:hAnsi="Times New Roman" w:cs="Times New Roman"/>
          <w:sz w:val="24"/>
          <w:szCs w:val="24"/>
          <w:lang w:eastAsia="en-GB"/>
        </w:rPr>
        <w:t xml:space="preserve"> that the front and aft tank installation in both single deck and double deck seating type provides energy consumption improvement of 4.2% (37.1% increase in fuselage length) and 7% respectively, compared to a single-deck Jet-A aircraft. Additionally, studies by </w:t>
      </w:r>
      <w:proofErr w:type="spellStart"/>
      <w:r w:rsidRPr="000B7DCE">
        <w:rPr>
          <w:rFonts w:ascii="Times New Roman" w:hAnsi="Times New Roman" w:cs="Times New Roman"/>
          <w:sz w:val="24"/>
          <w:szCs w:val="24"/>
          <w:lang w:eastAsia="en-GB"/>
        </w:rPr>
        <w:t>Huete</w:t>
      </w:r>
      <w:proofErr w:type="spellEnd"/>
      <w:r w:rsidRPr="000B7DCE">
        <w:rPr>
          <w:rFonts w:ascii="Times New Roman" w:hAnsi="Times New Roman" w:cs="Times New Roman"/>
          <w:sz w:val="24"/>
          <w:szCs w:val="24"/>
          <w:lang w:eastAsia="en-GB"/>
        </w:rPr>
        <w:t xml:space="preserve"> et al. </w:t>
      </w:r>
      <w:r w:rsidRPr="000B7DCE">
        <w:rPr>
          <w:rFonts w:ascii="Times New Roman" w:hAnsi="Times New Roman" w:cs="Times New Roman"/>
          <w:sz w:val="24"/>
          <w:szCs w:val="24"/>
          <w:lang w:eastAsia="en-GB"/>
        </w:rPr>
        <w:fldChar w:fldCharType="begin" w:fldLock="1"/>
      </w:r>
      <w:r w:rsidRPr="000B7DCE">
        <w:rPr>
          <w:rFonts w:ascii="Times New Roman" w:hAnsi="Times New Roman" w:cs="Times New Roman"/>
          <w:sz w:val="24"/>
          <w:szCs w:val="24"/>
          <w:lang w:eastAsia="en-GB"/>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airliner","type":"article-journal","volume":"126"},"uris":["http://www.mendeley.com/documents/?uuid=fba1efc2-04d0-3648-b980-8644a5af1241"]},{"id":"ITEM-2","itemData":{"DOI":"10.1017/AER.2021.36","ISSN":"0001-9240","abstract":"An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Journal","id":"ITEM-2","issue":"1291","issued":{"date-parts":[["2021","9","28"]]},"page":"1654-1665","publisher":"Cambridge University Press","title":"Propulsion system integration for a first-generation hydrogen civil airliner?","type":"article-journal","volume":"125"},"uris":["http://www.mendeley.com/documents/?uuid=c313c287-bc1e-3fbc-9909-4178109b80b1"]}],"mendeley":{"formattedCitation":"(Huete et al., 2022, 2021)","plainTextFormattedCitation":"(Huete et al., 2022, 2021)","previouslyFormattedCitation":"(Huete et al., 2022, 2021)"},"properties":{"noteIndex":0},"schema":"https://github.com/citation-style-language/schema/raw/master/csl-citation.json"}</w:instrText>
      </w:r>
      <w:r w:rsidRPr="000B7DCE">
        <w:rPr>
          <w:rFonts w:ascii="Times New Roman" w:hAnsi="Times New Roman" w:cs="Times New Roman"/>
          <w:sz w:val="24"/>
          <w:szCs w:val="24"/>
          <w:lang w:eastAsia="en-GB"/>
        </w:rPr>
        <w:fldChar w:fldCharType="separate"/>
      </w:r>
      <w:r w:rsidRPr="000B7DCE">
        <w:rPr>
          <w:rFonts w:ascii="Times New Roman" w:hAnsi="Times New Roman" w:cs="Times New Roman"/>
          <w:noProof/>
          <w:sz w:val="24"/>
          <w:szCs w:val="24"/>
          <w:lang w:eastAsia="en-GB"/>
        </w:rPr>
        <w:t>(Huete et al., 2022, 2021)</w:t>
      </w:r>
      <w:r w:rsidRPr="000B7DCE">
        <w:rPr>
          <w:rFonts w:ascii="Times New Roman" w:hAnsi="Times New Roman" w:cs="Times New Roman"/>
          <w:sz w:val="24"/>
          <w:szCs w:val="24"/>
          <w:lang w:eastAsia="en-GB"/>
        </w:rPr>
        <w:fldChar w:fldCharType="end"/>
      </w:r>
      <w:r w:rsidRPr="000B7DCE">
        <w:rPr>
          <w:rFonts w:ascii="Times New Roman" w:hAnsi="Times New Roman" w:cs="Times New Roman"/>
          <w:sz w:val="24"/>
          <w:szCs w:val="24"/>
          <w:lang w:eastAsia="en-GB"/>
        </w:rPr>
        <w:t xml:space="preserve"> examine the performance of (double-decker) large aircraft (different range and payload combinations), but their energy performance characteristics are unknown.</w:t>
      </w:r>
    </w:p>
    <w:p w14:paraId="66858DE6" w14:textId="32AA674B" w:rsidR="00BD1C1E" w:rsidRPr="00DB2332" w:rsidRDefault="00F0590B" w:rsidP="000C5E43">
      <w:pPr>
        <w:tabs>
          <w:tab w:val="left" w:pos="567"/>
        </w:tabs>
        <w:spacing w:after="0" w:line="480" w:lineRule="auto"/>
        <w:ind w:right="-46"/>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r>
      <w:proofErr w:type="spellStart"/>
      <w:r w:rsidRPr="000B7DCE">
        <w:rPr>
          <w:rFonts w:ascii="Times New Roman" w:hAnsi="Times New Roman" w:cs="Times New Roman"/>
          <w:sz w:val="24"/>
          <w:szCs w:val="24"/>
          <w:lang w:eastAsia="en-GB"/>
        </w:rPr>
        <w:t>Verstraete</w:t>
      </w:r>
      <w:proofErr w:type="spellEnd"/>
      <w:r w:rsidRPr="000B7DCE">
        <w:rPr>
          <w:rFonts w:ascii="Times New Roman" w:hAnsi="Times New Roman" w:cs="Times New Roman"/>
          <w:sz w:val="24"/>
          <w:szCs w:val="24"/>
          <w:lang w:eastAsia="en-GB"/>
        </w:rPr>
        <w:t xml:space="preserve"> </w:t>
      </w:r>
      <w:r w:rsidRPr="000B7DCE">
        <w:rPr>
          <w:rFonts w:ascii="Times New Roman" w:hAnsi="Times New Roman" w:cs="Times New Roman"/>
          <w:sz w:val="24"/>
          <w:szCs w:val="24"/>
          <w:lang w:eastAsia="en-GB"/>
        </w:rPr>
        <w:fldChar w:fldCharType="begin" w:fldLock="1"/>
      </w:r>
      <w:r w:rsidRPr="000B7DCE">
        <w:rPr>
          <w:rFonts w:ascii="Times New Roman" w:hAnsi="Times New Roman" w:cs="Times New Roman"/>
          <w:sz w:val="24"/>
          <w:szCs w:val="24"/>
          <w:lang w:eastAsia="en-GB"/>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aircraft","type":"article-journal","volume":"40"},"uris":["http://www.mendeley.com/documents/?uuid=2925cc4c-1b67-3876-8842-b7c825d091c4"]}],"mendeley":{"formattedCitation":"(Verstraete, 2015)","plainTextFormattedCitation":"(Verstraete, 2015)","previouslyFormattedCitation":"(Verstraete, 2015)"},"properties":{"noteIndex":0},"schema":"https://github.com/citation-style-language/schema/raw/master/csl-citation.json"}</w:instrText>
      </w:r>
      <w:r w:rsidRPr="000B7DCE">
        <w:rPr>
          <w:rFonts w:ascii="Times New Roman" w:hAnsi="Times New Roman" w:cs="Times New Roman"/>
          <w:sz w:val="24"/>
          <w:szCs w:val="24"/>
          <w:lang w:eastAsia="en-GB"/>
        </w:rPr>
        <w:fldChar w:fldCharType="separate"/>
      </w:r>
      <w:r w:rsidRPr="000B7DCE">
        <w:rPr>
          <w:rFonts w:ascii="Times New Roman" w:hAnsi="Times New Roman" w:cs="Times New Roman"/>
          <w:noProof/>
          <w:sz w:val="24"/>
          <w:szCs w:val="24"/>
          <w:lang w:eastAsia="en-GB"/>
        </w:rPr>
        <w:t>(Verstraete, 2015)</w:t>
      </w:r>
      <w:r w:rsidRPr="000B7DCE">
        <w:rPr>
          <w:rFonts w:ascii="Times New Roman" w:hAnsi="Times New Roman" w:cs="Times New Roman"/>
          <w:sz w:val="24"/>
          <w:szCs w:val="24"/>
          <w:lang w:eastAsia="en-GB"/>
        </w:rPr>
        <w:fldChar w:fldCharType="end"/>
      </w:r>
      <w:r w:rsidRPr="000B7DCE">
        <w:rPr>
          <w:rFonts w:ascii="Times New Roman" w:hAnsi="Times New Roman" w:cs="Times New Roman"/>
          <w:sz w:val="24"/>
          <w:szCs w:val="24"/>
          <w:lang w:eastAsia="en-GB"/>
        </w:rPr>
        <w:t xml:space="preserve"> and Brewer </w:t>
      </w:r>
      <w:r w:rsidRPr="000B7DCE">
        <w:rPr>
          <w:rFonts w:ascii="Times New Roman" w:hAnsi="Times New Roman" w:cs="Times New Roman"/>
          <w:sz w:val="24"/>
          <w:szCs w:val="24"/>
          <w:lang w:eastAsia="en-GB"/>
        </w:rPr>
        <w:fldChar w:fldCharType="begin" w:fldLock="1"/>
      </w:r>
      <w:r w:rsidRPr="000B7DCE">
        <w:rPr>
          <w:rFonts w:ascii="Times New Roman" w:hAnsi="Times New Roman" w:cs="Times New Roman"/>
          <w:sz w:val="24"/>
          <w:szCs w:val="24"/>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technology","type":"book"},"uris":["http://www.mendeley.com/documents/?uuid=98dde589-563e-344e-842a-c8eac36971f0"]}],"mendeley":{"formattedCitation":"(Brewer, 2017)","plainTextFormattedCitation":"(Brewer, 2017)","previouslyFormattedCitation":"(Brewer, 2017)"},"properties":{"noteIndex":0},"schema":"https://github.com/citation-style-language/schema/raw/master/csl-citation.json"}</w:instrText>
      </w:r>
      <w:r w:rsidRPr="000B7DCE">
        <w:rPr>
          <w:rFonts w:ascii="Times New Roman" w:hAnsi="Times New Roman" w:cs="Times New Roman"/>
          <w:sz w:val="24"/>
          <w:szCs w:val="24"/>
          <w:lang w:eastAsia="en-GB"/>
        </w:rPr>
        <w:fldChar w:fldCharType="separate"/>
      </w:r>
      <w:r w:rsidRPr="000B7DCE">
        <w:rPr>
          <w:rFonts w:ascii="Times New Roman" w:hAnsi="Times New Roman" w:cs="Times New Roman"/>
          <w:noProof/>
          <w:sz w:val="24"/>
          <w:szCs w:val="24"/>
          <w:lang w:eastAsia="en-GB"/>
        </w:rPr>
        <w:t>(Brewer, 2017)</w:t>
      </w:r>
      <w:r w:rsidRPr="000B7DCE">
        <w:rPr>
          <w:rFonts w:ascii="Times New Roman" w:hAnsi="Times New Roman" w:cs="Times New Roman"/>
          <w:sz w:val="24"/>
          <w:szCs w:val="24"/>
          <w:lang w:eastAsia="en-GB"/>
        </w:rPr>
        <w:fldChar w:fldCharType="end"/>
      </w:r>
      <w:r w:rsidRPr="000B7DCE">
        <w:rPr>
          <w:rFonts w:ascii="Times New Roman" w:hAnsi="Times New Roman" w:cs="Times New Roman"/>
          <w:sz w:val="24"/>
          <w:szCs w:val="24"/>
          <w:lang w:eastAsia="en-GB"/>
        </w:rPr>
        <w:t xml:space="preserve"> modelled the use of LH</w:t>
      </w:r>
      <w:r w:rsidRPr="000B7DCE">
        <w:rPr>
          <w:rFonts w:ascii="Times New Roman" w:hAnsi="Times New Roman" w:cs="Times New Roman"/>
          <w:sz w:val="24"/>
          <w:szCs w:val="24"/>
          <w:vertAlign w:val="subscript"/>
          <w:lang w:eastAsia="en-GB"/>
        </w:rPr>
        <w:t xml:space="preserve">2 </w:t>
      </w:r>
      <w:r w:rsidRPr="000B7DCE">
        <w:rPr>
          <w:rFonts w:ascii="Times New Roman" w:hAnsi="Times New Roman" w:cs="Times New Roman"/>
          <w:sz w:val="24"/>
          <w:szCs w:val="24"/>
          <w:lang w:eastAsia="en-GB"/>
        </w:rPr>
        <w:t xml:space="preserve">in a 400 passenger double-decker (greater fuselage diameter) aircraft (conventional tube-wing architecture) with 14,000 km and 18,500 km range respectively. </w:t>
      </w:r>
      <w:proofErr w:type="spellStart"/>
      <w:r w:rsidRPr="000B7DCE">
        <w:rPr>
          <w:rFonts w:ascii="Times New Roman" w:hAnsi="Times New Roman" w:cs="Times New Roman"/>
          <w:sz w:val="24"/>
          <w:szCs w:val="24"/>
          <w:lang w:eastAsia="en-GB"/>
        </w:rPr>
        <w:t>Verstraete</w:t>
      </w:r>
      <w:proofErr w:type="spellEnd"/>
      <w:r w:rsidRPr="000B7DCE">
        <w:rPr>
          <w:rFonts w:ascii="Times New Roman" w:hAnsi="Times New Roman" w:cs="Times New Roman"/>
          <w:sz w:val="24"/>
          <w:szCs w:val="24"/>
          <w:lang w:eastAsia="en-GB"/>
        </w:rPr>
        <w:t xml:space="preserve"> and Brewer reported 12% and 33% improvement in SEC compared to a baseline Jet-A aircraft, respectively. Both studies considered the additional structural weight resulting from integral LH</w:t>
      </w:r>
      <w:r w:rsidRPr="000B7DCE">
        <w:rPr>
          <w:rFonts w:ascii="Times New Roman" w:hAnsi="Times New Roman" w:cs="Times New Roman"/>
          <w:sz w:val="24"/>
          <w:szCs w:val="24"/>
          <w:vertAlign w:val="subscript"/>
          <w:lang w:eastAsia="en-GB"/>
        </w:rPr>
        <w:t xml:space="preserve">2 </w:t>
      </w:r>
      <w:r w:rsidRPr="000B7DCE">
        <w:rPr>
          <w:rFonts w:ascii="Times New Roman" w:hAnsi="Times New Roman" w:cs="Times New Roman"/>
          <w:sz w:val="24"/>
          <w:szCs w:val="24"/>
          <w:lang w:eastAsia="en-GB"/>
        </w:rPr>
        <w:t>fuel tank systems and changes in aerodynamic performance resulting from a longer fuselage length, required to accommodate LH</w:t>
      </w:r>
      <w:r w:rsidRPr="000B7DCE">
        <w:rPr>
          <w:rFonts w:ascii="Times New Roman" w:hAnsi="Times New Roman" w:cs="Times New Roman"/>
          <w:sz w:val="24"/>
          <w:szCs w:val="24"/>
          <w:vertAlign w:val="subscript"/>
          <w:lang w:eastAsia="en-GB"/>
        </w:rPr>
        <w:t>2</w:t>
      </w:r>
      <w:r w:rsidRPr="000B7DCE">
        <w:rPr>
          <w:rFonts w:ascii="Times New Roman" w:hAnsi="Times New Roman" w:cs="Times New Roman"/>
          <w:sz w:val="24"/>
          <w:szCs w:val="24"/>
          <w:lang w:eastAsia="en-GB"/>
        </w:rPr>
        <w:t xml:space="preserve">. However, in contrast to these two studies, the Airbus </w:t>
      </w:r>
      <w:proofErr w:type="spellStart"/>
      <w:r w:rsidRPr="000B7DCE">
        <w:rPr>
          <w:rFonts w:ascii="Times New Roman" w:hAnsi="Times New Roman" w:cs="Times New Roman"/>
          <w:sz w:val="24"/>
          <w:szCs w:val="24"/>
          <w:lang w:eastAsia="en-GB"/>
        </w:rPr>
        <w:t>Cryoplane</w:t>
      </w:r>
      <w:proofErr w:type="spellEnd"/>
      <w:r w:rsidRPr="000B7DCE">
        <w:rPr>
          <w:rFonts w:ascii="Times New Roman" w:hAnsi="Times New Roman" w:cs="Times New Roman"/>
          <w:sz w:val="24"/>
          <w:szCs w:val="24"/>
          <w:lang w:eastAsia="en-GB"/>
        </w:rPr>
        <w:t xml:space="preserve"> study </w:t>
      </w:r>
      <w:r w:rsidRPr="000B7DCE">
        <w:rPr>
          <w:rFonts w:ascii="Times New Roman" w:hAnsi="Times New Roman" w:cs="Times New Roman"/>
          <w:sz w:val="24"/>
          <w:szCs w:val="24"/>
          <w:lang w:eastAsia="en-GB"/>
        </w:rPr>
        <w:fldChar w:fldCharType="begin" w:fldLock="1"/>
      </w:r>
      <w:r w:rsidRPr="000B7DCE">
        <w:rPr>
          <w:rFonts w:ascii="Times New Roman" w:hAnsi="Times New Roman" w:cs="Times New Roman"/>
          <w:sz w:val="24"/>
          <w:szCs w:val="24"/>
          <w:lang w:eastAsia="en-GB"/>
        </w:rPr>
        <w:instrText>ADDIN CSL_CITATION {"citationItems":[{"id":"ITEM-1","itemData":{"URL":"https://www.fzt.haw-hamburg.de/pers/Scholz/dglr/hh/text_2001_12_06_Cryoplane.pdf","accessed":{"date-parts":[["2019","12","28"]]},"author":[{"dropping-particle":"","family":"Reinhard Faass","given":"","non-dropping-particle":"","parse-names":false,"suffix":""}],"id":"ITEM-1","issued":{"date-parts":[["2001"]]},"page":"6","publisher":"University of Hamburg","title":"CRYOPLANE","type":"webpage"},"uris":["http://www.mendeley.com/documents/?uuid=bdcbf67c-9e30-35e4-8cef-6cfa20194833"]},{"id":"ITEM-2","itemData":{"DOI":"10.1595/205651320x15816756012040","ISSN":"20565135","abstract":"Aviation fuel demand is expected to continue to grow over the next decades and continue to rely heavily on kerosene fuel for use in jet engines. While efficiency and operational improvements are possible ways to reduce greenhouse gas (GHG) emissions, decarbonisation will need to heavily rely on low carbon kerosene drop-in alternatives. Currently, alternative fuels make up a very small share of fuel used in aviation, but their commercialisation is making good progress. Hydrogen offers a longer-term alternative fuel option but requires aircraft design and fuelling infrastructure changes. Electrification is emerging as an option for providing propulsion in aircraft, either in pure form in small aircraft or in hybrid mode in larger aircraft. This paper reviews the status, challenges and prospects of alternative fuels and electrification in aviation.","author":[{"dropping-particle":"","family":"Bauen","given":"Ausilio","non-dropping-particle":"","parse-names":false,"suffix":""},{"dropping-particle":"","family":"Bitossi","given":"Niccolò","non-dropping-particle":"","parse-names":false,"suffix":""},{"dropping-particle":"","family":"German","given":"Lizzie","non-dropping-particle":"","parse-names":false,"suffix":""},{"dropping-particle":"","family":"Harris","given":"Anisha","non-dropping-particle":"","parse-names":false,"suffix":""},{"dropping-particle":"","family":"Leow","given":"Khangzhen","non-dropping-particle":"","parse-names":false,"suffix":""}],"container-title":"Johnson Matthey Technology Review","id":"ITEM-2","issue":"3","issued":{"date-parts":[["2020","7","1"]]},"page":"263-278","publisher":"Johnson Matthey Public Limited Company","title":"Sustainable aviation fuels status, challenges and prospects of drop-in liquid fuels, hydrogen and electrification in aviation","type":"article-journal","volume":"64"},"uris":["http://www.mendeley.com/documents/?uuid=829b1f75-4ac8-3db5-a334-ef6c1fcc22f1"]}],"mendeley":{"formattedCitation":"(Bauen et al., 2020; Reinhard Faass, 2001)","plainTextFormattedCitation":"(Bauen et al., 2020; Reinhard Faass, 2001)","previouslyFormattedCitation":"(Bauen et al., 2020; Reinhard Faass, 2001)"},"properties":{"noteIndex":0},"schema":"https://github.com/citation-style-language/schema/raw/master/csl-citation.json"}</w:instrText>
      </w:r>
      <w:r w:rsidRPr="000B7DCE">
        <w:rPr>
          <w:rFonts w:ascii="Times New Roman" w:hAnsi="Times New Roman" w:cs="Times New Roman"/>
          <w:sz w:val="24"/>
          <w:szCs w:val="24"/>
          <w:lang w:eastAsia="en-GB"/>
        </w:rPr>
        <w:fldChar w:fldCharType="separate"/>
      </w:r>
      <w:r w:rsidRPr="000B7DCE">
        <w:rPr>
          <w:rFonts w:ascii="Times New Roman" w:hAnsi="Times New Roman" w:cs="Times New Roman"/>
          <w:noProof/>
          <w:sz w:val="24"/>
          <w:szCs w:val="24"/>
          <w:lang w:eastAsia="en-GB"/>
        </w:rPr>
        <w:t>(Bauen et al., 2020; Reinhard Faass, 2001)</w:t>
      </w:r>
      <w:r w:rsidRPr="000B7DCE">
        <w:rPr>
          <w:rFonts w:ascii="Times New Roman" w:hAnsi="Times New Roman" w:cs="Times New Roman"/>
          <w:sz w:val="24"/>
          <w:szCs w:val="24"/>
          <w:lang w:eastAsia="en-GB"/>
        </w:rPr>
        <w:fldChar w:fldCharType="end"/>
      </w:r>
      <w:r w:rsidRPr="000B7DCE">
        <w:rPr>
          <w:rFonts w:ascii="Times New Roman" w:hAnsi="Times New Roman" w:cs="Times New Roman"/>
          <w:sz w:val="24"/>
          <w:szCs w:val="24"/>
          <w:lang w:eastAsia="en-GB"/>
        </w:rPr>
        <w:t xml:space="preserve"> showed a 9% increase in SEC due to larger wetted area to accommodate LH</w:t>
      </w:r>
      <w:r w:rsidRPr="000B7DCE">
        <w:rPr>
          <w:rFonts w:ascii="Times New Roman" w:hAnsi="Times New Roman" w:cs="Times New Roman"/>
          <w:sz w:val="24"/>
          <w:szCs w:val="24"/>
          <w:vertAlign w:val="subscript"/>
          <w:lang w:eastAsia="en-GB"/>
        </w:rPr>
        <w:t>2</w:t>
      </w:r>
      <w:r w:rsidRPr="000B7DCE">
        <w:rPr>
          <w:rFonts w:ascii="Times New Roman" w:hAnsi="Times New Roman" w:cs="Times New Roman"/>
          <w:sz w:val="24"/>
          <w:szCs w:val="24"/>
          <w:lang w:eastAsia="en-GB"/>
        </w:rPr>
        <w:t xml:space="preserve"> tank, in a double-decker long-range large aircraft (14,000 km design range seating approximately 300 PAX) </w:t>
      </w:r>
      <w:r w:rsidRPr="000B7DCE">
        <w:rPr>
          <w:rFonts w:ascii="Times New Roman" w:hAnsi="Times New Roman" w:cs="Times New Roman"/>
          <w:sz w:val="24"/>
          <w:szCs w:val="24"/>
          <w:lang w:eastAsia="en-GB"/>
        </w:rPr>
        <w:fldChar w:fldCharType="begin" w:fldLock="1"/>
      </w:r>
      <w:r w:rsidRPr="000B7DCE">
        <w:rPr>
          <w:rFonts w:ascii="Times New Roman" w:hAnsi="Times New Roman" w:cs="Times New Roman"/>
          <w:sz w:val="24"/>
          <w:szCs w:val="24"/>
          <w:lang w:eastAsia="en-GB"/>
        </w:rPr>
        <w:instrText>ADDIN CSL_CITATION {"citationItems":[{"id":"ITEM-1","itemData":{"URL":"https://www.fzt.haw-hamburg.de/pers/Scholz/dglr/hh/text_2004_02_26_Cryoplane.pdf","accessed":{"date-parts":[["2019","12","30"]]},"author":[{"dropping-particle":"","family":"Airbus","given":"","non-dropping-particle":"","parse-names":false,"suffix":""}],"id":"ITEM-1","issued":{"date-parts":[["2003"]]},"title":"Liquid Hydrogen Fuelled Aircraft-System Analysis: CRYOPLANE Final Technical report","type":"webpage"},"uris":["http://www.mendeley.com/documents/?uuid=b3eeedcc-8758-37af-a432-98261e54deb6"]}],"mendeley":{"formattedCitation":"(Airbus, 2003)","plainTextFormattedCitation":"(Airbus, 2003)","previouslyFormattedCitation":"(Airbus, 2003)"},"properties":{"noteIndex":0},"schema":"https://github.com/citation-style-language/schema/raw/master/csl-citation.json"}</w:instrText>
      </w:r>
      <w:r w:rsidRPr="000B7DCE">
        <w:rPr>
          <w:rFonts w:ascii="Times New Roman" w:hAnsi="Times New Roman" w:cs="Times New Roman"/>
          <w:sz w:val="24"/>
          <w:szCs w:val="24"/>
          <w:lang w:eastAsia="en-GB"/>
        </w:rPr>
        <w:fldChar w:fldCharType="separate"/>
      </w:r>
      <w:r w:rsidRPr="000B7DCE">
        <w:rPr>
          <w:rFonts w:ascii="Times New Roman" w:hAnsi="Times New Roman" w:cs="Times New Roman"/>
          <w:noProof/>
          <w:sz w:val="24"/>
          <w:szCs w:val="24"/>
          <w:lang w:eastAsia="en-GB"/>
        </w:rPr>
        <w:t>(Airbus, 2003)</w:t>
      </w:r>
      <w:r w:rsidRPr="000B7DCE">
        <w:rPr>
          <w:rFonts w:ascii="Times New Roman" w:hAnsi="Times New Roman" w:cs="Times New Roman"/>
          <w:sz w:val="24"/>
          <w:szCs w:val="24"/>
          <w:lang w:eastAsia="en-GB"/>
        </w:rPr>
        <w:fldChar w:fldCharType="end"/>
      </w:r>
      <w:r w:rsidRPr="000B7DCE">
        <w:rPr>
          <w:rFonts w:ascii="Times New Roman" w:hAnsi="Times New Roman" w:cs="Times New Roman"/>
          <w:sz w:val="24"/>
          <w:szCs w:val="24"/>
          <w:lang w:eastAsia="en-GB"/>
        </w:rPr>
        <w:t>.</w:t>
      </w:r>
      <w:r w:rsidR="0045513D" w:rsidRPr="00DB2332">
        <w:rPr>
          <w:rFonts w:ascii="Times New Roman" w:hAnsi="Times New Roman" w:cs="Times New Roman"/>
          <w:sz w:val="24"/>
          <w:szCs w:val="24"/>
          <w:lang w:eastAsia="en-GB"/>
        </w:rPr>
        <w:t xml:space="preserve"> </w:t>
      </w:r>
    </w:p>
    <w:p w14:paraId="1C83A681" w14:textId="67DCB0FF" w:rsidR="00BD1C1E" w:rsidRPr="00DB2332" w:rsidRDefault="008D74BD" w:rsidP="000C5E43">
      <w:pPr>
        <w:tabs>
          <w:tab w:val="left" w:pos="567"/>
        </w:tabs>
        <w:spacing w:after="0" w:line="480" w:lineRule="auto"/>
        <w:ind w:right="-46"/>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lastRenderedPageBreak/>
        <w:tab/>
      </w:r>
      <w:bookmarkStart w:id="0" w:name="_Hlk110885873"/>
      <w:proofErr w:type="spellStart"/>
      <w:r w:rsidR="00F0590B" w:rsidRPr="00DB2332">
        <w:rPr>
          <w:rFonts w:ascii="Times New Roman" w:hAnsi="Times New Roman" w:cs="Times New Roman"/>
          <w:sz w:val="24"/>
          <w:szCs w:val="24"/>
          <w:lang w:eastAsia="en-GB"/>
        </w:rPr>
        <w:t>Troeltsch</w:t>
      </w:r>
      <w:proofErr w:type="spellEnd"/>
      <w:r w:rsidR="00F0590B" w:rsidRPr="00DB2332">
        <w:rPr>
          <w:rFonts w:ascii="Times New Roman" w:hAnsi="Times New Roman" w:cs="Times New Roman"/>
          <w:sz w:val="24"/>
          <w:szCs w:val="24"/>
          <w:lang w:eastAsia="en-GB"/>
        </w:rPr>
        <w:t xml:space="preserve"> et al. </w:t>
      </w:r>
      <w:r w:rsidR="00F0590B" w:rsidRPr="00DB2332">
        <w:rPr>
          <w:rFonts w:ascii="Times New Roman" w:hAnsi="Times New Roman" w:cs="Times New Roman"/>
          <w:sz w:val="24"/>
          <w:szCs w:val="24"/>
          <w:lang w:eastAsia="en-GB"/>
        </w:rPr>
        <w:fldChar w:fldCharType="begin" w:fldLock="1"/>
      </w:r>
      <w:r w:rsidR="00F0590B" w:rsidRPr="00DB2332">
        <w:rPr>
          <w:rFonts w:ascii="Times New Roman" w:hAnsi="Times New Roman" w:cs="Times New Roman"/>
          <w:sz w:val="24"/>
          <w:szCs w:val="24"/>
          <w:lang w:eastAsia="en-GB"/>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impact","type":"article-journal"},"uris":["http://www.mendeley.com/documents/?uuid=d90e0e6c-9dda-3352-b961-f4f1159f9774"]}],"mendeley":{"formattedCitation":"(Troeltsch et al., 2020)","plainTextFormattedCitation":"(Troeltsch et al., 2020)","previouslyFormattedCitation":"(Troeltsch et al., 2020)"},"properties":{"noteIndex":0},"schema":"https://github.com/citation-style-language/schema/raw/master/csl-citation.json"}</w:instrText>
      </w:r>
      <w:r w:rsidR="00F0590B" w:rsidRPr="00DB2332">
        <w:rPr>
          <w:rFonts w:ascii="Times New Roman" w:hAnsi="Times New Roman" w:cs="Times New Roman"/>
          <w:sz w:val="24"/>
          <w:szCs w:val="24"/>
          <w:lang w:eastAsia="en-GB"/>
        </w:rPr>
        <w:fldChar w:fldCharType="separate"/>
      </w:r>
      <w:r w:rsidR="00F0590B" w:rsidRPr="00DB2332">
        <w:rPr>
          <w:rFonts w:ascii="Times New Roman" w:hAnsi="Times New Roman" w:cs="Times New Roman"/>
          <w:noProof/>
          <w:sz w:val="24"/>
          <w:szCs w:val="24"/>
          <w:lang w:eastAsia="en-GB"/>
        </w:rPr>
        <w:t>(Troeltsch et al., 2020)</w:t>
      </w:r>
      <w:r w:rsidR="00F0590B" w:rsidRPr="00DB2332">
        <w:rPr>
          <w:rFonts w:ascii="Times New Roman" w:hAnsi="Times New Roman" w:cs="Times New Roman"/>
          <w:sz w:val="24"/>
          <w:szCs w:val="24"/>
          <w:lang w:eastAsia="en-GB"/>
        </w:rPr>
        <w:fldChar w:fldCharType="end"/>
      </w:r>
      <w:r w:rsidR="00F0590B" w:rsidRPr="00FA6B79">
        <w:rPr>
          <w:rFonts w:ascii="Times New Roman" w:hAnsi="Times New Roman" w:cs="Times New Roman"/>
          <w:sz w:val="24"/>
          <w:szCs w:val="24"/>
          <w:lang w:eastAsia="en-GB"/>
        </w:rPr>
        <w:t xml:space="preserve"> designed an LH</w:t>
      </w:r>
      <w:r w:rsidR="00F0590B" w:rsidRPr="00DB2332">
        <w:rPr>
          <w:rFonts w:ascii="Times New Roman" w:hAnsi="Times New Roman" w:cs="Times New Roman"/>
          <w:sz w:val="24"/>
          <w:szCs w:val="24"/>
          <w:vertAlign w:val="subscript"/>
          <w:lang w:eastAsia="en-GB"/>
        </w:rPr>
        <w:t>2</w:t>
      </w:r>
      <w:r w:rsidR="00F0590B" w:rsidRPr="00DB2332">
        <w:rPr>
          <w:rFonts w:ascii="Times New Roman" w:hAnsi="Times New Roman" w:cs="Times New Roman"/>
          <w:sz w:val="24"/>
          <w:szCs w:val="24"/>
          <w:lang w:eastAsia="en-GB"/>
        </w:rPr>
        <w:t xml:space="preserve"> aircraft (range 11,853 km with 400 passengers) with reduced cruise Mach speed of 0.7 (from 0.82 of the reference Jet-A aircraft), which shows a 9% increase in SEC compared to the reference aircraft. </w:t>
      </w:r>
      <w:proofErr w:type="spellStart"/>
      <w:r w:rsidR="00F0590B" w:rsidRPr="00DB2332">
        <w:rPr>
          <w:rFonts w:ascii="Times New Roman" w:hAnsi="Times New Roman" w:cs="Times New Roman"/>
          <w:sz w:val="24"/>
          <w:szCs w:val="24"/>
          <w:lang w:eastAsia="en-GB"/>
        </w:rPr>
        <w:t>Proesmans</w:t>
      </w:r>
      <w:proofErr w:type="spellEnd"/>
      <w:r w:rsidR="00F0590B" w:rsidRPr="00DB2332">
        <w:rPr>
          <w:rFonts w:ascii="Times New Roman" w:hAnsi="Times New Roman" w:cs="Times New Roman"/>
          <w:sz w:val="24"/>
          <w:szCs w:val="24"/>
          <w:lang w:eastAsia="en-GB"/>
        </w:rPr>
        <w:t xml:space="preserve"> et al. </w:t>
      </w:r>
      <w:r w:rsidR="00F0590B" w:rsidRPr="00DB2332">
        <w:rPr>
          <w:rFonts w:ascii="Times New Roman" w:hAnsi="Times New Roman" w:cs="Times New Roman"/>
          <w:sz w:val="24"/>
          <w:szCs w:val="24"/>
          <w:lang w:eastAsia="en-GB"/>
        </w:rPr>
        <w:fldChar w:fldCharType="begin" w:fldLock="1"/>
      </w:r>
      <w:r w:rsidR="00F0590B" w:rsidRPr="00DB2332">
        <w:rPr>
          <w:rFonts w:ascii="Times New Roman" w:hAnsi="Times New Roman" w:cs="Times New Roman"/>
          <w:sz w:val="24"/>
          <w:szCs w:val="24"/>
          <w:lang w:eastAsia="en-GB"/>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00F0590B" w:rsidRPr="00DB2332">
        <w:rPr>
          <w:rFonts w:ascii="Times New Roman" w:hAnsi="Times New Roman" w:cs="Times New Roman"/>
          <w:sz w:val="24"/>
          <w:szCs w:val="24"/>
          <w:lang w:eastAsia="en-GB"/>
        </w:rPr>
        <w:fldChar w:fldCharType="separate"/>
      </w:r>
      <w:r w:rsidR="00F0590B" w:rsidRPr="00DB2332">
        <w:rPr>
          <w:rFonts w:ascii="Times New Roman" w:hAnsi="Times New Roman" w:cs="Times New Roman"/>
          <w:noProof/>
          <w:sz w:val="24"/>
          <w:szCs w:val="24"/>
          <w:lang w:eastAsia="en-GB"/>
        </w:rPr>
        <w:t>(Proesmans and Vos, 2022)</w:t>
      </w:r>
      <w:r w:rsidR="00F0590B" w:rsidRPr="00DB2332">
        <w:rPr>
          <w:rFonts w:ascii="Times New Roman" w:hAnsi="Times New Roman" w:cs="Times New Roman"/>
          <w:sz w:val="24"/>
          <w:szCs w:val="24"/>
          <w:lang w:eastAsia="en-GB"/>
        </w:rPr>
        <w:fldChar w:fldCharType="end"/>
      </w:r>
      <w:r w:rsidR="00F0590B" w:rsidRPr="00FA6B79">
        <w:rPr>
          <w:rFonts w:ascii="Times New Roman" w:hAnsi="Times New Roman" w:cs="Times New Roman"/>
          <w:sz w:val="24"/>
          <w:szCs w:val="24"/>
          <w:lang w:eastAsia="en-GB"/>
        </w:rPr>
        <w:t xml:space="preserve"> conducted a</w:t>
      </w:r>
      <w:r w:rsidR="00F0590B" w:rsidRPr="00DB2332">
        <w:rPr>
          <w:rFonts w:ascii="Times New Roman" w:hAnsi="Times New Roman" w:cs="Times New Roman"/>
          <w:sz w:val="24"/>
          <w:szCs w:val="24"/>
          <w:lang w:eastAsia="en-GB"/>
        </w:rPr>
        <w:t xml:space="preserve"> pareto-optimal design examination of LH</w:t>
      </w:r>
      <w:r w:rsidR="00F0590B" w:rsidRPr="00DB2332">
        <w:rPr>
          <w:rFonts w:ascii="Times New Roman" w:hAnsi="Times New Roman" w:cs="Times New Roman"/>
          <w:sz w:val="24"/>
          <w:szCs w:val="24"/>
          <w:vertAlign w:val="subscript"/>
          <w:lang w:eastAsia="en-GB"/>
        </w:rPr>
        <w:t>2</w:t>
      </w:r>
      <w:r w:rsidR="00F0590B" w:rsidRPr="00DB2332">
        <w:rPr>
          <w:rFonts w:ascii="Times New Roman" w:hAnsi="Times New Roman" w:cs="Times New Roman"/>
          <w:sz w:val="24"/>
          <w:szCs w:val="24"/>
          <w:lang w:eastAsia="en-GB"/>
        </w:rPr>
        <w:t xml:space="preserve"> powered aircraft for long-range aircraft, where each fuel and aircraft type was designed separately to minimise climate impact or operating costs. </w:t>
      </w:r>
      <w:r w:rsidR="00F0590B" w:rsidRPr="000B7DCE">
        <w:rPr>
          <w:rFonts w:ascii="Times New Roman" w:hAnsi="Times New Roman" w:cs="Times New Roman"/>
          <w:sz w:val="24"/>
          <w:szCs w:val="24"/>
          <w:lang w:eastAsia="en-GB"/>
        </w:rPr>
        <w:t>When minimising climate impact, for a long-range LTA aircraft, the optimal cruise altitude (6.1 km) and cruise Mach (0.6) are similar for their Jet-A and LH</w:t>
      </w:r>
      <w:r w:rsidR="00F0590B" w:rsidRPr="000B7DCE">
        <w:rPr>
          <w:rFonts w:ascii="Times New Roman" w:hAnsi="Times New Roman" w:cs="Times New Roman"/>
          <w:sz w:val="24"/>
          <w:szCs w:val="24"/>
          <w:vertAlign w:val="subscript"/>
          <w:lang w:eastAsia="en-GB"/>
        </w:rPr>
        <w:t>2</w:t>
      </w:r>
      <w:r w:rsidR="00F0590B" w:rsidRPr="000B7DCE">
        <w:rPr>
          <w:rFonts w:ascii="Times New Roman" w:hAnsi="Times New Roman" w:cs="Times New Roman"/>
          <w:sz w:val="24"/>
          <w:szCs w:val="24"/>
          <w:lang w:eastAsia="en-GB"/>
        </w:rPr>
        <w:t>, (present-day Jet-A aircraft cruise at typical altitude of ~10.5-12.8 km and Mach of up to ~0.9). The SEC of LH</w:t>
      </w:r>
      <w:r w:rsidR="00F0590B" w:rsidRPr="000B7DCE">
        <w:rPr>
          <w:rFonts w:ascii="Times New Roman" w:hAnsi="Times New Roman" w:cs="Times New Roman"/>
          <w:sz w:val="24"/>
          <w:szCs w:val="24"/>
          <w:vertAlign w:val="subscript"/>
          <w:lang w:eastAsia="en-GB"/>
        </w:rPr>
        <w:t xml:space="preserve">2 </w:t>
      </w:r>
      <w:r w:rsidR="00F0590B" w:rsidRPr="000B7DCE">
        <w:rPr>
          <w:rFonts w:ascii="Times New Roman" w:hAnsi="Times New Roman" w:cs="Times New Roman"/>
          <w:sz w:val="24"/>
          <w:szCs w:val="24"/>
          <w:lang w:eastAsia="en-GB"/>
        </w:rPr>
        <w:t>aircraft is 12.9% greater than the baseline Jet-A aircraft.</w:t>
      </w:r>
      <w:bookmarkEnd w:id="0"/>
    </w:p>
    <w:p w14:paraId="6309DF06" w14:textId="77777777" w:rsidR="007E0522" w:rsidRPr="00FA6B79" w:rsidRDefault="007E0522" w:rsidP="007E0522">
      <w:pPr>
        <w:pStyle w:val="Text"/>
        <w:tabs>
          <w:tab w:val="clear" w:pos="288"/>
          <w:tab w:val="left" w:pos="567"/>
        </w:tabs>
        <w:ind w:right="-46" w:firstLine="0"/>
        <w:rPr>
          <w:sz w:val="24"/>
          <w:szCs w:val="24"/>
          <w:lang w:val="en-GB"/>
        </w:rPr>
      </w:pPr>
      <w:r w:rsidRPr="00DB2332">
        <w:rPr>
          <w:sz w:val="24"/>
          <w:szCs w:val="24"/>
          <w:lang w:val="en-GB"/>
        </w:rPr>
        <w:tab/>
      </w:r>
      <w:r w:rsidRPr="000B7DCE">
        <w:rPr>
          <w:sz w:val="24"/>
          <w:szCs w:val="24"/>
          <w:lang w:val="en-GB"/>
        </w:rPr>
        <w:t>Different approved blends (with Jet-A) of drop-in SPK (no modifications to aircraft required for use) are currently the alternative to Jet-A fuel.</w:t>
      </w:r>
      <w:r w:rsidRPr="00FA6B79">
        <w:rPr>
          <w:sz w:val="24"/>
          <w:szCs w:val="24"/>
          <w:lang w:val="en-GB"/>
        </w:rPr>
        <w:t xml:space="preserve"> These include a 10% blend for sugar-to-jet, and 50% blends for hydro-processed ester and fatty acid, Fischer-</w:t>
      </w:r>
      <w:proofErr w:type="spellStart"/>
      <w:r w:rsidRPr="00FA6B79">
        <w:rPr>
          <w:sz w:val="24"/>
          <w:szCs w:val="24"/>
          <w:lang w:val="en-GB"/>
        </w:rPr>
        <w:t>Tropsch</w:t>
      </w:r>
      <w:proofErr w:type="spellEnd"/>
      <w:r w:rsidRPr="00FA6B79">
        <w:rPr>
          <w:sz w:val="24"/>
          <w:szCs w:val="24"/>
          <w:lang w:val="en-GB"/>
        </w:rPr>
        <w:t>, and alcohol-</w:t>
      </w:r>
      <w:r w:rsidRPr="00DB2332">
        <w:rPr>
          <w:sz w:val="24"/>
          <w:szCs w:val="24"/>
          <w:lang w:val="en-GB"/>
        </w:rPr>
        <w:t xml:space="preserve">to-jet pathways </w:t>
      </w:r>
      <w:r w:rsidRPr="00DB2332">
        <w:rPr>
          <w:sz w:val="24"/>
          <w:szCs w:val="24"/>
          <w:lang w:val="en-GB"/>
        </w:rPr>
        <w:fldChar w:fldCharType="begin" w:fldLock="1"/>
      </w:r>
      <w:r w:rsidRPr="00DB2332">
        <w:rPr>
          <w:sz w:val="24"/>
          <w:szCs w:val="24"/>
          <w:lang w:val="en-GB"/>
        </w:rPr>
        <w:instrText>ADDIN CSL_CITATION {"citationItems":[{"id":"ITEM-1","itemData":{"URL":"https://www.easa.europa.eu/eaer/topics/sustainable-aviation-fuels/bio-based-aviation-fuels","accessed":{"date-parts":[["2022","8","8"]]},"author":[{"dropping-particle":"","family":"EASA","given":"","non-dropping-particle":"","parse-names":false,"suffix":""}],"container-title":"European Union Aviation Safety Agency","id":"ITEM-1","issued":{"date-parts":[["2018"]]},"title":"Bio-based aviation fuels | European Aviation Environmental Report","type":"webpage"},"uris":["http://www.mendeley.com/documents/?uuid=98cb96a1-bb5e-39d1-961b-d30c5c675539"]},{"id":"ITEM-2","itemData":{"URL":"https://www.iata.org/contentassets/d13875e9ed784f75bac90f000760e998/saf-technical-certifications.pdf","accessed":{"date-parts":[["2020","4","6"]]},"author":[{"dropping-particle":"","family":"IATA","given":"","non-dropping-particle":"","parse-names":false,"suffix":""}],"container-title":"International Air Transport Association","id":"ITEM-2","issued":{"date-parts":[["2020"]]},"title":"Sustainable Aviation Fuels Sustainable Aviation Fuels: Fact Sheet 2","type":"webpage"},"uris":["http://www.mendeley.com/documents/?uuid=2663eda6-9bca-3788-860a-251e0a45c26b"]},{"id":"ITEM-3","itemData":{"DOI":"10.2514/6.2019-3887","author":[{"dropping-particle":"","family":"Jagtap","given":"Swapnil Sarjerao","non-dropping-particle":"","parse-names":false,"suffix":""}],"container-title":"AIAA Propulsion and Energy 2019 Forum","id":"ITEM-3","issued":{"date-parts":[["2019"]]},"publisher":"American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aviation","type":"paper-conference"},"uris":["http://www.mendeley.com/documents/?uuid=12ba6c3a-c7d6-47db-ab91-f709cd69554d"]},{"id":"ITEM-4","itemData":{"DOI":"10.2514/6.2016-4367","ISBN":"978-1-62410-440-4","author":[{"dropping-particle":"","family":"Jagtap","given":"Swapnil S.","non-dropping-particle":"","parse-names":false,"suffix":""}],"container-title":"16th AIAA Aviation Technology, Integration, and Operations Conference","id":"ITEM-4","issued":{"date-parts":[["2016","6","13"]]},"publisher":"American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aircrafts","type":"paper-conference"},"uris":["http://www.mendeley.com/documents/?uuid=44cc1d08-f021-3c74-962d-d1b7c5d5c865"]},{"id":"ITEM-5","itemData":{"DOI":"10.2514/6.2019-4332","author":[{"dropping-particle":"","family":"Jagtap","given":"Swapnil Sarjerao","non-dropping-particle":"","parse-names":false,"suffix":""}],"container-title":"AIAA Propulsion and Energy 2019 Forum","id":"ITEM-5","issued":{"date-parts":[["2019"]]},"publisher":"American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aviation","type":"paper-conference"},"uris":["http://www.mendeley.com/documents/?uuid=6e4e2fb8-dec4-48a1-831e-da1ab3115fd3"]},{"id":"ITEM-6","itemData":{"DOI":"10.2514/6.2019-4412","author":[{"dropping-particle":"","family":"Jagtap","given":"Swapnil Sarjerao","non-dropping-particle":"","parse-names":false,"suffix":""}],"container-title":"AIAA Propulsion and Energy 2019 Forum","id":"ITEM-6","issued":{"date-parts":[["2019"]]},"publisher":"American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aviation","type":"paper-conference"},"uris":["http://www.mendeley.com/documents/?uuid=51e99b94-0b75-40c6-a589-786848ed5173"]}],"mendeley":{"formattedCitation":"(EASA, 2018; IATA, 2020; Jagtap, 2019b, 2019c, 2019d, 2016)","plainTextFormattedCitation":"(EASA, 2018; IATA, 2020; Jagtap, 2019b, 2019c, 2019d, 2016)","previouslyFormattedCitation":"(EASA, 2018; IATA, 2020; Jagtap, 2019b, 2019c, 2019d, 2016)"},"properties":{"noteIndex":0},"schema":"https://github.com/citation-style-language/schema/raw/master/csl-citation.json"}</w:instrText>
      </w:r>
      <w:r w:rsidRPr="00DB2332">
        <w:rPr>
          <w:sz w:val="24"/>
          <w:szCs w:val="24"/>
          <w:lang w:val="en-GB"/>
        </w:rPr>
        <w:fldChar w:fldCharType="separate"/>
      </w:r>
      <w:r w:rsidRPr="00DB2332">
        <w:rPr>
          <w:noProof/>
          <w:sz w:val="24"/>
          <w:szCs w:val="24"/>
          <w:lang w:val="en-GB"/>
        </w:rPr>
        <w:t>(EASA, 2018; IATA, 2020; Jagtap, 2019b, 2019c, 2019d, 2016)</w:t>
      </w:r>
      <w:r w:rsidRPr="00DB2332">
        <w:rPr>
          <w:sz w:val="24"/>
          <w:szCs w:val="24"/>
          <w:lang w:val="en-GB"/>
        </w:rPr>
        <w:fldChar w:fldCharType="end"/>
      </w:r>
      <w:r w:rsidRPr="00FA6B79">
        <w:rPr>
          <w:sz w:val="24"/>
          <w:szCs w:val="24"/>
          <w:lang w:val="en-GB"/>
        </w:rPr>
        <w:t xml:space="preserve">. 100% SPK (biomass-based and power-to-liquid </w:t>
      </w:r>
      <w:r w:rsidRPr="00DB2332">
        <w:rPr>
          <w:sz w:val="24"/>
          <w:szCs w:val="24"/>
          <w:lang w:val="en-GB"/>
        </w:rPr>
        <w:fldChar w:fldCharType="begin" w:fldLock="1"/>
      </w:r>
      <w:r w:rsidRPr="00DB2332">
        <w:rPr>
          <w:sz w:val="24"/>
          <w:szCs w:val="24"/>
          <w:lang w:val="en-GB"/>
        </w:rPr>
        <w:instrText>ADDIN CSL_CITATION {"citationItems":[{"id":"ITEM-1","itemData":{"DOI":"10.1002/cite.201700129","ISSN":"0009286X","author":[{"dropping-particle":"","family":"Schmidt","given":"Patrick","non-dropping-particle":"","parse-names":false,"suffix":""},{"dropping-particle":"","family":"Batteiger","given":"Valentin","non-dropping-particle":"","parse-names":false,"suffix":""},{"dropping-particle":"","family":"Roth","given":"Arne","non-dropping-particle":"","parse-names":false,"suffix":""},{"dropping-particle":"","family":"Weindorf","given":"Werner","non-dropping-particle":"","parse-names":false,"suffix":""},{"dropping-particle":"","family":"Raksha","given":"Tetyana","non-dropping-particle":"","parse-names":false,"suffix":""}],"container-title":"Chemie Ingenieur Technik","id":"ITEM-1","issue":"1-2","issued":{"date-parts":[["2018","1","1"]]},"page":"127-140","publisher":"John Wiley &amp; Sons, Ltd","title":"Power-to-Liquids as Renewable Fuel Option for Aviation: A Review","type":"article-journal","volume":"90"},"uris":["http://www.mendeley.com/documents/?uuid=e7ed59d8-c73e-335b-9600-1b489fea364d"]}],"mendeley":{"formattedCitation":"(Schmidt et al., 2018)","plainTextFormattedCitation":"(Schmidt et al., 2018)","previouslyFormattedCitation":"(Schmidt et al., 2018)"},"properties":{"noteIndex":0},"schema":"https://github.com/citation-style-language/schema/raw/master/csl-citation.json"}</w:instrText>
      </w:r>
      <w:r w:rsidRPr="00DB2332">
        <w:rPr>
          <w:sz w:val="24"/>
          <w:szCs w:val="24"/>
          <w:lang w:val="en-GB"/>
        </w:rPr>
        <w:fldChar w:fldCharType="separate"/>
      </w:r>
      <w:r w:rsidRPr="00DB2332">
        <w:rPr>
          <w:noProof/>
          <w:sz w:val="24"/>
          <w:szCs w:val="24"/>
          <w:lang w:val="en-GB"/>
        </w:rPr>
        <w:t>(Schmidt et al., 2018)</w:t>
      </w:r>
      <w:r w:rsidRPr="00DB2332">
        <w:rPr>
          <w:sz w:val="24"/>
          <w:szCs w:val="24"/>
          <w:lang w:val="en-GB"/>
        </w:rPr>
        <w:fldChar w:fldCharType="end"/>
      </w:r>
      <w:r w:rsidRPr="00FA6B79">
        <w:rPr>
          <w:sz w:val="24"/>
          <w:szCs w:val="24"/>
          <w:lang w:val="en-GB"/>
        </w:rPr>
        <w:t>) is not stric</w:t>
      </w:r>
      <w:r w:rsidRPr="00DB2332">
        <w:rPr>
          <w:sz w:val="24"/>
          <w:szCs w:val="24"/>
          <w:lang w:val="en-GB"/>
        </w:rPr>
        <w:t xml:space="preserve">tly a drop-in fuel as it has not yet been approved </w:t>
      </w:r>
      <w:r w:rsidRPr="00DB2332">
        <w:rPr>
          <w:sz w:val="24"/>
          <w:szCs w:val="24"/>
          <w:lang w:val="en-GB"/>
        </w:rPr>
        <w:fldChar w:fldCharType="begin" w:fldLock="1"/>
      </w:r>
      <w:r w:rsidRPr="00DB2332">
        <w:rPr>
          <w:sz w:val="24"/>
          <w:szCs w:val="24"/>
          <w:lang w:val="en-GB"/>
        </w:rPr>
        <w:instrText>ADDIN CSL_CITATION {"citationItems":[{"id":"ITEM-1","itemData":{"author":[{"dropping-particle":"","family":"Lokesh","given":"Kadambari","non-dropping-particle":"","parse-names":false,"suffix":""}],"id":"ITEM-1","issued":{"date-parts":[["2015"]]},"publisher":"Cranfield University","title":"Techno-economic environmental risk analysis of advanced biofuels for civil aviation","type":"thesis"},"uris":["http://www.mendeley.com/documents/?uuid=19ab64b3-94dc-36e3-bbab-6dd938f57d50"]},{"id":"ITEM-2","itemData":{"DOI":"10.2514/6.2016-4367","ISBN":"978-1-62410-440-4","author":[{"dropping-particle":"","family":"Jagtap","given":"Swapnil S.","non-dropping-particle":"","parse-names":false,"suffix":""}],"container-title":"16th AIAA Aviation Technology, Integration, and Operations Conference","id":"ITEM-2","issued":{"date-parts":[["2016","6","13"]]},"publisher":"American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aircrafts","type":"paper-conference"},"uris":["http://www.mendeley.com/documents/?uuid=44cc1d08-f021-3c74-962d-d1b7c5d5c865"]}],"mendeley":{"formattedCitation":"(Jagtap, 2016; Lokesh, 2015)","plainTextFormattedCitation":"(Jagtap, 2016; Lokesh, 2015)","previouslyFormattedCitation":"(Jagtap, 2016; Lokesh, 2015)"},"properties":{"noteIndex":0},"schema":"https://github.com/citation-style-language/schema/raw/master/csl-citation.json"}</w:instrText>
      </w:r>
      <w:r w:rsidRPr="00DB2332">
        <w:rPr>
          <w:sz w:val="24"/>
          <w:szCs w:val="24"/>
          <w:lang w:val="en-GB"/>
        </w:rPr>
        <w:fldChar w:fldCharType="separate"/>
      </w:r>
      <w:r w:rsidRPr="00DB2332">
        <w:rPr>
          <w:noProof/>
          <w:sz w:val="24"/>
          <w:szCs w:val="24"/>
          <w:lang w:val="en-GB"/>
        </w:rPr>
        <w:t>(Jagtap, 2016; Lokesh, 2015)</w:t>
      </w:r>
      <w:r w:rsidRPr="00DB2332">
        <w:rPr>
          <w:sz w:val="24"/>
          <w:szCs w:val="24"/>
          <w:lang w:val="en-GB"/>
        </w:rPr>
        <w:fldChar w:fldCharType="end"/>
      </w:r>
      <w:r w:rsidRPr="00FA6B79">
        <w:rPr>
          <w:sz w:val="24"/>
          <w:szCs w:val="24"/>
          <w:lang w:val="en-GB"/>
        </w:rPr>
        <w:t>.</w:t>
      </w:r>
      <w:r w:rsidRPr="000B7DCE">
        <w:rPr>
          <w:sz w:val="24"/>
          <w:szCs w:val="24"/>
          <w:lang w:eastAsia="en-GB"/>
        </w:rPr>
        <w:t xml:space="preserve"> S</w:t>
      </w:r>
      <w:r w:rsidRPr="000B7DCE">
        <w:rPr>
          <w:sz w:val="24"/>
          <w:szCs w:val="24"/>
        </w:rPr>
        <w:t xml:space="preserve">tudies by </w:t>
      </w:r>
      <w:r w:rsidRPr="000B7DCE">
        <w:rPr>
          <w:sz w:val="24"/>
          <w:szCs w:val="24"/>
          <w:lang w:eastAsia="en-GB"/>
        </w:rPr>
        <w:t xml:space="preserve">Hileman et al. </w:t>
      </w:r>
      <w:r w:rsidRPr="000B7DCE">
        <w:rPr>
          <w:sz w:val="24"/>
          <w:szCs w:val="24"/>
          <w:lang w:eastAsia="en-GB"/>
        </w:rPr>
        <w:fldChar w:fldCharType="begin" w:fldLock="1"/>
      </w:r>
      <w:r w:rsidRPr="000B7DCE">
        <w:rPr>
          <w:sz w:val="24"/>
          <w:szCs w:val="24"/>
          <w:lang w:eastAsia="en-GB"/>
        </w:rPr>
        <w:instrText>ADDIN CSL_CITATION {"citationItems":[{"id":"ITEM-1","itemData":{"DOI":"10.2514/1.46232","ISSN":"0748-4658","author":[{"dropping-particle":"","family":"Hileman","given":"James I.","non-dropping-particle":"","parse-names":false,"suffix":""},{"dropping-particle":"","family":"Donohoo","given":"Pearl E.","non-dropping-particle":"","parse-names":false,"suffix":""},{"dropping-particle":"","family":"Stratton","given":"Russell W.","non-dropping-particle":"","parse-names":false,"suffix":""}],"container-title":"Journal of Propulsion and Power","id":"ITEM-1","issue":"6","issued":{"date-parts":[["2010","11","23"]]},"page":"1184-1196","title":"Energy Content and Alternative Jet Fuel Viability","type":"article-journal","volume":"26"},"uris":["http://www.mendeley.com/documents/?uuid=af9b0b5f-4290-30d8-b72b-899edbf3e8d4"]}],"mendeley":{"formattedCitation":"(Hileman et al., 2010)","plainTextFormattedCitation":"(Hileman et al., 2010)","previouslyFormattedCitation":"(Hileman et al., 2010)"},"properties":{"noteIndex":0},"schema":"https://github.com/citation-style-language/schema/raw/master/csl-citation.json"}</w:instrText>
      </w:r>
      <w:r w:rsidRPr="000B7DCE">
        <w:rPr>
          <w:sz w:val="24"/>
          <w:szCs w:val="24"/>
          <w:lang w:eastAsia="en-GB"/>
        </w:rPr>
        <w:fldChar w:fldCharType="separate"/>
      </w:r>
      <w:r w:rsidRPr="000B7DCE">
        <w:rPr>
          <w:noProof/>
          <w:sz w:val="24"/>
          <w:szCs w:val="24"/>
          <w:lang w:eastAsia="en-GB"/>
        </w:rPr>
        <w:t>(Hileman et al., 2010)</w:t>
      </w:r>
      <w:r w:rsidRPr="000B7DCE">
        <w:rPr>
          <w:sz w:val="24"/>
          <w:szCs w:val="24"/>
          <w:lang w:eastAsia="en-GB"/>
        </w:rPr>
        <w:fldChar w:fldCharType="end"/>
      </w:r>
      <w:r w:rsidRPr="000B7DCE">
        <w:rPr>
          <w:sz w:val="24"/>
          <w:szCs w:val="24"/>
          <w:lang w:eastAsia="en-GB"/>
        </w:rPr>
        <w:t xml:space="preserve"> and</w:t>
      </w:r>
      <w:r w:rsidRPr="000B7DCE">
        <w:rPr>
          <w:sz w:val="24"/>
          <w:szCs w:val="24"/>
        </w:rPr>
        <w:t xml:space="preserve"> </w:t>
      </w:r>
      <w:proofErr w:type="spellStart"/>
      <w:r w:rsidRPr="000B7DCE">
        <w:rPr>
          <w:sz w:val="24"/>
          <w:szCs w:val="24"/>
        </w:rPr>
        <w:t>Proesmans</w:t>
      </w:r>
      <w:proofErr w:type="spellEnd"/>
      <w:r w:rsidRPr="000B7DCE">
        <w:rPr>
          <w:sz w:val="24"/>
          <w:szCs w:val="24"/>
        </w:rPr>
        <w:t xml:space="preserve"> et al. </w:t>
      </w:r>
      <w:r w:rsidRPr="000B7DCE">
        <w:rPr>
          <w:sz w:val="24"/>
          <w:szCs w:val="24"/>
        </w:rPr>
        <w:fldChar w:fldCharType="begin" w:fldLock="1"/>
      </w:r>
      <w:r w:rsidRPr="000B7DCE">
        <w:rPr>
          <w:sz w:val="24"/>
          <w:szCs w:val="24"/>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Pr="000B7DCE">
        <w:rPr>
          <w:sz w:val="24"/>
          <w:szCs w:val="24"/>
        </w:rPr>
        <w:fldChar w:fldCharType="separate"/>
      </w:r>
      <w:r w:rsidRPr="000B7DCE">
        <w:rPr>
          <w:noProof/>
          <w:sz w:val="24"/>
          <w:szCs w:val="24"/>
        </w:rPr>
        <w:t>(Proesmans and Vos, 2022)</w:t>
      </w:r>
      <w:r w:rsidRPr="000B7DCE">
        <w:rPr>
          <w:sz w:val="24"/>
          <w:szCs w:val="24"/>
        </w:rPr>
        <w:fldChar w:fldCharType="end"/>
      </w:r>
      <w:r w:rsidRPr="000B7DCE">
        <w:rPr>
          <w:sz w:val="24"/>
          <w:szCs w:val="24"/>
        </w:rPr>
        <w:t xml:space="preserve"> found that a 100% SPK aircraft had similar energy consumption as that of a Jet-A aircraft.</w:t>
      </w:r>
    </w:p>
    <w:p w14:paraId="45FC6DA5" w14:textId="0CBDE171" w:rsidR="007E0522" w:rsidRPr="00FA6B79" w:rsidRDefault="007E0522" w:rsidP="007E0522">
      <w:pPr>
        <w:tabs>
          <w:tab w:val="left" w:pos="567"/>
        </w:tabs>
        <w:spacing w:after="0" w:line="480" w:lineRule="auto"/>
        <w:ind w:right="-46"/>
        <w:jc w:val="both"/>
        <w:rPr>
          <w:rFonts w:ascii="Times New Roman" w:hAnsi="Times New Roman" w:cs="Times New Roman"/>
          <w:sz w:val="24"/>
          <w:szCs w:val="24"/>
          <w:lang w:eastAsia="en-GB"/>
        </w:rPr>
      </w:pPr>
      <w:r w:rsidRPr="000B7DCE">
        <w:rPr>
          <w:rFonts w:ascii="Times New Roman" w:hAnsi="Times New Roman" w:cs="Times New Roman"/>
          <w:sz w:val="24"/>
          <w:szCs w:val="24"/>
        </w:rPr>
        <w:tab/>
      </w:r>
      <w:proofErr w:type="spellStart"/>
      <w:r w:rsidRPr="000B7DCE">
        <w:rPr>
          <w:rFonts w:ascii="Times New Roman" w:hAnsi="Times New Roman" w:cs="Times New Roman"/>
          <w:sz w:val="24"/>
          <w:szCs w:val="24"/>
        </w:rPr>
        <w:t>Bicer</w:t>
      </w:r>
      <w:proofErr w:type="spellEnd"/>
      <w:r w:rsidRPr="000B7DCE">
        <w:rPr>
          <w:rFonts w:ascii="Times New Roman" w:hAnsi="Times New Roman" w:cs="Times New Roman"/>
          <w:sz w:val="24"/>
          <w:szCs w:val="24"/>
        </w:rPr>
        <w:t xml:space="preserve"> et al. </w:t>
      </w:r>
      <w:r w:rsidRPr="00DB2332">
        <w:rPr>
          <w:rFonts w:ascii="Times New Roman" w:eastAsia="Times New Roman" w:hAnsi="Times New Roman" w:cs="Times New Roman"/>
          <w:sz w:val="24"/>
          <w:szCs w:val="24"/>
          <w:lang w:val="en-US"/>
        </w:rPr>
        <w:fldChar w:fldCharType="begin" w:fldLock="1"/>
      </w:r>
      <w:r w:rsidRPr="000B7DCE">
        <w:rPr>
          <w:rFonts w:ascii="Times New Roman" w:hAnsi="Times New Roman" w:cs="Times New Roman"/>
          <w:sz w:val="24"/>
          <w:szCs w:val="24"/>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aircrafts","type":"article-journal","volume":"42"},"uris":["http://www.mendeley.com/documents/?uuid=2a2cc1c3-f7c4-37da-9506-37d410e87790"]}],"mendeley":{"formattedCitation":"(Bicer and Dincer, 2017)","plainTextFormattedCitation":"(Bicer and Dincer, 2017)","previouslyFormattedCitation":"(Bicer and Dincer, 2017)"},"properties":{"noteIndex":0},"schema":"https://github.com/citation-style-language/schema/raw/master/csl-citation.json"}</w:instrText>
      </w:r>
      <w:r w:rsidRPr="00DB2332">
        <w:rPr>
          <w:rFonts w:ascii="Times New Roman" w:eastAsia="Times New Roman" w:hAnsi="Times New Roman" w:cs="Times New Roman"/>
          <w:sz w:val="24"/>
          <w:szCs w:val="24"/>
          <w:lang w:val="en-US"/>
        </w:rPr>
        <w:fldChar w:fldCharType="separate"/>
      </w:r>
      <w:r w:rsidRPr="000B7DCE">
        <w:rPr>
          <w:rFonts w:ascii="Times New Roman" w:hAnsi="Times New Roman" w:cs="Times New Roman"/>
          <w:noProof/>
          <w:sz w:val="24"/>
          <w:szCs w:val="24"/>
        </w:rPr>
        <w:t>(Bicer and Dincer, 2017)</w:t>
      </w:r>
      <w:r w:rsidRPr="00DB2332">
        <w:rPr>
          <w:rFonts w:ascii="Times New Roman" w:eastAsia="Times New Roman" w:hAnsi="Times New Roman" w:cs="Times New Roman"/>
          <w:sz w:val="24"/>
          <w:szCs w:val="24"/>
          <w:lang w:val="en-US"/>
        </w:rPr>
        <w:fldChar w:fldCharType="end"/>
      </w:r>
      <w:r w:rsidRPr="000B7DCE">
        <w:rPr>
          <w:rFonts w:ascii="Times New Roman" w:hAnsi="Times New Roman" w:cs="Times New Roman"/>
          <w:sz w:val="24"/>
          <w:szCs w:val="24"/>
        </w:rPr>
        <w:t xml:space="preserve"> examined small twin aisle aircraft of conventional tube-wing architecture (like Boeing 767) with a mid-range flight of 5,600 km, where the aircraft is operated by Jet-A, LH</w:t>
      </w:r>
      <w:r w:rsidRPr="000B7DCE">
        <w:rPr>
          <w:rFonts w:ascii="Times New Roman" w:hAnsi="Times New Roman" w:cs="Times New Roman"/>
          <w:sz w:val="24"/>
          <w:szCs w:val="24"/>
          <w:vertAlign w:val="subscript"/>
        </w:rPr>
        <w:t>2</w:t>
      </w:r>
      <w:r w:rsidRPr="000B7DCE">
        <w:rPr>
          <w:rFonts w:ascii="Times New Roman" w:hAnsi="Times New Roman" w:cs="Times New Roman"/>
          <w:sz w:val="24"/>
          <w:szCs w:val="24"/>
        </w:rPr>
        <w:t>, liquid natural gas (LNG), liquid ammonia (LNH</w:t>
      </w:r>
      <w:r w:rsidRPr="000B7DCE">
        <w:rPr>
          <w:rFonts w:ascii="Times New Roman" w:hAnsi="Times New Roman" w:cs="Times New Roman"/>
          <w:sz w:val="24"/>
          <w:szCs w:val="24"/>
          <w:vertAlign w:val="subscript"/>
        </w:rPr>
        <w:t>3</w:t>
      </w:r>
      <w:r w:rsidRPr="000B7DCE">
        <w:rPr>
          <w:rFonts w:ascii="Times New Roman" w:hAnsi="Times New Roman" w:cs="Times New Roman"/>
          <w:sz w:val="24"/>
          <w:szCs w:val="24"/>
        </w:rPr>
        <w:t xml:space="preserve">), ethanol, and methanol. However, it is unclear how the volumetric energy density of these alternative fuels and the subsequent impacts on aircraft design and energy performance were accounted for. The above five alternative fuels and 100% SPK appear to be the principal future alternatives to the Jet-A fuel, and there is a need to quantitatively evaluate the performance of these six fuels to </w:t>
      </w:r>
      <w:r w:rsidRPr="000B7DCE">
        <w:rPr>
          <w:rFonts w:ascii="Times New Roman" w:hAnsi="Times New Roman" w:cs="Times New Roman"/>
          <w:sz w:val="24"/>
          <w:szCs w:val="24"/>
        </w:rPr>
        <w:lastRenderedPageBreak/>
        <w:t>determine if they could enable long-range travel with an LTA aircraft considering their realistic effects on aircraft design.</w:t>
      </w:r>
    </w:p>
    <w:p w14:paraId="640A6F37" w14:textId="5E55B68E" w:rsidR="00042B1B" w:rsidRPr="00DB2332" w:rsidRDefault="00BD1C1E" w:rsidP="00D735C9">
      <w:pPr>
        <w:tabs>
          <w:tab w:val="left" w:pos="567"/>
        </w:tabs>
        <w:spacing w:after="0" w:line="480" w:lineRule="auto"/>
        <w:ind w:right="-46"/>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r>
      <w:r w:rsidR="0F032B61" w:rsidRPr="00DB2332">
        <w:rPr>
          <w:rFonts w:ascii="Times New Roman" w:hAnsi="Times New Roman" w:cs="Times New Roman"/>
          <w:sz w:val="24"/>
          <w:szCs w:val="24"/>
          <w:lang w:eastAsia="en-GB"/>
        </w:rPr>
        <w:t>In summary</w:t>
      </w:r>
      <w:r w:rsidR="004D2E13" w:rsidRPr="00DB2332">
        <w:rPr>
          <w:rFonts w:ascii="Times New Roman" w:hAnsi="Times New Roman" w:cs="Times New Roman"/>
          <w:sz w:val="24"/>
          <w:szCs w:val="24"/>
          <w:lang w:eastAsia="en-GB"/>
        </w:rPr>
        <w:t>, there are a limited</w:t>
      </w:r>
      <w:r w:rsidR="00240A6D" w:rsidRPr="00DB2332">
        <w:rPr>
          <w:rFonts w:ascii="Times New Roman" w:hAnsi="Times New Roman" w:cs="Times New Roman"/>
          <w:sz w:val="24"/>
          <w:szCs w:val="24"/>
          <w:lang w:eastAsia="en-GB"/>
        </w:rPr>
        <w:t xml:space="preserve"> number of</w:t>
      </w:r>
      <w:r w:rsidR="004D2E13" w:rsidRPr="00DB2332">
        <w:rPr>
          <w:rFonts w:ascii="Times New Roman" w:hAnsi="Times New Roman" w:cs="Times New Roman"/>
          <w:sz w:val="24"/>
          <w:szCs w:val="24"/>
          <w:lang w:eastAsia="en-GB"/>
        </w:rPr>
        <w:t xml:space="preserve"> studies that design an LTA long-range single-decker aircraft</w:t>
      </w:r>
      <w:r w:rsidR="00CB67D7" w:rsidRPr="00DB2332">
        <w:rPr>
          <w:rFonts w:ascii="Times New Roman" w:hAnsi="Times New Roman" w:cs="Times New Roman"/>
          <w:sz w:val="24"/>
          <w:szCs w:val="24"/>
          <w:lang w:eastAsia="en-GB"/>
        </w:rPr>
        <w:t xml:space="preserve"> </w:t>
      </w:r>
      <w:r w:rsidR="004D2E13" w:rsidRPr="00DB2332">
        <w:rPr>
          <w:rFonts w:ascii="Times New Roman" w:hAnsi="Times New Roman" w:cs="Times New Roman"/>
          <w:sz w:val="24"/>
          <w:szCs w:val="24"/>
          <w:lang w:eastAsia="en-GB"/>
        </w:rPr>
        <w:t xml:space="preserve">completely powered by </w:t>
      </w:r>
      <w:r w:rsidR="00B9498E" w:rsidRPr="00DB2332">
        <w:rPr>
          <w:rFonts w:ascii="Times New Roman" w:hAnsi="Times New Roman" w:cs="Times New Roman"/>
          <w:sz w:val="24"/>
          <w:szCs w:val="24"/>
          <w:lang w:eastAsia="en-GB"/>
        </w:rPr>
        <w:t xml:space="preserve">the </w:t>
      </w:r>
      <w:r w:rsidR="004D2E13" w:rsidRPr="00DB2332">
        <w:rPr>
          <w:rFonts w:ascii="Times New Roman" w:hAnsi="Times New Roman" w:cs="Times New Roman"/>
          <w:sz w:val="24"/>
          <w:szCs w:val="24"/>
          <w:lang w:eastAsia="en-GB"/>
        </w:rPr>
        <w:t>combustion of LH</w:t>
      </w:r>
      <w:r w:rsidR="004D2E13" w:rsidRPr="00DB2332">
        <w:rPr>
          <w:rFonts w:ascii="Times New Roman" w:hAnsi="Times New Roman" w:cs="Times New Roman"/>
          <w:sz w:val="24"/>
          <w:szCs w:val="24"/>
          <w:vertAlign w:val="subscript"/>
          <w:lang w:eastAsia="en-GB"/>
        </w:rPr>
        <w:t>2</w:t>
      </w:r>
      <w:r w:rsidR="004D2E13" w:rsidRPr="00DB2332">
        <w:rPr>
          <w:rFonts w:ascii="Times New Roman" w:hAnsi="Times New Roman" w:cs="Times New Roman"/>
          <w:sz w:val="24"/>
          <w:szCs w:val="24"/>
          <w:lang w:eastAsia="en-GB"/>
        </w:rPr>
        <w:t xml:space="preserve">, to the same design specification as that of </w:t>
      </w:r>
      <w:r w:rsidR="450736E8" w:rsidRPr="00DB2332">
        <w:rPr>
          <w:rFonts w:ascii="Times New Roman" w:hAnsi="Times New Roman" w:cs="Times New Roman"/>
          <w:sz w:val="24"/>
          <w:szCs w:val="24"/>
          <w:lang w:eastAsia="en-GB"/>
        </w:rPr>
        <w:t>today’s</w:t>
      </w:r>
      <w:r w:rsidR="004D2E13" w:rsidRPr="00DB2332">
        <w:rPr>
          <w:rFonts w:ascii="Times New Roman" w:hAnsi="Times New Roman" w:cs="Times New Roman"/>
          <w:sz w:val="24"/>
          <w:szCs w:val="24"/>
          <w:lang w:eastAsia="en-GB"/>
        </w:rPr>
        <w:t xml:space="preserve"> baseline Jet-A aircraft.</w:t>
      </w:r>
      <w:r w:rsidR="009C0235" w:rsidRPr="00DB2332">
        <w:rPr>
          <w:rFonts w:ascii="Times New Roman" w:hAnsi="Times New Roman" w:cs="Times New Roman"/>
          <w:sz w:val="24"/>
          <w:szCs w:val="24"/>
          <w:lang w:eastAsia="en-GB"/>
        </w:rPr>
        <w:t xml:space="preserve"> A more detailed review (with relevant quantification) of the above different aircraft propulsion technologies and energy vectors, and alternative fuels is provided in the </w:t>
      </w:r>
      <w:r w:rsidR="00735B16" w:rsidRPr="00DB2332">
        <w:rPr>
          <w:rFonts w:ascii="Times New Roman" w:hAnsi="Times New Roman" w:cs="Times New Roman"/>
          <w:sz w:val="24"/>
          <w:szCs w:val="24"/>
          <w:lang w:eastAsia="en-GB"/>
        </w:rPr>
        <w:t>S</w:t>
      </w:r>
      <w:r w:rsidR="009C0235" w:rsidRPr="00DB2332">
        <w:rPr>
          <w:rFonts w:ascii="Times New Roman" w:hAnsi="Times New Roman" w:cs="Times New Roman"/>
          <w:sz w:val="24"/>
          <w:szCs w:val="24"/>
          <w:lang w:eastAsia="en-GB"/>
        </w:rPr>
        <w:t xml:space="preserve">upplementary </w:t>
      </w:r>
      <w:r w:rsidR="00735B16" w:rsidRPr="00DB2332">
        <w:rPr>
          <w:rFonts w:ascii="Times New Roman" w:hAnsi="Times New Roman" w:cs="Times New Roman"/>
          <w:sz w:val="24"/>
          <w:szCs w:val="24"/>
          <w:lang w:eastAsia="en-GB"/>
        </w:rPr>
        <w:t>I</w:t>
      </w:r>
      <w:r w:rsidR="009C0235" w:rsidRPr="00DB2332">
        <w:rPr>
          <w:rFonts w:ascii="Times New Roman" w:hAnsi="Times New Roman" w:cs="Times New Roman"/>
          <w:sz w:val="24"/>
          <w:szCs w:val="24"/>
          <w:lang w:eastAsia="en-GB"/>
        </w:rPr>
        <w:t>nformation file (SI) (in SI §1).</w:t>
      </w:r>
    </w:p>
    <w:p w14:paraId="7785EF05" w14:textId="493C472D" w:rsidR="00D735C9" w:rsidRPr="00DB2332" w:rsidRDefault="00D735C9" w:rsidP="0050213D">
      <w:pPr>
        <w:tabs>
          <w:tab w:val="left" w:pos="567"/>
        </w:tabs>
        <w:spacing w:line="480" w:lineRule="auto"/>
        <w:ind w:right="-46"/>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t>The present work is a low-order evaluation of the aircraft energy performance using different fuels. The methodology for the performance evaluation is detailed in §3 followed by results and discussion in §4. Details omitted from the main text are included in the SI document.</w:t>
      </w:r>
    </w:p>
    <w:p w14:paraId="08CEC091" w14:textId="297177AA" w:rsidR="002F63CF" w:rsidRPr="00DB2332" w:rsidRDefault="002F63CF" w:rsidP="000C5E43">
      <w:pPr>
        <w:pStyle w:val="Heading1"/>
        <w:spacing w:before="0" w:after="240" w:line="480" w:lineRule="auto"/>
        <w:ind w:right="-46"/>
        <w:jc w:val="both"/>
        <w:rPr>
          <w:rFonts w:ascii="Times New Roman" w:eastAsia="Times New Roman" w:hAnsi="Times New Roman" w:cs="Times New Roman"/>
          <w:b/>
          <w:bCs/>
          <w:color w:val="auto"/>
          <w:sz w:val="24"/>
          <w:szCs w:val="24"/>
          <w:bdr w:val="none" w:sz="0" w:space="0" w:color="auto" w:frame="1"/>
          <w:lang w:eastAsia="en-GB"/>
        </w:rPr>
      </w:pPr>
      <w:r w:rsidRPr="00DB2332">
        <w:rPr>
          <w:rFonts w:ascii="Times New Roman" w:eastAsia="Times New Roman" w:hAnsi="Times New Roman" w:cs="Times New Roman"/>
          <w:b/>
          <w:bCs/>
          <w:color w:val="auto"/>
          <w:sz w:val="24"/>
          <w:szCs w:val="24"/>
          <w:bdr w:val="none" w:sz="0" w:space="0" w:color="auto" w:frame="1"/>
          <w:lang w:eastAsia="en-GB"/>
        </w:rPr>
        <w:t>Methodology</w:t>
      </w:r>
    </w:p>
    <w:p w14:paraId="65D684F0" w14:textId="77777777" w:rsidR="00240A6D" w:rsidRPr="00DB2332" w:rsidRDefault="00E376BA" w:rsidP="00240A6D">
      <w:pPr>
        <w:spacing w:line="480" w:lineRule="auto"/>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r>
      <w:r w:rsidR="007C53EE" w:rsidRPr="00DB2332">
        <w:rPr>
          <w:rFonts w:ascii="Times New Roman" w:hAnsi="Times New Roman" w:cs="Times New Roman"/>
          <w:sz w:val="24"/>
          <w:szCs w:val="24"/>
          <w:lang w:eastAsia="en-GB"/>
        </w:rPr>
        <w:t xml:space="preserve">We use Breguet’s range equation </w:t>
      </w:r>
      <w:r w:rsidRPr="00DB2332">
        <w:rPr>
          <w:rFonts w:ascii="Times New Roman" w:hAnsi="Times New Roman" w:cs="Times New Roman"/>
          <w:sz w:val="24"/>
          <w:szCs w:val="24"/>
          <w:lang w:eastAsia="en-GB"/>
        </w:rPr>
        <w:t xml:space="preserve">for the performance evaluation of methanol, ethanol, 100% </w:t>
      </w:r>
      <w:r w:rsidRPr="00DB2332">
        <w:rPr>
          <w:rFonts w:ascii="Times New Roman" w:hAnsi="Times New Roman" w:cs="Times New Roman"/>
          <w:sz w:val="24"/>
          <w:szCs w:val="24"/>
        </w:rPr>
        <w:t>SPK</w:t>
      </w:r>
      <w:r w:rsidRPr="00DB2332">
        <w:rPr>
          <w:rFonts w:ascii="Times New Roman" w:hAnsi="Times New Roman" w:cs="Times New Roman"/>
          <w:sz w:val="24"/>
          <w:szCs w:val="24"/>
          <w:lang w:eastAsia="en-GB"/>
        </w:rPr>
        <w:t xml:space="preserve">, </w:t>
      </w:r>
      <w:r w:rsidRPr="00DB2332">
        <w:rPr>
          <w:rFonts w:ascii="Times New Roman" w:hAnsi="Times New Roman" w:cs="Times New Roman"/>
          <w:sz w:val="24"/>
          <w:szCs w:val="24"/>
        </w:rPr>
        <w:t>LH</w:t>
      </w:r>
      <w:r w:rsidRPr="00DB2332">
        <w:rPr>
          <w:rFonts w:ascii="Times New Roman" w:hAnsi="Times New Roman" w:cs="Times New Roman"/>
          <w:sz w:val="24"/>
          <w:szCs w:val="24"/>
          <w:vertAlign w:val="subscript"/>
        </w:rPr>
        <w:t>2</w:t>
      </w:r>
      <w:r w:rsidRPr="00DB2332">
        <w:rPr>
          <w:rFonts w:ascii="Times New Roman" w:eastAsia="Times New Roman" w:hAnsi="Times New Roman" w:cs="Times New Roman"/>
          <w:sz w:val="24"/>
          <w:szCs w:val="24"/>
          <w:lang w:eastAsia="en-GB"/>
        </w:rPr>
        <w:t>, LNG, and LNH</w:t>
      </w:r>
      <w:r w:rsidRPr="00DB2332">
        <w:rPr>
          <w:rFonts w:ascii="Times New Roman" w:eastAsia="Times New Roman" w:hAnsi="Times New Roman" w:cs="Times New Roman"/>
          <w:sz w:val="24"/>
          <w:szCs w:val="24"/>
          <w:vertAlign w:val="subscript"/>
          <w:lang w:eastAsia="en-GB"/>
        </w:rPr>
        <w:t>3</w:t>
      </w:r>
      <w:r w:rsidRPr="00DB2332">
        <w:rPr>
          <w:rFonts w:ascii="Times New Roman" w:hAnsi="Times New Roman" w:cs="Times New Roman"/>
          <w:sz w:val="24"/>
          <w:szCs w:val="24"/>
          <w:lang w:eastAsia="en-GB"/>
        </w:rPr>
        <w:t>.</w:t>
      </w:r>
      <w:r w:rsidR="007C53EE" w:rsidRPr="00DB2332">
        <w:rPr>
          <w:rFonts w:ascii="Times New Roman" w:hAnsi="Times New Roman" w:cs="Times New Roman"/>
          <w:sz w:val="24"/>
          <w:szCs w:val="24"/>
          <w:lang w:eastAsia="en-GB"/>
        </w:rPr>
        <w:t xml:space="preserve"> The Airbus 350-1000 aircraft is used as a </w:t>
      </w:r>
      <w:proofErr w:type="gramStart"/>
      <w:r w:rsidR="0086232C" w:rsidRPr="00DB2332">
        <w:rPr>
          <w:rFonts w:ascii="Times New Roman" w:hAnsi="Times New Roman" w:cs="Times New Roman"/>
          <w:sz w:val="24"/>
          <w:szCs w:val="24"/>
          <w:lang w:eastAsia="en-GB"/>
        </w:rPr>
        <w:t>baseline</w:t>
      </w:r>
      <w:proofErr w:type="gramEnd"/>
      <w:r w:rsidR="0086232C" w:rsidRPr="00DB2332">
        <w:rPr>
          <w:rFonts w:ascii="Times New Roman" w:hAnsi="Times New Roman" w:cs="Times New Roman"/>
          <w:sz w:val="24"/>
          <w:szCs w:val="24"/>
          <w:lang w:eastAsia="en-GB"/>
        </w:rPr>
        <w:t xml:space="preserve"> </w:t>
      </w:r>
      <w:r w:rsidR="007C53EE" w:rsidRPr="00DB2332">
        <w:rPr>
          <w:rFonts w:ascii="Times New Roman" w:hAnsi="Times New Roman" w:cs="Times New Roman"/>
          <w:sz w:val="24"/>
          <w:szCs w:val="24"/>
          <w:lang w:eastAsia="en-GB"/>
        </w:rPr>
        <w:t xml:space="preserve">and it is modified for the use of the six fuels </w:t>
      </w:r>
      <w:r w:rsidR="00ED6252" w:rsidRPr="00DB2332">
        <w:rPr>
          <w:rFonts w:ascii="Times New Roman" w:hAnsi="Times New Roman" w:cs="Times New Roman"/>
          <w:sz w:val="24"/>
          <w:szCs w:val="24"/>
          <w:lang w:eastAsia="en-GB"/>
        </w:rPr>
        <w:t>accounting</w:t>
      </w:r>
      <w:r w:rsidR="00857B60" w:rsidRPr="00DB2332">
        <w:rPr>
          <w:rFonts w:ascii="Times New Roman" w:hAnsi="Times New Roman" w:cs="Times New Roman"/>
          <w:sz w:val="24"/>
          <w:szCs w:val="24"/>
          <w:lang w:eastAsia="en-GB"/>
        </w:rPr>
        <w:t xml:space="preserve"> for</w:t>
      </w:r>
      <w:r w:rsidR="00ED6252" w:rsidRPr="00DB2332">
        <w:rPr>
          <w:rFonts w:ascii="Times New Roman" w:hAnsi="Times New Roman" w:cs="Times New Roman"/>
          <w:sz w:val="24"/>
          <w:szCs w:val="24"/>
          <w:lang w:eastAsia="en-GB"/>
        </w:rPr>
        <w:t xml:space="preserve"> </w:t>
      </w:r>
      <w:r w:rsidR="007C53EE" w:rsidRPr="00DB2332">
        <w:rPr>
          <w:rFonts w:ascii="Times New Roman" w:hAnsi="Times New Roman" w:cs="Times New Roman"/>
          <w:sz w:val="24"/>
          <w:szCs w:val="24"/>
          <w:lang w:eastAsia="en-GB"/>
        </w:rPr>
        <w:t>both volumetric and gravimetric energy density effects of each fuel on the aircraft aerodynamics and structure</w:t>
      </w:r>
      <w:r w:rsidR="002B51D0" w:rsidRPr="00DB2332">
        <w:rPr>
          <w:rFonts w:ascii="Times New Roman" w:hAnsi="Times New Roman" w:cs="Times New Roman"/>
          <w:sz w:val="24"/>
          <w:szCs w:val="24"/>
          <w:lang w:eastAsia="en-GB"/>
        </w:rPr>
        <w:t xml:space="preserve">. We assume that </w:t>
      </w:r>
      <w:r w:rsidR="007C53EE" w:rsidRPr="00DB2332">
        <w:rPr>
          <w:rFonts w:ascii="Times New Roman" w:hAnsi="Times New Roman" w:cs="Times New Roman"/>
          <w:sz w:val="24"/>
          <w:szCs w:val="24"/>
          <w:lang w:eastAsia="en-GB"/>
        </w:rPr>
        <w:t xml:space="preserve">typical </w:t>
      </w:r>
      <w:r w:rsidR="002B51D0" w:rsidRPr="00DB2332">
        <w:rPr>
          <w:rFonts w:ascii="Times New Roman" w:hAnsi="Times New Roman" w:cs="Times New Roman"/>
          <w:sz w:val="24"/>
          <w:szCs w:val="24"/>
          <w:lang w:eastAsia="en-GB"/>
        </w:rPr>
        <w:t xml:space="preserve">cruise </w:t>
      </w:r>
      <w:r w:rsidR="007C53EE" w:rsidRPr="00DB2332">
        <w:rPr>
          <w:rFonts w:ascii="Times New Roman" w:hAnsi="Times New Roman" w:cs="Times New Roman"/>
          <w:sz w:val="24"/>
          <w:szCs w:val="24"/>
          <w:lang w:eastAsia="en-GB"/>
        </w:rPr>
        <w:t>Mach</w:t>
      </w:r>
      <w:r w:rsidR="002B51D0" w:rsidRPr="00DB2332">
        <w:rPr>
          <w:rFonts w:ascii="Times New Roman" w:hAnsi="Times New Roman" w:cs="Times New Roman"/>
          <w:sz w:val="24"/>
          <w:szCs w:val="24"/>
          <w:lang w:eastAsia="en-GB"/>
        </w:rPr>
        <w:t xml:space="preserve"> number,</w:t>
      </w:r>
      <w:r w:rsidR="007C53EE" w:rsidRPr="00DB2332">
        <w:rPr>
          <w:rFonts w:ascii="Times New Roman" w:hAnsi="Times New Roman" w:cs="Times New Roman"/>
          <w:sz w:val="24"/>
          <w:szCs w:val="24"/>
          <w:lang w:eastAsia="en-GB"/>
        </w:rPr>
        <w:t xml:space="preserve"> altitude</w:t>
      </w:r>
      <w:r w:rsidR="0056260C" w:rsidRPr="00DB2332">
        <w:rPr>
          <w:rFonts w:ascii="Times New Roman" w:hAnsi="Times New Roman" w:cs="Times New Roman"/>
          <w:sz w:val="24"/>
          <w:szCs w:val="24"/>
          <w:lang w:eastAsia="en-GB"/>
        </w:rPr>
        <w:t xml:space="preserve"> </w:t>
      </w:r>
      <w:r w:rsidR="002B51D0" w:rsidRPr="00DB2332">
        <w:rPr>
          <w:rFonts w:ascii="Times New Roman" w:hAnsi="Times New Roman" w:cs="Times New Roman"/>
          <w:sz w:val="24"/>
          <w:szCs w:val="24"/>
          <w:lang w:eastAsia="en-GB"/>
        </w:rPr>
        <w:t>and</w:t>
      </w:r>
      <w:r w:rsidR="0056260C" w:rsidRPr="00DB2332">
        <w:rPr>
          <w:rFonts w:ascii="Times New Roman" w:hAnsi="Times New Roman" w:cs="Times New Roman"/>
          <w:sz w:val="24"/>
          <w:szCs w:val="24"/>
          <w:lang w:eastAsia="en-GB"/>
        </w:rPr>
        <w:t xml:space="preserve"> </w:t>
      </w:r>
      <w:r w:rsidR="00950697" w:rsidRPr="00DB2332">
        <w:rPr>
          <w:rFonts w:ascii="Times New Roman" w:hAnsi="Times New Roman" w:cs="Times New Roman"/>
          <w:sz w:val="24"/>
          <w:szCs w:val="24"/>
          <w:lang w:eastAsia="en-GB"/>
        </w:rPr>
        <w:t>necessary</w:t>
      </w:r>
      <w:r w:rsidR="0056260C" w:rsidRPr="00DB2332">
        <w:rPr>
          <w:rFonts w:ascii="Times New Roman" w:hAnsi="Times New Roman" w:cs="Times New Roman"/>
          <w:sz w:val="24"/>
          <w:szCs w:val="24"/>
          <w:lang w:eastAsia="en-GB"/>
        </w:rPr>
        <w:t xml:space="preserve"> </w:t>
      </w:r>
      <w:r w:rsidR="002B51D0" w:rsidRPr="00DB2332">
        <w:rPr>
          <w:rFonts w:ascii="Times New Roman" w:hAnsi="Times New Roman" w:cs="Times New Roman"/>
          <w:sz w:val="24"/>
          <w:szCs w:val="24"/>
          <w:lang w:eastAsia="en-GB"/>
        </w:rPr>
        <w:t xml:space="preserve">fuel </w:t>
      </w:r>
      <w:r w:rsidR="0056260C" w:rsidRPr="00DB2332">
        <w:rPr>
          <w:rFonts w:ascii="Times New Roman" w:hAnsi="Times New Roman" w:cs="Times New Roman"/>
          <w:sz w:val="24"/>
          <w:szCs w:val="24"/>
          <w:lang w:eastAsia="en-GB"/>
        </w:rPr>
        <w:t>reserves</w:t>
      </w:r>
      <w:r w:rsidR="002B51D0" w:rsidRPr="00DB2332">
        <w:rPr>
          <w:rFonts w:ascii="Times New Roman" w:hAnsi="Times New Roman" w:cs="Times New Roman"/>
          <w:sz w:val="24"/>
          <w:szCs w:val="24"/>
          <w:lang w:eastAsia="en-GB"/>
        </w:rPr>
        <w:t xml:space="preserve"> are maintained.</w:t>
      </w:r>
    </w:p>
    <w:p w14:paraId="71B6E864" w14:textId="77777777" w:rsidR="00240A6D" w:rsidRPr="000B7DCE" w:rsidRDefault="00240A6D" w:rsidP="00240A6D">
      <w:pPr>
        <w:pStyle w:val="Heading2"/>
        <w:spacing w:after="240" w:line="480" w:lineRule="auto"/>
        <w:ind w:right="-46"/>
        <w:rPr>
          <w:rFonts w:ascii="Times New Roman" w:hAnsi="Times New Roman" w:cs="Times New Roman"/>
          <w:color w:val="auto"/>
          <w:sz w:val="24"/>
          <w:szCs w:val="24"/>
          <w:lang w:eastAsia="en-GB"/>
        </w:rPr>
      </w:pPr>
      <w:r w:rsidRPr="000B7DCE">
        <w:rPr>
          <w:rFonts w:ascii="Times New Roman" w:hAnsi="Times New Roman" w:cs="Times New Roman"/>
          <w:color w:val="auto"/>
          <w:sz w:val="24"/>
          <w:szCs w:val="24"/>
          <w:lang w:eastAsia="en-GB"/>
        </w:rPr>
        <w:t xml:space="preserve">Design-point analysis </w:t>
      </w:r>
    </w:p>
    <w:p w14:paraId="10FE322D" w14:textId="77777777" w:rsidR="00240A6D" w:rsidRPr="00DB2332" w:rsidRDefault="00240A6D" w:rsidP="00240A6D">
      <w:pPr>
        <w:pStyle w:val="Heading3"/>
        <w:spacing w:after="240" w:line="480" w:lineRule="auto"/>
        <w:rPr>
          <w:rFonts w:ascii="Times New Roman" w:hAnsi="Times New Roman" w:cs="Times New Roman"/>
          <w:color w:val="auto"/>
          <w:lang w:eastAsia="en-GB"/>
        </w:rPr>
      </w:pPr>
      <w:r w:rsidRPr="00FA6B79">
        <w:rPr>
          <w:rFonts w:ascii="Times New Roman" w:hAnsi="Times New Roman" w:cs="Times New Roman"/>
          <w:color w:val="auto"/>
          <w:lang w:eastAsia="en-GB"/>
        </w:rPr>
        <w:t>Breguet’s range equation</w:t>
      </w:r>
    </w:p>
    <w:p w14:paraId="02D7A6EB" w14:textId="7434DE7A" w:rsidR="00240A6D" w:rsidRPr="00DB2332" w:rsidRDefault="00240A6D" w:rsidP="00240A6D">
      <w:pPr>
        <w:pStyle w:val="Text"/>
        <w:tabs>
          <w:tab w:val="clear" w:pos="288"/>
          <w:tab w:val="left" w:pos="567"/>
        </w:tabs>
        <w:ind w:right="-46" w:firstLine="0"/>
        <w:rPr>
          <w:sz w:val="24"/>
          <w:szCs w:val="24"/>
          <w:lang w:val="en-GB" w:eastAsia="en-GB"/>
        </w:rPr>
      </w:pPr>
      <w:r w:rsidRPr="00DB2332">
        <w:rPr>
          <w:sz w:val="24"/>
          <w:szCs w:val="24"/>
          <w:lang w:val="en-GB"/>
        </w:rPr>
        <w:tab/>
      </w:r>
      <w:r w:rsidRPr="00DB2332">
        <w:rPr>
          <w:sz w:val="24"/>
          <w:szCs w:val="24"/>
          <w:lang w:val="en-GB" w:eastAsia="en-GB"/>
        </w:rPr>
        <w:t>Breguet’s range equation is a fundamental equation in aeronautics which estimates the aircraft range given the lower calorific value of the fuel (</w:t>
      </w:r>
      <m:oMath>
        <m:r>
          <w:rPr>
            <w:rFonts w:ascii="Cambria Math" w:hAnsi="Cambria Math"/>
            <w:sz w:val="24"/>
            <w:szCs w:val="24"/>
            <w:lang w:val="en-GB" w:eastAsia="en-GB"/>
          </w:rPr>
          <m:t>h</m:t>
        </m:r>
      </m:oMath>
      <w:r w:rsidRPr="00DB2332">
        <w:rPr>
          <w:sz w:val="24"/>
          <w:szCs w:val="24"/>
          <w:lang w:val="en-GB" w:eastAsia="en-GB"/>
        </w:rPr>
        <w:t>), lift to drag ratio (</w:t>
      </w:r>
      <m:oMath>
        <m:r>
          <w:rPr>
            <w:rFonts w:ascii="Cambria Math" w:hAnsi="Cambria Math"/>
            <w:sz w:val="24"/>
            <w:szCs w:val="24"/>
            <w:lang w:val="en-GB" w:eastAsia="en-GB"/>
          </w:rPr>
          <m:t>L/D</m:t>
        </m:r>
      </m:oMath>
      <w:r w:rsidRPr="00DB2332">
        <w:rPr>
          <w:sz w:val="24"/>
          <w:szCs w:val="24"/>
          <w:lang w:val="en-GB" w:eastAsia="en-GB"/>
        </w:rPr>
        <w:t>), overall efficiency (</w:t>
      </w:r>
      <m:oMath>
        <m:sSub>
          <m:sSubPr>
            <m:ctrlPr>
              <w:rPr>
                <w:rFonts w:ascii="Cambria Math" w:hAnsi="Cambria Math"/>
                <w:i/>
                <w:sz w:val="24"/>
                <w:szCs w:val="24"/>
                <w:lang w:val="en-GB" w:eastAsia="en-GB"/>
              </w:rPr>
            </m:ctrlPr>
          </m:sSubPr>
          <m:e>
            <m:r>
              <w:rPr>
                <w:rFonts w:ascii="Cambria Math" w:hAnsi="Cambria Math"/>
                <w:sz w:val="24"/>
                <w:szCs w:val="24"/>
                <w:lang w:val="en-GB" w:eastAsia="en-GB"/>
              </w:rPr>
              <m:t>η</m:t>
            </m:r>
          </m:e>
          <m:sub>
            <m:r>
              <w:rPr>
                <w:rFonts w:ascii="Cambria Math" w:hAnsi="Cambria Math"/>
                <w:sz w:val="24"/>
                <w:szCs w:val="24"/>
                <w:lang w:val="en-GB" w:eastAsia="en-GB"/>
              </w:rPr>
              <m:t>0</m:t>
            </m:r>
          </m:sub>
        </m:sSub>
      </m:oMath>
      <w:r w:rsidRPr="00FA6B79">
        <w:rPr>
          <w:sz w:val="24"/>
          <w:szCs w:val="24"/>
          <w:lang w:val="en-GB" w:eastAsia="en-GB"/>
        </w:rPr>
        <w:t>), and aircraft initial and final weight</w:t>
      </w:r>
      <w:r w:rsidR="00E50166" w:rsidRPr="000B7DCE">
        <w:rPr>
          <w:sz w:val="24"/>
          <w:szCs w:val="24"/>
          <w:lang w:val="en-GB" w:eastAsia="en-GB"/>
        </w:rPr>
        <w:t xml:space="preserve">. </w:t>
      </w:r>
      <w:r w:rsidR="004B05E5" w:rsidRPr="000B7DCE">
        <w:rPr>
          <w:sz w:val="24"/>
          <w:szCs w:val="24"/>
          <w:lang w:val="en-GB" w:eastAsia="en-GB"/>
        </w:rPr>
        <w:t xml:space="preserve">Equation 1 shows an </w:t>
      </w:r>
      <w:r w:rsidRPr="00DB2332">
        <w:rPr>
          <w:sz w:val="24"/>
          <w:szCs w:val="24"/>
          <w:lang w:val="en-GB" w:eastAsia="en-GB"/>
        </w:rPr>
        <w:t xml:space="preserve">adaptation of the equation </w:t>
      </w:r>
      <w:r w:rsidRPr="00DB2332">
        <w:rPr>
          <w:sz w:val="24"/>
          <w:szCs w:val="24"/>
          <w:lang w:val="en-GB" w:eastAsia="en-GB"/>
        </w:rPr>
        <w:fldChar w:fldCharType="begin" w:fldLock="1"/>
      </w:r>
      <w:r w:rsidRPr="00DB2332">
        <w:rPr>
          <w:sz w:val="24"/>
          <w:szCs w:val="24"/>
          <w:lang w:val="en-GB" w:eastAsia="en-GB"/>
        </w:rPr>
        <w:instrText>ADDIN CSL_CITATION {"citationItems":[{"id":"ITEM-1","itemData":{"URL":"https://web.mit.edu/16.unified/www/FALL/Unified_Concepts/Breguet-Range-U2-notes-Fall08(2).pdf","accessed":{"date-parts":[["2020","8","27"]]},"author":[{"dropping-particle":"","family":"Waitz.","given":"Ian A.","non-dropping-particle":"","parse-names":false,"suffix":""}],"container-title":"Lecture notes","id":"ITEM-1","issued":{"date-parts":[["2008"]]},"title":"Lecture: Breguet's range equation","type":"webpage"},"uris":["http://www.mendeley.com/documents/?uuid=ab7fd911-2b42-391a-9b6a-f337941278ab"]}],"mendeley":{"formattedCitation":"(Waitz., 2008)","plainTextFormattedCitation":"(Waitz., 2008)","previouslyFormattedCitation":"(Waitz., 2008)"},"properties":{"noteIndex":0},"schema":"https://github.com/citation-style-language/schema/raw/master/csl-citation.json"}</w:instrText>
      </w:r>
      <w:r w:rsidRPr="00DB2332">
        <w:rPr>
          <w:sz w:val="24"/>
          <w:szCs w:val="24"/>
          <w:lang w:val="en-GB" w:eastAsia="en-GB"/>
        </w:rPr>
        <w:fldChar w:fldCharType="separate"/>
      </w:r>
      <w:r w:rsidRPr="00DB2332">
        <w:rPr>
          <w:noProof/>
          <w:sz w:val="24"/>
          <w:szCs w:val="24"/>
          <w:lang w:val="en-GB" w:eastAsia="en-GB"/>
        </w:rPr>
        <w:t>(Waitz., 2008)</w:t>
      </w:r>
      <w:r w:rsidRPr="00DB2332">
        <w:rPr>
          <w:sz w:val="24"/>
          <w:szCs w:val="24"/>
          <w:lang w:val="en-GB" w:eastAsia="en-GB"/>
        </w:rPr>
        <w:fldChar w:fldCharType="end"/>
      </w:r>
      <w:r w:rsidR="004B05E5" w:rsidRPr="000B7DCE">
        <w:rPr>
          <w:sz w:val="24"/>
          <w:szCs w:val="24"/>
          <w:lang w:val="en-GB" w:eastAsia="en-GB"/>
        </w:rPr>
        <w:t>, where the range</w:t>
      </w:r>
      <w:r w:rsidR="004D149F" w:rsidRPr="000B7DCE">
        <w:rPr>
          <w:sz w:val="24"/>
          <w:szCs w:val="24"/>
          <w:lang w:val="en-GB" w:eastAsia="en-GB"/>
        </w:rPr>
        <w:t xml:space="preserve"> of an aircraft</w:t>
      </w:r>
      <w:r w:rsidR="004B05E5" w:rsidRPr="000B7DCE">
        <w:rPr>
          <w:sz w:val="24"/>
          <w:szCs w:val="24"/>
          <w:lang w:val="en-GB" w:eastAsia="en-GB"/>
        </w:rPr>
        <w:t>,</w:t>
      </w:r>
      <w:r w:rsidRPr="00DB2332">
        <w:rPr>
          <w:sz w:val="24"/>
          <w:szCs w:val="24"/>
          <w:lang w:val="en-GB" w:eastAsia="en-GB"/>
        </w:rPr>
        <w:t xml:space="preserve"> </w:t>
      </w:r>
      <m:oMath>
        <m:r>
          <w:rPr>
            <w:rFonts w:ascii="Cambria Math" w:hAnsi="Cambria Math"/>
            <w:sz w:val="24"/>
            <w:szCs w:val="24"/>
            <w:lang w:val="en-GB" w:eastAsia="en-GB"/>
          </w:rPr>
          <m:t>R</m:t>
        </m:r>
      </m:oMath>
      <w:r w:rsidRPr="00DB2332">
        <w:rPr>
          <w:sz w:val="24"/>
          <w:szCs w:val="24"/>
          <w:lang w:val="en-GB" w:eastAsia="en-GB"/>
        </w:rPr>
        <w:t xml:space="preserve">, is given by, </w:t>
      </w:r>
    </w:p>
    <w:tbl>
      <w:tblPr>
        <w:tblStyle w:val="TableGrid"/>
        <w:tblW w:w="9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7314"/>
        <w:gridCol w:w="1238"/>
      </w:tblGrid>
      <w:tr w:rsidR="00240A6D" w:rsidRPr="00DB2332" w14:paraId="365B65DE" w14:textId="77777777" w:rsidTr="007E0522">
        <w:trPr>
          <w:trHeight w:val="1125"/>
        </w:trPr>
        <w:tc>
          <w:tcPr>
            <w:tcW w:w="568" w:type="dxa"/>
            <w:vAlign w:val="center"/>
          </w:tcPr>
          <w:p w14:paraId="262B2C30" w14:textId="77777777" w:rsidR="00240A6D" w:rsidRPr="00DB2332" w:rsidRDefault="00240A6D" w:rsidP="007E0522">
            <w:pPr>
              <w:tabs>
                <w:tab w:val="left" w:pos="567"/>
              </w:tabs>
              <w:spacing w:line="480" w:lineRule="auto"/>
              <w:ind w:right="-46"/>
              <w:jc w:val="right"/>
              <w:rPr>
                <w:rFonts w:ascii="Times New Roman" w:hAnsi="Times New Roman" w:cs="Times New Roman"/>
                <w:sz w:val="24"/>
                <w:szCs w:val="24"/>
                <w:lang w:eastAsia="en-GB"/>
              </w:rPr>
            </w:pPr>
          </w:p>
        </w:tc>
        <w:tc>
          <w:tcPr>
            <w:tcW w:w="7314" w:type="dxa"/>
            <w:vAlign w:val="center"/>
          </w:tcPr>
          <w:p w14:paraId="614AE45C" w14:textId="77777777" w:rsidR="00240A6D" w:rsidRPr="00DB2332" w:rsidRDefault="00240A6D" w:rsidP="007E0522">
            <w:pPr>
              <w:tabs>
                <w:tab w:val="left" w:pos="567"/>
              </w:tabs>
              <w:spacing w:line="480" w:lineRule="auto"/>
              <w:ind w:right="-46"/>
              <w:jc w:val="center"/>
              <w:rPr>
                <w:rFonts w:ascii="Times New Roman" w:hAnsi="Times New Roman" w:cs="Times New Roman"/>
                <w:sz w:val="24"/>
                <w:szCs w:val="24"/>
                <w:lang w:eastAsia="en-GB"/>
              </w:rPr>
            </w:pPr>
            <m:oMath>
              <m:r>
                <w:rPr>
                  <w:rFonts w:ascii="Cambria Math" w:hAnsi="Cambria Math" w:cs="Times New Roman"/>
                  <w:sz w:val="24"/>
                  <w:szCs w:val="24"/>
                  <w:lang w:eastAsia="en-GB"/>
                </w:rPr>
                <m:t xml:space="preserve">R= </m:t>
              </m:r>
              <m:d>
                <m:dPr>
                  <m:ctrlPr>
                    <w:rPr>
                      <w:rFonts w:ascii="Cambria Math" w:hAnsi="Cambria Math" w:cs="Times New Roman"/>
                      <w:i/>
                      <w:sz w:val="24"/>
                      <w:szCs w:val="24"/>
                      <w:lang w:eastAsia="en-GB"/>
                    </w:rPr>
                  </m:ctrlPr>
                </m:dPr>
                <m:e>
                  <m:f>
                    <m:fPr>
                      <m:ctrlPr>
                        <w:rPr>
                          <w:rFonts w:ascii="Cambria Math" w:hAnsi="Cambria Math" w:cs="Times New Roman"/>
                          <w:i/>
                          <w:sz w:val="24"/>
                          <w:szCs w:val="24"/>
                          <w:lang w:eastAsia="en-GB"/>
                        </w:rPr>
                      </m:ctrlPr>
                    </m:fPr>
                    <m:num>
                      <m:r>
                        <w:rPr>
                          <w:rFonts w:ascii="Cambria Math" w:hAnsi="Cambria Math" w:cs="Times New Roman"/>
                          <w:sz w:val="24"/>
                          <w:szCs w:val="24"/>
                          <w:lang w:eastAsia="en-GB"/>
                        </w:rPr>
                        <m:t>h</m:t>
                      </m:r>
                    </m:num>
                    <m:den>
                      <m:r>
                        <w:rPr>
                          <w:rFonts w:ascii="Cambria Math" w:hAnsi="Cambria Math" w:cs="Times New Roman"/>
                          <w:sz w:val="24"/>
                          <w:szCs w:val="24"/>
                          <w:lang w:eastAsia="en-GB"/>
                        </w:rPr>
                        <m:t>g</m:t>
                      </m:r>
                    </m:den>
                  </m:f>
                </m:e>
              </m:d>
              <m:d>
                <m:dPr>
                  <m:ctrlPr>
                    <w:rPr>
                      <w:rFonts w:ascii="Cambria Math" w:hAnsi="Cambria Math" w:cs="Times New Roman"/>
                      <w:i/>
                      <w:sz w:val="24"/>
                      <w:szCs w:val="24"/>
                      <w:lang w:eastAsia="en-GB"/>
                    </w:rPr>
                  </m:ctrlPr>
                </m:dPr>
                <m:e>
                  <m:f>
                    <m:fPr>
                      <m:ctrlPr>
                        <w:rPr>
                          <w:rFonts w:ascii="Cambria Math" w:hAnsi="Cambria Math" w:cs="Times New Roman"/>
                          <w:i/>
                          <w:sz w:val="24"/>
                          <w:szCs w:val="24"/>
                          <w:lang w:eastAsia="en-GB"/>
                        </w:rPr>
                      </m:ctrlPr>
                    </m:fPr>
                    <m:num>
                      <m:r>
                        <w:rPr>
                          <w:rFonts w:ascii="Cambria Math" w:hAnsi="Cambria Math" w:cs="Times New Roman"/>
                          <w:sz w:val="24"/>
                          <w:szCs w:val="24"/>
                          <w:lang w:eastAsia="en-GB"/>
                        </w:rPr>
                        <m:t>L</m:t>
                      </m:r>
                    </m:num>
                    <m:den>
                      <m:r>
                        <w:rPr>
                          <w:rFonts w:ascii="Cambria Math" w:hAnsi="Cambria Math" w:cs="Times New Roman"/>
                          <w:sz w:val="24"/>
                          <w:szCs w:val="24"/>
                          <w:lang w:eastAsia="en-GB"/>
                        </w:rPr>
                        <m:t>D</m:t>
                      </m:r>
                    </m:den>
                  </m:f>
                </m:e>
              </m:d>
              <m:r>
                <w:rPr>
                  <w:rFonts w:ascii="Cambria Math"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η</m:t>
                  </m:r>
                </m:e>
                <m:sub>
                  <m:r>
                    <m:rPr>
                      <m:sty m:val="p"/>
                    </m:rPr>
                    <w:rPr>
                      <w:rFonts w:ascii="Cambria Math" w:hAnsi="Cambria Math" w:cs="Times New Roman"/>
                      <w:sz w:val="24"/>
                      <w:szCs w:val="24"/>
                      <w:lang w:eastAsia="en-GB"/>
                    </w:rPr>
                    <m:t>o</m:t>
                  </m:r>
                </m:sub>
              </m:sSub>
              <m:r>
                <w:rPr>
                  <w:rFonts w:ascii="Cambria Math" w:hAnsi="Cambria Math" w:cs="Times New Roman"/>
                  <w:sz w:val="24"/>
                  <w:szCs w:val="24"/>
                  <w:lang w:eastAsia="en-GB"/>
                </w:rPr>
                <m:t xml:space="preserve"> </m:t>
              </m:r>
              <m:r>
                <m:rPr>
                  <m:sty m:val="p"/>
                </m:rPr>
                <w:rPr>
                  <w:rFonts w:ascii="Cambria Math" w:hAnsi="Cambria Math" w:cs="Times New Roman"/>
                  <w:sz w:val="24"/>
                  <w:szCs w:val="24"/>
                  <w:lang w:eastAsia="en-GB"/>
                </w:rPr>
                <m:t>ln</m:t>
              </m:r>
              <m:d>
                <m:dPr>
                  <m:ctrlPr>
                    <w:rPr>
                      <w:rFonts w:ascii="Cambria Math" w:hAnsi="Cambria Math" w:cs="Times New Roman"/>
                      <w:i/>
                      <w:sz w:val="24"/>
                      <w:szCs w:val="24"/>
                      <w:lang w:eastAsia="en-GB"/>
                    </w:rPr>
                  </m:ctrlPr>
                </m:dPr>
                <m:e>
                  <m:f>
                    <m:fPr>
                      <m:ctrlPr>
                        <w:rPr>
                          <w:rFonts w:ascii="Cambria Math" w:hAnsi="Cambria Math" w:cs="Times New Roman"/>
                          <w:i/>
                          <w:sz w:val="24"/>
                          <w:szCs w:val="24"/>
                          <w:lang w:eastAsia="en-GB"/>
                        </w:rPr>
                      </m:ctrlPr>
                    </m:fPr>
                    <m:num>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initial</m:t>
                          </m:r>
                        </m:sub>
                      </m:sSub>
                    </m:num>
                    <m:den>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final</m:t>
                          </m:r>
                        </m:sub>
                      </m:sSub>
                    </m:den>
                  </m:f>
                </m:e>
              </m:d>
            </m:oMath>
            <w:r w:rsidRPr="00FA6B79">
              <w:rPr>
                <w:rFonts w:ascii="Times New Roman" w:eastAsiaTheme="minorEastAsia" w:hAnsi="Times New Roman" w:cs="Times New Roman"/>
                <w:sz w:val="24"/>
                <w:szCs w:val="24"/>
                <w:lang w:eastAsia="en-GB"/>
              </w:rPr>
              <w:t>.</w:t>
            </w:r>
          </w:p>
        </w:tc>
        <w:tc>
          <w:tcPr>
            <w:tcW w:w="1238" w:type="dxa"/>
            <w:vAlign w:val="center"/>
          </w:tcPr>
          <w:p w14:paraId="112793BD" w14:textId="77777777" w:rsidR="00240A6D" w:rsidRPr="00DB2332" w:rsidRDefault="00240A6D" w:rsidP="007E0522">
            <w:pPr>
              <w:pStyle w:val="ListParagraph"/>
              <w:tabs>
                <w:tab w:val="left" w:pos="567"/>
              </w:tabs>
              <w:spacing w:line="480" w:lineRule="auto"/>
              <w:ind w:right="-46"/>
              <w:jc w:val="right"/>
              <w:rPr>
                <w:rFonts w:ascii="Times New Roman" w:hAnsi="Times New Roman" w:cs="Times New Roman"/>
                <w:sz w:val="24"/>
                <w:szCs w:val="24"/>
                <w:lang w:eastAsia="en-GB"/>
              </w:rPr>
            </w:pPr>
            <w:r w:rsidRPr="00DB2332">
              <w:rPr>
                <w:rFonts w:ascii="Times New Roman" w:hAnsi="Times New Roman" w:cs="Times New Roman"/>
                <w:sz w:val="24"/>
                <w:szCs w:val="24"/>
                <w:lang w:eastAsia="en-GB"/>
              </w:rPr>
              <w:t xml:space="preserve"> (1)</w:t>
            </w:r>
          </w:p>
        </w:tc>
      </w:tr>
    </w:tbl>
    <w:p w14:paraId="3D4C3C2B" w14:textId="57D8AD6E" w:rsidR="00B515C2" w:rsidRPr="00DB2332" w:rsidRDefault="00C72221" w:rsidP="00240A6D">
      <w:pPr>
        <w:spacing w:line="480" w:lineRule="auto"/>
        <w:jc w:val="both"/>
        <w:rPr>
          <w:rFonts w:ascii="Times New Roman" w:hAnsi="Times New Roman" w:cs="Times New Roman"/>
          <w:sz w:val="24"/>
          <w:szCs w:val="24"/>
          <w:lang w:eastAsia="en-GB"/>
        </w:rPr>
      </w:pPr>
      <w:r w:rsidRPr="00DB2332">
        <w:rPr>
          <w:rFonts w:ascii="Times New Roman" w:hAnsi="Times New Roman" w:cs="Times New Roman"/>
          <w:i/>
          <w:iCs/>
          <w:sz w:val="24"/>
          <w:szCs w:val="24"/>
          <w:lang w:eastAsia="en-GB"/>
        </w:rPr>
        <w:t>g</w:t>
      </w:r>
      <w:r w:rsidRPr="00DB2332">
        <w:rPr>
          <w:rFonts w:ascii="Times New Roman" w:hAnsi="Times New Roman" w:cs="Times New Roman"/>
          <w:sz w:val="24"/>
          <w:szCs w:val="24"/>
          <w:lang w:eastAsia="en-GB"/>
        </w:rPr>
        <w:t xml:space="preserve"> is </w:t>
      </w:r>
      <w:r w:rsidR="007D40ED" w:rsidRPr="00DB2332">
        <w:rPr>
          <w:rFonts w:ascii="Times New Roman" w:hAnsi="Times New Roman" w:cs="Times New Roman"/>
          <w:sz w:val="24"/>
          <w:szCs w:val="24"/>
          <w:lang w:eastAsia="en-GB"/>
        </w:rPr>
        <w:t xml:space="preserve">gravitational </w:t>
      </w:r>
      <w:r w:rsidRPr="00DB2332">
        <w:rPr>
          <w:rFonts w:ascii="Times New Roman" w:hAnsi="Times New Roman" w:cs="Times New Roman"/>
          <w:sz w:val="24"/>
          <w:szCs w:val="24"/>
          <w:lang w:eastAsia="en-GB"/>
        </w:rPr>
        <w:t>acceleration</w:t>
      </w:r>
      <w:r w:rsidR="00A85C56" w:rsidRPr="00DB2332">
        <w:rPr>
          <w:rFonts w:ascii="Times New Roman" w:hAnsi="Times New Roman" w:cs="Times New Roman"/>
          <w:sz w:val="24"/>
          <w:szCs w:val="24"/>
          <w:lang w:eastAsia="en-GB"/>
        </w:rPr>
        <w:t>,</w:t>
      </w:r>
      <w:r w:rsidRPr="00DB2332">
        <w:rPr>
          <w:rFonts w:ascii="Times New Roman" w:hAnsi="Times New Roman" w:cs="Times New Roman"/>
          <w:sz w:val="24"/>
          <w:szCs w:val="24"/>
          <w:lang w:eastAsia="en-GB"/>
        </w:rPr>
        <w:t xml:space="preserve"> </w:t>
      </w:r>
      <w:r w:rsidR="00A371F0" w:rsidRPr="00DB2332">
        <w:rPr>
          <w:rFonts w:ascii="Times New Roman" w:hAnsi="Times New Roman" w:cs="Times New Roman"/>
          <w:sz w:val="24"/>
          <w:szCs w:val="24"/>
          <w:lang w:eastAsia="en-GB"/>
        </w:rPr>
        <w:t xml:space="preserve">and </w:t>
      </w:r>
      <w:proofErr w:type="spellStart"/>
      <w:r w:rsidR="00A371F0" w:rsidRPr="00DB2332">
        <w:rPr>
          <w:rFonts w:ascii="Times New Roman" w:hAnsi="Times New Roman" w:cs="Times New Roman"/>
          <w:i/>
          <w:iCs/>
          <w:sz w:val="24"/>
          <w:szCs w:val="24"/>
          <w:lang w:eastAsia="en-GB"/>
        </w:rPr>
        <w:t>W</w:t>
      </w:r>
      <w:r w:rsidR="00A371F0" w:rsidRPr="00DB2332">
        <w:rPr>
          <w:rFonts w:ascii="Times New Roman" w:hAnsi="Times New Roman" w:cs="Times New Roman"/>
          <w:sz w:val="24"/>
          <w:szCs w:val="24"/>
          <w:vertAlign w:val="subscript"/>
          <w:lang w:eastAsia="en-GB"/>
        </w:rPr>
        <w:t>initial</w:t>
      </w:r>
      <w:proofErr w:type="spellEnd"/>
      <w:r w:rsidR="00A371F0" w:rsidRPr="00DB2332">
        <w:rPr>
          <w:rFonts w:ascii="Times New Roman" w:hAnsi="Times New Roman" w:cs="Times New Roman"/>
          <w:sz w:val="24"/>
          <w:szCs w:val="24"/>
          <w:lang w:eastAsia="en-GB"/>
        </w:rPr>
        <w:t xml:space="preserve"> and </w:t>
      </w:r>
      <w:proofErr w:type="spellStart"/>
      <w:r w:rsidR="00A371F0" w:rsidRPr="00DB2332">
        <w:rPr>
          <w:rFonts w:ascii="Times New Roman" w:hAnsi="Times New Roman" w:cs="Times New Roman"/>
          <w:i/>
          <w:iCs/>
          <w:sz w:val="24"/>
          <w:szCs w:val="24"/>
          <w:lang w:eastAsia="en-GB"/>
        </w:rPr>
        <w:t>W</w:t>
      </w:r>
      <w:r w:rsidR="00A371F0" w:rsidRPr="00DB2332">
        <w:rPr>
          <w:rFonts w:ascii="Times New Roman" w:hAnsi="Times New Roman" w:cs="Times New Roman"/>
          <w:sz w:val="24"/>
          <w:szCs w:val="24"/>
          <w:vertAlign w:val="subscript"/>
          <w:lang w:eastAsia="en-GB"/>
        </w:rPr>
        <w:t>final</w:t>
      </w:r>
      <w:proofErr w:type="spellEnd"/>
      <w:r w:rsidR="00A371F0" w:rsidRPr="00DB2332">
        <w:rPr>
          <w:rFonts w:ascii="Times New Roman" w:hAnsi="Times New Roman" w:cs="Times New Roman"/>
          <w:sz w:val="24"/>
          <w:szCs w:val="24"/>
          <w:lang w:eastAsia="en-GB"/>
        </w:rPr>
        <w:t xml:space="preserve"> are the aircraft weight at the beginning and end of cruise</w:t>
      </w:r>
      <w:r w:rsidR="00E622F4" w:rsidRPr="00DB2332">
        <w:rPr>
          <w:rFonts w:ascii="Times New Roman" w:hAnsi="Times New Roman" w:cs="Times New Roman"/>
          <w:sz w:val="24"/>
          <w:szCs w:val="24"/>
          <w:lang w:eastAsia="en-GB"/>
        </w:rPr>
        <w:t>,</w:t>
      </w:r>
      <w:r w:rsidR="00A371F0" w:rsidRPr="00DB2332">
        <w:rPr>
          <w:rFonts w:ascii="Times New Roman" w:hAnsi="Times New Roman" w:cs="Times New Roman"/>
          <w:sz w:val="24"/>
          <w:szCs w:val="24"/>
          <w:lang w:eastAsia="en-GB"/>
        </w:rPr>
        <w:t xml:space="preserve"> respectively. </w:t>
      </w:r>
      <w:r w:rsidR="00B515C2" w:rsidRPr="00DB2332">
        <w:rPr>
          <w:rFonts w:ascii="Times New Roman" w:hAnsi="Times New Roman" w:cs="Times New Roman"/>
          <w:sz w:val="24"/>
          <w:szCs w:val="24"/>
          <w:lang w:eastAsia="en-GB"/>
        </w:rPr>
        <w:t xml:space="preserve">The Breguet range equation is applicable to cases where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η</m:t>
            </m:r>
          </m:e>
          <m:sub>
            <m:r>
              <m:rPr>
                <m:sty m:val="p"/>
              </m:rPr>
              <w:rPr>
                <w:rFonts w:ascii="Cambria Math" w:hAnsi="Cambria Math" w:cs="Times New Roman"/>
                <w:sz w:val="24"/>
                <w:szCs w:val="24"/>
                <w:lang w:eastAsia="en-GB"/>
              </w:rPr>
              <m:t>o</m:t>
            </m:r>
          </m:sub>
        </m:sSub>
      </m:oMath>
      <w:r w:rsidR="00B515C2" w:rsidRPr="00FA6B79">
        <w:rPr>
          <w:rFonts w:ascii="Times New Roman" w:hAnsi="Times New Roman" w:cs="Times New Roman"/>
          <w:sz w:val="24"/>
          <w:szCs w:val="24"/>
          <w:lang w:eastAsia="en-GB"/>
        </w:rPr>
        <w:t xml:space="preserve">, </w:t>
      </w:r>
      <w:r w:rsidR="00B515C2" w:rsidRPr="00DB2332">
        <w:rPr>
          <w:rFonts w:ascii="Times New Roman" w:hAnsi="Times New Roman" w:cs="Times New Roman"/>
          <w:i/>
          <w:iCs/>
          <w:sz w:val="24"/>
          <w:szCs w:val="24"/>
          <w:lang w:eastAsia="en-GB"/>
        </w:rPr>
        <w:t>L/D</w:t>
      </w:r>
      <w:r w:rsidR="00B515C2" w:rsidRPr="00DB2332">
        <w:rPr>
          <w:rFonts w:ascii="Times New Roman" w:hAnsi="Times New Roman" w:cs="Times New Roman"/>
          <w:sz w:val="24"/>
          <w:szCs w:val="24"/>
          <w:lang w:eastAsia="en-GB"/>
        </w:rPr>
        <w:t xml:space="preserve">, and flight </w:t>
      </w:r>
      <w:r w:rsidR="00FB657A" w:rsidRPr="00DB2332">
        <w:rPr>
          <w:rFonts w:ascii="Times New Roman" w:hAnsi="Times New Roman" w:cs="Times New Roman"/>
          <w:sz w:val="24"/>
          <w:szCs w:val="24"/>
          <w:lang w:eastAsia="en-GB"/>
        </w:rPr>
        <w:t xml:space="preserve">speed </w:t>
      </w:r>
      <w:r w:rsidR="00B515C2" w:rsidRPr="00DB2332">
        <w:rPr>
          <w:rFonts w:ascii="Times New Roman" w:hAnsi="Times New Roman" w:cs="Times New Roman"/>
          <w:sz w:val="24"/>
          <w:szCs w:val="24"/>
          <w:lang w:eastAsia="en-GB"/>
        </w:rPr>
        <w:t xml:space="preserve">are constant over the flight </w:t>
      </w:r>
      <w:r w:rsidR="00F75D51" w:rsidRPr="00DB2332">
        <w:rPr>
          <w:rFonts w:ascii="Times New Roman" w:hAnsi="Times New Roman" w:cs="Times New Roman"/>
          <w:sz w:val="24"/>
          <w:szCs w:val="24"/>
          <w:lang w:eastAsia="en-GB"/>
        </w:rPr>
        <w:t>and can therefore be used to give a first order estimate for typical cruise conditions</w:t>
      </w:r>
      <w:r w:rsidR="00EE2AA0" w:rsidRPr="00DB2332">
        <w:rPr>
          <w:rFonts w:ascii="Times New Roman" w:hAnsi="Times New Roman" w:cs="Times New Roman"/>
          <w:sz w:val="24"/>
          <w:szCs w:val="24"/>
          <w:lang w:eastAsia="en-GB"/>
        </w:rPr>
        <w:t xml:space="preserve"> </w:t>
      </w:r>
      <w:r w:rsidR="000F2480" w:rsidRPr="00DB2332">
        <w:rPr>
          <w:rFonts w:ascii="Times New Roman" w:hAnsi="Times New Roman" w:cs="Times New Roman"/>
          <w:sz w:val="24"/>
          <w:szCs w:val="24"/>
          <w:lang w:eastAsia="en-GB"/>
        </w:rPr>
        <w:fldChar w:fldCharType="begin" w:fldLock="1"/>
      </w:r>
      <w:r w:rsidR="00977C66" w:rsidRPr="00DB2332">
        <w:rPr>
          <w:rFonts w:ascii="Times New Roman" w:hAnsi="Times New Roman" w:cs="Times New Roman"/>
          <w:sz w:val="24"/>
          <w:szCs w:val="24"/>
          <w:lang w:eastAsia="en-GB"/>
        </w:rPr>
        <w:instrText>ADDIN CSL_CITATION {"citationItems":[{"id":"ITEM-1","itemData":{"URL":"https://web.mit.edu/16.unified/www/FALL/Unified_Concepts/Breguet-Range-U2-notes-Fall08(2).pdf","accessed":{"date-parts":[["2020","8","27"]]},"author":[{"dropping-particle":"","family":"Waitz.","given":"Ian A.","non-dropping-particle":"","parse-names":false,"suffix":""}],"container-title":"Lecture notes","id":"ITEM-1","issued":{"date-parts":[["2008"]]},"title":"Lecture: Breguet's range equation","type":"webpage"},"uris":["http://www.mendeley.com/documents/?uuid=ab7fd911-2b42-391a-9b6a-f337941278ab"]}],"mendeley":{"formattedCitation":"(Waitz., 2008)","plainTextFormattedCitation":"(Waitz., 2008)","previouslyFormattedCitation":"(Waitz., 2008)"},"properties":{"noteIndex":0},"schema":"https://github.com/citation-style-language/schema/raw/master/csl-citation.json"}</w:instrText>
      </w:r>
      <w:r w:rsidR="000F2480" w:rsidRPr="00DB2332">
        <w:rPr>
          <w:rFonts w:ascii="Times New Roman" w:hAnsi="Times New Roman" w:cs="Times New Roman"/>
          <w:sz w:val="24"/>
          <w:szCs w:val="24"/>
          <w:lang w:eastAsia="en-GB"/>
        </w:rPr>
        <w:fldChar w:fldCharType="separate"/>
      </w:r>
      <w:r w:rsidR="00EF465A" w:rsidRPr="00DB2332">
        <w:rPr>
          <w:rFonts w:ascii="Times New Roman" w:hAnsi="Times New Roman" w:cs="Times New Roman"/>
          <w:noProof/>
          <w:sz w:val="24"/>
          <w:szCs w:val="24"/>
          <w:lang w:eastAsia="en-GB"/>
        </w:rPr>
        <w:t>(Waitz., 2008)</w:t>
      </w:r>
      <w:r w:rsidR="000F2480" w:rsidRPr="00DB2332">
        <w:rPr>
          <w:rFonts w:ascii="Times New Roman" w:hAnsi="Times New Roman" w:cs="Times New Roman"/>
          <w:sz w:val="24"/>
          <w:szCs w:val="24"/>
          <w:lang w:eastAsia="en-GB"/>
        </w:rPr>
        <w:fldChar w:fldCharType="end"/>
      </w:r>
      <w:r w:rsidR="00B515C2" w:rsidRPr="00FA6B79">
        <w:rPr>
          <w:rFonts w:ascii="Times New Roman" w:hAnsi="Times New Roman" w:cs="Times New Roman"/>
          <w:sz w:val="24"/>
          <w:szCs w:val="24"/>
          <w:lang w:eastAsia="en-GB"/>
        </w:rPr>
        <w:t xml:space="preserve">. </w:t>
      </w:r>
      <w:r w:rsidR="004E2E71" w:rsidRPr="00DB2332">
        <w:rPr>
          <w:rFonts w:ascii="Times New Roman" w:hAnsi="Times New Roman" w:cs="Times New Roman"/>
          <w:sz w:val="24"/>
          <w:szCs w:val="24"/>
          <w:lang w:eastAsia="en-GB"/>
        </w:rPr>
        <w:t>We evaluate the accuracy of the</w:t>
      </w:r>
      <w:r w:rsidR="00E46E09" w:rsidRPr="00DB2332">
        <w:rPr>
          <w:rFonts w:ascii="Times New Roman" w:hAnsi="Times New Roman" w:cs="Times New Roman"/>
          <w:sz w:val="24"/>
          <w:szCs w:val="24"/>
          <w:lang w:eastAsia="en-GB"/>
        </w:rPr>
        <w:t xml:space="preserve"> Breguet range </w:t>
      </w:r>
      <w:r w:rsidR="004E2E71" w:rsidRPr="00DB2332">
        <w:rPr>
          <w:rFonts w:ascii="Times New Roman" w:hAnsi="Times New Roman" w:cs="Times New Roman"/>
          <w:sz w:val="24"/>
          <w:szCs w:val="24"/>
          <w:lang w:eastAsia="en-GB"/>
        </w:rPr>
        <w:t>by</w:t>
      </w:r>
      <w:r w:rsidR="00E46E09" w:rsidRPr="00DB2332">
        <w:rPr>
          <w:rFonts w:ascii="Times New Roman" w:hAnsi="Times New Roman" w:cs="Times New Roman"/>
          <w:sz w:val="24"/>
          <w:szCs w:val="24"/>
          <w:lang w:eastAsia="en-GB"/>
        </w:rPr>
        <w:t xml:space="preserve"> predicting the performance characteristics of </w:t>
      </w:r>
      <w:r w:rsidR="004E2E71" w:rsidRPr="00DB2332">
        <w:rPr>
          <w:rFonts w:ascii="Times New Roman" w:hAnsi="Times New Roman" w:cs="Times New Roman"/>
          <w:sz w:val="24"/>
          <w:szCs w:val="24"/>
          <w:lang w:eastAsia="en-GB"/>
        </w:rPr>
        <w:t>two in-service</w:t>
      </w:r>
      <w:r w:rsidR="00E46E09" w:rsidRPr="00DB2332">
        <w:rPr>
          <w:rFonts w:ascii="Times New Roman" w:hAnsi="Times New Roman" w:cs="Times New Roman"/>
          <w:sz w:val="24"/>
          <w:szCs w:val="24"/>
          <w:lang w:eastAsia="en-GB"/>
        </w:rPr>
        <w:t xml:space="preserve"> aircraft (Airbus A320-200 and Boeing B767-300F) in SI §</w:t>
      </w:r>
      <w:r w:rsidR="00EB59DC" w:rsidRPr="00DB2332">
        <w:rPr>
          <w:rFonts w:ascii="Times New Roman" w:hAnsi="Times New Roman" w:cs="Times New Roman"/>
          <w:sz w:val="24"/>
          <w:szCs w:val="24"/>
          <w:lang w:eastAsia="en-GB"/>
        </w:rPr>
        <w:t>7</w:t>
      </w:r>
      <w:r w:rsidR="00E46E09" w:rsidRPr="00DB2332">
        <w:rPr>
          <w:rFonts w:ascii="Times New Roman" w:hAnsi="Times New Roman" w:cs="Times New Roman"/>
          <w:sz w:val="24"/>
          <w:szCs w:val="24"/>
          <w:lang w:eastAsia="en-GB"/>
        </w:rPr>
        <w:t xml:space="preserve">.3, where the aircraft range is predicted for two separate payload cases for both </w:t>
      </w:r>
      <w:r w:rsidR="004E2E71" w:rsidRPr="00DB2332">
        <w:rPr>
          <w:rFonts w:ascii="Times New Roman" w:hAnsi="Times New Roman" w:cs="Times New Roman"/>
          <w:sz w:val="24"/>
          <w:szCs w:val="24"/>
          <w:lang w:eastAsia="en-GB"/>
        </w:rPr>
        <w:t>aircraft types</w:t>
      </w:r>
      <w:r w:rsidR="00E46E09" w:rsidRPr="00DB2332">
        <w:rPr>
          <w:rFonts w:ascii="Times New Roman" w:hAnsi="Times New Roman" w:cs="Times New Roman"/>
          <w:sz w:val="24"/>
          <w:szCs w:val="24"/>
          <w:lang w:eastAsia="en-GB"/>
        </w:rPr>
        <w:t>.</w:t>
      </w:r>
      <w:r w:rsidR="00A92CC8" w:rsidRPr="00DB2332">
        <w:rPr>
          <w:rFonts w:ascii="Times New Roman" w:hAnsi="Times New Roman" w:cs="Times New Roman"/>
          <w:sz w:val="24"/>
          <w:szCs w:val="24"/>
          <w:lang w:eastAsia="en-GB"/>
        </w:rPr>
        <w:t xml:space="preserve"> The performance characteristics predicted using the range equation for these four points are in reasonable agreement with the published data</w:t>
      </w:r>
      <w:r w:rsidR="00193970" w:rsidRPr="00DB2332">
        <w:rPr>
          <w:rFonts w:ascii="Times New Roman" w:hAnsi="Times New Roman" w:cs="Times New Roman"/>
          <w:sz w:val="24"/>
          <w:szCs w:val="24"/>
          <w:lang w:eastAsia="en-GB"/>
        </w:rPr>
        <w:t xml:space="preserve"> (</w:t>
      </w:r>
      <w:r w:rsidR="00193970" w:rsidRPr="00DB2332">
        <w:rPr>
          <w:rFonts w:ascii="Times New Roman" w:hAnsi="Times New Roman" w:cs="Times New Roman"/>
          <w:sz w:val="24"/>
          <w:szCs w:val="24"/>
        </w:rPr>
        <w:t>within ±5%</w:t>
      </w:r>
      <w:r w:rsidR="00E237DA" w:rsidRPr="00DB2332">
        <w:rPr>
          <w:rFonts w:ascii="Times New Roman" w:hAnsi="Times New Roman" w:cs="Times New Roman"/>
          <w:sz w:val="24"/>
          <w:szCs w:val="24"/>
        </w:rPr>
        <w:t>, a</w:t>
      </w:r>
      <w:r w:rsidR="00193970" w:rsidRPr="00DB2332">
        <w:rPr>
          <w:rFonts w:ascii="Times New Roman" w:hAnsi="Times New Roman" w:cs="Times New Roman"/>
          <w:sz w:val="24"/>
          <w:szCs w:val="24"/>
        </w:rPr>
        <w:t xml:space="preserve"> criterion defined for low-order </w:t>
      </w:r>
      <w:r w:rsidR="00EC73D1" w:rsidRPr="00DB2332">
        <w:rPr>
          <w:rFonts w:ascii="Times New Roman" w:hAnsi="Times New Roman" w:cs="Times New Roman"/>
          <w:sz w:val="24"/>
          <w:szCs w:val="24"/>
        </w:rPr>
        <w:t xml:space="preserve">aircraft </w:t>
      </w:r>
      <w:r w:rsidR="00AF44D6" w:rsidRPr="00DB2332">
        <w:rPr>
          <w:rFonts w:ascii="Times New Roman" w:hAnsi="Times New Roman" w:cs="Times New Roman"/>
          <w:sz w:val="24"/>
          <w:szCs w:val="24"/>
        </w:rPr>
        <w:t xml:space="preserve">performance </w:t>
      </w:r>
      <w:r w:rsidR="00E237DA" w:rsidRPr="00DB2332">
        <w:rPr>
          <w:rFonts w:ascii="Times New Roman" w:hAnsi="Times New Roman" w:cs="Times New Roman"/>
          <w:sz w:val="24"/>
          <w:szCs w:val="24"/>
        </w:rPr>
        <w:t>modelling</w:t>
      </w:r>
      <w:r w:rsidR="003C4E4D" w:rsidRPr="00DB2332">
        <w:rPr>
          <w:rFonts w:ascii="Times New Roman" w:hAnsi="Times New Roman" w:cs="Times New Roman"/>
          <w:sz w:val="24"/>
          <w:szCs w:val="24"/>
        </w:rPr>
        <w:t xml:space="preserve"> </w:t>
      </w:r>
      <w:r w:rsidR="003C4E4D" w:rsidRPr="00DB2332">
        <w:rPr>
          <w:rFonts w:ascii="Times New Roman" w:hAnsi="Times New Roman" w:cs="Times New Roman"/>
          <w:sz w:val="24"/>
          <w:szCs w:val="24"/>
          <w:lang w:eastAsia="en-GB"/>
        </w:rPr>
        <w:fldChar w:fldCharType="begin" w:fldLock="1"/>
      </w:r>
      <w:r w:rsidR="00CF53DC" w:rsidRPr="00DB2332">
        <w:rPr>
          <w:rFonts w:ascii="Times New Roman" w:hAnsi="Times New Roman" w:cs="Times New Roman"/>
          <w:sz w:val="24"/>
          <w:szCs w:val="24"/>
          <w:lang w:eastAsia="en-GB"/>
        </w:rPr>
        <w:instrText>ADDIN CSL_CITATION {"citationItems":[{"id":"ITEM-1","itemData":{"ISBN":"9781119500261","author":[{"dropping-particle":"","family":"Kundu","given":"Ajoy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-1","issued":{"date-parts":[["2019"]]},"number-of-pages":"1518","publisher":"John Wiley &amp; Sons, Incorporated","title":"Conceptual Aircraft Design : an Industrial Perspective.","type":"book"},"uris":["http://www.mendeley.com/documents/?uuid=25a6b7ac-1138-301b-8784-2a4bdcf83c41"]},{"id":"ITEM-2","itemData":{"author":[{"dropping-particle":"","family":"Kirby","given":"Michelle Rene","non-dropping-particle":"","parse-names":false,"suffix":""}],"id":"ITEM-2","issued":{"date-parts":[["2001"]]},"publisher":"Georgia Institute of Technology","title":"A methodology for technology identification, evaluation, and selection in conceptual and preliminary aircraft design","type":"thesis"},"uris":["http://www.mendeley.com/documents/?uuid=16cdcdd7-af53-337a-9d4e-4308173937be"]}],"mendeley":{"formattedCitation":"(Kirby, 2001; Kundu et al., 2019)","plainTextFormattedCitation":"(Kirby, 2001; Kundu et al., 2019)","previouslyFormattedCitation":"(Kirby, 2001; Kundu et al., 2019)"},"properties":{"noteIndex":0},"schema":"https://github.com/citation-style-language/schema/raw/master/csl-citation.json"}</w:instrText>
      </w:r>
      <w:r w:rsidR="003C4E4D" w:rsidRPr="00DB2332">
        <w:rPr>
          <w:rFonts w:ascii="Times New Roman" w:hAnsi="Times New Roman" w:cs="Times New Roman"/>
          <w:sz w:val="24"/>
          <w:szCs w:val="24"/>
          <w:lang w:eastAsia="en-GB"/>
        </w:rPr>
        <w:fldChar w:fldCharType="separate"/>
      </w:r>
      <w:r w:rsidR="00E07378" w:rsidRPr="00DB2332">
        <w:rPr>
          <w:rFonts w:ascii="Times New Roman" w:hAnsi="Times New Roman" w:cs="Times New Roman"/>
          <w:noProof/>
          <w:sz w:val="24"/>
          <w:szCs w:val="24"/>
          <w:lang w:eastAsia="en-GB"/>
        </w:rPr>
        <w:t>(Kirby, 2001; Kundu et al., 2019)</w:t>
      </w:r>
      <w:r w:rsidR="003C4E4D" w:rsidRPr="00DB2332">
        <w:rPr>
          <w:rFonts w:ascii="Times New Roman" w:hAnsi="Times New Roman" w:cs="Times New Roman"/>
          <w:sz w:val="24"/>
          <w:szCs w:val="24"/>
          <w:lang w:eastAsia="en-GB"/>
        </w:rPr>
        <w:fldChar w:fldCharType="end"/>
      </w:r>
      <w:r w:rsidR="00193970" w:rsidRPr="00FA6B79">
        <w:rPr>
          <w:rFonts w:ascii="Times New Roman" w:hAnsi="Times New Roman" w:cs="Times New Roman"/>
          <w:sz w:val="24"/>
          <w:szCs w:val="24"/>
        </w:rPr>
        <w:t>)</w:t>
      </w:r>
      <w:r w:rsidR="00A92CC8" w:rsidRPr="00DB2332">
        <w:rPr>
          <w:rFonts w:ascii="Times New Roman" w:hAnsi="Times New Roman" w:cs="Times New Roman"/>
          <w:sz w:val="24"/>
          <w:szCs w:val="24"/>
          <w:lang w:eastAsia="en-GB"/>
        </w:rPr>
        <w:t>.</w:t>
      </w:r>
    </w:p>
    <w:p w14:paraId="403A4CB8" w14:textId="77777777" w:rsidR="008A57DA" w:rsidRPr="00DB2332" w:rsidRDefault="008A57DA" w:rsidP="008A57DA">
      <w:pPr>
        <w:pStyle w:val="Heading3"/>
        <w:spacing w:after="240" w:line="480" w:lineRule="auto"/>
        <w:rPr>
          <w:rFonts w:ascii="Times New Roman" w:hAnsi="Times New Roman" w:cs="Times New Roman"/>
          <w:color w:val="auto"/>
          <w:lang w:eastAsia="en-GB"/>
        </w:rPr>
      </w:pPr>
      <w:r w:rsidRPr="00DB2332">
        <w:rPr>
          <w:rFonts w:ascii="Times New Roman" w:hAnsi="Times New Roman" w:cs="Times New Roman"/>
          <w:color w:val="auto"/>
          <w:lang w:eastAsia="en-GB"/>
        </w:rPr>
        <w:t>Flight mission profile and iteration process</w:t>
      </w:r>
    </w:p>
    <w:p w14:paraId="179E011E" w14:textId="1327AA5D" w:rsidR="008A57DA" w:rsidRPr="00FA6B79" w:rsidRDefault="008A57DA" w:rsidP="008A57DA">
      <w:pPr>
        <w:spacing w:after="0" w:line="480" w:lineRule="auto"/>
        <w:ind w:right="-46"/>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t xml:space="preserve">Figure 1 and Figure 2 show the process schematic of the range equation analysis for the Jet-A fuel case and alternative liquid fuel (cryogenic and non-cryogenic) cases, respectively. The SEC (in MJ/tonne-km) is calculated for the different fuels as it is an important performance parameter that facilitates the calculation of direct operating costs. The A350-1000 aircraft (Jet-A) is the baseline </w:t>
      </w:r>
      <w:proofErr w:type="gramStart"/>
      <w:r w:rsidRPr="00DB2332">
        <w:rPr>
          <w:rFonts w:ascii="Times New Roman" w:hAnsi="Times New Roman" w:cs="Times New Roman"/>
          <w:sz w:val="24"/>
          <w:szCs w:val="24"/>
          <w:lang w:eastAsia="en-GB"/>
        </w:rPr>
        <w:t>case</w:t>
      </w:r>
      <w:proofErr w:type="gramEnd"/>
      <w:r w:rsidRPr="00DB2332">
        <w:rPr>
          <w:rFonts w:ascii="Times New Roman" w:hAnsi="Times New Roman" w:cs="Times New Roman"/>
          <w:sz w:val="24"/>
          <w:szCs w:val="24"/>
          <w:lang w:eastAsia="en-GB"/>
        </w:rPr>
        <w:t xml:space="preserve"> and all alternative fuels will be evaluated for the same payload weight and design target range. The total fuel weight carried at mission start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determines the volume needed to store that fuel and therefore the operating empty weight (OEW) of the aircraft. The aircraft GTOW is the sum of the OEW,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p</w:t>
      </w:r>
      <w:proofErr w:type="spellEnd"/>
      <w:r w:rsidRPr="00DB2332">
        <w:rPr>
          <w:rFonts w:ascii="Times New Roman" w:hAnsi="Times New Roman" w:cs="Times New Roman"/>
          <w:sz w:val="24"/>
          <w:szCs w:val="24"/>
          <w:lang w:eastAsia="en-GB"/>
        </w:rPr>
        <w:t xml:space="preserve"> and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We choose to constrain the aircraft GTOW to be less than or equal to the maximum take-off weight (MTOW) limit of the baseline aircraft structure, which is 316 </w:t>
      </w:r>
      <w:r w:rsidR="001B2734" w:rsidRPr="000B7DCE">
        <w:rPr>
          <w:rFonts w:ascii="Times New Roman" w:hAnsi="Times New Roman" w:cs="Times New Roman"/>
          <w:sz w:val="24"/>
          <w:szCs w:val="24"/>
          <w:lang w:eastAsia="en-GB"/>
        </w:rPr>
        <w:t>tonnes</w:t>
      </w:r>
      <w:r w:rsidRPr="00FA6B79">
        <w:rPr>
          <w:rFonts w:ascii="Times New Roman" w:hAnsi="Times New Roman" w:cs="Times New Roman"/>
          <w:sz w:val="24"/>
          <w:szCs w:val="24"/>
          <w:lang w:eastAsia="en-GB"/>
        </w:rPr>
        <w:t xml:space="preserve"> (weight breakdown in </w:t>
      </w:r>
      <w:r w:rsidR="00E83957" w:rsidRPr="00DB2332">
        <w:rPr>
          <w:rFonts w:ascii="Times New Roman" w:hAnsi="Times New Roman" w:cs="Times New Roman"/>
          <w:sz w:val="24"/>
          <w:szCs w:val="24"/>
          <w:lang w:eastAsia="en-GB"/>
        </w:rPr>
        <w:t>SI §</w:t>
      </w:r>
      <w:r w:rsidR="00B926D5" w:rsidRPr="00DB2332">
        <w:rPr>
          <w:rFonts w:ascii="Times New Roman" w:hAnsi="Times New Roman" w:cs="Times New Roman"/>
          <w:sz w:val="24"/>
          <w:szCs w:val="24"/>
          <w:lang w:eastAsia="en-GB"/>
        </w:rPr>
        <w:t>4.4</w:t>
      </w:r>
      <w:r w:rsidRPr="00DB2332">
        <w:rPr>
          <w:rFonts w:ascii="Times New Roman" w:hAnsi="Times New Roman" w:cs="Times New Roman"/>
          <w:sz w:val="24"/>
          <w:szCs w:val="24"/>
          <w:lang w:eastAsia="en-GB"/>
        </w:rPr>
        <w:t xml:space="preserve">). This constraint is applied as we have not conducted a detailed structural analysis in this study. Therefore, the MTOW determines the design limit on the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In other words, for the alternative fuel cases, </w:t>
      </w:r>
      <w:r w:rsidRPr="00DB2332">
        <w:rPr>
          <w:rFonts w:ascii="Times New Roman" w:hAnsi="Times New Roman" w:cs="Times New Roman"/>
          <w:sz w:val="24"/>
          <w:szCs w:val="24"/>
          <w:lang w:eastAsia="en-GB"/>
        </w:rPr>
        <w:lastRenderedPageBreak/>
        <w:t xml:space="preserve">the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is iterated and estimated such that the aircraft GTOW does not exceed the MTOW. </w:t>
      </w:r>
      <w:r w:rsidRPr="000B7DCE">
        <w:rPr>
          <w:rFonts w:ascii="Times New Roman" w:hAnsi="Times New Roman" w:cs="Times New Roman"/>
          <w:sz w:val="24"/>
          <w:szCs w:val="24"/>
          <w:lang w:eastAsia="en-GB"/>
        </w:rPr>
        <w:t xml:space="preserve">The details of calculation steps for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η</m:t>
            </m:r>
          </m:e>
          <m:sub>
            <m:r>
              <m:rPr>
                <m:sty m:val="p"/>
              </m:rPr>
              <w:rPr>
                <w:rFonts w:ascii="Cambria Math" w:hAnsi="Cambria Math" w:cs="Times New Roman"/>
                <w:sz w:val="24"/>
                <w:szCs w:val="24"/>
                <w:lang w:eastAsia="en-GB"/>
              </w:rPr>
              <m:t>o</m:t>
            </m:r>
          </m:sub>
        </m:sSub>
      </m:oMath>
      <w:r w:rsidRPr="000B7DCE">
        <w:rPr>
          <w:rFonts w:ascii="Times New Roman" w:hAnsi="Times New Roman" w:cs="Times New Roman"/>
          <w:sz w:val="24"/>
          <w:szCs w:val="24"/>
          <w:lang w:eastAsia="en-GB"/>
        </w:rPr>
        <w:t xml:space="preserve"> (and lost fuel value), aerodynamics and additional fuselage characteristics, and additional systems weight for alternative fuels are included in </w:t>
      </w:r>
      <w:r w:rsidR="00B926D5" w:rsidRPr="00FA6B79">
        <w:rPr>
          <w:rFonts w:ascii="Times New Roman" w:hAnsi="Times New Roman" w:cs="Times New Roman"/>
          <w:sz w:val="24"/>
          <w:szCs w:val="24"/>
          <w:lang w:eastAsia="en-GB"/>
        </w:rPr>
        <w:t>SI</w:t>
      </w:r>
      <w:r w:rsidR="00067374" w:rsidRPr="00DB2332">
        <w:rPr>
          <w:rFonts w:ascii="Times New Roman" w:hAnsi="Times New Roman" w:cs="Times New Roman"/>
          <w:sz w:val="24"/>
          <w:szCs w:val="24"/>
          <w:lang w:eastAsia="en-GB"/>
        </w:rPr>
        <w:t xml:space="preserve"> </w:t>
      </w:r>
      <w:r w:rsidRPr="000B7DCE">
        <w:rPr>
          <w:rFonts w:ascii="Times New Roman" w:hAnsi="Times New Roman" w:cs="Times New Roman"/>
          <w:sz w:val="24"/>
          <w:szCs w:val="24"/>
          <w:lang w:eastAsia="en-GB"/>
        </w:rPr>
        <w:t>§</w:t>
      </w:r>
      <w:r w:rsidR="00067374" w:rsidRPr="000B7DCE">
        <w:rPr>
          <w:rFonts w:ascii="Times New Roman" w:hAnsi="Times New Roman" w:cs="Times New Roman"/>
          <w:sz w:val="24"/>
          <w:szCs w:val="24"/>
          <w:lang w:eastAsia="en-GB"/>
        </w:rPr>
        <w:t>4.1</w:t>
      </w:r>
      <w:r w:rsidRPr="000B7DCE">
        <w:rPr>
          <w:rFonts w:ascii="Times New Roman" w:hAnsi="Times New Roman" w:cs="Times New Roman"/>
          <w:sz w:val="24"/>
          <w:szCs w:val="24"/>
          <w:lang w:eastAsia="en-GB"/>
        </w:rPr>
        <w:t>, §</w:t>
      </w:r>
      <w:r w:rsidR="00067374" w:rsidRPr="000B7DCE">
        <w:rPr>
          <w:rFonts w:ascii="Times New Roman" w:hAnsi="Times New Roman" w:cs="Times New Roman"/>
          <w:sz w:val="24"/>
          <w:szCs w:val="24"/>
          <w:lang w:eastAsia="en-GB"/>
        </w:rPr>
        <w:t>4.2</w:t>
      </w:r>
      <w:r w:rsidRPr="000B7DCE">
        <w:rPr>
          <w:rFonts w:ascii="Times New Roman" w:hAnsi="Times New Roman" w:cs="Times New Roman"/>
          <w:sz w:val="24"/>
          <w:szCs w:val="24"/>
          <w:lang w:eastAsia="en-GB"/>
        </w:rPr>
        <w:t>, and §</w:t>
      </w:r>
      <w:r w:rsidR="00067374" w:rsidRPr="000B7DCE">
        <w:rPr>
          <w:rFonts w:ascii="Times New Roman" w:hAnsi="Times New Roman" w:cs="Times New Roman"/>
          <w:sz w:val="24"/>
          <w:szCs w:val="24"/>
          <w:lang w:eastAsia="en-GB"/>
        </w:rPr>
        <w:t>4.3</w:t>
      </w:r>
      <w:r w:rsidRPr="000B7DCE">
        <w:rPr>
          <w:rFonts w:ascii="Times New Roman" w:hAnsi="Times New Roman" w:cs="Times New Roman"/>
          <w:sz w:val="24"/>
          <w:szCs w:val="24"/>
          <w:lang w:eastAsia="en-GB"/>
        </w:rPr>
        <w:t>, respectively. The passenger payload weight (</w:t>
      </w:r>
      <w:proofErr w:type="spellStart"/>
      <w:r w:rsidRPr="000B7DCE">
        <w:rPr>
          <w:rFonts w:ascii="Times New Roman" w:hAnsi="Times New Roman" w:cs="Times New Roman"/>
          <w:i/>
          <w:iCs/>
          <w:sz w:val="24"/>
          <w:szCs w:val="24"/>
          <w:lang w:eastAsia="en-GB"/>
        </w:rPr>
        <w:t>W</w:t>
      </w:r>
      <w:r w:rsidRPr="000B7DCE">
        <w:rPr>
          <w:rFonts w:ascii="Times New Roman" w:hAnsi="Times New Roman" w:cs="Times New Roman"/>
          <w:sz w:val="24"/>
          <w:szCs w:val="24"/>
          <w:vertAlign w:val="subscript"/>
          <w:lang w:eastAsia="en-GB"/>
        </w:rPr>
        <w:t>p</w:t>
      </w:r>
      <w:proofErr w:type="spellEnd"/>
      <w:r w:rsidRPr="000B7DCE">
        <w:rPr>
          <w:rFonts w:ascii="Times New Roman" w:hAnsi="Times New Roman" w:cs="Times New Roman"/>
          <w:sz w:val="24"/>
          <w:szCs w:val="24"/>
          <w:lang w:eastAsia="en-GB"/>
        </w:rPr>
        <w:t xml:space="preserve">) and other A350-1000 aircraft (Jet-A) data is included in </w:t>
      </w:r>
      <w:r w:rsidR="006412DA" w:rsidRPr="000B7DCE">
        <w:rPr>
          <w:rFonts w:ascii="Times New Roman" w:hAnsi="Times New Roman" w:cs="Times New Roman"/>
          <w:sz w:val="24"/>
          <w:szCs w:val="24"/>
          <w:lang w:eastAsia="en-GB"/>
        </w:rPr>
        <w:t>SI</w:t>
      </w:r>
      <w:r w:rsidRPr="000B7DCE">
        <w:rPr>
          <w:rFonts w:ascii="Times New Roman" w:hAnsi="Times New Roman" w:cs="Times New Roman"/>
          <w:sz w:val="24"/>
          <w:szCs w:val="24"/>
          <w:lang w:eastAsia="en-GB"/>
        </w:rPr>
        <w:t xml:space="preserve"> §</w:t>
      </w:r>
      <w:r w:rsidR="00067374" w:rsidRPr="000B7DCE">
        <w:rPr>
          <w:rFonts w:ascii="Times New Roman" w:hAnsi="Times New Roman" w:cs="Times New Roman"/>
          <w:sz w:val="24"/>
          <w:szCs w:val="24"/>
          <w:lang w:eastAsia="en-GB"/>
        </w:rPr>
        <w:t>4.4</w:t>
      </w:r>
      <w:r w:rsidRPr="000B7DCE">
        <w:rPr>
          <w:rFonts w:ascii="Times New Roman" w:hAnsi="Times New Roman" w:cs="Times New Roman"/>
          <w:sz w:val="24"/>
          <w:szCs w:val="24"/>
          <w:lang w:eastAsia="en-GB"/>
        </w:rPr>
        <w:t>.</w:t>
      </w:r>
    </w:p>
    <w:p w14:paraId="239DA04F" w14:textId="77777777" w:rsidR="008A57DA" w:rsidRPr="00FA6B79" w:rsidRDefault="008A57DA" w:rsidP="008A57DA">
      <w:pPr>
        <w:spacing w:after="0" w:line="480" w:lineRule="auto"/>
        <w:ind w:right="-330" w:hanging="284"/>
        <w:jc w:val="center"/>
        <w:rPr>
          <w:rFonts w:ascii="Times New Roman" w:hAnsi="Times New Roman" w:cs="Times New Roman"/>
          <w:sz w:val="24"/>
          <w:szCs w:val="24"/>
          <w:lang w:eastAsia="en-GB"/>
        </w:rPr>
      </w:pPr>
      <w:r w:rsidRPr="00FA6B79">
        <w:rPr>
          <w:rFonts w:ascii="Times New Roman" w:hAnsi="Times New Roman" w:cs="Times New Roman"/>
          <w:noProof/>
          <w:sz w:val="24"/>
          <w:szCs w:val="24"/>
          <w:lang w:eastAsia="en-GB"/>
        </w:rPr>
        <w:drawing>
          <wp:inline distT="0" distB="0" distL="0" distR="0" wp14:anchorId="3F931046" wp14:editId="07E41105">
            <wp:extent cx="5589767" cy="3396220"/>
            <wp:effectExtent l="0" t="0" r="0" b="0"/>
            <wp:docPr id="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98078" cy="3401269"/>
                    </a:xfrm>
                    <a:prstGeom prst="rect">
                      <a:avLst/>
                    </a:prstGeom>
                  </pic:spPr>
                </pic:pic>
              </a:graphicData>
            </a:graphic>
          </wp:inline>
        </w:drawing>
      </w:r>
    </w:p>
    <w:p w14:paraId="711BCA51" w14:textId="77777777" w:rsidR="008A57DA" w:rsidRPr="00DB2332" w:rsidRDefault="008A57DA" w:rsidP="008A57DA">
      <w:pPr>
        <w:spacing w:after="240" w:line="360" w:lineRule="auto"/>
        <w:jc w:val="center"/>
        <w:rPr>
          <w:rFonts w:ascii="Times New Roman" w:hAnsi="Times New Roman" w:cs="Times New Roman"/>
          <w:b/>
          <w:bCs/>
          <w:sz w:val="24"/>
          <w:szCs w:val="24"/>
          <w:lang w:eastAsia="en-GB"/>
        </w:rPr>
      </w:pPr>
      <w:r w:rsidRPr="00DB2332">
        <w:rPr>
          <w:rFonts w:ascii="Times New Roman" w:hAnsi="Times New Roman" w:cs="Times New Roman"/>
          <w:b/>
          <w:bCs/>
          <w:sz w:val="24"/>
          <w:szCs w:val="24"/>
          <w:lang w:eastAsia="en-GB"/>
        </w:rPr>
        <w:t>Figure 1. Process schematic of the range equation analysis for Jet-A (baseline) case. Boxes with dashed borders represent known values, boxes with solid border represent a calculation step, and # represent the calculation step number.</w:t>
      </w:r>
    </w:p>
    <w:p w14:paraId="522D7A8A" w14:textId="77777777" w:rsidR="008A57DA" w:rsidRPr="00FA6B79" w:rsidRDefault="008A57DA" w:rsidP="008A57DA">
      <w:pPr>
        <w:spacing w:after="0" w:line="480" w:lineRule="auto"/>
        <w:jc w:val="center"/>
        <w:rPr>
          <w:rFonts w:ascii="Times New Roman" w:hAnsi="Times New Roman" w:cs="Times New Roman"/>
          <w:b/>
          <w:bCs/>
          <w:sz w:val="24"/>
          <w:szCs w:val="24"/>
          <w:lang w:eastAsia="en-GB"/>
        </w:rPr>
      </w:pPr>
      <w:r w:rsidRPr="00FA6B79">
        <w:rPr>
          <w:rFonts w:ascii="Times New Roman" w:hAnsi="Times New Roman" w:cs="Times New Roman"/>
          <w:b/>
          <w:bCs/>
          <w:noProof/>
          <w:sz w:val="24"/>
          <w:szCs w:val="24"/>
          <w:lang w:eastAsia="en-GB"/>
        </w:rPr>
        <w:lastRenderedPageBreak/>
        <w:drawing>
          <wp:inline distT="0" distB="0" distL="0" distR="0" wp14:anchorId="536D9A26" wp14:editId="2EBF7986">
            <wp:extent cx="5245100" cy="7197050"/>
            <wp:effectExtent l="0" t="0" r="0" b="4445"/>
            <wp:docPr id="6" name="Picture 2"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receip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81575" cy="7247099"/>
                    </a:xfrm>
                    <a:prstGeom prst="rect">
                      <a:avLst/>
                    </a:prstGeom>
                  </pic:spPr>
                </pic:pic>
              </a:graphicData>
            </a:graphic>
          </wp:inline>
        </w:drawing>
      </w:r>
    </w:p>
    <w:p w14:paraId="35C2D660" w14:textId="77777777" w:rsidR="008A57DA" w:rsidRPr="00DB2332" w:rsidRDefault="008A57DA" w:rsidP="008A57DA">
      <w:pPr>
        <w:spacing w:line="360" w:lineRule="auto"/>
        <w:jc w:val="center"/>
        <w:rPr>
          <w:rFonts w:ascii="Times New Roman" w:hAnsi="Times New Roman" w:cs="Times New Roman"/>
          <w:b/>
          <w:bCs/>
          <w:sz w:val="24"/>
          <w:szCs w:val="24"/>
          <w:lang w:eastAsia="en-GB"/>
        </w:rPr>
      </w:pPr>
      <w:r w:rsidRPr="00DB2332">
        <w:rPr>
          <w:rFonts w:ascii="Times New Roman" w:hAnsi="Times New Roman" w:cs="Times New Roman"/>
          <w:b/>
          <w:bCs/>
          <w:sz w:val="24"/>
          <w:szCs w:val="24"/>
          <w:lang w:eastAsia="en-GB"/>
        </w:rPr>
        <w:t>Figure 2. Process schematic of the range equation analysis for alternative fuel cases. Boxes with dashed borders represent known values, boxes with thin solid border represent a calculation step, boxes with solid thick border represent a decision box, and # represent the calculation step number. Grey and black colours are used for cryogenic and non-cryogenic fuel cases, respectively.</w:t>
      </w:r>
    </w:p>
    <w:p w14:paraId="0EA6FD57" w14:textId="5A3353B3" w:rsidR="008A57DA" w:rsidRPr="00DB2332" w:rsidRDefault="008A57DA" w:rsidP="008A57DA">
      <w:pPr>
        <w:spacing w:after="0" w:line="480" w:lineRule="auto"/>
        <w:ind w:right="-46"/>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lastRenderedPageBreak/>
        <w:tab/>
        <w:t xml:space="preserve">For the baseline Jet-A aircraft, the MTOW, OEW, and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w:t>
      </w:r>
      <w:proofErr w:type="gramStart"/>
      <w:r w:rsidRPr="00DB2332">
        <w:rPr>
          <w:rFonts w:ascii="Times New Roman" w:hAnsi="Times New Roman" w:cs="Times New Roman"/>
          <w:sz w:val="24"/>
          <w:szCs w:val="24"/>
          <w:lang w:eastAsia="en-GB"/>
        </w:rPr>
        <w:t>are</w:t>
      </w:r>
      <w:proofErr w:type="gramEnd"/>
      <w:r w:rsidRPr="00DB2332">
        <w:rPr>
          <w:rFonts w:ascii="Times New Roman" w:hAnsi="Times New Roman" w:cs="Times New Roman"/>
          <w:sz w:val="24"/>
          <w:szCs w:val="24"/>
          <w:lang w:eastAsia="en-GB"/>
        </w:rPr>
        <w:t xml:space="preserve"> known for a given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p</w:t>
      </w:r>
      <w:proofErr w:type="spellEnd"/>
      <w:r w:rsidRPr="00DB2332">
        <w:rPr>
          <w:rFonts w:ascii="Times New Roman" w:hAnsi="Times New Roman" w:cs="Times New Roman"/>
          <w:sz w:val="24"/>
          <w:szCs w:val="24"/>
          <w:lang w:eastAsia="en-GB"/>
        </w:rPr>
        <w:t xml:space="preserve">. For alternative fuel cases, </w:t>
      </w:r>
      <w:r w:rsidRPr="00DB2332">
        <w:rPr>
          <w:rFonts w:ascii="Times New Roman" w:hAnsi="Times New Roman" w:cs="Times New Roman"/>
          <w:sz w:val="24"/>
          <w:szCs w:val="24"/>
        </w:rPr>
        <w:t xml:space="preserve">the wing planform (area, span and/or aspect ratio [AR]) is maintained from the baseline aircraft, which is similar to the approach used in the </w:t>
      </w:r>
      <w:proofErr w:type="spellStart"/>
      <w:r w:rsidRPr="00DB2332">
        <w:rPr>
          <w:rFonts w:ascii="Times New Roman" w:hAnsi="Times New Roman" w:cs="Times New Roman"/>
          <w:sz w:val="24"/>
          <w:szCs w:val="24"/>
        </w:rPr>
        <w:t>Cryoplane</w:t>
      </w:r>
      <w:proofErr w:type="spellEnd"/>
      <w:r w:rsidRPr="00DB2332">
        <w:rPr>
          <w:rFonts w:ascii="Times New Roman" w:hAnsi="Times New Roman" w:cs="Times New Roman"/>
          <w:sz w:val="24"/>
          <w:szCs w:val="24"/>
        </w:rPr>
        <w:t xml:space="preserve"> study </w:t>
      </w:r>
      <w:r w:rsidRPr="00DB2332">
        <w:rPr>
          <w:rFonts w:ascii="Times New Roman" w:hAnsi="Times New Roman" w:cs="Times New Roman"/>
          <w:sz w:val="24"/>
          <w:szCs w:val="24"/>
          <w:lang w:eastAsia="en-GB"/>
        </w:rPr>
        <w:fldChar w:fldCharType="begin" w:fldLock="1"/>
      </w:r>
      <w:r w:rsidRPr="00DB2332">
        <w:rPr>
          <w:rFonts w:ascii="Times New Roman" w:hAnsi="Times New Roman" w:cs="Times New Roman"/>
          <w:sz w:val="24"/>
          <w:szCs w:val="24"/>
          <w:lang w:eastAsia="en-GB"/>
        </w:rPr>
        <w:instrText>ADDIN CSL_CITATION {"citationItems":[{"id":"ITEM-1","itemData":{"DOI":"10.1595/205651320x15816756012040","ISSN":"20565135","abstract":"Aviation fuel demand is expected to continue to grow over the next decades and continue to rely heavily on kerosene fuel for use in jet engines. While efficiency and operational improvements are possible ways to reduce greenhouse gas (GHG) emissions, decarbonisation will need to heavily rely on low carbon kerosene drop-in alternatives. Currently, alternative fuels make up a very small share of fuel used in aviation, but their commercialisation is making good progress. Hydrogen offers a longer-term alternative fuel option but requires aircraft design and fuelling infrastructure changes. Electrification is emerging as an option for providing propulsion in aircraft, either in pure form in small aircraft or in hybrid mode in larger aircraft. This paper reviews the status, challenges and prospects of alternative fuels and electrification in aviation.","author":[{"dropping-particle":"","family":"Bauen","given":"Ausilio","non-dropping-particle":"","parse-names":false,"suffix":""},{"dropping-particle":"","family":"Bitossi","given":"Niccolò","non-dropping-particle":"","parse-names":false,"suffix":""},{"dropping-particle":"","family":"German","given":"Lizzie","non-dropping-particle":"","parse-names":false,"suffix":""},{"dropping-particle":"","family":"Harris","given":"Anisha","non-dropping-particle":"","parse-names":false,"suffix":""},{"dropping-particle":"","family":"Leow","given":"Khangzhen","non-dropping-particle":"","parse-names":false,"suffix":""}],"container-title":"Johnson Matthey Technology Review","id":"ITEM-1","issue":"3","issued":{"date-parts":[["2020","7","1"]]},"page":"263-278","publisher":"Johnson Matthey Public Limited Company","title":"Sustainable aviation fuels status, challenges and prospects of drop-in liquid fuels, hydrogen and electrification in aviation","type":"article-journal","volume":"64"},"uris":["http://www.mendeley.com/documents/?uuid=829b1f75-4ac8-3db5-a334-ef6c1fcc22f1"]}],"mendeley":{"formattedCitation":"(Bauen et al., 2020)","plainTextFormattedCitation":"(Bauen et al., 2020)","previouslyFormattedCitation":"(Bauen et al., 2020)"},"properties":{"noteIndex":0},"schema":"https://github.com/citation-style-language/schema/raw/master/csl-citation.json"}</w:instrText>
      </w:r>
      <w:r w:rsidRPr="00DB2332">
        <w:rPr>
          <w:rFonts w:ascii="Times New Roman" w:hAnsi="Times New Roman" w:cs="Times New Roman"/>
          <w:sz w:val="24"/>
          <w:szCs w:val="24"/>
          <w:lang w:eastAsia="en-GB"/>
        </w:rPr>
        <w:fldChar w:fldCharType="separate"/>
      </w:r>
      <w:r w:rsidRPr="00DB2332">
        <w:rPr>
          <w:rFonts w:ascii="Times New Roman" w:hAnsi="Times New Roman" w:cs="Times New Roman"/>
          <w:noProof/>
          <w:sz w:val="24"/>
          <w:szCs w:val="24"/>
          <w:lang w:eastAsia="en-GB"/>
        </w:rPr>
        <w:t>(Bauen et al., 2020)</w:t>
      </w:r>
      <w:r w:rsidRPr="00DB2332">
        <w:rPr>
          <w:rFonts w:ascii="Times New Roman" w:hAnsi="Times New Roman" w:cs="Times New Roman"/>
          <w:sz w:val="24"/>
          <w:szCs w:val="24"/>
          <w:lang w:eastAsia="en-GB"/>
        </w:rPr>
        <w:fldChar w:fldCharType="end"/>
      </w:r>
      <w:r w:rsidRPr="00FA6B79">
        <w:rPr>
          <w:rFonts w:ascii="Times New Roman" w:hAnsi="Times New Roman" w:cs="Times New Roman"/>
          <w:sz w:val="24"/>
          <w:szCs w:val="24"/>
        </w:rPr>
        <w:t xml:space="preserve">. </w:t>
      </w:r>
      <w:r w:rsidRPr="00DB2332">
        <w:rPr>
          <w:rFonts w:ascii="Times New Roman" w:hAnsi="Times New Roman" w:cs="Times New Roman"/>
          <w:sz w:val="24"/>
          <w:szCs w:val="24"/>
          <w:lang w:eastAsia="en-GB"/>
        </w:rPr>
        <w:t>To accommodate greater volumes of fuel that could be required for alternative fuels, we allow for extensions of the fuselage length. Additional fuselage length penalises aircraft fuel/energy performance via increased wetted area, drag and weight (via increased OEW). For cryogenic fuels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LNG and LNH</w:t>
      </w:r>
      <w:r w:rsidRPr="00DB2332">
        <w:rPr>
          <w:rFonts w:ascii="Times New Roman" w:hAnsi="Times New Roman" w:cs="Times New Roman"/>
          <w:sz w:val="24"/>
          <w:szCs w:val="24"/>
          <w:vertAlign w:val="subscript"/>
          <w:lang w:eastAsia="en-GB"/>
        </w:rPr>
        <w:t>3</w:t>
      </w:r>
      <w:r w:rsidRPr="00DB2332">
        <w:rPr>
          <w:rFonts w:ascii="Times New Roman" w:hAnsi="Times New Roman" w:cs="Times New Roman"/>
          <w:sz w:val="24"/>
          <w:szCs w:val="24"/>
          <w:lang w:eastAsia="en-GB"/>
        </w:rPr>
        <w:t xml:space="preserve">),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needs to be stored in cryogenic tank systems that are installed in the fuselage. For non-cryogenic fuels (100% SPK, methanol, ethanol), a substantial fraction of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sidDel="00440582">
        <w:rPr>
          <w:rFonts w:ascii="Times New Roman" w:hAnsi="Times New Roman" w:cs="Times New Roman"/>
          <w:sz w:val="24"/>
          <w:szCs w:val="24"/>
          <w:lang w:eastAsia="en-GB"/>
        </w:rPr>
        <w:t xml:space="preserve"> </w:t>
      </w:r>
      <w:r w:rsidRPr="00DB2332">
        <w:rPr>
          <w:rFonts w:ascii="Times New Roman" w:hAnsi="Times New Roman" w:cs="Times New Roman"/>
          <w:sz w:val="24"/>
          <w:szCs w:val="24"/>
          <w:lang w:eastAsia="en-GB"/>
        </w:rPr>
        <w:t xml:space="preserve">fits inside the existing tank in the wings of the baseline aircraft. The remainder of the fuel (if any) must be accommodated in the (additional) fuselage. These calculation steps are detailed in </w:t>
      </w:r>
      <w:r w:rsidR="006412DA" w:rsidRPr="000B7DCE">
        <w:rPr>
          <w:rFonts w:ascii="Times New Roman" w:hAnsi="Times New Roman" w:cs="Times New Roman"/>
          <w:sz w:val="24"/>
          <w:szCs w:val="24"/>
          <w:lang w:eastAsia="en-GB"/>
        </w:rPr>
        <w:t>SI</w:t>
      </w:r>
      <w:r w:rsidRPr="00FA6B79">
        <w:rPr>
          <w:rFonts w:ascii="Times New Roman" w:hAnsi="Times New Roman" w:cs="Times New Roman"/>
          <w:sz w:val="24"/>
          <w:szCs w:val="24"/>
          <w:lang w:eastAsia="en-GB"/>
        </w:rPr>
        <w:t xml:space="preserve"> §</w:t>
      </w:r>
      <w:r w:rsidR="006412DA" w:rsidRPr="000B7DCE">
        <w:rPr>
          <w:rFonts w:ascii="Times New Roman" w:hAnsi="Times New Roman" w:cs="Times New Roman"/>
          <w:sz w:val="24"/>
          <w:szCs w:val="24"/>
          <w:lang w:eastAsia="en-GB"/>
        </w:rPr>
        <w:t>4.2</w:t>
      </w:r>
      <w:r w:rsidRPr="00FA6B79">
        <w:rPr>
          <w:rFonts w:ascii="Times New Roman" w:hAnsi="Times New Roman" w:cs="Times New Roman"/>
          <w:sz w:val="24"/>
          <w:szCs w:val="24"/>
          <w:lang w:eastAsia="en-GB"/>
        </w:rPr>
        <w:t xml:space="preserve"> and §</w:t>
      </w:r>
      <w:r w:rsidR="006412DA" w:rsidRPr="000B7DCE">
        <w:rPr>
          <w:rFonts w:ascii="Times New Roman" w:hAnsi="Times New Roman" w:cs="Times New Roman"/>
          <w:sz w:val="24"/>
          <w:szCs w:val="24"/>
          <w:lang w:eastAsia="en-GB"/>
        </w:rPr>
        <w:t>4.3</w:t>
      </w:r>
      <w:r w:rsidRPr="00FA6B79">
        <w:rPr>
          <w:rFonts w:ascii="Times New Roman" w:hAnsi="Times New Roman" w:cs="Times New Roman"/>
          <w:sz w:val="24"/>
          <w:szCs w:val="24"/>
          <w:lang w:eastAsia="en-GB"/>
        </w:rPr>
        <w:t>.</w:t>
      </w:r>
    </w:p>
    <w:p w14:paraId="3751ABA0" w14:textId="77777777" w:rsidR="008A57DA" w:rsidRPr="00DB2332" w:rsidRDefault="008A57DA" w:rsidP="008A57DA">
      <w:pPr>
        <w:spacing w:after="0" w:line="480" w:lineRule="auto"/>
        <w:jc w:val="both"/>
        <w:rPr>
          <w:rFonts w:ascii="Times New Roman" w:hAnsi="Times New Roman" w:cs="Times New Roman"/>
          <w:sz w:val="24"/>
          <w:szCs w:val="24"/>
        </w:rPr>
      </w:pPr>
      <w:r w:rsidRPr="00DB2332">
        <w:rPr>
          <w:rFonts w:ascii="Times New Roman" w:hAnsi="Times New Roman" w:cs="Times New Roman"/>
          <w:sz w:val="24"/>
          <w:szCs w:val="24"/>
          <w:lang w:eastAsia="en-GB"/>
        </w:rPr>
        <w:tab/>
        <w:t>The sum of the fuel consumed during non-cruise and cruise operation in a typical mission is defined here as block fuel consumption. For all fuels a ratio of 0.9 of the block fuel weight (</w:t>
      </w:r>
      <w:proofErr w:type="spellStart"/>
      <w:r w:rsidRPr="00DB2332">
        <w:rPr>
          <w:rFonts w:ascii="Times New Roman" w:hAnsi="Times New Roman" w:cs="Times New Roman"/>
          <w:i/>
          <w:iCs/>
          <w:sz w:val="24"/>
          <w:szCs w:val="24"/>
        </w:rPr>
        <w:t>W</w:t>
      </w:r>
      <w:r w:rsidRPr="00DB2332">
        <w:rPr>
          <w:rFonts w:ascii="Times New Roman" w:hAnsi="Times New Roman" w:cs="Times New Roman"/>
          <w:sz w:val="24"/>
          <w:szCs w:val="24"/>
          <w:vertAlign w:val="subscript"/>
        </w:rPr>
        <w:t>F,block</w:t>
      </w:r>
      <w:proofErr w:type="spellEnd"/>
      <w:r w:rsidRPr="00DB2332">
        <w:rPr>
          <w:rFonts w:ascii="Times New Roman" w:hAnsi="Times New Roman" w:cs="Times New Roman"/>
          <w:sz w:val="24"/>
          <w:szCs w:val="24"/>
          <w:lang w:eastAsia="en-GB"/>
        </w:rPr>
        <w:t xml:space="preserve">) and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is maintained, which accounts for reserve or additional fuel, as used by </w:t>
      </w:r>
      <w:proofErr w:type="spellStart"/>
      <w:r w:rsidRPr="00DB2332">
        <w:rPr>
          <w:rFonts w:ascii="Times New Roman" w:hAnsi="Times New Roman" w:cs="Times New Roman"/>
          <w:sz w:val="24"/>
          <w:szCs w:val="24"/>
          <w:lang w:eastAsia="en-GB"/>
        </w:rPr>
        <w:t>Nickol</w:t>
      </w:r>
      <w:proofErr w:type="spellEnd"/>
      <w:r w:rsidRPr="00DB2332">
        <w:rPr>
          <w:rFonts w:ascii="Times New Roman" w:hAnsi="Times New Roman" w:cs="Times New Roman"/>
          <w:sz w:val="24"/>
          <w:szCs w:val="24"/>
          <w:lang w:eastAsia="en-GB"/>
        </w:rPr>
        <w:t xml:space="preserve"> et al. for both tube-wing and blended wing body long-range LTA aircraft </w:t>
      </w:r>
      <w:r w:rsidRPr="00DB2332">
        <w:rPr>
          <w:rFonts w:ascii="Times New Roman" w:hAnsi="Times New Roman" w:cs="Times New Roman"/>
          <w:sz w:val="24"/>
          <w:szCs w:val="24"/>
          <w:lang w:eastAsia="en-GB"/>
        </w:rPr>
        <w:fldChar w:fldCharType="begin" w:fldLock="1"/>
      </w:r>
      <w:r w:rsidRPr="00DB2332">
        <w:rPr>
          <w:rFonts w:ascii="Times New Roman" w:hAnsi="Times New Roman" w:cs="Times New Roman"/>
          <w:sz w:val="24"/>
          <w:szCs w:val="24"/>
          <w:lang w:eastAsia="en-GB"/>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Project","type":"paper-conference"},"uris":["http://www.mendeley.com/documents/?uuid=5ed49cdd-acaa-3c7b-9b11-77e831af6f46"]}],"mendeley":{"formattedCitation":"(Nickol and Haller, 2016)","plainTextFormattedCitation":"(Nickol and Haller, 2016)","previouslyFormattedCitation":"(Nickol and Haller, 2016)"},"properties":{"noteIndex":0},"schema":"https://github.com/citation-style-language/schema/raw/master/csl-citation.json"}</w:instrText>
      </w:r>
      <w:r w:rsidRPr="00DB2332">
        <w:rPr>
          <w:rFonts w:ascii="Times New Roman" w:hAnsi="Times New Roman" w:cs="Times New Roman"/>
          <w:sz w:val="24"/>
          <w:szCs w:val="24"/>
          <w:lang w:eastAsia="en-GB"/>
        </w:rPr>
        <w:fldChar w:fldCharType="separate"/>
      </w:r>
      <w:r w:rsidRPr="00DB2332">
        <w:rPr>
          <w:rFonts w:ascii="Times New Roman" w:hAnsi="Times New Roman" w:cs="Times New Roman"/>
          <w:noProof/>
          <w:sz w:val="24"/>
          <w:szCs w:val="24"/>
          <w:lang w:eastAsia="en-GB"/>
        </w:rPr>
        <w:t>(Nickol and Haller, 2016)</w:t>
      </w:r>
      <w:r w:rsidRPr="00DB2332">
        <w:rPr>
          <w:rFonts w:ascii="Times New Roman" w:hAnsi="Times New Roman" w:cs="Times New Roman"/>
          <w:sz w:val="24"/>
          <w:szCs w:val="24"/>
          <w:lang w:eastAsia="en-GB"/>
        </w:rPr>
        <w:fldChar w:fldCharType="end"/>
      </w:r>
      <w:r w:rsidRPr="00FA6B79">
        <w:rPr>
          <w:rFonts w:ascii="Times New Roman" w:hAnsi="Times New Roman" w:cs="Times New Roman"/>
          <w:sz w:val="24"/>
          <w:szCs w:val="24"/>
          <w:lang w:eastAsia="en-GB"/>
        </w:rPr>
        <w:t xml:space="preserve">. The SEC is calculated from the </w:t>
      </w:r>
      <w:proofErr w:type="spellStart"/>
      <w:r w:rsidRPr="00DB2332">
        <w:rPr>
          <w:rFonts w:ascii="Times New Roman" w:hAnsi="Times New Roman" w:cs="Times New Roman"/>
          <w:i/>
          <w:iCs/>
          <w:sz w:val="24"/>
          <w:szCs w:val="24"/>
        </w:rPr>
        <w:t>W</w:t>
      </w:r>
      <w:r w:rsidRPr="00DB2332">
        <w:rPr>
          <w:rFonts w:ascii="Times New Roman" w:hAnsi="Times New Roman" w:cs="Times New Roman"/>
          <w:sz w:val="24"/>
          <w:szCs w:val="24"/>
          <w:vertAlign w:val="subscript"/>
        </w:rPr>
        <w:t>F,block</w:t>
      </w:r>
      <w:proofErr w:type="spellEnd"/>
      <w:r w:rsidRPr="00DB2332">
        <w:rPr>
          <w:rFonts w:ascii="Times New Roman" w:hAnsi="Times New Roman" w:cs="Times New Roman"/>
          <w:sz w:val="24"/>
          <w:szCs w:val="24"/>
        </w:rPr>
        <w:t xml:space="preserve"> for each fuel case [SEC = (</w:t>
      </w:r>
      <w:proofErr w:type="spellStart"/>
      <w:r w:rsidRPr="00DB2332">
        <w:rPr>
          <w:rFonts w:ascii="Times New Roman" w:hAnsi="Times New Roman" w:cs="Times New Roman"/>
          <w:i/>
          <w:iCs/>
          <w:sz w:val="24"/>
          <w:szCs w:val="24"/>
        </w:rPr>
        <w:t>W</w:t>
      </w:r>
      <w:r w:rsidRPr="00DB2332">
        <w:rPr>
          <w:rFonts w:ascii="Times New Roman" w:hAnsi="Times New Roman" w:cs="Times New Roman"/>
          <w:sz w:val="24"/>
          <w:szCs w:val="24"/>
          <w:vertAlign w:val="subscript"/>
        </w:rPr>
        <w:t>F,block</w:t>
      </w:r>
      <w:proofErr w:type="spellEnd"/>
      <w:r w:rsidRPr="00DB2332">
        <w:rPr>
          <w:rFonts w:ascii="Times New Roman" w:hAnsi="Times New Roman" w:cs="Times New Roman"/>
          <w:sz w:val="24"/>
          <w:szCs w:val="24"/>
        </w:rPr>
        <w:t xml:space="preserve"> </w:t>
      </w:r>
      <w:r w:rsidRPr="00DB2332">
        <w:rPr>
          <w:rFonts w:ascii="Times New Roman" w:hAnsi="Times New Roman" w:cs="Times New Roman"/>
          <w:i/>
          <w:iCs/>
          <w:sz w:val="24"/>
          <w:szCs w:val="24"/>
        </w:rPr>
        <w:t>h</w:t>
      </w:r>
      <w:r w:rsidRPr="00DB2332">
        <w:rPr>
          <w:rFonts w:ascii="Times New Roman" w:hAnsi="Times New Roman" w:cs="Times New Roman"/>
          <w:sz w:val="24"/>
          <w:szCs w:val="24"/>
        </w:rPr>
        <w:t>) / (</w:t>
      </w:r>
      <w:proofErr w:type="spellStart"/>
      <w:r w:rsidRPr="00DB2332">
        <w:rPr>
          <w:rFonts w:ascii="Times New Roman" w:hAnsi="Times New Roman" w:cs="Times New Roman"/>
          <w:i/>
          <w:iCs/>
          <w:sz w:val="24"/>
          <w:szCs w:val="24"/>
        </w:rPr>
        <w:t>W</w:t>
      </w:r>
      <w:r w:rsidRPr="00DB2332">
        <w:rPr>
          <w:rFonts w:ascii="Times New Roman" w:hAnsi="Times New Roman" w:cs="Times New Roman"/>
          <w:sz w:val="24"/>
          <w:szCs w:val="24"/>
          <w:vertAlign w:val="subscript"/>
        </w:rPr>
        <w:t>p</w:t>
      </w:r>
      <w:proofErr w:type="spellEnd"/>
      <w:r w:rsidRPr="00DB2332">
        <w:rPr>
          <w:rFonts w:ascii="Times New Roman" w:hAnsi="Times New Roman" w:cs="Times New Roman"/>
          <w:sz w:val="24"/>
          <w:szCs w:val="24"/>
        </w:rPr>
        <w:t xml:space="preserve"> </w:t>
      </w:r>
      <w:r w:rsidRPr="00DB2332">
        <w:rPr>
          <w:rFonts w:ascii="Times New Roman" w:hAnsi="Times New Roman" w:cs="Times New Roman"/>
          <w:i/>
          <w:iCs/>
          <w:sz w:val="24"/>
          <w:szCs w:val="24"/>
        </w:rPr>
        <w:t>R</w:t>
      </w:r>
      <w:r w:rsidRPr="00DB2332">
        <w:rPr>
          <w:rFonts w:ascii="Times New Roman" w:hAnsi="Times New Roman" w:cs="Times New Roman"/>
          <w:sz w:val="24"/>
          <w:szCs w:val="24"/>
        </w:rPr>
        <w:t xml:space="preserve">)]. </w:t>
      </w:r>
    </w:p>
    <w:p w14:paraId="2993A79A" w14:textId="1B6A1AFB" w:rsidR="00452C5A" w:rsidRPr="00DB2332" w:rsidRDefault="008A57DA" w:rsidP="008A57DA">
      <w:pPr>
        <w:spacing w:line="480" w:lineRule="auto"/>
        <w:jc w:val="both"/>
        <w:rPr>
          <w:rFonts w:ascii="Times New Roman" w:hAnsi="Times New Roman" w:cs="Times New Roman"/>
          <w:sz w:val="24"/>
          <w:szCs w:val="24"/>
          <w:lang w:eastAsia="en-GB"/>
        </w:rPr>
      </w:pPr>
      <w:r w:rsidRPr="00DB2332">
        <w:rPr>
          <w:rFonts w:ascii="Times New Roman" w:hAnsi="Times New Roman" w:cs="Times New Roman"/>
          <w:sz w:val="24"/>
          <w:szCs w:val="24"/>
        </w:rPr>
        <w:tab/>
      </w:r>
      <w:r w:rsidRPr="00DB2332">
        <w:rPr>
          <w:rFonts w:ascii="Times New Roman" w:hAnsi="Times New Roman" w:cs="Times New Roman"/>
          <w:sz w:val="24"/>
          <w:szCs w:val="24"/>
          <w:lang w:eastAsia="en-GB"/>
        </w:rPr>
        <w:t xml:space="preserve">The lift to drag ratio for all fuel cases are calculated using method described in </w:t>
      </w:r>
      <w:r w:rsidR="00744A6F" w:rsidRPr="000B7DCE">
        <w:rPr>
          <w:rFonts w:ascii="Times New Roman" w:hAnsi="Times New Roman" w:cs="Times New Roman"/>
          <w:sz w:val="24"/>
          <w:szCs w:val="24"/>
          <w:lang w:eastAsia="en-GB"/>
        </w:rPr>
        <w:t>SI</w:t>
      </w:r>
      <w:r w:rsidRPr="00FA6B79">
        <w:rPr>
          <w:rFonts w:ascii="Times New Roman" w:hAnsi="Times New Roman" w:cs="Times New Roman"/>
          <w:sz w:val="24"/>
          <w:szCs w:val="24"/>
          <w:lang w:eastAsia="en-GB"/>
        </w:rPr>
        <w:t xml:space="preserve"> §</w:t>
      </w:r>
      <w:r w:rsidR="00744A6F" w:rsidRPr="000B7DCE">
        <w:rPr>
          <w:rFonts w:ascii="Times New Roman" w:hAnsi="Times New Roman" w:cs="Times New Roman"/>
          <w:sz w:val="24"/>
          <w:szCs w:val="24"/>
          <w:lang w:eastAsia="en-GB"/>
        </w:rPr>
        <w:t>4.2</w:t>
      </w:r>
      <w:r w:rsidRPr="00FA6B79">
        <w:rPr>
          <w:rFonts w:ascii="Times New Roman" w:hAnsi="Times New Roman" w:cs="Times New Roman"/>
          <w:sz w:val="24"/>
          <w:szCs w:val="24"/>
          <w:lang w:eastAsia="en-GB"/>
        </w:rPr>
        <w:t>.</w:t>
      </w:r>
      <w:r w:rsidRPr="00DB2332">
        <w:rPr>
          <w:rFonts w:ascii="Times New Roman" w:hAnsi="Times New Roman" w:cs="Times New Roman"/>
          <w:sz w:val="24"/>
          <w:szCs w:val="24"/>
          <w:lang w:eastAsia="en-GB"/>
        </w:rPr>
        <w:t xml:space="preserve"> Using the lost fuel factors for different fuels, the aircraft weight at the beginning of cruise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initial</w:t>
      </w:r>
      <w:proofErr w:type="spellEnd"/>
      <w:r w:rsidRPr="00DB2332">
        <w:rPr>
          <w:rFonts w:ascii="Times New Roman" w:hAnsi="Times New Roman" w:cs="Times New Roman"/>
          <w:sz w:val="24"/>
          <w:szCs w:val="24"/>
          <w:vertAlign w:val="subscript"/>
          <w:lang w:eastAsia="en-GB"/>
        </w:rPr>
        <w:t xml:space="preserve">  </w:t>
      </w:r>
      <w:r w:rsidRPr="00DB2332">
        <w:rPr>
          <w:rFonts w:ascii="Times New Roman" w:hAnsi="Times New Roman" w:cs="Times New Roman"/>
          <w:sz w:val="24"/>
          <w:szCs w:val="24"/>
          <w:lang w:eastAsia="en-GB"/>
        </w:rPr>
        <w:t>= (1 – lost fuel factor) x GTOW] is calculated. The aircraft weight at the end of cruise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final</w:t>
      </w:r>
      <w:proofErr w:type="spellEnd"/>
      <w:r w:rsidRPr="00DB2332">
        <w:rPr>
          <w:rFonts w:ascii="Times New Roman" w:hAnsi="Times New Roman" w:cs="Times New Roman"/>
          <w:sz w:val="24"/>
          <w:szCs w:val="24"/>
          <w:vertAlign w:val="subscript"/>
          <w:lang w:eastAsia="en-GB"/>
        </w:rPr>
        <w:t xml:space="preserve"> </w:t>
      </w:r>
      <w:r w:rsidRPr="00DB2332">
        <w:rPr>
          <w:rFonts w:ascii="Times New Roman" w:hAnsi="Times New Roman" w:cs="Times New Roman"/>
          <w:sz w:val="24"/>
          <w:szCs w:val="24"/>
          <w:lang w:eastAsia="en-GB"/>
        </w:rPr>
        <w:t xml:space="preserve">= GTOW – 0.9 x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is calculated by subtracting 90% of </w:t>
      </w:r>
      <w:proofErr w:type="spellStart"/>
      <w:r w:rsidRPr="00DB2332">
        <w:rPr>
          <w:rFonts w:ascii="Times New Roman" w:hAnsi="Times New Roman" w:cs="Times New Roman"/>
          <w:i/>
          <w:iCs/>
          <w:sz w:val="24"/>
          <w:szCs w:val="24"/>
          <w:lang w:eastAsia="en-GB"/>
        </w:rPr>
        <w:t>W</w:t>
      </w:r>
      <w:r w:rsidRPr="00DB2332">
        <w:rPr>
          <w:rFonts w:ascii="Times New Roman" w:hAnsi="Times New Roman" w:cs="Times New Roman"/>
          <w:sz w:val="24"/>
          <w:szCs w:val="24"/>
          <w:vertAlign w:val="subscript"/>
          <w:lang w:eastAsia="en-GB"/>
        </w:rPr>
        <w:t>F,total</w:t>
      </w:r>
      <w:proofErr w:type="spellEnd"/>
      <w:r w:rsidRPr="00DB2332">
        <w:rPr>
          <w:rFonts w:ascii="Times New Roman" w:hAnsi="Times New Roman" w:cs="Times New Roman"/>
          <w:sz w:val="24"/>
          <w:szCs w:val="24"/>
          <w:lang w:eastAsia="en-GB"/>
        </w:rPr>
        <w:t xml:space="preserve"> from the GTOW. Therefore, all parameters of equation 1 are known and the aircraft range can be calculated. The stepwise procedure of the range equation analysis for the baseline and alternative fuel cases is described in SI §</w:t>
      </w:r>
      <w:r w:rsidR="00E97BD3" w:rsidRPr="000B7DCE">
        <w:rPr>
          <w:rFonts w:ascii="Times New Roman" w:hAnsi="Times New Roman" w:cs="Times New Roman"/>
          <w:sz w:val="24"/>
          <w:szCs w:val="24"/>
          <w:lang w:eastAsia="en-GB"/>
        </w:rPr>
        <w:t>5</w:t>
      </w:r>
      <w:r w:rsidRPr="00FA6B79">
        <w:rPr>
          <w:rFonts w:ascii="Times New Roman" w:hAnsi="Times New Roman" w:cs="Times New Roman"/>
          <w:sz w:val="24"/>
          <w:szCs w:val="24"/>
          <w:lang w:eastAsia="en-GB"/>
        </w:rPr>
        <w:t xml:space="preserve"> (referencing the step numbers shown in Figure 1 and Figure 2</w:t>
      </w:r>
      <w:r w:rsidRPr="00DB2332">
        <w:rPr>
          <w:rFonts w:ascii="Times New Roman" w:hAnsi="Times New Roman" w:cs="Times New Roman"/>
          <w:sz w:val="24"/>
          <w:szCs w:val="24"/>
          <w:lang w:eastAsia="en-GB"/>
        </w:rPr>
        <w:t>).</w:t>
      </w:r>
      <w:r w:rsidR="005B0C70" w:rsidRPr="00DB2332">
        <w:rPr>
          <w:rFonts w:ascii="Times New Roman" w:hAnsi="Times New Roman" w:cs="Times New Roman"/>
          <w:sz w:val="24"/>
          <w:szCs w:val="24"/>
          <w:lang w:eastAsia="en-GB"/>
        </w:rPr>
        <w:t xml:space="preserve"> The effects </w:t>
      </w:r>
      <w:r w:rsidR="005B0C70" w:rsidRPr="00DB2332">
        <w:rPr>
          <w:rFonts w:ascii="Times New Roman" w:hAnsi="Times New Roman" w:cs="Times New Roman"/>
          <w:sz w:val="24"/>
          <w:szCs w:val="24"/>
          <w:lang w:eastAsia="en-GB"/>
        </w:rPr>
        <w:lastRenderedPageBreak/>
        <w:t>of headwinds/tailwinds are not considered</w:t>
      </w:r>
      <w:r w:rsidR="00C73BE6" w:rsidRPr="000B7DCE">
        <w:rPr>
          <w:rFonts w:ascii="Times New Roman" w:hAnsi="Times New Roman" w:cs="Times New Roman"/>
          <w:sz w:val="24"/>
          <w:szCs w:val="24"/>
          <w:lang w:eastAsia="en-GB"/>
        </w:rPr>
        <w:t xml:space="preserve"> in this analysis</w:t>
      </w:r>
      <w:r w:rsidR="005B0C70" w:rsidRPr="00FA6B79">
        <w:rPr>
          <w:rFonts w:ascii="Times New Roman" w:hAnsi="Times New Roman" w:cs="Times New Roman"/>
          <w:sz w:val="24"/>
          <w:szCs w:val="24"/>
          <w:lang w:eastAsia="en-GB"/>
        </w:rPr>
        <w:t xml:space="preserve"> </w:t>
      </w:r>
      <w:r w:rsidR="005B0C70" w:rsidRPr="00DB2332">
        <w:rPr>
          <w:rFonts w:ascii="Times New Roman" w:hAnsi="Times New Roman" w:cs="Times New Roman"/>
          <w:sz w:val="24"/>
          <w:szCs w:val="24"/>
          <w:lang w:eastAsia="en-GB"/>
        </w:rPr>
        <w:t>and the range calculated is the distance flown and not the greater circle distance.</w:t>
      </w:r>
    </w:p>
    <w:p w14:paraId="4D7FB179" w14:textId="010084BF" w:rsidR="00452C5A" w:rsidRPr="00DB2332" w:rsidRDefault="00452C5A" w:rsidP="000C5E43">
      <w:pPr>
        <w:pStyle w:val="Heading2"/>
        <w:spacing w:after="240" w:line="480" w:lineRule="auto"/>
        <w:rPr>
          <w:rFonts w:ascii="Times New Roman" w:hAnsi="Times New Roman" w:cs="Times New Roman"/>
          <w:color w:val="auto"/>
          <w:sz w:val="24"/>
          <w:szCs w:val="24"/>
        </w:rPr>
      </w:pPr>
      <w:r w:rsidRPr="00DB2332">
        <w:rPr>
          <w:rFonts w:ascii="Times New Roman" w:hAnsi="Times New Roman" w:cs="Times New Roman"/>
          <w:color w:val="auto"/>
          <w:sz w:val="24"/>
          <w:szCs w:val="24"/>
        </w:rPr>
        <w:t>Off-design analysis</w:t>
      </w:r>
    </w:p>
    <w:p w14:paraId="18929ADC" w14:textId="04FE0B5C" w:rsidR="0024788F" w:rsidRPr="00DB2332" w:rsidRDefault="00305529" w:rsidP="0024788F">
      <w:pPr>
        <w:tabs>
          <w:tab w:val="left" w:pos="709"/>
        </w:tabs>
        <w:spacing w:after="0" w:line="480" w:lineRule="auto"/>
        <w:jc w:val="both"/>
        <w:rPr>
          <w:rFonts w:ascii="Times New Roman" w:hAnsi="Times New Roman" w:cs="Times New Roman"/>
          <w:sz w:val="24"/>
          <w:szCs w:val="24"/>
        </w:rPr>
      </w:pPr>
      <w:r w:rsidRPr="00DB2332">
        <w:rPr>
          <w:rFonts w:ascii="Times New Roman" w:hAnsi="Times New Roman" w:cs="Times New Roman"/>
          <w:sz w:val="24"/>
          <w:szCs w:val="24"/>
          <w:lang w:eastAsia="en-GB"/>
        </w:rPr>
        <w:tab/>
      </w:r>
      <w:r w:rsidR="00E64A70" w:rsidRPr="00DB2332">
        <w:rPr>
          <w:rFonts w:ascii="Times New Roman" w:hAnsi="Times New Roman" w:cs="Times New Roman"/>
          <w:sz w:val="24"/>
          <w:szCs w:val="24"/>
        </w:rPr>
        <w:t xml:space="preserve">By using the discussed methodology in </w:t>
      </w:r>
      <w:r w:rsidR="00E64A70" w:rsidRPr="00DB2332">
        <w:rPr>
          <w:rFonts w:ascii="Times New Roman" w:hAnsi="Times New Roman" w:cs="Times New Roman"/>
          <w:sz w:val="24"/>
          <w:szCs w:val="24"/>
          <w:lang w:eastAsia="en-GB"/>
        </w:rPr>
        <w:t>§3.1</w:t>
      </w:r>
      <w:r w:rsidR="00E64A70" w:rsidRPr="00DB2332">
        <w:rPr>
          <w:rFonts w:ascii="Times New Roman" w:hAnsi="Times New Roman" w:cs="Times New Roman"/>
          <w:sz w:val="24"/>
          <w:szCs w:val="24"/>
        </w:rPr>
        <w:t xml:space="preserve">, the aircraft performance at design point is known for different fuel cases. </w:t>
      </w:r>
      <w:r w:rsidR="009E27D9" w:rsidRPr="00DB2332">
        <w:rPr>
          <w:rFonts w:ascii="Times New Roman" w:hAnsi="Times New Roman" w:cs="Times New Roman"/>
          <w:sz w:val="24"/>
          <w:szCs w:val="24"/>
        </w:rPr>
        <w:t>The aircraft now becomes a ‘fixed’ aircraft</w:t>
      </w:r>
      <w:r w:rsidR="00BE3487" w:rsidRPr="00DB2332">
        <w:rPr>
          <w:rFonts w:ascii="Times New Roman" w:hAnsi="Times New Roman" w:cs="Times New Roman"/>
          <w:sz w:val="24"/>
          <w:szCs w:val="24"/>
        </w:rPr>
        <w:t xml:space="preserve"> with fixed OEW</w:t>
      </w:r>
      <w:r w:rsidR="00303E8C" w:rsidRPr="00DB2332">
        <w:rPr>
          <w:rFonts w:ascii="Times New Roman" w:hAnsi="Times New Roman" w:cs="Times New Roman"/>
          <w:sz w:val="24"/>
          <w:szCs w:val="24"/>
        </w:rPr>
        <w:t>, fuselage length</w:t>
      </w:r>
      <w:r w:rsidR="00BE3487" w:rsidRPr="00DB2332">
        <w:rPr>
          <w:rFonts w:ascii="Times New Roman" w:hAnsi="Times New Roman" w:cs="Times New Roman"/>
          <w:sz w:val="24"/>
          <w:szCs w:val="24"/>
        </w:rPr>
        <w:t xml:space="preserve"> and maximum fuel capacity for each fuel under consideration</w:t>
      </w:r>
      <w:r w:rsidR="009E27D9" w:rsidRPr="00DB2332">
        <w:rPr>
          <w:rFonts w:ascii="Times New Roman" w:hAnsi="Times New Roman" w:cs="Times New Roman"/>
          <w:sz w:val="24"/>
          <w:szCs w:val="24"/>
        </w:rPr>
        <w:t xml:space="preserve">. </w:t>
      </w:r>
      <w:r w:rsidR="00227AB5" w:rsidRPr="00DB2332">
        <w:rPr>
          <w:rFonts w:ascii="Times New Roman" w:hAnsi="Times New Roman" w:cs="Times New Roman"/>
          <w:sz w:val="24"/>
          <w:szCs w:val="24"/>
        </w:rPr>
        <w:t>However, i</w:t>
      </w:r>
      <w:r w:rsidR="009E27D9" w:rsidRPr="00DB2332">
        <w:rPr>
          <w:rFonts w:ascii="Times New Roman" w:hAnsi="Times New Roman" w:cs="Times New Roman"/>
          <w:sz w:val="24"/>
          <w:szCs w:val="24"/>
        </w:rPr>
        <w:t xml:space="preserve">n real world applications, </w:t>
      </w:r>
      <w:r w:rsidR="00DB56E4" w:rsidRPr="00DB2332">
        <w:rPr>
          <w:rFonts w:ascii="Times New Roman" w:hAnsi="Times New Roman" w:cs="Times New Roman"/>
          <w:sz w:val="24"/>
          <w:szCs w:val="24"/>
        </w:rPr>
        <w:t>airlines</w:t>
      </w:r>
      <w:r w:rsidR="009E27D9" w:rsidRPr="00DB2332">
        <w:rPr>
          <w:rFonts w:ascii="Times New Roman" w:hAnsi="Times New Roman" w:cs="Times New Roman"/>
          <w:sz w:val="24"/>
          <w:szCs w:val="24"/>
        </w:rPr>
        <w:t xml:space="preserve"> do not always operate</w:t>
      </w:r>
      <w:r w:rsidR="00DB56E4" w:rsidRPr="00DB2332">
        <w:rPr>
          <w:rFonts w:ascii="Times New Roman" w:hAnsi="Times New Roman" w:cs="Times New Roman"/>
          <w:sz w:val="24"/>
          <w:szCs w:val="24"/>
        </w:rPr>
        <w:t xml:space="preserve"> their aircraft</w:t>
      </w:r>
      <w:r w:rsidR="009E27D9" w:rsidRPr="00DB2332">
        <w:rPr>
          <w:rFonts w:ascii="Times New Roman" w:hAnsi="Times New Roman" w:cs="Times New Roman"/>
          <w:sz w:val="24"/>
          <w:szCs w:val="24"/>
        </w:rPr>
        <w:t xml:space="preserve"> with full design payload capacity, design range and/or full fuel tank. For example, with a full fuel tank and reduced payload </w:t>
      </w:r>
      <w:r w:rsidR="00A81F95" w:rsidRPr="00DB2332">
        <w:rPr>
          <w:rFonts w:ascii="Times New Roman" w:hAnsi="Times New Roman" w:cs="Times New Roman"/>
          <w:sz w:val="24"/>
          <w:szCs w:val="24"/>
        </w:rPr>
        <w:t xml:space="preserve">or load factor </w:t>
      </w:r>
      <w:r w:rsidR="009E27D9" w:rsidRPr="00DB2332">
        <w:rPr>
          <w:rFonts w:ascii="Times New Roman" w:hAnsi="Times New Roman" w:cs="Times New Roman"/>
          <w:sz w:val="24"/>
          <w:szCs w:val="24"/>
        </w:rPr>
        <w:t>(compared to design payload</w:t>
      </w:r>
      <w:r w:rsidR="00A81F95" w:rsidRPr="00DB2332">
        <w:rPr>
          <w:rFonts w:ascii="Times New Roman" w:hAnsi="Times New Roman" w:cs="Times New Roman"/>
          <w:sz w:val="24"/>
          <w:szCs w:val="24"/>
        </w:rPr>
        <w:t xml:space="preserve"> </w:t>
      </w:r>
      <w:proofErr w:type="gramStart"/>
      <w:r w:rsidR="00A81F95" w:rsidRPr="00DB2332">
        <w:rPr>
          <w:rFonts w:ascii="Times New Roman" w:hAnsi="Times New Roman" w:cs="Times New Roman"/>
          <w:sz w:val="24"/>
          <w:szCs w:val="24"/>
        </w:rPr>
        <w:t>i.e.</w:t>
      </w:r>
      <w:proofErr w:type="gramEnd"/>
      <w:r w:rsidR="00A81F95" w:rsidRPr="00DB2332">
        <w:rPr>
          <w:rFonts w:ascii="Times New Roman" w:hAnsi="Times New Roman" w:cs="Times New Roman"/>
          <w:sz w:val="24"/>
          <w:szCs w:val="24"/>
        </w:rPr>
        <w:t xml:space="preserve"> 100% load factor</w:t>
      </w:r>
      <w:r w:rsidR="009E27D9" w:rsidRPr="00DB2332">
        <w:rPr>
          <w:rFonts w:ascii="Times New Roman" w:hAnsi="Times New Roman" w:cs="Times New Roman"/>
          <w:sz w:val="24"/>
          <w:szCs w:val="24"/>
        </w:rPr>
        <w:t>), the aircraft can fly greater distance compared to the design range. Such operation is known as the off-design point performance of the aircraft.</w:t>
      </w:r>
    </w:p>
    <w:p w14:paraId="4B4B97B4" w14:textId="77777777" w:rsidR="0024788F" w:rsidRPr="00FA6B79" w:rsidRDefault="0024788F" w:rsidP="0024788F">
      <w:pPr>
        <w:tabs>
          <w:tab w:val="left" w:pos="709"/>
        </w:tabs>
        <w:spacing w:after="0" w:line="480" w:lineRule="auto"/>
        <w:jc w:val="center"/>
        <w:rPr>
          <w:rFonts w:ascii="Times New Roman" w:hAnsi="Times New Roman" w:cs="Times New Roman"/>
          <w:sz w:val="24"/>
          <w:szCs w:val="24"/>
        </w:rPr>
      </w:pPr>
      <w:r w:rsidRPr="00FA6B79">
        <w:rPr>
          <w:rFonts w:ascii="Times New Roman" w:hAnsi="Times New Roman" w:cs="Times New Roman"/>
          <w:noProof/>
          <w:sz w:val="24"/>
          <w:szCs w:val="24"/>
        </w:rPr>
        <w:drawing>
          <wp:inline distT="0" distB="0" distL="0" distR="0" wp14:anchorId="79ED3B9D" wp14:editId="1D14FA70">
            <wp:extent cx="5731510" cy="3416935"/>
            <wp:effectExtent l="0" t="0" r="2540" b="0"/>
            <wp:docPr id="7"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416935"/>
                    </a:xfrm>
                    <a:prstGeom prst="rect">
                      <a:avLst/>
                    </a:prstGeom>
                  </pic:spPr>
                </pic:pic>
              </a:graphicData>
            </a:graphic>
          </wp:inline>
        </w:drawing>
      </w:r>
    </w:p>
    <w:p w14:paraId="779A0044" w14:textId="5C1D13CF" w:rsidR="0024788F" w:rsidRPr="000B7DCE" w:rsidRDefault="0024788F" w:rsidP="000B7DCE">
      <w:pPr>
        <w:tabs>
          <w:tab w:val="left" w:pos="709"/>
        </w:tabs>
        <w:spacing w:line="480" w:lineRule="auto"/>
        <w:jc w:val="center"/>
        <w:rPr>
          <w:rFonts w:ascii="Times New Roman" w:hAnsi="Times New Roman" w:cs="Times New Roman"/>
          <w:b/>
          <w:bCs/>
          <w:sz w:val="24"/>
          <w:szCs w:val="24"/>
          <w:lang w:eastAsia="en-GB"/>
        </w:rPr>
      </w:pPr>
      <w:r w:rsidRPr="00DB2332">
        <w:rPr>
          <w:rFonts w:ascii="Times New Roman" w:hAnsi="Times New Roman" w:cs="Times New Roman"/>
          <w:b/>
          <w:bCs/>
          <w:sz w:val="24"/>
          <w:szCs w:val="24"/>
        </w:rPr>
        <w:t xml:space="preserve">Figure 3. Schematic for the estimation of the maximum permissible range with full fuel tank for a given payload case. </w:t>
      </w:r>
      <w:r w:rsidRPr="00DB2332">
        <w:rPr>
          <w:rFonts w:ascii="Times New Roman" w:hAnsi="Times New Roman" w:cs="Times New Roman"/>
          <w:b/>
          <w:bCs/>
          <w:sz w:val="24"/>
          <w:szCs w:val="24"/>
          <w:lang w:eastAsia="en-GB"/>
        </w:rPr>
        <w:t xml:space="preserve">Boxes with dashed borders represent known values, </w:t>
      </w:r>
      <w:r w:rsidRPr="00DB2332">
        <w:rPr>
          <w:rFonts w:ascii="Times New Roman" w:hAnsi="Times New Roman" w:cs="Times New Roman"/>
          <w:b/>
          <w:bCs/>
          <w:sz w:val="24"/>
          <w:szCs w:val="24"/>
          <w:lang w:eastAsia="en-GB"/>
        </w:rPr>
        <w:lastRenderedPageBreak/>
        <w:t>boxes with solid border represent a calculation step, and # represent the calculation step number.</w:t>
      </w:r>
    </w:p>
    <w:p w14:paraId="6A092F2E" w14:textId="77777777" w:rsidR="0024788F" w:rsidRPr="00FA6B79" w:rsidRDefault="0024788F" w:rsidP="0024788F">
      <w:pPr>
        <w:tabs>
          <w:tab w:val="left" w:pos="709"/>
        </w:tabs>
        <w:spacing w:before="240" w:after="0" w:line="480" w:lineRule="auto"/>
        <w:jc w:val="center"/>
        <w:rPr>
          <w:rFonts w:ascii="Times New Roman" w:hAnsi="Times New Roman" w:cs="Times New Roman"/>
          <w:sz w:val="24"/>
          <w:szCs w:val="24"/>
        </w:rPr>
      </w:pPr>
      <w:r w:rsidRPr="00FA6B79">
        <w:rPr>
          <w:rFonts w:ascii="Times New Roman" w:hAnsi="Times New Roman" w:cs="Times New Roman"/>
          <w:noProof/>
          <w:sz w:val="24"/>
          <w:szCs w:val="24"/>
        </w:rPr>
        <w:drawing>
          <wp:inline distT="0" distB="0" distL="0" distR="0" wp14:anchorId="48D84CAA" wp14:editId="2D01F585">
            <wp:extent cx="5731510" cy="5126990"/>
            <wp:effectExtent l="0" t="0" r="2540" b="0"/>
            <wp:docPr id="8"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126990"/>
                    </a:xfrm>
                    <a:prstGeom prst="rect">
                      <a:avLst/>
                    </a:prstGeom>
                  </pic:spPr>
                </pic:pic>
              </a:graphicData>
            </a:graphic>
          </wp:inline>
        </w:drawing>
      </w:r>
    </w:p>
    <w:p w14:paraId="7D63E8ED" w14:textId="77777777" w:rsidR="0024788F" w:rsidRPr="00DB2332" w:rsidRDefault="0024788F" w:rsidP="0024788F">
      <w:pPr>
        <w:tabs>
          <w:tab w:val="left" w:pos="709"/>
        </w:tabs>
        <w:spacing w:line="480" w:lineRule="auto"/>
        <w:jc w:val="center"/>
        <w:rPr>
          <w:rFonts w:ascii="Times New Roman" w:hAnsi="Times New Roman" w:cs="Times New Roman"/>
          <w:b/>
          <w:bCs/>
          <w:sz w:val="24"/>
          <w:szCs w:val="24"/>
          <w:lang w:eastAsia="en-GB"/>
        </w:rPr>
      </w:pPr>
      <w:r w:rsidRPr="00DB2332">
        <w:rPr>
          <w:rFonts w:ascii="Times New Roman" w:hAnsi="Times New Roman" w:cs="Times New Roman"/>
          <w:b/>
          <w:bCs/>
          <w:sz w:val="24"/>
          <w:szCs w:val="24"/>
        </w:rPr>
        <w:t xml:space="preserve">Figure 4. Schematic for the estimation of the </w:t>
      </w:r>
      <w:proofErr w:type="spellStart"/>
      <w:r w:rsidRPr="00DB2332">
        <w:rPr>
          <w:rFonts w:ascii="Times New Roman" w:hAnsi="Times New Roman" w:cs="Times New Roman"/>
          <w:b/>
          <w:bCs/>
          <w:i/>
          <w:iCs/>
          <w:sz w:val="24"/>
          <w:szCs w:val="24"/>
        </w:rPr>
        <w:t>W</w:t>
      </w:r>
      <w:r w:rsidRPr="00DB2332">
        <w:rPr>
          <w:rFonts w:ascii="Times New Roman" w:hAnsi="Times New Roman" w:cs="Times New Roman"/>
          <w:b/>
          <w:bCs/>
          <w:sz w:val="24"/>
          <w:szCs w:val="24"/>
          <w:vertAlign w:val="subscript"/>
        </w:rPr>
        <w:t>F,block</w:t>
      </w:r>
      <w:proofErr w:type="spellEnd"/>
      <w:r w:rsidRPr="00DB2332">
        <w:rPr>
          <w:rFonts w:ascii="Times New Roman" w:hAnsi="Times New Roman" w:cs="Times New Roman"/>
          <w:b/>
          <w:bCs/>
          <w:sz w:val="24"/>
          <w:szCs w:val="24"/>
        </w:rPr>
        <w:t xml:space="preserve"> of an aircraft for given range and payload combination. </w:t>
      </w:r>
      <w:r w:rsidRPr="00DB2332">
        <w:rPr>
          <w:rFonts w:ascii="Times New Roman" w:hAnsi="Times New Roman" w:cs="Times New Roman"/>
          <w:b/>
          <w:bCs/>
          <w:sz w:val="24"/>
          <w:szCs w:val="24"/>
          <w:lang w:eastAsia="en-GB"/>
        </w:rPr>
        <w:t>Boxes with dashed borders represent known values, boxes with thin solid border represent a calculation step, boxes with solid thick border represent a decision box, and # represent the calculation step number.</w:t>
      </w:r>
    </w:p>
    <w:p w14:paraId="7CEBB78B" w14:textId="0C7901CF" w:rsidR="0024788F" w:rsidRPr="00DB2332" w:rsidRDefault="0024788F" w:rsidP="0024788F">
      <w:pPr>
        <w:tabs>
          <w:tab w:val="left" w:pos="709"/>
        </w:tabs>
        <w:spacing w:line="480" w:lineRule="auto"/>
        <w:jc w:val="both"/>
        <w:rPr>
          <w:rFonts w:ascii="Times New Roman" w:hAnsi="Times New Roman" w:cs="Times New Roman"/>
          <w:b/>
          <w:bCs/>
          <w:sz w:val="24"/>
          <w:szCs w:val="24"/>
          <w:lang w:eastAsia="en-GB"/>
        </w:rPr>
      </w:pPr>
      <w:r w:rsidRPr="00DB2332">
        <w:rPr>
          <w:rFonts w:ascii="Times New Roman" w:hAnsi="Times New Roman" w:cs="Times New Roman"/>
          <w:sz w:val="24"/>
          <w:szCs w:val="24"/>
        </w:rPr>
        <w:tab/>
        <w:t xml:space="preserve">In this study, after identifying the alternative fuels that meet the design target range of the baseline Jet-A aircraft within the MTOW limit, the off-design aircraft performance for such fuel(s) is evaluated for typical range and payload (load factor) combinations for long-range </w:t>
      </w:r>
      <w:r w:rsidRPr="00DB2332">
        <w:rPr>
          <w:rFonts w:ascii="Times New Roman" w:hAnsi="Times New Roman" w:cs="Times New Roman"/>
          <w:sz w:val="24"/>
          <w:szCs w:val="24"/>
        </w:rPr>
        <w:lastRenderedPageBreak/>
        <w:t>flights. Three off-design passenger – load factor cases are considered for A350-1000 aircraft, other than its design reference point (366 PAX, 34.8 tonne passenger payload): (</w:t>
      </w:r>
      <w:proofErr w:type="spellStart"/>
      <w:r w:rsidRPr="00DB2332">
        <w:rPr>
          <w:rFonts w:ascii="Times New Roman" w:hAnsi="Times New Roman" w:cs="Times New Roman"/>
          <w:sz w:val="24"/>
          <w:szCs w:val="24"/>
        </w:rPr>
        <w:t>i</w:t>
      </w:r>
      <w:proofErr w:type="spellEnd"/>
      <w:r w:rsidRPr="00DB2332">
        <w:rPr>
          <w:rFonts w:ascii="Times New Roman" w:hAnsi="Times New Roman" w:cs="Times New Roman"/>
          <w:sz w:val="24"/>
          <w:szCs w:val="24"/>
        </w:rPr>
        <w:t xml:space="preserve">) 200 PAX (19 tonne passenger payload, 55% load factor); (ii) 250 PAX (23.8 tonne passenger payload, 68% load factor); and (iii) 301 PAX (28.6 tonne passenger payload, 82% load factor). These different payload cases are evaluated for aircraft range between 5,000 km and the maximum range for a given load factor case flying with full tank capacity. The flowchart/schematic for the estimation of the maximum range with full fuel tank for a given load factor case using Breguet’s range equation is shown in Figure 3. Additionally, Figure 4 shows the schematic for the estimation of the </w:t>
      </w:r>
      <w:proofErr w:type="spellStart"/>
      <w:r w:rsidRPr="00DB2332">
        <w:rPr>
          <w:rFonts w:ascii="Times New Roman" w:hAnsi="Times New Roman" w:cs="Times New Roman"/>
          <w:i/>
          <w:iCs/>
          <w:sz w:val="24"/>
          <w:szCs w:val="24"/>
        </w:rPr>
        <w:t>W</w:t>
      </w:r>
      <w:r w:rsidRPr="00DB2332">
        <w:rPr>
          <w:rFonts w:ascii="Times New Roman" w:hAnsi="Times New Roman" w:cs="Times New Roman"/>
          <w:sz w:val="24"/>
          <w:szCs w:val="24"/>
          <w:vertAlign w:val="subscript"/>
        </w:rPr>
        <w:t>F,block</w:t>
      </w:r>
      <w:proofErr w:type="spellEnd"/>
      <w:r w:rsidRPr="00DB2332">
        <w:rPr>
          <w:rFonts w:ascii="Times New Roman" w:hAnsi="Times New Roman" w:cs="Times New Roman"/>
          <w:sz w:val="24"/>
          <w:szCs w:val="24"/>
        </w:rPr>
        <w:t xml:space="preserve"> of an aircraft for given range and payload combination using Breguet’s range equation. The stepwise process in Figure 3 and Figure 4 is detailed in SI </w:t>
      </w:r>
      <w:r w:rsidRPr="00DB2332">
        <w:rPr>
          <w:rFonts w:ascii="Times New Roman" w:hAnsi="Times New Roman" w:cs="Times New Roman"/>
          <w:sz w:val="24"/>
          <w:szCs w:val="24"/>
          <w:lang w:eastAsia="en-GB"/>
        </w:rPr>
        <w:t>§</w:t>
      </w:r>
      <w:r w:rsidR="00E97BD3" w:rsidRPr="000B7DCE">
        <w:rPr>
          <w:rFonts w:ascii="Times New Roman" w:hAnsi="Times New Roman" w:cs="Times New Roman"/>
          <w:sz w:val="24"/>
          <w:szCs w:val="24"/>
          <w:lang w:eastAsia="en-GB"/>
        </w:rPr>
        <w:t>6</w:t>
      </w:r>
      <w:r w:rsidRPr="00FA6B79">
        <w:rPr>
          <w:rFonts w:ascii="Times New Roman" w:hAnsi="Times New Roman" w:cs="Times New Roman"/>
          <w:sz w:val="24"/>
          <w:szCs w:val="24"/>
          <w:lang w:eastAsia="en-GB"/>
        </w:rPr>
        <w:t>.</w:t>
      </w:r>
    </w:p>
    <w:p w14:paraId="47563E8D" w14:textId="77777777" w:rsidR="0024788F" w:rsidRPr="00DB2332" w:rsidRDefault="0024788F" w:rsidP="0024788F">
      <w:pPr>
        <w:pStyle w:val="Heading1"/>
        <w:spacing w:before="0" w:after="240" w:line="480" w:lineRule="auto"/>
        <w:rPr>
          <w:rFonts w:ascii="Times New Roman" w:eastAsia="Times New Roman" w:hAnsi="Times New Roman" w:cs="Times New Roman"/>
          <w:b/>
          <w:bCs/>
          <w:color w:val="auto"/>
          <w:sz w:val="24"/>
          <w:szCs w:val="24"/>
          <w:bdr w:val="none" w:sz="0" w:space="0" w:color="auto" w:frame="1"/>
          <w:lang w:eastAsia="en-GB"/>
        </w:rPr>
      </w:pPr>
      <w:r w:rsidRPr="00DB2332">
        <w:rPr>
          <w:rFonts w:ascii="Times New Roman" w:eastAsia="Times New Roman" w:hAnsi="Times New Roman" w:cs="Times New Roman"/>
          <w:b/>
          <w:bCs/>
          <w:color w:val="auto"/>
          <w:sz w:val="24"/>
          <w:szCs w:val="24"/>
          <w:bdr w:val="none" w:sz="0" w:space="0" w:color="auto" w:frame="1"/>
          <w:lang w:eastAsia="en-GB"/>
        </w:rPr>
        <w:t>Results and discussion</w:t>
      </w:r>
    </w:p>
    <w:p w14:paraId="29F28D26" w14:textId="4B3CD447" w:rsidR="0056477D" w:rsidRPr="00DB2332" w:rsidRDefault="0056477D" w:rsidP="000C5E43">
      <w:pPr>
        <w:spacing w:line="480" w:lineRule="auto"/>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t xml:space="preserve">The results of the performance evaluation of the six fuels </w:t>
      </w:r>
      <w:r w:rsidR="00971B18" w:rsidRPr="00DB2332">
        <w:rPr>
          <w:rFonts w:ascii="Times New Roman" w:hAnsi="Times New Roman" w:cs="Times New Roman"/>
          <w:sz w:val="24"/>
          <w:szCs w:val="24"/>
          <w:lang w:eastAsia="en-GB"/>
        </w:rPr>
        <w:t xml:space="preserve">at design point </w:t>
      </w:r>
      <w:r w:rsidRPr="00DB2332">
        <w:rPr>
          <w:rFonts w:ascii="Times New Roman" w:hAnsi="Times New Roman" w:cs="Times New Roman"/>
          <w:sz w:val="24"/>
          <w:szCs w:val="24"/>
          <w:lang w:eastAsia="en-GB"/>
        </w:rPr>
        <w:t>are analysed in §</w:t>
      </w:r>
      <w:r w:rsidR="00424AFB" w:rsidRPr="00DB2332">
        <w:rPr>
          <w:rFonts w:ascii="Times New Roman" w:hAnsi="Times New Roman" w:cs="Times New Roman"/>
          <w:sz w:val="24"/>
          <w:szCs w:val="24"/>
          <w:lang w:eastAsia="en-GB"/>
        </w:rPr>
        <w:t>4</w:t>
      </w:r>
      <w:r w:rsidRPr="00DB2332">
        <w:rPr>
          <w:rFonts w:ascii="Times New Roman" w:hAnsi="Times New Roman" w:cs="Times New Roman"/>
          <w:sz w:val="24"/>
          <w:szCs w:val="24"/>
          <w:lang w:eastAsia="en-GB"/>
        </w:rPr>
        <w:t xml:space="preserve">.1 and the </w:t>
      </w:r>
      <w:r w:rsidR="00971B18" w:rsidRPr="00DB2332">
        <w:rPr>
          <w:rFonts w:ascii="Times New Roman" w:hAnsi="Times New Roman" w:cs="Times New Roman"/>
          <w:sz w:val="24"/>
          <w:szCs w:val="24"/>
          <w:lang w:eastAsia="en-GB"/>
        </w:rPr>
        <w:t xml:space="preserve">off-design </w:t>
      </w:r>
      <w:r w:rsidR="006E6FD2" w:rsidRPr="00DB2332">
        <w:rPr>
          <w:rFonts w:ascii="Times New Roman" w:hAnsi="Times New Roman" w:cs="Times New Roman"/>
          <w:sz w:val="24"/>
          <w:szCs w:val="24"/>
          <w:lang w:eastAsia="en-GB"/>
        </w:rPr>
        <w:t xml:space="preserve">performance </w:t>
      </w:r>
      <w:r w:rsidR="00971B18" w:rsidRPr="00DB2332">
        <w:rPr>
          <w:rFonts w:ascii="Times New Roman" w:hAnsi="Times New Roman" w:cs="Times New Roman"/>
          <w:sz w:val="24"/>
          <w:szCs w:val="24"/>
          <w:lang w:eastAsia="en-GB"/>
        </w:rPr>
        <w:t xml:space="preserve">analysis </w:t>
      </w:r>
      <w:r w:rsidR="006E6FD2" w:rsidRPr="00DB2332">
        <w:rPr>
          <w:rFonts w:ascii="Times New Roman" w:hAnsi="Times New Roman" w:cs="Times New Roman"/>
          <w:sz w:val="24"/>
          <w:szCs w:val="24"/>
          <w:lang w:eastAsia="en-GB"/>
        </w:rPr>
        <w:t xml:space="preserve">results </w:t>
      </w:r>
      <w:r w:rsidR="00971B18" w:rsidRPr="00DB2332">
        <w:rPr>
          <w:rFonts w:ascii="Times New Roman" w:hAnsi="Times New Roman" w:cs="Times New Roman"/>
          <w:sz w:val="24"/>
          <w:szCs w:val="24"/>
          <w:lang w:eastAsia="en-GB"/>
        </w:rPr>
        <w:t xml:space="preserve">of the identified alternative fuels that meet the </w:t>
      </w:r>
      <w:r w:rsidR="00160CB6" w:rsidRPr="00DB2332">
        <w:rPr>
          <w:rFonts w:ascii="Times New Roman" w:hAnsi="Times New Roman" w:cs="Times New Roman"/>
          <w:sz w:val="24"/>
          <w:szCs w:val="24"/>
          <w:lang w:eastAsia="en-GB"/>
        </w:rPr>
        <w:t xml:space="preserve">baseline </w:t>
      </w:r>
      <w:r w:rsidR="00971B18" w:rsidRPr="00DB2332">
        <w:rPr>
          <w:rFonts w:ascii="Times New Roman" w:hAnsi="Times New Roman" w:cs="Times New Roman"/>
          <w:sz w:val="24"/>
          <w:szCs w:val="24"/>
          <w:lang w:eastAsia="en-GB"/>
        </w:rPr>
        <w:t xml:space="preserve">aircraft range within the MTOW limit </w:t>
      </w:r>
      <w:r w:rsidR="00707639" w:rsidRPr="00DB2332">
        <w:rPr>
          <w:rFonts w:ascii="Times New Roman" w:hAnsi="Times New Roman" w:cs="Times New Roman"/>
          <w:sz w:val="24"/>
          <w:szCs w:val="24"/>
          <w:lang w:eastAsia="en-GB"/>
        </w:rPr>
        <w:t>are</w:t>
      </w:r>
      <w:r w:rsidRPr="00DB2332">
        <w:rPr>
          <w:rFonts w:ascii="Times New Roman" w:hAnsi="Times New Roman" w:cs="Times New Roman"/>
          <w:sz w:val="24"/>
          <w:szCs w:val="24"/>
          <w:lang w:eastAsia="en-GB"/>
        </w:rPr>
        <w:t xml:space="preserve"> discussed in §</w:t>
      </w:r>
      <w:r w:rsidR="00424AFB" w:rsidRPr="00DB2332">
        <w:rPr>
          <w:rFonts w:ascii="Times New Roman" w:hAnsi="Times New Roman" w:cs="Times New Roman"/>
          <w:sz w:val="24"/>
          <w:szCs w:val="24"/>
          <w:lang w:eastAsia="en-GB"/>
        </w:rPr>
        <w:t>4</w:t>
      </w:r>
      <w:r w:rsidRPr="00DB2332">
        <w:rPr>
          <w:rFonts w:ascii="Times New Roman" w:hAnsi="Times New Roman" w:cs="Times New Roman"/>
          <w:sz w:val="24"/>
          <w:szCs w:val="24"/>
          <w:lang w:eastAsia="en-GB"/>
        </w:rPr>
        <w:t>.2.</w:t>
      </w:r>
      <w:r w:rsidR="005932E2" w:rsidRPr="00DB2332">
        <w:rPr>
          <w:rFonts w:ascii="Times New Roman" w:hAnsi="Times New Roman" w:cs="Times New Roman"/>
          <w:sz w:val="24"/>
          <w:szCs w:val="24"/>
          <w:lang w:eastAsia="en-GB"/>
        </w:rPr>
        <w:t xml:space="preserve"> </w:t>
      </w:r>
      <w:r w:rsidR="00B26CC6" w:rsidRPr="00DB2332">
        <w:rPr>
          <w:rFonts w:ascii="Times New Roman" w:hAnsi="Times New Roman" w:cs="Times New Roman"/>
          <w:sz w:val="24"/>
          <w:szCs w:val="24"/>
          <w:lang w:eastAsia="en-GB"/>
        </w:rPr>
        <w:t>Lastly, a relationship between OEW and GTOW for LH</w:t>
      </w:r>
      <w:r w:rsidR="00B26CC6" w:rsidRPr="00DB2332">
        <w:rPr>
          <w:rFonts w:ascii="Times New Roman" w:hAnsi="Times New Roman" w:cs="Times New Roman"/>
          <w:sz w:val="24"/>
          <w:szCs w:val="24"/>
          <w:vertAlign w:val="subscript"/>
          <w:lang w:eastAsia="en-GB"/>
        </w:rPr>
        <w:t>2</w:t>
      </w:r>
      <w:r w:rsidR="00B26CC6" w:rsidRPr="00DB2332">
        <w:rPr>
          <w:rFonts w:ascii="Times New Roman" w:hAnsi="Times New Roman" w:cs="Times New Roman"/>
          <w:sz w:val="24"/>
          <w:szCs w:val="24"/>
          <w:lang w:eastAsia="en-GB"/>
        </w:rPr>
        <w:t xml:space="preserve"> aircraft is </w:t>
      </w:r>
      <w:r w:rsidR="00A27455" w:rsidRPr="00DB2332">
        <w:rPr>
          <w:rFonts w:ascii="Times New Roman" w:hAnsi="Times New Roman" w:cs="Times New Roman"/>
          <w:sz w:val="24"/>
          <w:szCs w:val="24"/>
          <w:lang w:eastAsia="en-GB"/>
        </w:rPr>
        <w:t>presented in §4.3.</w:t>
      </w:r>
    </w:p>
    <w:p w14:paraId="591DAC5E" w14:textId="235CDB44" w:rsidR="0056477D" w:rsidRPr="00DB2332" w:rsidRDefault="0056477D" w:rsidP="000C5E43">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DB2332">
        <w:rPr>
          <w:rFonts w:ascii="Times New Roman" w:eastAsia="Times New Roman" w:hAnsi="Times New Roman" w:cs="Times New Roman"/>
          <w:color w:val="auto"/>
          <w:sz w:val="24"/>
          <w:szCs w:val="24"/>
          <w:bdr w:val="none" w:sz="0" w:space="0" w:color="auto" w:frame="1"/>
          <w:lang w:eastAsia="en-GB"/>
        </w:rPr>
        <w:t>Performance evaluation of alternative liquid fuels</w:t>
      </w:r>
      <w:r w:rsidR="00971B18" w:rsidRPr="00DB2332">
        <w:rPr>
          <w:rFonts w:ascii="Times New Roman" w:eastAsia="Times New Roman" w:hAnsi="Times New Roman" w:cs="Times New Roman"/>
          <w:color w:val="auto"/>
          <w:sz w:val="24"/>
          <w:szCs w:val="24"/>
          <w:bdr w:val="none" w:sz="0" w:space="0" w:color="auto" w:frame="1"/>
          <w:lang w:eastAsia="en-GB"/>
        </w:rPr>
        <w:t xml:space="preserve"> at design point</w:t>
      </w:r>
    </w:p>
    <w:p w14:paraId="397912E9" w14:textId="26A7E8BE" w:rsidR="00BB38A4" w:rsidRPr="00DB2332" w:rsidRDefault="0056477D" w:rsidP="000C5E43">
      <w:pPr>
        <w:spacing w:after="0" w:line="480" w:lineRule="auto"/>
        <w:jc w:val="both"/>
        <w:rPr>
          <w:rFonts w:ascii="Times New Roman" w:hAnsi="Times New Roman" w:cs="Times New Roman"/>
          <w:sz w:val="24"/>
          <w:szCs w:val="24"/>
        </w:rPr>
        <w:sectPr w:rsidR="00BB38A4" w:rsidRPr="00DB2332" w:rsidSect="00391BCC">
          <w:pgSz w:w="11906" w:h="16838"/>
          <w:pgMar w:top="1440" w:right="1440" w:bottom="1440" w:left="1440" w:header="708" w:footer="708" w:gutter="0"/>
          <w:cols w:space="852"/>
          <w:docGrid w:linePitch="360"/>
        </w:sectPr>
      </w:pPr>
      <w:r w:rsidRPr="00DB2332">
        <w:rPr>
          <w:rFonts w:ascii="Times New Roman" w:hAnsi="Times New Roman" w:cs="Times New Roman"/>
          <w:sz w:val="24"/>
          <w:szCs w:val="24"/>
        </w:rPr>
        <w:tab/>
      </w:r>
      <w:r w:rsidR="00132ACD" w:rsidRPr="00DB2332">
        <w:rPr>
          <w:rFonts w:ascii="Times New Roman" w:hAnsi="Times New Roman" w:cs="Times New Roman"/>
          <w:sz w:val="24"/>
          <w:szCs w:val="24"/>
        </w:rPr>
        <w:t xml:space="preserve">Figure 5 shows the comparison of different alternative fuels for their SEC and range performance within the MTOW limit of the baseline Jet-A aircraft carrying 366 passenger-payload (34,770 kg). </w:t>
      </w:r>
      <w:r w:rsidR="006B137F" w:rsidRPr="00DB2332">
        <w:rPr>
          <w:rFonts w:ascii="Times New Roman" w:hAnsi="Times New Roman" w:cs="Times New Roman"/>
          <w:sz w:val="24"/>
          <w:szCs w:val="24"/>
        </w:rPr>
        <w:t xml:space="preserve">It is to be noted that 100% SPK fuel has similar properties as that of Jet-A fuel, and thus its SEC is </w:t>
      </w:r>
      <w:proofErr w:type="gramStart"/>
      <w:r w:rsidR="006B137F" w:rsidRPr="00DB2332">
        <w:rPr>
          <w:rFonts w:ascii="Times New Roman" w:hAnsi="Times New Roman" w:cs="Times New Roman"/>
          <w:sz w:val="24"/>
          <w:szCs w:val="24"/>
        </w:rPr>
        <w:t>similar to</w:t>
      </w:r>
      <w:proofErr w:type="gramEnd"/>
      <w:r w:rsidR="006B137F" w:rsidRPr="00DB2332">
        <w:rPr>
          <w:rFonts w:ascii="Times New Roman" w:hAnsi="Times New Roman" w:cs="Times New Roman"/>
          <w:sz w:val="24"/>
          <w:szCs w:val="24"/>
        </w:rPr>
        <w:t xml:space="preserve"> Jet-A. The SEC points for 100% SPK and Jet-A fuel overlap, thus in Figure 5 these two points are combined and labelled as ‘Jet fuel’. </w:t>
      </w:r>
    </w:p>
    <w:p w14:paraId="7615201A" w14:textId="07E8010B" w:rsidR="00383EFE" w:rsidRPr="00FA6B79" w:rsidRDefault="005E17E2" w:rsidP="000C5E43">
      <w:pPr>
        <w:spacing w:after="0" w:line="480" w:lineRule="auto"/>
        <w:jc w:val="center"/>
        <w:rPr>
          <w:rFonts w:ascii="Times New Roman" w:hAnsi="Times New Roman" w:cs="Times New Roman"/>
          <w:b/>
          <w:bCs/>
          <w:sz w:val="24"/>
          <w:szCs w:val="24"/>
        </w:rPr>
      </w:pPr>
      <w:r w:rsidRPr="00FA6B79">
        <w:rPr>
          <w:rFonts w:ascii="Times New Roman" w:hAnsi="Times New Roman" w:cs="Times New Roman"/>
          <w:b/>
          <w:bCs/>
          <w:noProof/>
          <w:sz w:val="24"/>
          <w:szCs w:val="24"/>
        </w:rPr>
        <w:lastRenderedPageBreak/>
        <w:drawing>
          <wp:inline distT="0" distB="0" distL="0" distR="0" wp14:anchorId="6A7CC741" wp14:editId="33E5695C">
            <wp:extent cx="3026674" cy="2310391"/>
            <wp:effectExtent l="0" t="0" r="254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26674" cy="2310391"/>
                    </a:xfrm>
                    <a:prstGeom prst="rect">
                      <a:avLst/>
                    </a:prstGeom>
                  </pic:spPr>
                </pic:pic>
              </a:graphicData>
            </a:graphic>
          </wp:inline>
        </w:drawing>
      </w:r>
    </w:p>
    <w:p w14:paraId="038E955A" w14:textId="5C6DB44E" w:rsidR="00BB38A4" w:rsidRPr="00DB2332" w:rsidRDefault="00BB38A4" w:rsidP="000C5E43">
      <w:pPr>
        <w:spacing w:after="0" w:line="480" w:lineRule="auto"/>
        <w:jc w:val="center"/>
        <w:rPr>
          <w:rFonts w:ascii="Times New Roman" w:hAnsi="Times New Roman" w:cs="Times New Roman"/>
          <w:b/>
          <w:bCs/>
          <w:sz w:val="24"/>
          <w:szCs w:val="24"/>
        </w:rPr>
        <w:sectPr w:rsidR="00BB38A4" w:rsidRPr="00DB2332" w:rsidSect="00391BCC">
          <w:type w:val="continuous"/>
          <w:pgSz w:w="11906" w:h="16838"/>
          <w:pgMar w:top="1440" w:right="1440" w:bottom="1440" w:left="1440" w:header="708" w:footer="708" w:gutter="0"/>
          <w:cols w:space="852"/>
          <w:docGrid w:linePitch="360"/>
        </w:sectPr>
      </w:pPr>
    </w:p>
    <w:p w14:paraId="600E0876" w14:textId="1335582C" w:rsidR="00404A68" w:rsidRPr="00DB2332" w:rsidRDefault="00404A68" w:rsidP="000C5E43">
      <w:pPr>
        <w:spacing w:line="480" w:lineRule="auto"/>
        <w:jc w:val="center"/>
        <w:rPr>
          <w:rFonts w:ascii="Times New Roman" w:eastAsia="Times New Roman" w:hAnsi="Times New Roman" w:cs="Times New Roman"/>
          <w:sz w:val="24"/>
          <w:szCs w:val="24"/>
          <w:lang w:eastAsia="en-GB"/>
        </w:rPr>
      </w:pPr>
      <w:r w:rsidRPr="00FA6B79">
        <w:rPr>
          <w:rFonts w:ascii="Times New Roman" w:hAnsi="Times New Roman" w:cs="Times New Roman"/>
          <w:b/>
          <w:bCs/>
          <w:sz w:val="24"/>
          <w:szCs w:val="24"/>
        </w:rPr>
        <w:t xml:space="preserve">Figure 5. Comparison of different alternative fuels for their SEC and </w:t>
      </w:r>
      <w:r w:rsidR="130A8EEB" w:rsidRPr="00DB2332">
        <w:rPr>
          <w:rFonts w:ascii="Times New Roman" w:hAnsi="Times New Roman" w:cs="Times New Roman"/>
          <w:b/>
          <w:bCs/>
          <w:sz w:val="24"/>
          <w:szCs w:val="24"/>
        </w:rPr>
        <w:t xml:space="preserve">maximum </w:t>
      </w:r>
      <w:r w:rsidRPr="00DB2332">
        <w:rPr>
          <w:rFonts w:ascii="Times New Roman" w:hAnsi="Times New Roman" w:cs="Times New Roman"/>
          <w:b/>
          <w:bCs/>
          <w:sz w:val="24"/>
          <w:szCs w:val="24"/>
        </w:rPr>
        <w:t>range within the MTOW limit of the baseline Jet-A aircraft carrying 366 passenger</w:t>
      </w:r>
      <w:r w:rsidR="00132ACD" w:rsidRPr="00DB2332">
        <w:rPr>
          <w:rFonts w:ascii="Times New Roman" w:hAnsi="Times New Roman" w:cs="Times New Roman"/>
          <w:b/>
          <w:bCs/>
          <w:sz w:val="24"/>
          <w:szCs w:val="24"/>
        </w:rPr>
        <w:t>-</w:t>
      </w:r>
      <w:r w:rsidRPr="00DB2332">
        <w:rPr>
          <w:rFonts w:ascii="Times New Roman" w:hAnsi="Times New Roman" w:cs="Times New Roman"/>
          <w:b/>
          <w:bCs/>
          <w:sz w:val="24"/>
          <w:szCs w:val="24"/>
        </w:rPr>
        <w:t xml:space="preserve">payload (34,770 kg) </w:t>
      </w:r>
    </w:p>
    <w:p w14:paraId="216052B7" w14:textId="10BE94D1" w:rsidR="00612A39" w:rsidRPr="00DB2332" w:rsidRDefault="001E179A" w:rsidP="000B64BC">
      <w:pPr>
        <w:spacing w:line="480" w:lineRule="auto"/>
        <w:jc w:val="both"/>
        <w:rPr>
          <w:rFonts w:ascii="Times New Roman" w:hAnsi="Times New Roman" w:cs="Times New Roman"/>
          <w:sz w:val="24"/>
          <w:szCs w:val="24"/>
        </w:rPr>
      </w:pPr>
      <w:r w:rsidRPr="00DB2332">
        <w:rPr>
          <w:rFonts w:ascii="Times New Roman" w:hAnsi="Times New Roman" w:cs="Times New Roman"/>
          <w:sz w:val="24"/>
          <w:szCs w:val="24"/>
        </w:rPr>
        <w:tab/>
        <w:t>We observe from Figure 5 that of the six alternative fuels only 100% SPK and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powered LTA aircraft (single decker tube-wing) enable the typical long-range flight distance as that of the Jet-A aircraft (baseline) of 13,870 km for 366 passenger-payload of 34,770 kg, within the limit of MTOW (of 316 tonne). Thus, 100% SPK and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are quantitatively identified alternative liquid fuels from this study that enable a long-range air travel with an LTA aircraft. Further details of the performance characteristics of the baseline aircraft modified for the use of six alternative liquid fuels (for same payload of 34,770 kg </w:t>
      </w:r>
      <w:proofErr w:type="gramStart"/>
      <w:r w:rsidRPr="00DB2332">
        <w:rPr>
          <w:rFonts w:ascii="Times New Roman" w:hAnsi="Times New Roman" w:cs="Times New Roman"/>
          <w:sz w:val="24"/>
          <w:szCs w:val="24"/>
        </w:rPr>
        <w:t>i.e.</w:t>
      </w:r>
      <w:proofErr w:type="gramEnd"/>
      <w:r w:rsidRPr="00DB2332">
        <w:rPr>
          <w:rFonts w:ascii="Times New Roman" w:hAnsi="Times New Roman" w:cs="Times New Roman"/>
          <w:sz w:val="24"/>
          <w:szCs w:val="24"/>
        </w:rPr>
        <w:t xml:space="preserve"> 366 passenger payload) is included in </w:t>
      </w:r>
      <w:r w:rsidRPr="00DB2332">
        <w:rPr>
          <w:rFonts w:ascii="Times New Roman" w:hAnsi="Times New Roman" w:cs="Times New Roman"/>
          <w:sz w:val="24"/>
          <w:szCs w:val="24"/>
          <w:lang w:eastAsia="en-GB"/>
        </w:rPr>
        <w:t>SI §</w:t>
      </w:r>
      <w:r w:rsidR="003F5C63" w:rsidRPr="00DB2332">
        <w:rPr>
          <w:rFonts w:ascii="Times New Roman" w:eastAsia="Times New Roman" w:hAnsi="Times New Roman" w:cs="Times New Roman"/>
          <w:sz w:val="24"/>
          <w:szCs w:val="24"/>
          <w:lang w:eastAsia="en-GB"/>
        </w:rPr>
        <w:t>8</w:t>
      </w:r>
      <w:r w:rsidRPr="00DB2332">
        <w:rPr>
          <w:rFonts w:ascii="Times New Roman" w:eastAsia="Times New Roman" w:hAnsi="Times New Roman" w:cs="Times New Roman"/>
          <w:sz w:val="24"/>
          <w:szCs w:val="24"/>
          <w:lang w:eastAsia="en-GB"/>
        </w:rPr>
        <w:t>.1</w:t>
      </w:r>
      <w:r w:rsidRPr="00DB2332">
        <w:rPr>
          <w:rFonts w:ascii="Times New Roman" w:hAnsi="Times New Roman" w:cs="Times New Roman"/>
          <w:sz w:val="24"/>
          <w:szCs w:val="24"/>
        </w:rPr>
        <w:t xml:space="preserve">. Additionally, </w:t>
      </w:r>
      <w:r w:rsidRPr="00DB2332">
        <w:rPr>
          <w:rFonts w:ascii="Times New Roman" w:hAnsi="Times New Roman" w:cs="Times New Roman"/>
          <w:sz w:val="24"/>
          <w:szCs w:val="24"/>
          <w:lang w:eastAsia="en-GB"/>
        </w:rPr>
        <w:t>SI §</w:t>
      </w:r>
      <w:r w:rsidR="003F5C63" w:rsidRPr="00DB2332">
        <w:rPr>
          <w:rFonts w:ascii="Times New Roman" w:hAnsi="Times New Roman" w:cs="Times New Roman"/>
          <w:sz w:val="24"/>
          <w:szCs w:val="24"/>
          <w:lang w:eastAsia="en-GB"/>
        </w:rPr>
        <w:t>8</w:t>
      </w:r>
      <w:r w:rsidRPr="00DB2332">
        <w:rPr>
          <w:rFonts w:ascii="Times New Roman" w:eastAsia="Times New Roman" w:hAnsi="Times New Roman" w:cs="Times New Roman"/>
          <w:sz w:val="24"/>
          <w:szCs w:val="24"/>
          <w:lang w:eastAsia="en-GB"/>
        </w:rPr>
        <w:t xml:space="preserve">.1 includes comparison of </w:t>
      </w:r>
      <w:r w:rsidRPr="00DB2332">
        <w:rPr>
          <w:rFonts w:ascii="Times New Roman" w:hAnsi="Times New Roman" w:cs="Times New Roman"/>
          <w:sz w:val="24"/>
          <w:szCs w:val="24"/>
        </w:rPr>
        <w:t xml:space="preserve">the aircraft and systems characteristics (such as fuselage length, wing loading, etc. for similar tank </w:t>
      </w:r>
      <w:r w:rsidRPr="00DB2332">
        <w:rPr>
          <w:rFonts w:ascii="Times New Roman" w:hAnsi="Times New Roman" w:cs="Times New Roman"/>
          <w:i/>
          <w:iCs/>
          <w:sz w:val="24"/>
          <w:szCs w:val="24"/>
          <w:lang w:eastAsia="en-GB"/>
        </w:rPr>
        <w:t>η</w:t>
      </w:r>
      <w:r w:rsidRPr="00DB2332">
        <w:rPr>
          <w:rFonts w:ascii="Times New Roman" w:hAnsi="Times New Roman" w:cs="Times New Roman"/>
          <w:sz w:val="24"/>
          <w:szCs w:val="24"/>
        </w:rPr>
        <w:t>) for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aircraft with other studies in literature.</w:t>
      </w:r>
      <w:r w:rsidR="001A5C3B" w:rsidRPr="00DB2332">
        <w:rPr>
          <w:rFonts w:ascii="Times New Roman" w:hAnsi="Times New Roman" w:cs="Times New Roman"/>
          <w:sz w:val="24"/>
          <w:szCs w:val="24"/>
          <w:lang w:eastAsia="en-GB"/>
        </w:rPr>
        <w:t xml:space="preserve"> </w:t>
      </w:r>
      <w:r w:rsidR="00BC2692" w:rsidRPr="00DB2332">
        <w:rPr>
          <w:rFonts w:ascii="Times New Roman" w:hAnsi="Times New Roman" w:cs="Times New Roman"/>
          <w:bCs/>
          <w:sz w:val="24"/>
          <w:szCs w:val="24"/>
        </w:rPr>
        <w:t xml:space="preserve">Table </w:t>
      </w:r>
      <w:r w:rsidR="000D3083" w:rsidRPr="00DB2332">
        <w:rPr>
          <w:rFonts w:ascii="Times New Roman" w:hAnsi="Times New Roman" w:cs="Times New Roman"/>
          <w:bCs/>
          <w:sz w:val="24"/>
          <w:szCs w:val="24"/>
        </w:rPr>
        <w:t xml:space="preserve">1 </w:t>
      </w:r>
      <w:r w:rsidR="00BC2692" w:rsidRPr="00DB2332">
        <w:rPr>
          <w:rFonts w:ascii="Times New Roman" w:hAnsi="Times New Roman" w:cs="Times New Roman"/>
          <w:bCs/>
          <w:sz w:val="24"/>
          <w:szCs w:val="24"/>
        </w:rPr>
        <w:t xml:space="preserve">shows the </w:t>
      </w:r>
      <w:r w:rsidR="003C6416" w:rsidRPr="00DB2332">
        <w:rPr>
          <w:rFonts w:ascii="Times New Roman" w:hAnsi="Times New Roman" w:cs="Times New Roman"/>
          <w:bCs/>
          <w:sz w:val="24"/>
          <w:szCs w:val="24"/>
        </w:rPr>
        <w:t>SEC</w:t>
      </w:r>
      <w:r w:rsidR="00BC2692" w:rsidRPr="00DB2332">
        <w:rPr>
          <w:rFonts w:ascii="Times New Roman" w:hAnsi="Times New Roman" w:cs="Times New Roman"/>
          <w:bCs/>
          <w:sz w:val="24"/>
          <w:szCs w:val="24"/>
        </w:rPr>
        <w:t xml:space="preserve"> performance of identified alternative liquid fuels that enable long-range travel with an LTA aircraft. </w:t>
      </w:r>
      <w:r w:rsidR="00D20AFA" w:rsidRPr="00DB2332">
        <w:rPr>
          <w:rFonts w:ascii="Times New Roman" w:hAnsi="Times New Roman" w:cs="Times New Roman"/>
          <w:sz w:val="24"/>
          <w:szCs w:val="24"/>
        </w:rPr>
        <w:t>ΔL represents the additional fuselage length for accommodating the alternative fuel.</w:t>
      </w:r>
    </w:p>
    <w:p w14:paraId="656DD35D" w14:textId="7A1358C7" w:rsidR="00BC2692" w:rsidRPr="00DB2332" w:rsidRDefault="00612A39" w:rsidP="00612A39">
      <w:pPr>
        <w:rPr>
          <w:rFonts w:ascii="Times New Roman" w:hAnsi="Times New Roman" w:cs="Times New Roman"/>
          <w:sz w:val="24"/>
          <w:szCs w:val="24"/>
        </w:rPr>
      </w:pPr>
      <w:r w:rsidRPr="00DB2332">
        <w:rPr>
          <w:rFonts w:ascii="Times New Roman" w:hAnsi="Times New Roman" w:cs="Times New Roman"/>
          <w:sz w:val="24"/>
          <w:szCs w:val="24"/>
        </w:rPr>
        <w:br w:type="page"/>
      </w:r>
    </w:p>
    <w:tbl>
      <w:tblPr>
        <w:tblW w:w="9072" w:type="dxa"/>
        <w:jc w:val="center"/>
        <w:tblLayout w:type="fixed"/>
        <w:tblCellMar>
          <w:left w:w="0" w:type="dxa"/>
          <w:right w:w="0" w:type="dxa"/>
        </w:tblCellMar>
        <w:tblLook w:val="0420" w:firstRow="1" w:lastRow="0" w:firstColumn="0" w:lastColumn="0" w:noHBand="0" w:noVBand="1"/>
      </w:tblPr>
      <w:tblGrid>
        <w:gridCol w:w="851"/>
        <w:gridCol w:w="1134"/>
        <w:gridCol w:w="850"/>
        <w:gridCol w:w="993"/>
        <w:gridCol w:w="850"/>
        <w:gridCol w:w="1134"/>
        <w:gridCol w:w="1418"/>
        <w:gridCol w:w="1842"/>
      </w:tblGrid>
      <w:tr w:rsidR="00C550B4" w:rsidRPr="00DB2332" w14:paraId="78CC7920" w14:textId="77777777" w:rsidTr="000B7DCE">
        <w:trPr>
          <w:trHeight w:val="641"/>
          <w:jc w:val="center"/>
        </w:trPr>
        <w:tc>
          <w:tcPr>
            <w:tcW w:w="9072" w:type="dxa"/>
            <w:gridSpan w:val="8"/>
            <w:tcBorders>
              <w:top w:val="nil"/>
              <w:left w:val="nil"/>
              <w:bottom w:val="single" w:sz="4" w:space="0" w:color="auto"/>
              <w:right w:val="nil"/>
            </w:tcBorders>
          </w:tcPr>
          <w:p w14:paraId="275EBEDA" w14:textId="7A5FBF18" w:rsidR="002E1E99" w:rsidRPr="00DB2332" w:rsidRDefault="002E1E99" w:rsidP="00663AAB">
            <w:pPr>
              <w:spacing w:after="0" w:line="276" w:lineRule="auto"/>
              <w:jc w:val="center"/>
              <w:rPr>
                <w:rFonts w:ascii="Times New Roman" w:hAnsi="Times New Roman" w:cs="Times New Roman"/>
                <w:b/>
                <w:bCs/>
                <w:sz w:val="24"/>
                <w:szCs w:val="24"/>
              </w:rPr>
            </w:pPr>
            <w:r w:rsidRPr="00DB2332">
              <w:rPr>
                <w:rFonts w:ascii="Times New Roman" w:hAnsi="Times New Roman" w:cs="Times New Roman"/>
                <w:b/>
                <w:sz w:val="24"/>
                <w:szCs w:val="24"/>
              </w:rPr>
              <w:lastRenderedPageBreak/>
              <w:t xml:space="preserve">Table </w:t>
            </w:r>
            <w:r w:rsidR="000D3083" w:rsidRPr="00DB2332">
              <w:rPr>
                <w:rFonts w:ascii="Times New Roman" w:hAnsi="Times New Roman" w:cs="Times New Roman"/>
                <w:b/>
                <w:sz w:val="24"/>
                <w:szCs w:val="24"/>
              </w:rPr>
              <w:t>1</w:t>
            </w:r>
            <w:r w:rsidRPr="00DB2332">
              <w:rPr>
                <w:rFonts w:ascii="Times New Roman" w:hAnsi="Times New Roman" w:cs="Times New Roman"/>
                <w:b/>
                <w:sz w:val="24"/>
                <w:szCs w:val="24"/>
              </w:rPr>
              <w:t>. Nominal SEC of LTA aircraft at 13,870 km range for payload of 34,770 kg with Jet A, 100% SPK and LH</w:t>
            </w:r>
            <w:r w:rsidRPr="00DB2332">
              <w:rPr>
                <w:rFonts w:ascii="Times New Roman" w:hAnsi="Times New Roman" w:cs="Times New Roman"/>
                <w:b/>
                <w:sz w:val="24"/>
                <w:szCs w:val="24"/>
                <w:vertAlign w:val="subscript"/>
              </w:rPr>
              <w:t>2</w:t>
            </w:r>
          </w:p>
        </w:tc>
      </w:tr>
      <w:tr w:rsidR="00C550B4" w:rsidRPr="00DB2332" w14:paraId="54B2AC81" w14:textId="77777777" w:rsidTr="000B7DCE">
        <w:trPr>
          <w:trHeight w:val="357"/>
          <w:jc w:val="center"/>
        </w:trPr>
        <w:tc>
          <w:tcPr>
            <w:tcW w:w="851" w:type="dxa"/>
            <w:tcBorders>
              <w:top w:val="single" w:sz="4" w:space="0" w:color="auto"/>
              <w:bottom w:val="single" w:sz="4" w:space="0" w:color="auto"/>
            </w:tcBorders>
            <w:tcMar>
              <w:top w:w="72" w:type="dxa"/>
              <w:left w:w="144" w:type="dxa"/>
              <w:bottom w:w="72" w:type="dxa"/>
              <w:right w:w="144" w:type="dxa"/>
            </w:tcMar>
            <w:vAlign w:val="center"/>
            <w:hideMark/>
          </w:tcPr>
          <w:p w14:paraId="574FA8D9" w14:textId="77777777"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sz w:val="24"/>
                <w:szCs w:val="24"/>
              </w:rPr>
              <w:t>Fuel</w:t>
            </w:r>
          </w:p>
        </w:tc>
        <w:tc>
          <w:tcPr>
            <w:tcW w:w="1134" w:type="dxa"/>
            <w:tcBorders>
              <w:top w:val="single" w:sz="4" w:space="0" w:color="auto"/>
              <w:bottom w:val="single" w:sz="4" w:space="0" w:color="auto"/>
            </w:tcBorders>
            <w:tcMar>
              <w:top w:w="72" w:type="dxa"/>
              <w:left w:w="144" w:type="dxa"/>
              <w:bottom w:w="72" w:type="dxa"/>
              <w:right w:w="144" w:type="dxa"/>
            </w:tcMar>
            <w:vAlign w:val="center"/>
          </w:tcPr>
          <w:p w14:paraId="260D8026" w14:textId="54616537"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i/>
                <w:iCs/>
                <w:sz w:val="24"/>
                <w:szCs w:val="24"/>
              </w:rPr>
              <w:t>h</w:t>
            </w:r>
            <w:r w:rsidRPr="00DB2332">
              <w:rPr>
                <w:rFonts w:ascii="Times New Roman" w:hAnsi="Times New Roman" w:cs="Times New Roman"/>
                <w:sz w:val="24"/>
                <w:szCs w:val="24"/>
              </w:rPr>
              <w:t xml:space="preserve"> (MJ/kg)</w:t>
            </w:r>
          </w:p>
        </w:tc>
        <w:tc>
          <w:tcPr>
            <w:tcW w:w="850" w:type="dxa"/>
            <w:tcBorders>
              <w:top w:val="single" w:sz="4" w:space="0" w:color="auto"/>
              <w:bottom w:val="single" w:sz="4" w:space="0" w:color="auto"/>
            </w:tcBorders>
            <w:tcMar>
              <w:top w:w="72" w:type="dxa"/>
              <w:left w:w="144" w:type="dxa"/>
              <w:bottom w:w="72" w:type="dxa"/>
              <w:right w:w="144" w:type="dxa"/>
            </w:tcMar>
            <w:vAlign w:val="center"/>
            <w:hideMark/>
          </w:tcPr>
          <w:p w14:paraId="30407A8D" w14:textId="5341B5D0"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sz w:val="24"/>
                <w:szCs w:val="24"/>
              </w:rPr>
              <w:t>ΔL</w:t>
            </w:r>
          </w:p>
          <w:p w14:paraId="6EF9FA2F" w14:textId="19DB08D7"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sz w:val="24"/>
                <w:szCs w:val="24"/>
              </w:rPr>
              <w:t>(%)</w:t>
            </w:r>
          </w:p>
        </w:tc>
        <w:tc>
          <w:tcPr>
            <w:tcW w:w="993" w:type="dxa"/>
            <w:tcBorders>
              <w:top w:val="single" w:sz="4" w:space="0" w:color="auto"/>
              <w:bottom w:val="single" w:sz="4" w:space="0" w:color="auto"/>
            </w:tcBorders>
            <w:vAlign w:val="center"/>
          </w:tcPr>
          <w:p w14:paraId="2BDE5916" w14:textId="6E0BBACA" w:rsidR="00586EBA" w:rsidRPr="00DB2332" w:rsidRDefault="00586EBA" w:rsidP="00612A39">
            <w:pPr>
              <w:spacing w:after="0" w:line="480" w:lineRule="auto"/>
              <w:jc w:val="center"/>
              <w:rPr>
                <w:rFonts w:ascii="Times New Roman" w:hAnsi="Times New Roman" w:cs="Times New Roman"/>
                <w:i/>
                <w:iCs/>
                <w:sz w:val="24"/>
                <w:szCs w:val="24"/>
              </w:rPr>
            </w:pPr>
            <w:proofErr w:type="spellStart"/>
            <w:r w:rsidRPr="00DB2332">
              <w:rPr>
                <w:rFonts w:ascii="Times New Roman" w:hAnsi="Times New Roman" w:cs="Times New Roman"/>
                <w:i/>
                <w:iCs/>
                <w:sz w:val="24"/>
                <w:szCs w:val="24"/>
              </w:rPr>
              <w:t>W</w:t>
            </w:r>
            <w:r w:rsidRPr="00DB2332">
              <w:rPr>
                <w:rFonts w:ascii="Times New Roman" w:hAnsi="Times New Roman" w:cs="Times New Roman"/>
                <w:sz w:val="24"/>
                <w:szCs w:val="24"/>
                <w:vertAlign w:val="subscript"/>
              </w:rPr>
              <w:t>F,block</w:t>
            </w:r>
            <w:proofErr w:type="spellEnd"/>
            <w:r w:rsidRPr="00DB2332">
              <w:rPr>
                <w:rFonts w:ascii="Times New Roman" w:hAnsi="Times New Roman" w:cs="Times New Roman"/>
                <w:sz w:val="24"/>
                <w:szCs w:val="24"/>
              </w:rPr>
              <w:t xml:space="preserve"> (kg)</w:t>
            </w:r>
          </w:p>
        </w:tc>
        <w:tc>
          <w:tcPr>
            <w:tcW w:w="850" w:type="dxa"/>
            <w:tcBorders>
              <w:top w:val="single" w:sz="4" w:space="0" w:color="auto"/>
              <w:bottom w:val="single" w:sz="4" w:space="0" w:color="auto"/>
            </w:tcBorders>
            <w:vAlign w:val="center"/>
          </w:tcPr>
          <w:p w14:paraId="1DC521FA" w14:textId="17D158AE"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i/>
                <w:iCs/>
                <w:sz w:val="24"/>
                <w:szCs w:val="24"/>
              </w:rPr>
              <w:t>L/D</w:t>
            </w:r>
          </w:p>
        </w:tc>
        <w:tc>
          <w:tcPr>
            <w:tcW w:w="1134" w:type="dxa"/>
            <w:tcBorders>
              <w:top w:val="single" w:sz="4" w:space="0" w:color="auto"/>
              <w:bottom w:val="single" w:sz="4" w:space="0" w:color="auto"/>
            </w:tcBorders>
            <w:vAlign w:val="center"/>
          </w:tcPr>
          <w:p w14:paraId="2EB53E73" w14:textId="77777777"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sz w:val="24"/>
                <w:szCs w:val="24"/>
              </w:rPr>
              <w:t>GTOW (kg)</w:t>
            </w:r>
          </w:p>
        </w:tc>
        <w:tc>
          <w:tcPr>
            <w:tcW w:w="1418" w:type="dxa"/>
            <w:tcBorders>
              <w:top w:val="single" w:sz="4" w:space="0" w:color="auto"/>
              <w:bottom w:val="single" w:sz="4" w:space="0" w:color="auto"/>
            </w:tcBorders>
            <w:vAlign w:val="center"/>
          </w:tcPr>
          <w:p w14:paraId="7A299851" w14:textId="77777777"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sz w:val="24"/>
                <w:szCs w:val="24"/>
              </w:rPr>
              <w:t>OEW/GTOW</w:t>
            </w:r>
          </w:p>
        </w:tc>
        <w:tc>
          <w:tcPr>
            <w:tcW w:w="1842" w:type="dxa"/>
            <w:tcBorders>
              <w:top w:val="single" w:sz="4" w:space="0" w:color="auto"/>
              <w:bottom w:val="single" w:sz="4" w:space="0" w:color="auto"/>
            </w:tcBorders>
            <w:tcMar>
              <w:top w:w="72" w:type="dxa"/>
              <w:left w:w="144" w:type="dxa"/>
              <w:bottom w:w="72" w:type="dxa"/>
              <w:right w:w="144" w:type="dxa"/>
            </w:tcMar>
            <w:vAlign w:val="center"/>
            <w:hideMark/>
          </w:tcPr>
          <w:p w14:paraId="28C553C3" w14:textId="77777777"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sz w:val="24"/>
                <w:szCs w:val="24"/>
              </w:rPr>
              <w:t>SEC</w:t>
            </w:r>
          </w:p>
          <w:p w14:paraId="352B2EE4" w14:textId="6F7F6961" w:rsidR="00586EBA" w:rsidRPr="00DB2332" w:rsidRDefault="00586EBA" w:rsidP="00612A39">
            <w:pPr>
              <w:spacing w:after="0" w:line="480" w:lineRule="auto"/>
              <w:jc w:val="center"/>
              <w:rPr>
                <w:rFonts w:ascii="Times New Roman" w:hAnsi="Times New Roman" w:cs="Times New Roman"/>
                <w:sz w:val="24"/>
                <w:szCs w:val="24"/>
              </w:rPr>
            </w:pPr>
            <w:r w:rsidRPr="00DB2332">
              <w:rPr>
                <w:rFonts w:ascii="Times New Roman" w:hAnsi="Times New Roman" w:cs="Times New Roman"/>
                <w:sz w:val="24"/>
                <w:szCs w:val="24"/>
              </w:rPr>
              <w:t>(MJ/ton</w:t>
            </w:r>
            <w:r w:rsidR="002B345B" w:rsidRPr="00DB2332">
              <w:rPr>
                <w:rFonts w:ascii="Times New Roman" w:hAnsi="Times New Roman" w:cs="Times New Roman"/>
                <w:sz w:val="24"/>
                <w:szCs w:val="24"/>
              </w:rPr>
              <w:t>ne</w:t>
            </w:r>
            <w:r w:rsidRPr="00DB2332">
              <w:rPr>
                <w:rFonts w:ascii="Times New Roman" w:hAnsi="Times New Roman" w:cs="Times New Roman"/>
                <w:sz w:val="24"/>
                <w:szCs w:val="24"/>
              </w:rPr>
              <w:t>-km)</w:t>
            </w:r>
          </w:p>
        </w:tc>
      </w:tr>
      <w:tr w:rsidR="00C550B4" w:rsidRPr="00DB2332" w14:paraId="1690AF60" w14:textId="77777777" w:rsidTr="000B7DCE">
        <w:trPr>
          <w:trHeight w:val="192"/>
          <w:jc w:val="center"/>
        </w:trPr>
        <w:tc>
          <w:tcPr>
            <w:tcW w:w="851" w:type="dxa"/>
            <w:tcBorders>
              <w:top w:val="single" w:sz="4" w:space="0" w:color="auto"/>
            </w:tcBorders>
            <w:tcMar>
              <w:top w:w="72" w:type="dxa"/>
              <w:left w:w="144" w:type="dxa"/>
              <w:bottom w:w="72" w:type="dxa"/>
              <w:right w:w="144" w:type="dxa"/>
            </w:tcMar>
            <w:vAlign w:val="center"/>
            <w:hideMark/>
          </w:tcPr>
          <w:p w14:paraId="6590BC3C" w14:textId="77777777" w:rsidR="00586EBA" w:rsidRPr="00DB2332" w:rsidRDefault="00586EBA" w:rsidP="00612A39">
            <w:pPr>
              <w:spacing w:after="0" w:line="480" w:lineRule="auto"/>
              <w:rPr>
                <w:rFonts w:ascii="Times New Roman" w:hAnsi="Times New Roman" w:cs="Times New Roman"/>
                <w:sz w:val="24"/>
                <w:szCs w:val="24"/>
              </w:rPr>
            </w:pPr>
            <w:r w:rsidRPr="00DB2332">
              <w:rPr>
                <w:rFonts w:ascii="Times New Roman" w:hAnsi="Times New Roman" w:cs="Times New Roman"/>
                <w:sz w:val="24"/>
                <w:szCs w:val="24"/>
              </w:rPr>
              <w:t>Jet A</w:t>
            </w:r>
          </w:p>
        </w:tc>
        <w:tc>
          <w:tcPr>
            <w:tcW w:w="1134" w:type="dxa"/>
            <w:tcBorders>
              <w:top w:val="single" w:sz="4" w:space="0" w:color="auto"/>
            </w:tcBorders>
            <w:tcMar>
              <w:top w:w="72" w:type="dxa"/>
              <w:left w:w="144" w:type="dxa"/>
              <w:bottom w:w="72" w:type="dxa"/>
              <w:right w:w="144" w:type="dxa"/>
            </w:tcMar>
            <w:vAlign w:val="center"/>
          </w:tcPr>
          <w:p w14:paraId="7C922ECC" w14:textId="5543CB33"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43.2</w:t>
            </w:r>
          </w:p>
        </w:tc>
        <w:tc>
          <w:tcPr>
            <w:tcW w:w="850" w:type="dxa"/>
            <w:tcBorders>
              <w:top w:val="single" w:sz="4" w:space="0" w:color="auto"/>
            </w:tcBorders>
            <w:tcMar>
              <w:top w:w="72" w:type="dxa"/>
              <w:left w:w="144" w:type="dxa"/>
              <w:bottom w:w="72" w:type="dxa"/>
              <w:right w:w="144" w:type="dxa"/>
            </w:tcMar>
            <w:vAlign w:val="center"/>
            <w:hideMark/>
          </w:tcPr>
          <w:p w14:paraId="0F1A429F" w14:textId="24D74204"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w:t>
            </w:r>
          </w:p>
        </w:tc>
        <w:tc>
          <w:tcPr>
            <w:tcW w:w="993" w:type="dxa"/>
            <w:tcBorders>
              <w:top w:val="single" w:sz="4" w:space="0" w:color="auto"/>
            </w:tcBorders>
            <w:vAlign w:val="center"/>
          </w:tcPr>
          <w:p w14:paraId="532D8D71" w14:textId="5CD9515B"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113,491</w:t>
            </w:r>
          </w:p>
        </w:tc>
        <w:tc>
          <w:tcPr>
            <w:tcW w:w="850" w:type="dxa"/>
            <w:tcBorders>
              <w:top w:val="single" w:sz="4" w:space="0" w:color="auto"/>
            </w:tcBorders>
            <w:vAlign w:val="center"/>
          </w:tcPr>
          <w:p w14:paraId="5FA5D3DD" w14:textId="14A24B11"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18.63</w:t>
            </w:r>
          </w:p>
        </w:tc>
        <w:tc>
          <w:tcPr>
            <w:tcW w:w="1134" w:type="dxa"/>
            <w:tcBorders>
              <w:top w:val="single" w:sz="4" w:space="0" w:color="auto"/>
            </w:tcBorders>
            <w:vAlign w:val="center"/>
          </w:tcPr>
          <w:p w14:paraId="77BDBFCA"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315,999</w:t>
            </w:r>
          </w:p>
        </w:tc>
        <w:tc>
          <w:tcPr>
            <w:tcW w:w="1418" w:type="dxa"/>
            <w:tcBorders>
              <w:top w:val="single" w:sz="4" w:space="0" w:color="auto"/>
            </w:tcBorders>
            <w:vAlign w:val="center"/>
          </w:tcPr>
          <w:p w14:paraId="4573A7E9"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0.49</w:t>
            </w:r>
          </w:p>
        </w:tc>
        <w:tc>
          <w:tcPr>
            <w:tcW w:w="1842" w:type="dxa"/>
            <w:tcBorders>
              <w:top w:val="single" w:sz="4" w:space="0" w:color="auto"/>
            </w:tcBorders>
            <w:tcMar>
              <w:top w:w="72" w:type="dxa"/>
              <w:left w:w="144" w:type="dxa"/>
              <w:bottom w:w="72" w:type="dxa"/>
              <w:right w:w="144" w:type="dxa"/>
            </w:tcMar>
            <w:vAlign w:val="center"/>
            <w:hideMark/>
          </w:tcPr>
          <w:p w14:paraId="00FD757B"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10.17</w:t>
            </w:r>
          </w:p>
        </w:tc>
      </w:tr>
      <w:tr w:rsidR="00C550B4" w:rsidRPr="00DB2332" w14:paraId="1896B28D" w14:textId="77777777" w:rsidTr="000B7DCE">
        <w:trPr>
          <w:trHeight w:val="192"/>
          <w:jc w:val="center"/>
        </w:trPr>
        <w:tc>
          <w:tcPr>
            <w:tcW w:w="851" w:type="dxa"/>
            <w:tcMar>
              <w:top w:w="72" w:type="dxa"/>
              <w:left w:w="144" w:type="dxa"/>
              <w:bottom w:w="72" w:type="dxa"/>
              <w:right w:w="144" w:type="dxa"/>
            </w:tcMar>
            <w:vAlign w:val="center"/>
          </w:tcPr>
          <w:p w14:paraId="47A4B87D" w14:textId="312689F8" w:rsidR="00586EBA" w:rsidRPr="00DB2332" w:rsidRDefault="00586EBA" w:rsidP="00612A39">
            <w:pPr>
              <w:spacing w:after="0" w:line="480" w:lineRule="auto"/>
              <w:rPr>
                <w:rFonts w:ascii="Times New Roman" w:hAnsi="Times New Roman" w:cs="Times New Roman"/>
                <w:sz w:val="24"/>
                <w:szCs w:val="24"/>
              </w:rPr>
            </w:pPr>
            <w:r w:rsidRPr="00DB2332">
              <w:rPr>
                <w:rFonts w:ascii="Times New Roman" w:hAnsi="Times New Roman" w:cs="Times New Roman"/>
                <w:sz w:val="24"/>
                <w:szCs w:val="24"/>
              </w:rPr>
              <w:t>100</w:t>
            </w:r>
            <w:r w:rsidR="00F11E01" w:rsidRPr="00DB2332">
              <w:rPr>
                <w:rFonts w:ascii="Times New Roman" w:hAnsi="Times New Roman" w:cs="Times New Roman"/>
                <w:sz w:val="24"/>
                <w:szCs w:val="24"/>
              </w:rPr>
              <w:t xml:space="preserve">% </w:t>
            </w:r>
            <w:r w:rsidRPr="00DB2332">
              <w:rPr>
                <w:rFonts w:ascii="Times New Roman" w:hAnsi="Times New Roman" w:cs="Times New Roman"/>
                <w:sz w:val="24"/>
                <w:szCs w:val="24"/>
              </w:rPr>
              <w:t>SPK</w:t>
            </w:r>
          </w:p>
        </w:tc>
        <w:tc>
          <w:tcPr>
            <w:tcW w:w="1134" w:type="dxa"/>
            <w:tcMar>
              <w:top w:w="72" w:type="dxa"/>
              <w:left w:w="144" w:type="dxa"/>
              <w:bottom w:w="72" w:type="dxa"/>
              <w:right w:w="144" w:type="dxa"/>
            </w:tcMar>
            <w:vAlign w:val="center"/>
          </w:tcPr>
          <w:p w14:paraId="154664BF" w14:textId="2E87AAD0"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44.1</w:t>
            </w:r>
          </w:p>
        </w:tc>
        <w:tc>
          <w:tcPr>
            <w:tcW w:w="850" w:type="dxa"/>
            <w:tcMar>
              <w:top w:w="72" w:type="dxa"/>
              <w:left w:w="144" w:type="dxa"/>
              <w:bottom w:w="72" w:type="dxa"/>
              <w:right w:w="144" w:type="dxa"/>
            </w:tcMar>
            <w:vAlign w:val="center"/>
          </w:tcPr>
          <w:p w14:paraId="4893C090" w14:textId="7A57BD0D" w:rsidR="00586EBA" w:rsidRPr="00DB2332" w:rsidRDefault="008F1D94"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0.3</w:t>
            </w:r>
          </w:p>
        </w:tc>
        <w:tc>
          <w:tcPr>
            <w:tcW w:w="993" w:type="dxa"/>
            <w:vAlign w:val="center"/>
          </w:tcPr>
          <w:p w14:paraId="04E36A1D" w14:textId="6AFB13FD"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110,988</w:t>
            </w:r>
          </w:p>
        </w:tc>
        <w:tc>
          <w:tcPr>
            <w:tcW w:w="850" w:type="dxa"/>
            <w:vAlign w:val="center"/>
          </w:tcPr>
          <w:p w14:paraId="642E99E4" w14:textId="1BEFF95E"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18.57</w:t>
            </w:r>
          </w:p>
        </w:tc>
        <w:tc>
          <w:tcPr>
            <w:tcW w:w="1134" w:type="dxa"/>
            <w:vAlign w:val="center"/>
          </w:tcPr>
          <w:p w14:paraId="6AD29B77"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313,404</w:t>
            </w:r>
          </w:p>
          <w:p w14:paraId="2CA303B1" w14:textId="77777777" w:rsidR="00586EBA" w:rsidRPr="00DB2332" w:rsidRDefault="00586EBA" w:rsidP="00612A39">
            <w:pPr>
              <w:spacing w:after="0" w:line="480" w:lineRule="auto"/>
              <w:jc w:val="right"/>
              <w:rPr>
                <w:rFonts w:ascii="Times New Roman" w:hAnsi="Times New Roman" w:cs="Times New Roman"/>
                <w:i/>
                <w:iCs/>
                <w:sz w:val="24"/>
                <w:szCs w:val="24"/>
              </w:rPr>
            </w:pPr>
            <w:r w:rsidRPr="00DB2332">
              <w:rPr>
                <w:rFonts w:ascii="Times New Roman" w:hAnsi="Times New Roman" w:cs="Times New Roman"/>
                <w:i/>
                <w:iCs/>
                <w:sz w:val="24"/>
                <w:szCs w:val="24"/>
              </w:rPr>
              <w:t>(-0.82%)</w:t>
            </w:r>
          </w:p>
        </w:tc>
        <w:tc>
          <w:tcPr>
            <w:tcW w:w="1418" w:type="dxa"/>
            <w:vAlign w:val="center"/>
          </w:tcPr>
          <w:p w14:paraId="04D160AA"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0.50</w:t>
            </w:r>
          </w:p>
        </w:tc>
        <w:tc>
          <w:tcPr>
            <w:tcW w:w="1842" w:type="dxa"/>
            <w:tcMar>
              <w:top w:w="72" w:type="dxa"/>
              <w:left w:w="144" w:type="dxa"/>
              <w:bottom w:w="72" w:type="dxa"/>
              <w:right w:w="144" w:type="dxa"/>
            </w:tcMar>
            <w:vAlign w:val="center"/>
          </w:tcPr>
          <w:p w14:paraId="6F76188C"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10.15</w:t>
            </w:r>
          </w:p>
          <w:p w14:paraId="209894F1"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i/>
                <w:iCs/>
                <w:sz w:val="24"/>
                <w:szCs w:val="24"/>
              </w:rPr>
              <w:t>(-0.17%)</w:t>
            </w:r>
          </w:p>
        </w:tc>
      </w:tr>
      <w:tr w:rsidR="00C550B4" w:rsidRPr="00DB2332" w14:paraId="15238342" w14:textId="77777777" w:rsidTr="000B7DCE">
        <w:trPr>
          <w:trHeight w:val="192"/>
          <w:jc w:val="center"/>
        </w:trPr>
        <w:tc>
          <w:tcPr>
            <w:tcW w:w="851" w:type="dxa"/>
            <w:tcBorders>
              <w:bottom w:val="single" w:sz="4" w:space="0" w:color="auto"/>
            </w:tcBorders>
            <w:tcMar>
              <w:top w:w="72" w:type="dxa"/>
              <w:left w:w="144" w:type="dxa"/>
              <w:bottom w:w="72" w:type="dxa"/>
              <w:right w:w="144" w:type="dxa"/>
            </w:tcMar>
            <w:vAlign w:val="center"/>
          </w:tcPr>
          <w:p w14:paraId="684C8C42" w14:textId="77777777" w:rsidR="00586EBA" w:rsidRPr="00DB2332" w:rsidRDefault="00586EBA" w:rsidP="00612A39">
            <w:pPr>
              <w:spacing w:after="0" w:line="480" w:lineRule="auto"/>
              <w:rPr>
                <w:rFonts w:ascii="Times New Roman" w:hAnsi="Times New Roman" w:cs="Times New Roman"/>
                <w:sz w:val="24"/>
                <w:szCs w:val="24"/>
              </w:rPr>
            </w:pPr>
            <w:r w:rsidRPr="00DB2332">
              <w:rPr>
                <w:rFonts w:ascii="Times New Roman" w:hAnsi="Times New Roman" w:cs="Times New Roman"/>
                <w:sz w:val="24"/>
                <w:szCs w:val="24"/>
              </w:rPr>
              <w:t>LH</w:t>
            </w:r>
            <w:r w:rsidRPr="00DB2332">
              <w:rPr>
                <w:rFonts w:ascii="Times New Roman" w:hAnsi="Times New Roman" w:cs="Times New Roman"/>
                <w:sz w:val="24"/>
                <w:szCs w:val="24"/>
                <w:vertAlign w:val="subscript"/>
              </w:rPr>
              <w:t>2</w:t>
            </w:r>
          </w:p>
        </w:tc>
        <w:tc>
          <w:tcPr>
            <w:tcW w:w="1134" w:type="dxa"/>
            <w:tcBorders>
              <w:bottom w:val="single" w:sz="4" w:space="0" w:color="auto"/>
            </w:tcBorders>
            <w:tcMar>
              <w:top w:w="72" w:type="dxa"/>
              <w:left w:w="144" w:type="dxa"/>
              <w:bottom w:w="72" w:type="dxa"/>
              <w:right w:w="144" w:type="dxa"/>
            </w:tcMar>
            <w:vAlign w:val="center"/>
          </w:tcPr>
          <w:p w14:paraId="5BADB34A" w14:textId="603E48D0"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120</w:t>
            </w:r>
          </w:p>
        </w:tc>
        <w:tc>
          <w:tcPr>
            <w:tcW w:w="850" w:type="dxa"/>
            <w:tcBorders>
              <w:bottom w:val="single" w:sz="4" w:space="0" w:color="auto"/>
            </w:tcBorders>
            <w:tcMar>
              <w:top w:w="72" w:type="dxa"/>
              <w:left w:w="144" w:type="dxa"/>
              <w:bottom w:w="72" w:type="dxa"/>
              <w:right w:w="144" w:type="dxa"/>
            </w:tcMar>
            <w:vAlign w:val="center"/>
          </w:tcPr>
          <w:p w14:paraId="31C40CA1" w14:textId="12FC9B7A" w:rsidR="00586EBA" w:rsidRPr="00DB2332" w:rsidRDefault="008F1D94"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37.2</w:t>
            </w:r>
          </w:p>
        </w:tc>
        <w:tc>
          <w:tcPr>
            <w:tcW w:w="993" w:type="dxa"/>
            <w:tcBorders>
              <w:bottom w:val="single" w:sz="4" w:space="0" w:color="auto"/>
            </w:tcBorders>
            <w:vAlign w:val="center"/>
          </w:tcPr>
          <w:p w14:paraId="4B04AD2F" w14:textId="54CE61DF"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45,338</w:t>
            </w:r>
          </w:p>
        </w:tc>
        <w:tc>
          <w:tcPr>
            <w:tcW w:w="850" w:type="dxa"/>
            <w:tcBorders>
              <w:bottom w:val="single" w:sz="4" w:space="0" w:color="auto"/>
            </w:tcBorders>
            <w:vAlign w:val="center"/>
          </w:tcPr>
          <w:p w14:paraId="355A09A0" w14:textId="10EF3AE1"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16.09</w:t>
            </w:r>
          </w:p>
        </w:tc>
        <w:tc>
          <w:tcPr>
            <w:tcW w:w="1134" w:type="dxa"/>
            <w:tcBorders>
              <w:bottom w:val="single" w:sz="4" w:space="0" w:color="auto"/>
            </w:tcBorders>
            <w:vAlign w:val="center"/>
          </w:tcPr>
          <w:p w14:paraId="5A3002C9"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268,516</w:t>
            </w:r>
          </w:p>
          <w:p w14:paraId="7EE7B3AE" w14:textId="77777777" w:rsidR="00586EBA" w:rsidRPr="00DB2332" w:rsidRDefault="00586EBA" w:rsidP="00612A39">
            <w:pPr>
              <w:spacing w:after="0" w:line="480" w:lineRule="auto"/>
              <w:jc w:val="right"/>
              <w:rPr>
                <w:rFonts w:ascii="Times New Roman" w:hAnsi="Times New Roman" w:cs="Times New Roman"/>
                <w:i/>
                <w:iCs/>
                <w:sz w:val="24"/>
                <w:szCs w:val="24"/>
              </w:rPr>
            </w:pPr>
            <w:r w:rsidRPr="00DB2332">
              <w:rPr>
                <w:rFonts w:ascii="Times New Roman" w:hAnsi="Times New Roman" w:cs="Times New Roman"/>
                <w:i/>
                <w:iCs/>
                <w:sz w:val="24"/>
                <w:szCs w:val="24"/>
              </w:rPr>
              <w:t>(-15%)</w:t>
            </w:r>
          </w:p>
        </w:tc>
        <w:tc>
          <w:tcPr>
            <w:tcW w:w="1418" w:type="dxa"/>
            <w:tcBorders>
              <w:bottom w:val="single" w:sz="4" w:space="0" w:color="auto"/>
            </w:tcBorders>
            <w:vAlign w:val="center"/>
          </w:tcPr>
          <w:p w14:paraId="19E5122C"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0.68</w:t>
            </w:r>
          </w:p>
        </w:tc>
        <w:tc>
          <w:tcPr>
            <w:tcW w:w="1842" w:type="dxa"/>
            <w:tcBorders>
              <w:bottom w:val="single" w:sz="4" w:space="0" w:color="auto"/>
            </w:tcBorders>
            <w:tcMar>
              <w:top w:w="72" w:type="dxa"/>
              <w:left w:w="144" w:type="dxa"/>
              <w:bottom w:w="72" w:type="dxa"/>
              <w:right w:w="144" w:type="dxa"/>
            </w:tcMar>
            <w:vAlign w:val="center"/>
          </w:tcPr>
          <w:p w14:paraId="03F6F47C"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sz w:val="24"/>
                <w:szCs w:val="24"/>
              </w:rPr>
              <w:t>11.28</w:t>
            </w:r>
          </w:p>
          <w:p w14:paraId="340DEC00" w14:textId="77777777" w:rsidR="00586EBA" w:rsidRPr="00DB2332" w:rsidRDefault="00586EBA" w:rsidP="00612A39">
            <w:pPr>
              <w:spacing w:after="0" w:line="480" w:lineRule="auto"/>
              <w:jc w:val="right"/>
              <w:rPr>
                <w:rFonts w:ascii="Times New Roman" w:hAnsi="Times New Roman" w:cs="Times New Roman"/>
                <w:sz w:val="24"/>
                <w:szCs w:val="24"/>
              </w:rPr>
            </w:pPr>
            <w:r w:rsidRPr="00DB2332">
              <w:rPr>
                <w:rFonts w:ascii="Times New Roman" w:hAnsi="Times New Roman" w:cs="Times New Roman"/>
                <w:i/>
                <w:iCs/>
                <w:sz w:val="24"/>
                <w:szCs w:val="24"/>
              </w:rPr>
              <w:t>(+10.97%)</w:t>
            </w:r>
          </w:p>
        </w:tc>
      </w:tr>
    </w:tbl>
    <w:p w14:paraId="344C4A54" w14:textId="77777777" w:rsidR="00C8599B" w:rsidRPr="00DB2332" w:rsidRDefault="00C8599B" w:rsidP="00612A39">
      <w:pPr>
        <w:spacing w:after="0" w:line="480" w:lineRule="auto"/>
        <w:ind w:firstLine="720"/>
        <w:jc w:val="both"/>
        <w:rPr>
          <w:rFonts w:ascii="Times New Roman" w:hAnsi="Times New Roman" w:cs="Times New Roman"/>
          <w:sz w:val="24"/>
          <w:szCs w:val="24"/>
        </w:rPr>
      </w:pPr>
    </w:p>
    <w:p w14:paraId="5E9758CC" w14:textId="26E7E73C" w:rsidR="0056477D" w:rsidRPr="00DB2332" w:rsidRDefault="000D3083" w:rsidP="00C8599B">
      <w:pPr>
        <w:spacing w:after="0" w:line="480" w:lineRule="auto"/>
        <w:jc w:val="both"/>
        <w:rPr>
          <w:rFonts w:ascii="Times New Roman" w:hAnsi="Times New Roman" w:cs="Times New Roman"/>
          <w:sz w:val="24"/>
          <w:szCs w:val="24"/>
        </w:rPr>
      </w:pPr>
      <w:r w:rsidRPr="00DB2332">
        <w:rPr>
          <w:rFonts w:ascii="Times New Roman" w:hAnsi="Times New Roman" w:cs="Times New Roman"/>
          <w:sz w:val="24"/>
          <w:szCs w:val="24"/>
        </w:rPr>
        <w:tab/>
        <w:t xml:space="preserve">A study by </w:t>
      </w:r>
      <w:proofErr w:type="spellStart"/>
      <w:r w:rsidRPr="00DB2332">
        <w:rPr>
          <w:rFonts w:ascii="Times New Roman" w:hAnsi="Times New Roman" w:cs="Times New Roman"/>
          <w:sz w:val="24"/>
          <w:szCs w:val="24"/>
        </w:rPr>
        <w:t>Proesmans</w:t>
      </w:r>
      <w:proofErr w:type="spellEnd"/>
      <w:r w:rsidRPr="00DB2332">
        <w:rPr>
          <w:rFonts w:ascii="Times New Roman" w:hAnsi="Times New Roman" w:cs="Times New Roman"/>
          <w:sz w:val="24"/>
          <w:szCs w:val="24"/>
        </w:rPr>
        <w:t xml:space="preserve"> et al. </w:t>
      </w:r>
      <w:r w:rsidRPr="00DB2332">
        <w:rPr>
          <w:rFonts w:ascii="Times New Roman" w:hAnsi="Times New Roman" w:cs="Times New Roman"/>
          <w:sz w:val="24"/>
          <w:szCs w:val="24"/>
        </w:rPr>
        <w:fldChar w:fldCharType="begin" w:fldLock="1"/>
      </w:r>
      <w:r w:rsidRPr="00DB2332">
        <w:rPr>
          <w:rFonts w:ascii="Times New Roman" w:hAnsi="Times New Roman" w:cs="Times New Roman"/>
          <w:sz w:val="24"/>
          <w:szCs w:val="24"/>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Pr="00DB2332">
        <w:rPr>
          <w:rFonts w:ascii="Times New Roman" w:hAnsi="Times New Roman" w:cs="Times New Roman"/>
          <w:sz w:val="24"/>
          <w:szCs w:val="24"/>
        </w:rPr>
        <w:fldChar w:fldCharType="separate"/>
      </w:r>
      <w:r w:rsidRPr="00DB2332">
        <w:rPr>
          <w:rFonts w:ascii="Times New Roman" w:hAnsi="Times New Roman" w:cs="Times New Roman"/>
          <w:noProof/>
          <w:sz w:val="24"/>
          <w:szCs w:val="24"/>
        </w:rPr>
        <w:t>(Proesmans and Vos, 2022)</w:t>
      </w:r>
      <w:r w:rsidRPr="00DB2332">
        <w:rPr>
          <w:rFonts w:ascii="Times New Roman" w:hAnsi="Times New Roman" w:cs="Times New Roman"/>
          <w:sz w:val="24"/>
          <w:szCs w:val="24"/>
        </w:rPr>
        <w:fldChar w:fldCharType="end"/>
      </w:r>
      <w:r w:rsidRPr="00FA6B79">
        <w:rPr>
          <w:rFonts w:ascii="Times New Roman" w:hAnsi="Times New Roman" w:cs="Times New Roman"/>
          <w:sz w:val="24"/>
          <w:szCs w:val="24"/>
        </w:rPr>
        <w:t xml:space="preserve"> </w:t>
      </w:r>
      <w:r w:rsidR="00000D0A">
        <w:rPr>
          <w:rFonts w:ascii="Times New Roman" w:hAnsi="Times New Roman" w:cs="Times New Roman"/>
          <w:sz w:val="24"/>
          <w:szCs w:val="24"/>
        </w:rPr>
        <w:t>found</w:t>
      </w:r>
      <w:r w:rsidRPr="00FA6B79">
        <w:rPr>
          <w:rFonts w:ascii="Times New Roman" w:hAnsi="Times New Roman" w:cs="Times New Roman"/>
          <w:sz w:val="24"/>
          <w:szCs w:val="24"/>
        </w:rPr>
        <w:t xml:space="preserve"> that the 100% SPK aircraft energy </w:t>
      </w:r>
      <w:r w:rsidR="00D02977">
        <w:rPr>
          <w:rFonts w:ascii="Times New Roman" w:hAnsi="Times New Roman" w:cs="Times New Roman"/>
          <w:sz w:val="24"/>
          <w:szCs w:val="24"/>
        </w:rPr>
        <w:t xml:space="preserve">consumption was </w:t>
      </w:r>
      <w:r w:rsidRPr="00FA6B79">
        <w:rPr>
          <w:rFonts w:ascii="Times New Roman" w:hAnsi="Times New Roman" w:cs="Times New Roman"/>
          <w:sz w:val="24"/>
          <w:szCs w:val="24"/>
        </w:rPr>
        <w:t xml:space="preserve">similar to a Jet-A aircraft. According to the findings of Hileman et al. </w:t>
      </w:r>
      <w:r w:rsidRPr="00DB2332">
        <w:rPr>
          <w:rFonts w:ascii="Times New Roman" w:hAnsi="Times New Roman" w:cs="Times New Roman"/>
          <w:sz w:val="24"/>
          <w:szCs w:val="24"/>
        </w:rPr>
        <w:fldChar w:fldCharType="begin" w:fldLock="1"/>
      </w:r>
      <w:r w:rsidRPr="00DB2332">
        <w:rPr>
          <w:rFonts w:ascii="Times New Roman" w:hAnsi="Times New Roman" w:cs="Times New Roman"/>
          <w:sz w:val="24"/>
          <w:szCs w:val="24"/>
        </w:rPr>
        <w:instrText>ADDIN CSL_CITATION {"citationItems":[{"id":"ITEM-1","itemData":{"DOI":"10.2514/1.46232","ISSN":"0748-4658","author":[{"dropping-particle":"","family":"Hileman","given":"James I.","non-dropping-particle":"","parse-names":false,"suffix":""},{"dropping-particle":"","family":"Donohoo","given":"Pearl E.","non-dropping-particle":"","parse-names":false,"suffix":""},{"dropping-particle":"","family":"Stratton","given":"Russell W.","non-dropping-particle":"","parse-names":false,"suffix":""}],"container-title":"Journal of Propulsion and Power","id":"ITEM-1","issue":"6","issued":{"date-parts":[["2010","11","23"]]},"page":"1184-1196","title":"Energy Content and Alternative Jet Fuel Viability","type":"article-journal","volume":"26"},"uris":["http://www.mendeley.com/documents/?uuid=af9b0b5f-4290-30d8-b72b-899edbf3e8d4"]}],"mendeley":{"formattedCitation":"(Hileman et al., 2010)","plainTextFormattedCitation":"(Hileman et al., 2010)","previouslyFormattedCitation":"(Hileman et al., 2010)"},"properties":{"noteIndex":0},"schema":"https://github.com/citation-style-language/schema/raw/master/csl-citation.json"}</w:instrText>
      </w:r>
      <w:r w:rsidRPr="00DB2332">
        <w:rPr>
          <w:rFonts w:ascii="Times New Roman" w:hAnsi="Times New Roman" w:cs="Times New Roman"/>
          <w:sz w:val="24"/>
          <w:szCs w:val="24"/>
        </w:rPr>
        <w:fldChar w:fldCharType="separate"/>
      </w:r>
      <w:r w:rsidRPr="00DB2332">
        <w:rPr>
          <w:rFonts w:ascii="Times New Roman" w:hAnsi="Times New Roman" w:cs="Times New Roman"/>
          <w:noProof/>
          <w:sz w:val="24"/>
          <w:szCs w:val="24"/>
        </w:rPr>
        <w:t>(Hileman et al., 2010)</w:t>
      </w:r>
      <w:r w:rsidRPr="00DB2332">
        <w:rPr>
          <w:rFonts w:ascii="Times New Roman" w:hAnsi="Times New Roman" w:cs="Times New Roman"/>
          <w:sz w:val="24"/>
          <w:szCs w:val="24"/>
        </w:rPr>
        <w:fldChar w:fldCharType="end"/>
      </w:r>
      <w:r w:rsidRPr="00FA6B79">
        <w:rPr>
          <w:rFonts w:ascii="Times New Roman" w:hAnsi="Times New Roman" w:cs="Times New Roman"/>
          <w:sz w:val="24"/>
          <w:szCs w:val="24"/>
        </w:rPr>
        <w:t>, 100% SPK offers a 0.3% im</w:t>
      </w:r>
      <w:r w:rsidRPr="00DB2332">
        <w:rPr>
          <w:rFonts w:ascii="Times New Roman" w:hAnsi="Times New Roman" w:cs="Times New Roman"/>
          <w:sz w:val="24"/>
          <w:szCs w:val="24"/>
        </w:rPr>
        <w:t xml:space="preserve">provement in energy consumption relative to Jet-A while considering </w:t>
      </w:r>
      <w:r w:rsidRPr="00DB2332">
        <w:rPr>
          <w:rFonts w:ascii="Times New Roman" w:hAnsi="Times New Roman" w:cs="Times New Roman"/>
          <w:sz w:val="24"/>
          <w:szCs w:val="24"/>
          <w:lang w:eastAsia="en-GB"/>
        </w:rPr>
        <w:t xml:space="preserve">that the fuel gravimetric energy density is a significant aspect compared to the volumetric energy density. In the present work, both gravimetric and volumetric energy densities are equally important. Considering this, the energy consumption </w:t>
      </w:r>
      <w:r w:rsidR="00CB7AF9" w:rsidRPr="000B7DCE">
        <w:rPr>
          <w:rFonts w:ascii="Times New Roman" w:hAnsi="Times New Roman" w:cs="Times New Roman"/>
          <w:sz w:val="24"/>
          <w:szCs w:val="24"/>
          <w:lang w:eastAsia="en-GB"/>
        </w:rPr>
        <w:t>benefits</w:t>
      </w:r>
      <w:r w:rsidRPr="00FA6B79">
        <w:rPr>
          <w:rFonts w:ascii="Times New Roman" w:hAnsi="Times New Roman" w:cs="Times New Roman"/>
          <w:sz w:val="24"/>
          <w:szCs w:val="24"/>
          <w:lang w:eastAsia="en-GB"/>
        </w:rPr>
        <w:t xml:space="preserve"> due to slightly better gravimetric energy density performance of 100% SPK gets reduced due to its slightly poor volumetric energy density performance (increase</w:t>
      </w:r>
      <w:r w:rsidRPr="00DB2332">
        <w:rPr>
          <w:rFonts w:ascii="Times New Roman" w:hAnsi="Times New Roman" w:cs="Times New Roman"/>
          <w:sz w:val="24"/>
          <w:szCs w:val="24"/>
          <w:lang w:eastAsia="en-GB"/>
        </w:rPr>
        <w:t xml:space="preserve"> of fuselage length by 0.25 m or by 0.3%), compared to Jet-A. </w:t>
      </w:r>
      <w:r w:rsidRPr="00DB2332">
        <w:rPr>
          <w:rFonts w:ascii="Times New Roman" w:hAnsi="Times New Roman" w:cs="Times New Roman"/>
          <w:sz w:val="24"/>
          <w:szCs w:val="24"/>
        </w:rPr>
        <w:t xml:space="preserve">It can be observed from Table 1 that 100% SPK offers an insignificant net improvement (of 0.17%) in energy consumption as compared to Jet-A, which is </w:t>
      </w:r>
      <w:proofErr w:type="gramStart"/>
      <w:r w:rsidRPr="00DB2332">
        <w:rPr>
          <w:rFonts w:ascii="Times New Roman" w:hAnsi="Times New Roman" w:cs="Times New Roman"/>
          <w:sz w:val="24"/>
          <w:szCs w:val="24"/>
        </w:rPr>
        <w:t>similar to</w:t>
      </w:r>
      <w:proofErr w:type="gramEnd"/>
      <w:r w:rsidRPr="00DB2332">
        <w:rPr>
          <w:rFonts w:ascii="Times New Roman" w:hAnsi="Times New Roman" w:cs="Times New Roman"/>
          <w:sz w:val="24"/>
          <w:szCs w:val="24"/>
        </w:rPr>
        <w:t xml:space="preserve"> the findings of Hileman et al and </w:t>
      </w:r>
      <w:proofErr w:type="spellStart"/>
      <w:r w:rsidRPr="00DB2332">
        <w:rPr>
          <w:rFonts w:ascii="Times New Roman" w:hAnsi="Times New Roman" w:cs="Times New Roman"/>
          <w:sz w:val="24"/>
          <w:szCs w:val="24"/>
        </w:rPr>
        <w:t>Proesmans</w:t>
      </w:r>
      <w:proofErr w:type="spellEnd"/>
      <w:r w:rsidRPr="00DB2332">
        <w:rPr>
          <w:rFonts w:ascii="Times New Roman" w:hAnsi="Times New Roman" w:cs="Times New Roman"/>
          <w:sz w:val="24"/>
          <w:szCs w:val="24"/>
        </w:rPr>
        <w:t xml:space="preserve"> et al. For non-cryogenic fuel, especially 100% SPK it is observed that the fuselage length increases insignificantly (by 0.3%) to store additional fuel and this fuel could be accommodated in future aircraft designs with minor changes to the aircraft wing design instead of storing the fuel in fuselage as considered in this study.</w:t>
      </w:r>
    </w:p>
    <w:p w14:paraId="5AC1DB41" w14:textId="224D2B74" w:rsidR="008157AA" w:rsidRPr="00DB2332" w:rsidRDefault="0056477D" w:rsidP="000C5E43">
      <w:pPr>
        <w:shd w:val="clear" w:color="auto" w:fill="FFFFFF" w:themeFill="background1"/>
        <w:spacing w:after="0" w:line="480" w:lineRule="auto"/>
        <w:jc w:val="both"/>
        <w:rPr>
          <w:rFonts w:ascii="Times New Roman" w:hAnsi="Times New Roman" w:cs="Times New Roman"/>
          <w:sz w:val="24"/>
          <w:szCs w:val="24"/>
        </w:rPr>
      </w:pPr>
      <w:r w:rsidRPr="00DB2332">
        <w:rPr>
          <w:rFonts w:ascii="Times New Roman" w:hAnsi="Times New Roman" w:cs="Times New Roman"/>
          <w:sz w:val="24"/>
          <w:szCs w:val="24"/>
        </w:rPr>
        <w:lastRenderedPageBreak/>
        <w:tab/>
      </w:r>
      <w:r w:rsidR="00AE46B6" w:rsidRPr="00DB2332">
        <w:rPr>
          <w:rFonts w:ascii="Times New Roman" w:hAnsi="Times New Roman" w:cs="Times New Roman"/>
          <w:sz w:val="24"/>
          <w:szCs w:val="24"/>
        </w:rPr>
        <w:t xml:space="preserve">From Table </w:t>
      </w:r>
      <w:r w:rsidR="00330379" w:rsidRPr="00DB2332">
        <w:rPr>
          <w:rFonts w:ascii="Times New Roman" w:hAnsi="Times New Roman" w:cs="Times New Roman"/>
          <w:sz w:val="24"/>
          <w:szCs w:val="24"/>
        </w:rPr>
        <w:t>1</w:t>
      </w:r>
      <w:r w:rsidR="00AE46B6" w:rsidRPr="00DB2332">
        <w:rPr>
          <w:rFonts w:ascii="Times New Roman" w:hAnsi="Times New Roman" w:cs="Times New Roman"/>
          <w:sz w:val="24"/>
          <w:szCs w:val="24"/>
        </w:rPr>
        <w:t xml:space="preserve">, we observe that </w:t>
      </w:r>
      <w:r w:rsidR="00927E16" w:rsidRPr="00DB2332">
        <w:rPr>
          <w:rFonts w:ascii="Times New Roman" w:hAnsi="Times New Roman" w:cs="Times New Roman"/>
          <w:sz w:val="24"/>
          <w:szCs w:val="24"/>
        </w:rPr>
        <w:t>LH</w:t>
      </w:r>
      <w:r w:rsidR="00927E16" w:rsidRPr="00DB2332">
        <w:rPr>
          <w:rFonts w:ascii="Times New Roman" w:hAnsi="Times New Roman" w:cs="Times New Roman"/>
          <w:sz w:val="24"/>
          <w:szCs w:val="24"/>
          <w:vertAlign w:val="subscript"/>
        </w:rPr>
        <w:t>2</w:t>
      </w:r>
      <w:r w:rsidR="00927E16" w:rsidRPr="00DB2332">
        <w:rPr>
          <w:rFonts w:ascii="Times New Roman" w:hAnsi="Times New Roman" w:cs="Times New Roman"/>
          <w:sz w:val="24"/>
          <w:szCs w:val="24"/>
        </w:rPr>
        <w:t xml:space="preserve"> aircraft consumes more energy than Jet-A aircraft due to its poor volumetric energy density performance compared to Jet-A and higher OEW due to cryogenic systems requirements, thereby resulting in longer and heavier fuselage (negative impact on </w:t>
      </w:r>
      <w:r w:rsidR="00927E16" w:rsidRPr="00DB2332">
        <w:rPr>
          <w:rFonts w:ascii="Times New Roman" w:hAnsi="Times New Roman" w:cs="Times New Roman"/>
          <w:i/>
          <w:iCs/>
          <w:sz w:val="24"/>
          <w:szCs w:val="24"/>
        </w:rPr>
        <w:t>L/D</w:t>
      </w:r>
      <w:r w:rsidR="00927E16" w:rsidRPr="00DB2332">
        <w:rPr>
          <w:rFonts w:ascii="Times New Roman" w:hAnsi="Times New Roman" w:cs="Times New Roman"/>
          <w:sz w:val="24"/>
          <w:szCs w:val="24"/>
        </w:rPr>
        <w:t>). The LH</w:t>
      </w:r>
      <w:r w:rsidR="00927E16" w:rsidRPr="00DB2332">
        <w:rPr>
          <w:rFonts w:ascii="Times New Roman" w:hAnsi="Times New Roman" w:cs="Times New Roman"/>
          <w:sz w:val="24"/>
          <w:szCs w:val="24"/>
          <w:vertAlign w:val="subscript"/>
        </w:rPr>
        <w:t>2</w:t>
      </w:r>
      <w:r w:rsidR="00927E16" w:rsidRPr="00DB2332">
        <w:rPr>
          <w:rFonts w:ascii="Times New Roman" w:hAnsi="Times New Roman" w:cs="Times New Roman"/>
          <w:sz w:val="24"/>
          <w:szCs w:val="24"/>
        </w:rPr>
        <w:t xml:space="preserve"> aircraft </w:t>
      </w:r>
      <w:r w:rsidR="00136B75" w:rsidRPr="00DB2332">
        <w:rPr>
          <w:rFonts w:ascii="Times New Roman" w:hAnsi="Times New Roman" w:cs="Times New Roman"/>
          <w:sz w:val="24"/>
          <w:szCs w:val="24"/>
        </w:rPr>
        <w:t>fuselage length</w:t>
      </w:r>
      <w:r w:rsidR="00927E16" w:rsidRPr="00DB2332">
        <w:rPr>
          <w:rFonts w:ascii="Times New Roman" w:hAnsi="Times New Roman" w:cs="Times New Roman"/>
          <w:sz w:val="24"/>
          <w:szCs w:val="24"/>
        </w:rPr>
        <w:t xml:space="preserve"> increases</w:t>
      </w:r>
      <w:r w:rsidR="00136B75" w:rsidRPr="00DB2332">
        <w:rPr>
          <w:rFonts w:ascii="Times New Roman" w:hAnsi="Times New Roman" w:cs="Times New Roman"/>
          <w:sz w:val="24"/>
          <w:szCs w:val="24"/>
        </w:rPr>
        <w:t xml:space="preserve"> by 26.87 m (or by 37.2%) compared to Jet-A case. This finding is similar to the observation made in the stud</w:t>
      </w:r>
      <w:r w:rsidR="004E26D5" w:rsidRPr="00DB2332">
        <w:rPr>
          <w:rFonts w:ascii="Times New Roman" w:hAnsi="Times New Roman" w:cs="Times New Roman"/>
          <w:sz w:val="24"/>
          <w:szCs w:val="24"/>
        </w:rPr>
        <w:t>ies</w:t>
      </w:r>
      <w:r w:rsidR="00136B75" w:rsidRPr="00DB2332">
        <w:rPr>
          <w:rFonts w:ascii="Times New Roman" w:hAnsi="Times New Roman" w:cs="Times New Roman"/>
          <w:sz w:val="24"/>
          <w:szCs w:val="24"/>
        </w:rPr>
        <w:t xml:space="preserve"> by</w:t>
      </w:r>
      <w:r w:rsidR="004E26D5" w:rsidRPr="00DB2332">
        <w:rPr>
          <w:rFonts w:ascii="Times New Roman" w:hAnsi="Times New Roman" w:cs="Times New Roman"/>
          <w:sz w:val="24"/>
          <w:szCs w:val="24"/>
        </w:rPr>
        <w:t>:</w:t>
      </w:r>
      <w:r w:rsidR="00136B75" w:rsidRPr="00DB2332">
        <w:rPr>
          <w:rFonts w:ascii="Times New Roman" w:hAnsi="Times New Roman" w:cs="Times New Roman"/>
          <w:sz w:val="24"/>
          <w:szCs w:val="24"/>
        </w:rPr>
        <w:t xml:space="preserve"> </w:t>
      </w:r>
      <w:r w:rsidR="00AF6ECA" w:rsidRPr="00DB2332">
        <w:rPr>
          <w:rFonts w:ascii="Times New Roman" w:hAnsi="Times New Roman" w:cs="Times New Roman"/>
          <w:sz w:val="24"/>
          <w:szCs w:val="24"/>
        </w:rPr>
        <w:t>(</w:t>
      </w:r>
      <w:proofErr w:type="spellStart"/>
      <w:r w:rsidR="00AF6ECA" w:rsidRPr="00DB2332">
        <w:rPr>
          <w:rFonts w:ascii="Times New Roman" w:hAnsi="Times New Roman" w:cs="Times New Roman"/>
          <w:sz w:val="24"/>
          <w:szCs w:val="24"/>
        </w:rPr>
        <w:t>i</w:t>
      </w:r>
      <w:proofErr w:type="spellEnd"/>
      <w:r w:rsidR="00AF6ECA" w:rsidRPr="00DB2332">
        <w:rPr>
          <w:rFonts w:ascii="Times New Roman" w:hAnsi="Times New Roman" w:cs="Times New Roman"/>
          <w:sz w:val="24"/>
          <w:szCs w:val="24"/>
        </w:rPr>
        <w:t xml:space="preserve">) </w:t>
      </w:r>
      <w:proofErr w:type="spellStart"/>
      <w:r w:rsidR="00136B75" w:rsidRPr="00DB2332">
        <w:rPr>
          <w:rFonts w:ascii="Times New Roman" w:hAnsi="Times New Roman" w:cs="Times New Roman"/>
          <w:sz w:val="24"/>
          <w:szCs w:val="24"/>
        </w:rPr>
        <w:t>Verstraete</w:t>
      </w:r>
      <w:proofErr w:type="spellEnd"/>
      <w:r w:rsidR="00136B75" w:rsidRPr="00DB2332">
        <w:rPr>
          <w:rFonts w:ascii="Times New Roman" w:hAnsi="Times New Roman" w:cs="Times New Roman"/>
          <w:sz w:val="24"/>
          <w:szCs w:val="24"/>
        </w:rPr>
        <w:t xml:space="preserve"> </w:t>
      </w:r>
      <w:r w:rsidR="00136B75" w:rsidRPr="00DB2332">
        <w:rPr>
          <w:rFonts w:ascii="Times New Roman" w:hAnsi="Times New Roman" w:cs="Times New Roman"/>
          <w:sz w:val="24"/>
          <w:szCs w:val="24"/>
        </w:rPr>
        <w:fldChar w:fldCharType="begin" w:fldLock="1"/>
      </w:r>
      <w:r w:rsidR="00CF53DC" w:rsidRPr="00DB2332">
        <w:rPr>
          <w:rFonts w:ascii="Times New Roman" w:hAnsi="Times New Roman" w:cs="Times New Roman"/>
          <w:sz w:val="24"/>
          <w:szCs w:val="24"/>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aircraft","type":"article-journal","volume":"40"},"uris":["http://www.mendeley.com/documents/?uuid=2925cc4c-1b67-3876-8842-b7c825d091c4"]}],"mendeley":{"formattedCitation":"(Verstraete, 2015)","plainTextFormattedCitation":"(Verstraete, 2015)","previouslyFormattedCitation":"(Verstraete, 2015)"},"properties":{"noteIndex":0},"schema":"https://github.com/citation-style-language/schema/raw/master/csl-citation.json"}</w:instrText>
      </w:r>
      <w:r w:rsidR="00136B75" w:rsidRPr="00DB2332">
        <w:rPr>
          <w:rFonts w:ascii="Times New Roman" w:hAnsi="Times New Roman" w:cs="Times New Roman"/>
          <w:sz w:val="24"/>
          <w:szCs w:val="24"/>
        </w:rPr>
        <w:fldChar w:fldCharType="separate"/>
      </w:r>
      <w:r w:rsidR="00E07378" w:rsidRPr="00DB2332">
        <w:rPr>
          <w:rFonts w:ascii="Times New Roman" w:hAnsi="Times New Roman" w:cs="Times New Roman"/>
          <w:noProof/>
          <w:sz w:val="24"/>
          <w:szCs w:val="24"/>
        </w:rPr>
        <w:t>(Verstraete, 2015)</w:t>
      </w:r>
      <w:r w:rsidR="00136B75" w:rsidRPr="00DB2332">
        <w:rPr>
          <w:rFonts w:ascii="Times New Roman" w:hAnsi="Times New Roman" w:cs="Times New Roman"/>
          <w:sz w:val="24"/>
          <w:szCs w:val="24"/>
        </w:rPr>
        <w:fldChar w:fldCharType="end"/>
      </w:r>
      <w:r w:rsidR="00835B00" w:rsidRPr="00FA6B79">
        <w:rPr>
          <w:rFonts w:ascii="Times New Roman" w:hAnsi="Times New Roman" w:cs="Times New Roman"/>
          <w:sz w:val="24"/>
          <w:szCs w:val="24"/>
        </w:rPr>
        <w:t>,</w:t>
      </w:r>
      <w:r w:rsidR="00136B75" w:rsidRPr="00DB2332">
        <w:rPr>
          <w:rFonts w:ascii="Times New Roman" w:hAnsi="Times New Roman" w:cs="Times New Roman"/>
          <w:sz w:val="24"/>
          <w:szCs w:val="24"/>
        </w:rPr>
        <w:t xml:space="preserve"> where there is 38.2% increase in fuselage length for a single-decker 300 passenger LH</w:t>
      </w:r>
      <w:r w:rsidR="00136B75" w:rsidRPr="00DB2332">
        <w:rPr>
          <w:rFonts w:ascii="Times New Roman" w:hAnsi="Times New Roman" w:cs="Times New Roman"/>
          <w:sz w:val="24"/>
          <w:szCs w:val="24"/>
          <w:vertAlign w:val="subscript"/>
        </w:rPr>
        <w:t xml:space="preserve">2 </w:t>
      </w:r>
      <w:r w:rsidR="00136B75" w:rsidRPr="00DB2332">
        <w:rPr>
          <w:rFonts w:ascii="Times New Roman" w:hAnsi="Times New Roman" w:cs="Times New Roman"/>
          <w:sz w:val="24"/>
          <w:szCs w:val="24"/>
        </w:rPr>
        <w:t xml:space="preserve">aircraft (using similar cryogenic tank </w:t>
      </w:r>
      <w:r w:rsidR="00136B75" w:rsidRPr="00DB2332">
        <w:rPr>
          <w:rFonts w:ascii="Times New Roman" w:hAnsi="Times New Roman" w:cs="Times New Roman"/>
          <w:i/>
          <w:iCs/>
          <w:sz w:val="24"/>
          <w:szCs w:val="24"/>
        </w:rPr>
        <w:t>η</w:t>
      </w:r>
      <w:r w:rsidR="00136B75" w:rsidRPr="00DB2332">
        <w:rPr>
          <w:rFonts w:ascii="Times New Roman" w:hAnsi="Times New Roman" w:cs="Times New Roman"/>
          <w:sz w:val="24"/>
          <w:szCs w:val="24"/>
        </w:rPr>
        <w:t xml:space="preserve">) but has a </w:t>
      </w:r>
      <w:r w:rsidR="003E1D03" w:rsidRPr="00DB2332">
        <w:rPr>
          <w:rFonts w:ascii="Times New Roman" w:hAnsi="Times New Roman" w:cs="Times New Roman"/>
          <w:sz w:val="24"/>
          <w:szCs w:val="24"/>
        </w:rPr>
        <w:t xml:space="preserve">shorter </w:t>
      </w:r>
      <w:r w:rsidR="00136B75" w:rsidRPr="00DB2332">
        <w:rPr>
          <w:rFonts w:ascii="Times New Roman" w:hAnsi="Times New Roman" w:cs="Times New Roman"/>
          <w:sz w:val="24"/>
          <w:szCs w:val="24"/>
        </w:rPr>
        <w:t>design range of 9,000 km</w:t>
      </w:r>
      <w:r w:rsidR="00AF6ECA" w:rsidRPr="00DB2332">
        <w:rPr>
          <w:rFonts w:ascii="Times New Roman" w:hAnsi="Times New Roman" w:cs="Times New Roman"/>
          <w:sz w:val="24"/>
          <w:szCs w:val="24"/>
        </w:rPr>
        <w:t xml:space="preserve">; and (ii) </w:t>
      </w:r>
      <w:proofErr w:type="spellStart"/>
      <w:r w:rsidR="00130872" w:rsidRPr="00DB2332">
        <w:rPr>
          <w:rFonts w:ascii="Times New Roman" w:hAnsi="Times New Roman" w:cs="Times New Roman"/>
          <w:sz w:val="24"/>
          <w:szCs w:val="24"/>
        </w:rPr>
        <w:t>Proesmans</w:t>
      </w:r>
      <w:proofErr w:type="spellEnd"/>
      <w:r w:rsidR="00130872" w:rsidRPr="00DB2332">
        <w:rPr>
          <w:rFonts w:ascii="Times New Roman" w:hAnsi="Times New Roman" w:cs="Times New Roman"/>
          <w:sz w:val="24"/>
          <w:szCs w:val="24"/>
        </w:rPr>
        <w:t xml:space="preserve"> et al. </w:t>
      </w:r>
      <w:r w:rsidR="00130872" w:rsidRPr="00DB2332">
        <w:rPr>
          <w:rFonts w:ascii="Times New Roman" w:hAnsi="Times New Roman" w:cs="Times New Roman"/>
          <w:sz w:val="24"/>
          <w:szCs w:val="24"/>
        </w:rPr>
        <w:fldChar w:fldCharType="begin" w:fldLock="1"/>
      </w:r>
      <w:r w:rsidR="00CF53DC" w:rsidRPr="00DB2332">
        <w:rPr>
          <w:rFonts w:ascii="Times New Roman" w:hAnsi="Times New Roman" w:cs="Times New Roman"/>
          <w:sz w:val="24"/>
          <w:szCs w:val="24"/>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00130872" w:rsidRPr="00DB2332">
        <w:rPr>
          <w:rFonts w:ascii="Times New Roman" w:hAnsi="Times New Roman" w:cs="Times New Roman"/>
          <w:sz w:val="24"/>
          <w:szCs w:val="24"/>
        </w:rPr>
        <w:fldChar w:fldCharType="separate"/>
      </w:r>
      <w:r w:rsidR="00E07378" w:rsidRPr="00DB2332">
        <w:rPr>
          <w:rFonts w:ascii="Times New Roman" w:hAnsi="Times New Roman" w:cs="Times New Roman"/>
          <w:noProof/>
          <w:sz w:val="24"/>
          <w:szCs w:val="24"/>
        </w:rPr>
        <w:t>(Proesmans and Vos, 2022)</w:t>
      </w:r>
      <w:r w:rsidR="00130872" w:rsidRPr="00DB2332">
        <w:rPr>
          <w:rFonts w:ascii="Times New Roman" w:hAnsi="Times New Roman" w:cs="Times New Roman"/>
          <w:sz w:val="24"/>
          <w:szCs w:val="24"/>
        </w:rPr>
        <w:fldChar w:fldCharType="end"/>
      </w:r>
      <w:r w:rsidR="00835B00" w:rsidRPr="00FA6B79">
        <w:rPr>
          <w:rFonts w:ascii="Times New Roman" w:hAnsi="Times New Roman" w:cs="Times New Roman"/>
          <w:sz w:val="24"/>
          <w:szCs w:val="24"/>
        </w:rPr>
        <w:t xml:space="preserve">, where there is 38.4 – 41.1% increase in fuselage length for a 253 passenger </w:t>
      </w:r>
      <w:r w:rsidR="00467D87" w:rsidRPr="00DB2332">
        <w:rPr>
          <w:rFonts w:ascii="Times New Roman" w:hAnsi="Times New Roman" w:cs="Times New Roman"/>
          <w:sz w:val="24"/>
          <w:szCs w:val="24"/>
        </w:rPr>
        <w:t xml:space="preserve">(long-range LTA) </w:t>
      </w:r>
      <w:r w:rsidR="00835B00" w:rsidRPr="00DB2332">
        <w:rPr>
          <w:rFonts w:ascii="Times New Roman" w:hAnsi="Times New Roman" w:cs="Times New Roman"/>
          <w:sz w:val="24"/>
          <w:szCs w:val="24"/>
        </w:rPr>
        <w:t>aircraft</w:t>
      </w:r>
      <w:r w:rsidR="00750EF1" w:rsidRPr="00DB2332">
        <w:rPr>
          <w:rFonts w:ascii="Times New Roman" w:hAnsi="Times New Roman" w:cs="Times New Roman"/>
          <w:sz w:val="24"/>
          <w:szCs w:val="24"/>
        </w:rPr>
        <w:t xml:space="preserve"> </w:t>
      </w:r>
      <w:r w:rsidR="00835B00" w:rsidRPr="00DB2332">
        <w:rPr>
          <w:rFonts w:ascii="Times New Roman" w:hAnsi="Times New Roman" w:cs="Times New Roman"/>
          <w:sz w:val="24"/>
          <w:szCs w:val="24"/>
        </w:rPr>
        <w:t>with design range of 10,800 km</w:t>
      </w:r>
      <w:r w:rsidR="00136B75" w:rsidRPr="00DB2332">
        <w:rPr>
          <w:rFonts w:ascii="Times New Roman" w:hAnsi="Times New Roman" w:cs="Times New Roman"/>
          <w:sz w:val="24"/>
          <w:szCs w:val="24"/>
        </w:rPr>
        <w:t>.</w:t>
      </w:r>
      <w:r w:rsidR="00BF5BA7" w:rsidRPr="00DB2332">
        <w:rPr>
          <w:rFonts w:ascii="Times New Roman" w:hAnsi="Times New Roman" w:cs="Times New Roman"/>
          <w:sz w:val="24"/>
          <w:szCs w:val="24"/>
        </w:rPr>
        <w:t xml:space="preserve"> In terms of absolute value, for a single decker 400 passenger aircraft with a design range of 14,000 km, the study by </w:t>
      </w:r>
      <w:proofErr w:type="spellStart"/>
      <w:r w:rsidR="00BF5BA7" w:rsidRPr="00DB2332">
        <w:rPr>
          <w:rFonts w:ascii="Times New Roman" w:hAnsi="Times New Roman" w:cs="Times New Roman"/>
          <w:sz w:val="24"/>
          <w:szCs w:val="24"/>
        </w:rPr>
        <w:t>Verstraete</w:t>
      </w:r>
      <w:proofErr w:type="spellEnd"/>
      <w:r w:rsidR="00BF5BA7" w:rsidRPr="00DB2332">
        <w:rPr>
          <w:rFonts w:ascii="Times New Roman" w:hAnsi="Times New Roman" w:cs="Times New Roman"/>
          <w:sz w:val="24"/>
          <w:szCs w:val="24"/>
        </w:rPr>
        <w:t xml:space="preserve"> </w:t>
      </w:r>
      <w:r w:rsidR="00BF5BA7" w:rsidRPr="00DB2332">
        <w:rPr>
          <w:rFonts w:ascii="Times New Roman" w:hAnsi="Times New Roman" w:cs="Times New Roman"/>
          <w:sz w:val="24"/>
          <w:szCs w:val="24"/>
        </w:rPr>
        <w:fldChar w:fldCharType="begin" w:fldLock="1"/>
      </w:r>
      <w:r w:rsidR="00CF53DC" w:rsidRPr="00DB2332">
        <w:rPr>
          <w:rFonts w:ascii="Times New Roman" w:hAnsi="Times New Roman" w:cs="Times New Roman"/>
          <w:sz w:val="24"/>
          <w:szCs w:val="24"/>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aircraft","type":"article-journal","volume":"40"},"uris":["http://www.mendeley.com/documents/?uuid=2925cc4c-1b67-3876-8842-b7c825d091c4"]}],"mendeley":{"formattedCitation":"(Verstraete, 2015)","plainTextFormattedCitation":"(Verstraete, 2015)","previouslyFormattedCitation":"(Verstraete, 2015)"},"properties":{"noteIndex":0},"schema":"https://github.com/citation-style-language/schema/raw/master/csl-citation.json"}</w:instrText>
      </w:r>
      <w:r w:rsidR="00BF5BA7" w:rsidRPr="00DB2332">
        <w:rPr>
          <w:rFonts w:ascii="Times New Roman" w:hAnsi="Times New Roman" w:cs="Times New Roman"/>
          <w:sz w:val="24"/>
          <w:szCs w:val="24"/>
        </w:rPr>
        <w:fldChar w:fldCharType="separate"/>
      </w:r>
      <w:r w:rsidR="00E07378" w:rsidRPr="00DB2332">
        <w:rPr>
          <w:rFonts w:ascii="Times New Roman" w:hAnsi="Times New Roman" w:cs="Times New Roman"/>
          <w:noProof/>
          <w:sz w:val="24"/>
          <w:szCs w:val="24"/>
        </w:rPr>
        <w:t>(Verstraete, 2015)</w:t>
      </w:r>
      <w:r w:rsidR="00BF5BA7" w:rsidRPr="00DB2332">
        <w:rPr>
          <w:rFonts w:ascii="Times New Roman" w:hAnsi="Times New Roman" w:cs="Times New Roman"/>
          <w:sz w:val="24"/>
          <w:szCs w:val="24"/>
        </w:rPr>
        <w:fldChar w:fldCharType="end"/>
      </w:r>
      <w:r w:rsidR="00BF5BA7" w:rsidRPr="00FA6B79">
        <w:rPr>
          <w:rFonts w:ascii="Times New Roman" w:hAnsi="Times New Roman" w:cs="Times New Roman"/>
          <w:sz w:val="24"/>
          <w:szCs w:val="24"/>
        </w:rPr>
        <w:t xml:space="preserve"> finds that the LH</w:t>
      </w:r>
      <w:r w:rsidR="00BF5BA7" w:rsidRPr="00DB2332">
        <w:rPr>
          <w:rFonts w:ascii="Times New Roman" w:hAnsi="Times New Roman" w:cs="Times New Roman"/>
          <w:sz w:val="24"/>
          <w:szCs w:val="24"/>
          <w:vertAlign w:val="subscript"/>
        </w:rPr>
        <w:t>2</w:t>
      </w:r>
      <w:r w:rsidR="00BF5BA7" w:rsidRPr="00DB2332">
        <w:rPr>
          <w:rFonts w:ascii="Times New Roman" w:hAnsi="Times New Roman" w:cs="Times New Roman"/>
          <w:sz w:val="24"/>
          <w:szCs w:val="24"/>
        </w:rPr>
        <w:t xml:space="preserve"> aircraft (similar cryogenic tank </w:t>
      </w:r>
      <w:r w:rsidR="00BF5BA7" w:rsidRPr="00DB2332">
        <w:rPr>
          <w:rFonts w:ascii="Times New Roman" w:hAnsi="Times New Roman" w:cs="Times New Roman"/>
          <w:i/>
          <w:iCs/>
          <w:sz w:val="24"/>
          <w:szCs w:val="24"/>
        </w:rPr>
        <w:t>η</w:t>
      </w:r>
      <w:r w:rsidR="00BF5BA7" w:rsidRPr="00DB2332">
        <w:rPr>
          <w:rFonts w:ascii="Times New Roman" w:hAnsi="Times New Roman" w:cs="Times New Roman"/>
          <w:sz w:val="24"/>
          <w:szCs w:val="24"/>
        </w:rPr>
        <w:t xml:space="preserve">) fuselage length is greater than 95 m which is </w:t>
      </w:r>
      <w:r w:rsidR="003E5EA2" w:rsidRPr="00DB2332">
        <w:rPr>
          <w:rFonts w:ascii="Times New Roman" w:hAnsi="Times New Roman" w:cs="Times New Roman"/>
          <w:sz w:val="24"/>
          <w:szCs w:val="24"/>
        </w:rPr>
        <w:t xml:space="preserve">of </w:t>
      </w:r>
      <w:r w:rsidR="004D5F93" w:rsidRPr="00DB2332">
        <w:rPr>
          <w:rFonts w:ascii="Times New Roman" w:hAnsi="Times New Roman" w:cs="Times New Roman"/>
          <w:sz w:val="24"/>
          <w:szCs w:val="24"/>
        </w:rPr>
        <w:t xml:space="preserve">the </w:t>
      </w:r>
      <w:r w:rsidR="00BF5BA7" w:rsidRPr="00DB2332">
        <w:rPr>
          <w:rFonts w:ascii="Times New Roman" w:hAnsi="Times New Roman" w:cs="Times New Roman"/>
          <w:sz w:val="24"/>
          <w:szCs w:val="24"/>
        </w:rPr>
        <w:t xml:space="preserve">similar </w:t>
      </w:r>
      <w:r w:rsidR="003E5EA2" w:rsidRPr="00DB2332">
        <w:rPr>
          <w:rFonts w:ascii="Times New Roman" w:hAnsi="Times New Roman" w:cs="Times New Roman"/>
          <w:sz w:val="24"/>
          <w:szCs w:val="24"/>
        </w:rPr>
        <w:t>order</w:t>
      </w:r>
      <w:r w:rsidR="00BF5BA7" w:rsidRPr="00DB2332">
        <w:rPr>
          <w:rFonts w:ascii="Times New Roman" w:hAnsi="Times New Roman" w:cs="Times New Roman"/>
          <w:sz w:val="24"/>
          <w:szCs w:val="24"/>
        </w:rPr>
        <w:t xml:space="preserve"> </w:t>
      </w:r>
      <w:r w:rsidR="008D721F" w:rsidRPr="00DB2332">
        <w:rPr>
          <w:rFonts w:ascii="Times New Roman" w:hAnsi="Times New Roman" w:cs="Times New Roman"/>
          <w:sz w:val="24"/>
          <w:szCs w:val="24"/>
        </w:rPr>
        <w:t>as that of t</w:t>
      </w:r>
      <w:r w:rsidR="00BF5BA7" w:rsidRPr="00DB2332">
        <w:rPr>
          <w:rFonts w:ascii="Times New Roman" w:hAnsi="Times New Roman" w:cs="Times New Roman"/>
          <w:sz w:val="24"/>
          <w:szCs w:val="24"/>
        </w:rPr>
        <w:t>he finding of this work (of approximately 99 m). More design details of this single</w:t>
      </w:r>
      <w:r w:rsidR="00A6041E" w:rsidRPr="00DB2332">
        <w:rPr>
          <w:rFonts w:ascii="Times New Roman" w:hAnsi="Times New Roman" w:cs="Times New Roman"/>
          <w:sz w:val="24"/>
          <w:szCs w:val="24"/>
        </w:rPr>
        <w:t>-</w:t>
      </w:r>
      <w:r w:rsidR="00BF5BA7" w:rsidRPr="00DB2332">
        <w:rPr>
          <w:rFonts w:ascii="Times New Roman" w:hAnsi="Times New Roman" w:cs="Times New Roman"/>
          <w:sz w:val="24"/>
          <w:szCs w:val="24"/>
        </w:rPr>
        <w:t xml:space="preserve">decker 400 passenger aircraft by </w:t>
      </w:r>
      <w:proofErr w:type="spellStart"/>
      <w:r w:rsidR="00BF5BA7" w:rsidRPr="00DB2332">
        <w:rPr>
          <w:rFonts w:ascii="Times New Roman" w:hAnsi="Times New Roman" w:cs="Times New Roman"/>
          <w:sz w:val="24"/>
          <w:szCs w:val="24"/>
        </w:rPr>
        <w:t>Verstraete</w:t>
      </w:r>
      <w:proofErr w:type="spellEnd"/>
      <w:r w:rsidR="00BF5BA7" w:rsidRPr="00DB2332">
        <w:rPr>
          <w:rFonts w:ascii="Times New Roman" w:hAnsi="Times New Roman" w:cs="Times New Roman"/>
          <w:sz w:val="24"/>
          <w:szCs w:val="24"/>
        </w:rPr>
        <w:t xml:space="preserve"> </w:t>
      </w:r>
      <w:r w:rsidR="00BF5BA7" w:rsidRPr="00DB2332">
        <w:rPr>
          <w:rFonts w:ascii="Times New Roman" w:hAnsi="Times New Roman" w:cs="Times New Roman"/>
          <w:sz w:val="24"/>
          <w:szCs w:val="24"/>
        </w:rPr>
        <w:fldChar w:fldCharType="begin" w:fldLock="1"/>
      </w:r>
      <w:r w:rsidR="00CF53DC" w:rsidRPr="00DB2332">
        <w:rPr>
          <w:rFonts w:ascii="Times New Roman" w:hAnsi="Times New Roman" w:cs="Times New Roman"/>
          <w:sz w:val="24"/>
          <w:szCs w:val="24"/>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aircraft","type":"article-journal","volume":"40"},"uris":["http://www.mendeley.com/documents/?uuid=2925cc4c-1b67-3876-8842-b7c825d091c4"]}],"mendeley":{"formattedCitation":"(Verstraete, 2015)","plainTextFormattedCitation":"(Verstraete, 2015)","previouslyFormattedCitation":"(Verstraete, 2015)"},"properties":{"noteIndex":0},"schema":"https://github.com/citation-style-language/schema/raw/master/csl-citation.json"}</w:instrText>
      </w:r>
      <w:r w:rsidR="00BF5BA7" w:rsidRPr="00DB2332">
        <w:rPr>
          <w:rFonts w:ascii="Times New Roman" w:hAnsi="Times New Roman" w:cs="Times New Roman"/>
          <w:sz w:val="24"/>
          <w:szCs w:val="24"/>
        </w:rPr>
        <w:fldChar w:fldCharType="separate"/>
      </w:r>
      <w:r w:rsidR="00E07378" w:rsidRPr="00DB2332">
        <w:rPr>
          <w:rFonts w:ascii="Times New Roman" w:hAnsi="Times New Roman" w:cs="Times New Roman"/>
          <w:noProof/>
          <w:sz w:val="24"/>
          <w:szCs w:val="24"/>
        </w:rPr>
        <w:t>(Verstraete, 2015)</w:t>
      </w:r>
      <w:r w:rsidR="00BF5BA7" w:rsidRPr="00DB2332">
        <w:rPr>
          <w:rFonts w:ascii="Times New Roman" w:hAnsi="Times New Roman" w:cs="Times New Roman"/>
          <w:sz w:val="24"/>
          <w:szCs w:val="24"/>
        </w:rPr>
        <w:fldChar w:fldCharType="end"/>
      </w:r>
      <w:r w:rsidR="00BF5BA7" w:rsidRPr="00FA6B79">
        <w:rPr>
          <w:rFonts w:ascii="Times New Roman" w:hAnsi="Times New Roman" w:cs="Times New Roman"/>
          <w:sz w:val="24"/>
          <w:szCs w:val="24"/>
        </w:rPr>
        <w:t xml:space="preserve"> </w:t>
      </w:r>
      <w:r w:rsidR="00BF5BA7" w:rsidRPr="00DB2332">
        <w:rPr>
          <w:rFonts w:ascii="Times New Roman" w:hAnsi="Times New Roman" w:cs="Times New Roman"/>
          <w:sz w:val="24"/>
          <w:szCs w:val="24"/>
        </w:rPr>
        <w:t>are not known in sufficient detail to enable further comparison.</w:t>
      </w:r>
      <w:r w:rsidR="00330379" w:rsidRPr="00DB2332">
        <w:rPr>
          <w:rFonts w:ascii="Times New Roman" w:hAnsi="Times New Roman" w:cs="Times New Roman"/>
          <w:sz w:val="24"/>
          <w:szCs w:val="24"/>
        </w:rPr>
        <w:t xml:space="preserve"> Moreover, according to a study by </w:t>
      </w:r>
      <w:proofErr w:type="spellStart"/>
      <w:r w:rsidR="00330379" w:rsidRPr="00DB2332">
        <w:rPr>
          <w:rFonts w:ascii="Times New Roman" w:hAnsi="Times New Roman" w:cs="Times New Roman"/>
          <w:sz w:val="24"/>
          <w:szCs w:val="24"/>
        </w:rPr>
        <w:t>Onorato</w:t>
      </w:r>
      <w:proofErr w:type="spellEnd"/>
      <w:r w:rsidR="00330379" w:rsidRPr="00DB2332">
        <w:rPr>
          <w:rFonts w:ascii="Times New Roman" w:hAnsi="Times New Roman" w:cs="Times New Roman"/>
          <w:sz w:val="24"/>
          <w:szCs w:val="24"/>
        </w:rPr>
        <w:t xml:space="preserve"> et al. </w:t>
      </w:r>
      <w:r w:rsidR="00330379" w:rsidRPr="00DB2332">
        <w:rPr>
          <w:rFonts w:ascii="Times New Roman" w:hAnsi="Times New Roman" w:cs="Times New Roman"/>
          <w:sz w:val="24"/>
          <w:szCs w:val="24"/>
        </w:rPr>
        <w:fldChar w:fldCharType="begin" w:fldLock="1"/>
      </w:r>
      <w:r w:rsidR="00330379" w:rsidRPr="00DB2332">
        <w:rPr>
          <w:rFonts w:ascii="Times New Roman" w:hAnsi="Times New Roman" w:cs="Times New Roman"/>
          <w:sz w:val="24"/>
          <w:szCs w:val="24"/>
        </w:rPr>
        <w:instrText>ADDIN CSL_CITATION {"citationItems":[{"id":"ITEM-1","itemData":{"DOI":"10.1007/S13272-022-00601-6/TABLES/11","ISSN":"18695590","abstract":"Zero-carbon-dioxide-emitting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Journal","id":"ITEM-1","issued":{"date-parts":[["2022","9","17"]]},"page":"1-33","publisher":"Springer","title":"Assessment of hydrogen transport aircraft: Effects of fuel tank integration","type":"article-journal","volume":"1"},"uris":["http://www.mendeley.com/documents/?uuid=34cb7987-9f35-35a2-ab6d-541bedeb0e3f"]}],"mendeley":{"formattedCitation":"(Onorato et al., 2022)","plainTextFormattedCitation":"(Onorato et al., 2022)","previouslyFormattedCitation":"(Onorato et al., 2022)"},"properties":{"noteIndex":0},"schema":"https://github.com/citation-style-language/schema/raw/master/csl-citation.json"}</w:instrText>
      </w:r>
      <w:r w:rsidR="00330379" w:rsidRPr="00DB2332">
        <w:rPr>
          <w:rFonts w:ascii="Times New Roman" w:hAnsi="Times New Roman" w:cs="Times New Roman"/>
          <w:sz w:val="24"/>
          <w:szCs w:val="24"/>
        </w:rPr>
        <w:fldChar w:fldCharType="separate"/>
      </w:r>
      <w:r w:rsidR="00330379" w:rsidRPr="00DB2332">
        <w:rPr>
          <w:rFonts w:ascii="Times New Roman" w:hAnsi="Times New Roman" w:cs="Times New Roman"/>
          <w:noProof/>
          <w:sz w:val="24"/>
          <w:szCs w:val="24"/>
        </w:rPr>
        <w:t>(Onorato et al., 2022)</w:t>
      </w:r>
      <w:r w:rsidR="00330379" w:rsidRPr="00DB2332">
        <w:rPr>
          <w:rFonts w:ascii="Times New Roman" w:hAnsi="Times New Roman" w:cs="Times New Roman"/>
          <w:sz w:val="24"/>
          <w:szCs w:val="24"/>
        </w:rPr>
        <w:fldChar w:fldCharType="end"/>
      </w:r>
      <w:r w:rsidR="00330379" w:rsidRPr="00FA6B79">
        <w:rPr>
          <w:rFonts w:ascii="Times New Roman" w:hAnsi="Times New Roman" w:cs="Times New Roman"/>
          <w:sz w:val="24"/>
          <w:szCs w:val="24"/>
        </w:rPr>
        <w:t>, for a large LH</w:t>
      </w:r>
      <w:r w:rsidR="00330379" w:rsidRPr="00DB2332">
        <w:rPr>
          <w:rFonts w:ascii="Times New Roman" w:hAnsi="Times New Roman" w:cs="Times New Roman"/>
          <w:sz w:val="24"/>
          <w:szCs w:val="24"/>
          <w:vertAlign w:val="subscript"/>
        </w:rPr>
        <w:t xml:space="preserve">2 </w:t>
      </w:r>
      <w:r w:rsidR="00330379" w:rsidRPr="00DB2332">
        <w:rPr>
          <w:rFonts w:ascii="Times New Roman" w:hAnsi="Times New Roman" w:cs="Times New Roman"/>
          <w:sz w:val="24"/>
          <w:szCs w:val="24"/>
        </w:rPr>
        <w:t xml:space="preserve">aircraft (295 passengers, 7,674 km), the authors </w:t>
      </w:r>
      <w:r w:rsidR="00816A7E">
        <w:rPr>
          <w:rFonts w:ascii="Times New Roman" w:hAnsi="Times New Roman" w:cs="Times New Roman"/>
          <w:sz w:val="24"/>
          <w:szCs w:val="24"/>
        </w:rPr>
        <w:t>found</w:t>
      </w:r>
      <w:r w:rsidR="00330379" w:rsidRPr="00DB2332">
        <w:rPr>
          <w:rFonts w:ascii="Times New Roman" w:hAnsi="Times New Roman" w:cs="Times New Roman"/>
          <w:sz w:val="24"/>
          <w:szCs w:val="24"/>
        </w:rPr>
        <w:t xml:space="preserve"> that there </w:t>
      </w:r>
      <w:r w:rsidR="00816A7E">
        <w:rPr>
          <w:rFonts w:ascii="Times New Roman" w:hAnsi="Times New Roman" w:cs="Times New Roman"/>
          <w:sz w:val="24"/>
          <w:szCs w:val="24"/>
        </w:rPr>
        <w:t>was</w:t>
      </w:r>
      <w:r w:rsidR="00330379" w:rsidRPr="00DB2332">
        <w:rPr>
          <w:rFonts w:ascii="Times New Roman" w:hAnsi="Times New Roman" w:cs="Times New Roman"/>
          <w:sz w:val="24"/>
          <w:szCs w:val="24"/>
        </w:rPr>
        <w:t xml:space="preserve"> a 37.1% increase in fuselage length (similar to the findings of the present work), compared to a single-deck Jet-A aircraft.</w:t>
      </w:r>
    </w:p>
    <w:p w14:paraId="163A80B8" w14:textId="49836718" w:rsidR="0056477D" w:rsidRPr="00DB2332" w:rsidRDefault="0056477D" w:rsidP="000C5E43">
      <w:pPr>
        <w:shd w:val="clear" w:color="auto" w:fill="FFFFFF"/>
        <w:spacing w:after="0" w:line="480" w:lineRule="auto"/>
        <w:jc w:val="both"/>
        <w:rPr>
          <w:rFonts w:ascii="Times New Roman" w:hAnsi="Times New Roman" w:cs="Times New Roman"/>
          <w:sz w:val="24"/>
          <w:szCs w:val="24"/>
          <w:lang w:eastAsia="en-GB"/>
        </w:rPr>
      </w:pPr>
      <w:r w:rsidRPr="00DB2332">
        <w:rPr>
          <w:rFonts w:ascii="Times New Roman" w:hAnsi="Times New Roman" w:cs="Times New Roman"/>
          <w:bCs/>
          <w:sz w:val="24"/>
          <w:szCs w:val="24"/>
        </w:rPr>
        <w:tab/>
      </w:r>
      <w:r w:rsidR="00916FCC" w:rsidRPr="00DB2332">
        <w:rPr>
          <w:rFonts w:ascii="Times New Roman" w:hAnsi="Times New Roman" w:cs="Times New Roman"/>
          <w:sz w:val="24"/>
          <w:szCs w:val="24"/>
        </w:rPr>
        <w:t>For LH</w:t>
      </w:r>
      <w:r w:rsidR="00916FCC" w:rsidRPr="00DB2332">
        <w:rPr>
          <w:rFonts w:ascii="Times New Roman" w:hAnsi="Times New Roman" w:cs="Times New Roman"/>
          <w:sz w:val="24"/>
          <w:szCs w:val="24"/>
          <w:vertAlign w:val="subscript"/>
        </w:rPr>
        <w:t>2</w:t>
      </w:r>
      <w:r w:rsidR="00916FCC" w:rsidRPr="00DB2332">
        <w:rPr>
          <w:rFonts w:ascii="Times New Roman" w:hAnsi="Times New Roman" w:cs="Times New Roman"/>
          <w:sz w:val="24"/>
          <w:szCs w:val="24"/>
        </w:rPr>
        <w:t xml:space="preserve"> aircraft, </w:t>
      </w:r>
      <w:r w:rsidRPr="00DB2332">
        <w:rPr>
          <w:rFonts w:ascii="Times New Roman" w:hAnsi="Times New Roman" w:cs="Times New Roman"/>
          <w:sz w:val="24"/>
          <w:szCs w:val="24"/>
        </w:rPr>
        <w:t xml:space="preserve">it is observed that </w:t>
      </w:r>
      <w:r w:rsidR="00860D3A" w:rsidRPr="00DB2332">
        <w:rPr>
          <w:rFonts w:ascii="Times New Roman" w:hAnsi="Times New Roman" w:cs="Times New Roman"/>
          <w:sz w:val="24"/>
          <w:szCs w:val="24"/>
        </w:rPr>
        <w:t xml:space="preserve">relative to the </w:t>
      </w:r>
      <w:r w:rsidR="00160CB6" w:rsidRPr="00DB2332">
        <w:rPr>
          <w:rFonts w:ascii="Times New Roman" w:hAnsi="Times New Roman" w:cs="Times New Roman"/>
          <w:sz w:val="24"/>
          <w:szCs w:val="24"/>
        </w:rPr>
        <w:t xml:space="preserve">baseline </w:t>
      </w:r>
      <w:r w:rsidR="00860D3A" w:rsidRPr="00DB2332">
        <w:rPr>
          <w:rFonts w:ascii="Times New Roman" w:hAnsi="Times New Roman" w:cs="Times New Roman"/>
          <w:sz w:val="24"/>
          <w:szCs w:val="24"/>
        </w:rPr>
        <w:t xml:space="preserve">Jet-A aircraft, </w:t>
      </w:r>
      <w:r w:rsidRPr="00DB2332">
        <w:rPr>
          <w:rFonts w:ascii="Times New Roman" w:hAnsi="Times New Roman" w:cs="Times New Roman"/>
          <w:sz w:val="24"/>
          <w:szCs w:val="24"/>
        </w:rPr>
        <w:t>for a high energy dense (by weight)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fuel there is a net reduction in the aircraft GTOW of 15% </w:t>
      </w:r>
      <w:r w:rsidR="00860D3A" w:rsidRPr="00DB2332">
        <w:rPr>
          <w:rFonts w:ascii="Times New Roman" w:hAnsi="Times New Roman" w:cs="Times New Roman"/>
          <w:sz w:val="24"/>
          <w:szCs w:val="24"/>
        </w:rPr>
        <w:t xml:space="preserve">(OEW/GTOW = 0.683) and </w:t>
      </w:r>
      <w:r w:rsidRPr="00DB2332">
        <w:rPr>
          <w:rFonts w:ascii="Times New Roman" w:hAnsi="Times New Roman" w:cs="Times New Roman"/>
          <w:sz w:val="24"/>
          <w:szCs w:val="24"/>
        </w:rPr>
        <w:t xml:space="preserve">10.97% </w:t>
      </w:r>
      <w:r w:rsidR="00860D3A" w:rsidRPr="00DB2332">
        <w:rPr>
          <w:rFonts w:ascii="Times New Roman" w:hAnsi="Times New Roman" w:cs="Times New Roman"/>
          <w:sz w:val="24"/>
          <w:szCs w:val="24"/>
        </w:rPr>
        <w:t>increase in SEC (</w:t>
      </w:r>
      <w:r w:rsidRPr="00DB2332">
        <w:rPr>
          <w:rFonts w:ascii="Times New Roman" w:hAnsi="Times New Roman" w:cs="Times New Roman"/>
          <w:sz w:val="24"/>
          <w:szCs w:val="24"/>
        </w:rPr>
        <w:t xml:space="preserve">for </w:t>
      </w:r>
      <w:r w:rsidRPr="00DB2332">
        <w:rPr>
          <w:rFonts w:ascii="Times New Roman" w:hAnsi="Times New Roman" w:cs="Times New Roman"/>
          <w:i/>
          <w:iCs/>
          <w:sz w:val="24"/>
          <w:szCs w:val="24"/>
        </w:rPr>
        <w:t>η</w:t>
      </w:r>
      <w:r w:rsidRPr="00DB2332">
        <w:rPr>
          <w:rFonts w:ascii="Times New Roman" w:hAnsi="Times New Roman" w:cs="Times New Roman"/>
          <w:sz w:val="24"/>
          <w:szCs w:val="24"/>
        </w:rPr>
        <w:t xml:space="preserve"> of 0.78</w:t>
      </w:r>
      <w:r w:rsidR="00860D3A" w:rsidRPr="00DB2332">
        <w:rPr>
          <w:rFonts w:ascii="Times New Roman" w:hAnsi="Times New Roman" w:cs="Times New Roman"/>
          <w:sz w:val="24"/>
          <w:szCs w:val="24"/>
        </w:rPr>
        <w:t>)</w:t>
      </w:r>
      <w:r w:rsidRPr="00DB2332">
        <w:rPr>
          <w:rFonts w:ascii="Times New Roman" w:hAnsi="Times New Roman" w:cs="Times New Roman"/>
          <w:sz w:val="24"/>
          <w:szCs w:val="24"/>
        </w:rPr>
        <w:t xml:space="preserve">. These findings are similar to the observations made in </w:t>
      </w:r>
      <w:r w:rsidR="00350D53" w:rsidRPr="00DB2332">
        <w:rPr>
          <w:rFonts w:ascii="Times New Roman" w:hAnsi="Times New Roman" w:cs="Times New Roman"/>
          <w:sz w:val="24"/>
          <w:szCs w:val="24"/>
        </w:rPr>
        <w:t>the</w:t>
      </w:r>
      <w:r w:rsidR="001555C7" w:rsidRPr="00DB2332">
        <w:rPr>
          <w:rFonts w:ascii="Times New Roman" w:hAnsi="Times New Roman" w:cs="Times New Roman"/>
          <w:sz w:val="24"/>
          <w:szCs w:val="24"/>
        </w:rPr>
        <w:t xml:space="preserve"> </w:t>
      </w:r>
      <w:proofErr w:type="spellStart"/>
      <w:r w:rsidRPr="00DB2332">
        <w:rPr>
          <w:rFonts w:ascii="Times New Roman" w:hAnsi="Times New Roman" w:cs="Times New Roman"/>
          <w:sz w:val="24"/>
          <w:szCs w:val="24"/>
          <w:lang w:eastAsia="en-GB"/>
        </w:rPr>
        <w:t>Cryoplane</w:t>
      </w:r>
      <w:proofErr w:type="spellEnd"/>
      <w:r w:rsidRPr="00DB2332">
        <w:rPr>
          <w:rFonts w:ascii="Times New Roman" w:hAnsi="Times New Roman" w:cs="Times New Roman"/>
          <w:sz w:val="24"/>
          <w:szCs w:val="24"/>
          <w:lang w:eastAsia="en-GB"/>
        </w:rPr>
        <w:t xml:space="preserve"> study which uses foam based insulation tanks (exact </w:t>
      </w:r>
      <w:r w:rsidRPr="00DB2332">
        <w:rPr>
          <w:rFonts w:ascii="Times New Roman" w:hAnsi="Times New Roman" w:cs="Times New Roman"/>
          <w:sz w:val="24"/>
          <w:szCs w:val="24"/>
        </w:rPr>
        <w:t xml:space="preserve">tank </w:t>
      </w:r>
      <w:r w:rsidRPr="00DB2332">
        <w:rPr>
          <w:rFonts w:ascii="Times New Roman" w:hAnsi="Times New Roman" w:cs="Times New Roman"/>
          <w:i/>
          <w:iCs/>
          <w:sz w:val="24"/>
          <w:szCs w:val="24"/>
        </w:rPr>
        <w:t>η</w:t>
      </w:r>
      <w:r w:rsidRPr="00DB2332">
        <w:rPr>
          <w:rFonts w:ascii="Times New Roman" w:hAnsi="Times New Roman" w:cs="Times New Roman"/>
          <w:sz w:val="24"/>
          <w:szCs w:val="24"/>
          <w:lang w:eastAsia="en-GB"/>
        </w:rPr>
        <w:t xml:space="preserve"> not known but is expected to be of the similar order used in this study), where the </w:t>
      </w:r>
      <w:r w:rsidR="00860D3A" w:rsidRPr="00DB2332">
        <w:rPr>
          <w:rFonts w:ascii="Times New Roman" w:hAnsi="Times New Roman" w:cs="Times New Roman"/>
          <w:sz w:val="24"/>
          <w:szCs w:val="24"/>
          <w:lang w:eastAsia="en-GB"/>
        </w:rPr>
        <w:t>SEC</w:t>
      </w:r>
      <w:r w:rsidRPr="00DB2332">
        <w:rPr>
          <w:rFonts w:ascii="Times New Roman" w:hAnsi="Times New Roman" w:cs="Times New Roman"/>
          <w:sz w:val="24"/>
          <w:szCs w:val="24"/>
          <w:lang w:eastAsia="en-GB"/>
        </w:rPr>
        <w:t xml:space="preserve"> of the long-range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powered aircraft (using conventional tube-wing architecture) increases by 9%</w:t>
      </w:r>
      <w:r w:rsidR="00860D3A" w:rsidRPr="00DB2332">
        <w:rPr>
          <w:rFonts w:ascii="Times New Roman" w:hAnsi="Times New Roman" w:cs="Times New Roman"/>
          <w:sz w:val="24"/>
          <w:szCs w:val="24"/>
          <w:lang w:eastAsia="en-GB"/>
        </w:rPr>
        <w:t xml:space="preserve"> and</w:t>
      </w:r>
      <w:r w:rsidRPr="00DB2332">
        <w:rPr>
          <w:rFonts w:ascii="Times New Roman" w:hAnsi="Times New Roman" w:cs="Times New Roman"/>
          <w:sz w:val="24"/>
          <w:szCs w:val="24"/>
          <w:lang w:eastAsia="en-GB"/>
        </w:rPr>
        <w:t xml:space="preserve"> GTOW reduces by 14.8% </w:t>
      </w:r>
      <w:r w:rsidR="00860D3A" w:rsidRPr="00DB2332">
        <w:rPr>
          <w:rFonts w:ascii="Times New Roman" w:hAnsi="Times New Roman" w:cs="Times New Roman"/>
          <w:sz w:val="24"/>
          <w:szCs w:val="24"/>
          <w:lang w:eastAsia="en-GB"/>
        </w:rPr>
        <w:t>(</w:t>
      </w:r>
      <w:r w:rsidRPr="00DB2332">
        <w:rPr>
          <w:rFonts w:ascii="Times New Roman" w:hAnsi="Times New Roman" w:cs="Times New Roman"/>
          <w:sz w:val="24"/>
          <w:szCs w:val="24"/>
          <w:lang w:eastAsia="en-GB"/>
        </w:rPr>
        <w:t xml:space="preserve">OEW/GTOW </w:t>
      </w:r>
      <w:r w:rsidR="00860D3A" w:rsidRPr="00DB2332">
        <w:rPr>
          <w:rFonts w:ascii="Times New Roman" w:hAnsi="Times New Roman" w:cs="Times New Roman"/>
          <w:sz w:val="24"/>
          <w:szCs w:val="24"/>
          <w:lang w:eastAsia="en-GB"/>
        </w:rPr>
        <w:t xml:space="preserve">= </w:t>
      </w:r>
      <w:r w:rsidRPr="00DB2332">
        <w:rPr>
          <w:rFonts w:ascii="Times New Roman" w:hAnsi="Times New Roman" w:cs="Times New Roman"/>
          <w:sz w:val="24"/>
          <w:szCs w:val="24"/>
          <w:lang w:eastAsia="en-GB"/>
        </w:rPr>
        <w:t>0.68</w:t>
      </w:r>
      <w:r w:rsidR="00860D3A" w:rsidRPr="00DB2332">
        <w:rPr>
          <w:rFonts w:ascii="Times New Roman" w:hAnsi="Times New Roman" w:cs="Times New Roman"/>
          <w:sz w:val="24"/>
          <w:szCs w:val="24"/>
          <w:lang w:eastAsia="en-GB"/>
        </w:rPr>
        <w:t>) relative to the Jet-A aircraft</w:t>
      </w:r>
      <w:r w:rsidRPr="00DB2332">
        <w:rPr>
          <w:rFonts w:ascii="Times New Roman" w:hAnsi="Times New Roman" w:cs="Times New Roman"/>
          <w:sz w:val="24"/>
          <w:szCs w:val="24"/>
          <w:lang w:eastAsia="en-GB"/>
        </w:rPr>
        <w:t xml:space="preserve"> </w:t>
      </w:r>
      <w:r w:rsidRPr="00DB2332">
        <w:rPr>
          <w:rFonts w:ascii="Times New Roman" w:hAnsi="Times New Roman" w:cs="Times New Roman"/>
          <w:sz w:val="24"/>
          <w:szCs w:val="24"/>
          <w:lang w:eastAsia="en-GB"/>
        </w:rPr>
        <w:lastRenderedPageBreak/>
        <w:fldChar w:fldCharType="begin" w:fldLock="1"/>
      </w:r>
      <w:r w:rsidR="0028578B" w:rsidRPr="00DB2332">
        <w:rPr>
          <w:rFonts w:ascii="Times New Roman" w:hAnsi="Times New Roman" w:cs="Times New Roman"/>
          <w:sz w:val="24"/>
          <w:szCs w:val="24"/>
          <w:lang w:eastAsia="en-GB"/>
        </w:rPr>
        <w:instrText>ADDIN CSL_CITATION {"citationItems":[{"id":"ITEM-1","itemData":{"URL":"https://www.fzt.haw-hamburg.de/pers/Scholz/dglr/hh/text_2004_02_26_Cryoplane.pdf","accessed":{"date-parts":[["2019","12","30"]]},"author":[{"dropping-particle":"","family":"Airbus","given":"","non-dropping-particle":"","parse-names":false,"suffix":""}],"id":"ITEM-1","issued":{"date-parts":[["2003"]]},"title":"Liquid Hydrogen Fuelled Aircraft-System Analysis: CRYOPLANE Final Technical report","type":"webpage"},"uris":["http://www.mendeley.com/documents/?uuid=b3eeedcc-8758-37af-a432-98261e54deb6"]}],"mendeley":{"formattedCitation":"(Airbus, 2003)","plainTextFormattedCitation":"(Airbus, 2003)","previouslyFormattedCitation":"(Airbus, 2003)"},"properties":{"noteIndex":0},"schema":"https://github.com/citation-style-language/schema/raw/master/csl-citation.json"}</w:instrText>
      </w:r>
      <w:r w:rsidRPr="00DB2332">
        <w:rPr>
          <w:rFonts w:ascii="Times New Roman" w:hAnsi="Times New Roman" w:cs="Times New Roman"/>
          <w:sz w:val="24"/>
          <w:szCs w:val="24"/>
          <w:lang w:eastAsia="en-GB"/>
        </w:rPr>
        <w:fldChar w:fldCharType="separate"/>
      </w:r>
      <w:r w:rsidR="00E07378" w:rsidRPr="00DB2332">
        <w:rPr>
          <w:rFonts w:ascii="Times New Roman" w:hAnsi="Times New Roman" w:cs="Times New Roman"/>
          <w:noProof/>
          <w:sz w:val="24"/>
          <w:szCs w:val="24"/>
          <w:lang w:eastAsia="en-GB"/>
        </w:rPr>
        <w:t>(Airbus, 2003)</w:t>
      </w:r>
      <w:r w:rsidRPr="00DB2332">
        <w:rPr>
          <w:rFonts w:ascii="Times New Roman" w:hAnsi="Times New Roman" w:cs="Times New Roman"/>
          <w:sz w:val="24"/>
          <w:szCs w:val="24"/>
          <w:lang w:eastAsia="en-GB"/>
        </w:rPr>
        <w:fldChar w:fldCharType="end"/>
      </w:r>
      <w:r w:rsidRPr="00FA6B79">
        <w:rPr>
          <w:rFonts w:ascii="Times New Roman" w:hAnsi="Times New Roman" w:cs="Times New Roman"/>
          <w:sz w:val="24"/>
          <w:szCs w:val="24"/>
          <w:lang w:eastAsia="en-GB"/>
        </w:rPr>
        <w:t>.</w:t>
      </w:r>
      <w:r w:rsidR="002A09DB" w:rsidRPr="00DB2332">
        <w:rPr>
          <w:rFonts w:ascii="Times New Roman" w:hAnsi="Times New Roman" w:cs="Times New Roman"/>
          <w:sz w:val="24"/>
          <w:szCs w:val="24"/>
          <w:lang w:eastAsia="en-GB"/>
        </w:rPr>
        <w:t xml:space="preserve"> </w:t>
      </w:r>
      <w:r w:rsidR="005A30AF" w:rsidRPr="00DB2332">
        <w:rPr>
          <w:rFonts w:ascii="Times New Roman" w:hAnsi="Times New Roman" w:cs="Times New Roman"/>
          <w:sz w:val="24"/>
          <w:szCs w:val="24"/>
          <w:lang w:eastAsia="en-GB"/>
        </w:rPr>
        <w:t>Additionally</w:t>
      </w:r>
      <w:r w:rsidR="002A09DB" w:rsidRPr="00DB2332">
        <w:rPr>
          <w:rFonts w:ascii="Times New Roman" w:hAnsi="Times New Roman" w:cs="Times New Roman"/>
          <w:sz w:val="24"/>
          <w:szCs w:val="24"/>
          <w:lang w:eastAsia="en-GB"/>
        </w:rPr>
        <w:t>,</w:t>
      </w:r>
      <w:r w:rsidR="005A30AF" w:rsidRPr="00DB2332">
        <w:rPr>
          <w:rFonts w:ascii="Times New Roman" w:hAnsi="Times New Roman" w:cs="Times New Roman"/>
          <w:sz w:val="24"/>
          <w:szCs w:val="24"/>
          <w:lang w:eastAsia="en-GB"/>
        </w:rPr>
        <w:t xml:space="preserve"> this finding is similar to </w:t>
      </w:r>
      <w:r w:rsidR="005E32F5" w:rsidRPr="00DB2332">
        <w:rPr>
          <w:rFonts w:ascii="Times New Roman" w:hAnsi="Times New Roman" w:cs="Times New Roman"/>
          <w:sz w:val="24"/>
          <w:szCs w:val="24"/>
          <w:lang w:eastAsia="en-GB"/>
        </w:rPr>
        <w:t>the observations made in</w:t>
      </w:r>
      <w:r w:rsidR="008F425B" w:rsidRPr="00DB2332">
        <w:rPr>
          <w:rFonts w:ascii="Times New Roman" w:hAnsi="Times New Roman" w:cs="Times New Roman"/>
          <w:sz w:val="24"/>
          <w:szCs w:val="24"/>
          <w:lang w:eastAsia="en-GB"/>
        </w:rPr>
        <w:t xml:space="preserve"> a</w:t>
      </w:r>
      <w:r w:rsidR="002A09DB" w:rsidRPr="00DB2332">
        <w:rPr>
          <w:rFonts w:ascii="Times New Roman" w:hAnsi="Times New Roman" w:cs="Times New Roman"/>
          <w:sz w:val="24"/>
          <w:szCs w:val="24"/>
          <w:lang w:eastAsia="en-GB"/>
        </w:rPr>
        <w:t xml:space="preserve"> </w:t>
      </w:r>
      <w:r w:rsidR="008F425B" w:rsidRPr="00DB2332">
        <w:rPr>
          <w:rFonts w:ascii="Times New Roman" w:hAnsi="Times New Roman" w:cs="Times New Roman"/>
          <w:sz w:val="24"/>
          <w:szCs w:val="24"/>
          <w:lang w:eastAsia="en-GB"/>
        </w:rPr>
        <w:t xml:space="preserve">study by </w:t>
      </w:r>
      <w:proofErr w:type="spellStart"/>
      <w:r w:rsidR="008F425B" w:rsidRPr="00DB2332">
        <w:rPr>
          <w:rFonts w:ascii="Times New Roman" w:hAnsi="Times New Roman" w:cs="Times New Roman"/>
          <w:sz w:val="24"/>
          <w:szCs w:val="24"/>
          <w:lang w:eastAsia="en-GB"/>
        </w:rPr>
        <w:t>Troeltsch</w:t>
      </w:r>
      <w:proofErr w:type="spellEnd"/>
      <w:r w:rsidR="008F425B" w:rsidRPr="00DB2332">
        <w:rPr>
          <w:rFonts w:ascii="Times New Roman" w:hAnsi="Times New Roman" w:cs="Times New Roman"/>
          <w:sz w:val="24"/>
          <w:szCs w:val="24"/>
          <w:lang w:eastAsia="en-GB"/>
        </w:rPr>
        <w:t xml:space="preserve"> et al. </w:t>
      </w:r>
      <w:r w:rsidR="008F425B" w:rsidRPr="00DB2332">
        <w:rPr>
          <w:rFonts w:ascii="Times New Roman" w:hAnsi="Times New Roman" w:cs="Times New Roman"/>
          <w:sz w:val="24"/>
          <w:szCs w:val="24"/>
          <w:lang w:eastAsia="en-GB"/>
        </w:rPr>
        <w:fldChar w:fldCharType="begin" w:fldLock="1"/>
      </w:r>
      <w:r w:rsidR="00CF53DC" w:rsidRPr="00DB2332">
        <w:rPr>
          <w:rFonts w:ascii="Times New Roman" w:hAnsi="Times New Roman" w:cs="Times New Roman"/>
          <w:sz w:val="24"/>
          <w:szCs w:val="24"/>
          <w:lang w:eastAsia="en-GB"/>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impact","type":"article-journal"},"uris":["http://www.mendeley.com/documents/?uuid=d90e0e6c-9dda-3352-b961-f4f1159f9774"]}],"mendeley":{"formattedCitation":"(Troeltsch et al., 2020)","plainTextFormattedCitation":"(Troeltsch et al., 2020)","previouslyFormattedCitation":"(Troeltsch et al., 2020)"},"properties":{"noteIndex":0},"schema":"https://github.com/citation-style-language/schema/raw/master/csl-citation.json"}</w:instrText>
      </w:r>
      <w:r w:rsidR="008F425B" w:rsidRPr="00DB2332">
        <w:rPr>
          <w:rFonts w:ascii="Times New Roman" w:hAnsi="Times New Roman" w:cs="Times New Roman"/>
          <w:sz w:val="24"/>
          <w:szCs w:val="24"/>
          <w:lang w:eastAsia="en-GB"/>
        </w:rPr>
        <w:fldChar w:fldCharType="separate"/>
      </w:r>
      <w:r w:rsidR="00E07378" w:rsidRPr="00DB2332">
        <w:rPr>
          <w:rFonts w:ascii="Times New Roman" w:hAnsi="Times New Roman" w:cs="Times New Roman"/>
          <w:noProof/>
          <w:sz w:val="24"/>
          <w:szCs w:val="24"/>
          <w:lang w:eastAsia="en-GB"/>
        </w:rPr>
        <w:t>(Troeltsch et al., 2020)</w:t>
      </w:r>
      <w:r w:rsidR="008F425B" w:rsidRPr="00DB2332">
        <w:rPr>
          <w:rFonts w:ascii="Times New Roman" w:hAnsi="Times New Roman" w:cs="Times New Roman"/>
          <w:sz w:val="24"/>
          <w:szCs w:val="24"/>
          <w:lang w:eastAsia="en-GB"/>
        </w:rPr>
        <w:fldChar w:fldCharType="end"/>
      </w:r>
      <w:r w:rsidR="008F425B" w:rsidRPr="00FA6B79">
        <w:rPr>
          <w:rFonts w:ascii="Times New Roman" w:hAnsi="Times New Roman" w:cs="Times New Roman"/>
          <w:sz w:val="24"/>
          <w:szCs w:val="24"/>
          <w:lang w:eastAsia="en-GB"/>
        </w:rPr>
        <w:t xml:space="preserve"> </w:t>
      </w:r>
      <w:r w:rsidR="005E32F5" w:rsidRPr="00DB2332">
        <w:rPr>
          <w:rFonts w:ascii="Times New Roman" w:hAnsi="Times New Roman" w:cs="Times New Roman"/>
          <w:sz w:val="24"/>
          <w:szCs w:val="24"/>
          <w:lang w:eastAsia="en-GB"/>
        </w:rPr>
        <w:t xml:space="preserve">where the authors </w:t>
      </w:r>
      <w:r w:rsidR="008F425B" w:rsidRPr="00DB2332">
        <w:rPr>
          <w:rFonts w:ascii="Times New Roman" w:hAnsi="Times New Roman" w:cs="Times New Roman"/>
          <w:sz w:val="24"/>
          <w:szCs w:val="24"/>
          <w:lang w:eastAsia="en-GB"/>
        </w:rPr>
        <w:t>design an LH</w:t>
      </w:r>
      <w:r w:rsidR="008F425B" w:rsidRPr="00DB2332">
        <w:rPr>
          <w:rFonts w:ascii="Times New Roman" w:hAnsi="Times New Roman" w:cs="Times New Roman"/>
          <w:sz w:val="24"/>
          <w:szCs w:val="24"/>
          <w:vertAlign w:val="subscript"/>
          <w:lang w:eastAsia="en-GB"/>
        </w:rPr>
        <w:t>2</w:t>
      </w:r>
      <w:r w:rsidR="008F425B" w:rsidRPr="00DB2332">
        <w:rPr>
          <w:rFonts w:ascii="Times New Roman" w:hAnsi="Times New Roman" w:cs="Times New Roman"/>
          <w:sz w:val="24"/>
          <w:szCs w:val="24"/>
          <w:lang w:eastAsia="en-GB"/>
        </w:rPr>
        <w:t xml:space="preserve"> aircraft (range 11,853 km with 400 </w:t>
      </w:r>
      <w:r w:rsidR="00D343FF" w:rsidRPr="00DB2332">
        <w:rPr>
          <w:rFonts w:ascii="Times New Roman" w:hAnsi="Times New Roman" w:cs="Times New Roman"/>
          <w:sz w:val="24"/>
          <w:szCs w:val="24"/>
          <w:lang w:eastAsia="en-GB"/>
        </w:rPr>
        <w:t>PAX</w:t>
      </w:r>
      <w:r w:rsidR="008F425B" w:rsidRPr="00DB2332">
        <w:rPr>
          <w:rFonts w:ascii="Times New Roman" w:hAnsi="Times New Roman" w:cs="Times New Roman"/>
          <w:sz w:val="24"/>
          <w:szCs w:val="24"/>
          <w:lang w:eastAsia="en-GB"/>
        </w:rPr>
        <w:t>) with foam-based LH</w:t>
      </w:r>
      <w:r w:rsidR="008F425B" w:rsidRPr="00DB2332">
        <w:rPr>
          <w:rFonts w:ascii="Times New Roman" w:hAnsi="Times New Roman" w:cs="Times New Roman"/>
          <w:sz w:val="24"/>
          <w:szCs w:val="24"/>
          <w:vertAlign w:val="subscript"/>
          <w:lang w:eastAsia="en-GB"/>
        </w:rPr>
        <w:t>2</w:t>
      </w:r>
      <w:r w:rsidR="008F425B" w:rsidRPr="00DB2332">
        <w:rPr>
          <w:rFonts w:ascii="Times New Roman" w:hAnsi="Times New Roman" w:cs="Times New Roman"/>
          <w:sz w:val="24"/>
          <w:szCs w:val="24"/>
          <w:lang w:eastAsia="en-GB"/>
        </w:rPr>
        <w:t xml:space="preserve"> tanks (front and aft)</w:t>
      </w:r>
      <w:r w:rsidR="005A30AF" w:rsidRPr="00DB2332">
        <w:rPr>
          <w:rFonts w:ascii="Times New Roman" w:hAnsi="Times New Roman" w:cs="Times New Roman"/>
          <w:sz w:val="24"/>
          <w:szCs w:val="24"/>
          <w:lang w:eastAsia="en-GB"/>
        </w:rPr>
        <w:t>,</w:t>
      </w:r>
      <w:r w:rsidR="0012325D" w:rsidRPr="00DB2332">
        <w:rPr>
          <w:rFonts w:ascii="Times New Roman" w:hAnsi="Times New Roman" w:cs="Times New Roman"/>
          <w:sz w:val="24"/>
          <w:szCs w:val="24"/>
          <w:lang w:eastAsia="en-GB"/>
        </w:rPr>
        <w:t xml:space="preserve"> and this aircraft shows a 9% increase in energy consumption compared to the reference aircraft.</w:t>
      </w:r>
      <w:r w:rsidR="008F425B" w:rsidRPr="00DB2332">
        <w:rPr>
          <w:rFonts w:ascii="Times New Roman" w:hAnsi="Times New Roman" w:cs="Times New Roman"/>
          <w:sz w:val="24"/>
          <w:szCs w:val="24"/>
          <w:lang w:eastAsia="en-GB"/>
        </w:rPr>
        <w:t>.</w:t>
      </w:r>
    </w:p>
    <w:p w14:paraId="330F04E1" w14:textId="6D8DA921" w:rsidR="00652AA0" w:rsidRPr="00DB2332" w:rsidRDefault="0056477D" w:rsidP="003840BE">
      <w:pPr>
        <w:shd w:val="clear" w:color="auto" w:fill="FFFFFF"/>
        <w:spacing w:line="480" w:lineRule="auto"/>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t>The significant reduction in the GTOW of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aircraft is of importance during emergency landing situations as a lighter aircraft will not necessitate jettison of a highly flammable LH</w:t>
      </w:r>
      <w:r w:rsidRPr="00DB2332">
        <w:rPr>
          <w:rFonts w:ascii="Times New Roman" w:hAnsi="Times New Roman" w:cs="Times New Roman"/>
          <w:sz w:val="24"/>
          <w:szCs w:val="24"/>
          <w:vertAlign w:val="subscript"/>
          <w:lang w:eastAsia="en-GB"/>
        </w:rPr>
        <w:t xml:space="preserve">2 </w:t>
      </w:r>
      <w:r w:rsidRPr="00DB2332">
        <w:rPr>
          <w:rFonts w:ascii="Times New Roman" w:hAnsi="Times New Roman" w:cs="Times New Roman"/>
          <w:sz w:val="24"/>
          <w:szCs w:val="24"/>
          <w:lang w:eastAsia="en-GB"/>
        </w:rPr>
        <w:t>fuel (see SI §</w:t>
      </w:r>
      <w:r w:rsidR="003F5C63" w:rsidRPr="00DB2332">
        <w:rPr>
          <w:rFonts w:ascii="Times New Roman" w:eastAsia="Times New Roman" w:hAnsi="Times New Roman" w:cs="Times New Roman"/>
          <w:sz w:val="24"/>
          <w:szCs w:val="24"/>
          <w:lang w:eastAsia="en-GB"/>
        </w:rPr>
        <w:t>8</w:t>
      </w:r>
      <w:r w:rsidRPr="00DB2332">
        <w:rPr>
          <w:rFonts w:ascii="Times New Roman" w:eastAsia="Times New Roman" w:hAnsi="Times New Roman" w:cs="Times New Roman"/>
          <w:sz w:val="24"/>
          <w:szCs w:val="24"/>
          <w:lang w:eastAsia="en-GB"/>
        </w:rPr>
        <w:t>.2</w:t>
      </w:r>
      <w:r w:rsidRPr="00DB2332">
        <w:rPr>
          <w:rFonts w:ascii="Times New Roman" w:hAnsi="Times New Roman" w:cs="Times New Roman"/>
          <w:sz w:val="24"/>
          <w:szCs w:val="24"/>
          <w:lang w:eastAsia="en-GB"/>
        </w:rPr>
        <w:t xml:space="preserve"> for details). In addition to the several comparisons made in this work with published studies on </w:t>
      </w:r>
      <w:r w:rsidRPr="00DB2332">
        <w:rPr>
          <w:rFonts w:ascii="Times New Roman" w:hAnsi="Times New Roman" w:cs="Times New Roman"/>
          <w:sz w:val="24"/>
          <w:szCs w:val="24"/>
        </w:rPr>
        <w:t>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powered long-range </w:t>
      </w:r>
      <w:r w:rsidR="00065491" w:rsidRPr="00DB2332">
        <w:rPr>
          <w:rFonts w:ascii="Times New Roman" w:hAnsi="Times New Roman" w:cs="Times New Roman"/>
          <w:sz w:val="24"/>
          <w:szCs w:val="24"/>
        </w:rPr>
        <w:t xml:space="preserve">LTA </w:t>
      </w:r>
      <w:r w:rsidRPr="00DB2332">
        <w:rPr>
          <w:rFonts w:ascii="Times New Roman" w:hAnsi="Times New Roman" w:cs="Times New Roman"/>
          <w:sz w:val="24"/>
          <w:szCs w:val="24"/>
        </w:rPr>
        <w:t>aircraft, an attempt is made to validate the long-range LH</w:t>
      </w:r>
      <w:r w:rsidRPr="00DB2332">
        <w:rPr>
          <w:rFonts w:ascii="Times New Roman" w:hAnsi="Times New Roman" w:cs="Times New Roman"/>
          <w:sz w:val="24"/>
          <w:szCs w:val="24"/>
          <w:vertAlign w:val="subscript"/>
        </w:rPr>
        <w:t xml:space="preserve">2 </w:t>
      </w:r>
      <w:r w:rsidRPr="00DB2332">
        <w:rPr>
          <w:rFonts w:ascii="Times New Roman" w:hAnsi="Times New Roman" w:cs="Times New Roman"/>
          <w:sz w:val="24"/>
          <w:szCs w:val="24"/>
        </w:rPr>
        <w:t xml:space="preserve">aircraft design in the Clean Sky 2 - </w:t>
      </w:r>
      <w:r w:rsidR="001455B5" w:rsidRPr="00DB2332">
        <w:rPr>
          <w:rFonts w:ascii="Times New Roman" w:hAnsi="Times New Roman" w:cs="Times New Roman"/>
          <w:sz w:val="24"/>
          <w:szCs w:val="24"/>
        </w:rPr>
        <w:t>FCH</w:t>
      </w:r>
      <w:r w:rsidRPr="00DB2332">
        <w:rPr>
          <w:rFonts w:ascii="Times New Roman" w:hAnsi="Times New Roman" w:cs="Times New Roman"/>
          <w:sz w:val="24"/>
          <w:szCs w:val="24"/>
        </w:rPr>
        <w:t xml:space="preserve"> joint project </w:t>
      </w:r>
      <w:r w:rsidRPr="00DB2332">
        <w:rPr>
          <w:rFonts w:ascii="Times New Roman" w:hAnsi="Times New Roman" w:cs="Times New Roman"/>
          <w:sz w:val="24"/>
          <w:szCs w:val="24"/>
        </w:rPr>
        <w:fldChar w:fldCharType="begin" w:fldLock="1"/>
      </w:r>
      <w:r w:rsidR="00B701A2" w:rsidRPr="00DB2332">
        <w:rPr>
          <w:rFonts w:ascii="Times New Roman" w:hAnsi="Times New Roman" w:cs="Times New Roman"/>
          <w:sz w:val="24"/>
          <w:szCs w:val="24"/>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aviation","type":"webpage"},"uris":["http://www.mendeley.com/documents/?uuid=a6d4f7ac-c449-3ac1-9ba9-624b7be2cd9e"]}],"mendeley":{"formattedCitation":"(CleanSky2-FCH, 2020)","plainTextFormattedCitation":"(CleanSky2-FCH, 2020)","previouslyFormattedCitation":"(CleanSky2-FCH, 2020)"},"properties":{"noteIndex":0},"schema":"https://github.com/citation-style-language/schema/raw/master/csl-citation.json"}</w:instrText>
      </w:r>
      <w:r w:rsidRPr="00DB2332">
        <w:rPr>
          <w:rFonts w:ascii="Times New Roman" w:hAnsi="Times New Roman" w:cs="Times New Roman"/>
          <w:sz w:val="24"/>
          <w:szCs w:val="24"/>
        </w:rPr>
        <w:fldChar w:fldCharType="separate"/>
      </w:r>
      <w:r w:rsidR="00876A28" w:rsidRPr="00DB2332">
        <w:rPr>
          <w:rFonts w:ascii="Times New Roman" w:hAnsi="Times New Roman" w:cs="Times New Roman"/>
          <w:noProof/>
          <w:sz w:val="24"/>
          <w:szCs w:val="24"/>
        </w:rPr>
        <w:t>(CleanSky2-FCH, 2020)</w:t>
      </w:r>
      <w:r w:rsidRPr="00DB2332">
        <w:rPr>
          <w:rFonts w:ascii="Times New Roman" w:hAnsi="Times New Roman" w:cs="Times New Roman"/>
          <w:sz w:val="24"/>
          <w:szCs w:val="24"/>
        </w:rPr>
        <w:fldChar w:fldCharType="end"/>
      </w:r>
      <w:r w:rsidRPr="00FA6B79">
        <w:rPr>
          <w:rFonts w:ascii="Times New Roman" w:hAnsi="Times New Roman" w:cs="Times New Roman"/>
          <w:sz w:val="24"/>
          <w:szCs w:val="24"/>
        </w:rPr>
        <w:t xml:space="preserve">, </w:t>
      </w:r>
      <w:r w:rsidR="00065491" w:rsidRPr="00DB2332">
        <w:rPr>
          <w:rFonts w:ascii="Times New Roman" w:hAnsi="Times New Roman" w:cs="Times New Roman"/>
          <w:sz w:val="24"/>
          <w:szCs w:val="24"/>
        </w:rPr>
        <w:t xml:space="preserve">and this </w:t>
      </w:r>
      <w:r w:rsidRPr="00DB2332">
        <w:rPr>
          <w:rFonts w:ascii="Times New Roman" w:hAnsi="Times New Roman" w:cs="Times New Roman"/>
          <w:sz w:val="24"/>
          <w:szCs w:val="24"/>
        </w:rPr>
        <w:t xml:space="preserve">is included in </w:t>
      </w:r>
      <w:r w:rsidRPr="00DB2332">
        <w:rPr>
          <w:rFonts w:ascii="Times New Roman" w:hAnsi="Times New Roman" w:cs="Times New Roman"/>
          <w:sz w:val="24"/>
          <w:szCs w:val="24"/>
          <w:lang w:eastAsia="en-GB"/>
        </w:rPr>
        <w:t>SI §</w:t>
      </w:r>
      <w:r w:rsidR="00413D32" w:rsidRPr="00DB2332">
        <w:rPr>
          <w:rFonts w:ascii="Times New Roman" w:hAnsi="Times New Roman" w:cs="Times New Roman"/>
          <w:sz w:val="24"/>
          <w:szCs w:val="24"/>
          <w:lang w:eastAsia="en-GB"/>
        </w:rPr>
        <w:t>7</w:t>
      </w:r>
      <w:r w:rsidRPr="00DB2332">
        <w:rPr>
          <w:rFonts w:ascii="Times New Roman" w:hAnsi="Times New Roman" w:cs="Times New Roman"/>
          <w:sz w:val="24"/>
          <w:szCs w:val="24"/>
          <w:lang w:eastAsia="en-GB"/>
        </w:rPr>
        <w:t xml:space="preserve">.4. </w:t>
      </w:r>
    </w:p>
    <w:p w14:paraId="49D053C6" w14:textId="1130AD07" w:rsidR="00F05D39" w:rsidRPr="00DB2332" w:rsidRDefault="00F05D39" w:rsidP="000C5E43">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DB2332">
        <w:rPr>
          <w:rFonts w:ascii="Times New Roman" w:eastAsia="Times New Roman" w:hAnsi="Times New Roman" w:cs="Times New Roman"/>
          <w:color w:val="auto"/>
          <w:sz w:val="24"/>
          <w:szCs w:val="24"/>
          <w:bdr w:val="none" w:sz="0" w:space="0" w:color="auto" w:frame="1"/>
          <w:lang w:eastAsia="en-GB"/>
        </w:rPr>
        <w:t>Off-design performance analysis</w:t>
      </w:r>
    </w:p>
    <w:p w14:paraId="1CEFC2AD" w14:textId="4ABA8D9A" w:rsidR="00147469" w:rsidRPr="00DB2332" w:rsidRDefault="005B462A" w:rsidP="000C5E43">
      <w:pPr>
        <w:spacing w:line="480" w:lineRule="auto"/>
        <w:jc w:val="both"/>
        <w:rPr>
          <w:rFonts w:ascii="Times New Roman" w:hAnsi="Times New Roman" w:cs="Times New Roman"/>
          <w:sz w:val="24"/>
          <w:szCs w:val="24"/>
          <w:lang w:eastAsia="en-GB"/>
        </w:rPr>
      </w:pPr>
      <w:r w:rsidRPr="00DB2332">
        <w:rPr>
          <w:rFonts w:ascii="Times New Roman" w:hAnsi="Times New Roman" w:cs="Times New Roman"/>
          <w:sz w:val="24"/>
          <w:szCs w:val="24"/>
          <w:lang w:eastAsia="en-GB"/>
        </w:rPr>
        <w:tab/>
        <w:t xml:space="preserve">Figure </w:t>
      </w:r>
      <w:r w:rsidR="00ED7A8F" w:rsidRPr="00DB2332">
        <w:rPr>
          <w:rFonts w:ascii="Times New Roman" w:hAnsi="Times New Roman" w:cs="Times New Roman"/>
          <w:sz w:val="24"/>
          <w:szCs w:val="24"/>
          <w:lang w:eastAsia="en-GB"/>
        </w:rPr>
        <w:t>6</w:t>
      </w:r>
      <w:r w:rsidRPr="00DB2332">
        <w:rPr>
          <w:rFonts w:ascii="Times New Roman" w:hAnsi="Times New Roman" w:cs="Times New Roman"/>
          <w:sz w:val="24"/>
          <w:szCs w:val="24"/>
          <w:lang w:eastAsia="en-GB"/>
        </w:rPr>
        <w:t xml:space="preserve"> shows the SEC comparison of different fuel cases at different range and payload</w:t>
      </w:r>
      <w:r w:rsidR="00FA5F46" w:rsidRPr="00DB2332">
        <w:rPr>
          <w:rFonts w:ascii="Times New Roman" w:hAnsi="Times New Roman" w:cs="Times New Roman"/>
          <w:sz w:val="24"/>
          <w:szCs w:val="24"/>
          <w:lang w:eastAsia="en-GB"/>
        </w:rPr>
        <w:t xml:space="preserve"> (load factor)</w:t>
      </w:r>
      <w:r w:rsidRPr="00DB2332">
        <w:rPr>
          <w:rFonts w:ascii="Times New Roman" w:hAnsi="Times New Roman" w:cs="Times New Roman"/>
          <w:sz w:val="24"/>
          <w:szCs w:val="24"/>
          <w:lang w:eastAsia="en-GB"/>
        </w:rPr>
        <w:t xml:space="preserve"> combinations. </w:t>
      </w:r>
      <w:r w:rsidR="00CD5EF3" w:rsidRPr="00DB2332">
        <w:rPr>
          <w:rFonts w:ascii="Times New Roman" w:hAnsi="Times New Roman" w:cs="Times New Roman"/>
          <w:sz w:val="24"/>
          <w:szCs w:val="24"/>
          <w:lang w:eastAsia="en-GB"/>
        </w:rPr>
        <w:t xml:space="preserve">The SEC for 100% SPK is </w:t>
      </w:r>
      <w:proofErr w:type="gramStart"/>
      <w:r w:rsidR="00CD5EF3" w:rsidRPr="00DB2332">
        <w:rPr>
          <w:rFonts w:ascii="Times New Roman" w:hAnsi="Times New Roman" w:cs="Times New Roman"/>
          <w:sz w:val="24"/>
          <w:szCs w:val="24"/>
          <w:lang w:eastAsia="en-GB"/>
        </w:rPr>
        <w:t>similar to</w:t>
      </w:r>
      <w:proofErr w:type="gramEnd"/>
      <w:r w:rsidR="00CD5EF3" w:rsidRPr="00DB2332">
        <w:rPr>
          <w:rFonts w:ascii="Times New Roman" w:hAnsi="Times New Roman" w:cs="Times New Roman"/>
          <w:sz w:val="24"/>
          <w:szCs w:val="24"/>
          <w:lang w:eastAsia="en-GB"/>
        </w:rPr>
        <w:t xml:space="preserve"> Jet-A and thus it is not shown in Figure </w:t>
      </w:r>
      <w:r w:rsidR="00ED7A8F" w:rsidRPr="00DB2332">
        <w:rPr>
          <w:rFonts w:ascii="Times New Roman" w:hAnsi="Times New Roman" w:cs="Times New Roman"/>
          <w:sz w:val="24"/>
          <w:szCs w:val="24"/>
          <w:lang w:eastAsia="en-GB"/>
        </w:rPr>
        <w:t>6</w:t>
      </w:r>
      <w:r w:rsidR="00CD5EF3" w:rsidRPr="00DB2332">
        <w:rPr>
          <w:rFonts w:ascii="Times New Roman" w:hAnsi="Times New Roman" w:cs="Times New Roman"/>
          <w:sz w:val="24"/>
          <w:szCs w:val="24"/>
          <w:lang w:eastAsia="en-GB"/>
        </w:rPr>
        <w:t xml:space="preserve"> due to overlapping points (can be observed from Fig</w:t>
      </w:r>
      <w:r w:rsidR="00F605DC" w:rsidRPr="00DB2332">
        <w:rPr>
          <w:rFonts w:ascii="Times New Roman" w:hAnsi="Times New Roman" w:cs="Times New Roman"/>
          <w:sz w:val="24"/>
          <w:szCs w:val="24"/>
          <w:lang w:eastAsia="en-GB"/>
        </w:rPr>
        <w:t xml:space="preserve">ure SI </w:t>
      </w:r>
      <w:r w:rsidR="004C4943" w:rsidRPr="00DB2332">
        <w:rPr>
          <w:rFonts w:ascii="Times New Roman" w:hAnsi="Times New Roman" w:cs="Times New Roman"/>
          <w:sz w:val="24"/>
          <w:szCs w:val="24"/>
          <w:lang w:eastAsia="en-GB"/>
        </w:rPr>
        <w:t>4</w:t>
      </w:r>
      <w:r w:rsidR="00F605DC" w:rsidRPr="00DB2332">
        <w:rPr>
          <w:rFonts w:ascii="Times New Roman" w:hAnsi="Times New Roman" w:cs="Times New Roman"/>
          <w:sz w:val="24"/>
          <w:szCs w:val="24"/>
          <w:lang w:eastAsia="en-GB"/>
        </w:rPr>
        <w:t xml:space="preserve"> </w:t>
      </w:r>
      <w:r w:rsidR="00CD5EF3" w:rsidRPr="00DB2332">
        <w:rPr>
          <w:rFonts w:ascii="Times New Roman" w:hAnsi="Times New Roman" w:cs="Times New Roman"/>
          <w:sz w:val="24"/>
          <w:szCs w:val="24"/>
          <w:lang w:eastAsia="en-GB"/>
        </w:rPr>
        <w:t xml:space="preserve">included in </w:t>
      </w:r>
      <w:r w:rsidR="00F605DC" w:rsidRPr="00DB2332">
        <w:rPr>
          <w:rFonts w:ascii="Times New Roman" w:hAnsi="Times New Roman" w:cs="Times New Roman"/>
          <w:sz w:val="24"/>
          <w:szCs w:val="24"/>
          <w:lang w:eastAsia="en-GB"/>
        </w:rPr>
        <w:t>SI §</w:t>
      </w:r>
      <w:r w:rsidR="00413D32" w:rsidRPr="00DB2332">
        <w:rPr>
          <w:rFonts w:ascii="Times New Roman" w:hAnsi="Times New Roman" w:cs="Times New Roman"/>
          <w:sz w:val="24"/>
          <w:szCs w:val="24"/>
          <w:lang w:eastAsia="en-GB"/>
        </w:rPr>
        <w:t>8</w:t>
      </w:r>
      <w:r w:rsidR="00F605DC" w:rsidRPr="00DB2332">
        <w:rPr>
          <w:rFonts w:ascii="Times New Roman" w:hAnsi="Times New Roman" w:cs="Times New Roman"/>
          <w:sz w:val="24"/>
          <w:szCs w:val="24"/>
          <w:lang w:eastAsia="en-GB"/>
        </w:rPr>
        <w:t>.3</w:t>
      </w:r>
      <w:r w:rsidR="00CD5EF3" w:rsidRPr="00DB2332">
        <w:rPr>
          <w:rFonts w:ascii="Times New Roman" w:hAnsi="Times New Roman" w:cs="Times New Roman"/>
          <w:sz w:val="24"/>
          <w:szCs w:val="24"/>
          <w:lang w:eastAsia="en-GB"/>
        </w:rPr>
        <w:t>).</w:t>
      </w:r>
      <w:r w:rsidR="007C256B" w:rsidRPr="00DB2332">
        <w:rPr>
          <w:rFonts w:ascii="Times New Roman" w:hAnsi="Times New Roman" w:cs="Times New Roman"/>
          <w:sz w:val="24"/>
          <w:szCs w:val="24"/>
          <w:lang w:eastAsia="en-GB"/>
        </w:rPr>
        <w:t xml:space="preserve"> </w:t>
      </w:r>
      <w:r w:rsidRPr="00DB2332">
        <w:rPr>
          <w:rFonts w:ascii="Times New Roman" w:hAnsi="Times New Roman" w:cs="Times New Roman"/>
          <w:sz w:val="24"/>
          <w:szCs w:val="24"/>
          <w:lang w:eastAsia="en-GB"/>
        </w:rPr>
        <w:t xml:space="preserve">We observe that reducing the </w:t>
      </w:r>
      <w:r w:rsidR="00FA5F46"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lang w:eastAsia="en-GB"/>
        </w:rPr>
        <w:t xml:space="preserve"> increases the maximum aircraft range for all fuel</w:t>
      </w:r>
      <w:r w:rsidR="00CD5EF3" w:rsidRPr="00DB2332">
        <w:rPr>
          <w:rFonts w:ascii="Times New Roman" w:hAnsi="Times New Roman" w:cs="Times New Roman"/>
          <w:sz w:val="24"/>
          <w:szCs w:val="24"/>
          <w:lang w:eastAsia="en-GB"/>
        </w:rPr>
        <w:t>s</w:t>
      </w:r>
      <w:r w:rsidRPr="00DB2332">
        <w:rPr>
          <w:rFonts w:ascii="Times New Roman" w:hAnsi="Times New Roman" w:cs="Times New Roman"/>
          <w:sz w:val="24"/>
          <w:szCs w:val="24"/>
          <w:lang w:eastAsia="en-GB"/>
        </w:rPr>
        <w:t xml:space="preserve"> (points on extreme right). Additionally, for any given </w:t>
      </w:r>
      <w:r w:rsidR="00FA5F46"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lang w:eastAsia="en-GB"/>
        </w:rPr>
        <w:t>, the trend of SEC variation with range and the absolute values of SEC for Jet-A and 100% SPK are similar. For both fuels we observe a minimum point at ~7000 km. On an absolute scale, the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aircraft consumes more energy than Jet-A aircraft at all combinations of range</w:t>
      </w:r>
      <w:r w:rsidR="00FA5F46" w:rsidRPr="00DB2332">
        <w:rPr>
          <w:rFonts w:ascii="Times New Roman" w:hAnsi="Times New Roman" w:cs="Times New Roman"/>
          <w:sz w:val="24"/>
          <w:szCs w:val="24"/>
          <w:lang w:eastAsia="en-GB"/>
        </w:rPr>
        <w:t xml:space="preserve"> and load factor</w:t>
      </w:r>
      <w:r w:rsidRPr="00DB2332">
        <w:rPr>
          <w:rFonts w:ascii="Times New Roman" w:hAnsi="Times New Roman" w:cs="Times New Roman"/>
          <w:sz w:val="24"/>
          <w:szCs w:val="24"/>
          <w:lang w:eastAsia="en-GB"/>
        </w:rPr>
        <w:t>. For the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aircraft, the SEC decreases with increasing range, though the SEC variation with range is less sensitive beyond ~10,000 km. Increasing the </w:t>
      </w:r>
      <w:r w:rsidR="00D43172"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lang w:eastAsia="en-GB"/>
        </w:rPr>
        <w:t xml:space="preserve"> improves the SEC, for all three fuels. The difference in SEC variation with range for Jet-A (and 100% SPK) and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aircraft is due to the high OEW/GTOW ratio for the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aircraft. The high OEW and lighter GTOW of the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aircraft than Jet-A case, makes the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aircraft consume more energy at lower </w:t>
      </w:r>
      <w:r w:rsidRPr="00DB2332">
        <w:rPr>
          <w:rFonts w:ascii="Times New Roman" w:hAnsi="Times New Roman" w:cs="Times New Roman"/>
          <w:sz w:val="24"/>
          <w:szCs w:val="24"/>
          <w:lang w:eastAsia="en-GB"/>
        </w:rPr>
        <w:lastRenderedPageBreak/>
        <w:t xml:space="preserve">range. Further details on the OEW/GTOW and aerodynamic performance variation with range for different </w:t>
      </w:r>
      <w:r w:rsidR="00D43172"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lang w:eastAsia="en-GB"/>
        </w:rPr>
        <w:t xml:space="preserve"> cases is included in SI </w:t>
      </w:r>
      <w:r w:rsidR="00AE39F6" w:rsidRPr="00DB2332">
        <w:rPr>
          <w:rFonts w:ascii="Times New Roman" w:hAnsi="Times New Roman" w:cs="Times New Roman"/>
          <w:sz w:val="24"/>
          <w:szCs w:val="24"/>
          <w:lang w:eastAsia="en-GB"/>
        </w:rPr>
        <w:t>§</w:t>
      </w:r>
      <w:r w:rsidR="009818C8" w:rsidRPr="00DB2332">
        <w:rPr>
          <w:rFonts w:ascii="Times New Roman" w:hAnsi="Times New Roman" w:cs="Times New Roman"/>
          <w:sz w:val="24"/>
          <w:szCs w:val="24"/>
          <w:lang w:eastAsia="en-GB"/>
        </w:rPr>
        <w:t>8</w:t>
      </w:r>
      <w:r w:rsidR="00D16E94" w:rsidRPr="00DB2332">
        <w:rPr>
          <w:rFonts w:ascii="Times New Roman" w:hAnsi="Times New Roman" w:cs="Times New Roman"/>
          <w:sz w:val="24"/>
          <w:szCs w:val="24"/>
          <w:lang w:eastAsia="en-GB"/>
        </w:rPr>
        <w:t>.3</w:t>
      </w:r>
      <w:r w:rsidRPr="00DB2332">
        <w:rPr>
          <w:rFonts w:ascii="Times New Roman" w:hAnsi="Times New Roman" w:cs="Times New Roman"/>
          <w:sz w:val="24"/>
          <w:szCs w:val="24"/>
          <w:lang w:eastAsia="en-GB"/>
        </w:rPr>
        <w:t>.</w:t>
      </w:r>
    </w:p>
    <w:p w14:paraId="253587C3" w14:textId="11DC4DC3" w:rsidR="000E063D" w:rsidRPr="00FA6B79" w:rsidRDefault="000D6127" w:rsidP="000C5E43">
      <w:pPr>
        <w:shd w:val="clear" w:color="auto" w:fill="FFFFFF"/>
        <w:spacing w:after="0" w:line="480" w:lineRule="auto"/>
        <w:jc w:val="center"/>
        <w:rPr>
          <w:rFonts w:ascii="Times New Roman" w:hAnsi="Times New Roman" w:cs="Times New Roman"/>
          <w:sz w:val="24"/>
          <w:szCs w:val="24"/>
          <w:lang w:eastAsia="en-GB"/>
        </w:rPr>
      </w:pPr>
      <w:r w:rsidRPr="00FA6B79">
        <w:rPr>
          <w:rFonts w:ascii="Times New Roman" w:hAnsi="Times New Roman" w:cs="Times New Roman"/>
          <w:noProof/>
          <w:sz w:val="24"/>
          <w:szCs w:val="24"/>
          <w:lang w:eastAsia="en-GB"/>
        </w:rPr>
        <w:drawing>
          <wp:inline distT="0" distB="0" distL="0" distR="0" wp14:anchorId="4B80E7AA" wp14:editId="1DD55554">
            <wp:extent cx="3026673" cy="2310391"/>
            <wp:effectExtent l="0" t="0" r="254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6673" cy="2310391"/>
                    </a:xfrm>
                    <a:prstGeom prst="rect">
                      <a:avLst/>
                    </a:prstGeom>
                  </pic:spPr>
                </pic:pic>
              </a:graphicData>
            </a:graphic>
          </wp:inline>
        </w:drawing>
      </w:r>
    </w:p>
    <w:p w14:paraId="4FF8D249" w14:textId="22A3268F" w:rsidR="00C4211E" w:rsidRPr="00DB2332" w:rsidRDefault="00421827" w:rsidP="000C5E43">
      <w:pPr>
        <w:shd w:val="clear" w:color="auto" w:fill="FFFFFF"/>
        <w:spacing w:line="480" w:lineRule="auto"/>
        <w:jc w:val="center"/>
        <w:rPr>
          <w:rFonts w:ascii="Times New Roman" w:hAnsi="Times New Roman" w:cs="Times New Roman"/>
          <w:b/>
          <w:bCs/>
          <w:sz w:val="24"/>
          <w:szCs w:val="24"/>
        </w:rPr>
      </w:pPr>
      <w:r w:rsidRPr="00DB2332">
        <w:rPr>
          <w:rFonts w:ascii="Times New Roman" w:hAnsi="Times New Roman" w:cs="Times New Roman"/>
          <w:b/>
          <w:bCs/>
          <w:sz w:val="24"/>
          <w:szCs w:val="24"/>
        </w:rPr>
        <w:t xml:space="preserve">Figure </w:t>
      </w:r>
      <w:r w:rsidR="00C5566E" w:rsidRPr="00DB2332">
        <w:rPr>
          <w:rFonts w:ascii="Times New Roman" w:hAnsi="Times New Roman" w:cs="Times New Roman"/>
          <w:b/>
          <w:bCs/>
          <w:sz w:val="24"/>
          <w:szCs w:val="24"/>
        </w:rPr>
        <w:t>6</w:t>
      </w:r>
      <w:r w:rsidRPr="00DB2332">
        <w:rPr>
          <w:rFonts w:ascii="Times New Roman" w:hAnsi="Times New Roman" w:cs="Times New Roman"/>
          <w:b/>
          <w:bCs/>
          <w:sz w:val="24"/>
          <w:szCs w:val="24"/>
        </w:rPr>
        <w:t>. SEC comparison for Jet-A</w:t>
      </w:r>
      <w:r w:rsidR="00E25EF5" w:rsidRPr="00DB2332">
        <w:rPr>
          <w:rFonts w:ascii="Times New Roman" w:hAnsi="Times New Roman" w:cs="Times New Roman"/>
          <w:b/>
          <w:bCs/>
          <w:sz w:val="24"/>
          <w:szCs w:val="24"/>
        </w:rPr>
        <w:t xml:space="preserve"> (and/or </w:t>
      </w:r>
      <w:r w:rsidRPr="00DB2332">
        <w:rPr>
          <w:rFonts w:ascii="Times New Roman" w:hAnsi="Times New Roman" w:cs="Times New Roman"/>
          <w:b/>
          <w:bCs/>
          <w:sz w:val="24"/>
          <w:szCs w:val="24"/>
        </w:rPr>
        <w:t>100% SPK</w:t>
      </w:r>
      <w:r w:rsidR="00E25EF5" w:rsidRPr="00DB2332">
        <w:rPr>
          <w:rFonts w:ascii="Times New Roman" w:hAnsi="Times New Roman" w:cs="Times New Roman"/>
          <w:b/>
          <w:bCs/>
          <w:sz w:val="24"/>
          <w:szCs w:val="24"/>
        </w:rPr>
        <w:t>)</w:t>
      </w:r>
      <w:r w:rsidRPr="00DB2332">
        <w:rPr>
          <w:rFonts w:ascii="Times New Roman" w:hAnsi="Times New Roman" w:cs="Times New Roman"/>
          <w:b/>
          <w:bCs/>
          <w:sz w:val="24"/>
          <w:szCs w:val="24"/>
        </w:rPr>
        <w:t xml:space="preserve"> and LH</w:t>
      </w:r>
      <w:r w:rsidRPr="00DB2332">
        <w:rPr>
          <w:rFonts w:ascii="Times New Roman" w:hAnsi="Times New Roman" w:cs="Times New Roman"/>
          <w:b/>
          <w:bCs/>
          <w:sz w:val="24"/>
          <w:szCs w:val="24"/>
          <w:vertAlign w:val="subscript"/>
        </w:rPr>
        <w:t>2</w:t>
      </w:r>
      <w:r w:rsidRPr="00DB2332">
        <w:rPr>
          <w:rFonts w:ascii="Times New Roman" w:hAnsi="Times New Roman" w:cs="Times New Roman"/>
          <w:b/>
          <w:bCs/>
          <w:sz w:val="24"/>
          <w:szCs w:val="24"/>
        </w:rPr>
        <w:t xml:space="preserve"> aircraft at different range and payload </w:t>
      </w:r>
      <w:r w:rsidR="00FA5F46" w:rsidRPr="00DB2332">
        <w:rPr>
          <w:rFonts w:ascii="Times New Roman" w:hAnsi="Times New Roman" w:cs="Times New Roman"/>
          <w:b/>
          <w:bCs/>
          <w:sz w:val="24"/>
          <w:szCs w:val="24"/>
        </w:rPr>
        <w:t xml:space="preserve">(load factor) </w:t>
      </w:r>
      <w:r w:rsidRPr="00DB2332">
        <w:rPr>
          <w:rFonts w:ascii="Times New Roman" w:hAnsi="Times New Roman" w:cs="Times New Roman"/>
          <w:b/>
          <w:bCs/>
          <w:sz w:val="24"/>
          <w:szCs w:val="24"/>
        </w:rPr>
        <w:t>combinations</w:t>
      </w:r>
    </w:p>
    <w:p w14:paraId="041620A5" w14:textId="71D71AF1" w:rsidR="005B462A" w:rsidRPr="00DB2332" w:rsidRDefault="005B462A" w:rsidP="000C5E43">
      <w:pPr>
        <w:shd w:val="clear" w:color="auto" w:fill="FFFFFF" w:themeFill="background1"/>
        <w:spacing w:line="480" w:lineRule="auto"/>
        <w:jc w:val="both"/>
        <w:rPr>
          <w:rFonts w:ascii="Times New Roman" w:hAnsi="Times New Roman" w:cs="Times New Roman"/>
          <w:sz w:val="24"/>
          <w:szCs w:val="24"/>
          <w:lang w:eastAsia="en-GB"/>
        </w:rPr>
      </w:pPr>
      <w:r w:rsidRPr="00DB2332">
        <w:rPr>
          <w:rFonts w:ascii="Times New Roman" w:hAnsi="Times New Roman" w:cs="Times New Roman"/>
          <w:sz w:val="24"/>
          <w:szCs w:val="24"/>
        </w:rPr>
        <w:tab/>
      </w:r>
      <w:r w:rsidRPr="00DB2332">
        <w:rPr>
          <w:rFonts w:ascii="Times New Roman" w:hAnsi="Times New Roman" w:cs="Times New Roman"/>
          <w:sz w:val="24"/>
          <w:szCs w:val="24"/>
          <w:lang w:eastAsia="en-GB"/>
        </w:rPr>
        <w:t xml:space="preserve">Figure </w:t>
      </w:r>
      <w:r w:rsidR="00ED7A8F" w:rsidRPr="00DB2332">
        <w:rPr>
          <w:rFonts w:ascii="Times New Roman" w:hAnsi="Times New Roman" w:cs="Times New Roman"/>
          <w:sz w:val="24"/>
          <w:szCs w:val="24"/>
          <w:lang w:eastAsia="en-GB"/>
        </w:rPr>
        <w:t>7</w:t>
      </w:r>
      <w:r w:rsidRPr="00DB2332">
        <w:rPr>
          <w:rFonts w:ascii="Times New Roman" w:hAnsi="Times New Roman" w:cs="Times New Roman"/>
          <w:sz w:val="24"/>
          <w:szCs w:val="24"/>
          <w:lang w:eastAsia="en-GB"/>
        </w:rPr>
        <w:t xml:space="preserve"> shows the comparison of percent change in SEC for 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lang w:eastAsia="en-GB"/>
        </w:rPr>
        <w:t xml:space="preserve"> relative to the Jet-A aircraft at different range and payload</w:t>
      </w:r>
      <w:r w:rsidR="00D43172" w:rsidRPr="00DB2332">
        <w:rPr>
          <w:rFonts w:ascii="Times New Roman" w:hAnsi="Times New Roman" w:cs="Times New Roman"/>
          <w:sz w:val="24"/>
          <w:szCs w:val="24"/>
          <w:lang w:eastAsia="en-GB"/>
        </w:rPr>
        <w:t xml:space="preserve"> (load factor)</w:t>
      </w:r>
      <w:r w:rsidRPr="00DB2332">
        <w:rPr>
          <w:rFonts w:ascii="Times New Roman" w:hAnsi="Times New Roman" w:cs="Times New Roman"/>
          <w:sz w:val="24"/>
          <w:szCs w:val="24"/>
          <w:lang w:eastAsia="en-GB"/>
        </w:rPr>
        <w:t xml:space="preserve"> combinations. T</w:t>
      </w:r>
      <w:r w:rsidRPr="00DB2332">
        <w:rPr>
          <w:rFonts w:ascii="Times New Roman" w:hAnsi="Times New Roman" w:cs="Times New Roman"/>
          <w:sz w:val="24"/>
          <w:szCs w:val="24"/>
        </w:rPr>
        <w:t>he percent difference in SEC between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and Jet-A aircraft decreases with increasing range for all </w:t>
      </w:r>
      <w:r w:rsidR="00D43172"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rPr>
        <w:t xml:space="preserve"> cases, and this reduction is greater at higher </w:t>
      </w:r>
      <w:r w:rsidR="00D43172"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rPr>
        <w:t xml:space="preserve"> cases. In other words, the effect of </w:t>
      </w:r>
      <w:r w:rsidR="00D43172"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rPr>
        <w:t xml:space="preserve"> on the percent difference in SEC between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and Jet-A aircraft increases with increasing range. For 100% SPK the</w:t>
      </w:r>
      <w:r w:rsidR="00D43172" w:rsidRPr="00DB2332">
        <w:rPr>
          <w:rFonts w:ascii="Times New Roman" w:hAnsi="Times New Roman" w:cs="Times New Roman"/>
          <w:sz w:val="24"/>
          <w:szCs w:val="24"/>
        </w:rPr>
        <w:t xml:space="preserve"> </w:t>
      </w:r>
      <w:r w:rsidRPr="00DB2332">
        <w:rPr>
          <w:rFonts w:ascii="Times New Roman" w:hAnsi="Times New Roman" w:cs="Times New Roman"/>
          <w:sz w:val="24"/>
          <w:szCs w:val="24"/>
        </w:rPr>
        <w:t>percent difference in SEC relative to Jet-A aircraft is insignificant and</w:t>
      </w:r>
      <w:r w:rsidR="00DA05BC" w:rsidRPr="00DB2332">
        <w:rPr>
          <w:rFonts w:ascii="Times New Roman" w:hAnsi="Times New Roman" w:cs="Times New Roman"/>
          <w:sz w:val="24"/>
          <w:szCs w:val="24"/>
        </w:rPr>
        <w:t xml:space="preserve"> is</w:t>
      </w:r>
      <w:r w:rsidRPr="00DB2332">
        <w:rPr>
          <w:rFonts w:ascii="Times New Roman" w:hAnsi="Times New Roman" w:cs="Times New Roman"/>
          <w:sz w:val="24"/>
          <w:szCs w:val="24"/>
        </w:rPr>
        <w:t xml:space="preserve"> constant for all </w:t>
      </w:r>
      <w:r w:rsidR="00D912D3"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rPr>
        <w:t xml:space="preserve"> and range combinations. </w:t>
      </w:r>
      <w:r w:rsidR="00DA05BC" w:rsidRPr="00DB2332">
        <w:rPr>
          <w:rFonts w:ascii="Times New Roman" w:hAnsi="Times New Roman" w:cs="Times New Roman"/>
          <w:sz w:val="24"/>
          <w:szCs w:val="24"/>
        </w:rPr>
        <w:t xml:space="preserve">Thus, 100% SPK is not included in </w:t>
      </w:r>
      <w:r w:rsidR="00DA05BC" w:rsidRPr="00DB2332">
        <w:rPr>
          <w:rFonts w:ascii="Times New Roman" w:hAnsi="Times New Roman" w:cs="Times New Roman"/>
          <w:sz w:val="24"/>
          <w:szCs w:val="24"/>
          <w:lang w:eastAsia="en-GB"/>
        </w:rPr>
        <w:t xml:space="preserve">Figure </w:t>
      </w:r>
      <w:r w:rsidR="00ED7A8F" w:rsidRPr="00DB2332">
        <w:rPr>
          <w:rFonts w:ascii="Times New Roman" w:hAnsi="Times New Roman" w:cs="Times New Roman"/>
          <w:sz w:val="24"/>
          <w:szCs w:val="24"/>
          <w:lang w:eastAsia="en-GB"/>
        </w:rPr>
        <w:t>7</w:t>
      </w:r>
      <w:r w:rsidR="00DA05BC" w:rsidRPr="00DB2332">
        <w:rPr>
          <w:rFonts w:ascii="Times New Roman" w:hAnsi="Times New Roman" w:cs="Times New Roman"/>
          <w:sz w:val="24"/>
          <w:szCs w:val="24"/>
          <w:lang w:eastAsia="en-GB"/>
        </w:rPr>
        <w:t xml:space="preserve">, and the said insignificant change in SEC can be observed from </w:t>
      </w:r>
      <w:r w:rsidR="002D11AF" w:rsidRPr="00DB2332">
        <w:rPr>
          <w:rFonts w:ascii="Times New Roman" w:hAnsi="Times New Roman" w:cs="Times New Roman"/>
          <w:sz w:val="24"/>
          <w:szCs w:val="24"/>
          <w:lang w:eastAsia="en-GB"/>
        </w:rPr>
        <w:t xml:space="preserve">Figure SI </w:t>
      </w:r>
      <w:r w:rsidR="004C4943" w:rsidRPr="00DB2332">
        <w:rPr>
          <w:rFonts w:ascii="Times New Roman" w:hAnsi="Times New Roman" w:cs="Times New Roman"/>
          <w:sz w:val="24"/>
          <w:szCs w:val="24"/>
          <w:lang w:eastAsia="en-GB"/>
        </w:rPr>
        <w:t>5</w:t>
      </w:r>
      <w:r w:rsidR="002D11AF" w:rsidRPr="00DB2332">
        <w:rPr>
          <w:rFonts w:ascii="Times New Roman" w:hAnsi="Times New Roman" w:cs="Times New Roman"/>
          <w:sz w:val="24"/>
          <w:szCs w:val="24"/>
          <w:lang w:eastAsia="en-GB"/>
        </w:rPr>
        <w:t xml:space="preserve"> included in SI §</w:t>
      </w:r>
      <w:r w:rsidR="009818C8" w:rsidRPr="00DB2332">
        <w:rPr>
          <w:rFonts w:ascii="Times New Roman" w:hAnsi="Times New Roman" w:cs="Times New Roman"/>
          <w:sz w:val="24"/>
          <w:szCs w:val="24"/>
          <w:lang w:eastAsia="en-GB"/>
        </w:rPr>
        <w:t>8</w:t>
      </w:r>
      <w:r w:rsidR="002D11AF" w:rsidRPr="00DB2332">
        <w:rPr>
          <w:rFonts w:ascii="Times New Roman" w:hAnsi="Times New Roman" w:cs="Times New Roman"/>
          <w:sz w:val="24"/>
          <w:szCs w:val="24"/>
          <w:lang w:eastAsia="en-GB"/>
        </w:rPr>
        <w:t>.3</w:t>
      </w:r>
      <w:r w:rsidR="00DA05BC" w:rsidRPr="00DB2332">
        <w:rPr>
          <w:rFonts w:ascii="Times New Roman" w:hAnsi="Times New Roman" w:cs="Times New Roman"/>
          <w:sz w:val="24"/>
          <w:szCs w:val="24"/>
          <w:lang w:eastAsia="en-GB"/>
        </w:rPr>
        <w:t>.</w:t>
      </w:r>
      <w:r w:rsidR="00DA05BC" w:rsidRPr="00DB2332">
        <w:rPr>
          <w:rFonts w:ascii="Times New Roman" w:hAnsi="Times New Roman" w:cs="Times New Roman"/>
          <w:sz w:val="24"/>
          <w:szCs w:val="24"/>
        </w:rPr>
        <w:t xml:space="preserve"> </w:t>
      </w:r>
      <w:r w:rsidRPr="00DB2332">
        <w:rPr>
          <w:rFonts w:ascii="Times New Roman" w:hAnsi="Times New Roman" w:cs="Times New Roman"/>
          <w:sz w:val="24"/>
          <w:szCs w:val="24"/>
        </w:rPr>
        <w:t xml:space="preserve">In summary, 100% SPK can be used across all range and </w:t>
      </w:r>
      <w:r w:rsidR="00D912D3"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rPr>
        <w:t xml:space="preserve"> combinations with similar SEC as that of Jet-A, whereas the SEC of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is lower at higher range and greater </w:t>
      </w:r>
      <w:r w:rsidR="00D912D3"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rPr>
        <w:t xml:space="preserve"> combination though it is always greater than the SEC of Jet-A for all </w:t>
      </w:r>
      <w:r w:rsidR="00D912D3" w:rsidRPr="00DB2332">
        <w:rPr>
          <w:rFonts w:ascii="Times New Roman" w:hAnsi="Times New Roman" w:cs="Times New Roman"/>
          <w:sz w:val="24"/>
          <w:szCs w:val="24"/>
          <w:lang w:eastAsia="en-GB"/>
        </w:rPr>
        <w:t>load factor</w:t>
      </w:r>
      <w:r w:rsidRPr="00DB2332">
        <w:rPr>
          <w:rFonts w:ascii="Times New Roman" w:hAnsi="Times New Roman" w:cs="Times New Roman"/>
          <w:sz w:val="24"/>
          <w:szCs w:val="24"/>
        </w:rPr>
        <w:t xml:space="preserve"> cases</w:t>
      </w:r>
      <w:r w:rsidR="00642FE7" w:rsidRPr="00DB2332">
        <w:rPr>
          <w:rFonts w:ascii="Times New Roman" w:hAnsi="Times New Roman" w:cs="Times New Roman"/>
          <w:sz w:val="24"/>
          <w:szCs w:val="24"/>
        </w:rPr>
        <w:t xml:space="preserve"> i.e. tube-wing single-decker LH</w:t>
      </w:r>
      <w:r w:rsidR="00642FE7" w:rsidRPr="00DB2332">
        <w:rPr>
          <w:rFonts w:ascii="Times New Roman" w:hAnsi="Times New Roman" w:cs="Times New Roman"/>
          <w:sz w:val="24"/>
          <w:szCs w:val="24"/>
          <w:vertAlign w:val="subscript"/>
        </w:rPr>
        <w:t>2</w:t>
      </w:r>
      <w:r w:rsidR="00642FE7" w:rsidRPr="00DB2332">
        <w:rPr>
          <w:rFonts w:ascii="Times New Roman" w:hAnsi="Times New Roman" w:cs="Times New Roman"/>
          <w:sz w:val="24"/>
          <w:szCs w:val="24"/>
        </w:rPr>
        <w:t xml:space="preserve"> aircraft is less energy efficient than Jet-A aircraft</w:t>
      </w:r>
      <w:r w:rsidR="005E5DCC" w:rsidRPr="00DB2332">
        <w:rPr>
          <w:rFonts w:ascii="Times New Roman" w:hAnsi="Times New Roman" w:cs="Times New Roman"/>
          <w:sz w:val="24"/>
          <w:szCs w:val="24"/>
        </w:rPr>
        <w:t xml:space="preserve"> at all combinations of payload (load factor) and range</w:t>
      </w:r>
      <w:r w:rsidRPr="00DB2332">
        <w:rPr>
          <w:rFonts w:ascii="Times New Roman" w:hAnsi="Times New Roman" w:cs="Times New Roman"/>
          <w:sz w:val="24"/>
          <w:szCs w:val="24"/>
        </w:rPr>
        <w:t>.</w:t>
      </w:r>
    </w:p>
    <w:p w14:paraId="47FF47C0" w14:textId="52A9C8F7" w:rsidR="0037162B" w:rsidRPr="00FA6B79" w:rsidRDefault="000D6127" w:rsidP="000C5E43">
      <w:pPr>
        <w:shd w:val="clear" w:color="auto" w:fill="FFFFFF"/>
        <w:spacing w:after="0" w:line="480" w:lineRule="auto"/>
        <w:jc w:val="center"/>
        <w:rPr>
          <w:rFonts w:ascii="Times New Roman" w:hAnsi="Times New Roman" w:cs="Times New Roman"/>
          <w:sz w:val="24"/>
          <w:szCs w:val="24"/>
          <w:lang w:eastAsia="en-GB"/>
        </w:rPr>
      </w:pPr>
      <w:r w:rsidRPr="00FA6B79">
        <w:rPr>
          <w:rFonts w:ascii="Times New Roman" w:hAnsi="Times New Roman" w:cs="Times New Roman"/>
          <w:noProof/>
          <w:sz w:val="24"/>
          <w:szCs w:val="24"/>
          <w:lang w:eastAsia="en-GB"/>
        </w:rPr>
        <w:lastRenderedPageBreak/>
        <w:drawing>
          <wp:inline distT="0" distB="0" distL="0" distR="0" wp14:anchorId="568F8C9D" wp14:editId="5A6D4267">
            <wp:extent cx="3026664" cy="2310384"/>
            <wp:effectExtent l="0" t="0" r="2540" b="0"/>
            <wp:docPr id="14" name="Picture 7"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26664" cy="2310384"/>
                    </a:xfrm>
                    <a:prstGeom prst="rect">
                      <a:avLst/>
                    </a:prstGeom>
                  </pic:spPr>
                </pic:pic>
              </a:graphicData>
            </a:graphic>
          </wp:inline>
        </w:drawing>
      </w:r>
    </w:p>
    <w:p w14:paraId="55B76A02" w14:textId="0B7541E3" w:rsidR="00316B0E" w:rsidRPr="00DB2332" w:rsidRDefault="00421827" w:rsidP="000C5E43">
      <w:pPr>
        <w:shd w:val="clear" w:color="auto" w:fill="FFFFFF"/>
        <w:spacing w:line="480" w:lineRule="auto"/>
        <w:jc w:val="center"/>
        <w:rPr>
          <w:rFonts w:ascii="Times New Roman" w:hAnsi="Times New Roman" w:cs="Times New Roman"/>
          <w:sz w:val="24"/>
          <w:szCs w:val="24"/>
          <w:lang w:eastAsia="en-GB"/>
        </w:rPr>
      </w:pPr>
      <w:r w:rsidRPr="00DB2332">
        <w:rPr>
          <w:rFonts w:ascii="Times New Roman" w:hAnsi="Times New Roman" w:cs="Times New Roman"/>
          <w:b/>
          <w:bCs/>
          <w:sz w:val="24"/>
          <w:szCs w:val="24"/>
        </w:rPr>
        <w:t xml:space="preserve">Figure </w:t>
      </w:r>
      <w:r w:rsidR="00C5566E" w:rsidRPr="00DB2332">
        <w:rPr>
          <w:rFonts w:ascii="Times New Roman" w:hAnsi="Times New Roman" w:cs="Times New Roman"/>
          <w:b/>
          <w:bCs/>
          <w:sz w:val="24"/>
          <w:szCs w:val="24"/>
        </w:rPr>
        <w:t>7</w:t>
      </w:r>
      <w:r w:rsidRPr="00DB2332">
        <w:rPr>
          <w:rFonts w:ascii="Times New Roman" w:hAnsi="Times New Roman" w:cs="Times New Roman"/>
          <w:b/>
          <w:bCs/>
          <w:sz w:val="24"/>
          <w:szCs w:val="24"/>
        </w:rPr>
        <w:t xml:space="preserve">. Comparison of percent change in SEC </w:t>
      </w:r>
      <w:r w:rsidR="00DA05BC" w:rsidRPr="00DB2332">
        <w:rPr>
          <w:rFonts w:ascii="Times New Roman" w:hAnsi="Times New Roman" w:cs="Times New Roman"/>
          <w:b/>
          <w:bCs/>
          <w:sz w:val="24"/>
          <w:szCs w:val="24"/>
        </w:rPr>
        <w:t>for</w:t>
      </w:r>
      <w:r w:rsidRPr="00DB2332">
        <w:rPr>
          <w:rFonts w:ascii="Times New Roman" w:hAnsi="Times New Roman" w:cs="Times New Roman"/>
          <w:b/>
          <w:bCs/>
          <w:sz w:val="24"/>
          <w:szCs w:val="24"/>
        </w:rPr>
        <w:t xml:space="preserve"> LH</w:t>
      </w:r>
      <w:r w:rsidRPr="00DB2332">
        <w:rPr>
          <w:rFonts w:ascii="Times New Roman" w:hAnsi="Times New Roman" w:cs="Times New Roman"/>
          <w:b/>
          <w:bCs/>
          <w:sz w:val="24"/>
          <w:szCs w:val="24"/>
          <w:vertAlign w:val="subscript"/>
        </w:rPr>
        <w:t>2</w:t>
      </w:r>
      <w:r w:rsidRPr="00DB2332">
        <w:rPr>
          <w:rFonts w:ascii="Times New Roman" w:hAnsi="Times New Roman" w:cs="Times New Roman"/>
          <w:b/>
          <w:bCs/>
          <w:sz w:val="24"/>
          <w:szCs w:val="24"/>
        </w:rPr>
        <w:t xml:space="preserve"> relative to the Jet-A aircraft at different range and payload</w:t>
      </w:r>
      <w:r w:rsidR="00FA5F46" w:rsidRPr="00DB2332">
        <w:rPr>
          <w:rFonts w:ascii="Times New Roman" w:hAnsi="Times New Roman" w:cs="Times New Roman"/>
          <w:b/>
          <w:bCs/>
          <w:sz w:val="24"/>
          <w:szCs w:val="24"/>
        </w:rPr>
        <w:t xml:space="preserve"> (load factor)</w:t>
      </w:r>
      <w:r w:rsidRPr="00DB2332">
        <w:rPr>
          <w:rFonts w:ascii="Times New Roman" w:hAnsi="Times New Roman" w:cs="Times New Roman"/>
          <w:b/>
          <w:bCs/>
          <w:sz w:val="24"/>
          <w:szCs w:val="24"/>
        </w:rPr>
        <w:t xml:space="preserve"> combinations</w:t>
      </w:r>
    </w:p>
    <w:p w14:paraId="15C378BA" w14:textId="77777777" w:rsidR="00CD258C" w:rsidRPr="00DB2332" w:rsidRDefault="00CD258C" w:rsidP="00CD258C">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DB2332">
        <w:rPr>
          <w:rFonts w:ascii="Times New Roman" w:eastAsia="Times New Roman" w:hAnsi="Times New Roman" w:cs="Times New Roman"/>
          <w:color w:val="auto"/>
          <w:sz w:val="24"/>
          <w:szCs w:val="24"/>
          <w:bdr w:val="none" w:sz="0" w:space="0" w:color="auto" w:frame="1"/>
          <w:lang w:eastAsia="en-GB"/>
        </w:rPr>
        <w:t>Relationship between OEW and GTOW for LH</w:t>
      </w:r>
      <w:r w:rsidRPr="00DB2332">
        <w:rPr>
          <w:rFonts w:ascii="Times New Roman" w:eastAsia="Times New Roman" w:hAnsi="Times New Roman" w:cs="Times New Roman"/>
          <w:color w:val="auto"/>
          <w:sz w:val="24"/>
          <w:szCs w:val="24"/>
          <w:bdr w:val="none" w:sz="0" w:space="0" w:color="auto" w:frame="1"/>
          <w:vertAlign w:val="subscript"/>
          <w:lang w:eastAsia="en-GB"/>
        </w:rPr>
        <w:t>2</w:t>
      </w:r>
      <w:r w:rsidRPr="00DB2332">
        <w:rPr>
          <w:rFonts w:ascii="Times New Roman" w:eastAsia="Times New Roman" w:hAnsi="Times New Roman" w:cs="Times New Roman"/>
          <w:color w:val="auto"/>
          <w:sz w:val="24"/>
          <w:szCs w:val="24"/>
          <w:bdr w:val="none" w:sz="0" w:space="0" w:color="auto" w:frame="1"/>
          <w:lang w:eastAsia="en-GB"/>
        </w:rPr>
        <w:t xml:space="preserve"> aircraft</w:t>
      </w:r>
    </w:p>
    <w:p w14:paraId="06FB443A" w14:textId="3557915E" w:rsidR="00DF3E2E" w:rsidRPr="00DB2332" w:rsidRDefault="00DF3E2E" w:rsidP="6752A1B1">
      <w:pPr>
        <w:shd w:val="clear" w:color="auto" w:fill="FFFFFF" w:themeFill="background1"/>
        <w:spacing w:after="0" w:line="480" w:lineRule="auto"/>
        <w:jc w:val="both"/>
        <w:rPr>
          <w:rFonts w:ascii="Times New Roman" w:hAnsi="Times New Roman" w:cs="Times New Roman"/>
          <w:sz w:val="24"/>
          <w:szCs w:val="24"/>
        </w:rPr>
      </w:pPr>
      <w:r w:rsidRPr="00DB2332">
        <w:rPr>
          <w:rFonts w:ascii="Times New Roman" w:hAnsi="Times New Roman" w:cs="Times New Roman"/>
          <w:sz w:val="24"/>
          <w:szCs w:val="24"/>
        </w:rPr>
        <w:tab/>
      </w:r>
      <w:r w:rsidRPr="000B7DCE">
        <w:rPr>
          <w:rFonts w:ascii="Times New Roman" w:hAnsi="Times New Roman" w:cs="Times New Roman"/>
          <w:sz w:val="24"/>
          <w:szCs w:val="24"/>
        </w:rPr>
        <w:t>Figure 8 shows the relationship between OEW and GTOW of tube-wing LH</w:t>
      </w:r>
      <w:r w:rsidRPr="000B7DCE">
        <w:rPr>
          <w:rFonts w:ascii="Times New Roman" w:hAnsi="Times New Roman" w:cs="Times New Roman"/>
          <w:sz w:val="24"/>
          <w:szCs w:val="24"/>
          <w:vertAlign w:val="subscript"/>
        </w:rPr>
        <w:t>2</w:t>
      </w:r>
      <w:r w:rsidRPr="000B7DCE">
        <w:rPr>
          <w:rFonts w:ascii="Times New Roman" w:hAnsi="Times New Roman" w:cs="Times New Roman"/>
          <w:sz w:val="24"/>
          <w:szCs w:val="24"/>
        </w:rPr>
        <w:t xml:space="preserve"> aircraft from the present study and literature (Brewer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technology","type":"book"},"uris":["http://www.mendeley.com/documents/?uuid=98dde589-563e-344e-842a-c8eac36971f0"]}],"mendeley":{"formattedCitation":"(Brewer, 2017)","plainTextFormattedCitation":"(Brewer, 2017)","previouslyFormattedCitation":"(Brewer, 2017)"},"properties":{"noteIndex":0},"schema":"https://github.com/citation-style-language/schema/raw/master/csl-citation.json"}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(Brewer, 2017)</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w:t>
      </w:r>
      <w:proofErr w:type="spellStart"/>
      <w:r w:rsidRPr="000B7DCE">
        <w:rPr>
          <w:rFonts w:ascii="Times New Roman" w:hAnsi="Times New Roman" w:cs="Times New Roman"/>
          <w:sz w:val="24"/>
          <w:szCs w:val="24"/>
        </w:rPr>
        <w:t>Verstraete</w:t>
      </w:r>
      <w:proofErr w:type="spellEnd"/>
      <w:r w:rsidRPr="000B7DCE">
        <w:rPr>
          <w:rFonts w:ascii="Times New Roman" w:hAnsi="Times New Roman" w:cs="Times New Roman"/>
          <w:sz w:val="24"/>
          <w:szCs w:val="24"/>
        </w:rPr>
        <w:t xml:space="preserve">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aircraft","type":"article-journal","volume":"40"},"uris":["http://www.mendeley.com/documents/?uuid=2925cc4c-1b67-3876-8842-b7c825d091c4"]}],"mendeley":{"formattedCitation":"(Verstraete, 2015)","plainTextFormattedCitation":"(Verstraete, 2015)","previouslyFormattedCitation":"(Verstraete, 2015)"},"properties":{"noteIndex":0},"schema":"https://github.com/citation-style-language/schema/raw/master/csl-citation.json"}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(Verstraete, 2015)</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w:t>
      </w:r>
      <w:proofErr w:type="spellStart"/>
      <w:r w:rsidRPr="000B7DCE">
        <w:rPr>
          <w:rFonts w:ascii="Times New Roman" w:hAnsi="Times New Roman" w:cs="Times New Roman"/>
          <w:sz w:val="24"/>
          <w:szCs w:val="24"/>
        </w:rPr>
        <w:t>Troeltsch</w:t>
      </w:r>
      <w:proofErr w:type="spellEnd"/>
      <w:r w:rsidRPr="000B7DCE">
        <w:rPr>
          <w:rFonts w:ascii="Times New Roman" w:hAnsi="Times New Roman" w:cs="Times New Roman"/>
          <w:sz w:val="24"/>
          <w:szCs w:val="24"/>
        </w:rPr>
        <w:t xml:space="preserve">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impact","type":"article-journal"},"uris":["http://www.mendeley.com/documents/?uuid=d90e0e6c-9dda-3352-b961-f4f1159f9774"]}],"mendeley":{"formattedCitation":"(Troeltsch et al., 2020)","plainTextFormattedCitation":"(Troeltsch et al., 2020)","previouslyFormattedCitation":"(Troeltsch et al., 2020)"},"properties":{"noteIndex":0},"schema":"https://github.com/citation-style-language/schema/raw/master/csl-citation.json"}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(Troeltsch et al., 2020)</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Beck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URL":"https://www.dlr.de/content/de/downloads/2018/tu-berlin-efficiency-meets-sky_3095.pdf?__blob=publicationFile&amp;v=10","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sky","type":"webpage"},"uris":["http://www.mendeley.com/documents/?uuid=e54af561-eff2-3b90-8e2b-51c9dfb7975b"]}],"mendeley":{"formattedCitation":"(Beck et al., 2018)","plainTextFormattedCitation":"(Beck et al., 2018)","previouslyFormattedCitation":"(Beck et al., 2018)"},"properties":{"noteIndex":0},"schema":"https://github.com/citation-style-language/schema/raw/master/csl-citation.json"}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(Beck et al., 2018)</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w:t>
      </w:r>
      <w:proofErr w:type="spellStart"/>
      <w:r w:rsidRPr="000B7DCE">
        <w:rPr>
          <w:rFonts w:ascii="Times New Roman" w:hAnsi="Times New Roman" w:cs="Times New Roman"/>
          <w:sz w:val="24"/>
          <w:szCs w:val="24"/>
        </w:rPr>
        <w:t>Proesmans</w:t>
      </w:r>
      <w:proofErr w:type="spellEnd"/>
      <w:r w:rsidRPr="000B7DCE">
        <w:rPr>
          <w:rFonts w:ascii="Times New Roman" w:hAnsi="Times New Roman" w:cs="Times New Roman"/>
          <w:sz w:val="24"/>
          <w:szCs w:val="24"/>
        </w:rPr>
        <w:t xml:space="preserve">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(Proesmans and Vos, 2022)</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Gomez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analysis","type":"article-journal","volume":"95"},"uris":["http://www.mendeley.com/documents/?uuid=f26a5a65-f439-3539-80c3-e3a1374929ee"]}],"mendeley":{"formattedCitation":"(Gomez and Smith, 2019)","plainTextFormattedCitation":"(Gomez and Smith, 2019)","previouslyFormattedCitation":"(Gomez and Smith, 2019)"},"properties":{"noteIndex":0},"schema":"https://github.com/citation-style-language/schema/raw/master/csl-citation.json"}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(Gomez and Smith, 2019)</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w:t>
      </w:r>
      <w:proofErr w:type="spellStart"/>
      <w:r w:rsidRPr="000B7DCE">
        <w:rPr>
          <w:rFonts w:ascii="Times New Roman" w:hAnsi="Times New Roman" w:cs="Times New Roman"/>
          <w:sz w:val="24"/>
          <w:szCs w:val="24"/>
        </w:rPr>
        <w:t>Silberhorn</w:t>
      </w:r>
      <w:proofErr w:type="spellEnd"/>
      <w:r w:rsidRPr="000B7DCE">
        <w:rPr>
          <w:rFonts w:ascii="Times New Roman" w:hAnsi="Times New Roman" w:cs="Times New Roman"/>
          <w:sz w:val="24"/>
          <w:szCs w:val="24"/>
        </w:rPr>
        <w:t xml:space="preserve">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Research","id":"ITEM-1","issued":{"date-parts":[["2019"]]},"title":"ASSESSMENT OF HYDROGEN FUEL TANK INTEGRATION AT AIRCRAFT LEVEL","type":"article-journal"},"uris":["http://www.mendeley.com/documents/?uuid=e105b9c8-532b-3b02-b489-d6d4418cb7a2"]}],"mendeley":{"formattedCitation":"(Silberhorn et al., 2019)","plainTextFormattedCitation":"(Silberhorn et al., 2019)","previouslyFormattedCitation":"(Silberhorn et al., 2019)"},"properties":{"noteIndex":0},"schema":"https://github.com/citation-style-language/schema/raw/master/csl-citation.json"}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(Silberhorn et al., 2019)</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(2019), </w:t>
      </w:r>
      <w:proofErr w:type="spellStart"/>
      <w:r w:rsidRPr="000B7DCE">
        <w:rPr>
          <w:rFonts w:ascii="Times New Roman" w:hAnsi="Times New Roman" w:cs="Times New Roman"/>
          <w:sz w:val="24"/>
          <w:szCs w:val="24"/>
        </w:rPr>
        <w:t>Silberhorn</w:t>
      </w:r>
      <w:proofErr w:type="spellEnd"/>
      <w:r w:rsidRPr="000B7DCE">
        <w:rPr>
          <w:rFonts w:ascii="Times New Roman" w:hAnsi="Times New Roman" w:cs="Times New Roman"/>
          <w:sz w:val="24"/>
          <w:szCs w:val="24"/>
        </w:rPr>
        <w:t xml:space="preserve">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5950","id":"ITEM-1","issue":"12","issued":{"date-parts":[["2022","6","11"]]},"page":"5950","publisher":"Multidisciplinary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Concepts","type":"article-journal","volume":"12"},"uris":["http://www.mendeley.com/documents/?uuid=7ac695f9-a8fb-39b0-b39f-26e74d5de8fc"]}],"mendeley":{"formattedCitation":"(Silberhorn et al., 2022)","plainTextFormattedCitation":"(Silberhorn et al., 2022)","previouslyFormattedCitation":"(Silberhorn et al., 2022)"},"properties":{"noteIndex":0},"schema":"https://github.com/citation-style-language/schema/raw/master/csl-citation.json"}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(Silberhorn et al., 2022)</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(2022), </w:t>
      </w:r>
      <w:proofErr w:type="spellStart"/>
      <w:r w:rsidRPr="000B7DCE">
        <w:rPr>
          <w:rFonts w:ascii="Times New Roman" w:hAnsi="Times New Roman" w:cs="Times New Roman"/>
          <w:sz w:val="24"/>
          <w:szCs w:val="24"/>
        </w:rPr>
        <w:t>Lammen</w:t>
      </w:r>
      <w:proofErr w:type="spellEnd"/>
      <w:r w:rsidRPr="000B7DCE">
        <w:rPr>
          <w:rFonts w:ascii="Times New Roman" w:hAnsi="Times New Roman" w:cs="Times New Roman"/>
          <w:sz w:val="24"/>
          <w:szCs w:val="24"/>
        </w:rPr>
        <w:t xml:space="preserve">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NLR","id":"ITEM-1","issued":{"date-parts":[["2022"]]},"publisher":"Netherlands Aerospace Centre NLR","title":"Hydrogen-powered propulsion aircraft: conceptual sizing and fleet level impact analysis","type":"webpage"},"uris":["http://www.mendeley.com/documents/?uuid=19a3087a-40f4-374a-98d6-f225bdda5d64"]}],"mendeley":{"formattedCitation":"(Lammen et al., 2022)","plainTextFormattedCitation":"(Lammen et al., 2022)","previouslyFormattedCitation":"(Lammen et al., 2022)"},"properties":{"noteIndex":0},"schema":"https://github.com/citation-style-language/schema/raw/master/csl-citation.json"}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(Lammen et al., 2022)</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w:t>
      </w:r>
      <w:proofErr w:type="spellStart"/>
      <w:r w:rsidRPr="000B7DCE">
        <w:rPr>
          <w:rFonts w:ascii="Times New Roman" w:hAnsi="Times New Roman" w:cs="Times New Roman"/>
          <w:sz w:val="24"/>
          <w:szCs w:val="24"/>
          <w:lang w:eastAsia="en-GB"/>
        </w:rPr>
        <w:t>Onorato</w:t>
      </w:r>
      <w:proofErr w:type="spellEnd"/>
      <w:r w:rsidRPr="000B7DCE">
        <w:rPr>
          <w:rFonts w:ascii="Times New Roman" w:hAnsi="Times New Roman" w:cs="Times New Roman"/>
          <w:sz w:val="24"/>
          <w:szCs w:val="24"/>
          <w:lang w:eastAsia="en-GB"/>
        </w:rPr>
        <w:t xml:space="preserve"> et al. </w:t>
      </w:r>
      <w:r w:rsidRPr="000B7DCE">
        <w:rPr>
          <w:rFonts w:ascii="Times New Roman" w:hAnsi="Times New Roman" w:cs="Times New Roman"/>
          <w:sz w:val="24"/>
          <w:szCs w:val="24"/>
          <w:lang w:eastAsia="en-GB"/>
        </w:rPr>
        <w:fldChar w:fldCharType="begin" w:fldLock="1"/>
      </w:r>
      <w:r w:rsidRPr="000B7DCE">
        <w:rPr>
          <w:rFonts w:ascii="Times New Roman" w:hAnsi="Times New Roman" w:cs="Times New Roman"/>
          <w:sz w:val="24"/>
          <w:szCs w:val="24"/>
          <w:lang w:eastAsia="en-GB"/>
        </w:rPr>
        <w:instrText>ADDIN CSL_CITATION {"citationItems":[{"id":"ITEM-1","itemData":{"DOI":"10.1007/S13272-022-00601-6/TABLES/11","ISSN":"18695590","abstract":"Zero-carbon-dioxide-emitting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Journal","id":"ITEM-1","issued":{"date-parts":[["2022","9","17"]]},"page":"1-33","publisher":"Springer","title":"Assessment of hydrogen transport aircraft: Effects of fuel tank integration","type":"article-journal","volume":"1"},"uris":["http://www.mendeley.com/documents/?uuid=34cb7987-9f35-35a2-ab6d-541bedeb0e3f"]}],"mendeley":{"formattedCitation":"(Onorato et al., 2022)","plainTextFormattedCitation":"(Onorato et al., 2022)","previouslyFormattedCitation":"(Onorato et al., 2022)"},"properties":{"noteIndex":0},"schema":"https://github.com/citation-style-language/schema/raw/master/csl-citation.json"}</w:instrText>
      </w:r>
      <w:r w:rsidRPr="000B7DCE">
        <w:rPr>
          <w:rFonts w:ascii="Times New Roman" w:hAnsi="Times New Roman" w:cs="Times New Roman"/>
          <w:sz w:val="24"/>
          <w:szCs w:val="24"/>
          <w:lang w:eastAsia="en-GB"/>
        </w:rPr>
        <w:fldChar w:fldCharType="separate"/>
      </w:r>
      <w:r w:rsidRPr="000B7DCE">
        <w:rPr>
          <w:rFonts w:ascii="Times New Roman" w:hAnsi="Times New Roman" w:cs="Times New Roman"/>
          <w:noProof/>
          <w:sz w:val="24"/>
          <w:szCs w:val="24"/>
          <w:lang w:eastAsia="en-GB"/>
        </w:rPr>
        <w:t>(Onorato et al., 2022)</w:t>
      </w:r>
      <w:r w:rsidRPr="000B7DCE">
        <w:rPr>
          <w:rFonts w:ascii="Times New Roman" w:hAnsi="Times New Roman" w:cs="Times New Roman"/>
          <w:sz w:val="24"/>
          <w:szCs w:val="24"/>
          <w:lang w:eastAsia="en-GB"/>
        </w:rPr>
        <w:fldChar w:fldCharType="end"/>
      </w:r>
      <w:r w:rsidRPr="000B7DCE">
        <w:rPr>
          <w:rFonts w:ascii="Times New Roman" w:hAnsi="Times New Roman" w:cs="Times New Roman"/>
          <w:sz w:val="24"/>
          <w:szCs w:val="24"/>
          <w:lang w:eastAsia="en-GB"/>
        </w:rPr>
        <w:t>, and</w:t>
      </w:r>
      <w:r w:rsidRPr="000B7DCE">
        <w:rPr>
          <w:rFonts w:ascii="Times New Roman" w:hAnsi="Times New Roman" w:cs="Times New Roman"/>
          <w:color w:val="000000" w:themeColor="text1"/>
          <w:sz w:val="24"/>
          <w:szCs w:val="24"/>
          <w:lang w:eastAsia="en-GB"/>
        </w:rPr>
        <w:t xml:space="preserve"> </w:t>
      </w:r>
      <w:proofErr w:type="spellStart"/>
      <w:r w:rsidRPr="000B7DCE">
        <w:rPr>
          <w:rFonts w:ascii="Times New Roman" w:hAnsi="Times New Roman" w:cs="Times New Roman"/>
          <w:color w:val="000000" w:themeColor="text1"/>
          <w:sz w:val="24"/>
          <w:szCs w:val="24"/>
          <w:lang w:eastAsia="en-GB"/>
        </w:rPr>
        <w:t>Huete</w:t>
      </w:r>
      <w:proofErr w:type="spellEnd"/>
      <w:r w:rsidRPr="000B7DCE">
        <w:rPr>
          <w:rFonts w:ascii="Times New Roman" w:hAnsi="Times New Roman" w:cs="Times New Roman"/>
          <w:color w:val="000000" w:themeColor="text1"/>
          <w:sz w:val="24"/>
          <w:szCs w:val="24"/>
          <w:lang w:eastAsia="en-GB"/>
        </w:rPr>
        <w:t xml:space="preserve"> et al. </w:t>
      </w:r>
      <w:r w:rsidRPr="000B7DCE">
        <w:rPr>
          <w:rFonts w:ascii="Times New Roman" w:hAnsi="Times New Roman" w:cs="Times New Roman"/>
          <w:color w:val="000000" w:themeColor="text1"/>
          <w:sz w:val="24"/>
          <w:szCs w:val="24"/>
          <w:lang w:eastAsia="en-GB"/>
        </w:rPr>
        <w:fldChar w:fldCharType="begin" w:fldLock="1"/>
      </w:r>
      <w:r w:rsidRPr="000B7DCE">
        <w:rPr>
          <w:rFonts w:ascii="Times New Roman" w:hAnsi="Times New Roman" w:cs="Times New Roman"/>
          <w:color w:val="000000" w:themeColor="text1"/>
          <w:sz w:val="24"/>
          <w:szCs w:val="24"/>
          <w:lang w:eastAsia="en-GB"/>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airliner","type":"article-journal","volume":"126"},"uris":["http://www.mendeley.com/documents/?uuid=fba1efc2-04d0-3648-b980-8644a5af1241"]}],"mendeley":{"formattedCitation":"(Huete et al., 2022)","plainTextFormattedCitation":"(Huete et al., 2022)","previouslyFormattedCitation":"(Huete et al., 2022)"},"properties":{"noteIndex":0},"schema":"https://github.com/citation-style-language/schema/raw/master/csl-citation.json"}</w:instrText>
      </w:r>
      <w:r w:rsidRPr="000B7DCE">
        <w:rPr>
          <w:rFonts w:ascii="Times New Roman" w:hAnsi="Times New Roman" w:cs="Times New Roman"/>
          <w:color w:val="000000" w:themeColor="text1"/>
          <w:sz w:val="24"/>
          <w:szCs w:val="24"/>
          <w:lang w:eastAsia="en-GB"/>
        </w:rPr>
        <w:fldChar w:fldCharType="separate"/>
      </w:r>
      <w:r w:rsidRPr="000B7DCE">
        <w:rPr>
          <w:rFonts w:ascii="Times New Roman" w:hAnsi="Times New Roman" w:cs="Times New Roman"/>
          <w:noProof/>
          <w:color w:val="000000" w:themeColor="text1"/>
          <w:sz w:val="24"/>
          <w:szCs w:val="24"/>
          <w:lang w:eastAsia="en-GB"/>
        </w:rPr>
        <w:t>(Huete et al., 2022)</w:t>
      </w:r>
      <w:r w:rsidRPr="000B7DCE">
        <w:rPr>
          <w:rFonts w:ascii="Times New Roman" w:hAnsi="Times New Roman" w:cs="Times New Roman"/>
          <w:color w:val="000000" w:themeColor="text1"/>
          <w:sz w:val="24"/>
          <w:szCs w:val="24"/>
          <w:lang w:eastAsia="en-GB"/>
        </w:rPr>
        <w:fldChar w:fldCharType="end"/>
      </w:r>
      <w:r w:rsidRPr="000B7DCE">
        <w:rPr>
          <w:rFonts w:ascii="Times New Roman" w:hAnsi="Times New Roman" w:cs="Times New Roman"/>
          <w:sz w:val="24"/>
          <w:szCs w:val="24"/>
        </w:rPr>
        <w:t xml:space="preserve">). For data from </w:t>
      </w:r>
      <w:proofErr w:type="spellStart"/>
      <w:r w:rsidRPr="000B7DCE">
        <w:rPr>
          <w:rFonts w:ascii="Times New Roman" w:hAnsi="Times New Roman" w:cs="Times New Roman"/>
          <w:sz w:val="24"/>
          <w:szCs w:val="24"/>
        </w:rPr>
        <w:t>Proesmans</w:t>
      </w:r>
      <w:proofErr w:type="spellEnd"/>
      <w:r w:rsidRPr="000B7DCE">
        <w:rPr>
          <w:rFonts w:ascii="Times New Roman" w:hAnsi="Times New Roman" w:cs="Times New Roman"/>
          <w:sz w:val="24"/>
          <w:szCs w:val="24"/>
        </w:rPr>
        <w:t xml:space="preserve">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(Proesmans and Vos, 2022)</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‘ATR’ and ‘COC’ denote LH</w:t>
      </w:r>
      <w:r w:rsidRPr="000B7DCE">
        <w:rPr>
          <w:rFonts w:ascii="Times New Roman" w:hAnsi="Times New Roman" w:cs="Times New Roman"/>
          <w:sz w:val="24"/>
          <w:szCs w:val="24"/>
          <w:vertAlign w:val="subscript"/>
        </w:rPr>
        <w:t>2</w:t>
      </w:r>
      <w:r w:rsidRPr="000B7DCE">
        <w:rPr>
          <w:rFonts w:ascii="Times New Roman" w:hAnsi="Times New Roman" w:cs="Times New Roman"/>
          <w:sz w:val="24"/>
          <w:szCs w:val="24"/>
        </w:rPr>
        <w:t xml:space="preserve"> aircraft optimised for average temperature response and cash operating cost, respectively. Additionally, in the study by </w:t>
      </w:r>
      <w:proofErr w:type="spellStart"/>
      <w:r w:rsidRPr="000B7DCE">
        <w:rPr>
          <w:rFonts w:ascii="Times New Roman" w:hAnsi="Times New Roman" w:cs="Times New Roman"/>
          <w:sz w:val="24"/>
          <w:szCs w:val="24"/>
        </w:rPr>
        <w:t>Silberhorn</w:t>
      </w:r>
      <w:proofErr w:type="spellEnd"/>
      <w:r w:rsidRPr="000B7DCE">
        <w:rPr>
          <w:rFonts w:ascii="Times New Roman" w:hAnsi="Times New Roman" w:cs="Times New Roman"/>
          <w:sz w:val="24"/>
          <w:szCs w:val="24"/>
        </w:rPr>
        <w:t xml:space="preserve"> et al. </w:t>
      </w:r>
      <w:r w:rsidRPr="000B7DCE">
        <w:rPr>
          <w:rFonts w:ascii="Times New Roman" w:hAnsi="Times New Roman" w:cs="Times New Roman"/>
          <w:sz w:val="24"/>
          <w:szCs w:val="24"/>
        </w:rPr>
        <w:fldChar w:fldCharType="begin" w:fldLock="1"/>
      </w:r>
      <w:r w:rsidRPr="000B7DCE">
        <w:rPr>
          <w:rFonts w:ascii="Times New Roman" w:hAnsi="Times New Roman" w:cs="Times New Roman"/>
          <w:sz w:val="24"/>
          <w:szCs w:val="24"/>
        </w:rPr>
        <w:instrText>ADDIN CSL_CITATION {"citationItems":[{"id":"ITEM-1","itemData":{"abstract":"The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Research","id":"ITEM-1","issued":{"date-parts":[["2019"]]},"title":"ASSESSMENT OF HYDROGEN FUEL TANK INTEGRATION AT AIRCRAFT LEVEL","type":"article-journal"},"uris":["http://www.mendeley.com/documents/?uuid=e105b9c8-532b-3b02-b489-d6d4418cb7a2"]}],"mendeley":{"formattedCitation":"(Silberhorn et al., 2019)","plainTextFormattedCitation":"(Silberhorn et al., 2019)","previouslyFormattedCitation":"(Silberhorn et al., 2019)"},"properties":{"noteIndex":0},"schema":"https://github.com/citation-style-language/schema/raw/master/csl-citation.json"}</w:instrText>
      </w:r>
      <w:r w:rsidRPr="000B7DCE">
        <w:rPr>
          <w:rFonts w:ascii="Times New Roman" w:hAnsi="Times New Roman" w:cs="Times New Roman"/>
          <w:sz w:val="24"/>
          <w:szCs w:val="24"/>
        </w:rPr>
        <w:fldChar w:fldCharType="separate"/>
      </w:r>
      <w:r w:rsidRPr="000B7DCE">
        <w:rPr>
          <w:rFonts w:ascii="Times New Roman" w:hAnsi="Times New Roman" w:cs="Times New Roman"/>
          <w:noProof/>
          <w:sz w:val="24"/>
          <w:szCs w:val="24"/>
        </w:rPr>
        <w:t>(Silberhorn et al., 2019)</w:t>
      </w:r>
      <w:r w:rsidRPr="000B7DCE">
        <w:rPr>
          <w:rFonts w:ascii="Times New Roman" w:hAnsi="Times New Roman" w:cs="Times New Roman"/>
          <w:sz w:val="24"/>
          <w:szCs w:val="24"/>
        </w:rPr>
        <w:fldChar w:fldCharType="end"/>
      </w:r>
      <w:r w:rsidRPr="000B7DCE">
        <w:rPr>
          <w:rFonts w:ascii="Times New Roman" w:hAnsi="Times New Roman" w:cs="Times New Roman"/>
          <w:sz w:val="24"/>
          <w:szCs w:val="24"/>
        </w:rPr>
        <w:t xml:space="preserve"> (2019), the authors design three versions of LH</w:t>
      </w:r>
      <w:r w:rsidRPr="000B7DCE">
        <w:rPr>
          <w:rFonts w:ascii="Times New Roman" w:hAnsi="Times New Roman" w:cs="Times New Roman"/>
          <w:sz w:val="24"/>
          <w:szCs w:val="24"/>
          <w:vertAlign w:val="subscript"/>
        </w:rPr>
        <w:t>2</w:t>
      </w:r>
      <w:r w:rsidRPr="000B7DCE">
        <w:rPr>
          <w:rFonts w:ascii="Times New Roman" w:hAnsi="Times New Roman" w:cs="Times New Roman"/>
          <w:sz w:val="24"/>
          <w:szCs w:val="24"/>
        </w:rPr>
        <w:t xml:space="preserve"> aircraft, where each version has a distinct tank installation location (rear, top, and pod) and these are included in Figure 8.</w:t>
      </w:r>
      <w:r w:rsidR="00CD258C" w:rsidRPr="00DB2332">
        <w:rPr>
          <w:rFonts w:ascii="Times New Roman" w:hAnsi="Times New Roman" w:cs="Times New Roman"/>
          <w:sz w:val="24"/>
          <w:szCs w:val="24"/>
        </w:rPr>
        <w:t xml:space="preserve"> </w:t>
      </w:r>
    </w:p>
    <w:p w14:paraId="66F8C828" w14:textId="71239EF0" w:rsidR="00DF3E2E" w:rsidRPr="00DB2332" w:rsidRDefault="00DF3E2E">
      <w:pPr>
        <w:rPr>
          <w:rFonts w:ascii="Times New Roman" w:hAnsi="Times New Roman" w:cs="Times New Roman"/>
          <w:sz w:val="24"/>
          <w:szCs w:val="24"/>
        </w:rPr>
      </w:pPr>
      <w:r w:rsidRPr="00DB2332">
        <w:rPr>
          <w:rFonts w:ascii="Times New Roman" w:hAnsi="Times New Roman" w:cs="Times New Roman"/>
          <w:sz w:val="24"/>
          <w:szCs w:val="24"/>
        </w:rPr>
        <w:br w:type="page"/>
      </w:r>
    </w:p>
    <w:p w14:paraId="5554DC3E" w14:textId="77777777" w:rsidR="00DF3E2E" w:rsidRPr="00FA6B79" w:rsidRDefault="00DF3E2E" w:rsidP="00DF3E2E">
      <w:pPr>
        <w:shd w:val="clear" w:color="auto" w:fill="FFFFFF"/>
        <w:spacing w:after="0" w:line="480" w:lineRule="auto"/>
        <w:jc w:val="both"/>
        <w:rPr>
          <w:rFonts w:ascii="Times New Roman" w:hAnsi="Times New Roman" w:cs="Times New Roman"/>
          <w:sz w:val="24"/>
          <w:szCs w:val="24"/>
          <w:lang w:eastAsia="en-GB"/>
        </w:rPr>
      </w:pPr>
      <w:r w:rsidRPr="00FA6B79">
        <w:rPr>
          <w:rFonts w:ascii="Times New Roman" w:hAnsi="Times New Roman" w:cs="Times New Roman"/>
          <w:noProof/>
          <w:sz w:val="24"/>
          <w:szCs w:val="24"/>
          <w:lang w:eastAsia="en-GB"/>
        </w:rPr>
        <w:lastRenderedPageBreak/>
        <w:drawing>
          <wp:inline distT="0" distB="0" distL="0" distR="0" wp14:anchorId="050097AB" wp14:editId="02C73425">
            <wp:extent cx="5731510" cy="6325235"/>
            <wp:effectExtent l="0" t="0" r="254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 4 power law fig.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6325235"/>
                    </a:xfrm>
                    <a:prstGeom prst="rect">
                      <a:avLst/>
                    </a:prstGeom>
                  </pic:spPr>
                </pic:pic>
              </a:graphicData>
            </a:graphic>
          </wp:inline>
        </w:drawing>
      </w:r>
    </w:p>
    <w:p w14:paraId="33920CC4" w14:textId="77777777" w:rsidR="00DF3E2E" w:rsidRPr="00DB2332" w:rsidRDefault="00DF3E2E" w:rsidP="00DF3E2E">
      <w:pPr>
        <w:shd w:val="clear" w:color="auto" w:fill="FFFFFF"/>
        <w:spacing w:line="480" w:lineRule="auto"/>
        <w:jc w:val="center"/>
        <w:rPr>
          <w:rFonts w:ascii="Times New Roman" w:hAnsi="Times New Roman" w:cs="Times New Roman"/>
          <w:sz w:val="24"/>
          <w:szCs w:val="24"/>
        </w:rPr>
      </w:pPr>
      <w:r w:rsidRPr="00DB2332">
        <w:rPr>
          <w:rFonts w:ascii="Times New Roman" w:hAnsi="Times New Roman" w:cs="Times New Roman"/>
          <w:b/>
          <w:bCs/>
          <w:sz w:val="24"/>
          <w:szCs w:val="24"/>
        </w:rPr>
        <w:t>Figure 8. Relationship between OEW and GTOW of LH</w:t>
      </w:r>
      <w:r w:rsidRPr="00DB2332">
        <w:rPr>
          <w:rFonts w:ascii="Times New Roman" w:hAnsi="Times New Roman" w:cs="Times New Roman"/>
          <w:b/>
          <w:bCs/>
          <w:sz w:val="24"/>
          <w:szCs w:val="24"/>
          <w:vertAlign w:val="subscript"/>
        </w:rPr>
        <w:t>2</w:t>
      </w:r>
      <w:r w:rsidRPr="00DB2332">
        <w:rPr>
          <w:rFonts w:ascii="Times New Roman" w:hAnsi="Times New Roman" w:cs="Times New Roman"/>
          <w:b/>
          <w:bCs/>
          <w:sz w:val="24"/>
          <w:szCs w:val="24"/>
        </w:rPr>
        <w:t xml:space="preserve"> aircraft from the literature [except Beck et al. data point (BWB), all aircraft are tube-wing] and present study (Brewer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technology","type":"book"},"uris":["http://www.mendeley.com/documents/?uuid=98dde589-563e-344e-842a-c8eac36971f0"]}],"mendeley":{"formattedCitation":"(Brewer, 2017)","plainTextFormattedCitation":"(Brewer, 2017)","previouslyFormattedCitation":"(Brewer, 2017)"},"properties":{"noteIndex":0},"schema":"https://github.com/citation-style-language/schema/raw/master/csl-citation.json"}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(Brewer, 2017)</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w:t>
      </w:r>
      <w:proofErr w:type="spellStart"/>
      <w:r w:rsidRPr="00FA6B79">
        <w:rPr>
          <w:rFonts w:ascii="Times New Roman" w:hAnsi="Times New Roman" w:cs="Times New Roman"/>
          <w:b/>
          <w:bCs/>
          <w:sz w:val="24"/>
          <w:szCs w:val="24"/>
        </w:rPr>
        <w:t>V</w:t>
      </w:r>
      <w:r w:rsidRPr="00DB2332">
        <w:rPr>
          <w:rFonts w:ascii="Times New Roman" w:hAnsi="Times New Roman" w:cs="Times New Roman"/>
          <w:b/>
          <w:bCs/>
          <w:sz w:val="24"/>
          <w:szCs w:val="24"/>
        </w:rPr>
        <w:t>erstraete</w:t>
      </w:r>
      <w:proofErr w:type="spellEnd"/>
      <w:r w:rsidRPr="00DB2332">
        <w:rPr>
          <w:rFonts w:ascii="Times New Roman" w:hAnsi="Times New Roman" w:cs="Times New Roman"/>
          <w:b/>
          <w:bCs/>
          <w:sz w:val="24"/>
          <w:szCs w:val="24"/>
        </w:rPr>
        <w:t xml:space="preserve">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Energy","id":"ITEM-1","issue":"23","issued":{"date-parts":[["2015","6","22"]]},"page":"7388-7394","publisher":"Elsevier Ltd","title":"On the energy efficiency of hydrogen-fuelled transport aircraft","type":"article-journal","volume":"40"},"uris":["http://www.mendeley.com/documents/?uuid=2925cc4c-1b67-3876-8842-b7c825d091c4"]}],"mendeley":{"formattedCitation":"(Verstraete, 2015)","plainTextFormattedCitation":"(Verstraete, 2015)","previouslyFormattedCitation":"(Verstraete, 2015)"},"properties":{"noteIndex":0},"schema":"https://github.com/citation-style-language/schema/raw/master/csl-citation.json"}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(Verstraete, 2015)</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w:t>
      </w:r>
      <w:proofErr w:type="spellStart"/>
      <w:r w:rsidRPr="00FA6B79">
        <w:rPr>
          <w:rFonts w:ascii="Times New Roman" w:hAnsi="Times New Roman" w:cs="Times New Roman"/>
          <w:b/>
          <w:bCs/>
          <w:sz w:val="24"/>
          <w:szCs w:val="24"/>
        </w:rPr>
        <w:t>Troeltsch</w:t>
      </w:r>
      <w:proofErr w:type="spellEnd"/>
      <w:r w:rsidRPr="00FA6B79">
        <w:rPr>
          <w:rFonts w:ascii="Times New Roman" w:hAnsi="Times New Roman" w:cs="Times New Roman"/>
          <w:b/>
          <w:bCs/>
          <w:sz w:val="24"/>
          <w:szCs w:val="24"/>
        </w:rPr>
        <w:t xml:space="preserve">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impact","type":"article-journal"},"uris":["http://www.mendeley.com/documents/?uuid=d90e0e6c-9dda-3352-b961-f4f1159f9774"]}],"mendeley":{"formattedCitation":"(Troeltsch et al., 2020)","plainTextFormattedCitation":"(Troeltsch et al., 2020)","previouslyFormattedCitation":"(Troeltsch et al., 2020)"},"properties":{"noteIndex":0},"schema":"https://github.com/citation-style-language/schema/raw/master/csl-citation.json"}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(Troeltsch et al., 2020)</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Beck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URL":"https://www.dlr.de/content/de/downloads/2018/tu-berlin-efficiency-meets-sky_3095.pdf?__blob=publicationFile&amp;v=10","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sky","type":"webpage"},"uris":["http://www.mendeley.com/documents/?uuid=e54af561-eff2-3b90-8e2b-51c9dfb7975b"]}],"mendeley":{"formattedCitation":"(Beck et al., 2018)","plainTextFormattedCitation":"(Beck et al., 2018)","previouslyFormattedCitation":"(Beck et al., 2018)"},"properties":{"noteIndex":0},"schema":"https://github.com/citation-style-language/schema/raw/master/csl-citation.json"}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(Beck et al., 2018)</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w:t>
      </w:r>
      <w:proofErr w:type="spellStart"/>
      <w:r w:rsidRPr="00FA6B79">
        <w:rPr>
          <w:rFonts w:ascii="Times New Roman" w:hAnsi="Times New Roman" w:cs="Times New Roman"/>
          <w:b/>
          <w:bCs/>
          <w:sz w:val="24"/>
          <w:szCs w:val="24"/>
        </w:rPr>
        <w:t>Proesmans</w:t>
      </w:r>
      <w:proofErr w:type="spellEnd"/>
      <w:r w:rsidRPr="00FA6B79">
        <w:rPr>
          <w:rFonts w:ascii="Times New Roman" w:hAnsi="Times New Roman" w:cs="Times New Roman"/>
          <w:b/>
          <w:bCs/>
          <w:sz w:val="24"/>
          <w:szCs w:val="24"/>
        </w:rPr>
        <w:t xml:space="preserve">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Aircraft","type":"article-journal"},"uris":["http://www.mendeley.com/documents/?uuid=ed9ebc10-ecab-3cdb-9b6b-86ea337f30e1"]}],"mendeley":{"formattedCitation":"(Proesmans and Vos, 2022)","plainTextFormattedCitation":"(Proesmans and Vos, 2022)","previouslyFormattedCitation":"(Proesmans and Vos, 2022)"},"properties":{"noteIndex":0},"schema":"https://github.com/citation-style-language/schema/raw/master/csl-citation.json"}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(Proesmans and Vos, 2022)</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Gomez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analysis","type":"article-journal","volume":"95"},"uris":["http://www.mendeley.com/documents/?uuid=f26a5a65-f439-3539-80c3-e3a1374929ee"]}],"mendeley":{"formattedCitation":"(Gomez and Smith, 2019)","plainTextFormattedCitation":"(Gomez and Smith, 2019)","previouslyFormattedCitation":"(Gomez and Smith, 2019)"},"properties":{"noteIndex":0},"schema":"https://github.com/citation-style-language/schema/raw/master/csl-citation.json"}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(Gomez and Smith, 2019)</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w:t>
      </w:r>
      <w:proofErr w:type="spellStart"/>
      <w:r w:rsidRPr="00FA6B79">
        <w:rPr>
          <w:rFonts w:ascii="Times New Roman" w:hAnsi="Times New Roman" w:cs="Times New Roman"/>
          <w:b/>
          <w:bCs/>
          <w:sz w:val="24"/>
          <w:szCs w:val="24"/>
        </w:rPr>
        <w:t>Silberhorn</w:t>
      </w:r>
      <w:proofErr w:type="spellEnd"/>
      <w:r w:rsidRPr="00FA6B79">
        <w:rPr>
          <w:rFonts w:ascii="Times New Roman" w:hAnsi="Times New Roman" w:cs="Times New Roman"/>
          <w:b/>
          <w:bCs/>
          <w:sz w:val="24"/>
          <w:szCs w:val="24"/>
        </w:rPr>
        <w:t xml:space="preserve">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Research","id":"ITEM-1","issued":{"date-parts":[["2019"]]},"title":"ASSESSMENT OF HYDROGEN FUEL TANK INTEGRATION AT AIRCRAFT LEVEL","type":"article-journal"},"uris":["http://www.mendeley.com/documents/?uuid=e105b9c8-532b-3b02-b489-d6d4418cb7a2"]}],"mendeley":{"formattedCitation":"(Silberhorn et al., 2019)","plainTextFormattedCitation":"(Silberhorn et al., 2019)","previouslyFormattedCitation":"(Silberhorn et al., 2019)"},"properties":{"noteIndex":0},"schema":"https://github.com/citation-style-language/schema/raw/master/csl-citation.json"}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(Silberhorn et al., 2019)</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(2019), </w:t>
      </w:r>
      <w:proofErr w:type="spellStart"/>
      <w:r w:rsidRPr="00FA6B79">
        <w:rPr>
          <w:rFonts w:ascii="Times New Roman" w:hAnsi="Times New Roman" w:cs="Times New Roman"/>
          <w:b/>
          <w:bCs/>
          <w:sz w:val="24"/>
          <w:szCs w:val="24"/>
        </w:rPr>
        <w:t>Silberhorn</w:t>
      </w:r>
      <w:proofErr w:type="spellEnd"/>
      <w:r w:rsidRPr="00FA6B79">
        <w:rPr>
          <w:rFonts w:ascii="Times New Roman" w:hAnsi="Times New Roman" w:cs="Times New Roman"/>
          <w:b/>
          <w:bCs/>
          <w:sz w:val="24"/>
          <w:szCs w:val="24"/>
        </w:rPr>
        <w:t xml:space="preserve">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5950","id":"ITEM-1","issue":"12","issued":{"date-parts":[["2022","6","11"]]},"page":"5950","publisher":"Multidisciplinary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Concepts","type":"article-journal","volume":"12"},"uris":["http://www.mendeley.com/documents/?uuid=7ac695f9-a8fb-39b0-b39f-26e74d5de8fc"]}],"mendeley":{"formattedCitation":"(Silberhorn et al., 2022)","plainTextFormattedCitation":"(Silberhorn et al., 2022)","previouslyFormattedCitation":"(Silberhorn et al., 2022)"},"properties":{"noteIndex":0},"schema":"https://github.com/citation-style-language/schema/raw/master/csl-citation.json"}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(Silberhorn et al., 2022)</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(2022), </w:t>
      </w:r>
      <w:proofErr w:type="spellStart"/>
      <w:r w:rsidRPr="00FA6B79">
        <w:rPr>
          <w:rFonts w:ascii="Times New Roman" w:hAnsi="Times New Roman" w:cs="Times New Roman"/>
          <w:b/>
          <w:bCs/>
          <w:sz w:val="24"/>
          <w:szCs w:val="24"/>
        </w:rPr>
        <w:t>Lammen</w:t>
      </w:r>
      <w:proofErr w:type="spellEnd"/>
      <w:r w:rsidRPr="00FA6B79">
        <w:rPr>
          <w:rFonts w:ascii="Times New Roman" w:hAnsi="Times New Roman" w:cs="Times New Roman"/>
          <w:b/>
          <w:bCs/>
          <w:sz w:val="24"/>
          <w:szCs w:val="24"/>
        </w:rPr>
        <w:t xml:space="preserve">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NLR","id":"ITEM-1","issued":{"date-parts":[["2022"]]},"publisher":"Netherlands Aerospace Centre NLR","title":"Hydrogen-powered propulsion aircraft: conceptual sizing and fleet level impact analysis","type":"webpage"},"uris":["http://www.mendeley.com/documents/?uuid=19a3087a-40f4-374a-98d6-f225bdda5d64"]}],"mendeley":{"formattedCitation":"(Lammen et al., 2022)","plainTextFormattedCitation":"(Lammen et al., 2022)","previouslyFormattedCitation":"(Lammen et al., 2022)"},"properties":{"noteIndex":0},"schema":"https://github.com/citation-style-language/schema/raw/master/csl-citation.json"}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(Lammen et al., 2022)</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w:t>
      </w:r>
      <w:proofErr w:type="spellStart"/>
      <w:r w:rsidRPr="00FA6B79">
        <w:rPr>
          <w:rFonts w:ascii="Times New Roman" w:hAnsi="Times New Roman" w:cs="Times New Roman"/>
          <w:b/>
          <w:bCs/>
          <w:sz w:val="24"/>
          <w:szCs w:val="24"/>
        </w:rPr>
        <w:t>Onorato</w:t>
      </w:r>
      <w:proofErr w:type="spellEnd"/>
      <w:r w:rsidRPr="00FA6B79">
        <w:rPr>
          <w:rFonts w:ascii="Times New Roman" w:hAnsi="Times New Roman" w:cs="Times New Roman"/>
          <w:b/>
          <w:bCs/>
          <w:sz w:val="24"/>
          <w:szCs w:val="24"/>
        </w:rPr>
        <w:t xml:space="preserve">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Journal","id":"ITEM-1","issued":{"date-parts":[["2022","9","17"]]},"page":"1-33","publisher":"Springer","title":"Assessment of hydrogen transport aircraft: Effects of fuel tank integration","type":"article-journal","volume":"1"},"uris":["http://www.mendeley.com/documents/?uuid=34cb7987-9f35-35a2-ab6d-541bedeb0e3f"]}],"mendeley":{"formattedCitation":"(Onorato et al., 2022)","plainTextFormattedCitation":"(Onorato et al., 2022)","previouslyFormattedCitation":"(Onorato et al., 2022)"},"properties":{"noteIndex":0},"schema":"https://github.com/citation-style-language/schema/raw/master/csl-citation.json"}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(Onorato et al., 2022)</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 xml:space="preserve">, and </w:t>
      </w:r>
      <w:proofErr w:type="spellStart"/>
      <w:r w:rsidRPr="00FA6B79">
        <w:rPr>
          <w:rFonts w:ascii="Times New Roman" w:hAnsi="Times New Roman" w:cs="Times New Roman"/>
          <w:b/>
          <w:bCs/>
          <w:sz w:val="24"/>
          <w:szCs w:val="24"/>
        </w:rPr>
        <w:t>Huete</w:t>
      </w:r>
      <w:proofErr w:type="spellEnd"/>
      <w:r w:rsidRPr="00FA6B79">
        <w:rPr>
          <w:rFonts w:ascii="Times New Roman" w:hAnsi="Times New Roman" w:cs="Times New Roman"/>
          <w:b/>
          <w:bCs/>
          <w:sz w:val="24"/>
          <w:szCs w:val="24"/>
        </w:rPr>
        <w:t xml:space="preserve"> et al. </w:t>
      </w:r>
      <w:r w:rsidRPr="00DB2332">
        <w:rPr>
          <w:rFonts w:ascii="Times New Roman" w:hAnsi="Times New Roman" w:cs="Times New Roman"/>
          <w:b/>
          <w:bCs/>
          <w:sz w:val="24"/>
          <w:szCs w:val="24"/>
        </w:rPr>
        <w:fldChar w:fldCharType="begin" w:fldLock="1"/>
      </w:r>
      <w:r w:rsidRPr="00DB2332">
        <w:rPr>
          <w:rFonts w:ascii="Times New Roman" w:hAnsi="Times New Roman" w:cs="Times New Roman"/>
          <w:b/>
          <w:bCs/>
          <w:sz w:val="24"/>
          <w:szCs w:val="24"/>
        </w:rPr>
        <w:instrText>ADDIN CSL_CITATION {"citationItems":[{"id":"ITEM-1","itemData":{"DOI":"10.1017/AER.2022.60","ISSN":"0001-9240","abstract":"Civil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airliner","type":"article-journal","volume":"126"},"uris":["http://www.mendeley.com/documents/?uuid=fba1efc2-04d0-3648-b980-8644a5af1241"]}],"mendeley":{"formattedCitation":"(Huete et al., 2022)","plainTextFormattedCitation":"(Huete et al., 2022)","previouslyFormattedCitation":"(Huete et al., 2022)"},"properties":{"noteIndex":0},"schema":"https://github.com/citation-style-language/schema/raw/master/csl-citation.json"}</w:instrText>
      </w:r>
      <w:r w:rsidRPr="00DB2332">
        <w:rPr>
          <w:rFonts w:ascii="Times New Roman" w:hAnsi="Times New Roman" w:cs="Times New Roman"/>
          <w:b/>
          <w:bCs/>
          <w:sz w:val="24"/>
          <w:szCs w:val="24"/>
        </w:rPr>
        <w:fldChar w:fldCharType="separate"/>
      </w:r>
      <w:r w:rsidRPr="00DB2332">
        <w:rPr>
          <w:rFonts w:ascii="Times New Roman" w:hAnsi="Times New Roman" w:cs="Times New Roman"/>
          <w:b/>
          <w:bCs/>
          <w:noProof/>
          <w:sz w:val="24"/>
          <w:szCs w:val="24"/>
        </w:rPr>
        <w:t>(Huete et al., 2022)</w:t>
      </w:r>
      <w:r w:rsidRPr="00DB2332">
        <w:rPr>
          <w:rFonts w:ascii="Times New Roman" w:hAnsi="Times New Roman" w:cs="Times New Roman"/>
          <w:b/>
          <w:bCs/>
          <w:sz w:val="24"/>
          <w:szCs w:val="24"/>
        </w:rPr>
        <w:fldChar w:fldCharType="end"/>
      </w:r>
      <w:r w:rsidRPr="00FA6B79">
        <w:rPr>
          <w:rFonts w:ascii="Times New Roman" w:hAnsi="Times New Roman" w:cs="Times New Roman"/>
          <w:b/>
          <w:bCs/>
          <w:sz w:val="24"/>
          <w:szCs w:val="24"/>
        </w:rPr>
        <w:t>)</w:t>
      </w:r>
      <w:r w:rsidRPr="00DB2332">
        <w:rPr>
          <w:rFonts w:ascii="Times New Roman" w:hAnsi="Times New Roman" w:cs="Times New Roman"/>
          <w:b/>
          <w:bCs/>
          <w:sz w:val="24"/>
          <w:szCs w:val="24"/>
        </w:rPr>
        <w:t xml:space="preserve"> </w:t>
      </w:r>
    </w:p>
    <w:p w14:paraId="70751193" w14:textId="39FD1C10" w:rsidR="00CD258C" w:rsidRPr="00DB2332" w:rsidRDefault="00CD258C" w:rsidP="6752A1B1">
      <w:pPr>
        <w:shd w:val="clear" w:color="auto" w:fill="FFFFFF" w:themeFill="background1"/>
        <w:spacing w:line="480" w:lineRule="auto"/>
        <w:jc w:val="both"/>
        <w:rPr>
          <w:rFonts w:ascii="Times New Roman" w:hAnsi="Times New Roman" w:cs="Times New Roman"/>
          <w:sz w:val="24"/>
          <w:szCs w:val="24"/>
          <w:lang w:eastAsia="en-GB"/>
        </w:rPr>
      </w:pPr>
      <w:r w:rsidRPr="00DB2332">
        <w:rPr>
          <w:rFonts w:ascii="Times New Roman" w:hAnsi="Times New Roman" w:cs="Times New Roman"/>
          <w:sz w:val="24"/>
          <w:szCs w:val="24"/>
        </w:rPr>
        <w:lastRenderedPageBreak/>
        <w:tab/>
        <w:t xml:space="preserve">We observe from Figure </w:t>
      </w:r>
      <w:r w:rsidR="00ED7A8F" w:rsidRPr="00DB2332">
        <w:rPr>
          <w:rFonts w:ascii="Times New Roman" w:hAnsi="Times New Roman" w:cs="Times New Roman"/>
          <w:sz w:val="24"/>
          <w:szCs w:val="24"/>
        </w:rPr>
        <w:t>8</w:t>
      </w:r>
      <w:r w:rsidRPr="00DB2332">
        <w:rPr>
          <w:rFonts w:ascii="Times New Roman" w:hAnsi="Times New Roman" w:cs="Times New Roman"/>
          <w:sz w:val="24"/>
          <w:szCs w:val="24"/>
        </w:rPr>
        <w:t xml:space="preserve"> that the relationship between OEW and GTOW for the </w:t>
      </w:r>
      <w:r w:rsidR="495425F3" w:rsidRPr="00DB2332">
        <w:rPr>
          <w:rFonts w:ascii="Times New Roman" w:hAnsi="Times New Roman" w:cs="Times New Roman"/>
          <w:sz w:val="24"/>
          <w:szCs w:val="24"/>
        </w:rPr>
        <w:t>LH</w:t>
      </w:r>
      <w:r w:rsidR="495425F3" w:rsidRPr="00DB2332">
        <w:rPr>
          <w:rFonts w:ascii="Times New Roman" w:hAnsi="Times New Roman" w:cs="Times New Roman"/>
          <w:sz w:val="24"/>
          <w:szCs w:val="24"/>
          <w:vertAlign w:val="subscript"/>
        </w:rPr>
        <w:t>2</w:t>
      </w:r>
      <w:r w:rsidR="495425F3" w:rsidRPr="00DB2332">
        <w:rPr>
          <w:rFonts w:ascii="Times New Roman" w:hAnsi="Times New Roman" w:cs="Times New Roman"/>
          <w:sz w:val="24"/>
          <w:szCs w:val="24"/>
        </w:rPr>
        <w:t xml:space="preserve"> </w:t>
      </w:r>
      <w:r w:rsidRPr="00DB2332">
        <w:rPr>
          <w:rFonts w:ascii="Times New Roman" w:hAnsi="Times New Roman" w:cs="Times New Roman"/>
          <w:sz w:val="24"/>
          <w:szCs w:val="24"/>
        </w:rPr>
        <w:t xml:space="preserve">aircraft designed in this research </w:t>
      </w:r>
      <w:r w:rsidR="2B0A7604" w:rsidRPr="00DB2332">
        <w:rPr>
          <w:rFonts w:ascii="Times New Roman" w:hAnsi="Times New Roman" w:cs="Times New Roman"/>
          <w:sz w:val="24"/>
          <w:szCs w:val="24"/>
        </w:rPr>
        <w:t>and earlier</w:t>
      </w:r>
      <w:r w:rsidRPr="00DB2332">
        <w:rPr>
          <w:rFonts w:ascii="Times New Roman" w:hAnsi="Times New Roman" w:cs="Times New Roman"/>
          <w:sz w:val="24"/>
          <w:szCs w:val="24"/>
        </w:rPr>
        <w:t xml:space="preserve"> literature </w:t>
      </w:r>
      <w:r w:rsidR="48657555" w:rsidRPr="00DB2332">
        <w:rPr>
          <w:rFonts w:ascii="Times New Roman" w:hAnsi="Times New Roman" w:cs="Times New Roman"/>
          <w:sz w:val="24"/>
          <w:szCs w:val="24"/>
        </w:rPr>
        <w:t xml:space="preserve">follow a consistent trend, which can be approximated by a power law. </w:t>
      </w:r>
      <w:r w:rsidR="7598A285" w:rsidRPr="00DB2332">
        <w:rPr>
          <w:rFonts w:ascii="Times New Roman" w:hAnsi="Times New Roman" w:cs="Times New Roman"/>
          <w:sz w:val="24"/>
          <w:szCs w:val="24"/>
        </w:rPr>
        <w:t>We suggest that this trend could</w:t>
      </w:r>
      <w:r w:rsidR="29BC5A43" w:rsidRPr="00DB2332">
        <w:rPr>
          <w:rFonts w:ascii="Times New Roman" w:hAnsi="Times New Roman" w:cs="Times New Roman"/>
          <w:sz w:val="24"/>
          <w:szCs w:val="24"/>
        </w:rPr>
        <w:t xml:space="preserve"> facil</w:t>
      </w:r>
      <w:r w:rsidR="000D2906" w:rsidRPr="00DB2332">
        <w:rPr>
          <w:rFonts w:ascii="Times New Roman" w:hAnsi="Times New Roman" w:cs="Times New Roman"/>
          <w:sz w:val="24"/>
          <w:szCs w:val="24"/>
        </w:rPr>
        <w:t>itate</w:t>
      </w:r>
      <w:r w:rsidR="29BC5A43" w:rsidRPr="00DB2332">
        <w:rPr>
          <w:rFonts w:ascii="Times New Roman" w:hAnsi="Times New Roman" w:cs="Times New Roman"/>
          <w:sz w:val="24"/>
          <w:szCs w:val="24"/>
        </w:rPr>
        <w:t xml:space="preserve"> </w:t>
      </w:r>
      <w:r w:rsidR="000D2906" w:rsidRPr="00DB2332">
        <w:rPr>
          <w:rFonts w:ascii="Times New Roman" w:hAnsi="Times New Roman" w:cs="Times New Roman"/>
          <w:sz w:val="24"/>
          <w:szCs w:val="24"/>
        </w:rPr>
        <w:t xml:space="preserve">a </w:t>
      </w:r>
      <w:r w:rsidR="292C1371" w:rsidRPr="00DB2332">
        <w:rPr>
          <w:rFonts w:ascii="Times New Roman" w:hAnsi="Times New Roman" w:cs="Times New Roman"/>
          <w:sz w:val="24"/>
          <w:szCs w:val="24"/>
        </w:rPr>
        <w:t>more rapid</w:t>
      </w:r>
      <w:r w:rsidRPr="00DB2332">
        <w:rPr>
          <w:rFonts w:ascii="Times New Roman" w:hAnsi="Times New Roman" w:cs="Times New Roman"/>
          <w:sz w:val="24"/>
          <w:szCs w:val="24"/>
        </w:rPr>
        <w:t xml:space="preserve"> weight sizing studies on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aircraft </w:t>
      </w:r>
      <w:r w:rsidR="29BC5A43" w:rsidRPr="00DB2332">
        <w:rPr>
          <w:rFonts w:ascii="Times New Roman" w:hAnsi="Times New Roman" w:cs="Times New Roman"/>
          <w:sz w:val="24"/>
          <w:szCs w:val="24"/>
        </w:rPr>
        <w:t>design</w:t>
      </w:r>
      <w:r w:rsidR="57AF691F" w:rsidRPr="00DB2332">
        <w:rPr>
          <w:rFonts w:ascii="Times New Roman" w:hAnsi="Times New Roman" w:cs="Times New Roman"/>
          <w:sz w:val="24"/>
          <w:szCs w:val="24"/>
        </w:rPr>
        <w:t>s using low-order modelling approaches</w:t>
      </w:r>
      <w:r w:rsidRPr="00DB2332">
        <w:rPr>
          <w:rFonts w:ascii="Times New Roman" w:hAnsi="Times New Roman" w:cs="Times New Roman"/>
          <w:sz w:val="24"/>
          <w:szCs w:val="24"/>
        </w:rPr>
        <w:t xml:space="preserve">. Similarly, an equation is developed (in </w:t>
      </w:r>
      <w:r w:rsidRPr="00DB2332">
        <w:rPr>
          <w:rFonts w:ascii="Times New Roman" w:hAnsi="Times New Roman" w:cs="Times New Roman"/>
          <w:sz w:val="24"/>
          <w:szCs w:val="24"/>
          <w:lang w:eastAsia="en-GB"/>
        </w:rPr>
        <w:t>SI §</w:t>
      </w:r>
      <w:r w:rsidR="001C0228" w:rsidRPr="00DB2332">
        <w:rPr>
          <w:rFonts w:ascii="Times New Roman" w:eastAsia="Times New Roman" w:hAnsi="Times New Roman" w:cs="Times New Roman"/>
          <w:sz w:val="24"/>
          <w:szCs w:val="24"/>
          <w:lang w:eastAsia="en-GB"/>
        </w:rPr>
        <w:t>8</w:t>
      </w:r>
      <w:r w:rsidRPr="00DB2332">
        <w:rPr>
          <w:rFonts w:ascii="Times New Roman" w:eastAsia="Times New Roman" w:hAnsi="Times New Roman" w:cs="Times New Roman"/>
          <w:sz w:val="24"/>
          <w:szCs w:val="24"/>
          <w:lang w:eastAsia="en-GB"/>
        </w:rPr>
        <w:t>.1</w:t>
      </w:r>
      <w:r w:rsidRPr="00DB2332">
        <w:rPr>
          <w:rFonts w:ascii="Times New Roman" w:hAnsi="Times New Roman" w:cs="Times New Roman"/>
          <w:sz w:val="24"/>
          <w:szCs w:val="24"/>
        </w:rPr>
        <w:t>) which provides a relationship between OEW and GTOW of Jet-A and/or 100% SPK from the present study and aircraft in service.</w:t>
      </w:r>
    </w:p>
    <w:p w14:paraId="4CB3F592" w14:textId="45CCF119" w:rsidR="000F621F" w:rsidRPr="00DB2332" w:rsidRDefault="000F621F" w:rsidP="000C5E43">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DB2332">
        <w:rPr>
          <w:rFonts w:ascii="Times New Roman" w:eastAsia="Times New Roman" w:hAnsi="Times New Roman" w:cs="Times New Roman"/>
          <w:color w:val="auto"/>
          <w:sz w:val="24"/>
          <w:szCs w:val="24"/>
          <w:bdr w:val="none" w:sz="0" w:space="0" w:color="auto" w:frame="1"/>
          <w:lang w:eastAsia="en-GB"/>
        </w:rPr>
        <w:t>Discussion</w:t>
      </w:r>
    </w:p>
    <w:p w14:paraId="624A1F53" w14:textId="20960E95" w:rsidR="004E1624" w:rsidRPr="000B7DCE" w:rsidRDefault="004E1624" w:rsidP="000B7DCE">
      <w:pPr>
        <w:pStyle w:val="Heading3"/>
        <w:spacing w:after="240" w:line="480" w:lineRule="auto"/>
        <w:rPr>
          <w:rFonts w:ascii="Times New Roman" w:hAnsi="Times New Roman" w:cs="Times New Roman"/>
          <w:color w:val="auto"/>
          <w:lang w:eastAsia="en-GB"/>
        </w:rPr>
      </w:pPr>
      <w:r w:rsidRPr="000B7DCE">
        <w:rPr>
          <w:rFonts w:ascii="Times New Roman" w:hAnsi="Times New Roman" w:cs="Times New Roman"/>
          <w:color w:val="auto"/>
          <w:lang w:eastAsia="en-GB"/>
        </w:rPr>
        <w:t xml:space="preserve">Modifications to aircraft </w:t>
      </w:r>
      <w:r w:rsidR="00E43E07" w:rsidRPr="000B7DCE">
        <w:rPr>
          <w:rFonts w:ascii="Times New Roman" w:hAnsi="Times New Roman" w:cs="Times New Roman"/>
          <w:color w:val="auto"/>
          <w:lang w:eastAsia="en-GB"/>
        </w:rPr>
        <w:t xml:space="preserve">and aviation </w:t>
      </w:r>
      <w:r w:rsidRPr="000B7DCE">
        <w:rPr>
          <w:rFonts w:ascii="Times New Roman" w:hAnsi="Times New Roman" w:cs="Times New Roman"/>
          <w:color w:val="auto"/>
          <w:lang w:eastAsia="en-GB"/>
        </w:rPr>
        <w:t xml:space="preserve">sub-systems </w:t>
      </w:r>
    </w:p>
    <w:p w14:paraId="63701D5D" w14:textId="5C532F56" w:rsidR="008D68E4" w:rsidRPr="00DB2332" w:rsidRDefault="00C73BE6" w:rsidP="00C73BE6">
      <w:pPr>
        <w:spacing w:after="0" w:line="480" w:lineRule="auto"/>
        <w:ind w:firstLine="576"/>
        <w:jc w:val="both"/>
        <w:rPr>
          <w:rFonts w:ascii="Times New Roman" w:hAnsi="Times New Roman" w:cs="Times New Roman"/>
          <w:sz w:val="24"/>
          <w:szCs w:val="24"/>
        </w:rPr>
      </w:pPr>
      <w:r w:rsidRPr="00FA6B79">
        <w:rPr>
          <w:rFonts w:ascii="Times New Roman" w:hAnsi="Times New Roman" w:cs="Times New Roman"/>
          <w:sz w:val="24"/>
          <w:szCs w:val="24"/>
        </w:rPr>
        <w:t>100% SPK and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are the only two alternative fuels (quantitatively) identified from this study that enable a long-range air travel with a</w:t>
      </w:r>
      <w:r w:rsidR="005368FB" w:rsidRPr="00DB2332">
        <w:rPr>
          <w:rFonts w:ascii="Times New Roman" w:hAnsi="Times New Roman" w:cs="Times New Roman"/>
          <w:sz w:val="24"/>
          <w:szCs w:val="24"/>
        </w:rPr>
        <w:t xml:space="preserve"> tube-wing</w:t>
      </w:r>
      <w:r w:rsidRPr="00DB2332">
        <w:rPr>
          <w:rFonts w:ascii="Times New Roman" w:hAnsi="Times New Roman" w:cs="Times New Roman"/>
          <w:sz w:val="24"/>
          <w:szCs w:val="24"/>
        </w:rPr>
        <w:t xml:space="preserve"> LTA aircraft.</w:t>
      </w:r>
      <w:r w:rsidR="004D4268" w:rsidRPr="00DB2332">
        <w:rPr>
          <w:rFonts w:ascii="Times New Roman" w:hAnsi="Times New Roman" w:cs="Times New Roman"/>
          <w:sz w:val="24"/>
          <w:szCs w:val="24"/>
        </w:rPr>
        <w:t xml:space="preserve"> </w:t>
      </w:r>
      <w:r w:rsidR="001B65FE" w:rsidRPr="00DB2332">
        <w:rPr>
          <w:rFonts w:ascii="Times New Roman" w:hAnsi="Times New Roman" w:cs="Times New Roman"/>
          <w:sz w:val="24"/>
          <w:szCs w:val="24"/>
        </w:rPr>
        <w:t>In terms of modifications required to the aircraft sub-systems,</w:t>
      </w:r>
      <w:r w:rsidR="00F46CE3" w:rsidRPr="00DB2332">
        <w:rPr>
          <w:rFonts w:ascii="Times New Roman" w:hAnsi="Times New Roman" w:cs="Times New Roman"/>
          <w:sz w:val="24"/>
          <w:szCs w:val="24"/>
        </w:rPr>
        <w:t xml:space="preserve"> LH</w:t>
      </w:r>
      <w:r w:rsidR="00F46CE3" w:rsidRPr="00DB2332">
        <w:rPr>
          <w:rFonts w:ascii="Times New Roman" w:hAnsi="Times New Roman" w:cs="Times New Roman"/>
          <w:sz w:val="24"/>
          <w:szCs w:val="24"/>
          <w:vertAlign w:val="subscript"/>
        </w:rPr>
        <w:t>2</w:t>
      </w:r>
      <w:r w:rsidR="001B65FE" w:rsidRPr="00DB2332">
        <w:rPr>
          <w:rFonts w:ascii="Times New Roman" w:hAnsi="Times New Roman" w:cs="Times New Roman"/>
          <w:sz w:val="24"/>
          <w:szCs w:val="24"/>
        </w:rPr>
        <w:t xml:space="preserve"> </w:t>
      </w:r>
      <w:r w:rsidR="00F46CE3" w:rsidRPr="00DB2332">
        <w:rPr>
          <w:rFonts w:ascii="Times New Roman" w:hAnsi="Times New Roman" w:cs="Times New Roman"/>
          <w:sz w:val="24"/>
          <w:szCs w:val="24"/>
        </w:rPr>
        <w:t xml:space="preserve">use requires significant </w:t>
      </w:r>
      <w:r w:rsidR="009A7AFF" w:rsidRPr="00DB2332">
        <w:rPr>
          <w:rFonts w:ascii="Times New Roman" w:hAnsi="Times New Roman" w:cs="Times New Roman"/>
          <w:sz w:val="24"/>
          <w:szCs w:val="24"/>
        </w:rPr>
        <w:t>changes</w:t>
      </w:r>
      <w:r w:rsidR="00F46CE3" w:rsidRPr="00DB2332">
        <w:rPr>
          <w:rFonts w:ascii="Times New Roman" w:hAnsi="Times New Roman" w:cs="Times New Roman"/>
          <w:sz w:val="24"/>
          <w:szCs w:val="24"/>
        </w:rPr>
        <w:t xml:space="preserve"> to the aircraft sub-systems which</w:t>
      </w:r>
      <w:r w:rsidR="009A7AFF" w:rsidRPr="00DB2332">
        <w:rPr>
          <w:rFonts w:ascii="Times New Roman" w:hAnsi="Times New Roman" w:cs="Times New Roman"/>
          <w:sz w:val="24"/>
          <w:szCs w:val="24"/>
        </w:rPr>
        <w:t xml:space="preserve"> primarily</w:t>
      </w:r>
      <w:r w:rsidR="00F46CE3" w:rsidRPr="00DB2332">
        <w:rPr>
          <w:rFonts w:ascii="Times New Roman" w:hAnsi="Times New Roman" w:cs="Times New Roman"/>
          <w:sz w:val="24"/>
          <w:szCs w:val="24"/>
        </w:rPr>
        <w:t xml:space="preserve"> include </w:t>
      </w:r>
      <w:r w:rsidR="009A7AFF" w:rsidRPr="00DB2332">
        <w:rPr>
          <w:rFonts w:ascii="Times New Roman" w:hAnsi="Times New Roman" w:cs="Times New Roman"/>
          <w:sz w:val="24"/>
          <w:szCs w:val="24"/>
        </w:rPr>
        <w:t xml:space="preserve">installation of cryogenic tank (negative effect on aerodynamic and structural performance as observed in </w:t>
      </w:r>
      <w:r w:rsidR="009A7AFF" w:rsidRPr="00DB2332">
        <w:rPr>
          <w:rFonts w:ascii="Times New Roman" w:hAnsi="Times New Roman" w:cs="Times New Roman"/>
          <w:sz w:val="24"/>
          <w:szCs w:val="24"/>
          <w:lang w:eastAsia="en-GB"/>
        </w:rPr>
        <w:t>§</w:t>
      </w:r>
      <w:r w:rsidR="009A7AFF" w:rsidRPr="00DB2332">
        <w:rPr>
          <w:rFonts w:ascii="Times New Roman" w:hAnsi="Times New Roman" w:cs="Times New Roman"/>
          <w:sz w:val="24"/>
          <w:szCs w:val="24"/>
        </w:rPr>
        <w:t xml:space="preserve">4.1), modifications to fuel lines and engine/combustor (improve flame characteristics and reduced emissions of oxides of nitrogen), </w:t>
      </w:r>
      <w:r w:rsidR="007D0040" w:rsidRPr="00DB2332">
        <w:rPr>
          <w:rFonts w:ascii="Times New Roman" w:hAnsi="Times New Roman" w:cs="Times New Roman"/>
          <w:sz w:val="24"/>
          <w:szCs w:val="24"/>
        </w:rPr>
        <w:t xml:space="preserve">and </w:t>
      </w:r>
      <w:r w:rsidR="009A7AFF" w:rsidRPr="00DB2332">
        <w:rPr>
          <w:rFonts w:ascii="Times New Roman" w:hAnsi="Times New Roman" w:cs="Times New Roman"/>
          <w:sz w:val="24"/>
          <w:szCs w:val="24"/>
        </w:rPr>
        <w:t xml:space="preserve">installation of a heat exchanger (for enabling phase change of hydrogen </w:t>
      </w:r>
      <w:r w:rsidR="007D0040" w:rsidRPr="00DB2332">
        <w:rPr>
          <w:rFonts w:ascii="Times New Roman" w:hAnsi="Times New Roman" w:cs="Times New Roman"/>
          <w:sz w:val="24"/>
          <w:szCs w:val="24"/>
        </w:rPr>
        <w:t>before injecting it into the</w:t>
      </w:r>
      <w:r w:rsidR="009A7AFF" w:rsidRPr="00DB2332">
        <w:rPr>
          <w:rFonts w:ascii="Times New Roman" w:hAnsi="Times New Roman" w:cs="Times New Roman"/>
          <w:sz w:val="24"/>
          <w:szCs w:val="24"/>
        </w:rPr>
        <w:t xml:space="preserve"> combustor and component cooling)</w:t>
      </w:r>
      <w:r w:rsidR="007D0040" w:rsidRPr="00DB2332">
        <w:rPr>
          <w:rFonts w:ascii="Times New Roman" w:hAnsi="Times New Roman" w:cs="Times New Roman"/>
          <w:sz w:val="24"/>
          <w:szCs w:val="24"/>
        </w:rPr>
        <w:t>. These modifications and the aspects such as LH</w:t>
      </w:r>
      <w:r w:rsidR="007D0040" w:rsidRPr="00DB2332">
        <w:rPr>
          <w:rFonts w:ascii="Times New Roman" w:hAnsi="Times New Roman" w:cs="Times New Roman"/>
          <w:sz w:val="24"/>
          <w:szCs w:val="24"/>
          <w:vertAlign w:val="subscript"/>
        </w:rPr>
        <w:t>2</w:t>
      </w:r>
      <w:r w:rsidR="007D0040" w:rsidRPr="00DB2332">
        <w:rPr>
          <w:rFonts w:ascii="Times New Roman" w:hAnsi="Times New Roman" w:cs="Times New Roman"/>
          <w:sz w:val="24"/>
          <w:szCs w:val="24"/>
        </w:rPr>
        <w:t xml:space="preserve"> aircraft safety and refuelling</w:t>
      </w:r>
      <w:r w:rsidR="00E43E07" w:rsidRPr="00DB2332">
        <w:rPr>
          <w:rFonts w:ascii="Times New Roman" w:hAnsi="Times New Roman" w:cs="Times New Roman"/>
          <w:sz w:val="24"/>
          <w:szCs w:val="24"/>
        </w:rPr>
        <w:t>, and changes to airport infrastructure for hydrogen powered aviation</w:t>
      </w:r>
      <w:r w:rsidR="007D0040" w:rsidRPr="00DB2332">
        <w:rPr>
          <w:rFonts w:ascii="Times New Roman" w:hAnsi="Times New Roman" w:cs="Times New Roman"/>
          <w:sz w:val="24"/>
          <w:szCs w:val="24"/>
        </w:rPr>
        <w:t xml:space="preserve"> are reviewed in </w:t>
      </w:r>
      <w:r w:rsidR="0028035D" w:rsidRPr="00DB2332">
        <w:rPr>
          <w:rFonts w:ascii="Times New Roman" w:hAnsi="Times New Roman" w:cs="Times New Roman"/>
          <w:sz w:val="24"/>
          <w:szCs w:val="24"/>
        </w:rPr>
        <w:t xml:space="preserve">other </w:t>
      </w:r>
      <w:r w:rsidR="007D0040" w:rsidRPr="00DB2332">
        <w:rPr>
          <w:rFonts w:ascii="Times New Roman" w:hAnsi="Times New Roman" w:cs="Times New Roman"/>
          <w:sz w:val="24"/>
          <w:szCs w:val="24"/>
        </w:rPr>
        <w:t xml:space="preserve">studies </w:t>
      </w:r>
      <w:r w:rsidR="007D0040" w:rsidRPr="00DB2332">
        <w:rPr>
          <w:rFonts w:ascii="Times New Roman" w:hAnsi="Times New Roman" w:cs="Times New Roman"/>
          <w:sz w:val="24"/>
          <w:szCs w:val="24"/>
        </w:rPr>
        <w:fldChar w:fldCharType="begin" w:fldLock="1"/>
      </w:r>
      <w:r w:rsidR="00CD1F05" w:rsidRPr="00DB2332">
        <w:rPr>
          <w:rFonts w:ascii="Times New Roman" w:hAnsi="Times New Roman" w:cs="Times New Roman"/>
          <w:sz w:val="24"/>
          <w:szCs w:val="24"/>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id":"ITEM-2","itemData":{"DOI":"10.1504/ijsa.2017.086845","ISSN":"2050-0467","author":[{"dropping-particle":"","family":"Rondinelli","given":"Stephen","non-dropping-particle":"","parse-names":false,"suffix":""},{"dropping-particle":"","family":"Gardi","given":"Alessandro","non-dropping-particle":"","parse-names":false,"suffix":""},{"dropping-particle":"","family":"Kapoor","given":"Rohan","non-dropping-particle":"","parse-names":false,"suffix":""},{"dropping-particle":"","family":"Sabatini","given":"Roberto","non-dropping-particle":"","parse-names":false,"suffix":""}],"container-title":"International Journal of Sustainable Aviation","id":"ITEM-2","issue":"3","issued":{"date-parts":[["2017"]]},"page":"200","publisher":"Inderscience Publishers","title":"Benefits and challenges of liquid hydrogen fuels in commercial aviation","type":"article-journal","volume":"3"},"uris":["http://www.mendeley.com/documents/?uuid=e08c4d8a-91e0-31e1-9b04-524fa77b0bb3"]},{"id":"ITEM-3","itemData":{"DOI":"10.1016/S1364-0321(97)00007-5","ISSN":"13640321","abstract":"Hydrogen will be used as aviation fuel in the foreseeable future. First flight tests with a hydrogen demonstrator aircraft, currently under investigation in the scope of the German-Russian Cryoplane project, are scheduled for 1999. Regular service with regional aircraft may begin around 2005, followed by larger Airbus-type airliners around 2010-2015. The fuel storage aboard such airliners will be of the order of 15 t or roughly 200 m3 LH2. This paper investigates a number of safety problems associated with the handling and air transport of so much hydrogen. The same is done for the infrastructure on the airport. Major risks are identified, and appropriate measures in design and operation are recommended. It is found that hydrogen aircraft are no more dangerous than conventional ones - safer in some respects. Many risks can be avoided by suitable constructive measures, and the rest are bearable. The real challenge lies with the dimensions of the installations on the airfields which will become necessary when hydrogen aircraft become common. © 1998 Elsevier Science Ltd. All rights reserved.","author":[{"dropping-particle":"","family":"Schmidtchen","given":"U.","non-dropping-particle":"","parse-names":false,"suffix":""},{"dropping-particle":"","family":"Behrend","given":"E.","non-dropping-particle":"","parse-names":false,"suffix":""},{"dropping-particle":"","family":"Pohl","given":"H. W.","non-dropping-particle":"","parse-names":false,"suffix":""},{"dropping-particle":"","family":"Rostek","given":"N.","non-dropping-particle":"","parse-names":false,"suffix":""}],"container-title":"Renewable and Sustainable Energy Reviews","id":"ITEM-3","issue":"4","issued":{"date-parts":[["1997"]]},"page":"239-269","publisher":"Elsevier Ltd","title":"Hydrogen Aircraft and Airport Safety","type":"article-journal","volume":"1"},"uris":["http://www.mendeley.com/documents/?uuid=2da97ac5-a020-37b9-9ff6-c8f92f513523"]},{"id":"ITEM-4","itemData":{"author":[{"dropping-particle":"","family":"Svensson","given":"Fredrik","non-dropping-particle":"","parse-names":false,"suffix":""}],"id":"ITEM-4","issued":{"date-parts":[["2005"]]},"publisher":"Cranfield University","title":"Potential of reducng the environmental impact of civil subsonic aviation by using liquid hydrogen","type":"thesis"},"uris":["http://www.mendeley.com/documents/?uuid=04c70b69-d0da-38d3-9834-942e694ec4a6"]}],"mendeley":{"formattedCitation":"(Khandelwal et al., 2013; Rondinelli et al., 2017; Schmidtchen et al., 1997; Svensson, 2005b)","plainTextFormattedCitation":"(Khandelwal et al., 2013; Rondinelli et al., 2017; Schmidtchen et al., 1997; Svensson, 2005b)","previouslyFormattedCitation":"(Khandelwal et al., 2013; Rondinelli et al., 2017; Schmidtchen et al., 1997; Svensson, 2005b)"},"properties":{"noteIndex":0},"schema":"https://github.com/citation-style-language/schema/raw/master/csl-citation.json"}</w:instrText>
      </w:r>
      <w:r w:rsidR="007D0040" w:rsidRPr="00DB2332">
        <w:rPr>
          <w:rFonts w:ascii="Times New Roman" w:hAnsi="Times New Roman" w:cs="Times New Roman"/>
          <w:sz w:val="24"/>
          <w:szCs w:val="24"/>
        </w:rPr>
        <w:fldChar w:fldCharType="separate"/>
      </w:r>
      <w:r w:rsidR="007D0040" w:rsidRPr="00DB2332">
        <w:rPr>
          <w:rFonts w:ascii="Times New Roman" w:hAnsi="Times New Roman" w:cs="Times New Roman"/>
          <w:noProof/>
          <w:sz w:val="24"/>
          <w:szCs w:val="24"/>
        </w:rPr>
        <w:t>(Khandelwal et al., 2013; Rondinelli et al., 2017; Schmidtchen et al., 1997; Svensson, 2005b)</w:t>
      </w:r>
      <w:r w:rsidR="007D0040" w:rsidRPr="00DB2332">
        <w:rPr>
          <w:rFonts w:ascii="Times New Roman" w:hAnsi="Times New Roman" w:cs="Times New Roman"/>
          <w:sz w:val="24"/>
          <w:szCs w:val="24"/>
        </w:rPr>
        <w:fldChar w:fldCharType="end"/>
      </w:r>
      <w:r w:rsidR="007D0040" w:rsidRPr="00FA6B79">
        <w:rPr>
          <w:rFonts w:ascii="Times New Roman" w:hAnsi="Times New Roman" w:cs="Times New Roman"/>
          <w:sz w:val="24"/>
          <w:szCs w:val="24"/>
        </w:rPr>
        <w:t>.</w:t>
      </w:r>
      <w:r w:rsidR="007D0040" w:rsidRPr="00DB2332">
        <w:rPr>
          <w:rFonts w:ascii="Times New Roman" w:hAnsi="Times New Roman" w:cs="Times New Roman"/>
          <w:sz w:val="24"/>
          <w:szCs w:val="24"/>
        </w:rPr>
        <w:t xml:space="preserve"> </w:t>
      </w:r>
    </w:p>
    <w:p w14:paraId="09A4D40E" w14:textId="7E4BCE5B" w:rsidR="001B65FE" w:rsidRPr="00DB2332" w:rsidRDefault="007D0040" w:rsidP="000B7DCE">
      <w:pPr>
        <w:spacing w:line="480" w:lineRule="auto"/>
        <w:ind w:firstLine="576"/>
        <w:jc w:val="both"/>
        <w:rPr>
          <w:rFonts w:ascii="Times New Roman" w:hAnsi="Times New Roman" w:cs="Times New Roman"/>
          <w:sz w:val="24"/>
          <w:szCs w:val="24"/>
        </w:rPr>
      </w:pPr>
      <w:r w:rsidRPr="00DB2332">
        <w:rPr>
          <w:rFonts w:ascii="Times New Roman" w:hAnsi="Times New Roman" w:cs="Times New Roman"/>
          <w:sz w:val="24"/>
          <w:szCs w:val="24"/>
        </w:rPr>
        <w:t>Compared to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aircraft, </w:t>
      </w:r>
      <w:r w:rsidR="001B65FE" w:rsidRPr="00DB2332">
        <w:rPr>
          <w:rFonts w:ascii="Times New Roman" w:hAnsi="Times New Roman" w:cs="Times New Roman"/>
          <w:sz w:val="24"/>
          <w:szCs w:val="24"/>
        </w:rPr>
        <w:t xml:space="preserve">100% SPK requires </w:t>
      </w:r>
      <w:r w:rsidR="00F46CE3" w:rsidRPr="00DB2332">
        <w:rPr>
          <w:rFonts w:ascii="Times New Roman" w:hAnsi="Times New Roman" w:cs="Times New Roman"/>
          <w:sz w:val="24"/>
          <w:szCs w:val="24"/>
        </w:rPr>
        <w:t xml:space="preserve">insignificant </w:t>
      </w:r>
      <w:r w:rsidR="001B65FE" w:rsidRPr="00DB2332">
        <w:rPr>
          <w:rFonts w:ascii="Times New Roman" w:hAnsi="Times New Roman" w:cs="Times New Roman"/>
          <w:sz w:val="24"/>
          <w:szCs w:val="24"/>
        </w:rPr>
        <w:t xml:space="preserve">modifications </w:t>
      </w:r>
      <w:r w:rsidR="00727817" w:rsidRPr="00DB2332">
        <w:rPr>
          <w:rFonts w:ascii="Times New Roman" w:hAnsi="Times New Roman" w:cs="Times New Roman"/>
          <w:sz w:val="24"/>
          <w:szCs w:val="24"/>
        </w:rPr>
        <w:t xml:space="preserve">(due to similar fuel properties as that of Jet-A) </w:t>
      </w:r>
      <w:r w:rsidR="001B65FE" w:rsidRPr="00DB2332">
        <w:rPr>
          <w:rFonts w:ascii="Times New Roman" w:hAnsi="Times New Roman" w:cs="Times New Roman"/>
          <w:sz w:val="24"/>
          <w:szCs w:val="24"/>
        </w:rPr>
        <w:t xml:space="preserve">such as </w:t>
      </w:r>
      <w:r w:rsidR="00F46CE3" w:rsidRPr="00DB2332">
        <w:rPr>
          <w:rFonts w:ascii="Times New Roman" w:hAnsi="Times New Roman" w:cs="Times New Roman"/>
          <w:sz w:val="24"/>
          <w:szCs w:val="24"/>
        </w:rPr>
        <w:t xml:space="preserve">minor </w:t>
      </w:r>
      <w:r w:rsidR="001B65FE" w:rsidRPr="00DB2332">
        <w:rPr>
          <w:rFonts w:ascii="Times New Roman" w:hAnsi="Times New Roman" w:cs="Times New Roman"/>
          <w:sz w:val="24"/>
          <w:szCs w:val="24"/>
        </w:rPr>
        <w:t>increase in fuel tank volume</w:t>
      </w:r>
      <w:r w:rsidR="00F46CE3" w:rsidRPr="00DB2332">
        <w:rPr>
          <w:rFonts w:ascii="Times New Roman" w:hAnsi="Times New Roman" w:cs="Times New Roman"/>
          <w:sz w:val="24"/>
          <w:szCs w:val="24"/>
        </w:rPr>
        <w:t xml:space="preserve">, change of seals in the high-pressure fuel systems (due to absence of aromatic content), etc. The effect of fuel properties of 100% SPK and required modifications are reviewed in </w:t>
      </w:r>
      <w:r w:rsidR="00683017" w:rsidRPr="00DB2332">
        <w:rPr>
          <w:rFonts w:ascii="Times New Roman" w:hAnsi="Times New Roman" w:cs="Times New Roman"/>
          <w:sz w:val="24"/>
          <w:szCs w:val="24"/>
        </w:rPr>
        <w:t>other</w:t>
      </w:r>
      <w:r w:rsidR="00F46CE3" w:rsidRPr="00DB2332">
        <w:rPr>
          <w:rFonts w:ascii="Times New Roman" w:hAnsi="Times New Roman" w:cs="Times New Roman"/>
          <w:sz w:val="24"/>
          <w:szCs w:val="24"/>
        </w:rPr>
        <w:t xml:space="preserve"> studies </w:t>
      </w:r>
      <w:r w:rsidR="00F46CE3" w:rsidRPr="00FA6B79">
        <w:rPr>
          <w:rFonts w:ascii="Times New Roman" w:hAnsi="Times New Roman" w:cs="Times New Roman"/>
          <w:sz w:val="24"/>
          <w:szCs w:val="24"/>
        </w:rPr>
        <w:fldChar w:fldCharType="begin" w:fldLock="1"/>
      </w:r>
      <w:r w:rsidRPr="00DB2332">
        <w:rPr>
          <w:rFonts w:ascii="Times New Roman" w:hAnsi="Times New Roman" w:cs="Times New Roman"/>
          <w:sz w:val="24"/>
          <w:szCs w:val="24"/>
        </w:rPr>
        <w:instrText>ADDIN CSL_CITATION {"citationItems":[{"id":"ITEM-1","itemData":{"author":[{"dropping-particle":"","family":"Lokesh","given":"Kadambari","non-dropping-particle":"","parse-names":false,"suffix":""}],"id":"ITEM-1","issued":{"date-parts":[["2015"]]},"publisher":"Cranfield University","title":"Techno-economic environmental risk analysis of advanced biofuels for civil aviation","type":"thesis"},"uris":["http://www.mendeley.com/documents/?uuid=19ab64b3-94dc-36e3-bbab-6dd938f57d50"]},{"id":"ITEM-2","itemData":{"DOI":"10.2514/6.2016-4367","ISBN":"978-1-62410-440-4","author":[{"dropping-particle":"","family":"Jagtap","given":"Swapnil S.","non-dropping-particle":"","parse-names":false,"suffix":""}],"container-title":"16th AIAA Aviation Technology, Integration, and Operations Conference","id":"ITEM-2","issued":{"date-parts":[["2016","6","13"]]},"publisher":"American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aircrafts","type":"paper-conference"},"uris":["http://www.mendeley.com/documents/?uuid=44cc1d08-f021-3c74-962d-d1b7c5d5c865"]}],"mendeley":{"formattedCitation":"(Jagtap, 2016; Lokesh, 2015)","plainTextFormattedCitation":"(Jagtap, 2016; Lokesh, 2015)","previouslyFormattedCitation":"(Jagtap, 2016; Lokesh, 2015)"},"properties":{"noteIndex":0},"schema":"https://github.com/citation-style-language/schema/raw/master/csl-citation.json"}</w:instrText>
      </w:r>
      <w:r w:rsidR="00F46CE3" w:rsidRPr="00FA6B79">
        <w:rPr>
          <w:rFonts w:ascii="Times New Roman" w:hAnsi="Times New Roman" w:cs="Times New Roman"/>
          <w:sz w:val="24"/>
          <w:szCs w:val="24"/>
        </w:rPr>
        <w:fldChar w:fldCharType="separate"/>
      </w:r>
      <w:r w:rsidR="00F46CE3" w:rsidRPr="00DB2332">
        <w:rPr>
          <w:rFonts w:ascii="Times New Roman" w:hAnsi="Times New Roman" w:cs="Times New Roman"/>
          <w:noProof/>
          <w:sz w:val="24"/>
          <w:szCs w:val="24"/>
        </w:rPr>
        <w:t xml:space="preserve">(Jagtap, </w:t>
      </w:r>
      <w:r w:rsidR="00F46CE3" w:rsidRPr="00DB2332">
        <w:rPr>
          <w:rFonts w:ascii="Times New Roman" w:hAnsi="Times New Roman" w:cs="Times New Roman"/>
          <w:noProof/>
          <w:sz w:val="24"/>
          <w:szCs w:val="24"/>
        </w:rPr>
        <w:lastRenderedPageBreak/>
        <w:t>2016; Lokesh, 2015)</w:t>
      </w:r>
      <w:r w:rsidR="00F46CE3" w:rsidRPr="00FA6B79">
        <w:rPr>
          <w:rFonts w:ascii="Times New Roman" w:hAnsi="Times New Roman" w:cs="Times New Roman"/>
          <w:sz w:val="24"/>
          <w:szCs w:val="24"/>
        </w:rPr>
        <w:fldChar w:fldCharType="end"/>
      </w:r>
      <w:r w:rsidR="00F46CE3" w:rsidRPr="00FA6B79">
        <w:rPr>
          <w:rFonts w:ascii="Times New Roman" w:hAnsi="Times New Roman" w:cs="Times New Roman"/>
          <w:sz w:val="24"/>
          <w:szCs w:val="24"/>
        </w:rPr>
        <w:t xml:space="preserve">. </w:t>
      </w:r>
      <w:r w:rsidR="008D68E4" w:rsidRPr="00DB2332">
        <w:rPr>
          <w:rFonts w:ascii="Times New Roman" w:hAnsi="Times New Roman" w:cs="Times New Roman"/>
          <w:sz w:val="24"/>
          <w:szCs w:val="24"/>
        </w:rPr>
        <w:t>Due to the significant modifications required for the LH</w:t>
      </w:r>
      <w:r w:rsidR="008D68E4" w:rsidRPr="00DB2332">
        <w:rPr>
          <w:rFonts w:ascii="Times New Roman" w:hAnsi="Times New Roman" w:cs="Times New Roman"/>
          <w:sz w:val="24"/>
          <w:szCs w:val="24"/>
          <w:vertAlign w:val="subscript"/>
        </w:rPr>
        <w:t>2</w:t>
      </w:r>
      <w:r w:rsidR="008D68E4" w:rsidRPr="00DB2332">
        <w:rPr>
          <w:rFonts w:ascii="Times New Roman" w:hAnsi="Times New Roman" w:cs="Times New Roman"/>
          <w:sz w:val="24"/>
          <w:szCs w:val="24"/>
        </w:rPr>
        <w:t xml:space="preserve"> aircraft, its acquisition cost is expected to be more than Jet-A and 100% SPK.</w:t>
      </w:r>
    </w:p>
    <w:p w14:paraId="6C34973C" w14:textId="045347A4" w:rsidR="004E1624" w:rsidRPr="000B7DCE" w:rsidRDefault="004E1624" w:rsidP="000B7DCE">
      <w:pPr>
        <w:pStyle w:val="Heading3"/>
        <w:spacing w:after="240" w:line="480" w:lineRule="auto"/>
        <w:rPr>
          <w:rFonts w:ascii="Times New Roman" w:hAnsi="Times New Roman" w:cs="Times New Roman"/>
          <w:lang w:eastAsia="en-GB"/>
        </w:rPr>
      </w:pPr>
      <w:r w:rsidRPr="000B7DCE">
        <w:rPr>
          <w:rFonts w:ascii="Times New Roman" w:hAnsi="Times New Roman" w:cs="Times New Roman"/>
          <w:color w:val="auto"/>
          <w:lang w:eastAsia="en-GB"/>
        </w:rPr>
        <w:t xml:space="preserve">Fuel and life-cycle costs </w:t>
      </w:r>
    </w:p>
    <w:p w14:paraId="5EE856CC" w14:textId="3E678CAD" w:rsidR="00956AA2" w:rsidRPr="00DB2332" w:rsidRDefault="004E1624" w:rsidP="000B7DCE">
      <w:pPr>
        <w:spacing w:line="480" w:lineRule="auto"/>
        <w:ind w:firstLine="576"/>
        <w:jc w:val="both"/>
        <w:rPr>
          <w:rFonts w:ascii="Times New Roman" w:hAnsi="Times New Roman" w:cs="Times New Roman"/>
          <w:sz w:val="24"/>
          <w:szCs w:val="24"/>
        </w:rPr>
      </w:pPr>
      <w:r w:rsidRPr="00FA6B79">
        <w:rPr>
          <w:rFonts w:ascii="Times New Roman" w:hAnsi="Times New Roman" w:cs="Times New Roman"/>
          <w:sz w:val="24"/>
          <w:szCs w:val="24"/>
        </w:rPr>
        <w:t>100% SPK and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should be manufactured from less carbon intense or renewable energy pathways (considering life-cycle effects) that will enable truly climate-neutral air travel (further elaborated in </w:t>
      </w:r>
      <w:r w:rsidRPr="00DB2332">
        <w:rPr>
          <w:rFonts w:ascii="Times New Roman" w:hAnsi="Times New Roman" w:cs="Times New Roman"/>
          <w:sz w:val="24"/>
          <w:szCs w:val="24"/>
          <w:lang w:eastAsia="en-GB"/>
        </w:rPr>
        <w:t>SI §</w:t>
      </w:r>
      <w:r w:rsidR="00312728" w:rsidRPr="00DB2332">
        <w:rPr>
          <w:rFonts w:ascii="Times New Roman" w:hAnsi="Times New Roman" w:cs="Times New Roman"/>
          <w:sz w:val="24"/>
          <w:szCs w:val="24"/>
          <w:lang w:eastAsia="en-GB"/>
        </w:rPr>
        <w:t>9</w:t>
      </w:r>
      <w:r w:rsidRPr="00DB2332">
        <w:rPr>
          <w:rFonts w:ascii="Times New Roman" w:hAnsi="Times New Roman" w:cs="Times New Roman"/>
          <w:sz w:val="24"/>
          <w:szCs w:val="24"/>
          <w:lang w:eastAsia="en-GB"/>
        </w:rPr>
        <w:t>)</w:t>
      </w:r>
      <w:r w:rsidRPr="00DB2332">
        <w:rPr>
          <w:rFonts w:ascii="Times New Roman" w:hAnsi="Times New Roman" w:cs="Times New Roman"/>
          <w:sz w:val="24"/>
          <w:szCs w:val="24"/>
        </w:rPr>
        <w:t xml:space="preserve">. </w:t>
      </w:r>
      <w:r w:rsidR="00236292" w:rsidRPr="00DB2332">
        <w:rPr>
          <w:rFonts w:ascii="Times New Roman" w:hAnsi="Times New Roman" w:cs="Times New Roman"/>
          <w:sz w:val="24"/>
          <w:szCs w:val="24"/>
        </w:rPr>
        <w:t>Additionally, effects of contrails and other non-CO</w:t>
      </w:r>
      <w:r w:rsidR="00236292" w:rsidRPr="000B7DCE">
        <w:rPr>
          <w:rFonts w:ascii="Times New Roman" w:hAnsi="Times New Roman" w:cs="Times New Roman"/>
          <w:sz w:val="24"/>
          <w:szCs w:val="24"/>
          <w:vertAlign w:val="subscript"/>
        </w:rPr>
        <w:t>2</w:t>
      </w:r>
      <w:r w:rsidR="00236292" w:rsidRPr="00FA6B79">
        <w:rPr>
          <w:rFonts w:ascii="Times New Roman" w:hAnsi="Times New Roman" w:cs="Times New Roman"/>
          <w:sz w:val="24"/>
          <w:szCs w:val="24"/>
        </w:rPr>
        <w:t xml:space="preserve"> emissions need to be considered. </w:t>
      </w:r>
      <w:r w:rsidR="004D4268" w:rsidRPr="00DB2332">
        <w:rPr>
          <w:rFonts w:ascii="Times New Roman" w:hAnsi="Times New Roman" w:cs="Times New Roman"/>
          <w:sz w:val="24"/>
          <w:szCs w:val="24"/>
        </w:rPr>
        <w:t>In the use phase, LH</w:t>
      </w:r>
      <w:r w:rsidR="004D4268" w:rsidRPr="00DB2332">
        <w:rPr>
          <w:rFonts w:ascii="Times New Roman" w:hAnsi="Times New Roman" w:cs="Times New Roman"/>
          <w:sz w:val="24"/>
          <w:szCs w:val="24"/>
          <w:vertAlign w:val="subscript"/>
        </w:rPr>
        <w:t>2</w:t>
      </w:r>
      <w:r w:rsidR="00C73BE6" w:rsidRPr="00DB2332">
        <w:rPr>
          <w:rFonts w:ascii="Times New Roman" w:hAnsi="Times New Roman" w:cs="Times New Roman"/>
          <w:sz w:val="24"/>
          <w:szCs w:val="24"/>
        </w:rPr>
        <w:t xml:space="preserve"> </w:t>
      </w:r>
      <w:r w:rsidR="00564C10" w:rsidRPr="00DB2332">
        <w:rPr>
          <w:rFonts w:ascii="Times New Roman" w:hAnsi="Times New Roman" w:cs="Times New Roman"/>
          <w:sz w:val="24"/>
          <w:szCs w:val="24"/>
        </w:rPr>
        <w:t xml:space="preserve">combustion theoretically </w:t>
      </w:r>
      <w:r w:rsidR="004D4268" w:rsidRPr="00DB2332">
        <w:rPr>
          <w:rFonts w:ascii="Times New Roman" w:hAnsi="Times New Roman" w:cs="Times New Roman"/>
          <w:sz w:val="24"/>
          <w:szCs w:val="24"/>
        </w:rPr>
        <w:t xml:space="preserve">emits zero emissions except water vapour and oxides of nitrogen whereas </w:t>
      </w:r>
      <w:r w:rsidR="001343CE" w:rsidRPr="00DB2332">
        <w:rPr>
          <w:rFonts w:ascii="Times New Roman" w:hAnsi="Times New Roman" w:cs="Times New Roman"/>
          <w:sz w:val="24"/>
          <w:szCs w:val="24"/>
        </w:rPr>
        <w:t xml:space="preserve">combustion of </w:t>
      </w:r>
      <w:r w:rsidR="004D4268" w:rsidRPr="00DB2332">
        <w:rPr>
          <w:rFonts w:ascii="Times New Roman" w:hAnsi="Times New Roman" w:cs="Times New Roman"/>
          <w:sz w:val="24"/>
          <w:szCs w:val="24"/>
        </w:rPr>
        <w:t>100% SPK emit</w:t>
      </w:r>
      <w:r w:rsidR="001343CE" w:rsidRPr="00DB2332">
        <w:rPr>
          <w:rFonts w:ascii="Times New Roman" w:hAnsi="Times New Roman" w:cs="Times New Roman"/>
          <w:sz w:val="24"/>
          <w:szCs w:val="24"/>
        </w:rPr>
        <w:t>s</w:t>
      </w:r>
      <w:r w:rsidR="004D4268" w:rsidRPr="00DB2332">
        <w:rPr>
          <w:rFonts w:ascii="Times New Roman" w:hAnsi="Times New Roman" w:cs="Times New Roman"/>
          <w:sz w:val="24"/>
          <w:szCs w:val="24"/>
        </w:rPr>
        <w:t xml:space="preserve"> similar quantity of greenhouse emissions as that of Jet-A. The boundary of analysis should be extended beyond the use-phase to the fuel lifecycle. The pathways and/or feedstocks used for manufacturing both these fuels would </w:t>
      </w:r>
      <w:r w:rsidR="001B65FE" w:rsidRPr="00DB2332">
        <w:rPr>
          <w:rFonts w:ascii="Times New Roman" w:hAnsi="Times New Roman" w:cs="Times New Roman"/>
          <w:sz w:val="24"/>
          <w:szCs w:val="24"/>
        </w:rPr>
        <w:t xml:space="preserve">determine their </w:t>
      </w:r>
      <w:r w:rsidR="008D68E4" w:rsidRPr="00DB2332">
        <w:rPr>
          <w:rFonts w:ascii="Times New Roman" w:hAnsi="Times New Roman" w:cs="Times New Roman"/>
          <w:sz w:val="24"/>
          <w:szCs w:val="24"/>
        </w:rPr>
        <w:t xml:space="preserve">benefits in terms of </w:t>
      </w:r>
      <w:r w:rsidR="001B65FE" w:rsidRPr="00DB2332">
        <w:rPr>
          <w:rFonts w:ascii="Times New Roman" w:hAnsi="Times New Roman" w:cs="Times New Roman"/>
          <w:sz w:val="24"/>
          <w:szCs w:val="24"/>
        </w:rPr>
        <w:t>lifecycle emissions</w:t>
      </w:r>
      <w:r w:rsidR="00F2147C" w:rsidRPr="00DB2332">
        <w:rPr>
          <w:rFonts w:ascii="Times New Roman" w:hAnsi="Times New Roman" w:cs="Times New Roman"/>
          <w:sz w:val="24"/>
          <w:szCs w:val="24"/>
        </w:rPr>
        <w:t xml:space="preserve"> and fuel costs</w:t>
      </w:r>
      <w:r w:rsidR="001B65FE" w:rsidRPr="00DB2332">
        <w:rPr>
          <w:rFonts w:ascii="Times New Roman" w:hAnsi="Times New Roman" w:cs="Times New Roman"/>
          <w:sz w:val="24"/>
          <w:szCs w:val="24"/>
        </w:rPr>
        <w:t xml:space="preserve">. </w:t>
      </w:r>
      <w:r w:rsidR="0022585B" w:rsidRPr="00DB2332">
        <w:rPr>
          <w:rFonts w:ascii="Times New Roman" w:hAnsi="Times New Roman" w:cs="Times New Roman"/>
          <w:sz w:val="24"/>
          <w:szCs w:val="24"/>
        </w:rPr>
        <w:t xml:space="preserve">The fuel costs also depend on the scale of manufacturing, technology </w:t>
      </w:r>
      <w:r w:rsidR="001A38AF" w:rsidRPr="00DB2332">
        <w:rPr>
          <w:rFonts w:ascii="Times New Roman" w:hAnsi="Times New Roman" w:cs="Times New Roman"/>
          <w:sz w:val="24"/>
          <w:szCs w:val="24"/>
        </w:rPr>
        <w:t>advancements</w:t>
      </w:r>
      <w:r w:rsidR="0022585B" w:rsidRPr="00DB2332">
        <w:rPr>
          <w:rFonts w:ascii="Times New Roman" w:hAnsi="Times New Roman" w:cs="Times New Roman"/>
          <w:sz w:val="24"/>
          <w:szCs w:val="24"/>
        </w:rPr>
        <w:t>, efficiency and effectiveness of the fuel supply chain, and governmental incentives</w:t>
      </w:r>
      <w:r w:rsidR="001A38AF" w:rsidRPr="00DB2332">
        <w:rPr>
          <w:rFonts w:ascii="Times New Roman" w:hAnsi="Times New Roman" w:cs="Times New Roman"/>
          <w:sz w:val="24"/>
          <w:szCs w:val="24"/>
        </w:rPr>
        <w:t xml:space="preserve"> (Dray et al., 2022)</w:t>
      </w:r>
      <w:r w:rsidR="0022585B" w:rsidRPr="00DB2332">
        <w:rPr>
          <w:rFonts w:ascii="Times New Roman" w:hAnsi="Times New Roman" w:cs="Times New Roman"/>
          <w:sz w:val="24"/>
          <w:szCs w:val="24"/>
        </w:rPr>
        <w:t>.</w:t>
      </w:r>
      <w:r w:rsidR="00EF088F" w:rsidRPr="00DB2332">
        <w:rPr>
          <w:rFonts w:ascii="Times New Roman" w:hAnsi="Times New Roman" w:cs="Times New Roman"/>
          <w:sz w:val="24"/>
          <w:szCs w:val="24"/>
        </w:rPr>
        <w:t xml:space="preserve"> </w:t>
      </w:r>
    </w:p>
    <w:p w14:paraId="2239095E" w14:textId="7D063CC6" w:rsidR="004E1624" w:rsidRPr="000B7DCE" w:rsidRDefault="004E1624" w:rsidP="000B7DCE">
      <w:pPr>
        <w:pStyle w:val="Heading3"/>
        <w:spacing w:after="240" w:line="480" w:lineRule="auto"/>
        <w:rPr>
          <w:rFonts w:ascii="Times New Roman" w:hAnsi="Times New Roman" w:cs="Times New Roman"/>
          <w:lang w:eastAsia="en-GB"/>
        </w:rPr>
      </w:pPr>
      <w:r w:rsidRPr="000B7DCE">
        <w:rPr>
          <w:rFonts w:ascii="Times New Roman" w:hAnsi="Times New Roman" w:cs="Times New Roman"/>
          <w:color w:val="auto"/>
          <w:lang w:eastAsia="en-GB"/>
        </w:rPr>
        <w:t xml:space="preserve">Airline decision-making </w:t>
      </w:r>
    </w:p>
    <w:p w14:paraId="2E48667C" w14:textId="2CD4E98D" w:rsidR="00956AA2" w:rsidRPr="00DB2332" w:rsidRDefault="00F2147C" w:rsidP="000B7DCE">
      <w:pPr>
        <w:spacing w:line="480" w:lineRule="auto"/>
        <w:ind w:firstLine="576"/>
        <w:jc w:val="both"/>
        <w:rPr>
          <w:rFonts w:ascii="Times New Roman" w:hAnsi="Times New Roman" w:cs="Times New Roman"/>
          <w:sz w:val="24"/>
          <w:szCs w:val="24"/>
        </w:rPr>
      </w:pPr>
      <w:r w:rsidRPr="00FA6B79">
        <w:rPr>
          <w:rFonts w:ascii="Times New Roman" w:hAnsi="Times New Roman" w:cs="Times New Roman"/>
          <w:sz w:val="24"/>
          <w:szCs w:val="24"/>
        </w:rPr>
        <w:t xml:space="preserve">It is observed in this work that for a </w:t>
      </w:r>
      <w:r w:rsidRPr="00DB2332">
        <w:rPr>
          <w:rFonts w:ascii="Times New Roman" w:hAnsi="Times New Roman" w:cs="Times New Roman"/>
          <w:sz w:val="24"/>
          <w:szCs w:val="24"/>
        </w:rPr>
        <w:t>long-range tube-wing LTA aircraft</w:t>
      </w:r>
      <w:r w:rsidR="005368FB" w:rsidRPr="00DB2332">
        <w:rPr>
          <w:rFonts w:ascii="Times New Roman" w:hAnsi="Times New Roman" w:cs="Times New Roman"/>
          <w:sz w:val="24"/>
          <w:szCs w:val="24"/>
        </w:rPr>
        <w:t>, compared to Jet-A,</w:t>
      </w:r>
      <w:r w:rsidR="00A119FA" w:rsidRPr="00DB2332">
        <w:rPr>
          <w:rFonts w:ascii="Times New Roman" w:hAnsi="Times New Roman" w:cs="Times New Roman"/>
          <w:sz w:val="24"/>
          <w:szCs w:val="24"/>
        </w:rPr>
        <w:t xml:space="preserve"> a</w:t>
      </w:r>
      <w:r w:rsidR="005368FB" w:rsidRPr="00DB2332">
        <w:rPr>
          <w:rFonts w:ascii="Times New Roman" w:hAnsi="Times New Roman" w:cs="Times New Roman"/>
          <w:sz w:val="24"/>
          <w:szCs w:val="24"/>
        </w:rPr>
        <w:t xml:space="preserve"> LH</w:t>
      </w:r>
      <w:r w:rsidR="005368FB" w:rsidRPr="00DB2332">
        <w:rPr>
          <w:rFonts w:ascii="Times New Roman" w:hAnsi="Times New Roman" w:cs="Times New Roman"/>
          <w:sz w:val="24"/>
          <w:szCs w:val="24"/>
          <w:vertAlign w:val="subscript"/>
        </w:rPr>
        <w:t>2</w:t>
      </w:r>
      <w:r w:rsidR="005368FB" w:rsidRPr="00DB2332">
        <w:rPr>
          <w:rFonts w:ascii="Times New Roman" w:hAnsi="Times New Roman" w:cs="Times New Roman"/>
          <w:sz w:val="24"/>
          <w:szCs w:val="24"/>
        </w:rPr>
        <w:t xml:space="preserve"> aircraft consumes more energy for all range and payload combinations.</w:t>
      </w:r>
      <w:r w:rsidR="00196255" w:rsidRPr="00DB2332">
        <w:rPr>
          <w:rFonts w:ascii="Times New Roman" w:hAnsi="Times New Roman" w:cs="Times New Roman"/>
          <w:sz w:val="24"/>
          <w:szCs w:val="24"/>
        </w:rPr>
        <w:t xml:space="preserve"> Purely based on the energy performance, it is observed from the off-design performance (in </w:t>
      </w:r>
      <w:r w:rsidR="00196255" w:rsidRPr="00DB2332">
        <w:rPr>
          <w:rFonts w:ascii="Times New Roman" w:hAnsi="Times New Roman" w:cs="Times New Roman"/>
          <w:sz w:val="24"/>
          <w:szCs w:val="24"/>
          <w:lang w:eastAsia="en-GB"/>
        </w:rPr>
        <w:t>§</w:t>
      </w:r>
      <w:r w:rsidR="00196255" w:rsidRPr="00DB2332">
        <w:rPr>
          <w:rFonts w:ascii="Times New Roman" w:hAnsi="Times New Roman" w:cs="Times New Roman"/>
          <w:sz w:val="24"/>
          <w:szCs w:val="24"/>
        </w:rPr>
        <w:t>4.2) that for a given payload</w:t>
      </w:r>
      <w:r w:rsidR="0011050D" w:rsidRPr="00DB2332">
        <w:rPr>
          <w:rFonts w:ascii="Times New Roman" w:hAnsi="Times New Roman" w:cs="Times New Roman"/>
          <w:sz w:val="24"/>
          <w:szCs w:val="24"/>
        </w:rPr>
        <w:t>,</w:t>
      </w:r>
      <w:r w:rsidR="00196255" w:rsidRPr="00DB2332">
        <w:rPr>
          <w:rFonts w:ascii="Times New Roman" w:hAnsi="Times New Roman" w:cs="Times New Roman"/>
          <w:sz w:val="24"/>
          <w:szCs w:val="24"/>
        </w:rPr>
        <w:t xml:space="preserve"> LH</w:t>
      </w:r>
      <w:r w:rsidR="00196255" w:rsidRPr="00DB2332">
        <w:rPr>
          <w:rFonts w:ascii="Times New Roman" w:hAnsi="Times New Roman" w:cs="Times New Roman"/>
          <w:sz w:val="24"/>
          <w:szCs w:val="24"/>
          <w:vertAlign w:val="subscript"/>
        </w:rPr>
        <w:t>2</w:t>
      </w:r>
      <w:r w:rsidR="00196255" w:rsidRPr="00DB2332">
        <w:rPr>
          <w:rFonts w:ascii="Times New Roman" w:hAnsi="Times New Roman" w:cs="Times New Roman"/>
          <w:sz w:val="24"/>
          <w:szCs w:val="24"/>
        </w:rPr>
        <w:t xml:space="preserve"> aircraft offers a stable SEC at greater range (&gt;10,000 km). However, for Jet-A the SEC for a given payload decreases with increasing range and minimises at ~7,000 km and</w:t>
      </w:r>
      <w:r w:rsidR="00E43E07" w:rsidRPr="00DB2332">
        <w:rPr>
          <w:rFonts w:ascii="Times New Roman" w:hAnsi="Times New Roman" w:cs="Times New Roman"/>
          <w:sz w:val="24"/>
          <w:szCs w:val="24"/>
        </w:rPr>
        <w:t xml:space="preserve"> thereafter it</w:t>
      </w:r>
      <w:r w:rsidR="00196255" w:rsidRPr="00DB2332">
        <w:rPr>
          <w:rFonts w:ascii="Times New Roman" w:hAnsi="Times New Roman" w:cs="Times New Roman"/>
          <w:sz w:val="24"/>
          <w:szCs w:val="24"/>
        </w:rPr>
        <w:t xml:space="preserve"> increases with increasing range.</w:t>
      </w:r>
      <w:r w:rsidR="008D68E4" w:rsidRPr="00DB2332">
        <w:rPr>
          <w:rFonts w:ascii="Times New Roman" w:hAnsi="Times New Roman" w:cs="Times New Roman"/>
          <w:sz w:val="24"/>
          <w:szCs w:val="24"/>
        </w:rPr>
        <w:t xml:space="preserve"> </w:t>
      </w:r>
      <w:r w:rsidR="00B02540" w:rsidRPr="00DB2332">
        <w:rPr>
          <w:rFonts w:ascii="Times New Roman" w:hAnsi="Times New Roman" w:cs="Times New Roman"/>
          <w:sz w:val="24"/>
          <w:szCs w:val="24"/>
        </w:rPr>
        <w:t xml:space="preserve">This is an important observation for airline operations, </w:t>
      </w:r>
      <w:r w:rsidR="00F65BA8" w:rsidRPr="00DB2332">
        <w:rPr>
          <w:rFonts w:ascii="Times New Roman" w:hAnsi="Times New Roman" w:cs="Times New Roman"/>
          <w:sz w:val="24"/>
          <w:szCs w:val="24"/>
        </w:rPr>
        <w:t>that may favour LH</w:t>
      </w:r>
      <w:r w:rsidR="00F65BA8" w:rsidRPr="00302A01">
        <w:rPr>
          <w:rFonts w:ascii="Times New Roman" w:hAnsi="Times New Roman" w:cs="Times New Roman"/>
          <w:sz w:val="24"/>
          <w:szCs w:val="24"/>
          <w:vertAlign w:val="subscript"/>
        </w:rPr>
        <w:t>2</w:t>
      </w:r>
      <w:r w:rsidR="00F65BA8" w:rsidRPr="00DB2332">
        <w:rPr>
          <w:rFonts w:ascii="Times New Roman" w:hAnsi="Times New Roman" w:cs="Times New Roman"/>
          <w:sz w:val="24"/>
          <w:szCs w:val="24"/>
        </w:rPr>
        <w:t xml:space="preserve"> aircraft for long-haul flights, </w:t>
      </w:r>
      <w:r w:rsidR="00501CAA" w:rsidRPr="00DB2332">
        <w:rPr>
          <w:rFonts w:ascii="Times New Roman" w:hAnsi="Times New Roman" w:cs="Times New Roman"/>
          <w:sz w:val="24"/>
          <w:szCs w:val="24"/>
        </w:rPr>
        <w:t xml:space="preserve">but this will ultimately be driven by </w:t>
      </w:r>
      <w:r w:rsidR="00B703EE" w:rsidRPr="00DB2332">
        <w:rPr>
          <w:rFonts w:ascii="Times New Roman" w:hAnsi="Times New Roman" w:cs="Times New Roman"/>
          <w:sz w:val="24"/>
          <w:szCs w:val="24"/>
        </w:rPr>
        <w:t>fuel costs and aircraft availability</w:t>
      </w:r>
      <w:r w:rsidR="00B02540" w:rsidRPr="00DB2332">
        <w:rPr>
          <w:rFonts w:ascii="Times New Roman" w:hAnsi="Times New Roman" w:cs="Times New Roman"/>
          <w:sz w:val="24"/>
          <w:szCs w:val="24"/>
        </w:rPr>
        <w:t xml:space="preserve">. </w:t>
      </w:r>
    </w:p>
    <w:p w14:paraId="784848CC" w14:textId="4B5147BC" w:rsidR="004E1624" w:rsidRPr="000B7DCE" w:rsidRDefault="004E1624" w:rsidP="000B7DCE">
      <w:pPr>
        <w:pStyle w:val="Heading3"/>
        <w:spacing w:after="240" w:line="480" w:lineRule="auto"/>
        <w:rPr>
          <w:rFonts w:ascii="Times New Roman" w:hAnsi="Times New Roman" w:cs="Times New Roman"/>
          <w:lang w:eastAsia="en-GB"/>
        </w:rPr>
      </w:pPr>
      <w:r w:rsidRPr="000B7DCE">
        <w:rPr>
          <w:rFonts w:ascii="Times New Roman" w:hAnsi="Times New Roman" w:cs="Times New Roman"/>
          <w:color w:val="auto"/>
          <w:lang w:eastAsia="en-GB"/>
        </w:rPr>
        <w:lastRenderedPageBreak/>
        <w:t xml:space="preserve">Aircraft design </w:t>
      </w:r>
    </w:p>
    <w:p w14:paraId="033ED5A8" w14:textId="70BF09D8" w:rsidR="00CD0B7A" w:rsidRPr="00DB2332" w:rsidRDefault="00A1269A" w:rsidP="000C5E43">
      <w:pPr>
        <w:spacing w:line="480" w:lineRule="auto"/>
        <w:jc w:val="both"/>
        <w:rPr>
          <w:rFonts w:ascii="Times New Roman" w:hAnsi="Times New Roman" w:cs="Times New Roman"/>
          <w:sz w:val="24"/>
          <w:szCs w:val="24"/>
          <w:lang w:eastAsia="en-GB"/>
        </w:rPr>
      </w:pPr>
      <w:r w:rsidRPr="00FA6B79">
        <w:rPr>
          <w:rFonts w:ascii="Times New Roman" w:hAnsi="Times New Roman" w:cs="Times New Roman"/>
          <w:sz w:val="24"/>
          <w:szCs w:val="24"/>
        </w:rPr>
        <w:tab/>
      </w:r>
      <w:r w:rsidR="27484D2C" w:rsidRPr="00DB2332">
        <w:rPr>
          <w:rFonts w:ascii="Times New Roman" w:hAnsi="Times New Roman" w:cs="Times New Roman"/>
          <w:sz w:val="24"/>
          <w:szCs w:val="24"/>
        </w:rPr>
        <w:t>Firstly, the significant increase in the LH</w:t>
      </w:r>
      <w:r w:rsidR="27484D2C" w:rsidRPr="00DB2332">
        <w:rPr>
          <w:rFonts w:ascii="Times New Roman" w:hAnsi="Times New Roman" w:cs="Times New Roman"/>
          <w:sz w:val="24"/>
          <w:szCs w:val="24"/>
          <w:vertAlign w:val="subscript"/>
        </w:rPr>
        <w:t xml:space="preserve">2 </w:t>
      </w:r>
      <w:r w:rsidR="27484D2C" w:rsidRPr="00DB2332">
        <w:rPr>
          <w:rFonts w:ascii="Times New Roman" w:hAnsi="Times New Roman" w:cs="Times New Roman"/>
          <w:sz w:val="24"/>
          <w:szCs w:val="24"/>
        </w:rPr>
        <w:t>aircraft fuselage length observed in this work</w:t>
      </w:r>
      <w:r w:rsidR="342647EE" w:rsidRPr="00DB2332">
        <w:rPr>
          <w:rFonts w:ascii="Times New Roman" w:hAnsi="Times New Roman" w:cs="Times New Roman"/>
          <w:sz w:val="24"/>
          <w:szCs w:val="24"/>
        </w:rPr>
        <w:t xml:space="preserve"> </w:t>
      </w:r>
      <w:r w:rsidR="27484D2C" w:rsidRPr="00DB2332">
        <w:rPr>
          <w:rFonts w:ascii="Times New Roman" w:hAnsi="Times New Roman" w:cs="Times New Roman"/>
          <w:sz w:val="24"/>
          <w:szCs w:val="24"/>
        </w:rPr>
        <w:t xml:space="preserve">could be a </w:t>
      </w:r>
      <w:r w:rsidR="342647EE" w:rsidRPr="00DB2332">
        <w:rPr>
          <w:rFonts w:ascii="Times New Roman" w:hAnsi="Times New Roman" w:cs="Times New Roman"/>
          <w:sz w:val="24"/>
          <w:szCs w:val="24"/>
        </w:rPr>
        <w:t>potential challenge associated with the use of LH</w:t>
      </w:r>
      <w:r w:rsidR="342647EE" w:rsidRPr="00DB2332">
        <w:rPr>
          <w:rFonts w:ascii="Times New Roman" w:hAnsi="Times New Roman" w:cs="Times New Roman"/>
          <w:sz w:val="24"/>
          <w:szCs w:val="24"/>
          <w:vertAlign w:val="subscript"/>
        </w:rPr>
        <w:t xml:space="preserve">2 </w:t>
      </w:r>
      <w:r w:rsidR="342647EE" w:rsidRPr="00DB2332">
        <w:rPr>
          <w:rFonts w:ascii="Times New Roman" w:hAnsi="Times New Roman" w:cs="Times New Roman"/>
          <w:sz w:val="24"/>
          <w:szCs w:val="24"/>
        </w:rPr>
        <w:t xml:space="preserve">in the conventional tube-wing architecture, as this likely has structural and stability implications. </w:t>
      </w:r>
      <w:r w:rsidR="004E1624" w:rsidRPr="00DB2332">
        <w:rPr>
          <w:rFonts w:ascii="Times New Roman" w:hAnsi="Times New Roman" w:cs="Times New Roman"/>
          <w:sz w:val="24"/>
          <w:szCs w:val="24"/>
        </w:rPr>
        <w:t>Secondly</w:t>
      </w:r>
      <w:r w:rsidR="342647EE" w:rsidRPr="00DB2332">
        <w:rPr>
          <w:rFonts w:ascii="Times New Roman" w:hAnsi="Times New Roman" w:cs="Times New Roman"/>
          <w:sz w:val="24"/>
          <w:szCs w:val="24"/>
        </w:rPr>
        <w:t>, longer tube-wing LH</w:t>
      </w:r>
      <w:r w:rsidR="342647EE" w:rsidRPr="00DB2332">
        <w:rPr>
          <w:rFonts w:ascii="Times New Roman" w:hAnsi="Times New Roman" w:cs="Times New Roman"/>
          <w:sz w:val="24"/>
          <w:szCs w:val="24"/>
          <w:vertAlign w:val="subscript"/>
        </w:rPr>
        <w:t xml:space="preserve">2 </w:t>
      </w:r>
      <w:r w:rsidR="342647EE" w:rsidRPr="00DB2332">
        <w:rPr>
          <w:rFonts w:ascii="Times New Roman" w:hAnsi="Times New Roman" w:cs="Times New Roman"/>
          <w:sz w:val="24"/>
          <w:szCs w:val="24"/>
        </w:rPr>
        <w:t>aircraft might not be readily compatible with the current airport design and layout</w:t>
      </w:r>
      <w:r w:rsidR="001A2D34" w:rsidRPr="00DB2332">
        <w:rPr>
          <w:rFonts w:ascii="Times New Roman" w:hAnsi="Times New Roman" w:cs="Times New Roman"/>
          <w:sz w:val="24"/>
          <w:szCs w:val="24"/>
        </w:rPr>
        <w:t>, which may require modifications to airport</w:t>
      </w:r>
      <w:r w:rsidR="006D34B0" w:rsidRPr="00DB2332">
        <w:rPr>
          <w:rFonts w:ascii="Times New Roman" w:hAnsi="Times New Roman" w:cs="Times New Roman"/>
          <w:sz w:val="24"/>
          <w:szCs w:val="24"/>
        </w:rPr>
        <w:t xml:space="preserve"> </w:t>
      </w:r>
      <w:r w:rsidR="001E48AA" w:rsidRPr="00DB2332">
        <w:rPr>
          <w:rFonts w:ascii="Times New Roman" w:hAnsi="Times New Roman" w:cs="Times New Roman"/>
          <w:sz w:val="24"/>
          <w:szCs w:val="24"/>
        </w:rPr>
        <w:t>aprons</w:t>
      </w:r>
      <w:r w:rsidR="006D34B0" w:rsidRPr="00DB2332">
        <w:rPr>
          <w:rFonts w:ascii="Times New Roman" w:hAnsi="Times New Roman" w:cs="Times New Roman"/>
          <w:sz w:val="24"/>
          <w:szCs w:val="24"/>
        </w:rPr>
        <w:t>, in addition to n</w:t>
      </w:r>
      <w:r w:rsidR="00977EFB" w:rsidRPr="00DB2332">
        <w:rPr>
          <w:rFonts w:ascii="Times New Roman" w:hAnsi="Times New Roman" w:cs="Times New Roman"/>
          <w:sz w:val="24"/>
          <w:szCs w:val="24"/>
        </w:rPr>
        <w:t>ew refuelling infrastructure</w:t>
      </w:r>
      <w:r w:rsidR="342647EE" w:rsidRPr="00DB2332">
        <w:rPr>
          <w:rFonts w:ascii="Times New Roman" w:hAnsi="Times New Roman" w:cs="Times New Roman"/>
          <w:sz w:val="24"/>
          <w:szCs w:val="24"/>
        </w:rPr>
        <w:t xml:space="preserve">. </w:t>
      </w:r>
      <w:r w:rsidR="004E1624" w:rsidRPr="00DB2332">
        <w:rPr>
          <w:rFonts w:ascii="Times New Roman" w:hAnsi="Times New Roman" w:cs="Times New Roman"/>
          <w:sz w:val="24"/>
          <w:szCs w:val="24"/>
        </w:rPr>
        <w:t>Lastly</w:t>
      </w:r>
      <w:r w:rsidR="27484D2C" w:rsidRPr="00DB2332">
        <w:rPr>
          <w:rFonts w:ascii="Times New Roman" w:hAnsi="Times New Roman" w:cs="Times New Roman"/>
          <w:sz w:val="24"/>
          <w:szCs w:val="24"/>
        </w:rPr>
        <w:t xml:space="preserve">, </w:t>
      </w:r>
      <w:r w:rsidR="342647EE" w:rsidRPr="00DB2332">
        <w:rPr>
          <w:rFonts w:ascii="Times New Roman" w:hAnsi="Times New Roman" w:cs="Times New Roman"/>
          <w:sz w:val="24"/>
          <w:szCs w:val="24"/>
        </w:rPr>
        <w:t>for a significantly lighter LH</w:t>
      </w:r>
      <w:r w:rsidR="342647EE" w:rsidRPr="00DB2332">
        <w:rPr>
          <w:rFonts w:ascii="Times New Roman" w:hAnsi="Times New Roman" w:cs="Times New Roman"/>
          <w:sz w:val="24"/>
          <w:szCs w:val="24"/>
          <w:vertAlign w:val="subscript"/>
        </w:rPr>
        <w:t>2</w:t>
      </w:r>
      <w:r w:rsidR="342647EE" w:rsidRPr="00DB2332">
        <w:rPr>
          <w:rFonts w:ascii="Times New Roman" w:hAnsi="Times New Roman" w:cs="Times New Roman"/>
          <w:sz w:val="24"/>
          <w:szCs w:val="24"/>
        </w:rPr>
        <w:t xml:space="preserve"> aircraft</w:t>
      </w:r>
      <w:r w:rsidR="27484D2C" w:rsidRPr="00DB2332">
        <w:rPr>
          <w:rFonts w:ascii="Times New Roman" w:hAnsi="Times New Roman" w:cs="Times New Roman"/>
          <w:sz w:val="24"/>
          <w:szCs w:val="24"/>
        </w:rPr>
        <w:t xml:space="preserve"> observed in this work (</w:t>
      </w:r>
      <w:r w:rsidR="38EC3A92" w:rsidRPr="00DB2332">
        <w:rPr>
          <w:rFonts w:ascii="Times New Roman" w:hAnsi="Times New Roman" w:cs="Times New Roman"/>
          <w:sz w:val="24"/>
          <w:szCs w:val="24"/>
        </w:rPr>
        <w:t>~15</w:t>
      </w:r>
      <w:r w:rsidR="27484D2C" w:rsidRPr="00DB2332">
        <w:rPr>
          <w:rFonts w:ascii="Times New Roman" w:hAnsi="Times New Roman" w:cs="Times New Roman"/>
          <w:sz w:val="24"/>
          <w:szCs w:val="24"/>
        </w:rPr>
        <w:t>% GTOW reduction)</w:t>
      </w:r>
      <w:r w:rsidR="342647EE" w:rsidRPr="00DB2332">
        <w:rPr>
          <w:rFonts w:ascii="Times New Roman" w:hAnsi="Times New Roman" w:cs="Times New Roman"/>
          <w:sz w:val="24"/>
          <w:szCs w:val="24"/>
        </w:rPr>
        <w:t>,</w:t>
      </w:r>
      <w:r w:rsidR="4B66F6DA" w:rsidRPr="00DB2332">
        <w:rPr>
          <w:rFonts w:ascii="Times New Roman" w:hAnsi="Times New Roman" w:cs="Times New Roman"/>
          <w:sz w:val="24"/>
          <w:szCs w:val="24"/>
        </w:rPr>
        <w:t xml:space="preserve"> </w:t>
      </w:r>
      <w:r w:rsidR="29FF4F47" w:rsidRPr="00DB2332">
        <w:rPr>
          <w:rFonts w:ascii="Times New Roman" w:hAnsi="Times New Roman" w:cs="Times New Roman"/>
          <w:sz w:val="24"/>
          <w:szCs w:val="24"/>
        </w:rPr>
        <w:t>aircraft</w:t>
      </w:r>
      <w:r w:rsidR="342647EE" w:rsidRPr="00DB2332">
        <w:rPr>
          <w:rFonts w:ascii="Times New Roman" w:hAnsi="Times New Roman" w:cs="Times New Roman"/>
          <w:sz w:val="24"/>
          <w:szCs w:val="24"/>
        </w:rPr>
        <w:t xml:space="preserve"> </w:t>
      </w:r>
      <w:r w:rsidR="29FF4F47" w:rsidRPr="00DB2332">
        <w:rPr>
          <w:rFonts w:ascii="Times New Roman" w:hAnsi="Times New Roman" w:cs="Times New Roman"/>
          <w:sz w:val="24"/>
          <w:szCs w:val="24"/>
        </w:rPr>
        <w:t xml:space="preserve">design </w:t>
      </w:r>
      <w:r w:rsidR="342647EE" w:rsidRPr="00DB2332">
        <w:rPr>
          <w:rFonts w:ascii="Times New Roman" w:hAnsi="Times New Roman" w:cs="Times New Roman"/>
          <w:sz w:val="24"/>
          <w:szCs w:val="24"/>
        </w:rPr>
        <w:t xml:space="preserve">optimization is necessary considering that a </w:t>
      </w:r>
      <w:r w:rsidR="65203B59" w:rsidRPr="00DB2332">
        <w:rPr>
          <w:rFonts w:ascii="Times New Roman" w:hAnsi="Times New Roman" w:cs="Times New Roman"/>
          <w:sz w:val="24"/>
          <w:szCs w:val="24"/>
        </w:rPr>
        <w:t>lighter aircraft would have reduced thrust requirement for maintaining the same thrust to weight (</w:t>
      </w:r>
      <w:r w:rsidR="65203B59" w:rsidRPr="00DB2332">
        <w:rPr>
          <w:rFonts w:ascii="Times New Roman" w:eastAsiaTheme="majorEastAsia" w:hAnsi="Times New Roman" w:cs="Times New Roman"/>
          <w:i/>
          <w:iCs/>
          <w:sz w:val="24"/>
          <w:szCs w:val="24"/>
        </w:rPr>
        <w:t>T/W</w:t>
      </w:r>
      <w:r w:rsidR="65203B59" w:rsidRPr="00DB2332">
        <w:rPr>
          <w:rFonts w:ascii="Times New Roman" w:hAnsi="Times New Roman" w:cs="Times New Roman"/>
          <w:sz w:val="24"/>
          <w:szCs w:val="24"/>
        </w:rPr>
        <w:t>) ratio</w:t>
      </w:r>
      <w:r w:rsidR="27484D2C" w:rsidRPr="00DB2332">
        <w:rPr>
          <w:rFonts w:ascii="Times New Roman" w:hAnsi="Times New Roman" w:cs="Times New Roman"/>
          <w:sz w:val="24"/>
          <w:szCs w:val="24"/>
        </w:rPr>
        <w:t>, which could further decrease the SEC of the LH</w:t>
      </w:r>
      <w:r w:rsidR="27484D2C" w:rsidRPr="00DB2332">
        <w:rPr>
          <w:rFonts w:ascii="Times New Roman" w:hAnsi="Times New Roman" w:cs="Times New Roman"/>
          <w:sz w:val="24"/>
          <w:szCs w:val="24"/>
          <w:vertAlign w:val="subscript"/>
        </w:rPr>
        <w:t xml:space="preserve">2 </w:t>
      </w:r>
      <w:r w:rsidR="27484D2C" w:rsidRPr="00DB2332">
        <w:rPr>
          <w:rFonts w:ascii="Times New Roman" w:hAnsi="Times New Roman" w:cs="Times New Roman"/>
          <w:sz w:val="24"/>
          <w:szCs w:val="24"/>
        </w:rPr>
        <w:t>aircraft</w:t>
      </w:r>
      <w:r w:rsidR="342647EE" w:rsidRPr="00DB2332">
        <w:rPr>
          <w:rFonts w:ascii="Times New Roman" w:hAnsi="Times New Roman" w:cs="Times New Roman"/>
          <w:sz w:val="24"/>
          <w:szCs w:val="24"/>
        </w:rPr>
        <w:t>.</w:t>
      </w:r>
      <w:r w:rsidR="0BF4DDD9" w:rsidRPr="00DB2332">
        <w:rPr>
          <w:rFonts w:ascii="Times New Roman" w:hAnsi="Times New Roman" w:cs="Times New Roman"/>
          <w:sz w:val="24"/>
          <w:szCs w:val="24"/>
        </w:rPr>
        <w:t xml:space="preserve"> </w:t>
      </w:r>
      <w:r w:rsidR="770A2EEE" w:rsidRPr="00DB2332">
        <w:rPr>
          <w:rFonts w:ascii="Times New Roman" w:hAnsi="Times New Roman" w:cs="Times New Roman"/>
          <w:sz w:val="24"/>
          <w:szCs w:val="24"/>
        </w:rPr>
        <w:t xml:space="preserve">The above aspects are </w:t>
      </w:r>
      <w:r w:rsidR="205861FB" w:rsidRPr="00DB2332">
        <w:rPr>
          <w:rFonts w:ascii="Times New Roman" w:hAnsi="Times New Roman" w:cs="Times New Roman"/>
          <w:sz w:val="24"/>
          <w:szCs w:val="24"/>
        </w:rPr>
        <w:t xml:space="preserve">further </w:t>
      </w:r>
      <w:r w:rsidR="770A2EEE" w:rsidRPr="00DB2332">
        <w:rPr>
          <w:rFonts w:ascii="Times New Roman" w:hAnsi="Times New Roman" w:cs="Times New Roman"/>
          <w:sz w:val="24"/>
          <w:szCs w:val="24"/>
        </w:rPr>
        <w:t xml:space="preserve">elaborated in </w:t>
      </w:r>
      <w:r w:rsidR="0C2A9E0E" w:rsidRPr="00DB2332">
        <w:rPr>
          <w:rFonts w:ascii="Times New Roman" w:hAnsi="Times New Roman" w:cs="Times New Roman"/>
          <w:sz w:val="24"/>
          <w:szCs w:val="24"/>
          <w:lang w:eastAsia="en-GB"/>
        </w:rPr>
        <w:t>SI §</w:t>
      </w:r>
      <w:r w:rsidR="00712A40" w:rsidRPr="00DB2332">
        <w:rPr>
          <w:rFonts w:ascii="Times New Roman" w:hAnsi="Times New Roman" w:cs="Times New Roman"/>
          <w:sz w:val="24"/>
          <w:szCs w:val="24"/>
          <w:lang w:eastAsia="en-GB"/>
        </w:rPr>
        <w:t>9</w:t>
      </w:r>
      <w:r w:rsidR="770A2EEE" w:rsidRPr="00DB2332">
        <w:rPr>
          <w:rFonts w:ascii="Times New Roman" w:hAnsi="Times New Roman" w:cs="Times New Roman"/>
          <w:sz w:val="24"/>
          <w:szCs w:val="24"/>
        </w:rPr>
        <w:t>.</w:t>
      </w:r>
    </w:p>
    <w:p w14:paraId="279E89EA" w14:textId="77777777" w:rsidR="003E74C9" w:rsidRPr="00DB2332" w:rsidRDefault="003E74C9" w:rsidP="000C5E43">
      <w:pPr>
        <w:pStyle w:val="Heading2"/>
        <w:spacing w:after="240" w:line="480" w:lineRule="auto"/>
        <w:rPr>
          <w:rFonts w:ascii="Times New Roman" w:eastAsia="Times New Roman" w:hAnsi="Times New Roman" w:cs="Times New Roman"/>
          <w:color w:val="auto"/>
          <w:sz w:val="24"/>
          <w:szCs w:val="24"/>
          <w:bdr w:val="none" w:sz="0" w:space="0" w:color="auto" w:frame="1"/>
          <w:lang w:eastAsia="en-GB"/>
        </w:rPr>
      </w:pPr>
      <w:r w:rsidRPr="00DB2332">
        <w:rPr>
          <w:rFonts w:ascii="Times New Roman" w:eastAsia="Times New Roman" w:hAnsi="Times New Roman" w:cs="Times New Roman"/>
          <w:color w:val="auto"/>
          <w:sz w:val="24"/>
          <w:szCs w:val="24"/>
          <w:bdr w:val="none" w:sz="0" w:space="0" w:color="auto" w:frame="1"/>
          <w:lang w:eastAsia="en-GB"/>
        </w:rPr>
        <w:t>Limitations of the present research</w:t>
      </w:r>
    </w:p>
    <w:p w14:paraId="29C98AB9" w14:textId="6BE9919C" w:rsidR="003E74C9" w:rsidRPr="00DB2332" w:rsidRDefault="003E74C9" w:rsidP="00D8428B">
      <w:pPr>
        <w:spacing w:line="480" w:lineRule="auto"/>
        <w:jc w:val="both"/>
        <w:rPr>
          <w:rFonts w:ascii="Times New Roman" w:hAnsi="Times New Roman" w:cs="Times New Roman"/>
          <w:sz w:val="24"/>
          <w:szCs w:val="24"/>
        </w:rPr>
      </w:pPr>
      <w:r w:rsidRPr="00DB2332">
        <w:rPr>
          <w:rFonts w:ascii="Times New Roman" w:hAnsi="Times New Roman" w:cs="Times New Roman"/>
          <w:sz w:val="24"/>
          <w:szCs w:val="24"/>
        </w:rPr>
        <w:tab/>
        <w:t xml:space="preserve">The present work is a low-order modelling of </w:t>
      </w:r>
      <w:r w:rsidRPr="00DB2332">
        <w:rPr>
          <w:rFonts w:ascii="Times New Roman" w:hAnsi="Times New Roman" w:cs="Times New Roman"/>
          <w:sz w:val="24"/>
          <w:szCs w:val="24"/>
          <w:lang w:eastAsia="en-GB"/>
        </w:rPr>
        <w:t xml:space="preserve">aircraft </w:t>
      </w:r>
      <w:r w:rsidRPr="00DB2332">
        <w:rPr>
          <w:rFonts w:ascii="Times New Roman" w:hAnsi="Times New Roman" w:cs="Times New Roman"/>
          <w:sz w:val="24"/>
          <w:szCs w:val="24"/>
        </w:rPr>
        <w:t>performance characteristics</w:t>
      </w:r>
      <w:r w:rsidRPr="00DB2332">
        <w:rPr>
          <w:rFonts w:ascii="Times New Roman" w:hAnsi="Times New Roman" w:cs="Times New Roman"/>
          <w:sz w:val="24"/>
          <w:szCs w:val="24"/>
          <w:lang w:eastAsia="en-GB"/>
        </w:rPr>
        <w:t xml:space="preserve"> using</w:t>
      </w:r>
      <w:r w:rsidR="004B0930" w:rsidRPr="00DB2332">
        <w:rPr>
          <w:rFonts w:ascii="Times New Roman" w:hAnsi="Times New Roman" w:cs="Times New Roman"/>
          <w:sz w:val="24"/>
          <w:szCs w:val="24"/>
          <w:lang w:eastAsia="en-GB"/>
        </w:rPr>
        <w:t xml:space="preserve"> </w:t>
      </w:r>
      <w:r w:rsidRPr="00DB2332">
        <w:rPr>
          <w:rFonts w:ascii="Times New Roman" w:hAnsi="Times New Roman" w:cs="Times New Roman"/>
          <w:sz w:val="24"/>
          <w:szCs w:val="24"/>
          <w:lang w:eastAsia="en-GB"/>
        </w:rPr>
        <w:t xml:space="preserve">Breguet’s range equation for different fuels. </w:t>
      </w:r>
      <w:r w:rsidR="0001771D" w:rsidRPr="00DB2332">
        <w:rPr>
          <w:rFonts w:ascii="Times New Roman" w:hAnsi="Times New Roman" w:cs="Times New Roman"/>
          <w:sz w:val="24"/>
          <w:szCs w:val="24"/>
        </w:rPr>
        <w:t xml:space="preserve">The </w:t>
      </w:r>
      <w:r w:rsidR="0001771D" w:rsidRPr="00DB2332">
        <w:rPr>
          <w:rFonts w:ascii="Times New Roman" w:hAnsi="Times New Roman" w:cs="Times New Roman"/>
          <w:i/>
          <w:iCs/>
          <w:sz w:val="24"/>
          <w:szCs w:val="24"/>
        </w:rPr>
        <w:t>L/D</w:t>
      </w:r>
      <w:r w:rsidR="0001771D" w:rsidRPr="00DB2332">
        <w:rPr>
          <w:rFonts w:ascii="Times New Roman" w:hAnsi="Times New Roman" w:cs="Times New Roman"/>
          <w:sz w:val="24"/>
          <w:szCs w:val="24"/>
        </w:rPr>
        <w:t xml:space="preserve"> ratio during cruise is based on the average aircraft weight during cruise. Also, in the estimation of the drag coefficient, wave drag </w:t>
      </w:r>
      <w:proofErr w:type="gramStart"/>
      <w:r w:rsidR="0001771D" w:rsidRPr="00DB2332">
        <w:rPr>
          <w:rFonts w:ascii="Times New Roman" w:hAnsi="Times New Roman" w:cs="Times New Roman"/>
          <w:sz w:val="24"/>
          <w:szCs w:val="24"/>
        </w:rPr>
        <w:t>is considered to be</w:t>
      </w:r>
      <w:proofErr w:type="gramEnd"/>
      <w:r w:rsidR="0001771D" w:rsidRPr="00DB2332">
        <w:rPr>
          <w:rFonts w:ascii="Times New Roman" w:hAnsi="Times New Roman" w:cs="Times New Roman"/>
          <w:sz w:val="24"/>
          <w:szCs w:val="24"/>
        </w:rPr>
        <w:t xml:space="preserve"> negligible which are typically considered in high-fidelity analysis. </w:t>
      </w:r>
      <w:r w:rsidR="004B19F4" w:rsidRPr="000B7DCE">
        <w:rPr>
          <w:rFonts w:ascii="Times New Roman" w:hAnsi="Times New Roman" w:cs="Times New Roman"/>
          <w:sz w:val="24"/>
          <w:szCs w:val="24"/>
          <w:lang w:eastAsia="en-GB"/>
        </w:rPr>
        <w:t>The effects of headwinds/tailwinds are not considered</w:t>
      </w:r>
      <w:r w:rsidR="00C73BE6" w:rsidRPr="000B7DCE">
        <w:rPr>
          <w:rFonts w:ascii="Times New Roman" w:hAnsi="Times New Roman" w:cs="Times New Roman"/>
          <w:sz w:val="24"/>
          <w:szCs w:val="24"/>
          <w:lang w:eastAsia="en-GB"/>
        </w:rPr>
        <w:t xml:space="preserve"> in this work</w:t>
      </w:r>
      <w:r w:rsidR="004B19F4" w:rsidRPr="000B7DCE">
        <w:rPr>
          <w:rFonts w:ascii="Times New Roman" w:hAnsi="Times New Roman" w:cs="Times New Roman"/>
          <w:sz w:val="24"/>
          <w:szCs w:val="24"/>
          <w:lang w:eastAsia="en-GB"/>
        </w:rPr>
        <w:t xml:space="preserve"> and the range calculated </w:t>
      </w:r>
      <w:r w:rsidR="00FD7B05" w:rsidRPr="00FA6B79">
        <w:rPr>
          <w:rFonts w:ascii="Times New Roman" w:hAnsi="Times New Roman" w:cs="Times New Roman"/>
          <w:sz w:val="24"/>
          <w:szCs w:val="24"/>
          <w:lang w:eastAsia="en-GB"/>
        </w:rPr>
        <w:t>assuming con</w:t>
      </w:r>
      <w:r w:rsidR="00FD7B05" w:rsidRPr="00DB2332">
        <w:rPr>
          <w:rFonts w:ascii="Times New Roman" w:hAnsi="Times New Roman" w:cs="Times New Roman"/>
          <w:sz w:val="24"/>
          <w:szCs w:val="24"/>
          <w:lang w:eastAsia="en-GB"/>
        </w:rPr>
        <w:t>stant speed and angle of attack</w:t>
      </w:r>
      <w:r w:rsidR="004B19F4" w:rsidRPr="00DB2332">
        <w:rPr>
          <w:rFonts w:ascii="Times New Roman" w:hAnsi="Times New Roman" w:cs="Times New Roman"/>
          <w:sz w:val="24"/>
          <w:szCs w:val="24"/>
          <w:lang w:eastAsia="en-GB"/>
        </w:rPr>
        <w:t>.</w:t>
      </w:r>
      <w:r w:rsidR="004B19F4" w:rsidRPr="00DB2332">
        <w:rPr>
          <w:rFonts w:ascii="Times New Roman" w:hAnsi="Times New Roman" w:cs="Times New Roman"/>
          <w:sz w:val="24"/>
          <w:szCs w:val="24"/>
        </w:rPr>
        <w:t xml:space="preserve"> </w:t>
      </w:r>
      <w:r w:rsidRPr="00DB2332">
        <w:rPr>
          <w:rFonts w:ascii="Times New Roman" w:hAnsi="Times New Roman" w:cs="Times New Roman"/>
          <w:sz w:val="24"/>
          <w:szCs w:val="24"/>
        </w:rPr>
        <w:t xml:space="preserve">The </w:t>
      </w:r>
      <w:r w:rsidR="00A8152B" w:rsidRPr="00DB2332">
        <w:rPr>
          <w:rFonts w:ascii="Times New Roman" w:hAnsi="Times New Roman" w:cs="Times New Roman"/>
          <w:sz w:val="24"/>
          <w:szCs w:val="24"/>
        </w:rPr>
        <w:t xml:space="preserve">evaluation of the </w:t>
      </w:r>
      <w:r w:rsidRPr="00DB2332">
        <w:rPr>
          <w:rFonts w:ascii="Times New Roman" w:hAnsi="Times New Roman" w:cs="Times New Roman"/>
          <w:sz w:val="24"/>
          <w:szCs w:val="24"/>
        </w:rPr>
        <w:t>aircraft performance characteristics in this work is limited to the aircraft use-phase only and these include the aerodynamic, weight and energy performance.</w:t>
      </w:r>
      <w:r w:rsidR="0097262F" w:rsidRPr="00DB2332">
        <w:rPr>
          <w:rFonts w:ascii="Times New Roman" w:hAnsi="Times New Roman" w:cs="Times New Roman"/>
          <w:sz w:val="24"/>
          <w:szCs w:val="24"/>
        </w:rPr>
        <w:t xml:space="preserve"> The (quantified) effects of the aspects in </w:t>
      </w:r>
      <w:r w:rsidR="0097262F" w:rsidRPr="00DB2332">
        <w:rPr>
          <w:rFonts w:ascii="Times New Roman" w:hAnsi="Times New Roman" w:cs="Times New Roman"/>
          <w:sz w:val="24"/>
          <w:szCs w:val="24"/>
          <w:lang w:eastAsia="en-GB"/>
        </w:rPr>
        <w:t>§</w:t>
      </w:r>
      <w:r w:rsidR="0097262F" w:rsidRPr="00DB2332">
        <w:rPr>
          <w:rFonts w:ascii="Times New Roman" w:hAnsi="Times New Roman" w:cs="Times New Roman"/>
          <w:sz w:val="24"/>
          <w:szCs w:val="24"/>
        </w:rPr>
        <w:t xml:space="preserve">4.4.1 to </w:t>
      </w:r>
      <w:r w:rsidR="0097262F" w:rsidRPr="00DB2332">
        <w:rPr>
          <w:rFonts w:ascii="Times New Roman" w:hAnsi="Times New Roman" w:cs="Times New Roman"/>
          <w:sz w:val="24"/>
          <w:szCs w:val="24"/>
          <w:lang w:eastAsia="en-GB"/>
        </w:rPr>
        <w:t>§</w:t>
      </w:r>
      <w:r w:rsidR="0097262F" w:rsidRPr="00DB2332">
        <w:rPr>
          <w:rFonts w:ascii="Times New Roman" w:hAnsi="Times New Roman" w:cs="Times New Roman"/>
          <w:sz w:val="24"/>
          <w:szCs w:val="24"/>
        </w:rPr>
        <w:t>4.4.4 (except the cryogenic tank) on aircraft performance or operations are not considered in this work as they are out of the scope of this work and need a separate higher order analysis.</w:t>
      </w:r>
      <w:r w:rsidRPr="00DB2332">
        <w:rPr>
          <w:rFonts w:ascii="Times New Roman" w:hAnsi="Times New Roman" w:cs="Times New Roman"/>
          <w:sz w:val="24"/>
          <w:szCs w:val="24"/>
        </w:rPr>
        <w:t xml:space="preserve"> </w:t>
      </w:r>
      <w:r w:rsidR="005B0C70" w:rsidRPr="00DB2332">
        <w:rPr>
          <w:rFonts w:ascii="Times New Roman" w:hAnsi="Times New Roman" w:cs="Times New Roman"/>
          <w:sz w:val="24"/>
          <w:szCs w:val="24"/>
        </w:rPr>
        <w:t xml:space="preserve">Life-cycle effects and the fuel cost (dependent on the feedstock and/or pathway used to produce fuel) are not considered in this work. In addition, flight/mission cost and examination of flight economics (comparison for different fuel cases) is not conducted in this work. </w:t>
      </w:r>
      <w:r w:rsidRPr="00DB2332">
        <w:rPr>
          <w:rFonts w:ascii="Times New Roman" w:hAnsi="Times New Roman" w:cs="Times New Roman"/>
          <w:sz w:val="24"/>
          <w:szCs w:val="24"/>
        </w:rPr>
        <w:t xml:space="preserve">Low carbon fuels with more </w:t>
      </w:r>
      <w:r w:rsidRPr="00DB2332">
        <w:rPr>
          <w:rFonts w:ascii="Times New Roman" w:hAnsi="Times New Roman" w:cs="Times New Roman"/>
          <w:sz w:val="24"/>
          <w:szCs w:val="24"/>
        </w:rPr>
        <w:lastRenderedPageBreak/>
        <w:t xml:space="preserve">hydrogen content compared to Jet-A fuel, such as </w:t>
      </w:r>
      <w:r w:rsidR="00E852A2" w:rsidRPr="00DB2332">
        <w:rPr>
          <w:rFonts w:ascii="Times New Roman" w:hAnsi="Times New Roman" w:cs="Times New Roman"/>
          <w:sz w:val="24"/>
          <w:szCs w:val="24"/>
        </w:rPr>
        <w:t>LNH</w:t>
      </w:r>
      <w:r w:rsidR="00E852A2" w:rsidRPr="00DB2332">
        <w:rPr>
          <w:rFonts w:ascii="Times New Roman" w:hAnsi="Times New Roman" w:cs="Times New Roman"/>
          <w:sz w:val="24"/>
          <w:szCs w:val="24"/>
          <w:vertAlign w:val="subscript"/>
        </w:rPr>
        <w:t>3</w:t>
      </w:r>
      <w:r w:rsidRPr="00DB2332">
        <w:rPr>
          <w:rFonts w:ascii="Times New Roman" w:hAnsi="Times New Roman" w:cs="Times New Roman"/>
          <w:sz w:val="24"/>
          <w:szCs w:val="24"/>
        </w:rPr>
        <w:t>,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w:t>
      </w:r>
      <w:r w:rsidR="00E852A2" w:rsidRPr="00DB2332">
        <w:rPr>
          <w:rFonts w:ascii="Times New Roman" w:hAnsi="Times New Roman" w:cs="Times New Roman"/>
          <w:sz w:val="24"/>
          <w:szCs w:val="24"/>
        </w:rPr>
        <w:t>LNG</w:t>
      </w:r>
      <w:r w:rsidRPr="00DB2332">
        <w:rPr>
          <w:rFonts w:ascii="Times New Roman" w:hAnsi="Times New Roman" w:cs="Times New Roman"/>
          <w:sz w:val="24"/>
          <w:szCs w:val="24"/>
        </w:rPr>
        <w:t xml:space="preserve">, etc. are expected to produce more water vapour at typical cruise altitude and could increase </w:t>
      </w:r>
      <w:r w:rsidR="3EC66CA0" w:rsidRPr="00DB2332">
        <w:rPr>
          <w:rFonts w:ascii="Times New Roman" w:hAnsi="Times New Roman" w:cs="Times New Roman"/>
          <w:sz w:val="24"/>
          <w:szCs w:val="24"/>
        </w:rPr>
        <w:t>contrail</w:t>
      </w:r>
      <w:r w:rsidR="2A38B9FB" w:rsidRPr="00DB2332">
        <w:rPr>
          <w:rFonts w:ascii="Times New Roman" w:hAnsi="Times New Roman" w:cs="Times New Roman"/>
          <w:sz w:val="24"/>
          <w:szCs w:val="24"/>
        </w:rPr>
        <w:t xml:space="preserve"> formation</w:t>
      </w:r>
      <w:r w:rsidRPr="00DB2332">
        <w:rPr>
          <w:rFonts w:ascii="Times New Roman" w:hAnsi="Times New Roman" w:cs="Times New Roman"/>
          <w:sz w:val="24"/>
          <w:szCs w:val="24"/>
        </w:rPr>
        <w:t xml:space="preserve">, which are known to have a net warming effect on climate. </w:t>
      </w:r>
      <w:r w:rsidR="0ADC2082" w:rsidRPr="00DB2332">
        <w:rPr>
          <w:rFonts w:ascii="Times New Roman" w:hAnsi="Times New Roman" w:cs="Times New Roman"/>
          <w:sz w:val="24"/>
          <w:szCs w:val="24"/>
        </w:rPr>
        <w:t xml:space="preserve">However, significant </w:t>
      </w:r>
      <w:r w:rsidR="639B7E58" w:rsidRPr="00DB2332">
        <w:rPr>
          <w:rFonts w:ascii="Times New Roman" w:hAnsi="Times New Roman" w:cs="Times New Roman"/>
          <w:sz w:val="24"/>
          <w:szCs w:val="24"/>
        </w:rPr>
        <w:t>uncertainties remain as to the</w:t>
      </w:r>
      <w:r w:rsidR="0ADC2082" w:rsidRPr="00DB2332">
        <w:rPr>
          <w:rFonts w:ascii="Times New Roman" w:hAnsi="Times New Roman" w:cs="Times New Roman"/>
          <w:sz w:val="24"/>
          <w:szCs w:val="24"/>
        </w:rPr>
        <w:t xml:space="preserve"> contrail </w:t>
      </w:r>
      <w:r w:rsidR="000559C8" w:rsidRPr="00DB2332">
        <w:rPr>
          <w:rFonts w:ascii="Times New Roman" w:hAnsi="Times New Roman" w:cs="Times New Roman"/>
          <w:sz w:val="24"/>
          <w:szCs w:val="24"/>
        </w:rPr>
        <w:t xml:space="preserve">induced </w:t>
      </w:r>
      <w:r w:rsidR="00D25993" w:rsidRPr="00DB2332">
        <w:rPr>
          <w:rFonts w:ascii="Times New Roman" w:hAnsi="Times New Roman" w:cs="Times New Roman"/>
          <w:sz w:val="24"/>
          <w:szCs w:val="24"/>
        </w:rPr>
        <w:t>climate</w:t>
      </w:r>
      <w:r w:rsidR="0ADC2082" w:rsidRPr="00DB2332">
        <w:rPr>
          <w:rFonts w:ascii="Times New Roman" w:hAnsi="Times New Roman" w:cs="Times New Roman"/>
          <w:sz w:val="24"/>
          <w:szCs w:val="24"/>
        </w:rPr>
        <w:t xml:space="preserve"> effects of hydrogen</w:t>
      </w:r>
      <w:r w:rsidR="6C6021E1" w:rsidRPr="00DB2332">
        <w:rPr>
          <w:rFonts w:ascii="Times New Roman" w:hAnsi="Times New Roman" w:cs="Times New Roman"/>
          <w:sz w:val="24"/>
          <w:szCs w:val="24"/>
        </w:rPr>
        <w:t xml:space="preserve"> aircraft</w:t>
      </w:r>
      <w:r w:rsidR="0ADC2082" w:rsidRPr="00DB2332">
        <w:rPr>
          <w:rFonts w:ascii="Times New Roman" w:hAnsi="Times New Roman" w:cs="Times New Roman"/>
          <w:sz w:val="24"/>
          <w:szCs w:val="24"/>
        </w:rPr>
        <w:t>,</w:t>
      </w:r>
      <w:r w:rsidR="67B8CE64" w:rsidRPr="00DB2332">
        <w:rPr>
          <w:rFonts w:ascii="Times New Roman" w:hAnsi="Times New Roman" w:cs="Times New Roman"/>
          <w:sz w:val="24"/>
          <w:szCs w:val="24"/>
        </w:rPr>
        <w:t xml:space="preserve"> and it might be </w:t>
      </w:r>
      <w:r w:rsidR="546C9D6F" w:rsidRPr="00DB2332">
        <w:rPr>
          <w:rFonts w:ascii="Times New Roman" w:hAnsi="Times New Roman" w:cs="Times New Roman"/>
          <w:sz w:val="24"/>
          <w:szCs w:val="24"/>
        </w:rPr>
        <w:t>possible</w:t>
      </w:r>
      <w:r w:rsidR="67B8CE64" w:rsidRPr="00DB2332">
        <w:rPr>
          <w:rFonts w:ascii="Times New Roman" w:hAnsi="Times New Roman" w:cs="Times New Roman"/>
          <w:sz w:val="24"/>
          <w:szCs w:val="24"/>
        </w:rPr>
        <w:t xml:space="preserve"> to implement operational avoidance strategies, such as avoiding ice-supersaturated regions</w:t>
      </w:r>
      <w:r w:rsidR="000255E4" w:rsidRPr="00DB2332">
        <w:rPr>
          <w:rFonts w:ascii="Times New Roman" w:hAnsi="Times New Roman" w:cs="Times New Roman"/>
          <w:sz w:val="24"/>
          <w:szCs w:val="24"/>
        </w:rPr>
        <w:fldChar w:fldCharType="begin" w:fldLock="1"/>
      </w:r>
      <w:r w:rsidR="00CF53DC" w:rsidRPr="00DB2332">
        <w:rPr>
          <w:rFonts w:ascii="Times New Roman" w:hAnsi="Times New Roman" w:cs="Times New Roman"/>
          <w:sz w:val="24"/>
          <w:szCs w:val="24"/>
        </w:rPr>
        <w:instrText>ADDIN CSL_CITATION {"citationItems":[{"id":"ITEM-1","itemData":{"author":[{"dropping-particle":"","family":"Svensson","given":"Fredrik","non-dropping-particle":"","parse-names":false,"suffix":""}],"id":"ITEM-1","issued":{"date-parts":[["2005"]]},"publisher":"Cranfield University","title":"Potential of reducng the environmental impact of civil subsonic aviation by using liquid hydrogen","type":"thesis"},"uris":["http://www.mendeley.com/documents/?uuid=04c70b69-d0da-38d3-9834-942e694ec4a6"]},{"id":"ITEM-2","itemData":{"DOI":"10.1021/acs.est.9b05608","ISSN":"15205851","PMID":"32048502","abstract":"The climate forcing of contrails and induced-cirrus cloudiness is thought to be comparable to the cumulative impacts of aviation CO2 emissions. This paper estimates the impact of aviation contrails on climate forcing for flight track data in Japanese airspace and propagates uncertainties arising from meteorology and aircraft black carbon (BC) particle number emissions. Uncertainties in the contrail age, coverage, optical properties, radiative forcing, and energy forcing (EF) from individual flights can be 2 orders of magnitude larger than the fleet-average values. Only 2.2% [2.0, 2.5%] of flights contribute to 80% of the contrail EF in this region. A small-scale strategy of selectively diverting 1.7% of the fleet could reduce the contrail EF by up to 59.3% [52.4, 65.6%], with only a 0.014% [0.010, 0.017%] increase in total fuel consumption and CO2 emissions. A low-risk strategy of diverting flights only if there is no fuel penalty, thereby avoiding additional long-lived CO2 emissions, would reduce contrail EF by 20.0% [17.4, 23.0%]. In the longer term, widespread use of new engine combustor technology, which reduces BC particle emissions, could achieve a 68.8% [45.2, 82.1%] reduction in the contrail EF. A combination of both interventions could reduce the contrail EF by 91.8% [88.6, 95.8%].","author":[{"dropping-particle":"","family":"Teoh","given":"Roger","non-dropping-particle":"","parse-names":false,"suffix":""},{"dropping-particle":"","family":"Schumann","given":"Ulrich","non-dropping-particle":"","parse-names":false,"suffix":""},{"dropping-particle":"","family":"Majumdar","given":"Arnab","non-dropping-particle":"","parse-names":false,"suffix":""},{"dropping-particle":"","family":"Stettler","given":"Marc E.J.","non-dropping-particle":"","parse-names":false,"suffix":""}],"container-title":"Environmental Science and Technology","id":"ITEM-2","issue":"5","issued":{"date-parts":[["2020","3","3"]]},"page":"2941-2950","publisher":"American Chemical Society","title":"Mitigating the Climate Forcing of Aircraft Contrails by Small-Scale Diversions and Technology Adoption","type":"article-journal","volume":"54"},"uris":["http://www.mendeley.com/documents/?uuid=59c654b5-3098-377a-9924-406ed00b4901"]}],"mendeley":{"formattedCitation":"(Svensson, 2005b; Teoh et al., 2020)","plainTextFormattedCitation":"(Svensson, 2005b; Teoh et al., 2020)","previouslyFormattedCitation":"(Svensson, 2005b; Teoh et al., 2020)"},"properties":{"noteIndex":0},"schema":"https://github.com/citation-style-language/schema/raw/master/csl-citation.json"}</w:instrText>
      </w:r>
      <w:r w:rsidR="000255E4" w:rsidRPr="00DB2332">
        <w:rPr>
          <w:rFonts w:ascii="Times New Roman" w:hAnsi="Times New Roman" w:cs="Times New Roman"/>
          <w:sz w:val="24"/>
          <w:szCs w:val="24"/>
        </w:rPr>
        <w:fldChar w:fldCharType="separate"/>
      </w:r>
      <w:r w:rsidR="00E07378" w:rsidRPr="00DB2332">
        <w:rPr>
          <w:rFonts w:ascii="Times New Roman" w:hAnsi="Times New Roman" w:cs="Times New Roman"/>
          <w:noProof/>
          <w:sz w:val="24"/>
          <w:szCs w:val="24"/>
        </w:rPr>
        <w:t>(</w:t>
      </w:r>
      <w:proofErr w:type="spellStart"/>
      <w:r w:rsidR="00E07378" w:rsidRPr="00DB2332">
        <w:rPr>
          <w:rFonts w:ascii="Times New Roman" w:hAnsi="Times New Roman" w:cs="Times New Roman"/>
          <w:noProof/>
          <w:sz w:val="24"/>
          <w:szCs w:val="24"/>
        </w:rPr>
        <w:t>Svensson</w:t>
      </w:r>
      <w:proofErr w:type="spellEnd"/>
      <w:r w:rsidR="00E07378" w:rsidRPr="00DB2332">
        <w:rPr>
          <w:rFonts w:ascii="Times New Roman" w:hAnsi="Times New Roman" w:cs="Times New Roman"/>
          <w:noProof/>
          <w:sz w:val="24"/>
          <w:szCs w:val="24"/>
        </w:rPr>
        <w:t>, 2005b; Teoh et al., 2020)</w:t>
      </w:r>
      <w:r w:rsidR="000255E4" w:rsidRPr="00DB2332">
        <w:rPr>
          <w:rFonts w:ascii="Times New Roman" w:hAnsi="Times New Roman" w:cs="Times New Roman"/>
          <w:sz w:val="24"/>
          <w:szCs w:val="24"/>
        </w:rPr>
        <w:fldChar w:fldCharType="end"/>
      </w:r>
      <w:r w:rsidRPr="00DB2332">
        <w:rPr>
          <w:rFonts w:ascii="Times New Roman" w:hAnsi="Times New Roman" w:cs="Times New Roman"/>
          <w:sz w:val="24"/>
          <w:szCs w:val="24"/>
        </w:rPr>
        <w:t xml:space="preserve">. The emissions and contrail performance, and effect of varying altitude on </w:t>
      </w:r>
      <w:r w:rsidRPr="00DB2332">
        <w:rPr>
          <w:rFonts w:ascii="Times New Roman" w:hAnsi="Times New Roman" w:cs="Times New Roman"/>
          <w:sz w:val="24"/>
          <w:szCs w:val="24"/>
          <w:lang w:eastAsia="en-GB"/>
        </w:rPr>
        <w:t>LH</w:t>
      </w:r>
      <w:r w:rsidRPr="00DB2332">
        <w:rPr>
          <w:rFonts w:ascii="Times New Roman" w:hAnsi="Times New Roman" w:cs="Times New Roman"/>
          <w:sz w:val="24"/>
          <w:szCs w:val="24"/>
          <w:vertAlign w:val="subscript"/>
          <w:lang w:eastAsia="en-GB"/>
        </w:rPr>
        <w:t>2</w:t>
      </w:r>
      <w:r w:rsidRPr="00DB2332">
        <w:rPr>
          <w:rFonts w:ascii="Times New Roman" w:hAnsi="Times New Roman" w:cs="Times New Roman"/>
          <w:sz w:val="24"/>
          <w:szCs w:val="24"/>
        </w:rPr>
        <w:t xml:space="preserve"> aircraft, are not included in this work. Additionally, aircraft structural/stress and stability examination are not considered in this work</w:t>
      </w:r>
      <w:r w:rsidR="000E1876" w:rsidRPr="00DB2332">
        <w:rPr>
          <w:rFonts w:ascii="Times New Roman" w:hAnsi="Times New Roman" w:cs="Times New Roman"/>
          <w:sz w:val="24"/>
          <w:szCs w:val="24"/>
        </w:rPr>
        <w:t xml:space="preserve"> (particularly resulting from increase in fuselage length)</w:t>
      </w:r>
      <w:r w:rsidRPr="00DB2332">
        <w:rPr>
          <w:rFonts w:ascii="Times New Roman" w:hAnsi="Times New Roman" w:cs="Times New Roman"/>
          <w:sz w:val="24"/>
          <w:szCs w:val="24"/>
        </w:rPr>
        <w:t>, and these could be crucial for LH</w:t>
      </w:r>
      <w:r w:rsidRPr="00DB2332">
        <w:rPr>
          <w:rFonts w:ascii="Times New Roman" w:hAnsi="Times New Roman" w:cs="Times New Roman"/>
          <w:sz w:val="24"/>
          <w:szCs w:val="24"/>
          <w:vertAlign w:val="subscript"/>
        </w:rPr>
        <w:t>2</w:t>
      </w:r>
      <w:r w:rsidRPr="00DB2332">
        <w:rPr>
          <w:rFonts w:ascii="Times New Roman" w:hAnsi="Times New Roman" w:cs="Times New Roman"/>
          <w:sz w:val="24"/>
          <w:szCs w:val="24"/>
        </w:rPr>
        <w:t xml:space="preserve"> powered aircraft where the aircraft fuselage </w:t>
      </w:r>
      <w:r w:rsidR="00E243F3" w:rsidRPr="00DB2332">
        <w:rPr>
          <w:rFonts w:ascii="Times New Roman" w:hAnsi="Times New Roman" w:cs="Times New Roman"/>
          <w:sz w:val="24"/>
          <w:szCs w:val="24"/>
        </w:rPr>
        <w:t xml:space="preserve">length </w:t>
      </w:r>
      <w:r w:rsidRPr="00DB2332">
        <w:rPr>
          <w:rFonts w:ascii="Times New Roman" w:hAnsi="Times New Roman" w:cs="Times New Roman"/>
          <w:sz w:val="24"/>
          <w:szCs w:val="24"/>
        </w:rPr>
        <w:t>increases significantly</w:t>
      </w:r>
      <w:r w:rsidR="00010812" w:rsidRPr="00DB2332">
        <w:rPr>
          <w:rFonts w:ascii="Times New Roman" w:hAnsi="Times New Roman" w:cs="Times New Roman"/>
          <w:sz w:val="24"/>
          <w:szCs w:val="24"/>
        </w:rPr>
        <w:t xml:space="preserve"> (~30%)</w:t>
      </w:r>
      <w:r w:rsidRPr="00DB2332">
        <w:rPr>
          <w:rFonts w:ascii="Times New Roman" w:hAnsi="Times New Roman" w:cs="Times New Roman"/>
          <w:sz w:val="24"/>
          <w:szCs w:val="24"/>
        </w:rPr>
        <w:t xml:space="preserve">. </w:t>
      </w:r>
      <w:r w:rsidRPr="00DB2332">
        <w:rPr>
          <w:rFonts w:ascii="Times New Roman" w:hAnsi="Times New Roman" w:cs="Times New Roman"/>
          <w:sz w:val="24"/>
          <w:szCs w:val="24"/>
          <w:lang w:eastAsia="en-GB"/>
        </w:rPr>
        <w:t>Th</w:t>
      </w:r>
      <w:r w:rsidR="00CB79A0" w:rsidRPr="00DB2332">
        <w:rPr>
          <w:rFonts w:ascii="Times New Roman" w:hAnsi="Times New Roman" w:cs="Times New Roman"/>
          <w:sz w:val="24"/>
          <w:szCs w:val="24"/>
          <w:lang w:eastAsia="en-GB"/>
        </w:rPr>
        <w:t>e present</w:t>
      </w:r>
      <w:r w:rsidRPr="00DB2332">
        <w:rPr>
          <w:rFonts w:ascii="Times New Roman" w:hAnsi="Times New Roman" w:cs="Times New Roman"/>
          <w:sz w:val="24"/>
          <w:szCs w:val="24"/>
        </w:rPr>
        <w:t xml:space="preserve"> work does not conduct rigorous design and optimization of aircraft employing different fuels</w:t>
      </w:r>
      <w:r w:rsidR="005368FB" w:rsidRPr="00DB2332">
        <w:rPr>
          <w:rFonts w:ascii="Times New Roman" w:hAnsi="Times New Roman" w:cs="Times New Roman"/>
          <w:sz w:val="24"/>
          <w:szCs w:val="24"/>
        </w:rPr>
        <w:t xml:space="preserve"> and the analysis is only limited to a tube-wing aircraft architecture</w:t>
      </w:r>
      <w:r w:rsidRPr="00DB2332">
        <w:rPr>
          <w:rFonts w:ascii="Times New Roman" w:hAnsi="Times New Roman" w:cs="Times New Roman"/>
          <w:sz w:val="24"/>
          <w:szCs w:val="24"/>
        </w:rPr>
        <w:t>.</w:t>
      </w:r>
      <w:r w:rsidR="00091C33" w:rsidRPr="00DB2332">
        <w:rPr>
          <w:rFonts w:ascii="Times New Roman" w:hAnsi="Times New Roman" w:cs="Times New Roman"/>
          <w:sz w:val="24"/>
          <w:szCs w:val="24"/>
        </w:rPr>
        <w:t xml:space="preserve"> </w:t>
      </w:r>
      <w:r w:rsidR="006F5B12" w:rsidRPr="000B7DCE">
        <w:rPr>
          <w:rFonts w:ascii="Times New Roman" w:hAnsi="Times New Roman" w:cs="Times New Roman"/>
          <w:sz w:val="24"/>
          <w:szCs w:val="24"/>
        </w:rPr>
        <w:t>Lastly, the effect of cryogenic tank is not considered in detail and is based on other studies. Ideally, a separate design model for cryogenic tank is required that accounts both internal and external mechanical and thermal stresses.</w:t>
      </w:r>
    </w:p>
    <w:p w14:paraId="2021BE82" w14:textId="30600F79" w:rsidR="002F63CF" w:rsidRPr="00DB2332" w:rsidRDefault="002F63CF" w:rsidP="000C5E43">
      <w:pPr>
        <w:pStyle w:val="Heading1"/>
        <w:spacing w:after="240" w:line="480" w:lineRule="auto"/>
        <w:rPr>
          <w:rFonts w:ascii="Times New Roman" w:eastAsia="Times New Roman" w:hAnsi="Times New Roman" w:cs="Times New Roman"/>
          <w:b/>
          <w:bCs/>
          <w:color w:val="auto"/>
          <w:sz w:val="24"/>
          <w:szCs w:val="24"/>
          <w:bdr w:val="none" w:sz="0" w:space="0" w:color="auto" w:frame="1"/>
          <w:lang w:eastAsia="en-GB"/>
        </w:rPr>
      </w:pPr>
      <w:r w:rsidRPr="00DB2332">
        <w:rPr>
          <w:rFonts w:ascii="Times New Roman" w:eastAsia="Times New Roman" w:hAnsi="Times New Roman" w:cs="Times New Roman"/>
          <w:b/>
          <w:bCs/>
          <w:color w:val="auto"/>
          <w:sz w:val="24"/>
          <w:szCs w:val="24"/>
          <w:bdr w:val="none" w:sz="0" w:space="0" w:color="auto" w:frame="1"/>
          <w:lang w:eastAsia="en-GB"/>
        </w:rPr>
        <w:t>Conclusions</w:t>
      </w:r>
    </w:p>
    <w:p w14:paraId="692837D9" w14:textId="5DE44C5B" w:rsidR="001C5A99" w:rsidRPr="00DB2332" w:rsidRDefault="00885702" w:rsidP="002A47E4">
      <w:pPr>
        <w:spacing w:after="0" w:line="480" w:lineRule="auto"/>
        <w:jc w:val="both"/>
        <w:rPr>
          <w:rFonts w:ascii="Times New Roman" w:hAnsi="Times New Roman" w:cs="Times New Roman"/>
          <w:sz w:val="24"/>
          <w:szCs w:val="24"/>
        </w:rPr>
      </w:pPr>
      <w:r w:rsidRPr="00DB2332">
        <w:rPr>
          <w:rFonts w:ascii="Times New Roman" w:eastAsia="Times New Roman" w:hAnsi="Times New Roman" w:cs="Times New Roman"/>
          <w:sz w:val="24"/>
          <w:szCs w:val="24"/>
        </w:rPr>
        <w:tab/>
      </w:r>
      <w:r w:rsidR="00DB2332">
        <w:rPr>
          <w:rFonts w:ascii="Times New Roman" w:eastAsia="Times New Roman" w:hAnsi="Times New Roman" w:cs="Times New Roman"/>
          <w:sz w:val="24"/>
          <w:szCs w:val="24"/>
        </w:rPr>
        <w:t>T</w:t>
      </w:r>
      <w:r w:rsidR="005D1353" w:rsidRPr="00DB2332">
        <w:rPr>
          <w:rFonts w:ascii="Times New Roman" w:eastAsia="Times New Roman" w:hAnsi="Times New Roman" w:cs="Times New Roman"/>
          <w:sz w:val="24"/>
          <w:szCs w:val="24"/>
        </w:rPr>
        <w:t>he a</w:t>
      </w:r>
      <w:r w:rsidRPr="00DB2332">
        <w:rPr>
          <w:rFonts w:ascii="Times New Roman" w:eastAsia="Times New Roman" w:hAnsi="Times New Roman" w:cs="Times New Roman"/>
          <w:sz w:val="24"/>
          <w:szCs w:val="24"/>
        </w:rPr>
        <w:t xml:space="preserve">viation </w:t>
      </w:r>
      <w:r w:rsidR="005D1353" w:rsidRPr="00DB2332">
        <w:rPr>
          <w:rFonts w:ascii="Times New Roman" w:eastAsia="Times New Roman" w:hAnsi="Times New Roman" w:cs="Times New Roman"/>
          <w:sz w:val="24"/>
          <w:szCs w:val="24"/>
        </w:rPr>
        <w:t xml:space="preserve">sector </w:t>
      </w:r>
      <w:r w:rsidR="00DB2332">
        <w:rPr>
          <w:rFonts w:ascii="Times New Roman" w:eastAsia="Times New Roman" w:hAnsi="Times New Roman" w:cs="Times New Roman"/>
          <w:sz w:val="24"/>
          <w:szCs w:val="24"/>
        </w:rPr>
        <w:t>is responsible for</w:t>
      </w:r>
      <w:r w:rsidRPr="00DB2332">
        <w:rPr>
          <w:rFonts w:ascii="Times New Roman" w:eastAsia="Times New Roman" w:hAnsi="Times New Roman" w:cs="Times New Roman"/>
          <w:sz w:val="24"/>
          <w:szCs w:val="24"/>
        </w:rPr>
        <w:t xml:space="preserve"> </w:t>
      </w:r>
      <w:r w:rsidR="00DB2332">
        <w:rPr>
          <w:rFonts w:ascii="Times New Roman" w:eastAsia="Times New Roman" w:hAnsi="Times New Roman" w:cs="Times New Roman"/>
          <w:sz w:val="24"/>
          <w:szCs w:val="24"/>
        </w:rPr>
        <w:t>3.</w:t>
      </w:r>
      <w:r w:rsidR="00D2142E" w:rsidRPr="00DB2332">
        <w:rPr>
          <w:rFonts w:ascii="Times New Roman" w:eastAsia="Times New Roman" w:hAnsi="Times New Roman" w:cs="Times New Roman"/>
          <w:sz w:val="24"/>
          <w:szCs w:val="24"/>
        </w:rPr>
        <w:t>5%</w:t>
      </w:r>
      <w:r w:rsidR="003E71D2" w:rsidRPr="00DB2332">
        <w:rPr>
          <w:rFonts w:ascii="Times New Roman" w:eastAsia="Times New Roman" w:hAnsi="Times New Roman" w:cs="Times New Roman"/>
          <w:sz w:val="24"/>
          <w:szCs w:val="24"/>
        </w:rPr>
        <w:t xml:space="preserve"> of the </w:t>
      </w:r>
      <w:r w:rsidR="006533D7" w:rsidRPr="00DB2332">
        <w:rPr>
          <w:rFonts w:ascii="Times New Roman" w:eastAsia="Times New Roman" w:hAnsi="Times New Roman" w:cs="Times New Roman"/>
          <w:sz w:val="24"/>
          <w:szCs w:val="24"/>
        </w:rPr>
        <w:t xml:space="preserve">total </w:t>
      </w:r>
      <w:r w:rsidR="00D2142E" w:rsidRPr="00DB2332">
        <w:rPr>
          <w:rFonts w:ascii="Times New Roman" w:eastAsia="Times New Roman" w:hAnsi="Times New Roman" w:cs="Times New Roman"/>
          <w:sz w:val="24"/>
          <w:szCs w:val="24"/>
        </w:rPr>
        <w:t xml:space="preserve">anthropogenic </w:t>
      </w:r>
      <w:r w:rsidR="00983C2A" w:rsidRPr="00DB2332">
        <w:rPr>
          <w:rFonts w:ascii="Times New Roman" w:eastAsia="Times New Roman" w:hAnsi="Times New Roman" w:cs="Times New Roman"/>
          <w:sz w:val="24"/>
          <w:szCs w:val="24"/>
        </w:rPr>
        <w:t>radiative forcing</w:t>
      </w:r>
      <w:r w:rsidR="00D2142E" w:rsidRPr="00DB2332">
        <w:rPr>
          <w:rFonts w:ascii="Times New Roman" w:eastAsia="Times New Roman" w:hAnsi="Times New Roman" w:cs="Times New Roman"/>
          <w:sz w:val="24"/>
          <w:szCs w:val="24"/>
        </w:rPr>
        <w:t xml:space="preserve">, and the use of low-carbon alternative energy vectors is critical to </w:t>
      </w:r>
      <w:r w:rsidR="00940832" w:rsidRPr="00DB2332">
        <w:rPr>
          <w:rFonts w:ascii="Times New Roman" w:eastAsia="Times New Roman" w:hAnsi="Times New Roman" w:cs="Times New Roman"/>
          <w:sz w:val="24"/>
          <w:szCs w:val="24"/>
        </w:rPr>
        <w:t xml:space="preserve">significantly reduce </w:t>
      </w:r>
      <w:r w:rsidR="00940832" w:rsidRPr="00DB2332">
        <w:rPr>
          <w:rFonts w:ascii="Times New Roman" w:hAnsi="Times New Roman" w:cs="Times New Roman"/>
          <w:sz w:val="24"/>
          <w:szCs w:val="24"/>
        </w:rPr>
        <w:t>aviation’s climate</w:t>
      </w:r>
      <w:r w:rsidR="00A71A4F" w:rsidRPr="00DB2332">
        <w:rPr>
          <w:rFonts w:ascii="Times New Roman" w:hAnsi="Times New Roman" w:cs="Times New Roman"/>
          <w:sz w:val="24"/>
          <w:szCs w:val="24"/>
        </w:rPr>
        <w:t xml:space="preserve"> impacts.</w:t>
      </w:r>
      <w:r w:rsidR="00940832" w:rsidRPr="00DB2332">
        <w:rPr>
          <w:rFonts w:ascii="Times New Roman" w:hAnsi="Times New Roman" w:cs="Times New Roman"/>
          <w:sz w:val="24"/>
          <w:szCs w:val="24"/>
        </w:rPr>
        <w:t xml:space="preserve"> </w:t>
      </w:r>
      <w:r w:rsidR="00D2142E" w:rsidRPr="00DB2332">
        <w:rPr>
          <w:rFonts w:ascii="Times New Roman" w:hAnsi="Times New Roman" w:cs="Times New Roman"/>
          <w:sz w:val="24"/>
          <w:szCs w:val="24"/>
        </w:rPr>
        <w:t>This</w:t>
      </w:r>
      <w:r w:rsidRPr="00DB2332">
        <w:rPr>
          <w:rFonts w:ascii="Times New Roman" w:hAnsi="Times New Roman" w:cs="Times New Roman"/>
          <w:sz w:val="24"/>
          <w:szCs w:val="24"/>
        </w:rPr>
        <w:t xml:space="preserve"> research </w:t>
      </w:r>
      <w:r w:rsidR="00D2142E" w:rsidRPr="00DB2332">
        <w:rPr>
          <w:rFonts w:ascii="Times New Roman" w:hAnsi="Times New Roman" w:cs="Times New Roman"/>
          <w:sz w:val="24"/>
          <w:szCs w:val="24"/>
        </w:rPr>
        <w:t>evaluated</w:t>
      </w:r>
      <w:r w:rsidRPr="00DB2332">
        <w:rPr>
          <w:rFonts w:ascii="Times New Roman" w:hAnsi="Times New Roman" w:cs="Times New Roman"/>
          <w:sz w:val="24"/>
          <w:szCs w:val="24"/>
        </w:rPr>
        <w:t xml:space="preserve"> low-carbon energy vectors for long-range </w:t>
      </w:r>
      <w:r w:rsidR="00BC3AC1" w:rsidRPr="00DB2332">
        <w:rPr>
          <w:rFonts w:ascii="Times New Roman" w:hAnsi="Times New Roman" w:cs="Times New Roman"/>
          <w:sz w:val="24"/>
          <w:szCs w:val="24"/>
        </w:rPr>
        <w:t>LTA</w:t>
      </w:r>
      <w:r w:rsidRPr="00DB2332">
        <w:rPr>
          <w:rFonts w:ascii="Times New Roman" w:hAnsi="Times New Roman" w:cs="Times New Roman"/>
          <w:sz w:val="24"/>
          <w:szCs w:val="24"/>
        </w:rPr>
        <w:t xml:space="preserve"> passenger aircraft</w:t>
      </w:r>
      <w:r w:rsidR="00D2142E" w:rsidRPr="00DB2332">
        <w:rPr>
          <w:rFonts w:ascii="Times New Roman" w:hAnsi="Times New Roman" w:cs="Times New Roman"/>
          <w:sz w:val="24"/>
          <w:szCs w:val="24"/>
        </w:rPr>
        <w:t xml:space="preserve"> and used the standard Breguet range equation to perform a comparative assessment for the characteristics of six alternative liquid fuels (</w:t>
      </w:r>
      <w:r w:rsidR="00D2142E" w:rsidRPr="00DB2332">
        <w:rPr>
          <w:rFonts w:ascii="Times New Roman" w:hAnsi="Times New Roman" w:cs="Times New Roman"/>
          <w:sz w:val="24"/>
          <w:szCs w:val="24"/>
          <w:lang w:eastAsia="en-GB"/>
        </w:rPr>
        <w:t xml:space="preserve">methanol, ethanol, 100% </w:t>
      </w:r>
      <w:r w:rsidR="00D2142E" w:rsidRPr="00DB2332">
        <w:rPr>
          <w:rFonts w:ascii="Times New Roman" w:hAnsi="Times New Roman" w:cs="Times New Roman"/>
          <w:sz w:val="24"/>
          <w:szCs w:val="24"/>
        </w:rPr>
        <w:t>SPK</w:t>
      </w:r>
      <w:r w:rsidR="00D2142E" w:rsidRPr="00DB2332">
        <w:rPr>
          <w:rFonts w:ascii="Times New Roman" w:hAnsi="Times New Roman" w:cs="Times New Roman"/>
          <w:sz w:val="24"/>
          <w:szCs w:val="24"/>
          <w:lang w:eastAsia="en-GB"/>
        </w:rPr>
        <w:t xml:space="preserve">, </w:t>
      </w:r>
      <w:r w:rsidR="00D2142E" w:rsidRPr="00DB2332">
        <w:rPr>
          <w:rFonts w:ascii="Times New Roman" w:hAnsi="Times New Roman" w:cs="Times New Roman"/>
          <w:sz w:val="24"/>
          <w:szCs w:val="24"/>
        </w:rPr>
        <w:t>LH</w:t>
      </w:r>
      <w:r w:rsidR="00D2142E" w:rsidRPr="00DB2332">
        <w:rPr>
          <w:rFonts w:ascii="Times New Roman" w:hAnsi="Times New Roman" w:cs="Times New Roman"/>
          <w:sz w:val="24"/>
          <w:szCs w:val="24"/>
          <w:vertAlign w:val="subscript"/>
        </w:rPr>
        <w:t>2</w:t>
      </w:r>
      <w:r w:rsidR="00D2142E" w:rsidRPr="00DB2332">
        <w:rPr>
          <w:rFonts w:ascii="Times New Roman" w:eastAsia="Times New Roman" w:hAnsi="Times New Roman" w:cs="Times New Roman"/>
          <w:sz w:val="24"/>
          <w:szCs w:val="24"/>
          <w:lang w:eastAsia="en-GB"/>
        </w:rPr>
        <w:t>, LNG, and LNH</w:t>
      </w:r>
      <w:r w:rsidR="00D2142E" w:rsidRPr="00DB2332">
        <w:rPr>
          <w:rFonts w:ascii="Times New Roman" w:eastAsia="Times New Roman" w:hAnsi="Times New Roman" w:cs="Times New Roman"/>
          <w:sz w:val="24"/>
          <w:szCs w:val="24"/>
          <w:vertAlign w:val="subscript"/>
          <w:lang w:eastAsia="en-GB"/>
        </w:rPr>
        <w:t>3</w:t>
      </w:r>
      <w:r w:rsidR="00D2142E" w:rsidRPr="00DB2332">
        <w:rPr>
          <w:rFonts w:ascii="Times New Roman" w:hAnsi="Times New Roman" w:cs="Times New Roman"/>
          <w:sz w:val="24"/>
          <w:szCs w:val="24"/>
        </w:rPr>
        <w:t>).</w:t>
      </w:r>
      <w:r w:rsidR="00817421" w:rsidRPr="00DB2332">
        <w:rPr>
          <w:rFonts w:ascii="Times New Roman" w:hAnsi="Times New Roman" w:cs="Times New Roman"/>
          <w:sz w:val="24"/>
          <w:szCs w:val="24"/>
        </w:rPr>
        <w:t xml:space="preserve"> </w:t>
      </w:r>
      <w:r w:rsidR="00C51D15" w:rsidRPr="00DB2332">
        <w:rPr>
          <w:rFonts w:ascii="Times New Roman" w:hAnsi="Times New Roman" w:cs="Times New Roman"/>
          <w:sz w:val="24"/>
          <w:szCs w:val="24"/>
        </w:rPr>
        <w:t xml:space="preserve">Considering the </w:t>
      </w:r>
      <w:r w:rsidR="187A0917" w:rsidRPr="00DB2332">
        <w:rPr>
          <w:rFonts w:ascii="Times New Roman" w:hAnsi="Times New Roman" w:cs="Times New Roman"/>
          <w:sz w:val="24"/>
          <w:szCs w:val="24"/>
        </w:rPr>
        <w:t>impact of</w:t>
      </w:r>
      <w:r w:rsidR="008A7A35" w:rsidRPr="00DB2332">
        <w:rPr>
          <w:rFonts w:ascii="Times New Roman" w:hAnsi="Times New Roman" w:cs="Times New Roman"/>
          <w:sz w:val="24"/>
          <w:szCs w:val="24"/>
        </w:rPr>
        <w:t xml:space="preserve"> both</w:t>
      </w:r>
      <w:r w:rsidR="187A0917" w:rsidRPr="00DB2332">
        <w:rPr>
          <w:rFonts w:ascii="Times New Roman" w:hAnsi="Times New Roman" w:cs="Times New Roman"/>
          <w:sz w:val="24"/>
          <w:szCs w:val="24"/>
        </w:rPr>
        <w:t xml:space="preserve"> </w:t>
      </w:r>
      <w:r w:rsidR="008A7A35" w:rsidRPr="00DB2332">
        <w:rPr>
          <w:rFonts w:ascii="Times New Roman" w:hAnsi="Times New Roman" w:cs="Times New Roman"/>
          <w:sz w:val="24"/>
          <w:szCs w:val="24"/>
        </w:rPr>
        <w:t>g</w:t>
      </w:r>
      <w:r w:rsidR="00C51D15" w:rsidRPr="00DB2332">
        <w:rPr>
          <w:rFonts w:ascii="Times New Roman" w:hAnsi="Times New Roman" w:cs="Times New Roman"/>
          <w:sz w:val="24"/>
          <w:szCs w:val="24"/>
        </w:rPr>
        <w:t>ravimetric and volumetric energy densit</w:t>
      </w:r>
      <w:r w:rsidR="008A7A35" w:rsidRPr="00DB2332">
        <w:rPr>
          <w:rFonts w:ascii="Times New Roman" w:hAnsi="Times New Roman" w:cs="Times New Roman"/>
          <w:sz w:val="24"/>
          <w:szCs w:val="24"/>
        </w:rPr>
        <w:t>ies</w:t>
      </w:r>
      <w:r w:rsidR="00C51D15" w:rsidRPr="00DB2332">
        <w:rPr>
          <w:rFonts w:ascii="Times New Roman" w:hAnsi="Times New Roman" w:cs="Times New Roman"/>
          <w:sz w:val="24"/>
          <w:szCs w:val="24"/>
        </w:rPr>
        <w:t xml:space="preserve"> </w:t>
      </w:r>
      <w:r w:rsidR="04C70AD3" w:rsidRPr="00DB2332">
        <w:rPr>
          <w:rFonts w:ascii="Times New Roman" w:hAnsi="Times New Roman" w:cs="Times New Roman"/>
          <w:sz w:val="24"/>
          <w:szCs w:val="24"/>
        </w:rPr>
        <w:t>of</w:t>
      </w:r>
      <w:r w:rsidR="008A7A35" w:rsidRPr="00DB2332">
        <w:rPr>
          <w:rFonts w:ascii="Times New Roman" w:hAnsi="Times New Roman" w:cs="Times New Roman"/>
          <w:sz w:val="24"/>
          <w:szCs w:val="24"/>
        </w:rPr>
        <w:t xml:space="preserve"> </w:t>
      </w:r>
      <w:r w:rsidR="04C70AD3" w:rsidRPr="00DB2332">
        <w:rPr>
          <w:rFonts w:ascii="Times New Roman" w:hAnsi="Times New Roman" w:cs="Times New Roman"/>
          <w:sz w:val="24"/>
          <w:szCs w:val="24"/>
        </w:rPr>
        <w:t>the different fuels</w:t>
      </w:r>
      <w:r w:rsidR="00C51D15" w:rsidRPr="00DB2332">
        <w:rPr>
          <w:rFonts w:ascii="Times New Roman" w:hAnsi="Times New Roman" w:cs="Times New Roman"/>
          <w:sz w:val="24"/>
          <w:szCs w:val="24"/>
        </w:rPr>
        <w:t xml:space="preserve">, </w:t>
      </w:r>
      <w:r w:rsidR="769447A1" w:rsidRPr="00DB2332">
        <w:rPr>
          <w:rFonts w:ascii="Times New Roman" w:hAnsi="Times New Roman" w:cs="Times New Roman"/>
          <w:sz w:val="24"/>
          <w:szCs w:val="24"/>
        </w:rPr>
        <w:t xml:space="preserve">we find that </w:t>
      </w:r>
      <w:r w:rsidR="00F872B2" w:rsidRPr="00DB2332">
        <w:rPr>
          <w:rFonts w:ascii="Times New Roman" w:hAnsi="Times New Roman" w:cs="Times New Roman"/>
          <w:sz w:val="24"/>
          <w:szCs w:val="24"/>
        </w:rPr>
        <w:t>LH</w:t>
      </w:r>
      <w:r w:rsidR="00F872B2" w:rsidRPr="00DB2332">
        <w:rPr>
          <w:rFonts w:ascii="Times New Roman" w:hAnsi="Times New Roman" w:cs="Times New Roman"/>
          <w:sz w:val="24"/>
          <w:szCs w:val="24"/>
          <w:vertAlign w:val="subscript"/>
        </w:rPr>
        <w:t>2</w:t>
      </w:r>
      <w:r w:rsidR="00F872B2" w:rsidRPr="00DB2332">
        <w:rPr>
          <w:rFonts w:ascii="Times New Roman" w:hAnsi="Times New Roman" w:cs="Times New Roman"/>
          <w:sz w:val="24"/>
          <w:szCs w:val="24"/>
        </w:rPr>
        <w:t xml:space="preserve"> and 100% SPK are the </w:t>
      </w:r>
      <w:r w:rsidR="0FF72EC7" w:rsidRPr="00DB2332">
        <w:rPr>
          <w:rFonts w:ascii="Times New Roman" w:hAnsi="Times New Roman" w:cs="Times New Roman"/>
          <w:sz w:val="24"/>
          <w:szCs w:val="24"/>
        </w:rPr>
        <w:t>only</w:t>
      </w:r>
      <w:r w:rsidR="00F872B2" w:rsidRPr="00DB2332">
        <w:rPr>
          <w:rFonts w:ascii="Times New Roman" w:hAnsi="Times New Roman" w:cs="Times New Roman"/>
          <w:sz w:val="24"/>
          <w:szCs w:val="24"/>
        </w:rPr>
        <w:t xml:space="preserve"> alternative liquid fuels that </w:t>
      </w:r>
      <w:r w:rsidR="00D2142E" w:rsidRPr="00DB2332">
        <w:rPr>
          <w:rFonts w:ascii="Times New Roman" w:hAnsi="Times New Roman" w:cs="Times New Roman"/>
          <w:sz w:val="24"/>
          <w:szCs w:val="24"/>
        </w:rPr>
        <w:t xml:space="preserve">could </w:t>
      </w:r>
      <w:r w:rsidR="00F872B2" w:rsidRPr="00DB2332">
        <w:rPr>
          <w:rFonts w:ascii="Times New Roman" w:hAnsi="Times New Roman" w:cs="Times New Roman"/>
          <w:sz w:val="24"/>
          <w:szCs w:val="24"/>
        </w:rPr>
        <w:t xml:space="preserve">enable typical </w:t>
      </w:r>
      <w:r w:rsidR="00BC3AC1" w:rsidRPr="00DB2332">
        <w:rPr>
          <w:rFonts w:ascii="Times New Roman" w:hAnsi="Times New Roman" w:cs="Times New Roman"/>
          <w:sz w:val="24"/>
          <w:szCs w:val="24"/>
        </w:rPr>
        <w:t>long-range</w:t>
      </w:r>
      <w:r w:rsidR="00F872B2" w:rsidRPr="00DB2332">
        <w:rPr>
          <w:rFonts w:ascii="Times New Roman" w:hAnsi="Times New Roman" w:cs="Times New Roman"/>
          <w:sz w:val="24"/>
          <w:szCs w:val="24"/>
        </w:rPr>
        <w:t xml:space="preserve"> flight of approximately 14,000 km (or 7,500 nautical miles) in a conventional tube-wing aircraft for a 366 passenger-payload</w:t>
      </w:r>
      <w:r w:rsidR="00BC3AC1" w:rsidRPr="00DB2332">
        <w:rPr>
          <w:rFonts w:ascii="Times New Roman" w:hAnsi="Times New Roman" w:cs="Times New Roman"/>
          <w:sz w:val="24"/>
          <w:szCs w:val="24"/>
        </w:rPr>
        <w:t xml:space="preserve"> </w:t>
      </w:r>
      <w:r w:rsidR="00C51D15" w:rsidRPr="00DB2332">
        <w:rPr>
          <w:rFonts w:ascii="Times New Roman" w:hAnsi="Times New Roman" w:cs="Times New Roman"/>
          <w:sz w:val="24"/>
          <w:szCs w:val="24"/>
        </w:rPr>
        <w:t xml:space="preserve">within the MTOW </w:t>
      </w:r>
      <w:r w:rsidR="00C51D15" w:rsidRPr="00DB2332">
        <w:rPr>
          <w:rFonts w:ascii="Times New Roman" w:hAnsi="Times New Roman" w:cs="Times New Roman"/>
          <w:sz w:val="24"/>
          <w:szCs w:val="24"/>
        </w:rPr>
        <w:lastRenderedPageBreak/>
        <w:t xml:space="preserve">limit of the </w:t>
      </w:r>
      <w:r w:rsidR="00160CB6" w:rsidRPr="00DB2332">
        <w:rPr>
          <w:rFonts w:ascii="Times New Roman" w:hAnsi="Times New Roman" w:cs="Times New Roman"/>
          <w:sz w:val="24"/>
          <w:szCs w:val="24"/>
        </w:rPr>
        <w:t xml:space="preserve">baseline </w:t>
      </w:r>
      <w:r w:rsidR="00C51D15" w:rsidRPr="00DB2332">
        <w:rPr>
          <w:rFonts w:ascii="Times New Roman" w:hAnsi="Times New Roman" w:cs="Times New Roman"/>
          <w:sz w:val="24"/>
          <w:szCs w:val="24"/>
        </w:rPr>
        <w:t>Jet-A</w:t>
      </w:r>
      <w:r w:rsidR="00BC3AC1" w:rsidRPr="00DB2332">
        <w:rPr>
          <w:rFonts w:ascii="Times New Roman" w:hAnsi="Times New Roman" w:cs="Times New Roman"/>
          <w:sz w:val="24"/>
          <w:szCs w:val="24"/>
        </w:rPr>
        <w:t xml:space="preserve"> LTA aircraft</w:t>
      </w:r>
      <w:r w:rsidR="00F872B2" w:rsidRPr="00DB2332">
        <w:rPr>
          <w:rFonts w:ascii="Times New Roman" w:hAnsi="Times New Roman" w:cs="Times New Roman"/>
          <w:sz w:val="24"/>
          <w:szCs w:val="24"/>
        </w:rPr>
        <w:t xml:space="preserve">. Additionally, by using present-day aircraft technology, the </w:t>
      </w:r>
      <w:r w:rsidR="00617200" w:rsidRPr="00DB2332">
        <w:rPr>
          <w:rFonts w:ascii="Times New Roman" w:hAnsi="Times New Roman" w:cs="Times New Roman"/>
          <w:sz w:val="24"/>
          <w:szCs w:val="24"/>
        </w:rPr>
        <w:t>SEC</w:t>
      </w:r>
      <w:r w:rsidR="00F872B2" w:rsidRPr="00DB2332">
        <w:rPr>
          <w:rFonts w:ascii="Times New Roman" w:hAnsi="Times New Roman" w:cs="Times New Roman"/>
          <w:sz w:val="24"/>
          <w:szCs w:val="24"/>
        </w:rPr>
        <w:t xml:space="preserve"> (MJ/ton</w:t>
      </w:r>
      <w:r w:rsidR="002B345B" w:rsidRPr="00DB2332">
        <w:rPr>
          <w:rFonts w:ascii="Times New Roman" w:hAnsi="Times New Roman" w:cs="Times New Roman"/>
          <w:sz w:val="24"/>
          <w:szCs w:val="24"/>
        </w:rPr>
        <w:t>ne</w:t>
      </w:r>
      <w:r w:rsidR="00F872B2" w:rsidRPr="00DB2332">
        <w:rPr>
          <w:rFonts w:ascii="Times New Roman" w:hAnsi="Times New Roman" w:cs="Times New Roman"/>
          <w:sz w:val="24"/>
          <w:szCs w:val="24"/>
        </w:rPr>
        <w:t>-km) of the aircraft powered by LH</w:t>
      </w:r>
      <w:r w:rsidR="00F872B2" w:rsidRPr="00DB2332">
        <w:rPr>
          <w:rFonts w:ascii="Times New Roman" w:hAnsi="Times New Roman" w:cs="Times New Roman"/>
          <w:sz w:val="24"/>
          <w:szCs w:val="24"/>
          <w:vertAlign w:val="subscript"/>
        </w:rPr>
        <w:t>2</w:t>
      </w:r>
      <w:r w:rsidR="00F872B2" w:rsidRPr="00DB2332">
        <w:rPr>
          <w:rFonts w:ascii="Times New Roman" w:hAnsi="Times New Roman" w:cs="Times New Roman"/>
          <w:sz w:val="24"/>
          <w:szCs w:val="24"/>
        </w:rPr>
        <w:t xml:space="preserve"> and 100% SPK (separately) could change by +1</w:t>
      </w:r>
      <w:r w:rsidR="7B2A4A63" w:rsidRPr="00DB2332">
        <w:rPr>
          <w:rFonts w:ascii="Times New Roman" w:hAnsi="Times New Roman" w:cs="Times New Roman"/>
          <w:sz w:val="24"/>
          <w:szCs w:val="24"/>
        </w:rPr>
        <w:t>1.</w:t>
      </w:r>
      <w:r w:rsidR="00F872B2" w:rsidRPr="00DB2332">
        <w:rPr>
          <w:rFonts w:ascii="Times New Roman" w:hAnsi="Times New Roman" w:cs="Times New Roman"/>
          <w:sz w:val="24"/>
          <w:szCs w:val="24"/>
        </w:rPr>
        <w:t>0% and -0.</w:t>
      </w:r>
      <w:r w:rsidR="72830B66" w:rsidRPr="00DB2332">
        <w:rPr>
          <w:rFonts w:ascii="Times New Roman" w:hAnsi="Times New Roman" w:cs="Times New Roman"/>
          <w:sz w:val="24"/>
          <w:szCs w:val="24"/>
        </w:rPr>
        <w:t>2</w:t>
      </w:r>
      <w:r w:rsidR="00F872B2" w:rsidRPr="00DB2332">
        <w:rPr>
          <w:rFonts w:ascii="Times New Roman" w:hAnsi="Times New Roman" w:cs="Times New Roman"/>
          <w:sz w:val="24"/>
          <w:szCs w:val="24"/>
        </w:rPr>
        <w:t xml:space="preserve">% respectively, compared to the </w:t>
      </w:r>
      <w:r w:rsidR="18F5A557" w:rsidRPr="00DB2332">
        <w:rPr>
          <w:rFonts w:ascii="Times New Roman" w:hAnsi="Times New Roman" w:cs="Times New Roman"/>
          <w:sz w:val="24"/>
          <w:szCs w:val="24"/>
        </w:rPr>
        <w:t xml:space="preserve">baseline </w:t>
      </w:r>
      <w:r w:rsidR="00F872B2" w:rsidRPr="00DB2332">
        <w:rPr>
          <w:rFonts w:ascii="Times New Roman" w:hAnsi="Times New Roman" w:cs="Times New Roman"/>
          <w:sz w:val="24"/>
          <w:szCs w:val="24"/>
        </w:rPr>
        <w:t xml:space="preserve">Jet-A aircraft. </w:t>
      </w:r>
    </w:p>
    <w:p w14:paraId="3265929C" w14:textId="6369B7BE" w:rsidR="001C5A99" w:rsidRPr="00DB2332" w:rsidRDefault="07C4C7B0" w:rsidP="005C4964">
      <w:pPr>
        <w:spacing w:after="0" w:line="480" w:lineRule="auto"/>
        <w:ind w:firstLine="720"/>
        <w:jc w:val="both"/>
        <w:rPr>
          <w:rFonts w:ascii="Times New Roman" w:hAnsi="Times New Roman" w:cs="Times New Roman"/>
          <w:sz w:val="24"/>
          <w:szCs w:val="24"/>
        </w:rPr>
      </w:pPr>
      <w:r w:rsidRPr="00DB2332">
        <w:rPr>
          <w:rFonts w:ascii="Times New Roman" w:hAnsi="Times New Roman" w:cs="Times New Roman"/>
          <w:sz w:val="24"/>
          <w:szCs w:val="24"/>
        </w:rPr>
        <w:t>Our</w:t>
      </w:r>
      <w:r w:rsidR="00617200" w:rsidRPr="00DB2332">
        <w:rPr>
          <w:rFonts w:ascii="Times New Roman" w:hAnsi="Times New Roman" w:cs="Times New Roman"/>
          <w:sz w:val="24"/>
          <w:szCs w:val="24"/>
        </w:rPr>
        <w:t xml:space="preserve"> off-design point analysis</w:t>
      </w:r>
      <w:r w:rsidR="00F6269E" w:rsidRPr="00DB2332">
        <w:rPr>
          <w:rFonts w:ascii="Times New Roman" w:hAnsi="Times New Roman" w:cs="Times New Roman"/>
          <w:sz w:val="24"/>
          <w:szCs w:val="24"/>
        </w:rPr>
        <w:t>,</w:t>
      </w:r>
      <w:r w:rsidR="00617200" w:rsidRPr="00DB2332">
        <w:rPr>
          <w:rFonts w:ascii="Times New Roman" w:hAnsi="Times New Roman" w:cs="Times New Roman"/>
          <w:sz w:val="24"/>
          <w:szCs w:val="24"/>
        </w:rPr>
        <w:t xml:space="preserve"> using different range and payload</w:t>
      </w:r>
      <w:r w:rsidR="00E24F97" w:rsidRPr="00DB2332">
        <w:rPr>
          <w:rFonts w:ascii="Times New Roman" w:hAnsi="Times New Roman" w:cs="Times New Roman"/>
          <w:sz w:val="24"/>
          <w:szCs w:val="24"/>
        </w:rPr>
        <w:t xml:space="preserve"> (load factor)</w:t>
      </w:r>
      <w:r w:rsidR="002A47E4" w:rsidRPr="00DB2332">
        <w:rPr>
          <w:rFonts w:ascii="Times New Roman" w:hAnsi="Times New Roman" w:cs="Times New Roman"/>
          <w:sz w:val="24"/>
          <w:szCs w:val="24"/>
        </w:rPr>
        <w:t xml:space="preserve"> </w:t>
      </w:r>
      <w:r w:rsidR="00617200" w:rsidRPr="00DB2332">
        <w:rPr>
          <w:rFonts w:ascii="Times New Roman" w:hAnsi="Times New Roman" w:cs="Times New Roman"/>
          <w:sz w:val="24"/>
          <w:szCs w:val="24"/>
        </w:rPr>
        <w:t>combinations for aircraft powered by LH</w:t>
      </w:r>
      <w:r w:rsidR="00617200" w:rsidRPr="00DB2332">
        <w:rPr>
          <w:rFonts w:ascii="Times New Roman" w:hAnsi="Times New Roman" w:cs="Times New Roman"/>
          <w:sz w:val="24"/>
          <w:szCs w:val="24"/>
          <w:vertAlign w:val="subscript"/>
        </w:rPr>
        <w:t>2</w:t>
      </w:r>
      <w:r w:rsidR="00617200" w:rsidRPr="00DB2332">
        <w:rPr>
          <w:rFonts w:ascii="Times New Roman" w:hAnsi="Times New Roman" w:cs="Times New Roman"/>
          <w:sz w:val="24"/>
          <w:szCs w:val="24"/>
        </w:rPr>
        <w:t xml:space="preserve"> and 100% SPK</w:t>
      </w:r>
      <w:r w:rsidR="1184EF14" w:rsidRPr="00DB2332">
        <w:rPr>
          <w:rFonts w:ascii="Times New Roman" w:hAnsi="Times New Roman" w:cs="Times New Roman"/>
          <w:sz w:val="24"/>
          <w:szCs w:val="24"/>
        </w:rPr>
        <w:t>,</w:t>
      </w:r>
      <w:r w:rsidR="75A30E16" w:rsidRPr="00DB2332">
        <w:rPr>
          <w:rFonts w:ascii="Times New Roman" w:hAnsi="Times New Roman" w:cs="Times New Roman"/>
          <w:sz w:val="24"/>
          <w:szCs w:val="24"/>
        </w:rPr>
        <w:t xml:space="preserve"> shows that</w:t>
      </w:r>
      <w:r w:rsidR="0DD57745" w:rsidRPr="00DB2332">
        <w:rPr>
          <w:rFonts w:ascii="Times New Roman" w:hAnsi="Times New Roman" w:cs="Times New Roman"/>
          <w:sz w:val="24"/>
          <w:szCs w:val="24"/>
        </w:rPr>
        <w:t xml:space="preserve"> </w:t>
      </w:r>
      <w:r w:rsidR="00617200" w:rsidRPr="00DB2332">
        <w:rPr>
          <w:rFonts w:ascii="Times New Roman" w:hAnsi="Times New Roman" w:cs="Times New Roman"/>
          <w:sz w:val="24"/>
          <w:szCs w:val="24"/>
        </w:rPr>
        <w:t xml:space="preserve">for any given </w:t>
      </w:r>
      <w:r w:rsidR="00DE1915" w:rsidRPr="00DB2332">
        <w:rPr>
          <w:rFonts w:ascii="Times New Roman" w:hAnsi="Times New Roman" w:cs="Times New Roman"/>
          <w:sz w:val="24"/>
          <w:szCs w:val="24"/>
        </w:rPr>
        <w:t>load factor</w:t>
      </w:r>
      <w:r w:rsidR="11F4C72B" w:rsidRPr="00DB2332">
        <w:rPr>
          <w:rFonts w:ascii="Times New Roman" w:hAnsi="Times New Roman" w:cs="Times New Roman"/>
          <w:sz w:val="24"/>
          <w:szCs w:val="24"/>
        </w:rPr>
        <w:t xml:space="preserve"> and range</w:t>
      </w:r>
      <w:r w:rsidR="00617200" w:rsidRPr="00DB2332">
        <w:rPr>
          <w:rFonts w:ascii="Times New Roman" w:hAnsi="Times New Roman" w:cs="Times New Roman"/>
          <w:sz w:val="24"/>
          <w:szCs w:val="24"/>
        </w:rPr>
        <w:t>, the SEC of LH</w:t>
      </w:r>
      <w:r w:rsidR="00617200" w:rsidRPr="00DB2332">
        <w:rPr>
          <w:rFonts w:ascii="Times New Roman" w:hAnsi="Times New Roman" w:cs="Times New Roman"/>
          <w:sz w:val="24"/>
          <w:szCs w:val="24"/>
          <w:vertAlign w:val="subscript"/>
        </w:rPr>
        <w:t>2</w:t>
      </w:r>
      <w:r w:rsidR="00617200" w:rsidRPr="00DB2332">
        <w:rPr>
          <w:rFonts w:ascii="Times New Roman" w:hAnsi="Times New Roman" w:cs="Times New Roman"/>
          <w:sz w:val="24"/>
          <w:szCs w:val="24"/>
        </w:rPr>
        <w:t xml:space="preserve"> aircraft </w:t>
      </w:r>
      <w:r w:rsidR="00381ADC" w:rsidRPr="00DB2332">
        <w:rPr>
          <w:rFonts w:ascii="Times New Roman" w:hAnsi="Times New Roman" w:cs="Times New Roman"/>
          <w:sz w:val="24"/>
          <w:szCs w:val="24"/>
        </w:rPr>
        <w:t>is higher than SEC of Jet-A aircraft. The SEC of LH</w:t>
      </w:r>
      <w:r w:rsidR="00381ADC" w:rsidRPr="00DB2332">
        <w:rPr>
          <w:rFonts w:ascii="Times New Roman" w:hAnsi="Times New Roman" w:cs="Times New Roman"/>
          <w:sz w:val="24"/>
          <w:szCs w:val="24"/>
          <w:vertAlign w:val="subscript"/>
        </w:rPr>
        <w:t>2</w:t>
      </w:r>
      <w:r w:rsidR="00381ADC" w:rsidRPr="00DB2332">
        <w:rPr>
          <w:rFonts w:ascii="Times New Roman" w:hAnsi="Times New Roman" w:cs="Times New Roman"/>
          <w:sz w:val="24"/>
          <w:szCs w:val="24"/>
        </w:rPr>
        <w:t xml:space="preserve"> aircraft </w:t>
      </w:r>
      <w:r w:rsidR="00617200" w:rsidRPr="00DB2332">
        <w:rPr>
          <w:rFonts w:ascii="Times New Roman" w:hAnsi="Times New Roman" w:cs="Times New Roman"/>
          <w:sz w:val="24"/>
          <w:szCs w:val="24"/>
        </w:rPr>
        <w:t>decreases with increasing range but is less sensitive to range beyond 10,000 km. Additionally, the difference in SEC between LH</w:t>
      </w:r>
      <w:r w:rsidR="00617200" w:rsidRPr="00DB2332">
        <w:rPr>
          <w:rFonts w:ascii="Times New Roman" w:hAnsi="Times New Roman" w:cs="Times New Roman"/>
          <w:sz w:val="24"/>
          <w:szCs w:val="24"/>
          <w:vertAlign w:val="subscript"/>
        </w:rPr>
        <w:t>2</w:t>
      </w:r>
      <w:r w:rsidR="00617200" w:rsidRPr="00DB2332">
        <w:rPr>
          <w:rFonts w:ascii="Times New Roman" w:hAnsi="Times New Roman" w:cs="Times New Roman"/>
          <w:sz w:val="24"/>
          <w:szCs w:val="24"/>
        </w:rPr>
        <w:t xml:space="preserve"> and Jet-A aircraft decreases with increasing range for all </w:t>
      </w:r>
      <w:r w:rsidR="00DE1915" w:rsidRPr="00DB2332">
        <w:rPr>
          <w:rFonts w:ascii="Times New Roman" w:hAnsi="Times New Roman" w:cs="Times New Roman"/>
          <w:sz w:val="24"/>
          <w:szCs w:val="24"/>
        </w:rPr>
        <w:t>load factor</w:t>
      </w:r>
      <w:r w:rsidR="00617200" w:rsidRPr="00DB2332">
        <w:rPr>
          <w:rFonts w:ascii="Times New Roman" w:hAnsi="Times New Roman" w:cs="Times New Roman"/>
          <w:sz w:val="24"/>
          <w:szCs w:val="24"/>
        </w:rPr>
        <w:t xml:space="preserve"> cases, and this reduction is </w:t>
      </w:r>
      <w:r w:rsidR="00381ADC" w:rsidRPr="00DB2332">
        <w:rPr>
          <w:rFonts w:ascii="Times New Roman" w:hAnsi="Times New Roman" w:cs="Times New Roman"/>
          <w:sz w:val="24"/>
          <w:szCs w:val="24"/>
        </w:rPr>
        <w:t xml:space="preserve">greater at </w:t>
      </w:r>
      <w:r w:rsidR="00617200" w:rsidRPr="00DB2332">
        <w:rPr>
          <w:rFonts w:ascii="Times New Roman" w:hAnsi="Times New Roman" w:cs="Times New Roman"/>
          <w:sz w:val="24"/>
          <w:szCs w:val="24"/>
        </w:rPr>
        <w:t xml:space="preserve">higher </w:t>
      </w:r>
      <w:r w:rsidR="00DE1915" w:rsidRPr="00DB2332">
        <w:rPr>
          <w:rFonts w:ascii="Times New Roman" w:hAnsi="Times New Roman" w:cs="Times New Roman"/>
          <w:sz w:val="24"/>
          <w:szCs w:val="24"/>
        </w:rPr>
        <w:t>load factor</w:t>
      </w:r>
      <w:r w:rsidR="00617200" w:rsidRPr="00DB2332">
        <w:rPr>
          <w:rFonts w:ascii="Times New Roman" w:hAnsi="Times New Roman" w:cs="Times New Roman"/>
          <w:sz w:val="24"/>
          <w:szCs w:val="24"/>
        </w:rPr>
        <w:t xml:space="preserve">. Overall, 100% SPK can be used across all range and </w:t>
      </w:r>
      <w:r w:rsidR="00DE1915" w:rsidRPr="00DB2332">
        <w:rPr>
          <w:rFonts w:ascii="Times New Roman" w:hAnsi="Times New Roman" w:cs="Times New Roman"/>
          <w:sz w:val="24"/>
          <w:szCs w:val="24"/>
        </w:rPr>
        <w:t>load factor</w:t>
      </w:r>
      <w:r w:rsidR="00617200" w:rsidRPr="00DB2332">
        <w:rPr>
          <w:rFonts w:ascii="Times New Roman" w:hAnsi="Times New Roman" w:cs="Times New Roman"/>
          <w:sz w:val="24"/>
          <w:szCs w:val="24"/>
        </w:rPr>
        <w:t xml:space="preserve"> combinations with similar SEC as that of Jet-A, whereas the SEC of LH</w:t>
      </w:r>
      <w:r w:rsidR="00617200" w:rsidRPr="00DB2332">
        <w:rPr>
          <w:rFonts w:ascii="Times New Roman" w:hAnsi="Times New Roman" w:cs="Times New Roman"/>
          <w:sz w:val="24"/>
          <w:szCs w:val="24"/>
          <w:vertAlign w:val="subscript"/>
        </w:rPr>
        <w:t>2</w:t>
      </w:r>
      <w:r w:rsidR="00617200" w:rsidRPr="00DB2332">
        <w:rPr>
          <w:rFonts w:ascii="Times New Roman" w:hAnsi="Times New Roman" w:cs="Times New Roman"/>
          <w:sz w:val="24"/>
          <w:szCs w:val="24"/>
        </w:rPr>
        <w:t xml:space="preserve"> is lower at higher range and greater </w:t>
      </w:r>
      <w:r w:rsidR="00DE1915" w:rsidRPr="00DB2332">
        <w:rPr>
          <w:rFonts w:ascii="Times New Roman" w:hAnsi="Times New Roman" w:cs="Times New Roman"/>
          <w:sz w:val="24"/>
          <w:szCs w:val="24"/>
        </w:rPr>
        <w:t>load factor</w:t>
      </w:r>
      <w:r w:rsidR="00381ADC" w:rsidRPr="00DB2332">
        <w:rPr>
          <w:rFonts w:ascii="Times New Roman" w:hAnsi="Times New Roman" w:cs="Times New Roman"/>
          <w:sz w:val="24"/>
          <w:szCs w:val="24"/>
        </w:rPr>
        <w:t xml:space="preserve"> combination</w:t>
      </w:r>
      <w:r w:rsidR="00617200" w:rsidRPr="00DB2332">
        <w:rPr>
          <w:rFonts w:ascii="Times New Roman" w:hAnsi="Times New Roman" w:cs="Times New Roman"/>
          <w:sz w:val="24"/>
          <w:szCs w:val="24"/>
        </w:rPr>
        <w:t xml:space="preserve"> though it is</w:t>
      </w:r>
      <w:r w:rsidR="00381ADC" w:rsidRPr="00DB2332">
        <w:rPr>
          <w:rFonts w:ascii="Times New Roman" w:hAnsi="Times New Roman" w:cs="Times New Roman"/>
          <w:sz w:val="24"/>
          <w:szCs w:val="24"/>
        </w:rPr>
        <w:t xml:space="preserve"> always greater </w:t>
      </w:r>
      <w:r w:rsidR="00617200" w:rsidRPr="00DB2332">
        <w:rPr>
          <w:rFonts w:ascii="Times New Roman" w:hAnsi="Times New Roman" w:cs="Times New Roman"/>
          <w:sz w:val="24"/>
          <w:szCs w:val="24"/>
        </w:rPr>
        <w:t xml:space="preserve">than the SEC of Jet-A for all </w:t>
      </w:r>
      <w:r w:rsidR="00DE1915" w:rsidRPr="00DB2332">
        <w:rPr>
          <w:rFonts w:ascii="Times New Roman" w:hAnsi="Times New Roman" w:cs="Times New Roman"/>
          <w:sz w:val="24"/>
          <w:szCs w:val="24"/>
        </w:rPr>
        <w:t>load factor</w:t>
      </w:r>
      <w:r w:rsidR="00617200" w:rsidRPr="00DB2332">
        <w:rPr>
          <w:rFonts w:ascii="Times New Roman" w:hAnsi="Times New Roman" w:cs="Times New Roman"/>
          <w:sz w:val="24"/>
          <w:szCs w:val="24"/>
        </w:rPr>
        <w:t xml:space="preserve"> cases. </w:t>
      </w:r>
    </w:p>
    <w:p w14:paraId="141D840E" w14:textId="721B27DB" w:rsidR="001C5A99" w:rsidRPr="00DB2332" w:rsidRDefault="02D9714F" w:rsidP="00D8185C">
      <w:pPr>
        <w:spacing w:after="0" w:line="480" w:lineRule="auto"/>
        <w:ind w:firstLine="720"/>
        <w:jc w:val="both"/>
        <w:rPr>
          <w:rFonts w:ascii="Times New Roman" w:hAnsi="Times New Roman" w:cs="Times New Roman"/>
          <w:sz w:val="24"/>
          <w:szCs w:val="24"/>
        </w:rPr>
      </w:pPr>
      <w:r w:rsidRPr="00DB2332">
        <w:rPr>
          <w:rFonts w:ascii="Times New Roman" w:hAnsi="Times New Roman" w:cs="Times New Roman"/>
          <w:sz w:val="24"/>
          <w:szCs w:val="24"/>
        </w:rPr>
        <w:t>Finally</w:t>
      </w:r>
      <w:r w:rsidR="7D05B55D" w:rsidRPr="00DB2332">
        <w:rPr>
          <w:rFonts w:ascii="Times New Roman" w:hAnsi="Times New Roman" w:cs="Times New Roman"/>
          <w:sz w:val="24"/>
          <w:szCs w:val="24"/>
        </w:rPr>
        <w:t xml:space="preserve">, </w:t>
      </w:r>
      <w:r w:rsidR="43259D82" w:rsidRPr="00DB2332">
        <w:rPr>
          <w:rFonts w:ascii="Times New Roman" w:hAnsi="Times New Roman" w:cs="Times New Roman"/>
          <w:sz w:val="24"/>
          <w:szCs w:val="24"/>
        </w:rPr>
        <w:t xml:space="preserve">we show </w:t>
      </w:r>
      <w:r w:rsidR="1112CD34" w:rsidRPr="00DB2332">
        <w:rPr>
          <w:rFonts w:ascii="Times New Roman" w:hAnsi="Times New Roman" w:cs="Times New Roman"/>
          <w:sz w:val="24"/>
          <w:szCs w:val="24"/>
        </w:rPr>
        <w:t>that</w:t>
      </w:r>
      <w:r w:rsidR="7D05B55D" w:rsidRPr="00DB2332">
        <w:rPr>
          <w:rFonts w:ascii="Times New Roman" w:eastAsia="Times New Roman" w:hAnsi="Times New Roman" w:cs="Times New Roman"/>
          <w:sz w:val="24"/>
          <w:szCs w:val="24"/>
          <w:lang w:eastAsia="en-GB"/>
        </w:rPr>
        <w:t xml:space="preserve"> the OEW and GTOW for LH</w:t>
      </w:r>
      <w:r w:rsidR="7D05B55D" w:rsidRPr="00DB2332">
        <w:rPr>
          <w:rFonts w:ascii="Times New Roman" w:eastAsia="Times New Roman" w:hAnsi="Times New Roman" w:cs="Times New Roman"/>
          <w:sz w:val="24"/>
          <w:szCs w:val="24"/>
          <w:vertAlign w:val="subscript"/>
          <w:lang w:eastAsia="en-GB"/>
        </w:rPr>
        <w:t>2</w:t>
      </w:r>
      <w:r w:rsidR="7D05B55D" w:rsidRPr="00DB2332">
        <w:rPr>
          <w:rFonts w:ascii="Times New Roman" w:eastAsia="Times New Roman" w:hAnsi="Times New Roman" w:cs="Times New Roman"/>
          <w:sz w:val="24"/>
          <w:szCs w:val="24"/>
          <w:lang w:eastAsia="en-GB"/>
        </w:rPr>
        <w:t xml:space="preserve"> aircraft at design point </w:t>
      </w:r>
      <w:r w:rsidR="3B66EA20" w:rsidRPr="00DB2332">
        <w:rPr>
          <w:rFonts w:ascii="Times New Roman" w:eastAsia="Times New Roman" w:hAnsi="Times New Roman" w:cs="Times New Roman"/>
          <w:sz w:val="24"/>
          <w:szCs w:val="24"/>
          <w:lang w:eastAsia="en-GB"/>
        </w:rPr>
        <w:t xml:space="preserve">from the </w:t>
      </w:r>
      <w:r w:rsidR="7D05B55D" w:rsidRPr="00DB2332">
        <w:rPr>
          <w:rFonts w:ascii="Times New Roman" w:eastAsia="Times New Roman" w:hAnsi="Times New Roman" w:cs="Times New Roman"/>
          <w:sz w:val="24"/>
          <w:szCs w:val="24"/>
          <w:lang w:eastAsia="en-GB"/>
        </w:rPr>
        <w:t xml:space="preserve">present work and </w:t>
      </w:r>
      <w:r w:rsidR="466DD187" w:rsidRPr="00DB2332">
        <w:rPr>
          <w:rFonts w:ascii="Times New Roman" w:eastAsia="Times New Roman" w:hAnsi="Times New Roman" w:cs="Times New Roman"/>
          <w:sz w:val="24"/>
          <w:szCs w:val="24"/>
          <w:lang w:eastAsia="en-GB"/>
        </w:rPr>
        <w:t xml:space="preserve">previous </w:t>
      </w:r>
      <w:r w:rsidR="7D05B55D" w:rsidRPr="00DB2332">
        <w:rPr>
          <w:rFonts w:ascii="Times New Roman" w:eastAsia="Times New Roman" w:hAnsi="Times New Roman" w:cs="Times New Roman"/>
          <w:sz w:val="24"/>
          <w:szCs w:val="24"/>
          <w:lang w:eastAsia="en-GB"/>
        </w:rPr>
        <w:t>literature</w:t>
      </w:r>
      <w:r w:rsidR="335051B9" w:rsidRPr="00DB2332">
        <w:rPr>
          <w:rFonts w:ascii="Times New Roman" w:eastAsia="Times New Roman" w:hAnsi="Times New Roman" w:cs="Times New Roman"/>
          <w:sz w:val="24"/>
          <w:szCs w:val="24"/>
          <w:lang w:eastAsia="en-GB"/>
        </w:rPr>
        <w:t>, can be related by a power la</w:t>
      </w:r>
      <w:r w:rsidR="00AC73AC" w:rsidRPr="00DB2332">
        <w:rPr>
          <w:rFonts w:ascii="Times New Roman" w:eastAsia="Times New Roman" w:hAnsi="Times New Roman" w:cs="Times New Roman"/>
          <w:sz w:val="24"/>
          <w:szCs w:val="24"/>
          <w:lang w:eastAsia="en-GB"/>
        </w:rPr>
        <w:t>w</w:t>
      </w:r>
      <w:r w:rsidR="335051B9" w:rsidRPr="00DB2332">
        <w:rPr>
          <w:rFonts w:ascii="Times New Roman" w:eastAsia="Times New Roman" w:hAnsi="Times New Roman" w:cs="Times New Roman"/>
          <w:sz w:val="24"/>
          <w:szCs w:val="24"/>
          <w:lang w:eastAsia="en-GB"/>
        </w:rPr>
        <w:t xml:space="preserve"> equation</w:t>
      </w:r>
      <w:r w:rsidR="7D05B55D" w:rsidRPr="00DB2332">
        <w:rPr>
          <w:rFonts w:ascii="Times New Roman" w:hAnsi="Times New Roman" w:cs="Times New Roman"/>
          <w:sz w:val="24"/>
          <w:szCs w:val="24"/>
        </w:rPr>
        <w:t>. This equation will facilitate low-order modelling or weight sizing of LH</w:t>
      </w:r>
      <w:r w:rsidR="7D05B55D" w:rsidRPr="00DB2332">
        <w:rPr>
          <w:rFonts w:ascii="Times New Roman" w:hAnsi="Times New Roman" w:cs="Times New Roman"/>
          <w:sz w:val="24"/>
          <w:szCs w:val="24"/>
          <w:vertAlign w:val="subscript"/>
        </w:rPr>
        <w:t>2</w:t>
      </w:r>
      <w:r w:rsidR="7D05B55D" w:rsidRPr="00DB2332">
        <w:rPr>
          <w:rFonts w:ascii="Times New Roman" w:hAnsi="Times New Roman" w:cs="Times New Roman"/>
          <w:sz w:val="24"/>
          <w:szCs w:val="24"/>
        </w:rPr>
        <w:t xml:space="preserve"> aircraft. The</w:t>
      </w:r>
      <w:r w:rsidR="354AC7CF" w:rsidRPr="00DB2332">
        <w:rPr>
          <w:rFonts w:ascii="Times New Roman" w:hAnsi="Times New Roman" w:cs="Times New Roman"/>
          <w:sz w:val="24"/>
          <w:szCs w:val="24"/>
        </w:rPr>
        <w:t xml:space="preserve"> aircraft energy consumption estimation in this work for both 100% SPK and LH</w:t>
      </w:r>
      <w:r w:rsidR="354AC7CF" w:rsidRPr="00DB2332">
        <w:rPr>
          <w:rFonts w:ascii="Times New Roman" w:hAnsi="Times New Roman" w:cs="Times New Roman"/>
          <w:sz w:val="24"/>
          <w:szCs w:val="24"/>
          <w:vertAlign w:val="subscript"/>
        </w:rPr>
        <w:t xml:space="preserve">2 </w:t>
      </w:r>
      <w:r w:rsidR="354AC7CF" w:rsidRPr="00DB2332">
        <w:rPr>
          <w:rFonts w:ascii="Times New Roman" w:hAnsi="Times New Roman" w:cs="Times New Roman"/>
          <w:sz w:val="24"/>
          <w:szCs w:val="24"/>
        </w:rPr>
        <w:t xml:space="preserve">fuel should inform </w:t>
      </w:r>
      <w:r w:rsidR="2BC9719A" w:rsidRPr="00DB2332">
        <w:rPr>
          <w:rFonts w:ascii="Times New Roman" w:hAnsi="Times New Roman" w:cs="Times New Roman"/>
          <w:sz w:val="24"/>
          <w:szCs w:val="24"/>
        </w:rPr>
        <w:t xml:space="preserve">future </w:t>
      </w:r>
      <w:r w:rsidR="354AC7CF" w:rsidRPr="00DB2332">
        <w:rPr>
          <w:rFonts w:ascii="Times New Roman" w:hAnsi="Times New Roman" w:cs="Times New Roman"/>
          <w:sz w:val="24"/>
          <w:szCs w:val="24"/>
        </w:rPr>
        <w:t>studies</w:t>
      </w:r>
      <w:r w:rsidR="2BC9719A" w:rsidRPr="00DB2332">
        <w:rPr>
          <w:rFonts w:ascii="Times New Roman" w:hAnsi="Times New Roman" w:cs="Times New Roman"/>
          <w:sz w:val="24"/>
          <w:szCs w:val="24"/>
        </w:rPr>
        <w:t xml:space="preserve"> </w:t>
      </w:r>
      <w:r w:rsidR="5CBFF011" w:rsidRPr="00DB2332">
        <w:rPr>
          <w:rFonts w:ascii="Times New Roman" w:hAnsi="Times New Roman" w:cs="Times New Roman"/>
          <w:sz w:val="24"/>
          <w:szCs w:val="24"/>
        </w:rPr>
        <w:t>on</w:t>
      </w:r>
      <w:r w:rsidR="1666046B" w:rsidRPr="00DB2332">
        <w:rPr>
          <w:rFonts w:ascii="Times New Roman" w:hAnsi="Times New Roman" w:cs="Times New Roman"/>
          <w:sz w:val="24"/>
          <w:szCs w:val="24"/>
        </w:rPr>
        <w:t xml:space="preserve"> the estimation of</w:t>
      </w:r>
      <w:r w:rsidR="5CBFF011" w:rsidRPr="00DB2332">
        <w:rPr>
          <w:rFonts w:ascii="Times New Roman" w:hAnsi="Times New Roman" w:cs="Times New Roman"/>
          <w:sz w:val="24"/>
          <w:szCs w:val="24"/>
        </w:rPr>
        <w:t>: (</w:t>
      </w:r>
      <w:proofErr w:type="spellStart"/>
      <w:r w:rsidR="1666046B" w:rsidRPr="00DB2332">
        <w:rPr>
          <w:rFonts w:ascii="Times New Roman" w:hAnsi="Times New Roman" w:cs="Times New Roman"/>
          <w:sz w:val="24"/>
          <w:szCs w:val="24"/>
        </w:rPr>
        <w:t>i</w:t>
      </w:r>
      <w:proofErr w:type="spellEnd"/>
      <w:r w:rsidR="5CBFF011" w:rsidRPr="00DB2332">
        <w:rPr>
          <w:rFonts w:ascii="Times New Roman" w:hAnsi="Times New Roman" w:cs="Times New Roman"/>
          <w:sz w:val="24"/>
          <w:szCs w:val="24"/>
        </w:rPr>
        <w:t xml:space="preserve">) </w:t>
      </w:r>
      <w:r w:rsidR="2BC9719A" w:rsidRPr="00DB2332">
        <w:rPr>
          <w:rFonts w:ascii="Times New Roman" w:hAnsi="Times New Roman" w:cs="Times New Roman"/>
          <w:sz w:val="24"/>
          <w:szCs w:val="24"/>
        </w:rPr>
        <w:t>feedstocks and</w:t>
      </w:r>
      <w:r w:rsidR="6A32AE7B" w:rsidRPr="00DB2332">
        <w:rPr>
          <w:rFonts w:ascii="Times New Roman" w:hAnsi="Times New Roman" w:cs="Times New Roman"/>
          <w:sz w:val="24"/>
          <w:szCs w:val="24"/>
        </w:rPr>
        <w:t>/or</w:t>
      </w:r>
      <w:r w:rsidR="2BC9719A" w:rsidRPr="00DB2332">
        <w:rPr>
          <w:rFonts w:ascii="Times New Roman" w:hAnsi="Times New Roman" w:cs="Times New Roman"/>
          <w:sz w:val="24"/>
          <w:szCs w:val="24"/>
        </w:rPr>
        <w:t xml:space="preserve"> pathways that </w:t>
      </w:r>
      <w:r w:rsidR="6A32AE7B" w:rsidRPr="00DB2332">
        <w:rPr>
          <w:rFonts w:ascii="Times New Roman" w:hAnsi="Times New Roman" w:cs="Times New Roman"/>
          <w:sz w:val="24"/>
          <w:szCs w:val="24"/>
        </w:rPr>
        <w:t xml:space="preserve">could </w:t>
      </w:r>
      <w:r w:rsidR="2BC9719A" w:rsidRPr="00DB2332">
        <w:rPr>
          <w:rFonts w:ascii="Times New Roman" w:hAnsi="Times New Roman" w:cs="Times New Roman"/>
          <w:sz w:val="24"/>
          <w:szCs w:val="24"/>
        </w:rPr>
        <w:t xml:space="preserve">decarbonise long-range </w:t>
      </w:r>
      <w:r w:rsidR="060C0F67" w:rsidRPr="00DB2332">
        <w:rPr>
          <w:rFonts w:ascii="Times New Roman" w:hAnsi="Times New Roman" w:cs="Times New Roman"/>
          <w:sz w:val="24"/>
          <w:szCs w:val="24"/>
        </w:rPr>
        <w:t>civil aviation</w:t>
      </w:r>
      <w:r w:rsidR="2BC9719A" w:rsidRPr="00DB2332">
        <w:rPr>
          <w:rFonts w:ascii="Times New Roman" w:hAnsi="Times New Roman" w:cs="Times New Roman"/>
          <w:sz w:val="24"/>
          <w:szCs w:val="24"/>
        </w:rPr>
        <w:t xml:space="preserve"> on a lifecycle basis</w:t>
      </w:r>
      <w:r w:rsidR="1666046B" w:rsidRPr="00DB2332">
        <w:rPr>
          <w:rFonts w:ascii="Times New Roman" w:hAnsi="Times New Roman" w:cs="Times New Roman"/>
          <w:sz w:val="24"/>
          <w:szCs w:val="24"/>
        </w:rPr>
        <w:t xml:space="preserve">; and (ii) ticket </w:t>
      </w:r>
      <w:r w:rsidR="545D9A58" w:rsidRPr="00DB2332">
        <w:rPr>
          <w:rFonts w:ascii="Times New Roman" w:hAnsi="Times New Roman" w:cs="Times New Roman"/>
          <w:sz w:val="24"/>
          <w:szCs w:val="24"/>
        </w:rPr>
        <w:t>pricing</w:t>
      </w:r>
      <w:r w:rsidR="6FE9B14F" w:rsidRPr="00DB2332">
        <w:rPr>
          <w:rFonts w:ascii="Times New Roman" w:hAnsi="Times New Roman" w:cs="Times New Roman"/>
          <w:sz w:val="24"/>
          <w:szCs w:val="24"/>
        </w:rPr>
        <w:t xml:space="preserve"> as the fuel cost is dependent on the energy consumption of aircraft and fuel manufacturing process</w:t>
      </w:r>
      <w:r w:rsidR="2BC9719A" w:rsidRPr="00DB2332">
        <w:rPr>
          <w:rFonts w:ascii="Times New Roman" w:hAnsi="Times New Roman" w:cs="Times New Roman"/>
          <w:sz w:val="24"/>
          <w:szCs w:val="24"/>
        </w:rPr>
        <w:t xml:space="preserve">. </w:t>
      </w:r>
    </w:p>
    <w:p w14:paraId="093EA453" w14:textId="11F12FB7" w:rsidR="00663AAB" w:rsidRPr="00DB2332" w:rsidRDefault="002A47E4" w:rsidP="0032236E">
      <w:pPr>
        <w:spacing w:line="480" w:lineRule="auto"/>
        <w:jc w:val="both"/>
        <w:rPr>
          <w:rFonts w:ascii="Times New Roman" w:eastAsia="Times New Roman" w:hAnsi="Times New Roman" w:cs="Times New Roman"/>
          <w:b/>
          <w:bCs/>
          <w:sz w:val="24"/>
          <w:szCs w:val="24"/>
          <w:bdr w:val="none" w:sz="0" w:space="0" w:color="auto" w:frame="1"/>
          <w:lang w:eastAsia="en-GB"/>
        </w:rPr>
      </w:pPr>
      <w:r w:rsidRPr="00DB2332">
        <w:rPr>
          <w:rFonts w:ascii="Times New Roman" w:hAnsi="Times New Roman" w:cs="Times New Roman"/>
          <w:sz w:val="24"/>
          <w:szCs w:val="24"/>
        </w:rPr>
        <w:tab/>
      </w:r>
      <w:r w:rsidR="4F6FA9E6" w:rsidRPr="00DB2332">
        <w:rPr>
          <w:rFonts w:ascii="Times New Roman" w:hAnsi="Times New Roman" w:cs="Times New Roman"/>
          <w:sz w:val="24"/>
          <w:szCs w:val="24"/>
        </w:rPr>
        <w:t>Challenges associated with the use of LH</w:t>
      </w:r>
      <w:r w:rsidR="4F6FA9E6" w:rsidRPr="00DB2332">
        <w:rPr>
          <w:rFonts w:ascii="Times New Roman" w:hAnsi="Times New Roman" w:cs="Times New Roman"/>
          <w:sz w:val="24"/>
          <w:szCs w:val="24"/>
          <w:vertAlign w:val="subscript"/>
        </w:rPr>
        <w:t xml:space="preserve">2 </w:t>
      </w:r>
      <w:r w:rsidR="4F6FA9E6" w:rsidRPr="00DB2332">
        <w:rPr>
          <w:rFonts w:ascii="Times New Roman" w:hAnsi="Times New Roman" w:cs="Times New Roman"/>
          <w:sz w:val="24"/>
          <w:szCs w:val="24"/>
        </w:rPr>
        <w:t>in the conventional tube-wing architecture include the significant increase in the fuselage length (~30%), which could have structural and stability implications, and compatibility with current airport configurations.</w:t>
      </w:r>
    </w:p>
    <w:p w14:paraId="679961F2" w14:textId="77777777" w:rsidR="50BC4C43" w:rsidRPr="00DB2332" w:rsidRDefault="50BC4C43" w:rsidP="0106A4FA">
      <w:pPr>
        <w:pStyle w:val="Heading1"/>
        <w:numPr>
          <w:ilvl w:val="0"/>
          <w:numId w:val="0"/>
        </w:numPr>
        <w:spacing w:before="0" w:after="240" w:line="480" w:lineRule="auto"/>
        <w:rPr>
          <w:rFonts w:ascii="Times New Roman" w:eastAsia="Times New Roman" w:hAnsi="Times New Roman" w:cs="Times New Roman"/>
          <w:b/>
          <w:bCs/>
          <w:color w:val="auto"/>
          <w:sz w:val="24"/>
          <w:szCs w:val="24"/>
          <w:lang w:eastAsia="en-GB"/>
        </w:rPr>
      </w:pPr>
      <w:r w:rsidRPr="00DB2332">
        <w:rPr>
          <w:rFonts w:ascii="Times New Roman" w:eastAsia="Times New Roman" w:hAnsi="Times New Roman" w:cs="Times New Roman"/>
          <w:b/>
          <w:bCs/>
          <w:color w:val="auto"/>
          <w:sz w:val="24"/>
          <w:szCs w:val="24"/>
          <w:lang w:eastAsia="en-GB"/>
        </w:rPr>
        <w:lastRenderedPageBreak/>
        <w:t>Acknowledgments/Funding</w:t>
      </w:r>
    </w:p>
    <w:p w14:paraId="3AB95B10" w14:textId="77777777" w:rsidR="50BC4C43" w:rsidRPr="00DB2332" w:rsidRDefault="50BC4C43" w:rsidP="00D8185C">
      <w:pPr>
        <w:spacing w:line="480" w:lineRule="auto"/>
        <w:ind w:firstLine="720"/>
        <w:jc w:val="both"/>
        <w:rPr>
          <w:rFonts w:ascii="Times New Roman" w:hAnsi="Times New Roman" w:cs="Times New Roman"/>
          <w:sz w:val="24"/>
          <w:szCs w:val="24"/>
        </w:rPr>
      </w:pPr>
      <w:r w:rsidRPr="00DB2332">
        <w:rPr>
          <w:rFonts w:ascii="Times New Roman" w:hAnsi="Times New Roman" w:cs="Times New Roman"/>
          <w:sz w:val="24"/>
          <w:szCs w:val="24"/>
        </w:rPr>
        <w:t xml:space="preserve">The research conducted in this work is completely funded by the </w:t>
      </w:r>
      <w:r w:rsidRPr="00DB2332">
        <w:rPr>
          <w:rFonts w:ascii="Times New Roman" w:hAnsi="Times New Roman" w:cs="Times New Roman"/>
          <w:i/>
          <w:iCs/>
          <w:sz w:val="24"/>
          <w:szCs w:val="24"/>
        </w:rPr>
        <w:t>President’s PhD Scholarship</w:t>
      </w:r>
      <w:r w:rsidRPr="00DB2332">
        <w:rPr>
          <w:rFonts w:ascii="Times New Roman" w:hAnsi="Times New Roman" w:cs="Times New Roman"/>
          <w:sz w:val="24"/>
          <w:szCs w:val="24"/>
        </w:rPr>
        <w:t xml:space="preserve"> at </w:t>
      </w:r>
      <w:r w:rsidRPr="00DB2332">
        <w:rPr>
          <w:rFonts w:ascii="Times New Roman" w:hAnsi="Times New Roman" w:cs="Times New Roman"/>
          <w:i/>
          <w:iCs/>
          <w:sz w:val="24"/>
          <w:szCs w:val="24"/>
        </w:rPr>
        <w:t>Imperial College London</w:t>
      </w:r>
      <w:r w:rsidRPr="00DB2332">
        <w:rPr>
          <w:rFonts w:ascii="Times New Roman" w:hAnsi="Times New Roman" w:cs="Times New Roman"/>
          <w:sz w:val="24"/>
          <w:szCs w:val="24"/>
        </w:rPr>
        <w:t xml:space="preserve">. The authors are thankful to all donors who contribute to these funds and to </w:t>
      </w:r>
      <w:r w:rsidRPr="00DB2332">
        <w:rPr>
          <w:rFonts w:ascii="Times New Roman" w:hAnsi="Times New Roman" w:cs="Times New Roman"/>
          <w:i/>
          <w:iCs/>
          <w:sz w:val="24"/>
          <w:szCs w:val="24"/>
        </w:rPr>
        <w:t>Imperial College London</w:t>
      </w:r>
      <w:r w:rsidRPr="00DB2332">
        <w:rPr>
          <w:rFonts w:ascii="Times New Roman" w:hAnsi="Times New Roman" w:cs="Times New Roman"/>
          <w:sz w:val="24"/>
          <w:szCs w:val="24"/>
        </w:rPr>
        <w:t xml:space="preserve"> for its support.</w:t>
      </w:r>
    </w:p>
    <w:p w14:paraId="03A4330A" w14:textId="77777777" w:rsidR="50BC4C43" w:rsidRPr="00DB2332" w:rsidRDefault="50BC4C43" w:rsidP="00D8185C">
      <w:pPr>
        <w:pStyle w:val="Heading1"/>
        <w:numPr>
          <w:ilvl w:val="0"/>
          <w:numId w:val="0"/>
        </w:numPr>
        <w:spacing w:before="0" w:after="240" w:line="480" w:lineRule="auto"/>
        <w:rPr>
          <w:rFonts w:ascii="Times New Roman" w:eastAsia="Times New Roman" w:hAnsi="Times New Roman" w:cs="Times New Roman"/>
          <w:b/>
          <w:bCs/>
          <w:color w:val="auto"/>
          <w:sz w:val="24"/>
          <w:szCs w:val="24"/>
          <w:lang w:eastAsia="en-GB"/>
        </w:rPr>
      </w:pPr>
      <w:r w:rsidRPr="00DB2332">
        <w:rPr>
          <w:rFonts w:ascii="Times New Roman" w:eastAsia="Times New Roman" w:hAnsi="Times New Roman" w:cs="Times New Roman"/>
          <w:b/>
          <w:bCs/>
          <w:color w:val="auto"/>
          <w:sz w:val="24"/>
          <w:szCs w:val="24"/>
          <w:lang w:eastAsia="en-GB"/>
        </w:rPr>
        <w:t>Declaration of competing interest</w:t>
      </w:r>
    </w:p>
    <w:p w14:paraId="7B2993A6" w14:textId="70DC9EDA" w:rsidR="50BC4C43" w:rsidRPr="00DB2332" w:rsidRDefault="50BC4C43" w:rsidP="0106A4FA">
      <w:pPr>
        <w:spacing w:line="480" w:lineRule="auto"/>
        <w:ind w:firstLine="720"/>
        <w:jc w:val="both"/>
        <w:rPr>
          <w:rFonts w:ascii="Times New Roman" w:hAnsi="Times New Roman" w:cs="Times New Roman"/>
          <w:sz w:val="24"/>
          <w:szCs w:val="24"/>
          <w:lang w:eastAsia="en-GB"/>
        </w:rPr>
      </w:pPr>
      <w:r w:rsidRPr="00DB2332">
        <w:rPr>
          <w:rFonts w:ascii="Times New Roman" w:hAnsi="Times New Roman" w:cs="Times New Roman"/>
          <w:sz w:val="24"/>
          <w:szCs w:val="24"/>
        </w:rPr>
        <w:t>The authors declare that they have no known competing financial interests or personal relationships that could have appeared to influence the work reported in this paper.</w:t>
      </w:r>
    </w:p>
    <w:p w14:paraId="23C3298D" w14:textId="77777777" w:rsidR="00D8185C" w:rsidRPr="00DB2332" w:rsidRDefault="00D8185C">
      <w:pPr>
        <w:rPr>
          <w:rFonts w:ascii="Times New Roman" w:eastAsia="Times New Roman" w:hAnsi="Times New Roman" w:cs="Times New Roman"/>
          <w:b/>
          <w:bCs/>
          <w:sz w:val="24"/>
          <w:szCs w:val="24"/>
          <w:bdr w:val="none" w:sz="0" w:space="0" w:color="auto" w:frame="1"/>
          <w:lang w:eastAsia="en-GB"/>
        </w:rPr>
      </w:pPr>
      <w:r w:rsidRPr="00DB2332">
        <w:rPr>
          <w:rFonts w:ascii="Times New Roman" w:eastAsia="Times New Roman" w:hAnsi="Times New Roman" w:cs="Times New Roman"/>
          <w:b/>
          <w:bCs/>
          <w:sz w:val="24"/>
          <w:szCs w:val="24"/>
          <w:bdr w:val="none" w:sz="0" w:space="0" w:color="auto" w:frame="1"/>
          <w:lang w:eastAsia="en-GB"/>
        </w:rPr>
        <w:br w:type="page"/>
      </w:r>
    </w:p>
    <w:p w14:paraId="0D8E603A" w14:textId="4235C494" w:rsidR="001E681A" w:rsidRPr="00DB2332" w:rsidRDefault="001E681A" w:rsidP="002A47E4">
      <w:pPr>
        <w:pStyle w:val="Heading1"/>
        <w:numPr>
          <w:ilvl w:val="0"/>
          <w:numId w:val="0"/>
        </w:numPr>
        <w:spacing w:before="0" w:after="240" w:line="480" w:lineRule="auto"/>
        <w:rPr>
          <w:rFonts w:ascii="Times New Roman" w:eastAsia="Times New Roman" w:hAnsi="Times New Roman" w:cs="Times New Roman"/>
          <w:b/>
          <w:bCs/>
          <w:color w:val="auto"/>
          <w:sz w:val="24"/>
          <w:szCs w:val="24"/>
          <w:bdr w:val="none" w:sz="0" w:space="0" w:color="auto" w:frame="1"/>
          <w:lang w:eastAsia="en-GB"/>
        </w:rPr>
      </w:pPr>
      <w:r w:rsidRPr="00DB2332">
        <w:rPr>
          <w:rFonts w:ascii="Times New Roman" w:eastAsia="Times New Roman" w:hAnsi="Times New Roman" w:cs="Times New Roman"/>
          <w:b/>
          <w:bCs/>
          <w:color w:val="auto"/>
          <w:sz w:val="24"/>
          <w:szCs w:val="24"/>
          <w:bdr w:val="none" w:sz="0" w:space="0" w:color="auto" w:frame="1"/>
          <w:lang w:eastAsia="en-GB"/>
        </w:rPr>
        <w:lastRenderedPageBreak/>
        <w:t>References</w:t>
      </w:r>
    </w:p>
    <w:p w14:paraId="151F0983" w14:textId="5C0D1CF6" w:rsidR="007D0040" w:rsidRPr="00DB2332" w:rsidRDefault="001E681A"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sz w:val="24"/>
          <w:szCs w:val="24"/>
        </w:rPr>
        <w:fldChar w:fldCharType="begin" w:fldLock="1"/>
      </w:r>
      <w:r w:rsidRPr="00DB2332">
        <w:rPr>
          <w:rFonts w:ascii="Times New Roman" w:hAnsi="Times New Roman" w:cs="Times New Roman"/>
          <w:sz w:val="24"/>
          <w:szCs w:val="24"/>
        </w:rPr>
        <w:instrText xml:space="preserve">ADDIN Mendeley Bibliography CSL_BIBLIOGRAPHY </w:instrText>
      </w:r>
      <w:r w:rsidRPr="00DB2332">
        <w:rPr>
          <w:rFonts w:ascii="Times New Roman" w:hAnsi="Times New Roman" w:cs="Times New Roman"/>
          <w:sz w:val="24"/>
          <w:szCs w:val="24"/>
        </w:rPr>
        <w:fldChar w:fldCharType="separate"/>
      </w:r>
      <w:r w:rsidR="007D0040" w:rsidRPr="00DB2332">
        <w:rPr>
          <w:rFonts w:ascii="Times New Roman" w:hAnsi="Times New Roman" w:cs="Times New Roman"/>
          <w:noProof/>
          <w:sz w:val="24"/>
          <w:szCs w:val="24"/>
        </w:rPr>
        <w:t>Abu Kasim, A.F.B., Chan, M.S.C., Marek, E.J., 2022. Performance and failure analysis of a retrofitted Cessna aircraft with a Fuel Cell Power System fuelled with liquid hydrogen. J. Power Sources 521, 230987. https://doi.org/10.1016/J.JPOWSOUR.2022.230987</w:t>
      </w:r>
    </w:p>
    <w:p w14:paraId="62BCB5B6"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Airbus, 2021a. Airbus establishes Zero-Emission Development Centres in Germany and France [WWW Document]. Airbus. URL https://www.airbus.com/en/newsroom/press-releases/2021-06-airbus-establishes-zero-emission-development-centres-in-germany-and (accessed 11.15.21).</w:t>
      </w:r>
    </w:p>
    <w:p w14:paraId="7C94001F"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Airbus, 2021b. How to store liquid hydrogen for zero-emission flight [WWW Document]. Airbus. URL https://www.airbus.com/en/newsroom/news/2021-12-how-to-store-liquid-hydrogen-for-zero-emission-flight (accessed 9.1.22).</w:t>
      </w:r>
    </w:p>
    <w:p w14:paraId="54D5B2E0"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 xml:space="preserve">Airbus, </w:t>
      </w:r>
      <w:r w:rsidR="004A7882" w:rsidRPr="00DB2332">
        <w:rPr>
          <w:rFonts w:ascii="Times New Roman" w:hAnsi="Times New Roman" w:cs="Times New Roman"/>
          <w:noProof/>
          <w:sz w:val="24"/>
          <w:szCs w:val="24"/>
        </w:rPr>
        <w:t>2020.</w:t>
      </w:r>
      <w:r w:rsidRPr="00DB2332">
        <w:rPr>
          <w:rFonts w:ascii="Times New Roman" w:hAnsi="Times New Roman" w:cs="Times New Roman"/>
          <w:noProof/>
          <w:sz w:val="24"/>
          <w:szCs w:val="24"/>
        </w:rPr>
        <w:t xml:space="preserve"> Airbus reveals new zero-emission concept aircraft [WWW Document]. Airbus. URL https://www.airbus.com/en/newsroom/press-releases/2020-09-airbus-reveals-new-zero-emission-concept-aircraft (accessed 11.15.21).</w:t>
      </w:r>
    </w:p>
    <w:p w14:paraId="253C20E8"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Airbus, 2003. Liquid Hydrogen Fuelled Aircraft-System Analysis: CRYOPLANE Final Technical report [WWW Document]. URL https://www.fzt.haw-hamburg.de/pers/Scholz/dglr/hh/text_2004_02_26_Cryoplane.pdf (accessed 12.30.19).</w:t>
      </w:r>
    </w:p>
    <w:p w14:paraId="0EC71C7B"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Ashcraft, S.W., Padron, A.S., Pascioni, K.A., Stout, G.W., Huff, D.L., 2011. Review of propulsion technologies for N+3 subsonic vehicle concepts (Report # 20110022435) [WWW Document]. URL https://ntrs.nasa.gov/citations/20110022435</w:t>
      </w:r>
    </w:p>
    <w:p w14:paraId="079C5701"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 xml:space="preserve">Bauen, A., Bitossi, N., German, L., Harris, A., Leow, K., 2020. Sustainable aviation fuels status, challenges and prospects of drop-in liquid fuels, hydrogen and electrification in </w:t>
      </w:r>
      <w:r w:rsidRPr="00DB2332">
        <w:rPr>
          <w:rFonts w:ascii="Times New Roman" w:hAnsi="Times New Roman" w:cs="Times New Roman"/>
          <w:noProof/>
          <w:sz w:val="24"/>
          <w:szCs w:val="24"/>
        </w:rPr>
        <w:lastRenderedPageBreak/>
        <w:t>aviation. Johnson Matthey Technol. Rev. 64, 263–278. https://doi.org/10.1595/205651320x15816756012040</w:t>
      </w:r>
    </w:p>
    <w:p w14:paraId="13C27D4F"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Beck, R., Bieler, J., Borsutzki, S., Cabac, Y., Dehmel, J., Khosravi, R., Klünder, A., Kracke, L., Lopez Milan, J., Roscher, S., Rüthnik, P., Bardenhagen, A., 2018. Efficiency meets sky [WWW Document]. Jt. NASA/DLR Aeronaut. Des. Chall. 2017-18. URL https://www.dlr.de/content/de/downloads/2018/tu-berlin-efficiency-meets-sky_3095.pdf?__blob=publicationFile&amp;v=10 (accessed 1.19.20).</w:t>
      </w:r>
    </w:p>
    <w:p w14:paraId="274DFF2A"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Bicer, Y., Dincer, I., 2017. Life cycle evaluation of hydrogen and other potential fuels for aircrafts. Int. J. Hydrogen Energy 42, 10722–10738. https://doi.org/10.1016/j.ijhydene.2016.12.119</w:t>
      </w:r>
    </w:p>
    <w:p w14:paraId="7642C253"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Boeing, 2020. COMMERCIAL MARKET OUTLOOK 2020–2039 [WWW Document]. URL https://www.boeing.com/commercial/market/commercial-market-outlook/ (accessed 12.10.20).</w:t>
      </w:r>
    </w:p>
    <w:p w14:paraId="7A25E2B5"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Boeing, 2016. Boeing: 787 Dreamliner [WWW Document]. Boeing. URL https://www.boeing.com/commercial/787/ (accessed 8.5.20).</w:t>
      </w:r>
    </w:p>
    <w:p w14:paraId="1A774400"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Brelje, B.J., Martins, J.R.R.A., 2021. Aerostructural wing optimization for a hydrogen fuel cell aircraft. AIAA Scitech 2021 Forum 1–18. https://doi.org/10.2514/6.2021-1132</w:t>
      </w:r>
    </w:p>
    <w:p w14:paraId="6C786C6B"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Brelje, B.J., Martins, J.R.R.A., 2019. Electric, hybrid, and turboelectric fixed-wing aircraft: A review of concepts, models, and design approaches. Prog. Aerosp. Sci. 104, 1–19. https://doi.org/10.1016/J.PAEROSCI.2018.06.004</w:t>
      </w:r>
    </w:p>
    <w:p w14:paraId="62E43C74"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Brewer, G.D., 2017. Hydrogen aircraft technology, Hydrogen Aircraft Technology. CRC Press. https://doi.org/10.1201/9780203751480</w:t>
      </w:r>
    </w:p>
    <w:p w14:paraId="68F02A72"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lastRenderedPageBreak/>
        <w:t>Cipolla, V., Zanetti, D., Salem, K.A., Binante, V., Palaia, G., 2022. A Parametric Approach for Conceptual Integration and Performance Studies of Liquid Hydrogen Short&amp;ndash;Medium Range Aircraft. Appl. Sci. 2022, Vol. 12, Page 6857 12, 6857. https://doi.org/10.3390/APP12146857</w:t>
      </w:r>
    </w:p>
    <w:p w14:paraId="60993E5D"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CleanSky2-FCH, 2020. Hydrogen-powered aviation [WWW Document]. CleanSky2 - Fuel Cell Hydrog. https://doi.org/10.2843/766989</w:t>
      </w:r>
    </w:p>
    <w:p w14:paraId="71FA65A6"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Clinch, M., 2020. British Airways retires its entire fleet of Boeing 747 jets [WWW Document]. CNBC. URL https://www.cnbc.com/2020/07/17/british-airways-retires-its-entire-fleet-of-boeing-747-jets.html (accessed 8.5.20).</w:t>
      </w:r>
    </w:p>
    <w:p w14:paraId="2E1A98C7"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Delgado Gosálvez, M., Ham van, J., Joosten, S., Juschus, D., Nieuwerth, G., Pelt van, T., Smit, L., Takken, M., Wang, Y., Ziere, T., 2018. Green Flying: Final Report [WWW Document]. TU Delft. URL https://www.researchgate.net/publication/326294480_The_Greenliner_Green_Flying_Final_Report_DSE_Group_8 (accessed 1.2.20).</w:t>
      </w:r>
    </w:p>
    <w:p w14:paraId="4D63CD5A"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Dietl, T., Karger, J., Kaupe, K., Pfemeter, A., Weber, P., Zakrzewski, A., Strohmayer, A., 2018. POLARIS-DESIGN OF A LIQUID HYDROGEN TURBO-ELECTRIC TRANSPORT AIRCRAFT. Deutsche Gesellschaft für Luft- und Raumfahrt. https://doi.org/10.25967/480344</w:t>
      </w:r>
    </w:p>
    <w:p w14:paraId="08C9E558"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DLR, 2021. Testing maintenance and ground processes for future aircraft generations - DLR Portal [WWW Document]. DLR. URL https://www.dlr.de/content/en/articles/news/2021/03/20210708_maintenance-and-ground-processes-for-future-aircraft-generations.html (accessed 9.1.22).</w:t>
      </w:r>
    </w:p>
    <w:p w14:paraId="447006CF"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 xml:space="preserve">DLR, 2020. Conceptual study for environment-friendly flight [WWW Document]. DLR. </w:t>
      </w:r>
      <w:r w:rsidRPr="00DB2332">
        <w:rPr>
          <w:rFonts w:ascii="Times New Roman" w:hAnsi="Times New Roman" w:cs="Times New Roman"/>
          <w:noProof/>
          <w:sz w:val="24"/>
          <w:szCs w:val="24"/>
        </w:rPr>
        <w:lastRenderedPageBreak/>
        <w:t>URL https://www.dlr.de/content/en/articles/news/2020/02/20200504_conceptual-study-for-environment-friendly-flight.html (accessed 5.26.21).</w:t>
      </w:r>
    </w:p>
    <w:p w14:paraId="299F7EF9" w14:textId="3A65F1EC" w:rsidR="001A38AF" w:rsidRPr="00DB2332" w:rsidRDefault="001C7B95"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Dray, L., Schäfer, A. W., Grobler, C., Falter, C., Allroggen, F., Stettler, M. E., &amp; Barrett, S. R. (2022). Cost and emissions pathways towards net-zero climate impacts in aviation. </w:t>
      </w:r>
      <w:r w:rsidRPr="00DB2332">
        <w:rPr>
          <w:rFonts w:ascii="Times New Roman" w:hAnsi="Times New Roman" w:cs="Times New Roman"/>
          <w:i/>
          <w:iCs/>
          <w:noProof/>
          <w:sz w:val="24"/>
          <w:szCs w:val="24"/>
        </w:rPr>
        <w:t>Nature Climate Change</w:t>
      </w:r>
      <w:r w:rsidRPr="00DB2332">
        <w:rPr>
          <w:rFonts w:ascii="Times New Roman" w:hAnsi="Times New Roman" w:cs="Times New Roman"/>
          <w:noProof/>
          <w:sz w:val="24"/>
          <w:szCs w:val="24"/>
        </w:rPr>
        <w:t>, </w:t>
      </w:r>
      <w:r w:rsidRPr="00DB2332">
        <w:rPr>
          <w:rFonts w:ascii="Times New Roman" w:hAnsi="Times New Roman" w:cs="Times New Roman"/>
          <w:i/>
          <w:iCs/>
          <w:noProof/>
          <w:sz w:val="24"/>
          <w:szCs w:val="24"/>
        </w:rPr>
        <w:t>12</w:t>
      </w:r>
      <w:r w:rsidRPr="00DB2332">
        <w:rPr>
          <w:rFonts w:ascii="Times New Roman" w:hAnsi="Times New Roman" w:cs="Times New Roman"/>
          <w:noProof/>
          <w:sz w:val="24"/>
          <w:szCs w:val="24"/>
        </w:rPr>
        <w:t xml:space="preserve">(10), 956-962. </w:t>
      </w:r>
      <w:r w:rsidR="00167941" w:rsidRPr="00DB2332">
        <w:rPr>
          <w:rFonts w:ascii="Times New Roman" w:hAnsi="Times New Roman" w:cs="Times New Roman"/>
          <w:noProof/>
          <w:sz w:val="24"/>
          <w:szCs w:val="24"/>
        </w:rPr>
        <w:t>https://doi.org/10.1038/s41558-022-01485-4</w:t>
      </w:r>
    </w:p>
    <w:p w14:paraId="18C202A0"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Druot, T.Y.J., Peteilh, N., Roches, P., Monrolin, N., 2022. Hydrogen Powered Airplanes, an exploration of possible architectures leveraging boundary layer ingestion and hybridization. AIAA Sci. Technol. Forum Expo. AIAA SciTech Forum 2022. https://doi.org/10.2514/6.2022-1025</w:t>
      </w:r>
    </w:p>
    <w:p w14:paraId="65EB7C47"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EASA, 2018. Bio-based aviation fuels | European Aviation Environmental Report [WWW Document]. Eur. Union Aviat. Saf. Agency. URL https://www.easa.europa.eu/eaer/topics/sustainable-aviation-fuels/bio-based-aviation-fuels (accessed 8.8.22).</w:t>
      </w:r>
    </w:p>
    <w:p w14:paraId="160BACED"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Felder, J.L., Brown, G. V., DaeKim, H., Chu, J., 2011. Turboelectric Distributed Propulsion in a Hybrid Wing Body Aircraft.</w:t>
      </w:r>
    </w:p>
    <w:p w14:paraId="58F5C09C"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Friedrich, C., Robertson, P.A., 2015. Hybrid-Electric Propulsion for Aircraft. J. Aircr. 52, 176–189. https://doi.org/10.2514/1.C032660</w:t>
      </w:r>
    </w:p>
    <w:p w14:paraId="66EB0992"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Gomez, A., Smith, H., 2019. Liquid hydrogen fuel tanks for commercial aviation: Structural sizing and stress analysis. Aerosp. Sci. Technol. 95, 105438. https://doi.org/10.1016/j.ast.2019.105438</w:t>
      </w:r>
    </w:p>
    <w:p w14:paraId="61DB0B44"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 xml:space="preserve">Graver, B., Zhang, K., Rutherford, D., 2019. CO 2 emissions from commercial aviation, 2018 </w:t>
      </w:r>
      <w:r w:rsidRPr="00DB2332">
        <w:rPr>
          <w:rFonts w:ascii="Times New Roman" w:hAnsi="Times New Roman" w:cs="Times New Roman"/>
          <w:noProof/>
          <w:sz w:val="24"/>
          <w:szCs w:val="24"/>
        </w:rPr>
        <w:lastRenderedPageBreak/>
        <w:t>[WWW Document]. Int. Counc. CLEAN Transp. URL http://sustainablehighworth.co.uk/wp-content/uploads/2020/10/ICCT_CO2-commercl-aviation-2018_20190918.pdf (accessed 9.10.21).</w:t>
      </w:r>
    </w:p>
    <w:p w14:paraId="2B4C18C1"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Grewe, V., Bock, L., Burkhardt, U., Dahlmann, K., Gierens, K., Hüttenhofer, L., Unterstrasser, S., Rao, A.G., Bhat, A., Yin, F., Reichel, T.G., Paschereit, O., Levy, Y., 2017. Assessing the climate impact of the AHEAD multi-fuel blended wing body. Meteorol. Zeitschrift 26, 711–725. https://doi.org/10.1127/METZ/2016/0758</w:t>
      </w:r>
    </w:p>
    <w:p w14:paraId="215E70EB"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Grönstedt, T., Xisto, C., Sethi, V., Rolt, A., García Rosa, N., Seitz, A., Yakinthos, K., Donnerhack, S., Newton, P., Tantot, N., Schmitz, O., Lundbladh, A., 2016. Ultra Low Emission Technology Innovations for Mid-Century Aircraft Turbine Engines, in: Volume 3: Coal, Biomass and Alternative Fuels; Cycle Innovations; Electric Power; Industrial and Cogeneration; Organic Rankine Cycle Power Systems. ASME, p. V003T06A001. https://doi.org/10.1115/GT2016-56123</w:t>
      </w:r>
    </w:p>
    <w:p w14:paraId="3F1EA1D1"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Hileman, J.I., Donohoo, P.E., Stratton, R.W., 2010. Energy Content and Alternative Jet Fuel Viability. J. Propuls. Power 26, 1184–1196. https://doi.org/10.2514/1.46232</w:t>
      </w:r>
    </w:p>
    <w:p w14:paraId="15329C7B"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Hoelzen, J., Silberhorn, D., Zill, T., Bensmann, B., Hanke-Rauschenbach, R., 2022. Hydrogen-powered aviation and its reliance on green hydrogen infrastructure – Review and research gaps. Int. J. Hydrogen Energy 47, 3108–3130. https://doi.org/10.1016/J.IJHYDENE.2021.10.239</w:t>
      </w:r>
    </w:p>
    <w:p w14:paraId="51A9CE15"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Huete, J., Nalianda, D., Pilidis, P., 2022. Impact of tank gravimetric efficiency on propulsion system integration for a first-generation hydrogen civil airliner. Aeronaut. J. 126, 1324–1332. https://doi.org/10.1017/AER.2022.60</w:t>
      </w:r>
    </w:p>
    <w:p w14:paraId="7A53ECB1"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 xml:space="preserve">Huete, J., Nalianda, D., Pilidis, P., 2021. Propulsion system integration for a first-generation </w:t>
      </w:r>
      <w:r w:rsidRPr="00DB2332">
        <w:rPr>
          <w:rFonts w:ascii="Times New Roman" w:hAnsi="Times New Roman" w:cs="Times New Roman"/>
          <w:noProof/>
          <w:sz w:val="24"/>
          <w:szCs w:val="24"/>
        </w:rPr>
        <w:lastRenderedPageBreak/>
        <w:t>hydrogen civil airliner? Aeronaut. J. 125, 1654–1665. https://doi.org/10.1017/AER.2021.36</w:t>
      </w:r>
    </w:p>
    <w:p w14:paraId="00AC462E"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Hupe, J., 2020. Setting the Scene-Aviation and Climate Change [WWW Document]. ICAO Aviat. Green Recover. Semin. URL https://www.icao.int/Meetings/GreenRecoverySeminar/Documents/1.1 ICAO AGR - Setting the scene.pdf (accessed 6.5.21).</w:t>
      </w:r>
    </w:p>
    <w:p w14:paraId="6C0CFA32"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IATA, 2021a. 2021-2039 CURRENT TRENDS [WWW Document]. URL https://www.iata.org/contentassets/e938e150c0f547449c1093239597cc18/pax-forecast-infographic-2020-final.pdf</w:t>
      </w:r>
    </w:p>
    <w:p w14:paraId="48E745CD"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IATA, 2021b. Aviation &amp; Climate Change [WWW Document]. Int. Air Transp. Assoc. URL https://www.iata.org/en/iata-repository/pressroom/fact-sheets/fact-sheet--climate-change/ (accessed 1.2.20).</w:t>
      </w:r>
    </w:p>
    <w:p w14:paraId="6B6DB598"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IATA, 2020. Sustainable Aviation Fuels Sustainable Aviation Fuels: Fact Sheet 2 [WWW Document]. Int. Air Transp. Assoc. URL https://www.iata.org/contentassets/d13875e9ed784f75bac90f000760e998/saf-technical-certifications.pdf (accessed 4.6.20).</w:t>
      </w:r>
    </w:p>
    <w:p w14:paraId="6ADC662D"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International Civil Aviation Organization Secretariat, 2010. Aviation’s Contribution to Climate Change [WWW Document]. URL https://www.icao.int/environmental-protection/Documents/EnvironmentReport-2010/ICAO_EnvReport10-Ch1_en.pdf (accessed 7.4.19).</w:t>
      </w:r>
    </w:p>
    <w:p w14:paraId="2448C429"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Jagtap, S.S., 2019a. Systems evaluation of subsonic hybrid-electric propulsion concepts for NASA N+3 goals and conceptual aircraft sizing. Int. J. Automot. Mech. Eng. 16, 7259–7286. https://doi.org/https://doi.org/10.15282/ijame.16.4.2019.07.0541</w:t>
      </w:r>
    </w:p>
    <w:p w14:paraId="169A1D75"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lastRenderedPageBreak/>
        <w:t>Jagtap, S.S., 2019b. Assessment of feedstocks for blended alcohol-to-jet fuel manufacturing from standalone and distributed scheme for sustainable aviation, in: AIAA Propulsion and Energy 2019 Forum. American Institute of Aeronautics and Astronautics, Indianapolis, Indiana. https://doi.org/10.2514/6.2019-3887</w:t>
      </w:r>
    </w:p>
    <w:p w14:paraId="3168CCB3"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Jagtap, S.S., 2019c. Comparative assessment of manufacturing setups for blended sugar-to-aviation fuel production from non-food feedstocks for green aviation, in: AIAA Propulsion and Energy 2019 Forum. American Institute of Aeronautics and Astronautics, Indianapolis, Indiana. https://doi.org/10.2514/6.2019-4332</w:t>
      </w:r>
    </w:p>
    <w:p w14:paraId="1C81B58A"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Jagtap, S.S., 2019d. Evaluation of blended Fischer-Tropsch jet fuel feedstocks for minimizing human and environmental health impacts of aviation, in: AIAA Propulsion and Energy 2019 Forum. American Institute of Aeronautics and Astronautics, Indianapolis, Indiana. https://doi.org/10.2514/6.2019-4412</w:t>
      </w:r>
    </w:p>
    <w:p w14:paraId="371E1FB0"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Jagtap, S.S., 2016. Sustainability assessment of hydro-processed renewable jet fuel from algae from market-entry year 2020: Use in passenger aircrafts, in: 16th AIAA Aviation Technology, Integration, and Operations Conference. American Institute of Aeronautics and Astronautics, Reston, Virginia. https://doi.org/10.2514/6.2016-4367</w:t>
      </w:r>
    </w:p>
    <w:p w14:paraId="19B27164"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Job, S., Campbell, M., Hall, B., Hamadache, Z., Kumar, N., 2022. SUSTAINABILITY REPORT - The Lifecycle Impact of Hydrogen-Powered Aircraft.</w:t>
      </w:r>
    </w:p>
    <w:p w14:paraId="6DB4C39F"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Khandelwal, B., Karakurt, A., Sekaran, P.R., Sethi, V., Singh, R., 2013. Hydrogen powered aircraft: The future of air transport. Prog. Aerosp. Sci. https://doi.org/10.1016/j.paerosci.2012.12.002</w:t>
      </w:r>
    </w:p>
    <w:p w14:paraId="4AC190BD"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Kirby, M.R., 2001. A methodology for technology identification, evaluation, and selection in conceptual and preliminary aircraft design. Georgia Institute of Technology.</w:t>
      </w:r>
    </w:p>
    <w:p w14:paraId="7EDA84BD"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lastRenderedPageBreak/>
        <w:t>Kundu, A.K., Price, M.A., Riordan, D., 2019. Conceptual Aircraft Design : an Industrial Perspective., First. ed. John Wiley &amp; Sons, Incorporated.</w:t>
      </w:r>
    </w:p>
    <w:p w14:paraId="20233DF3"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Lammen, W.F., Peerlings, B., Sman, E.S. van der, Kos, J., 2022. Hydrogen-powered propulsion aircraft: conceptual sizing and fleet level impact analysis [WWW Document]. Netherlands Aerosp. Cent. NLR. URL http://hdl.handle.net/10921/1587 (accessed 10.7.22).</w:t>
      </w:r>
    </w:p>
    <w:p w14:paraId="030C4D5A"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Lee, D.S., 2018. The current state of scientific understanding of the non-CO2 effects of aviation on climate [WWW Document]. Manchester Metrop. Univ. URL https://assets.publishing.service.gov.uk/government/uploads/system/uploads/attachment_data/file/813342/non-CO2-effects-report.pdf (accessed 1.2.20).</w:t>
      </w:r>
    </w:p>
    <w:p w14:paraId="0A002068"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Lee, D.S., Fahey, D.W., Forster, P.M., Newton, P.J., Wit, R.C.N., Lim, L.L., Owen, B., Sausen, R., 2009. Aviation and global climate change in the 21st century. Atmos. Environ. 43, 3520–3537. https://doi.org/10.1016/J.ATMOSENV.2009.04.024</w:t>
      </w:r>
    </w:p>
    <w:p w14:paraId="41E7FDCA"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Lee, D.S., Fahey, D.W., Skowron, A., Allen, M.R., Burkhardt, U., Chen, Q., Doherty, S.J., Freeman, S., Forster, P.M., Fuglestvedt, J., Gettelman, A., De León, R.R., Lim, L.L., Lund, M.T., Millar, R.J., Owen, B., Penner, J.E., Pitari, G., Prather, M.J., Sausen, R., Wilcox, L.J., 2021. The contribution of global aviation to anthropogenic climate forcing for 2000 to 2018. Atmos. Environ. 244, 117834. https://doi.org/10.1016/J.ATMOSENV.2020.117834</w:t>
      </w:r>
    </w:p>
    <w:p w14:paraId="7C000E34"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Lokesh, K., 2015. Techno-economic environmental risk analysis of advanced biofuels for civil aviation. Cranfield University.</w:t>
      </w:r>
    </w:p>
    <w:p w14:paraId="292DDE06"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 xml:space="preserve">Nickol, C.L., Haller, W.J., 2016. Assessment of the Performance Potential of Advanced Subsonic Transport Concepts for NASA’s Environmentally Responsible Aviation </w:t>
      </w:r>
      <w:r w:rsidRPr="00DB2332">
        <w:rPr>
          <w:rFonts w:ascii="Times New Roman" w:hAnsi="Times New Roman" w:cs="Times New Roman"/>
          <w:noProof/>
          <w:sz w:val="24"/>
          <w:szCs w:val="24"/>
        </w:rPr>
        <w:lastRenderedPageBreak/>
        <w:t>Project, in: 54th AIAA Aerospace Sciences Meeting. American Institute of Aeronautics and Astronautics, Reston, Virginia. https://doi.org/10.2514/6.2016-1030</w:t>
      </w:r>
    </w:p>
    <w:p w14:paraId="5FAB4CD7"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Nicolay, S., Karpuk, S., Liu, Y., Elham, A., 2021. Conceptual design and optimization of a general aviation aircraft with fuel cells and hydrogen. Int. J. Hydrogen Energy 46, 32676–32694. https://doi.org/10.1016/J.IJHYDENE.2021.07.127</w:t>
      </w:r>
    </w:p>
    <w:p w14:paraId="49AFCAF1"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Nicolosi, F., Marciello, V., Orefice, F., 2022. Conceptual Design of a Hydrogen-Propelled Aircraft with Distributed Electric Propulsion. https://doi.org/10.2514/6.2022-3205</w:t>
      </w:r>
    </w:p>
    <w:p w14:paraId="78095C89"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Onorato, G., Proesmans, P., Hoogreef, M.F.M., 2022. Assessment of hydrogen transport aircraft: Effects of fuel tank integration. CEAS Aeronaut. J. 1, 1–33. https://doi.org/10.1007/S13272-022-00601-6/TABLES/11</w:t>
      </w:r>
    </w:p>
    <w:p w14:paraId="1A2FDD92"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Pastra, C.L., Cinar, G., Mavris, D.N., 2022. Feasibility and benefit assessments of hybrid hydrogen fuel cell and battery configurations on a regional turboprop aircraft. https://doi.org/10.2514/6.2022-3290</w:t>
      </w:r>
    </w:p>
    <w:p w14:paraId="3953EFCC"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Polek, G., 2020. Air France-KLM Accelerates Airbus A380 Retirements [WWW Document]. Air Transp. News Aviat. Int. News. URL https://www.ainonline.com/aviation-news/air-transport/2020-05-20/air-france-klm-accelerates-airbus-a380-retirements (accessed 8.5.20).</w:t>
      </w:r>
    </w:p>
    <w:p w14:paraId="64234311"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Pornet, C., Isikveren, A.T., 2015. Conceptual design of hybrid-electric transport aircraft. Prog. Aerosp. Sci. 79, 114–135. https://doi.org/10.1016/J.PAEROSCI.2015.09.002</w:t>
      </w:r>
    </w:p>
    <w:p w14:paraId="37D0DAD6"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Prewitz, M., Bardenhagen, A., Beck, R., 2020. Hydrogen as the fuel of the future in aircrafts – Challenges and opportunities. Int. J. Hydrogen Energy 45, 25378–25385. https://doi.org/10.1016/J.IJHYDENE.2020.06.238</w:t>
      </w:r>
    </w:p>
    <w:p w14:paraId="626820A7"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lastRenderedPageBreak/>
        <w:t>Proesmans, P.-J., Vos, R., 2022. Comparison of Future Aviation Fuels to Minimize the Climate Impact of Commercial Aircraft. https://doi.org/10.2514/6.2022-3288</w:t>
      </w:r>
    </w:p>
    <w:p w14:paraId="4FB9897F"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Qubein, R., 2020. Lufthansa Retires Airbus A380 From Frankfurt Schedule, But Munich Flights Possible By 2022 [WWW Document]. Forbes. URL https://www.forbes.com/sites/ramseyqubein/2020/06/19/lufthansa-retires-airbus-a380-from-frankfurt-schedule-but-munich-flights-possible-by-2022/#2d7ba9df5489 (accessed 8.5.20).</w:t>
      </w:r>
    </w:p>
    <w:p w14:paraId="1BDCBD62"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Reinhard Faass, 2001. CRYOPLANE [WWW Document]. URL https://www.fzt.haw-hamburg.de/pers/Scholz/dglr/hh/text_2001_12_06_Cryoplane.pdf (accessed 12.28.19).</w:t>
      </w:r>
    </w:p>
    <w:p w14:paraId="7E5A0FD2"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Ritchie, H., 2020. Short-haul vs. long-haul; rich vs. poor countries: where do global CO2 emissions from aviation come from? - Our World in Data [WWW Document]. Our World Data. URL https://ourworldindata.org/breakdown-co2-aviation (accessed 9.10.21).</w:t>
      </w:r>
    </w:p>
    <w:p w14:paraId="601DE678"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Rondinelli, S., Gardi, A., Kapoor, R., Sabatini, R., 2017. Benefits and challenges of liquid hydrogen fuels in commercial aviation. Int. J. Sustain. Aviat. 3, 200. https://doi.org/10.1504/ijsa.2017.086845</w:t>
      </w:r>
    </w:p>
    <w:p w14:paraId="761F7B1B"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Schäfer, A.W., Barrett, S.R.H., Doyme, K., Dray, L.M., Gnadt, A.R., Self, R., O’Sullivan, A., Synodinos, A.P., Torija, A.J., 2019. Technological, economic and environmental prospects of all-electric aircraft. Nat. Energy 4, 160–166. https://doi.org/10.1038/s41560-018-0294-x</w:t>
      </w:r>
    </w:p>
    <w:p w14:paraId="30C2C221"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Schmidt, P., Batteiger, V., Roth, A., Weindorf, W., Raksha, T., 2018. Power-to-Liquids as Renewable Fuel Option for Aviation: A Review. Chemie Ing. Tech. 90, 127–140. https://doi.org/10.1002/cite.201700129</w:t>
      </w:r>
    </w:p>
    <w:p w14:paraId="3A9E47A0"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lastRenderedPageBreak/>
        <w:t>Schmidtchen, U., Behrend, E., Pohl, H.W., Rostek, N., 1997. Hydrogen Aircraft and Airport Safety. Renew. Sustain. Energy Rev. 1, 239–269. https://doi.org/10.1016/S1364-0321(97)00007-5</w:t>
      </w:r>
    </w:p>
    <w:p w14:paraId="652EA495"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Silberhorn, D., Atanasov, G., Walther, J.-N., Zill, T., 2019. ASSESSMENT OF HYDROGEN FUEL TANK INTEGRATION AT AIRCRAFT LEVEL. Inst. Transp. Res.</w:t>
      </w:r>
    </w:p>
    <w:p w14:paraId="496CD1B4"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Silberhorn, D., Dahlmann, K., Görtz, A., Linke, F., Zanger, J., Rauch, B., Methling, T., Janzer, C., Hartmann, J., 2022. Climate Impact Reduction Potentials of Synthetic Kerosene and Green Hydrogen Powered Mid-Range Aircraft Concepts. Appl. Sci. 2022, Vol. 12, Page 5950 12, 5950. https://doi.org/10.3390/APP12125950</w:t>
      </w:r>
    </w:p>
    <w:p w14:paraId="6EB5BD9B"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Svensson, F., 2005a. Potential of reducng the environmental impact of civil subsonic aviation by using liquid hydrogen. Cranfield University.</w:t>
      </w:r>
    </w:p>
    <w:p w14:paraId="4D37CDA2"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Svensson, F., 2005b. Potential of reducng the environmental impact of civil subsonic aviation by using liquid hydrogen. Cranfield University.</w:t>
      </w:r>
    </w:p>
    <w:p w14:paraId="70D89019"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Teoh, R., Schumann, U., Majumdar, A., Stettler, M.E.J., 2020. Mitigating the Climate Forcing of Aircraft Contrails by Small-Scale Diversions and Technology Adoption. Environ. Sci. Technol. 54, 2941–2950. https://doi.org/10.1021/acs.est.9b05608</w:t>
      </w:r>
    </w:p>
    <w:p w14:paraId="3F1CFD87"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Thoennes, M., Busse, A., Eckstein, L., 2014. Forecast of Performance Parameters of Automotive Fuel Cell Systems - Delphi Study Results. Fuel Cells 14, 781–791. https://doi.org/10.1002/fuce.201400035</w:t>
      </w:r>
    </w:p>
    <w:p w14:paraId="5636F3FE"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 xml:space="preserve">Troeltsch, F., Engelmann, M., Peter, F., Kaiser, J., Hornung, M., Scholz, A.E., 2020. Hydrogen powered long haul aircraft with minimized climate impact. AIAA Aviat. 2020 </w:t>
      </w:r>
      <w:r w:rsidRPr="00DB2332">
        <w:rPr>
          <w:rFonts w:ascii="Times New Roman" w:hAnsi="Times New Roman" w:cs="Times New Roman"/>
          <w:noProof/>
          <w:sz w:val="24"/>
          <w:szCs w:val="24"/>
        </w:rPr>
        <w:lastRenderedPageBreak/>
        <w:t>FORUM 14. https://doi.org/10.2514/6.2020-2660</w:t>
      </w:r>
    </w:p>
    <w:p w14:paraId="153B29D9"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Vedantham, A., 1999. Aviation and the Global Atmosphere: A Special Report of IPCC Working Groups I and III [WWW Document]. URL https://repository.upenn.edu/cgi/viewcontent.cgi?article=1066&amp;context=library_papers (accessed 1.2.20).</w:t>
      </w:r>
    </w:p>
    <w:p w14:paraId="19C123C1"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Verstraete, D., 2015. On the energy efficiency of hydrogen-fuelled transport aircraft. Int. J. Hydrogen Energy 40, 7388–7394. https://doi.org/10.1016/j.ijhydene.2015.04.055</w:t>
      </w:r>
    </w:p>
    <w:p w14:paraId="21856640"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Vonhoff, G., 2021. Conceptual Design of Hydrogen Fuel Cell Aircraft: Flying on hydrogen for a more sustainable future. Delft University of Technology.</w:t>
      </w:r>
    </w:p>
    <w:p w14:paraId="15B07580"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Voskuijl, M., van Bogaert, J., Rao, A.G., 2018. Analysis and design of hybrid electric regional turboprop aircraft. CEAS Aeronaut. J. 9, 15–25. https://doi.org/10.1007/s13272-017-0272-1</w:t>
      </w:r>
    </w:p>
    <w:p w14:paraId="2D987795"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Voß, A., Handojo, V., Weiser, C., Niemann, S., 2020. Preparation of Loads and Aeroelastic Analyses of a High Altitude, Long Endurance, Solar Electric Aircraft, in: AEC2020 Aerospace Europe Conference.</w:t>
      </w:r>
    </w:p>
    <w:p w14:paraId="4D305EED"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Waddington, E.G., Merret, J.M., Ansell, P.J., 2021. Impact of LH2 Fuel Cell-Electric Propulsion on Aircraft Configuration and Integration. AIAA Aviat. Aeronaut. Forum Expo. AIAA Aviat. Forum 2021. https://doi.org/10.2514/6.2021-2409</w:t>
      </w:r>
    </w:p>
    <w:p w14:paraId="53B69518"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Waitz., I.A., 2008. Lecture: Breguet’s range equation [WWW Document]. Lect. notes. URL https://web.mit.edu/16.unified/www/FALL/Unified_Concepts/Breguet-Range-U2-notes-Fall08(2).pdf (accessed 8.27.20).</w:t>
      </w:r>
    </w:p>
    <w:p w14:paraId="1E82A23F"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 xml:space="preserve">Wolfe, P.J., Yim, S.H.L., Lee, G., Ashok, A., Barrett, S.R.H., Waitz, I.A., 2014. Near-airport </w:t>
      </w:r>
      <w:r w:rsidRPr="00DB2332">
        <w:rPr>
          <w:rFonts w:ascii="Times New Roman" w:hAnsi="Times New Roman" w:cs="Times New Roman"/>
          <w:noProof/>
          <w:sz w:val="24"/>
          <w:szCs w:val="24"/>
        </w:rPr>
        <w:lastRenderedPageBreak/>
        <w:t>distribution of the environmental costs of aviation. Transp. Policy 34, 102–108. https://doi.org/10.1016/J.TRANPOL.2014.02.023</w:t>
      </w:r>
    </w:p>
    <w:p w14:paraId="14970D47"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World Economic Forum, 2022. Target True Zero Unlocking Sustainable Battery and Hydrogen-Powered Flight - Insight Report.</w:t>
      </w:r>
    </w:p>
    <w:p w14:paraId="01E50DBA"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szCs w:val="24"/>
        </w:rPr>
      </w:pPr>
      <w:r w:rsidRPr="00DB2332">
        <w:rPr>
          <w:rFonts w:ascii="Times New Roman" w:hAnsi="Times New Roman" w:cs="Times New Roman"/>
          <w:noProof/>
          <w:sz w:val="24"/>
          <w:szCs w:val="24"/>
        </w:rPr>
        <w:t>Xu, H., He, Y., Strobel, K.L., Gilmore, C.K., Kelley, S.P., Hennick, C.C., Sebastian, T., Woolston, M.R., Perreault, D.J., Barrett, S.R.H., 2018. Flight of an aeroplane with solid-state propulsion. Nat. 2018 5637732 563, 532–535. https://doi.org/10.1038/s41586-018-0707-9</w:t>
      </w:r>
    </w:p>
    <w:p w14:paraId="4B4C3D23" w14:textId="77777777" w:rsidR="007D0040" w:rsidRPr="00DB2332" w:rsidRDefault="007D0040" w:rsidP="007D0040">
      <w:pPr>
        <w:widowControl w:val="0"/>
        <w:autoSpaceDE w:val="0"/>
        <w:autoSpaceDN w:val="0"/>
        <w:adjustRightInd w:val="0"/>
        <w:spacing w:after="240" w:line="480" w:lineRule="auto"/>
        <w:ind w:left="480" w:hanging="480"/>
        <w:rPr>
          <w:rFonts w:ascii="Times New Roman" w:hAnsi="Times New Roman" w:cs="Times New Roman"/>
          <w:noProof/>
          <w:sz w:val="24"/>
        </w:rPr>
      </w:pPr>
      <w:r w:rsidRPr="00DB2332">
        <w:rPr>
          <w:rFonts w:ascii="Times New Roman" w:hAnsi="Times New Roman" w:cs="Times New Roman"/>
          <w:noProof/>
          <w:sz w:val="24"/>
          <w:szCs w:val="24"/>
        </w:rPr>
        <w:t>Yang, B., Mane, M., Crossley, W.A., 2022. An Approach to Evaluate Fleet Level CO2 Impact of Introducing Liquid-Hydrogen Aircraft to a World-Wide Network. https://doi.org/10.2514/6.2022-3313</w:t>
      </w:r>
    </w:p>
    <w:p w14:paraId="4E9F6BBE" w14:textId="4248987A" w:rsidR="009D6931" w:rsidRPr="00CF2741" w:rsidRDefault="001E681A" w:rsidP="000C5E43">
      <w:pPr>
        <w:spacing w:after="240" w:line="480" w:lineRule="auto"/>
        <w:jc w:val="both"/>
        <w:rPr>
          <w:rFonts w:ascii="Times New Roman" w:hAnsi="Times New Roman" w:cs="Times New Roman"/>
          <w:sz w:val="24"/>
          <w:szCs w:val="24"/>
        </w:rPr>
      </w:pPr>
      <w:r w:rsidRPr="00DB2332">
        <w:rPr>
          <w:rFonts w:ascii="Times New Roman" w:hAnsi="Times New Roman" w:cs="Times New Roman"/>
          <w:sz w:val="24"/>
          <w:szCs w:val="24"/>
        </w:rPr>
        <w:fldChar w:fldCharType="end"/>
      </w:r>
    </w:p>
    <w:sectPr w:rsidR="009D6931" w:rsidRPr="00CF2741" w:rsidSect="00391BCC">
      <w:type w:val="continuous"/>
      <w:pgSz w:w="11906" w:h="16838"/>
      <w:pgMar w:top="1440" w:right="1440" w:bottom="1440" w:left="1440" w:header="708" w:footer="708" w:gutter="0"/>
      <w:cols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0D432" w14:textId="77777777" w:rsidR="003F4E49" w:rsidRDefault="003F4E49" w:rsidP="002F4EC1">
      <w:pPr>
        <w:spacing w:after="0" w:line="240" w:lineRule="auto"/>
      </w:pPr>
      <w:r>
        <w:separator/>
      </w:r>
    </w:p>
  </w:endnote>
  <w:endnote w:type="continuationSeparator" w:id="0">
    <w:p w14:paraId="336993A1" w14:textId="77777777" w:rsidR="003F4E49" w:rsidRDefault="003F4E49" w:rsidP="002F4EC1">
      <w:pPr>
        <w:spacing w:after="0" w:line="240" w:lineRule="auto"/>
      </w:pPr>
      <w:r>
        <w:continuationSeparator/>
      </w:r>
    </w:p>
  </w:endnote>
  <w:endnote w:type="continuationNotice" w:id="1">
    <w:p w14:paraId="6E4C8500" w14:textId="77777777" w:rsidR="003F4E49" w:rsidRDefault="003F4E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35532001"/>
      <w:docPartObj>
        <w:docPartGallery w:val="Page Numbers (Bottom of Page)"/>
        <w:docPartUnique/>
      </w:docPartObj>
    </w:sdtPr>
    <w:sdtEndPr>
      <w:rPr>
        <w:noProof/>
      </w:rPr>
    </w:sdtEndPr>
    <w:sdtContent>
      <w:p w14:paraId="2833D479" w14:textId="104D9888" w:rsidR="00983C2A" w:rsidRPr="00B910F9" w:rsidRDefault="00983C2A" w:rsidP="00B910F9">
        <w:pPr>
          <w:pStyle w:val="Footer"/>
          <w:jc w:val="center"/>
          <w:rPr>
            <w:rFonts w:ascii="Times New Roman" w:hAnsi="Times New Roman" w:cs="Times New Roman"/>
            <w:sz w:val="24"/>
            <w:szCs w:val="24"/>
          </w:rPr>
        </w:pPr>
        <w:r w:rsidRPr="00B910F9">
          <w:rPr>
            <w:rFonts w:ascii="Times New Roman" w:hAnsi="Times New Roman" w:cs="Times New Roman"/>
            <w:sz w:val="24"/>
            <w:szCs w:val="24"/>
          </w:rPr>
          <w:fldChar w:fldCharType="begin"/>
        </w:r>
        <w:r w:rsidRPr="00B910F9">
          <w:rPr>
            <w:rFonts w:ascii="Times New Roman" w:hAnsi="Times New Roman" w:cs="Times New Roman"/>
            <w:sz w:val="24"/>
            <w:szCs w:val="24"/>
          </w:rPr>
          <w:instrText xml:space="preserve"> PAGE   \* MERGEFORMAT </w:instrText>
        </w:r>
        <w:r w:rsidRPr="00B910F9">
          <w:rPr>
            <w:rFonts w:ascii="Times New Roman" w:hAnsi="Times New Roman" w:cs="Times New Roman"/>
            <w:sz w:val="24"/>
            <w:szCs w:val="24"/>
          </w:rPr>
          <w:fldChar w:fldCharType="separate"/>
        </w:r>
        <w:r w:rsidRPr="00B910F9">
          <w:rPr>
            <w:rFonts w:ascii="Times New Roman" w:hAnsi="Times New Roman" w:cs="Times New Roman"/>
            <w:noProof/>
            <w:sz w:val="24"/>
            <w:szCs w:val="24"/>
          </w:rPr>
          <w:t>2</w:t>
        </w:r>
        <w:r w:rsidRPr="00B910F9">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4BA9E" w14:textId="77777777" w:rsidR="003F4E49" w:rsidRDefault="003F4E49" w:rsidP="002F4EC1">
      <w:pPr>
        <w:spacing w:after="0" w:line="240" w:lineRule="auto"/>
      </w:pPr>
      <w:r>
        <w:separator/>
      </w:r>
    </w:p>
  </w:footnote>
  <w:footnote w:type="continuationSeparator" w:id="0">
    <w:p w14:paraId="18C30CCA" w14:textId="77777777" w:rsidR="003F4E49" w:rsidRDefault="003F4E49" w:rsidP="002F4EC1">
      <w:pPr>
        <w:spacing w:after="0" w:line="240" w:lineRule="auto"/>
      </w:pPr>
      <w:r>
        <w:continuationSeparator/>
      </w:r>
    </w:p>
  </w:footnote>
  <w:footnote w:type="continuationNotice" w:id="1">
    <w:p w14:paraId="440C9A61" w14:textId="77777777" w:rsidR="003F4E49" w:rsidRDefault="003F4E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2E1"/>
    <w:multiLevelType w:val="hybridMultilevel"/>
    <w:tmpl w:val="8CB6A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3D17E5"/>
    <w:multiLevelType w:val="hybridMultilevel"/>
    <w:tmpl w:val="1434521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CB5247"/>
    <w:multiLevelType w:val="hybridMultilevel"/>
    <w:tmpl w:val="6F8E0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3549AC"/>
    <w:multiLevelType w:val="multilevel"/>
    <w:tmpl w:val="7A5C8D0A"/>
    <w:styleLink w:val="Style1"/>
    <w:lvl w:ilvl="0">
      <w:start w:val="1"/>
      <w:numFmt w:val="decimal"/>
      <w:lvlText w:val="%1"/>
      <w:lvlJc w:val="left"/>
      <w:pPr>
        <w:ind w:left="432" w:hanging="432"/>
      </w:pPr>
      <w:rPr>
        <w:rFonts w:ascii="Times New Roman" w:hAnsi="Times New Roman" w:cs="Times New Roman" w:hint="default"/>
        <w:b/>
        <w:sz w:val="24"/>
      </w:rPr>
    </w:lvl>
    <w:lvl w:ilvl="1">
      <w:start w:val="1"/>
      <w:numFmt w:val="decimal"/>
      <w:lvlText w:val="2.%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B30D7F"/>
    <w:multiLevelType w:val="hybridMultilevel"/>
    <w:tmpl w:val="3FA4E05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5" w15:restartNumberingAfterBreak="0">
    <w:nsid w:val="10507A31"/>
    <w:multiLevelType w:val="hybridMultilevel"/>
    <w:tmpl w:val="11BA6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0764F"/>
    <w:multiLevelType w:val="multilevel"/>
    <w:tmpl w:val="2DC8D442"/>
    <w:lvl w:ilvl="0">
      <w:start w:val="1"/>
      <w:numFmt w:val="decimal"/>
      <w:lvlText w:val="%1."/>
      <w:lvlJc w:val="left"/>
      <w:pPr>
        <w:ind w:left="432" w:hanging="432"/>
      </w:pPr>
      <w:rPr>
        <w:sz w:val="24"/>
        <w:szCs w:val="24"/>
      </w:rPr>
    </w:lvl>
    <w:lvl w:ilvl="1">
      <w:start w:val="1"/>
      <w:numFmt w:val="decimal"/>
      <w:lvlText w:val="%1.%2"/>
      <w:lvlJc w:val="left"/>
      <w:pPr>
        <w:ind w:left="576" w:hanging="576"/>
      </w:pPr>
      <w:rPr>
        <w:b/>
      </w:r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DAF76F7"/>
    <w:multiLevelType w:val="hybridMultilevel"/>
    <w:tmpl w:val="48868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A66B7C"/>
    <w:multiLevelType w:val="hybridMultilevel"/>
    <w:tmpl w:val="5F4A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A16EF"/>
    <w:multiLevelType w:val="multilevel"/>
    <w:tmpl w:val="4009001D"/>
    <w:styleLink w:val="Style3"/>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2524BA1"/>
    <w:multiLevelType w:val="hybridMultilevel"/>
    <w:tmpl w:val="5D5E3A50"/>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23BD30E5"/>
    <w:multiLevelType w:val="hybridMultilevel"/>
    <w:tmpl w:val="E8EA16D0"/>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59D2050"/>
    <w:multiLevelType w:val="hybridMultilevel"/>
    <w:tmpl w:val="AD30854C"/>
    <w:lvl w:ilvl="0" w:tplc="0809001B">
      <w:start w:val="1"/>
      <w:numFmt w:val="lowerRoman"/>
      <w:lvlText w:val="%1."/>
      <w:lvlJc w:val="righ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291015D1"/>
    <w:multiLevelType w:val="hybridMultilevel"/>
    <w:tmpl w:val="42562F9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4" w15:restartNumberingAfterBreak="0">
    <w:nsid w:val="2A8A3153"/>
    <w:multiLevelType w:val="hybridMultilevel"/>
    <w:tmpl w:val="09766C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0421259"/>
    <w:multiLevelType w:val="hybridMultilevel"/>
    <w:tmpl w:val="36DC035C"/>
    <w:lvl w:ilvl="0" w:tplc="04090019">
      <w:start w:val="1"/>
      <w:numFmt w:val="lowerLetter"/>
      <w:lvlText w:val="%1."/>
      <w:lvlJc w:val="left"/>
      <w:pPr>
        <w:ind w:left="720"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6" w15:restartNumberingAfterBreak="0">
    <w:nsid w:val="328D1A9D"/>
    <w:multiLevelType w:val="multilevel"/>
    <w:tmpl w:val="3FFC392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rPr>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3457388D"/>
    <w:multiLevelType w:val="hybridMultilevel"/>
    <w:tmpl w:val="F58208BA"/>
    <w:lvl w:ilvl="0" w:tplc="BF001B4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F27086"/>
    <w:multiLevelType w:val="hybridMultilevel"/>
    <w:tmpl w:val="1B529C9A"/>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3A993127"/>
    <w:multiLevelType w:val="hybridMultilevel"/>
    <w:tmpl w:val="C86A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9450B3"/>
    <w:multiLevelType w:val="multilevel"/>
    <w:tmpl w:val="4009001D"/>
    <w:styleLink w:val="Style4"/>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22D6A30"/>
    <w:multiLevelType w:val="hybridMultilevel"/>
    <w:tmpl w:val="028C376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15:restartNumberingAfterBreak="0">
    <w:nsid w:val="444E351A"/>
    <w:multiLevelType w:val="hybridMultilevel"/>
    <w:tmpl w:val="E0EC8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FA6FCD"/>
    <w:multiLevelType w:val="hybridMultilevel"/>
    <w:tmpl w:val="CD76A2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444F9"/>
    <w:multiLevelType w:val="hybridMultilevel"/>
    <w:tmpl w:val="951A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056FD8"/>
    <w:multiLevelType w:val="hybridMultilevel"/>
    <w:tmpl w:val="070805FA"/>
    <w:lvl w:ilvl="0" w:tplc="E090883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B06BA1"/>
    <w:multiLevelType w:val="hybridMultilevel"/>
    <w:tmpl w:val="84264634"/>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15:restartNumberingAfterBreak="0">
    <w:nsid w:val="4DED3FFA"/>
    <w:multiLevelType w:val="multilevel"/>
    <w:tmpl w:val="35961CBC"/>
    <w:styleLink w:val="Style2"/>
    <w:lvl w:ilvl="0">
      <w:start w:val="1"/>
      <w:numFmt w:val="upperLetter"/>
      <w:lvlText w:val="%1."/>
      <w:lvlJc w:val="left"/>
      <w:pPr>
        <w:ind w:left="432" w:hanging="432"/>
      </w:pPr>
    </w:lvl>
    <w:lvl w:ilvl="1">
      <w:start w:val="1"/>
      <w:numFmt w:val="upperLetter"/>
      <w:lvlText w:val="%2."/>
      <w:lvlJc w:val="left"/>
      <w:pPr>
        <w:ind w:left="576" w:hanging="576"/>
      </w:pPr>
      <w:rPr>
        <w:color w:val="auto"/>
      </w:rPr>
    </w:lvl>
    <w:lvl w:ilvl="2">
      <w:start w:val="1"/>
      <w:numFmt w:val="decimal"/>
      <w:lvlText w:val="%1.%3"/>
      <w:lvlJc w:val="left"/>
      <w:pPr>
        <w:ind w:left="720" w:hanging="720"/>
      </w:pPr>
      <w:rPr>
        <w:sz w:val="22"/>
        <w:szCs w:val="22"/>
      </w:rPr>
    </w:lvl>
    <w:lvl w:ilvl="3">
      <w:start w:val="1"/>
      <w:numFmt w:val="decimal"/>
      <w:lvlText w:val="%1.%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4796BCB"/>
    <w:multiLevelType w:val="multilevel"/>
    <w:tmpl w:val="35961CBC"/>
    <w:numStyleLink w:val="Style2"/>
  </w:abstractNum>
  <w:abstractNum w:abstractNumId="29" w15:restartNumberingAfterBreak="0">
    <w:nsid w:val="56B51D27"/>
    <w:multiLevelType w:val="hybridMultilevel"/>
    <w:tmpl w:val="486A57CC"/>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574067D2"/>
    <w:multiLevelType w:val="hybridMultilevel"/>
    <w:tmpl w:val="657A7A14"/>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1" w15:restartNumberingAfterBreak="0">
    <w:nsid w:val="58196E27"/>
    <w:multiLevelType w:val="hybridMultilevel"/>
    <w:tmpl w:val="E5BCE32E"/>
    <w:lvl w:ilvl="0" w:tplc="DE786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F13574"/>
    <w:multiLevelType w:val="hybridMultilevel"/>
    <w:tmpl w:val="2DC8D4D4"/>
    <w:lvl w:ilvl="0" w:tplc="0809000F">
      <w:start w:val="1"/>
      <w:numFmt w:val="decimal"/>
      <w:lvlText w:val="%1."/>
      <w:lvlJc w:val="left"/>
      <w:pPr>
        <w:ind w:left="360" w:hanging="360"/>
      </w:pPr>
      <w:rPr>
        <w:rFonts w:hint="default"/>
      </w:rPr>
    </w:lvl>
    <w:lvl w:ilvl="1" w:tplc="04090001">
      <w:start w:val="1"/>
      <w:numFmt w:val="bullet"/>
      <w:lvlText w:val=""/>
      <w:lvlJc w:val="left"/>
      <w:pPr>
        <w:ind w:left="512" w:hanging="360"/>
      </w:pPr>
      <w:rPr>
        <w:rFonts w:ascii="Symbol" w:hAnsi="Symbol" w:hint="default"/>
      </w:rPr>
    </w:lvl>
    <w:lvl w:ilvl="2" w:tplc="0409001B">
      <w:start w:val="1"/>
      <w:numFmt w:val="lowerRoman"/>
      <w:lvlText w:val="%3."/>
      <w:lvlJc w:val="right"/>
      <w:pPr>
        <w:ind w:left="-388" w:hanging="180"/>
      </w:pPr>
    </w:lvl>
    <w:lvl w:ilvl="3" w:tplc="0809001B">
      <w:start w:val="1"/>
      <w:numFmt w:val="lowerRoman"/>
      <w:lvlText w:val="%4."/>
      <w:lvlJc w:val="right"/>
      <w:pPr>
        <w:ind w:left="502" w:hanging="360"/>
      </w:pPr>
    </w:lvl>
    <w:lvl w:ilvl="4" w:tplc="04090019">
      <w:start w:val="1"/>
      <w:numFmt w:val="lowerLetter"/>
      <w:lvlText w:val="%5."/>
      <w:lvlJc w:val="left"/>
      <w:pPr>
        <w:ind w:left="76"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69C508F4"/>
    <w:multiLevelType w:val="hybridMultilevel"/>
    <w:tmpl w:val="A12EEA6C"/>
    <w:lvl w:ilvl="0" w:tplc="C450BB4C">
      <w:start w:val="1"/>
      <w:numFmt w:val="decimal"/>
      <w:lvlText w:val="%1."/>
      <w:lvlJc w:val="left"/>
      <w:pPr>
        <w:ind w:left="786" w:hanging="360"/>
      </w:pPr>
      <w:rPr>
        <w:rFonts w:ascii="Times New Roman" w:hAnsi="Times New Roman" w:cs="Times New Roman"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4" w15:restartNumberingAfterBreak="0">
    <w:nsid w:val="6A003D6F"/>
    <w:multiLevelType w:val="hybridMultilevel"/>
    <w:tmpl w:val="3B2A0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0E493E"/>
    <w:multiLevelType w:val="hybridMultilevel"/>
    <w:tmpl w:val="BAD4DD0C"/>
    <w:lvl w:ilvl="0" w:tplc="AC527B9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9C4208"/>
    <w:multiLevelType w:val="hybridMultilevel"/>
    <w:tmpl w:val="23EA1D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2431E2"/>
    <w:multiLevelType w:val="hybridMultilevel"/>
    <w:tmpl w:val="256C1EA4"/>
    <w:lvl w:ilvl="0" w:tplc="560C91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3D37FB"/>
    <w:multiLevelType w:val="hybridMultilevel"/>
    <w:tmpl w:val="AF0CE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94316C"/>
    <w:multiLevelType w:val="multilevel"/>
    <w:tmpl w:val="FB4896E8"/>
    <w:lvl w:ilvl="0">
      <w:start w:val="1"/>
      <w:numFmt w:val="upperLetter"/>
      <w:lvlText w:val="%1."/>
      <w:lvlJc w:val="left"/>
      <w:pPr>
        <w:ind w:left="432" w:hanging="432"/>
      </w:pPr>
    </w:lvl>
    <w:lvl w:ilvl="1">
      <w:start w:val="1"/>
      <w:numFmt w:val="upperLetter"/>
      <w:lvlText w:val="%2.%1"/>
      <w:lvlJc w:val="left"/>
      <w:pPr>
        <w:ind w:left="576" w:hanging="576"/>
      </w:pPr>
      <w:rPr>
        <w:color w:val="auto"/>
      </w:rPr>
    </w:lvl>
    <w:lvl w:ilvl="2">
      <w:start w:val="1"/>
      <w:numFmt w:val="decimal"/>
      <w:lvlText w:val="%1.%2.%3"/>
      <w:lvlJc w:val="left"/>
      <w:pPr>
        <w:ind w:left="720" w:hanging="720"/>
      </w:pPr>
      <w:rPr>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F181588"/>
    <w:multiLevelType w:val="hybridMultilevel"/>
    <w:tmpl w:val="D15E9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1124008">
    <w:abstractNumId w:val="40"/>
  </w:num>
  <w:num w:numId="2" w16cid:durableId="435487791">
    <w:abstractNumId w:val="12"/>
  </w:num>
  <w:num w:numId="3" w16cid:durableId="365637662">
    <w:abstractNumId w:val="2"/>
  </w:num>
  <w:num w:numId="4" w16cid:durableId="701055179">
    <w:abstractNumId w:val="21"/>
  </w:num>
  <w:num w:numId="5" w16cid:durableId="818182512">
    <w:abstractNumId w:val="13"/>
  </w:num>
  <w:num w:numId="6" w16cid:durableId="998389143">
    <w:abstractNumId w:val="22"/>
  </w:num>
  <w:num w:numId="7" w16cid:durableId="841941203">
    <w:abstractNumId w:val="29"/>
  </w:num>
  <w:num w:numId="8" w16cid:durableId="729233712">
    <w:abstractNumId w:val="1"/>
  </w:num>
  <w:num w:numId="9" w16cid:durableId="1439061496">
    <w:abstractNumId w:val="7"/>
  </w:num>
  <w:num w:numId="10" w16cid:durableId="1905334639">
    <w:abstractNumId w:val="30"/>
  </w:num>
  <w:num w:numId="11" w16cid:durableId="2028602500">
    <w:abstractNumId w:val="23"/>
  </w:num>
  <w:num w:numId="12" w16cid:durableId="1844467736">
    <w:abstractNumId w:val="34"/>
  </w:num>
  <w:num w:numId="13" w16cid:durableId="1494294230">
    <w:abstractNumId w:val="10"/>
  </w:num>
  <w:num w:numId="14" w16cid:durableId="734475582">
    <w:abstractNumId w:val="26"/>
  </w:num>
  <w:num w:numId="15" w16cid:durableId="1246723165">
    <w:abstractNumId w:val="11"/>
  </w:num>
  <w:num w:numId="16" w16cid:durableId="416874903">
    <w:abstractNumId w:val="18"/>
  </w:num>
  <w:num w:numId="17" w16cid:durableId="105083140">
    <w:abstractNumId w:val="16"/>
  </w:num>
  <w:num w:numId="18" w16cid:durableId="291910872">
    <w:abstractNumId w:val="4"/>
  </w:num>
  <w:num w:numId="19" w16cid:durableId="955067935">
    <w:abstractNumId w:val="32"/>
  </w:num>
  <w:num w:numId="20" w16cid:durableId="291905330">
    <w:abstractNumId w:val="0"/>
  </w:num>
  <w:num w:numId="21" w16cid:durableId="720634428">
    <w:abstractNumId w:val="14"/>
  </w:num>
  <w:num w:numId="22" w16cid:durableId="3438348">
    <w:abstractNumId w:val="15"/>
  </w:num>
  <w:num w:numId="23" w16cid:durableId="292560865">
    <w:abstractNumId w:val="24"/>
  </w:num>
  <w:num w:numId="24" w16cid:durableId="536889332">
    <w:abstractNumId w:val="33"/>
  </w:num>
  <w:num w:numId="25" w16cid:durableId="987980164">
    <w:abstractNumId w:val="5"/>
  </w:num>
  <w:num w:numId="26" w16cid:durableId="393089271">
    <w:abstractNumId w:val="6"/>
  </w:num>
  <w:num w:numId="27" w16cid:durableId="2036613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5475093">
    <w:abstractNumId w:val="3"/>
  </w:num>
  <w:num w:numId="29" w16cid:durableId="1996837492">
    <w:abstractNumId w:val="25"/>
  </w:num>
  <w:num w:numId="30" w16cid:durableId="417873131">
    <w:abstractNumId w:val="17"/>
  </w:num>
  <w:num w:numId="31" w16cid:durableId="704913632">
    <w:abstractNumId w:val="35"/>
  </w:num>
  <w:num w:numId="32" w16cid:durableId="509881132">
    <w:abstractNumId w:val="38"/>
  </w:num>
  <w:num w:numId="33" w16cid:durableId="194316836">
    <w:abstractNumId w:val="19"/>
  </w:num>
  <w:num w:numId="34" w16cid:durableId="467162929">
    <w:abstractNumId w:val="8"/>
  </w:num>
  <w:num w:numId="35" w16cid:durableId="2033452021">
    <w:abstractNumId w:val="36"/>
  </w:num>
  <w:num w:numId="36" w16cid:durableId="192233259">
    <w:abstractNumId w:val="37"/>
  </w:num>
  <w:num w:numId="37" w16cid:durableId="917062016">
    <w:abstractNumId w:val="31"/>
  </w:num>
  <w:num w:numId="38" w16cid:durableId="7154724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74796753">
    <w:abstractNumId w:val="28"/>
  </w:num>
  <w:num w:numId="40" w16cid:durableId="8865238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04813254">
    <w:abstractNumId w:val="39"/>
  </w:num>
  <w:num w:numId="42" w16cid:durableId="4033393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80516615">
    <w:abstractNumId w:val="9"/>
  </w:num>
  <w:num w:numId="44" w16cid:durableId="1322544023">
    <w:abstractNumId w:val="20"/>
  </w:num>
  <w:num w:numId="45" w16cid:durableId="9995801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97"/>
    <w:rsid w:val="00000539"/>
    <w:rsid w:val="000006A5"/>
    <w:rsid w:val="00000D0A"/>
    <w:rsid w:val="00000D88"/>
    <w:rsid w:val="0000212A"/>
    <w:rsid w:val="00002BBB"/>
    <w:rsid w:val="0000336D"/>
    <w:rsid w:val="00004ED6"/>
    <w:rsid w:val="000050D3"/>
    <w:rsid w:val="000053E8"/>
    <w:rsid w:val="000059B6"/>
    <w:rsid w:val="00005C83"/>
    <w:rsid w:val="00005C89"/>
    <w:rsid w:val="00005D36"/>
    <w:rsid w:val="0000623A"/>
    <w:rsid w:val="00006516"/>
    <w:rsid w:val="000079E1"/>
    <w:rsid w:val="00007E3A"/>
    <w:rsid w:val="00010812"/>
    <w:rsid w:val="00010F51"/>
    <w:rsid w:val="00011191"/>
    <w:rsid w:val="000125CE"/>
    <w:rsid w:val="000129DB"/>
    <w:rsid w:val="000130C5"/>
    <w:rsid w:val="00014135"/>
    <w:rsid w:val="000144B9"/>
    <w:rsid w:val="0001506F"/>
    <w:rsid w:val="00015C7F"/>
    <w:rsid w:val="000169C1"/>
    <w:rsid w:val="00016BE3"/>
    <w:rsid w:val="00017657"/>
    <w:rsid w:val="0001771D"/>
    <w:rsid w:val="00017BFA"/>
    <w:rsid w:val="0002018C"/>
    <w:rsid w:val="00020CF2"/>
    <w:rsid w:val="0002289F"/>
    <w:rsid w:val="00022D2B"/>
    <w:rsid w:val="00022E42"/>
    <w:rsid w:val="00023B36"/>
    <w:rsid w:val="00023E5B"/>
    <w:rsid w:val="000240CF"/>
    <w:rsid w:val="00024807"/>
    <w:rsid w:val="000248CF"/>
    <w:rsid w:val="000250CB"/>
    <w:rsid w:val="000255E4"/>
    <w:rsid w:val="0002766C"/>
    <w:rsid w:val="0002770C"/>
    <w:rsid w:val="000279D2"/>
    <w:rsid w:val="000303AB"/>
    <w:rsid w:val="00030C09"/>
    <w:rsid w:val="000311AF"/>
    <w:rsid w:val="00031788"/>
    <w:rsid w:val="0003261C"/>
    <w:rsid w:val="000329FD"/>
    <w:rsid w:val="00032A1F"/>
    <w:rsid w:val="00032D5D"/>
    <w:rsid w:val="00032F0A"/>
    <w:rsid w:val="00032F68"/>
    <w:rsid w:val="00032FA7"/>
    <w:rsid w:val="000343FB"/>
    <w:rsid w:val="0003455E"/>
    <w:rsid w:val="00034EF6"/>
    <w:rsid w:val="000360DA"/>
    <w:rsid w:val="00037149"/>
    <w:rsid w:val="000371FB"/>
    <w:rsid w:val="000400C5"/>
    <w:rsid w:val="0004079C"/>
    <w:rsid w:val="0004087C"/>
    <w:rsid w:val="00040FEB"/>
    <w:rsid w:val="000414A4"/>
    <w:rsid w:val="00041B13"/>
    <w:rsid w:val="00041F78"/>
    <w:rsid w:val="00042AF9"/>
    <w:rsid w:val="00042B1B"/>
    <w:rsid w:val="00043103"/>
    <w:rsid w:val="00043165"/>
    <w:rsid w:val="000435CC"/>
    <w:rsid w:val="00043913"/>
    <w:rsid w:val="00043957"/>
    <w:rsid w:val="00044471"/>
    <w:rsid w:val="00044917"/>
    <w:rsid w:val="00044E08"/>
    <w:rsid w:val="00045260"/>
    <w:rsid w:val="00046E0D"/>
    <w:rsid w:val="00047506"/>
    <w:rsid w:val="00050EAE"/>
    <w:rsid w:val="000515A4"/>
    <w:rsid w:val="000516F6"/>
    <w:rsid w:val="00051ADD"/>
    <w:rsid w:val="00051C6A"/>
    <w:rsid w:val="000524D3"/>
    <w:rsid w:val="00052D42"/>
    <w:rsid w:val="0005321E"/>
    <w:rsid w:val="00053698"/>
    <w:rsid w:val="00053870"/>
    <w:rsid w:val="00053F8C"/>
    <w:rsid w:val="00054430"/>
    <w:rsid w:val="000549D4"/>
    <w:rsid w:val="000549F2"/>
    <w:rsid w:val="00054B66"/>
    <w:rsid w:val="000559C8"/>
    <w:rsid w:val="00056EB5"/>
    <w:rsid w:val="00056F44"/>
    <w:rsid w:val="00057056"/>
    <w:rsid w:val="000578BE"/>
    <w:rsid w:val="0005799F"/>
    <w:rsid w:val="00057AC2"/>
    <w:rsid w:val="00061084"/>
    <w:rsid w:val="00061D3D"/>
    <w:rsid w:val="00061D57"/>
    <w:rsid w:val="000629C1"/>
    <w:rsid w:val="000633EA"/>
    <w:rsid w:val="00064B24"/>
    <w:rsid w:val="00065491"/>
    <w:rsid w:val="00065762"/>
    <w:rsid w:val="00065DDE"/>
    <w:rsid w:val="00065DFF"/>
    <w:rsid w:val="00065EC0"/>
    <w:rsid w:val="00067374"/>
    <w:rsid w:val="000679A1"/>
    <w:rsid w:val="000679E0"/>
    <w:rsid w:val="00070458"/>
    <w:rsid w:val="000706D3"/>
    <w:rsid w:val="0007078B"/>
    <w:rsid w:val="0007102E"/>
    <w:rsid w:val="000710A3"/>
    <w:rsid w:val="0007127D"/>
    <w:rsid w:val="00071960"/>
    <w:rsid w:val="0007246E"/>
    <w:rsid w:val="0007274E"/>
    <w:rsid w:val="00072E20"/>
    <w:rsid w:val="00072F3E"/>
    <w:rsid w:val="00072FBA"/>
    <w:rsid w:val="00073C56"/>
    <w:rsid w:val="00073D1D"/>
    <w:rsid w:val="0007422D"/>
    <w:rsid w:val="0007448E"/>
    <w:rsid w:val="00075B60"/>
    <w:rsid w:val="000774D5"/>
    <w:rsid w:val="0008062B"/>
    <w:rsid w:val="000809A3"/>
    <w:rsid w:val="00080B24"/>
    <w:rsid w:val="0008159A"/>
    <w:rsid w:val="00082538"/>
    <w:rsid w:val="00082592"/>
    <w:rsid w:val="0008286D"/>
    <w:rsid w:val="00082C06"/>
    <w:rsid w:val="00082E52"/>
    <w:rsid w:val="00083689"/>
    <w:rsid w:val="000836A2"/>
    <w:rsid w:val="00083AB7"/>
    <w:rsid w:val="00083D2D"/>
    <w:rsid w:val="00083F15"/>
    <w:rsid w:val="000843DF"/>
    <w:rsid w:val="000855C5"/>
    <w:rsid w:val="00085893"/>
    <w:rsid w:val="00086D8F"/>
    <w:rsid w:val="0008761D"/>
    <w:rsid w:val="000903AC"/>
    <w:rsid w:val="000906C3"/>
    <w:rsid w:val="00091423"/>
    <w:rsid w:val="00091C33"/>
    <w:rsid w:val="0009217B"/>
    <w:rsid w:val="000924CA"/>
    <w:rsid w:val="0009256A"/>
    <w:rsid w:val="0009462F"/>
    <w:rsid w:val="00094783"/>
    <w:rsid w:val="00094B26"/>
    <w:rsid w:val="00095256"/>
    <w:rsid w:val="00096765"/>
    <w:rsid w:val="000967D6"/>
    <w:rsid w:val="000975EC"/>
    <w:rsid w:val="00097659"/>
    <w:rsid w:val="00097F69"/>
    <w:rsid w:val="000A0683"/>
    <w:rsid w:val="000A0C1A"/>
    <w:rsid w:val="000A1353"/>
    <w:rsid w:val="000A1504"/>
    <w:rsid w:val="000A1532"/>
    <w:rsid w:val="000A1AF1"/>
    <w:rsid w:val="000A23B8"/>
    <w:rsid w:val="000A28EF"/>
    <w:rsid w:val="000A2B94"/>
    <w:rsid w:val="000A4A35"/>
    <w:rsid w:val="000A4CF2"/>
    <w:rsid w:val="000A50D6"/>
    <w:rsid w:val="000A5E74"/>
    <w:rsid w:val="000A6D5D"/>
    <w:rsid w:val="000A7932"/>
    <w:rsid w:val="000B08AF"/>
    <w:rsid w:val="000B140C"/>
    <w:rsid w:val="000B1ADB"/>
    <w:rsid w:val="000B1F3E"/>
    <w:rsid w:val="000B286B"/>
    <w:rsid w:val="000B2B14"/>
    <w:rsid w:val="000B2DD8"/>
    <w:rsid w:val="000B33D7"/>
    <w:rsid w:val="000B3F52"/>
    <w:rsid w:val="000B4495"/>
    <w:rsid w:val="000B4D1B"/>
    <w:rsid w:val="000B4F70"/>
    <w:rsid w:val="000B5FBD"/>
    <w:rsid w:val="000B64BC"/>
    <w:rsid w:val="000B73F8"/>
    <w:rsid w:val="000B7DCE"/>
    <w:rsid w:val="000C05E6"/>
    <w:rsid w:val="000C0605"/>
    <w:rsid w:val="000C060C"/>
    <w:rsid w:val="000C1115"/>
    <w:rsid w:val="000C1165"/>
    <w:rsid w:val="000C13AA"/>
    <w:rsid w:val="000C30FE"/>
    <w:rsid w:val="000C316E"/>
    <w:rsid w:val="000C32F0"/>
    <w:rsid w:val="000C35BA"/>
    <w:rsid w:val="000C39EB"/>
    <w:rsid w:val="000C410D"/>
    <w:rsid w:val="000C46C6"/>
    <w:rsid w:val="000C4775"/>
    <w:rsid w:val="000C4834"/>
    <w:rsid w:val="000C4B67"/>
    <w:rsid w:val="000C4C3F"/>
    <w:rsid w:val="000C52F9"/>
    <w:rsid w:val="000C53BA"/>
    <w:rsid w:val="000C543E"/>
    <w:rsid w:val="000C5E43"/>
    <w:rsid w:val="000C6391"/>
    <w:rsid w:val="000C6A26"/>
    <w:rsid w:val="000C6DC4"/>
    <w:rsid w:val="000C72E7"/>
    <w:rsid w:val="000C7672"/>
    <w:rsid w:val="000C7B3C"/>
    <w:rsid w:val="000D0111"/>
    <w:rsid w:val="000D02AC"/>
    <w:rsid w:val="000D02ED"/>
    <w:rsid w:val="000D2906"/>
    <w:rsid w:val="000D2C3E"/>
    <w:rsid w:val="000D3083"/>
    <w:rsid w:val="000D5396"/>
    <w:rsid w:val="000D5940"/>
    <w:rsid w:val="000D5B32"/>
    <w:rsid w:val="000D6127"/>
    <w:rsid w:val="000D669C"/>
    <w:rsid w:val="000D6B08"/>
    <w:rsid w:val="000D6C1A"/>
    <w:rsid w:val="000D73B0"/>
    <w:rsid w:val="000D73E3"/>
    <w:rsid w:val="000D7596"/>
    <w:rsid w:val="000D788B"/>
    <w:rsid w:val="000E063D"/>
    <w:rsid w:val="000E0902"/>
    <w:rsid w:val="000E100A"/>
    <w:rsid w:val="000E1309"/>
    <w:rsid w:val="000E137A"/>
    <w:rsid w:val="000E1876"/>
    <w:rsid w:val="000E1D64"/>
    <w:rsid w:val="000E2865"/>
    <w:rsid w:val="000E2B3B"/>
    <w:rsid w:val="000E30E7"/>
    <w:rsid w:val="000E31B0"/>
    <w:rsid w:val="000E3A7B"/>
    <w:rsid w:val="000E3ECF"/>
    <w:rsid w:val="000E4010"/>
    <w:rsid w:val="000E416C"/>
    <w:rsid w:val="000E486D"/>
    <w:rsid w:val="000E4BD9"/>
    <w:rsid w:val="000E4EAF"/>
    <w:rsid w:val="000E54CF"/>
    <w:rsid w:val="000E5B23"/>
    <w:rsid w:val="000E5F8E"/>
    <w:rsid w:val="000E6335"/>
    <w:rsid w:val="000E73F6"/>
    <w:rsid w:val="000F0BF0"/>
    <w:rsid w:val="000F1191"/>
    <w:rsid w:val="000F1B66"/>
    <w:rsid w:val="000F232C"/>
    <w:rsid w:val="000F2480"/>
    <w:rsid w:val="000F2729"/>
    <w:rsid w:val="000F27B1"/>
    <w:rsid w:val="000F422B"/>
    <w:rsid w:val="000F5DF1"/>
    <w:rsid w:val="000F5E59"/>
    <w:rsid w:val="000F621F"/>
    <w:rsid w:val="000F689B"/>
    <w:rsid w:val="000F705A"/>
    <w:rsid w:val="000F7067"/>
    <w:rsid w:val="000F710E"/>
    <w:rsid w:val="000F714F"/>
    <w:rsid w:val="000F7456"/>
    <w:rsid w:val="000F7745"/>
    <w:rsid w:val="000F7A4F"/>
    <w:rsid w:val="001002D8"/>
    <w:rsid w:val="00100A2F"/>
    <w:rsid w:val="00102095"/>
    <w:rsid w:val="00102117"/>
    <w:rsid w:val="001030B2"/>
    <w:rsid w:val="00103524"/>
    <w:rsid w:val="00103FBE"/>
    <w:rsid w:val="001040B5"/>
    <w:rsid w:val="00104554"/>
    <w:rsid w:val="00104940"/>
    <w:rsid w:val="0010528A"/>
    <w:rsid w:val="0010562C"/>
    <w:rsid w:val="0010689C"/>
    <w:rsid w:val="001068ED"/>
    <w:rsid w:val="0010736C"/>
    <w:rsid w:val="00107E17"/>
    <w:rsid w:val="0011050D"/>
    <w:rsid w:val="0011052F"/>
    <w:rsid w:val="001109FA"/>
    <w:rsid w:val="00110B55"/>
    <w:rsid w:val="001122E8"/>
    <w:rsid w:val="00112350"/>
    <w:rsid w:val="00112E45"/>
    <w:rsid w:val="0011306E"/>
    <w:rsid w:val="001134F9"/>
    <w:rsid w:val="00114372"/>
    <w:rsid w:val="001156A4"/>
    <w:rsid w:val="001156BA"/>
    <w:rsid w:val="00115D6F"/>
    <w:rsid w:val="00116AB9"/>
    <w:rsid w:val="00117BD2"/>
    <w:rsid w:val="00117C0F"/>
    <w:rsid w:val="00120D97"/>
    <w:rsid w:val="00121230"/>
    <w:rsid w:val="0012133D"/>
    <w:rsid w:val="001215CD"/>
    <w:rsid w:val="00121964"/>
    <w:rsid w:val="001219B1"/>
    <w:rsid w:val="001219E6"/>
    <w:rsid w:val="00121F55"/>
    <w:rsid w:val="0012233D"/>
    <w:rsid w:val="00122832"/>
    <w:rsid w:val="001230AC"/>
    <w:rsid w:val="0012325D"/>
    <w:rsid w:val="00123BAB"/>
    <w:rsid w:val="001245D3"/>
    <w:rsid w:val="0012461A"/>
    <w:rsid w:val="00124937"/>
    <w:rsid w:val="00124C00"/>
    <w:rsid w:val="00124E44"/>
    <w:rsid w:val="0012545B"/>
    <w:rsid w:val="00125F6D"/>
    <w:rsid w:val="001260A7"/>
    <w:rsid w:val="0012690A"/>
    <w:rsid w:val="00127A4E"/>
    <w:rsid w:val="00127A5B"/>
    <w:rsid w:val="00130872"/>
    <w:rsid w:val="00130AB4"/>
    <w:rsid w:val="00131CDD"/>
    <w:rsid w:val="00132063"/>
    <w:rsid w:val="0013280A"/>
    <w:rsid w:val="00132ACD"/>
    <w:rsid w:val="00133251"/>
    <w:rsid w:val="0013430A"/>
    <w:rsid w:val="001343CE"/>
    <w:rsid w:val="00134661"/>
    <w:rsid w:val="001359A5"/>
    <w:rsid w:val="00135FD8"/>
    <w:rsid w:val="001361F9"/>
    <w:rsid w:val="00136B75"/>
    <w:rsid w:val="00136D51"/>
    <w:rsid w:val="00136E9C"/>
    <w:rsid w:val="00136F82"/>
    <w:rsid w:val="001377CC"/>
    <w:rsid w:val="00140228"/>
    <w:rsid w:val="0014023A"/>
    <w:rsid w:val="00141BBD"/>
    <w:rsid w:val="001421EC"/>
    <w:rsid w:val="001429F6"/>
    <w:rsid w:val="0014379A"/>
    <w:rsid w:val="0014389F"/>
    <w:rsid w:val="0014408F"/>
    <w:rsid w:val="00144164"/>
    <w:rsid w:val="00144914"/>
    <w:rsid w:val="00144955"/>
    <w:rsid w:val="00144E86"/>
    <w:rsid w:val="001455B5"/>
    <w:rsid w:val="00146071"/>
    <w:rsid w:val="0014609B"/>
    <w:rsid w:val="00146923"/>
    <w:rsid w:val="0014726A"/>
    <w:rsid w:val="00147469"/>
    <w:rsid w:val="001476B6"/>
    <w:rsid w:val="00150026"/>
    <w:rsid w:val="0015033B"/>
    <w:rsid w:val="0015070C"/>
    <w:rsid w:val="00150982"/>
    <w:rsid w:val="001509CC"/>
    <w:rsid w:val="00151D65"/>
    <w:rsid w:val="001526E8"/>
    <w:rsid w:val="001528AC"/>
    <w:rsid w:val="00152C62"/>
    <w:rsid w:val="00152EF0"/>
    <w:rsid w:val="00153B60"/>
    <w:rsid w:val="00154C7C"/>
    <w:rsid w:val="0015529A"/>
    <w:rsid w:val="001555C7"/>
    <w:rsid w:val="001559D3"/>
    <w:rsid w:val="00155E57"/>
    <w:rsid w:val="001564EB"/>
    <w:rsid w:val="00156E42"/>
    <w:rsid w:val="00157608"/>
    <w:rsid w:val="00157625"/>
    <w:rsid w:val="00157950"/>
    <w:rsid w:val="00157956"/>
    <w:rsid w:val="00157C5F"/>
    <w:rsid w:val="00160CB6"/>
    <w:rsid w:val="0016126B"/>
    <w:rsid w:val="001613D1"/>
    <w:rsid w:val="0016153C"/>
    <w:rsid w:val="00161DCA"/>
    <w:rsid w:val="00162181"/>
    <w:rsid w:val="00162AD4"/>
    <w:rsid w:val="00162AF9"/>
    <w:rsid w:val="00163595"/>
    <w:rsid w:val="00163661"/>
    <w:rsid w:val="00163FF1"/>
    <w:rsid w:val="001645F7"/>
    <w:rsid w:val="00164B23"/>
    <w:rsid w:val="00165B85"/>
    <w:rsid w:val="0016741C"/>
    <w:rsid w:val="00167617"/>
    <w:rsid w:val="00167941"/>
    <w:rsid w:val="00170F7F"/>
    <w:rsid w:val="0017102A"/>
    <w:rsid w:val="00171378"/>
    <w:rsid w:val="00171756"/>
    <w:rsid w:val="0017187C"/>
    <w:rsid w:val="00171B2E"/>
    <w:rsid w:val="00172E17"/>
    <w:rsid w:val="00173912"/>
    <w:rsid w:val="00174490"/>
    <w:rsid w:val="00174D29"/>
    <w:rsid w:val="00174FBB"/>
    <w:rsid w:val="0017532C"/>
    <w:rsid w:val="00176E77"/>
    <w:rsid w:val="001775D9"/>
    <w:rsid w:val="00177767"/>
    <w:rsid w:val="0018030D"/>
    <w:rsid w:val="00180443"/>
    <w:rsid w:val="001804AC"/>
    <w:rsid w:val="00180A59"/>
    <w:rsid w:val="00180E9B"/>
    <w:rsid w:val="00181EEF"/>
    <w:rsid w:val="001833ED"/>
    <w:rsid w:val="00184C85"/>
    <w:rsid w:val="00184FC4"/>
    <w:rsid w:val="00185737"/>
    <w:rsid w:val="001875A7"/>
    <w:rsid w:val="001876CC"/>
    <w:rsid w:val="00190645"/>
    <w:rsid w:val="0019117E"/>
    <w:rsid w:val="001912D7"/>
    <w:rsid w:val="00192649"/>
    <w:rsid w:val="00192CCA"/>
    <w:rsid w:val="00193970"/>
    <w:rsid w:val="00193DD9"/>
    <w:rsid w:val="00193E4D"/>
    <w:rsid w:val="001947F3"/>
    <w:rsid w:val="00194A6A"/>
    <w:rsid w:val="00195636"/>
    <w:rsid w:val="00196255"/>
    <w:rsid w:val="00196EB8"/>
    <w:rsid w:val="001977D9"/>
    <w:rsid w:val="001979D0"/>
    <w:rsid w:val="00197A2B"/>
    <w:rsid w:val="00197D2F"/>
    <w:rsid w:val="001A0246"/>
    <w:rsid w:val="001A0D33"/>
    <w:rsid w:val="001A150D"/>
    <w:rsid w:val="001A1553"/>
    <w:rsid w:val="001A1A65"/>
    <w:rsid w:val="001A1C4F"/>
    <w:rsid w:val="001A2D34"/>
    <w:rsid w:val="001A38AF"/>
    <w:rsid w:val="001A3C09"/>
    <w:rsid w:val="001A469C"/>
    <w:rsid w:val="001A4CC5"/>
    <w:rsid w:val="001A4E0F"/>
    <w:rsid w:val="001A4EBA"/>
    <w:rsid w:val="001A573C"/>
    <w:rsid w:val="001A5BFF"/>
    <w:rsid w:val="001A5C3B"/>
    <w:rsid w:val="001A5DF1"/>
    <w:rsid w:val="001A6244"/>
    <w:rsid w:val="001A6AE4"/>
    <w:rsid w:val="001A6F99"/>
    <w:rsid w:val="001A779A"/>
    <w:rsid w:val="001A7FFD"/>
    <w:rsid w:val="001B0A3F"/>
    <w:rsid w:val="001B101D"/>
    <w:rsid w:val="001B1253"/>
    <w:rsid w:val="001B2734"/>
    <w:rsid w:val="001B2818"/>
    <w:rsid w:val="001B2DB6"/>
    <w:rsid w:val="001B5FF2"/>
    <w:rsid w:val="001B6273"/>
    <w:rsid w:val="001B65FE"/>
    <w:rsid w:val="001B69C3"/>
    <w:rsid w:val="001B72BC"/>
    <w:rsid w:val="001C0228"/>
    <w:rsid w:val="001C0DCD"/>
    <w:rsid w:val="001C0DF9"/>
    <w:rsid w:val="001C1D2B"/>
    <w:rsid w:val="001C1E92"/>
    <w:rsid w:val="001C201C"/>
    <w:rsid w:val="001C22AC"/>
    <w:rsid w:val="001C26B6"/>
    <w:rsid w:val="001C3B2B"/>
    <w:rsid w:val="001C3CA1"/>
    <w:rsid w:val="001C3DC0"/>
    <w:rsid w:val="001C3FC1"/>
    <w:rsid w:val="001C502A"/>
    <w:rsid w:val="001C512C"/>
    <w:rsid w:val="001C5134"/>
    <w:rsid w:val="001C5220"/>
    <w:rsid w:val="001C5A99"/>
    <w:rsid w:val="001C5E63"/>
    <w:rsid w:val="001C634B"/>
    <w:rsid w:val="001C6D9E"/>
    <w:rsid w:val="001C7B95"/>
    <w:rsid w:val="001D0A70"/>
    <w:rsid w:val="001D15C8"/>
    <w:rsid w:val="001D1C7B"/>
    <w:rsid w:val="001D2106"/>
    <w:rsid w:val="001D3337"/>
    <w:rsid w:val="001D3744"/>
    <w:rsid w:val="001D5055"/>
    <w:rsid w:val="001D5AA9"/>
    <w:rsid w:val="001D63A6"/>
    <w:rsid w:val="001D6D3E"/>
    <w:rsid w:val="001D7462"/>
    <w:rsid w:val="001D7A67"/>
    <w:rsid w:val="001D7BB9"/>
    <w:rsid w:val="001E0149"/>
    <w:rsid w:val="001E025C"/>
    <w:rsid w:val="001E0435"/>
    <w:rsid w:val="001E08BA"/>
    <w:rsid w:val="001E0CC5"/>
    <w:rsid w:val="001E0DA9"/>
    <w:rsid w:val="001E179A"/>
    <w:rsid w:val="001E3603"/>
    <w:rsid w:val="001E3906"/>
    <w:rsid w:val="001E3E00"/>
    <w:rsid w:val="001E3ED9"/>
    <w:rsid w:val="001E4508"/>
    <w:rsid w:val="001E48AA"/>
    <w:rsid w:val="001E516E"/>
    <w:rsid w:val="001E55BE"/>
    <w:rsid w:val="001E59DF"/>
    <w:rsid w:val="001E5FC0"/>
    <w:rsid w:val="001E681A"/>
    <w:rsid w:val="001E6BA5"/>
    <w:rsid w:val="001E72A4"/>
    <w:rsid w:val="001E7645"/>
    <w:rsid w:val="001E7984"/>
    <w:rsid w:val="001F08E8"/>
    <w:rsid w:val="001F0AC1"/>
    <w:rsid w:val="001F0E8B"/>
    <w:rsid w:val="001F1750"/>
    <w:rsid w:val="001F183D"/>
    <w:rsid w:val="001F29B3"/>
    <w:rsid w:val="001F39B0"/>
    <w:rsid w:val="001F4A15"/>
    <w:rsid w:val="001F4AA9"/>
    <w:rsid w:val="001F4B2B"/>
    <w:rsid w:val="001F5086"/>
    <w:rsid w:val="001F62EC"/>
    <w:rsid w:val="0020010B"/>
    <w:rsid w:val="0020044A"/>
    <w:rsid w:val="00200E30"/>
    <w:rsid w:val="00200F73"/>
    <w:rsid w:val="00201115"/>
    <w:rsid w:val="0020154C"/>
    <w:rsid w:val="00201C2D"/>
    <w:rsid w:val="00201CCE"/>
    <w:rsid w:val="00202CAC"/>
    <w:rsid w:val="002040AD"/>
    <w:rsid w:val="002043FA"/>
    <w:rsid w:val="0020445D"/>
    <w:rsid w:val="00204897"/>
    <w:rsid w:val="00204B7F"/>
    <w:rsid w:val="00204DB9"/>
    <w:rsid w:val="00206222"/>
    <w:rsid w:val="00206AF4"/>
    <w:rsid w:val="00206E3E"/>
    <w:rsid w:val="0020722C"/>
    <w:rsid w:val="002076E6"/>
    <w:rsid w:val="0020780E"/>
    <w:rsid w:val="00210BF6"/>
    <w:rsid w:val="00210D6E"/>
    <w:rsid w:val="002111FE"/>
    <w:rsid w:val="00211297"/>
    <w:rsid w:val="0021242B"/>
    <w:rsid w:val="002124BB"/>
    <w:rsid w:val="00213F7D"/>
    <w:rsid w:val="00214086"/>
    <w:rsid w:val="002146EB"/>
    <w:rsid w:val="00214A60"/>
    <w:rsid w:val="002157FD"/>
    <w:rsid w:val="002163BF"/>
    <w:rsid w:val="002165C3"/>
    <w:rsid w:val="00216B49"/>
    <w:rsid w:val="00217B66"/>
    <w:rsid w:val="00221333"/>
    <w:rsid w:val="002217FF"/>
    <w:rsid w:val="0022183A"/>
    <w:rsid w:val="002227A1"/>
    <w:rsid w:val="002227EE"/>
    <w:rsid w:val="00222B8F"/>
    <w:rsid w:val="00223560"/>
    <w:rsid w:val="00223E51"/>
    <w:rsid w:val="002247C5"/>
    <w:rsid w:val="00224CBF"/>
    <w:rsid w:val="00224D65"/>
    <w:rsid w:val="0022544B"/>
    <w:rsid w:val="002255FF"/>
    <w:rsid w:val="0022585B"/>
    <w:rsid w:val="002267A8"/>
    <w:rsid w:val="002275CE"/>
    <w:rsid w:val="002275E6"/>
    <w:rsid w:val="00227AA5"/>
    <w:rsid w:val="00227AB5"/>
    <w:rsid w:val="00227AF5"/>
    <w:rsid w:val="00227CEE"/>
    <w:rsid w:val="002307AC"/>
    <w:rsid w:val="00230941"/>
    <w:rsid w:val="0023127F"/>
    <w:rsid w:val="00231712"/>
    <w:rsid w:val="002326BA"/>
    <w:rsid w:val="00232B0C"/>
    <w:rsid w:val="00232D94"/>
    <w:rsid w:val="0023356C"/>
    <w:rsid w:val="002340D2"/>
    <w:rsid w:val="0023428C"/>
    <w:rsid w:val="00235AE7"/>
    <w:rsid w:val="00236292"/>
    <w:rsid w:val="00236493"/>
    <w:rsid w:val="002364CA"/>
    <w:rsid w:val="00236716"/>
    <w:rsid w:val="00236811"/>
    <w:rsid w:val="00236B24"/>
    <w:rsid w:val="00236ECA"/>
    <w:rsid w:val="00237007"/>
    <w:rsid w:val="002374C5"/>
    <w:rsid w:val="00240A6D"/>
    <w:rsid w:val="00240BB4"/>
    <w:rsid w:val="0024142B"/>
    <w:rsid w:val="00241700"/>
    <w:rsid w:val="002425CD"/>
    <w:rsid w:val="00242740"/>
    <w:rsid w:val="00242E25"/>
    <w:rsid w:val="00242FC4"/>
    <w:rsid w:val="0024319C"/>
    <w:rsid w:val="0024357B"/>
    <w:rsid w:val="0024406C"/>
    <w:rsid w:val="00244DD2"/>
    <w:rsid w:val="00245C92"/>
    <w:rsid w:val="00245D49"/>
    <w:rsid w:val="00245E6B"/>
    <w:rsid w:val="00246206"/>
    <w:rsid w:val="0024788F"/>
    <w:rsid w:val="00247C85"/>
    <w:rsid w:val="00247FC9"/>
    <w:rsid w:val="002504DD"/>
    <w:rsid w:val="002509EA"/>
    <w:rsid w:val="00251BE3"/>
    <w:rsid w:val="00252E90"/>
    <w:rsid w:val="00254708"/>
    <w:rsid w:val="00254D85"/>
    <w:rsid w:val="00255264"/>
    <w:rsid w:val="002556C6"/>
    <w:rsid w:val="00255812"/>
    <w:rsid w:val="00256650"/>
    <w:rsid w:val="00256D37"/>
    <w:rsid w:val="002573A7"/>
    <w:rsid w:val="0025787A"/>
    <w:rsid w:val="00257AA8"/>
    <w:rsid w:val="002602AB"/>
    <w:rsid w:val="002608B4"/>
    <w:rsid w:val="002614B8"/>
    <w:rsid w:val="00261811"/>
    <w:rsid w:val="00261C27"/>
    <w:rsid w:val="0026217F"/>
    <w:rsid w:val="002623FC"/>
    <w:rsid w:val="00263018"/>
    <w:rsid w:val="00263B9A"/>
    <w:rsid w:val="00266262"/>
    <w:rsid w:val="00266AA7"/>
    <w:rsid w:val="00266D41"/>
    <w:rsid w:val="00267BCB"/>
    <w:rsid w:val="002701A4"/>
    <w:rsid w:val="002702EB"/>
    <w:rsid w:val="00270F89"/>
    <w:rsid w:val="00271098"/>
    <w:rsid w:val="002738C4"/>
    <w:rsid w:val="002748CB"/>
    <w:rsid w:val="00274FB1"/>
    <w:rsid w:val="0027556C"/>
    <w:rsid w:val="002764DE"/>
    <w:rsid w:val="0027673A"/>
    <w:rsid w:val="0027685A"/>
    <w:rsid w:val="002768AE"/>
    <w:rsid w:val="00276906"/>
    <w:rsid w:val="00276B30"/>
    <w:rsid w:val="00276CEF"/>
    <w:rsid w:val="00277A54"/>
    <w:rsid w:val="00280320"/>
    <w:rsid w:val="0028035D"/>
    <w:rsid w:val="00280C21"/>
    <w:rsid w:val="00280DFC"/>
    <w:rsid w:val="00281066"/>
    <w:rsid w:val="00282882"/>
    <w:rsid w:val="00282B64"/>
    <w:rsid w:val="002830F8"/>
    <w:rsid w:val="002846BD"/>
    <w:rsid w:val="0028495E"/>
    <w:rsid w:val="00284A2C"/>
    <w:rsid w:val="00284FE2"/>
    <w:rsid w:val="0028578B"/>
    <w:rsid w:val="002859E9"/>
    <w:rsid w:val="00285A53"/>
    <w:rsid w:val="00285F5F"/>
    <w:rsid w:val="002866E3"/>
    <w:rsid w:val="0028677F"/>
    <w:rsid w:val="002869B2"/>
    <w:rsid w:val="00286C1F"/>
    <w:rsid w:val="00286DBD"/>
    <w:rsid w:val="00287859"/>
    <w:rsid w:val="0028795C"/>
    <w:rsid w:val="00287B4F"/>
    <w:rsid w:val="002900BF"/>
    <w:rsid w:val="00290646"/>
    <w:rsid w:val="0029109C"/>
    <w:rsid w:val="002910BC"/>
    <w:rsid w:val="002912E0"/>
    <w:rsid w:val="0029150B"/>
    <w:rsid w:val="00291DC8"/>
    <w:rsid w:val="002932C1"/>
    <w:rsid w:val="00293747"/>
    <w:rsid w:val="00293945"/>
    <w:rsid w:val="00293B44"/>
    <w:rsid w:val="00293CC7"/>
    <w:rsid w:val="002942EF"/>
    <w:rsid w:val="002948B2"/>
    <w:rsid w:val="00294CB0"/>
    <w:rsid w:val="002951C2"/>
    <w:rsid w:val="00295211"/>
    <w:rsid w:val="00296662"/>
    <w:rsid w:val="002968EB"/>
    <w:rsid w:val="00296B25"/>
    <w:rsid w:val="00296C47"/>
    <w:rsid w:val="00296C81"/>
    <w:rsid w:val="002A0236"/>
    <w:rsid w:val="002A0962"/>
    <w:rsid w:val="002A09DB"/>
    <w:rsid w:val="002A0E11"/>
    <w:rsid w:val="002A24CE"/>
    <w:rsid w:val="002A25CB"/>
    <w:rsid w:val="002A2719"/>
    <w:rsid w:val="002A2D40"/>
    <w:rsid w:val="002A3C87"/>
    <w:rsid w:val="002A462D"/>
    <w:rsid w:val="002A47E4"/>
    <w:rsid w:val="002A61D5"/>
    <w:rsid w:val="002A62A3"/>
    <w:rsid w:val="002A6C0E"/>
    <w:rsid w:val="002A6E31"/>
    <w:rsid w:val="002A6FA0"/>
    <w:rsid w:val="002A76A8"/>
    <w:rsid w:val="002A7F14"/>
    <w:rsid w:val="002B007A"/>
    <w:rsid w:val="002B0086"/>
    <w:rsid w:val="002B04CE"/>
    <w:rsid w:val="002B08B3"/>
    <w:rsid w:val="002B0AC4"/>
    <w:rsid w:val="002B0E77"/>
    <w:rsid w:val="002B1ED4"/>
    <w:rsid w:val="002B223C"/>
    <w:rsid w:val="002B258C"/>
    <w:rsid w:val="002B2C7D"/>
    <w:rsid w:val="002B3319"/>
    <w:rsid w:val="002B345B"/>
    <w:rsid w:val="002B3A8C"/>
    <w:rsid w:val="002B3F89"/>
    <w:rsid w:val="002B4558"/>
    <w:rsid w:val="002B51D0"/>
    <w:rsid w:val="002B5313"/>
    <w:rsid w:val="002B5F91"/>
    <w:rsid w:val="002B7882"/>
    <w:rsid w:val="002B78BE"/>
    <w:rsid w:val="002B79A3"/>
    <w:rsid w:val="002B79FE"/>
    <w:rsid w:val="002C096D"/>
    <w:rsid w:val="002C0CA8"/>
    <w:rsid w:val="002C0CB9"/>
    <w:rsid w:val="002C11D3"/>
    <w:rsid w:val="002C1A87"/>
    <w:rsid w:val="002C1FFB"/>
    <w:rsid w:val="002C207E"/>
    <w:rsid w:val="002C296C"/>
    <w:rsid w:val="002C3599"/>
    <w:rsid w:val="002C41C0"/>
    <w:rsid w:val="002C424C"/>
    <w:rsid w:val="002C477E"/>
    <w:rsid w:val="002C4B5A"/>
    <w:rsid w:val="002C4F87"/>
    <w:rsid w:val="002C50D4"/>
    <w:rsid w:val="002C518F"/>
    <w:rsid w:val="002C575D"/>
    <w:rsid w:val="002C5901"/>
    <w:rsid w:val="002C75FE"/>
    <w:rsid w:val="002D0028"/>
    <w:rsid w:val="002D035E"/>
    <w:rsid w:val="002D0945"/>
    <w:rsid w:val="002D0FC1"/>
    <w:rsid w:val="002D11AF"/>
    <w:rsid w:val="002D1922"/>
    <w:rsid w:val="002D2B6F"/>
    <w:rsid w:val="002D3570"/>
    <w:rsid w:val="002D4CCB"/>
    <w:rsid w:val="002D4F54"/>
    <w:rsid w:val="002D51FE"/>
    <w:rsid w:val="002D539E"/>
    <w:rsid w:val="002D5522"/>
    <w:rsid w:val="002D5A20"/>
    <w:rsid w:val="002D6250"/>
    <w:rsid w:val="002D7B9C"/>
    <w:rsid w:val="002E013D"/>
    <w:rsid w:val="002E02AB"/>
    <w:rsid w:val="002E0940"/>
    <w:rsid w:val="002E0B1E"/>
    <w:rsid w:val="002E1E99"/>
    <w:rsid w:val="002E25BC"/>
    <w:rsid w:val="002E2684"/>
    <w:rsid w:val="002E2E5E"/>
    <w:rsid w:val="002E3918"/>
    <w:rsid w:val="002E465B"/>
    <w:rsid w:val="002E4CFE"/>
    <w:rsid w:val="002E5209"/>
    <w:rsid w:val="002E5A98"/>
    <w:rsid w:val="002E5F96"/>
    <w:rsid w:val="002E6053"/>
    <w:rsid w:val="002E66AA"/>
    <w:rsid w:val="002E6EDA"/>
    <w:rsid w:val="002F0141"/>
    <w:rsid w:val="002F02F9"/>
    <w:rsid w:val="002F0697"/>
    <w:rsid w:val="002F10FE"/>
    <w:rsid w:val="002F140E"/>
    <w:rsid w:val="002F1512"/>
    <w:rsid w:val="002F1A45"/>
    <w:rsid w:val="002F1EF0"/>
    <w:rsid w:val="002F3648"/>
    <w:rsid w:val="002F40B4"/>
    <w:rsid w:val="002F41BF"/>
    <w:rsid w:val="002F4EC1"/>
    <w:rsid w:val="002F503C"/>
    <w:rsid w:val="002F63CF"/>
    <w:rsid w:val="003008D6"/>
    <w:rsid w:val="00300FFD"/>
    <w:rsid w:val="00301637"/>
    <w:rsid w:val="00301D0F"/>
    <w:rsid w:val="0030270D"/>
    <w:rsid w:val="00302A01"/>
    <w:rsid w:val="0030306B"/>
    <w:rsid w:val="00303C2A"/>
    <w:rsid w:val="00303E8C"/>
    <w:rsid w:val="003045CB"/>
    <w:rsid w:val="0030519C"/>
    <w:rsid w:val="00305529"/>
    <w:rsid w:val="00305756"/>
    <w:rsid w:val="003063B4"/>
    <w:rsid w:val="00306AF3"/>
    <w:rsid w:val="00306C98"/>
    <w:rsid w:val="00307579"/>
    <w:rsid w:val="0030761A"/>
    <w:rsid w:val="003077AD"/>
    <w:rsid w:val="003078AE"/>
    <w:rsid w:val="00307FC9"/>
    <w:rsid w:val="00310806"/>
    <w:rsid w:val="00310F8A"/>
    <w:rsid w:val="00311335"/>
    <w:rsid w:val="00311409"/>
    <w:rsid w:val="003114B9"/>
    <w:rsid w:val="0031197A"/>
    <w:rsid w:val="00311D9F"/>
    <w:rsid w:val="00312642"/>
    <w:rsid w:val="00312728"/>
    <w:rsid w:val="00312AD4"/>
    <w:rsid w:val="00312BFD"/>
    <w:rsid w:val="00313E57"/>
    <w:rsid w:val="00313F5C"/>
    <w:rsid w:val="00314DAB"/>
    <w:rsid w:val="00314FBB"/>
    <w:rsid w:val="00315369"/>
    <w:rsid w:val="003159CD"/>
    <w:rsid w:val="00316B0E"/>
    <w:rsid w:val="00316E5D"/>
    <w:rsid w:val="003172DE"/>
    <w:rsid w:val="00317F0E"/>
    <w:rsid w:val="00317F74"/>
    <w:rsid w:val="00320306"/>
    <w:rsid w:val="003205CA"/>
    <w:rsid w:val="00320A6C"/>
    <w:rsid w:val="00320DAE"/>
    <w:rsid w:val="00321429"/>
    <w:rsid w:val="0032146F"/>
    <w:rsid w:val="003214E5"/>
    <w:rsid w:val="0032236E"/>
    <w:rsid w:val="003228B1"/>
    <w:rsid w:val="0032311D"/>
    <w:rsid w:val="003231CB"/>
    <w:rsid w:val="003241A9"/>
    <w:rsid w:val="003244FC"/>
    <w:rsid w:val="003248E8"/>
    <w:rsid w:val="00325465"/>
    <w:rsid w:val="003259F3"/>
    <w:rsid w:val="00325E47"/>
    <w:rsid w:val="0032622A"/>
    <w:rsid w:val="00326244"/>
    <w:rsid w:val="003262E1"/>
    <w:rsid w:val="00326FBF"/>
    <w:rsid w:val="003276B5"/>
    <w:rsid w:val="00330379"/>
    <w:rsid w:val="003312D1"/>
    <w:rsid w:val="00331332"/>
    <w:rsid w:val="00331518"/>
    <w:rsid w:val="003333B0"/>
    <w:rsid w:val="00334A6F"/>
    <w:rsid w:val="00334CBC"/>
    <w:rsid w:val="00334CFF"/>
    <w:rsid w:val="003350CE"/>
    <w:rsid w:val="00336157"/>
    <w:rsid w:val="003378BA"/>
    <w:rsid w:val="0034037B"/>
    <w:rsid w:val="00340E41"/>
    <w:rsid w:val="0034163F"/>
    <w:rsid w:val="00341BD7"/>
    <w:rsid w:val="0034247C"/>
    <w:rsid w:val="003429E2"/>
    <w:rsid w:val="00342D4C"/>
    <w:rsid w:val="003430D1"/>
    <w:rsid w:val="0034464C"/>
    <w:rsid w:val="00344F55"/>
    <w:rsid w:val="003450A8"/>
    <w:rsid w:val="00345437"/>
    <w:rsid w:val="003471EC"/>
    <w:rsid w:val="00347A81"/>
    <w:rsid w:val="0035012C"/>
    <w:rsid w:val="0035034C"/>
    <w:rsid w:val="00350A7D"/>
    <w:rsid w:val="00350C09"/>
    <w:rsid w:val="00350D53"/>
    <w:rsid w:val="0035158B"/>
    <w:rsid w:val="00351D5F"/>
    <w:rsid w:val="00353057"/>
    <w:rsid w:val="00354390"/>
    <w:rsid w:val="00354724"/>
    <w:rsid w:val="00354B24"/>
    <w:rsid w:val="00354E34"/>
    <w:rsid w:val="0035544A"/>
    <w:rsid w:val="0035604C"/>
    <w:rsid w:val="003574B2"/>
    <w:rsid w:val="003579B2"/>
    <w:rsid w:val="003579FD"/>
    <w:rsid w:val="00357B0C"/>
    <w:rsid w:val="00360B5C"/>
    <w:rsid w:val="003625F4"/>
    <w:rsid w:val="003627EC"/>
    <w:rsid w:val="0036531F"/>
    <w:rsid w:val="00365983"/>
    <w:rsid w:val="00365A3E"/>
    <w:rsid w:val="00365E01"/>
    <w:rsid w:val="003660C7"/>
    <w:rsid w:val="003664CC"/>
    <w:rsid w:val="0036691D"/>
    <w:rsid w:val="00366F37"/>
    <w:rsid w:val="00367151"/>
    <w:rsid w:val="00367211"/>
    <w:rsid w:val="00367B2F"/>
    <w:rsid w:val="00370E71"/>
    <w:rsid w:val="00371491"/>
    <w:rsid w:val="00371529"/>
    <w:rsid w:val="0037162B"/>
    <w:rsid w:val="00371726"/>
    <w:rsid w:val="0037195F"/>
    <w:rsid w:val="00371969"/>
    <w:rsid w:val="00372086"/>
    <w:rsid w:val="00372307"/>
    <w:rsid w:val="003724A4"/>
    <w:rsid w:val="00373053"/>
    <w:rsid w:val="0037340C"/>
    <w:rsid w:val="00373E4D"/>
    <w:rsid w:val="0037495C"/>
    <w:rsid w:val="00375423"/>
    <w:rsid w:val="003761FC"/>
    <w:rsid w:val="00376617"/>
    <w:rsid w:val="00377985"/>
    <w:rsid w:val="00380D2E"/>
    <w:rsid w:val="00381ADC"/>
    <w:rsid w:val="00382C80"/>
    <w:rsid w:val="003836BD"/>
    <w:rsid w:val="00383DA3"/>
    <w:rsid w:val="00383EFE"/>
    <w:rsid w:val="003840BE"/>
    <w:rsid w:val="0038513D"/>
    <w:rsid w:val="00385A46"/>
    <w:rsid w:val="00386007"/>
    <w:rsid w:val="00386F2A"/>
    <w:rsid w:val="00386FD4"/>
    <w:rsid w:val="003907A2"/>
    <w:rsid w:val="003917D7"/>
    <w:rsid w:val="00391AC0"/>
    <w:rsid w:val="00391BCC"/>
    <w:rsid w:val="00391ED8"/>
    <w:rsid w:val="003925B2"/>
    <w:rsid w:val="00392DC1"/>
    <w:rsid w:val="00393BF1"/>
    <w:rsid w:val="00394C5F"/>
    <w:rsid w:val="00394DAE"/>
    <w:rsid w:val="00395753"/>
    <w:rsid w:val="003963E8"/>
    <w:rsid w:val="00396BE9"/>
    <w:rsid w:val="00396F5B"/>
    <w:rsid w:val="00397B56"/>
    <w:rsid w:val="003A11C9"/>
    <w:rsid w:val="003A13CD"/>
    <w:rsid w:val="003A1BEA"/>
    <w:rsid w:val="003A2181"/>
    <w:rsid w:val="003A28DE"/>
    <w:rsid w:val="003A2A71"/>
    <w:rsid w:val="003A3622"/>
    <w:rsid w:val="003A3754"/>
    <w:rsid w:val="003A4740"/>
    <w:rsid w:val="003A4934"/>
    <w:rsid w:val="003A4BC4"/>
    <w:rsid w:val="003A4DA3"/>
    <w:rsid w:val="003A6595"/>
    <w:rsid w:val="003A7493"/>
    <w:rsid w:val="003A7B44"/>
    <w:rsid w:val="003A7DF3"/>
    <w:rsid w:val="003B0831"/>
    <w:rsid w:val="003B1026"/>
    <w:rsid w:val="003B222D"/>
    <w:rsid w:val="003B2653"/>
    <w:rsid w:val="003B2957"/>
    <w:rsid w:val="003B2AFE"/>
    <w:rsid w:val="003B354F"/>
    <w:rsid w:val="003B35B9"/>
    <w:rsid w:val="003B4019"/>
    <w:rsid w:val="003B4EDC"/>
    <w:rsid w:val="003B59B6"/>
    <w:rsid w:val="003B6065"/>
    <w:rsid w:val="003B6239"/>
    <w:rsid w:val="003B6610"/>
    <w:rsid w:val="003B71C4"/>
    <w:rsid w:val="003B71D5"/>
    <w:rsid w:val="003C0FA0"/>
    <w:rsid w:val="003C1254"/>
    <w:rsid w:val="003C12CE"/>
    <w:rsid w:val="003C1C84"/>
    <w:rsid w:val="003C4087"/>
    <w:rsid w:val="003C46F2"/>
    <w:rsid w:val="003C4D61"/>
    <w:rsid w:val="003C4E4D"/>
    <w:rsid w:val="003C5A3F"/>
    <w:rsid w:val="003C5E18"/>
    <w:rsid w:val="003C5FDD"/>
    <w:rsid w:val="003C62DA"/>
    <w:rsid w:val="003C6416"/>
    <w:rsid w:val="003C6B18"/>
    <w:rsid w:val="003D08BC"/>
    <w:rsid w:val="003D0E12"/>
    <w:rsid w:val="003D1097"/>
    <w:rsid w:val="003D2040"/>
    <w:rsid w:val="003D274B"/>
    <w:rsid w:val="003D2803"/>
    <w:rsid w:val="003D34DB"/>
    <w:rsid w:val="003D3AA3"/>
    <w:rsid w:val="003D3EDF"/>
    <w:rsid w:val="003D4226"/>
    <w:rsid w:val="003D47AF"/>
    <w:rsid w:val="003D4BD7"/>
    <w:rsid w:val="003D4F90"/>
    <w:rsid w:val="003D5519"/>
    <w:rsid w:val="003D5E1B"/>
    <w:rsid w:val="003D6679"/>
    <w:rsid w:val="003D700C"/>
    <w:rsid w:val="003D7675"/>
    <w:rsid w:val="003E0034"/>
    <w:rsid w:val="003E019D"/>
    <w:rsid w:val="003E1520"/>
    <w:rsid w:val="003E186E"/>
    <w:rsid w:val="003E1D03"/>
    <w:rsid w:val="003E24C3"/>
    <w:rsid w:val="003E2748"/>
    <w:rsid w:val="003E34CB"/>
    <w:rsid w:val="003E385B"/>
    <w:rsid w:val="003E453E"/>
    <w:rsid w:val="003E49C5"/>
    <w:rsid w:val="003E4A8E"/>
    <w:rsid w:val="003E4C31"/>
    <w:rsid w:val="003E4EEE"/>
    <w:rsid w:val="003E544C"/>
    <w:rsid w:val="003E5EA2"/>
    <w:rsid w:val="003E60CD"/>
    <w:rsid w:val="003E6309"/>
    <w:rsid w:val="003E71D2"/>
    <w:rsid w:val="003E74C9"/>
    <w:rsid w:val="003E7BDE"/>
    <w:rsid w:val="003F11E7"/>
    <w:rsid w:val="003F15DD"/>
    <w:rsid w:val="003F1EA8"/>
    <w:rsid w:val="003F1ECE"/>
    <w:rsid w:val="003F22E9"/>
    <w:rsid w:val="003F2EE1"/>
    <w:rsid w:val="003F30F6"/>
    <w:rsid w:val="003F311C"/>
    <w:rsid w:val="003F410B"/>
    <w:rsid w:val="003F483D"/>
    <w:rsid w:val="003F4E49"/>
    <w:rsid w:val="003F5C63"/>
    <w:rsid w:val="003F6F65"/>
    <w:rsid w:val="003F7471"/>
    <w:rsid w:val="003F75BB"/>
    <w:rsid w:val="003F782D"/>
    <w:rsid w:val="003F7A41"/>
    <w:rsid w:val="003F7B1B"/>
    <w:rsid w:val="0040023F"/>
    <w:rsid w:val="004004A2"/>
    <w:rsid w:val="0040059D"/>
    <w:rsid w:val="00400C89"/>
    <w:rsid w:val="004012ED"/>
    <w:rsid w:val="004019D6"/>
    <w:rsid w:val="00402094"/>
    <w:rsid w:val="0040268C"/>
    <w:rsid w:val="00402D98"/>
    <w:rsid w:val="00403006"/>
    <w:rsid w:val="00404020"/>
    <w:rsid w:val="00404A68"/>
    <w:rsid w:val="00405971"/>
    <w:rsid w:val="004059C7"/>
    <w:rsid w:val="00406EF0"/>
    <w:rsid w:val="004072F4"/>
    <w:rsid w:val="00407822"/>
    <w:rsid w:val="004078C7"/>
    <w:rsid w:val="00407C85"/>
    <w:rsid w:val="00407D7C"/>
    <w:rsid w:val="00407EE4"/>
    <w:rsid w:val="0041031D"/>
    <w:rsid w:val="004105A8"/>
    <w:rsid w:val="00412086"/>
    <w:rsid w:val="00412129"/>
    <w:rsid w:val="0041324F"/>
    <w:rsid w:val="00413847"/>
    <w:rsid w:val="00413A4D"/>
    <w:rsid w:val="00413C75"/>
    <w:rsid w:val="00413D32"/>
    <w:rsid w:val="004147B3"/>
    <w:rsid w:val="004153F4"/>
    <w:rsid w:val="00415408"/>
    <w:rsid w:val="00415A66"/>
    <w:rsid w:val="00415E54"/>
    <w:rsid w:val="0041755B"/>
    <w:rsid w:val="0042114E"/>
    <w:rsid w:val="00421827"/>
    <w:rsid w:val="00422BC2"/>
    <w:rsid w:val="00423330"/>
    <w:rsid w:val="00423A72"/>
    <w:rsid w:val="004242B3"/>
    <w:rsid w:val="004244D1"/>
    <w:rsid w:val="004246A5"/>
    <w:rsid w:val="00424AFB"/>
    <w:rsid w:val="00424E76"/>
    <w:rsid w:val="00427242"/>
    <w:rsid w:val="00427247"/>
    <w:rsid w:val="004301A5"/>
    <w:rsid w:val="0043051C"/>
    <w:rsid w:val="00430751"/>
    <w:rsid w:val="00430C7D"/>
    <w:rsid w:val="0043131F"/>
    <w:rsid w:val="00431734"/>
    <w:rsid w:val="00431A93"/>
    <w:rsid w:val="00431B1F"/>
    <w:rsid w:val="00431BD6"/>
    <w:rsid w:val="00431E0B"/>
    <w:rsid w:val="0043204D"/>
    <w:rsid w:val="004320F4"/>
    <w:rsid w:val="004321D8"/>
    <w:rsid w:val="00432E9F"/>
    <w:rsid w:val="00434249"/>
    <w:rsid w:val="0043516D"/>
    <w:rsid w:val="00435B05"/>
    <w:rsid w:val="00435FB7"/>
    <w:rsid w:val="004362BF"/>
    <w:rsid w:val="00436B07"/>
    <w:rsid w:val="0043777E"/>
    <w:rsid w:val="00437856"/>
    <w:rsid w:val="004379D4"/>
    <w:rsid w:val="00437ECA"/>
    <w:rsid w:val="00440582"/>
    <w:rsid w:val="004407F9"/>
    <w:rsid w:val="00441AAA"/>
    <w:rsid w:val="00442C2F"/>
    <w:rsid w:val="00442C66"/>
    <w:rsid w:val="004434C5"/>
    <w:rsid w:val="00443900"/>
    <w:rsid w:val="00443FE3"/>
    <w:rsid w:val="00445A06"/>
    <w:rsid w:val="00445A1B"/>
    <w:rsid w:val="004461A2"/>
    <w:rsid w:val="0044635D"/>
    <w:rsid w:val="00446895"/>
    <w:rsid w:val="00450546"/>
    <w:rsid w:val="004510AA"/>
    <w:rsid w:val="00451389"/>
    <w:rsid w:val="004518F6"/>
    <w:rsid w:val="004520EC"/>
    <w:rsid w:val="00452351"/>
    <w:rsid w:val="00452C5A"/>
    <w:rsid w:val="00453682"/>
    <w:rsid w:val="00453F17"/>
    <w:rsid w:val="00454143"/>
    <w:rsid w:val="004541A9"/>
    <w:rsid w:val="0045454D"/>
    <w:rsid w:val="00454584"/>
    <w:rsid w:val="004549DB"/>
    <w:rsid w:val="00455117"/>
    <w:rsid w:val="0045513D"/>
    <w:rsid w:val="00455BD6"/>
    <w:rsid w:val="00455FAF"/>
    <w:rsid w:val="004566CE"/>
    <w:rsid w:val="004568C1"/>
    <w:rsid w:val="00457072"/>
    <w:rsid w:val="004576E8"/>
    <w:rsid w:val="004578C6"/>
    <w:rsid w:val="00457F43"/>
    <w:rsid w:val="00460425"/>
    <w:rsid w:val="00460A3E"/>
    <w:rsid w:val="004611FD"/>
    <w:rsid w:val="00461709"/>
    <w:rsid w:val="00462861"/>
    <w:rsid w:val="00462C17"/>
    <w:rsid w:val="00462F20"/>
    <w:rsid w:val="0046307B"/>
    <w:rsid w:val="00463C43"/>
    <w:rsid w:val="00463DA9"/>
    <w:rsid w:val="00463E30"/>
    <w:rsid w:val="00465334"/>
    <w:rsid w:val="00467544"/>
    <w:rsid w:val="00467D87"/>
    <w:rsid w:val="00470BD8"/>
    <w:rsid w:val="00472872"/>
    <w:rsid w:val="00472B7D"/>
    <w:rsid w:val="00472C47"/>
    <w:rsid w:val="0047358B"/>
    <w:rsid w:val="00473833"/>
    <w:rsid w:val="00473D73"/>
    <w:rsid w:val="004742BC"/>
    <w:rsid w:val="00475550"/>
    <w:rsid w:val="004758F9"/>
    <w:rsid w:val="00475CCC"/>
    <w:rsid w:val="0047745B"/>
    <w:rsid w:val="00477689"/>
    <w:rsid w:val="00477778"/>
    <w:rsid w:val="004801B2"/>
    <w:rsid w:val="00480365"/>
    <w:rsid w:val="004813C7"/>
    <w:rsid w:val="00481A69"/>
    <w:rsid w:val="00481B43"/>
    <w:rsid w:val="00481B6C"/>
    <w:rsid w:val="00481D84"/>
    <w:rsid w:val="00482CDA"/>
    <w:rsid w:val="0048343F"/>
    <w:rsid w:val="00484778"/>
    <w:rsid w:val="004847D4"/>
    <w:rsid w:val="00485A16"/>
    <w:rsid w:val="00486A7B"/>
    <w:rsid w:val="0048750A"/>
    <w:rsid w:val="00487681"/>
    <w:rsid w:val="00490255"/>
    <w:rsid w:val="0049025E"/>
    <w:rsid w:val="00490B50"/>
    <w:rsid w:val="00490DA0"/>
    <w:rsid w:val="00492D09"/>
    <w:rsid w:val="00493CEE"/>
    <w:rsid w:val="00494225"/>
    <w:rsid w:val="004946E3"/>
    <w:rsid w:val="00496243"/>
    <w:rsid w:val="00497519"/>
    <w:rsid w:val="004A03F1"/>
    <w:rsid w:val="004A0EBC"/>
    <w:rsid w:val="004A23C4"/>
    <w:rsid w:val="004A23FA"/>
    <w:rsid w:val="004A2E4D"/>
    <w:rsid w:val="004A32C1"/>
    <w:rsid w:val="004A381C"/>
    <w:rsid w:val="004A387A"/>
    <w:rsid w:val="004A3C8C"/>
    <w:rsid w:val="004A43A8"/>
    <w:rsid w:val="004A4780"/>
    <w:rsid w:val="004A4E1A"/>
    <w:rsid w:val="004A5838"/>
    <w:rsid w:val="004A5B8F"/>
    <w:rsid w:val="004A5DBD"/>
    <w:rsid w:val="004A69CB"/>
    <w:rsid w:val="004A6CA3"/>
    <w:rsid w:val="004A71C0"/>
    <w:rsid w:val="004A7882"/>
    <w:rsid w:val="004B0562"/>
    <w:rsid w:val="004B05E5"/>
    <w:rsid w:val="004B0930"/>
    <w:rsid w:val="004B1846"/>
    <w:rsid w:val="004B19F4"/>
    <w:rsid w:val="004B2314"/>
    <w:rsid w:val="004B381B"/>
    <w:rsid w:val="004B3D5A"/>
    <w:rsid w:val="004B4020"/>
    <w:rsid w:val="004B4336"/>
    <w:rsid w:val="004B4547"/>
    <w:rsid w:val="004B488E"/>
    <w:rsid w:val="004B48F3"/>
    <w:rsid w:val="004B5082"/>
    <w:rsid w:val="004B52B5"/>
    <w:rsid w:val="004B5852"/>
    <w:rsid w:val="004B6A4C"/>
    <w:rsid w:val="004C006D"/>
    <w:rsid w:val="004C046A"/>
    <w:rsid w:val="004C0545"/>
    <w:rsid w:val="004C07DB"/>
    <w:rsid w:val="004C0998"/>
    <w:rsid w:val="004C112A"/>
    <w:rsid w:val="004C1887"/>
    <w:rsid w:val="004C1C3D"/>
    <w:rsid w:val="004C1C8D"/>
    <w:rsid w:val="004C231A"/>
    <w:rsid w:val="004C27CB"/>
    <w:rsid w:val="004C282E"/>
    <w:rsid w:val="004C31E7"/>
    <w:rsid w:val="004C38E0"/>
    <w:rsid w:val="004C3CE3"/>
    <w:rsid w:val="004C40C2"/>
    <w:rsid w:val="004C480C"/>
    <w:rsid w:val="004C4943"/>
    <w:rsid w:val="004C4AC7"/>
    <w:rsid w:val="004C4BDE"/>
    <w:rsid w:val="004C4CA4"/>
    <w:rsid w:val="004C511A"/>
    <w:rsid w:val="004C577C"/>
    <w:rsid w:val="004C5ACE"/>
    <w:rsid w:val="004C5AF1"/>
    <w:rsid w:val="004C5D74"/>
    <w:rsid w:val="004C63DC"/>
    <w:rsid w:val="004D0534"/>
    <w:rsid w:val="004D0A44"/>
    <w:rsid w:val="004D0E1F"/>
    <w:rsid w:val="004D102D"/>
    <w:rsid w:val="004D149F"/>
    <w:rsid w:val="004D23A6"/>
    <w:rsid w:val="004D2572"/>
    <w:rsid w:val="004D2CE1"/>
    <w:rsid w:val="004D2E13"/>
    <w:rsid w:val="004D3361"/>
    <w:rsid w:val="004D36D1"/>
    <w:rsid w:val="004D3B72"/>
    <w:rsid w:val="004D4151"/>
    <w:rsid w:val="004D4268"/>
    <w:rsid w:val="004D462F"/>
    <w:rsid w:val="004D4BBC"/>
    <w:rsid w:val="004D54C4"/>
    <w:rsid w:val="004D59CF"/>
    <w:rsid w:val="004D5F93"/>
    <w:rsid w:val="004D621F"/>
    <w:rsid w:val="004D6467"/>
    <w:rsid w:val="004D67B9"/>
    <w:rsid w:val="004D6CAA"/>
    <w:rsid w:val="004D75B1"/>
    <w:rsid w:val="004E09AF"/>
    <w:rsid w:val="004E0C55"/>
    <w:rsid w:val="004E0FA3"/>
    <w:rsid w:val="004E1029"/>
    <w:rsid w:val="004E1624"/>
    <w:rsid w:val="004E1706"/>
    <w:rsid w:val="004E1F3C"/>
    <w:rsid w:val="004E26D5"/>
    <w:rsid w:val="004E2C48"/>
    <w:rsid w:val="004E2E71"/>
    <w:rsid w:val="004E31FF"/>
    <w:rsid w:val="004E3ABC"/>
    <w:rsid w:val="004E3F04"/>
    <w:rsid w:val="004E4389"/>
    <w:rsid w:val="004E43E3"/>
    <w:rsid w:val="004E45C2"/>
    <w:rsid w:val="004E4E85"/>
    <w:rsid w:val="004E5503"/>
    <w:rsid w:val="004E593F"/>
    <w:rsid w:val="004E5943"/>
    <w:rsid w:val="004E6703"/>
    <w:rsid w:val="004E6961"/>
    <w:rsid w:val="004E6A14"/>
    <w:rsid w:val="004E6F60"/>
    <w:rsid w:val="004E6FEB"/>
    <w:rsid w:val="004E7836"/>
    <w:rsid w:val="004E78DF"/>
    <w:rsid w:val="004E7BAF"/>
    <w:rsid w:val="004F011E"/>
    <w:rsid w:val="004F0C9C"/>
    <w:rsid w:val="004F0E07"/>
    <w:rsid w:val="004F1976"/>
    <w:rsid w:val="004F1BCC"/>
    <w:rsid w:val="004F24A0"/>
    <w:rsid w:val="004F279A"/>
    <w:rsid w:val="004F3558"/>
    <w:rsid w:val="004F36B8"/>
    <w:rsid w:val="004F4602"/>
    <w:rsid w:val="004F467A"/>
    <w:rsid w:val="004F50A6"/>
    <w:rsid w:val="004F58C1"/>
    <w:rsid w:val="004F6820"/>
    <w:rsid w:val="004F7FDF"/>
    <w:rsid w:val="004F7FEA"/>
    <w:rsid w:val="0050011B"/>
    <w:rsid w:val="005006B0"/>
    <w:rsid w:val="005009A6"/>
    <w:rsid w:val="00500B1A"/>
    <w:rsid w:val="00501C2D"/>
    <w:rsid w:val="00501CAA"/>
    <w:rsid w:val="00501EDE"/>
    <w:rsid w:val="0050213D"/>
    <w:rsid w:val="005026BA"/>
    <w:rsid w:val="0050319D"/>
    <w:rsid w:val="005035B6"/>
    <w:rsid w:val="00503D19"/>
    <w:rsid w:val="00506807"/>
    <w:rsid w:val="005078B5"/>
    <w:rsid w:val="00507B54"/>
    <w:rsid w:val="00510099"/>
    <w:rsid w:val="00510185"/>
    <w:rsid w:val="005102FE"/>
    <w:rsid w:val="0051045A"/>
    <w:rsid w:val="005104BF"/>
    <w:rsid w:val="00510950"/>
    <w:rsid w:val="00510C93"/>
    <w:rsid w:val="00510FE8"/>
    <w:rsid w:val="00511147"/>
    <w:rsid w:val="00511235"/>
    <w:rsid w:val="00511796"/>
    <w:rsid w:val="005118B1"/>
    <w:rsid w:val="00511B50"/>
    <w:rsid w:val="00511EA0"/>
    <w:rsid w:val="00511F21"/>
    <w:rsid w:val="00512622"/>
    <w:rsid w:val="00512B4F"/>
    <w:rsid w:val="00513467"/>
    <w:rsid w:val="00513A3A"/>
    <w:rsid w:val="00513D91"/>
    <w:rsid w:val="00514738"/>
    <w:rsid w:val="00514C09"/>
    <w:rsid w:val="0051570A"/>
    <w:rsid w:val="00515C0A"/>
    <w:rsid w:val="00515DD3"/>
    <w:rsid w:val="00516227"/>
    <w:rsid w:val="0051628F"/>
    <w:rsid w:val="0051633C"/>
    <w:rsid w:val="00516434"/>
    <w:rsid w:val="0051683F"/>
    <w:rsid w:val="0051742D"/>
    <w:rsid w:val="00517FC4"/>
    <w:rsid w:val="00520132"/>
    <w:rsid w:val="0052061E"/>
    <w:rsid w:val="00520AF3"/>
    <w:rsid w:val="00520E5A"/>
    <w:rsid w:val="0052194E"/>
    <w:rsid w:val="00521C55"/>
    <w:rsid w:val="0052234F"/>
    <w:rsid w:val="00522983"/>
    <w:rsid w:val="005230C9"/>
    <w:rsid w:val="005237F0"/>
    <w:rsid w:val="0052390D"/>
    <w:rsid w:val="005240FE"/>
    <w:rsid w:val="00524176"/>
    <w:rsid w:val="005242F0"/>
    <w:rsid w:val="00524845"/>
    <w:rsid w:val="005251C1"/>
    <w:rsid w:val="005251DA"/>
    <w:rsid w:val="0052526F"/>
    <w:rsid w:val="005253DE"/>
    <w:rsid w:val="00525525"/>
    <w:rsid w:val="0052554A"/>
    <w:rsid w:val="005264AD"/>
    <w:rsid w:val="00526B49"/>
    <w:rsid w:val="00527437"/>
    <w:rsid w:val="00527A9B"/>
    <w:rsid w:val="00527BEA"/>
    <w:rsid w:val="00527CE2"/>
    <w:rsid w:val="00527DC3"/>
    <w:rsid w:val="00527E2F"/>
    <w:rsid w:val="00527E52"/>
    <w:rsid w:val="005302FE"/>
    <w:rsid w:val="00530359"/>
    <w:rsid w:val="00530490"/>
    <w:rsid w:val="005307D8"/>
    <w:rsid w:val="00530B14"/>
    <w:rsid w:val="00530FF7"/>
    <w:rsid w:val="00531234"/>
    <w:rsid w:val="005315B2"/>
    <w:rsid w:val="005316C7"/>
    <w:rsid w:val="005316F4"/>
    <w:rsid w:val="0053245A"/>
    <w:rsid w:val="00532948"/>
    <w:rsid w:val="0053300C"/>
    <w:rsid w:val="00533D08"/>
    <w:rsid w:val="00534461"/>
    <w:rsid w:val="00534535"/>
    <w:rsid w:val="005348D8"/>
    <w:rsid w:val="0053523D"/>
    <w:rsid w:val="00535369"/>
    <w:rsid w:val="005353AE"/>
    <w:rsid w:val="00535992"/>
    <w:rsid w:val="00535AFA"/>
    <w:rsid w:val="00535B7F"/>
    <w:rsid w:val="00535E79"/>
    <w:rsid w:val="00535FA1"/>
    <w:rsid w:val="005361CA"/>
    <w:rsid w:val="0053634B"/>
    <w:rsid w:val="005368EF"/>
    <w:rsid w:val="005368FB"/>
    <w:rsid w:val="00536AFE"/>
    <w:rsid w:val="0053728C"/>
    <w:rsid w:val="0054015B"/>
    <w:rsid w:val="005406D6"/>
    <w:rsid w:val="00540D1D"/>
    <w:rsid w:val="0054108E"/>
    <w:rsid w:val="00541C58"/>
    <w:rsid w:val="00541E60"/>
    <w:rsid w:val="005444FD"/>
    <w:rsid w:val="0054461C"/>
    <w:rsid w:val="00545107"/>
    <w:rsid w:val="00545612"/>
    <w:rsid w:val="00545C3E"/>
    <w:rsid w:val="00546128"/>
    <w:rsid w:val="005466CA"/>
    <w:rsid w:val="0054701B"/>
    <w:rsid w:val="005503FF"/>
    <w:rsid w:val="005515F5"/>
    <w:rsid w:val="005518D6"/>
    <w:rsid w:val="00552987"/>
    <w:rsid w:val="005529EC"/>
    <w:rsid w:val="00552EE4"/>
    <w:rsid w:val="0055330F"/>
    <w:rsid w:val="00553A5B"/>
    <w:rsid w:val="00553D96"/>
    <w:rsid w:val="00553F9B"/>
    <w:rsid w:val="005544A3"/>
    <w:rsid w:val="0055476D"/>
    <w:rsid w:val="00554AE7"/>
    <w:rsid w:val="00554E98"/>
    <w:rsid w:val="005555AA"/>
    <w:rsid w:val="00556807"/>
    <w:rsid w:val="00560670"/>
    <w:rsid w:val="00560FBC"/>
    <w:rsid w:val="00561002"/>
    <w:rsid w:val="00561ADD"/>
    <w:rsid w:val="0056260C"/>
    <w:rsid w:val="00563014"/>
    <w:rsid w:val="005631D6"/>
    <w:rsid w:val="005632A9"/>
    <w:rsid w:val="00563663"/>
    <w:rsid w:val="005638A2"/>
    <w:rsid w:val="00563EDD"/>
    <w:rsid w:val="005640BD"/>
    <w:rsid w:val="0056477D"/>
    <w:rsid w:val="00564C10"/>
    <w:rsid w:val="00565B7D"/>
    <w:rsid w:val="005666C7"/>
    <w:rsid w:val="00566AE1"/>
    <w:rsid w:val="00566C0B"/>
    <w:rsid w:val="00566C5F"/>
    <w:rsid w:val="00566FB3"/>
    <w:rsid w:val="0056756E"/>
    <w:rsid w:val="005708CE"/>
    <w:rsid w:val="00570ED0"/>
    <w:rsid w:val="0057106E"/>
    <w:rsid w:val="00571300"/>
    <w:rsid w:val="00571789"/>
    <w:rsid w:val="00572A5F"/>
    <w:rsid w:val="00572DCC"/>
    <w:rsid w:val="0057373D"/>
    <w:rsid w:val="00574689"/>
    <w:rsid w:val="00574784"/>
    <w:rsid w:val="00576572"/>
    <w:rsid w:val="005769EB"/>
    <w:rsid w:val="00576AAF"/>
    <w:rsid w:val="00577368"/>
    <w:rsid w:val="00580F89"/>
    <w:rsid w:val="0058175E"/>
    <w:rsid w:val="0058185A"/>
    <w:rsid w:val="00581B25"/>
    <w:rsid w:val="0058225D"/>
    <w:rsid w:val="00583895"/>
    <w:rsid w:val="00583A49"/>
    <w:rsid w:val="00583A91"/>
    <w:rsid w:val="00584836"/>
    <w:rsid w:val="005855FE"/>
    <w:rsid w:val="0058637B"/>
    <w:rsid w:val="005866D3"/>
    <w:rsid w:val="00586EBA"/>
    <w:rsid w:val="00587130"/>
    <w:rsid w:val="005874AF"/>
    <w:rsid w:val="0059091C"/>
    <w:rsid w:val="00591363"/>
    <w:rsid w:val="00591FFE"/>
    <w:rsid w:val="005924ED"/>
    <w:rsid w:val="005927FF"/>
    <w:rsid w:val="005932E2"/>
    <w:rsid w:val="00593490"/>
    <w:rsid w:val="00593F2A"/>
    <w:rsid w:val="00594934"/>
    <w:rsid w:val="00594942"/>
    <w:rsid w:val="00594955"/>
    <w:rsid w:val="00595033"/>
    <w:rsid w:val="00595531"/>
    <w:rsid w:val="005957A3"/>
    <w:rsid w:val="005957F7"/>
    <w:rsid w:val="00595E58"/>
    <w:rsid w:val="00595EBE"/>
    <w:rsid w:val="00596113"/>
    <w:rsid w:val="00596DD5"/>
    <w:rsid w:val="005971C4"/>
    <w:rsid w:val="0059750D"/>
    <w:rsid w:val="00597D8C"/>
    <w:rsid w:val="005A12D4"/>
    <w:rsid w:val="005A1E7A"/>
    <w:rsid w:val="005A2BCD"/>
    <w:rsid w:val="005A2CD1"/>
    <w:rsid w:val="005A30AF"/>
    <w:rsid w:val="005A3591"/>
    <w:rsid w:val="005A37E1"/>
    <w:rsid w:val="005A4391"/>
    <w:rsid w:val="005A509A"/>
    <w:rsid w:val="005A5940"/>
    <w:rsid w:val="005A5FC4"/>
    <w:rsid w:val="005A660C"/>
    <w:rsid w:val="005A6750"/>
    <w:rsid w:val="005A7284"/>
    <w:rsid w:val="005A759E"/>
    <w:rsid w:val="005B0419"/>
    <w:rsid w:val="005B0C70"/>
    <w:rsid w:val="005B17EB"/>
    <w:rsid w:val="005B1C03"/>
    <w:rsid w:val="005B2181"/>
    <w:rsid w:val="005B2293"/>
    <w:rsid w:val="005B2C99"/>
    <w:rsid w:val="005B3A0E"/>
    <w:rsid w:val="005B400F"/>
    <w:rsid w:val="005B462A"/>
    <w:rsid w:val="005B4A24"/>
    <w:rsid w:val="005B4CCA"/>
    <w:rsid w:val="005B4E67"/>
    <w:rsid w:val="005B54A3"/>
    <w:rsid w:val="005B5B37"/>
    <w:rsid w:val="005B5D2D"/>
    <w:rsid w:val="005B65A7"/>
    <w:rsid w:val="005B66D2"/>
    <w:rsid w:val="005B76BD"/>
    <w:rsid w:val="005C0149"/>
    <w:rsid w:val="005C0A4F"/>
    <w:rsid w:val="005C0ECD"/>
    <w:rsid w:val="005C0F0C"/>
    <w:rsid w:val="005C1FAA"/>
    <w:rsid w:val="005C2195"/>
    <w:rsid w:val="005C2274"/>
    <w:rsid w:val="005C22FA"/>
    <w:rsid w:val="005C2306"/>
    <w:rsid w:val="005C2ADC"/>
    <w:rsid w:val="005C2B71"/>
    <w:rsid w:val="005C3B5A"/>
    <w:rsid w:val="005C3BBF"/>
    <w:rsid w:val="005C441E"/>
    <w:rsid w:val="005C4623"/>
    <w:rsid w:val="005C4890"/>
    <w:rsid w:val="005C4964"/>
    <w:rsid w:val="005C4E78"/>
    <w:rsid w:val="005C4E97"/>
    <w:rsid w:val="005C5482"/>
    <w:rsid w:val="005C583F"/>
    <w:rsid w:val="005C5C60"/>
    <w:rsid w:val="005C602D"/>
    <w:rsid w:val="005C686D"/>
    <w:rsid w:val="005C6AF6"/>
    <w:rsid w:val="005C6E5E"/>
    <w:rsid w:val="005C704A"/>
    <w:rsid w:val="005C788E"/>
    <w:rsid w:val="005C796B"/>
    <w:rsid w:val="005D09C6"/>
    <w:rsid w:val="005D0D91"/>
    <w:rsid w:val="005D0E65"/>
    <w:rsid w:val="005D1272"/>
    <w:rsid w:val="005D1353"/>
    <w:rsid w:val="005D142A"/>
    <w:rsid w:val="005D1829"/>
    <w:rsid w:val="005D1B3C"/>
    <w:rsid w:val="005D2AB4"/>
    <w:rsid w:val="005D3487"/>
    <w:rsid w:val="005D37AB"/>
    <w:rsid w:val="005D4432"/>
    <w:rsid w:val="005D4654"/>
    <w:rsid w:val="005D5DA5"/>
    <w:rsid w:val="005D6089"/>
    <w:rsid w:val="005D6396"/>
    <w:rsid w:val="005D6AEB"/>
    <w:rsid w:val="005D73D2"/>
    <w:rsid w:val="005D76EA"/>
    <w:rsid w:val="005D798C"/>
    <w:rsid w:val="005D7AF6"/>
    <w:rsid w:val="005D7D13"/>
    <w:rsid w:val="005E0C55"/>
    <w:rsid w:val="005E17E2"/>
    <w:rsid w:val="005E2E98"/>
    <w:rsid w:val="005E3263"/>
    <w:rsid w:val="005E32F5"/>
    <w:rsid w:val="005E3B09"/>
    <w:rsid w:val="005E3D36"/>
    <w:rsid w:val="005E3D49"/>
    <w:rsid w:val="005E3E12"/>
    <w:rsid w:val="005E4C5F"/>
    <w:rsid w:val="005E5DCC"/>
    <w:rsid w:val="005E74A9"/>
    <w:rsid w:val="005F18AC"/>
    <w:rsid w:val="005F25AC"/>
    <w:rsid w:val="005F49CC"/>
    <w:rsid w:val="005F518B"/>
    <w:rsid w:val="005F52A9"/>
    <w:rsid w:val="005F52DA"/>
    <w:rsid w:val="005F63EF"/>
    <w:rsid w:val="005F68B4"/>
    <w:rsid w:val="005F68FD"/>
    <w:rsid w:val="005F6BD9"/>
    <w:rsid w:val="005F7F95"/>
    <w:rsid w:val="00600A80"/>
    <w:rsid w:val="006010DD"/>
    <w:rsid w:val="00602A1E"/>
    <w:rsid w:val="00602E17"/>
    <w:rsid w:val="006034AA"/>
    <w:rsid w:val="00603E51"/>
    <w:rsid w:val="00604FF6"/>
    <w:rsid w:val="00605939"/>
    <w:rsid w:val="00605B55"/>
    <w:rsid w:val="006061E9"/>
    <w:rsid w:val="00606763"/>
    <w:rsid w:val="00606A32"/>
    <w:rsid w:val="00606B24"/>
    <w:rsid w:val="00607E85"/>
    <w:rsid w:val="00610A71"/>
    <w:rsid w:val="00611626"/>
    <w:rsid w:val="00611F90"/>
    <w:rsid w:val="006121BE"/>
    <w:rsid w:val="006128C3"/>
    <w:rsid w:val="00612A39"/>
    <w:rsid w:val="00612B03"/>
    <w:rsid w:val="00612B34"/>
    <w:rsid w:val="00613754"/>
    <w:rsid w:val="006139FD"/>
    <w:rsid w:val="0061492B"/>
    <w:rsid w:val="00614C3F"/>
    <w:rsid w:val="006151CB"/>
    <w:rsid w:val="00615228"/>
    <w:rsid w:val="0061523C"/>
    <w:rsid w:val="0061555E"/>
    <w:rsid w:val="006158BA"/>
    <w:rsid w:val="00615DB2"/>
    <w:rsid w:val="006162AE"/>
    <w:rsid w:val="0061631F"/>
    <w:rsid w:val="006164EB"/>
    <w:rsid w:val="00616592"/>
    <w:rsid w:val="006165E6"/>
    <w:rsid w:val="006167DD"/>
    <w:rsid w:val="00616FC2"/>
    <w:rsid w:val="00617200"/>
    <w:rsid w:val="0062002F"/>
    <w:rsid w:val="006201FB"/>
    <w:rsid w:val="006203FB"/>
    <w:rsid w:val="00620BAE"/>
    <w:rsid w:val="00620CB1"/>
    <w:rsid w:val="00623596"/>
    <w:rsid w:val="00624A72"/>
    <w:rsid w:val="006252A7"/>
    <w:rsid w:val="006252DA"/>
    <w:rsid w:val="00625BD7"/>
    <w:rsid w:val="00625D56"/>
    <w:rsid w:val="0062643C"/>
    <w:rsid w:val="00626BCB"/>
    <w:rsid w:val="006275D6"/>
    <w:rsid w:val="006277BD"/>
    <w:rsid w:val="0062789F"/>
    <w:rsid w:val="00627D45"/>
    <w:rsid w:val="00630289"/>
    <w:rsid w:val="006304E4"/>
    <w:rsid w:val="00630C7C"/>
    <w:rsid w:val="00630E0A"/>
    <w:rsid w:val="00630F36"/>
    <w:rsid w:val="00632E13"/>
    <w:rsid w:val="00633D87"/>
    <w:rsid w:val="00634220"/>
    <w:rsid w:val="00635178"/>
    <w:rsid w:val="0063558A"/>
    <w:rsid w:val="006356B8"/>
    <w:rsid w:val="00635DC7"/>
    <w:rsid w:val="00635E12"/>
    <w:rsid w:val="00636050"/>
    <w:rsid w:val="006361D1"/>
    <w:rsid w:val="0063626D"/>
    <w:rsid w:val="0063642B"/>
    <w:rsid w:val="00636942"/>
    <w:rsid w:val="00637AB5"/>
    <w:rsid w:val="00637C6D"/>
    <w:rsid w:val="006412DA"/>
    <w:rsid w:val="00641336"/>
    <w:rsid w:val="00641815"/>
    <w:rsid w:val="00641B41"/>
    <w:rsid w:val="00641ECE"/>
    <w:rsid w:val="0064270E"/>
    <w:rsid w:val="00642AC6"/>
    <w:rsid w:val="00642CBE"/>
    <w:rsid w:val="00642F15"/>
    <w:rsid w:val="00642FE7"/>
    <w:rsid w:val="006433F0"/>
    <w:rsid w:val="0064366B"/>
    <w:rsid w:val="00643B4F"/>
    <w:rsid w:val="0064401F"/>
    <w:rsid w:val="0064444B"/>
    <w:rsid w:val="0064467C"/>
    <w:rsid w:val="006461D8"/>
    <w:rsid w:val="00646933"/>
    <w:rsid w:val="00646C2B"/>
    <w:rsid w:val="00647118"/>
    <w:rsid w:val="006473AD"/>
    <w:rsid w:val="00647431"/>
    <w:rsid w:val="00647C01"/>
    <w:rsid w:val="00647CF9"/>
    <w:rsid w:val="00650D15"/>
    <w:rsid w:val="006512DC"/>
    <w:rsid w:val="006524C2"/>
    <w:rsid w:val="00652AA0"/>
    <w:rsid w:val="00652D3E"/>
    <w:rsid w:val="0065329E"/>
    <w:rsid w:val="006533D7"/>
    <w:rsid w:val="006535B3"/>
    <w:rsid w:val="00653BC1"/>
    <w:rsid w:val="00653E37"/>
    <w:rsid w:val="00654C6B"/>
    <w:rsid w:val="00655921"/>
    <w:rsid w:val="006564C8"/>
    <w:rsid w:val="006569E5"/>
    <w:rsid w:val="00656B06"/>
    <w:rsid w:val="00656E98"/>
    <w:rsid w:val="00656FDB"/>
    <w:rsid w:val="0066008D"/>
    <w:rsid w:val="006609D6"/>
    <w:rsid w:val="00660BC2"/>
    <w:rsid w:val="00660EC8"/>
    <w:rsid w:val="00660F8A"/>
    <w:rsid w:val="00661040"/>
    <w:rsid w:val="00661120"/>
    <w:rsid w:val="006613E9"/>
    <w:rsid w:val="00661894"/>
    <w:rsid w:val="00661D3F"/>
    <w:rsid w:val="00661D83"/>
    <w:rsid w:val="00662260"/>
    <w:rsid w:val="0066226E"/>
    <w:rsid w:val="006622A6"/>
    <w:rsid w:val="006628F1"/>
    <w:rsid w:val="0066294C"/>
    <w:rsid w:val="00662E2D"/>
    <w:rsid w:val="00662F7F"/>
    <w:rsid w:val="0066317A"/>
    <w:rsid w:val="00663276"/>
    <w:rsid w:val="00663AAB"/>
    <w:rsid w:val="00664561"/>
    <w:rsid w:val="0066481B"/>
    <w:rsid w:val="00665226"/>
    <w:rsid w:val="006654A6"/>
    <w:rsid w:val="006658A9"/>
    <w:rsid w:val="00666AE8"/>
    <w:rsid w:val="006672AC"/>
    <w:rsid w:val="006673F6"/>
    <w:rsid w:val="00667459"/>
    <w:rsid w:val="006679E5"/>
    <w:rsid w:val="00667F5C"/>
    <w:rsid w:val="006704E7"/>
    <w:rsid w:val="00670E8F"/>
    <w:rsid w:val="006711B2"/>
    <w:rsid w:val="00671BC1"/>
    <w:rsid w:val="00671BC9"/>
    <w:rsid w:val="00671E89"/>
    <w:rsid w:val="006725DF"/>
    <w:rsid w:val="00672A4F"/>
    <w:rsid w:val="00672BE3"/>
    <w:rsid w:val="00673B52"/>
    <w:rsid w:val="00674582"/>
    <w:rsid w:val="00675312"/>
    <w:rsid w:val="00675419"/>
    <w:rsid w:val="0067554A"/>
    <w:rsid w:val="00675FBC"/>
    <w:rsid w:val="00676B6D"/>
    <w:rsid w:val="00677A19"/>
    <w:rsid w:val="0068057D"/>
    <w:rsid w:val="00680ED8"/>
    <w:rsid w:val="006812B4"/>
    <w:rsid w:val="00681EDC"/>
    <w:rsid w:val="00682B1B"/>
    <w:rsid w:val="00683017"/>
    <w:rsid w:val="0068310E"/>
    <w:rsid w:val="006831FB"/>
    <w:rsid w:val="0068320A"/>
    <w:rsid w:val="0068356E"/>
    <w:rsid w:val="00683E1D"/>
    <w:rsid w:val="00684EE3"/>
    <w:rsid w:val="00686510"/>
    <w:rsid w:val="00686523"/>
    <w:rsid w:val="00686D2C"/>
    <w:rsid w:val="00686DF0"/>
    <w:rsid w:val="00687FA5"/>
    <w:rsid w:val="006904FF"/>
    <w:rsid w:val="00690C46"/>
    <w:rsid w:val="00691548"/>
    <w:rsid w:val="00691F6D"/>
    <w:rsid w:val="00692D0F"/>
    <w:rsid w:val="00692E76"/>
    <w:rsid w:val="00694442"/>
    <w:rsid w:val="006947ED"/>
    <w:rsid w:val="00694A10"/>
    <w:rsid w:val="00695122"/>
    <w:rsid w:val="006962FC"/>
    <w:rsid w:val="006971E4"/>
    <w:rsid w:val="006A0549"/>
    <w:rsid w:val="006A0D8F"/>
    <w:rsid w:val="006A27F1"/>
    <w:rsid w:val="006A2E36"/>
    <w:rsid w:val="006A2FAD"/>
    <w:rsid w:val="006A31CC"/>
    <w:rsid w:val="006A3775"/>
    <w:rsid w:val="006A4239"/>
    <w:rsid w:val="006A4368"/>
    <w:rsid w:val="006A5007"/>
    <w:rsid w:val="006A558E"/>
    <w:rsid w:val="006A66A3"/>
    <w:rsid w:val="006A6FB0"/>
    <w:rsid w:val="006A6FB4"/>
    <w:rsid w:val="006A7211"/>
    <w:rsid w:val="006A72AC"/>
    <w:rsid w:val="006A7C42"/>
    <w:rsid w:val="006AECAD"/>
    <w:rsid w:val="006B137F"/>
    <w:rsid w:val="006B20BD"/>
    <w:rsid w:val="006B21A9"/>
    <w:rsid w:val="006B350F"/>
    <w:rsid w:val="006B35CB"/>
    <w:rsid w:val="006B3B40"/>
    <w:rsid w:val="006B3E9B"/>
    <w:rsid w:val="006B3F04"/>
    <w:rsid w:val="006B4242"/>
    <w:rsid w:val="006B4712"/>
    <w:rsid w:val="006B4F39"/>
    <w:rsid w:val="006B6165"/>
    <w:rsid w:val="006B6280"/>
    <w:rsid w:val="006B6484"/>
    <w:rsid w:val="006B649D"/>
    <w:rsid w:val="006B65FA"/>
    <w:rsid w:val="006B6E87"/>
    <w:rsid w:val="006B7342"/>
    <w:rsid w:val="006B7EA9"/>
    <w:rsid w:val="006C092C"/>
    <w:rsid w:val="006C1F0B"/>
    <w:rsid w:val="006C255F"/>
    <w:rsid w:val="006C2617"/>
    <w:rsid w:val="006C2D3F"/>
    <w:rsid w:val="006C3754"/>
    <w:rsid w:val="006C3986"/>
    <w:rsid w:val="006C39E4"/>
    <w:rsid w:val="006C3B87"/>
    <w:rsid w:val="006C455B"/>
    <w:rsid w:val="006C4672"/>
    <w:rsid w:val="006C4A0D"/>
    <w:rsid w:val="006C5407"/>
    <w:rsid w:val="006C652B"/>
    <w:rsid w:val="006C652F"/>
    <w:rsid w:val="006C7190"/>
    <w:rsid w:val="006C758F"/>
    <w:rsid w:val="006C7B23"/>
    <w:rsid w:val="006D056E"/>
    <w:rsid w:val="006D349C"/>
    <w:rsid w:val="006D34B0"/>
    <w:rsid w:val="006D3C17"/>
    <w:rsid w:val="006D405E"/>
    <w:rsid w:val="006D4140"/>
    <w:rsid w:val="006D4718"/>
    <w:rsid w:val="006D5608"/>
    <w:rsid w:val="006D58AE"/>
    <w:rsid w:val="006D631F"/>
    <w:rsid w:val="006D64FF"/>
    <w:rsid w:val="006D69A3"/>
    <w:rsid w:val="006D7447"/>
    <w:rsid w:val="006E1370"/>
    <w:rsid w:val="006E1A10"/>
    <w:rsid w:val="006E26B7"/>
    <w:rsid w:val="006E2842"/>
    <w:rsid w:val="006E34EF"/>
    <w:rsid w:val="006E37DD"/>
    <w:rsid w:val="006E380D"/>
    <w:rsid w:val="006E3F84"/>
    <w:rsid w:val="006E4007"/>
    <w:rsid w:val="006E4091"/>
    <w:rsid w:val="006E4901"/>
    <w:rsid w:val="006E4E2D"/>
    <w:rsid w:val="006E5DD7"/>
    <w:rsid w:val="006E6E96"/>
    <w:rsid w:val="006E6F37"/>
    <w:rsid w:val="006E6FD2"/>
    <w:rsid w:val="006E71B8"/>
    <w:rsid w:val="006E71E3"/>
    <w:rsid w:val="006E72B0"/>
    <w:rsid w:val="006F019D"/>
    <w:rsid w:val="006F0CD6"/>
    <w:rsid w:val="006F0DEA"/>
    <w:rsid w:val="006F1050"/>
    <w:rsid w:val="006F1439"/>
    <w:rsid w:val="006F168B"/>
    <w:rsid w:val="006F1F43"/>
    <w:rsid w:val="006F2B96"/>
    <w:rsid w:val="006F3D28"/>
    <w:rsid w:val="006F40F2"/>
    <w:rsid w:val="006F4C0F"/>
    <w:rsid w:val="006F5153"/>
    <w:rsid w:val="006F57A0"/>
    <w:rsid w:val="006F5B12"/>
    <w:rsid w:val="006F5E70"/>
    <w:rsid w:val="006F7783"/>
    <w:rsid w:val="006F7E9C"/>
    <w:rsid w:val="006FF8C0"/>
    <w:rsid w:val="00700920"/>
    <w:rsid w:val="0070094D"/>
    <w:rsid w:val="00701203"/>
    <w:rsid w:val="00701331"/>
    <w:rsid w:val="00701CA6"/>
    <w:rsid w:val="00702300"/>
    <w:rsid w:val="00702311"/>
    <w:rsid w:val="00702726"/>
    <w:rsid w:val="0070277C"/>
    <w:rsid w:val="00702998"/>
    <w:rsid w:val="007030A4"/>
    <w:rsid w:val="007035D0"/>
    <w:rsid w:val="00703B6D"/>
    <w:rsid w:val="00703CD5"/>
    <w:rsid w:val="00703DA0"/>
    <w:rsid w:val="007049C0"/>
    <w:rsid w:val="00704F22"/>
    <w:rsid w:val="007061F5"/>
    <w:rsid w:val="00706B9E"/>
    <w:rsid w:val="00707639"/>
    <w:rsid w:val="00707AD0"/>
    <w:rsid w:val="007101B0"/>
    <w:rsid w:val="00710918"/>
    <w:rsid w:val="00710A62"/>
    <w:rsid w:val="00710E37"/>
    <w:rsid w:val="0071112A"/>
    <w:rsid w:val="007112D6"/>
    <w:rsid w:val="00711376"/>
    <w:rsid w:val="00711E38"/>
    <w:rsid w:val="007127C9"/>
    <w:rsid w:val="007127EE"/>
    <w:rsid w:val="00712A40"/>
    <w:rsid w:val="007140D0"/>
    <w:rsid w:val="00715833"/>
    <w:rsid w:val="0071588E"/>
    <w:rsid w:val="00716752"/>
    <w:rsid w:val="00717C96"/>
    <w:rsid w:val="00717D89"/>
    <w:rsid w:val="007207E7"/>
    <w:rsid w:val="00721A65"/>
    <w:rsid w:val="00722E93"/>
    <w:rsid w:val="00722EFF"/>
    <w:rsid w:val="007233A1"/>
    <w:rsid w:val="00723A17"/>
    <w:rsid w:val="00723D30"/>
    <w:rsid w:val="00723E10"/>
    <w:rsid w:val="00723FBF"/>
    <w:rsid w:val="0072432F"/>
    <w:rsid w:val="007246E1"/>
    <w:rsid w:val="00725C2D"/>
    <w:rsid w:val="00726308"/>
    <w:rsid w:val="0072646C"/>
    <w:rsid w:val="00727105"/>
    <w:rsid w:val="0072733B"/>
    <w:rsid w:val="00727817"/>
    <w:rsid w:val="00727C18"/>
    <w:rsid w:val="00727D05"/>
    <w:rsid w:val="007302D1"/>
    <w:rsid w:val="0073040F"/>
    <w:rsid w:val="007308A7"/>
    <w:rsid w:val="00730926"/>
    <w:rsid w:val="00730FBC"/>
    <w:rsid w:val="00731B7A"/>
    <w:rsid w:val="00731ED7"/>
    <w:rsid w:val="00731F56"/>
    <w:rsid w:val="00732012"/>
    <w:rsid w:val="00732F93"/>
    <w:rsid w:val="00735087"/>
    <w:rsid w:val="00735227"/>
    <w:rsid w:val="0073531A"/>
    <w:rsid w:val="00735B16"/>
    <w:rsid w:val="00735F98"/>
    <w:rsid w:val="007361B2"/>
    <w:rsid w:val="00736B96"/>
    <w:rsid w:val="0073772D"/>
    <w:rsid w:val="00740A42"/>
    <w:rsid w:val="00740B0C"/>
    <w:rsid w:val="0074129E"/>
    <w:rsid w:val="00741405"/>
    <w:rsid w:val="00741E00"/>
    <w:rsid w:val="00741F2D"/>
    <w:rsid w:val="007420D1"/>
    <w:rsid w:val="007421E7"/>
    <w:rsid w:val="007435DB"/>
    <w:rsid w:val="00743C1A"/>
    <w:rsid w:val="00743E50"/>
    <w:rsid w:val="0074416C"/>
    <w:rsid w:val="0074439E"/>
    <w:rsid w:val="007446CE"/>
    <w:rsid w:val="00744A6F"/>
    <w:rsid w:val="00745630"/>
    <w:rsid w:val="00745692"/>
    <w:rsid w:val="007463D6"/>
    <w:rsid w:val="00747CD9"/>
    <w:rsid w:val="00747FFE"/>
    <w:rsid w:val="0075078D"/>
    <w:rsid w:val="0075082B"/>
    <w:rsid w:val="00750EF1"/>
    <w:rsid w:val="00751C67"/>
    <w:rsid w:val="00752E93"/>
    <w:rsid w:val="00754A5C"/>
    <w:rsid w:val="00754F73"/>
    <w:rsid w:val="00755A4A"/>
    <w:rsid w:val="00755F75"/>
    <w:rsid w:val="00756C43"/>
    <w:rsid w:val="00756E4E"/>
    <w:rsid w:val="0075714A"/>
    <w:rsid w:val="00760FF2"/>
    <w:rsid w:val="00761B5B"/>
    <w:rsid w:val="00762551"/>
    <w:rsid w:val="00763EF8"/>
    <w:rsid w:val="0076467B"/>
    <w:rsid w:val="007647FD"/>
    <w:rsid w:val="00764861"/>
    <w:rsid w:val="007650B4"/>
    <w:rsid w:val="0076520B"/>
    <w:rsid w:val="007653E6"/>
    <w:rsid w:val="007657AB"/>
    <w:rsid w:val="007661BB"/>
    <w:rsid w:val="00767629"/>
    <w:rsid w:val="0077285D"/>
    <w:rsid w:val="00772986"/>
    <w:rsid w:val="00772CCE"/>
    <w:rsid w:val="0077367A"/>
    <w:rsid w:val="007736FD"/>
    <w:rsid w:val="00773C68"/>
    <w:rsid w:val="00773CFB"/>
    <w:rsid w:val="0077404F"/>
    <w:rsid w:val="00774815"/>
    <w:rsid w:val="00774EF6"/>
    <w:rsid w:val="0077552B"/>
    <w:rsid w:val="007757B6"/>
    <w:rsid w:val="00775CD8"/>
    <w:rsid w:val="007762AD"/>
    <w:rsid w:val="00776757"/>
    <w:rsid w:val="00776772"/>
    <w:rsid w:val="007769F5"/>
    <w:rsid w:val="00776A33"/>
    <w:rsid w:val="00776DF9"/>
    <w:rsid w:val="00777391"/>
    <w:rsid w:val="00777CCD"/>
    <w:rsid w:val="007809E5"/>
    <w:rsid w:val="00781667"/>
    <w:rsid w:val="00782003"/>
    <w:rsid w:val="007821DD"/>
    <w:rsid w:val="00782656"/>
    <w:rsid w:val="00782821"/>
    <w:rsid w:val="00783063"/>
    <w:rsid w:val="00783117"/>
    <w:rsid w:val="00783916"/>
    <w:rsid w:val="00784016"/>
    <w:rsid w:val="007849EB"/>
    <w:rsid w:val="0078551F"/>
    <w:rsid w:val="00786BBF"/>
    <w:rsid w:val="00786BD7"/>
    <w:rsid w:val="007871C9"/>
    <w:rsid w:val="00787402"/>
    <w:rsid w:val="00790392"/>
    <w:rsid w:val="00791214"/>
    <w:rsid w:val="007912C4"/>
    <w:rsid w:val="00791CE3"/>
    <w:rsid w:val="007925DD"/>
    <w:rsid w:val="00792B44"/>
    <w:rsid w:val="007938B9"/>
    <w:rsid w:val="00794107"/>
    <w:rsid w:val="00795571"/>
    <w:rsid w:val="007957CA"/>
    <w:rsid w:val="00795CED"/>
    <w:rsid w:val="00797698"/>
    <w:rsid w:val="00797B0D"/>
    <w:rsid w:val="007A142B"/>
    <w:rsid w:val="007A144C"/>
    <w:rsid w:val="007A152D"/>
    <w:rsid w:val="007A1FCB"/>
    <w:rsid w:val="007A24F7"/>
    <w:rsid w:val="007A32AB"/>
    <w:rsid w:val="007A33D2"/>
    <w:rsid w:val="007A3492"/>
    <w:rsid w:val="007A3885"/>
    <w:rsid w:val="007A3DAB"/>
    <w:rsid w:val="007A41E8"/>
    <w:rsid w:val="007A4423"/>
    <w:rsid w:val="007A4D53"/>
    <w:rsid w:val="007A5005"/>
    <w:rsid w:val="007A59B2"/>
    <w:rsid w:val="007A5B11"/>
    <w:rsid w:val="007A5BF3"/>
    <w:rsid w:val="007A5F0E"/>
    <w:rsid w:val="007A664A"/>
    <w:rsid w:val="007A6962"/>
    <w:rsid w:val="007A6BFD"/>
    <w:rsid w:val="007A76AF"/>
    <w:rsid w:val="007A7D26"/>
    <w:rsid w:val="007B03AF"/>
    <w:rsid w:val="007B044F"/>
    <w:rsid w:val="007B0649"/>
    <w:rsid w:val="007B06C3"/>
    <w:rsid w:val="007B1437"/>
    <w:rsid w:val="007B2267"/>
    <w:rsid w:val="007B2729"/>
    <w:rsid w:val="007B2EB5"/>
    <w:rsid w:val="007B326F"/>
    <w:rsid w:val="007B3F4A"/>
    <w:rsid w:val="007B517A"/>
    <w:rsid w:val="007B5A14"/>
    <w:rsid w:val="007B5AD3"/>
    <w:rsid w:val="007B5BE7"/>
    <w:rsid w:val="007B766A"/>
    <w:rsid w:val="007B77A5"/>
    <w:rsid w:val="007C05D7"/>
    <w:rsid w:val="007C05E1"/>
    <w:rsid w:val="007C0C08"/>
    <w:rsid w:val="007C1D0F"/>
    <w:rsid w:val="007C1DD5"/>
    <w:rsid w:val="007C256B"/>
    <w:rsid w:val="007C4EEB"/>
    <w:rsid w:val="007C521F"/>
    <w:rsid w:val="007C53EE"/>
    <w:rsid w:val="007C5664"/>
    <w:rsid w:val="007C6CBE"/>
    <w:rsid w:val="007C6CC4"/>
    <w:rsid w:val="007C7210"/>
    <w:rsid w:val="007C735A"/>
    <w:rsid w:val="007C739B"/>
    <w:rsid w:val="007C7BAB"/>
    <w:rsid w:val="007C7D8D"/>
    <w:rsid w:val="007D0040"/>
    <w:rsid w:val="007D0EB5"/>
    <w:rsid w:val="007D11A5"/>
    <w:rsid w:val="007D1A08"/>
    <w:rsid w:val="007D1BCE"/>
    <w:rsid w:val="007D2976"/>
    <w:rsid w:val="007D3667"/>
    <w:rsid w:val="007D3A19"/>
    <w:rsid w:val="007D40ED"/>
    <w:rsid w:val="007D4413"/>
    <w:rsid w:val="007D585E"/>
    <w:rsid w:val="007D5A4E"/>
    <w:rsid w:val="007D625D"/>
    <w:rsid w:val="007D62EF"/>
    <w:rsid w:val="007D6647"/>
    <w:rsid w:val="007D68B8"/>
    <w:rsid w:val="007D77AB"/>
    <w:rsid w:val="007E0522"/>
    <w:rsid w:val="007E0C71"/>
    <w:rsid w:val="007E1981"/>
    <w:rsid w:val="007E2B1C"/>
    <w:rsid w:val="007E2D65"/>
    <w:rsid w:val="007E2D6E"/>
    <w:rsid w:val="007E2F6D"/>
    <w:rsid w:val="007E3859"/>
    <w:rsid w:val="007E3E59"/>
    <w:rsid w:val="007E4BE6"/>
    <w:rsid w:val="007E5C31"/>
    <w:rsid w:val="007E624B"/>
    <w:rsid w:val="007E668A"/>
    <w:rsid w:val="007E6E53"/>
    <w:rsid w:val="007E7CC7"/>
    <w:rsid w:val="007E7F57"/>
    <w:rsid w:val="007F0327"/>
    <w:rsid w:val="007F08DD"/>
    <w:rsid w:val="007F09C1"/>
    <w:rsid w:val="007F0D03"/>
    <w:rsid w:val="007F0DCD"/>
    <w:rsid w:val="007F20CF"/>
    <w:rsid w:val="007F2885"/>
    <w:rsid w:val="007F2953"/>
    <w:rsid w:val="007F34A7"/>
    <w:rsid w:val="007F403D"/>
    <w:rsid w:val="007F428E"/>
    <w:rsid w:val="007F4C12"/>
    <w:rsid w:val="007F4E27"/>
    <w:rsid w:val="007F57B4"/>
    <w:rsid w:val="007F5ADD"/>
    <w:rsid w:val="007F6D8D"/>
    <w:rsid w:val="007F743D"/>
    <w:rsid w:val="007F7656"/>
    <w:rsid w:val="007F7B2E"/>
    <w:rsid w:val="007F7E64"/>
    <w:rsid w:val="00800B6A"/>
    <w:rsid w:val="00800FFA"/>
    <w:rsid w:val="0080154A"/>
    <w:rsid w:val="00801AC6"/>
    <w:rsid w:val="00802388"/>
    <w:rsid w:val="00802477"/>
    <w:rsid w:val="00802679"/>
    <w:rsid w:val="00803294"/>
    <w:rsid w:val="008036AD"/>
    <w:rsid w:val="00803737"/>
    <w:rsid w:val="008047C5"/>
    <w:rsid w:val="00804BF7"/>
    <w:rsid w:val="00805512"/>
    <w:rsid w:val="008055FA"/>
    <w:rsid w:val="00805BC9"/>
    <w:rsid w:val="00805D31"/>
    <w:rsid w:val="00806031"/>
    <w:rsid w:val="00806194"/>
    <w:rsid w:val="0080669A"/>
    <w:rsid w:val="008066AD"/>
    <w:rsid w:val="0080698E"/>
    <w:rsid w:val="00807651"/>
    <w:rsid w:val="008079CA"/>
    <w:rsid w:val="008104DC"/>
    <w:rsid w:val="008110D8"/>
    <w:rsid w:val="008126A5"/>
    <w:rsid w:val="008127E8"/>
    <w:rsid w:val="00812B88"/>
    <w:rsid w:val="008130A3"/>
    <w:rsid w:val="008132C1"/>
    <w:rsid w:val="00813416"/>
    <w:rsid w:val="00813FBB"/>
    <w:rsid w:val="008144A1"/>
    <w:rsid w:val="0081452A"/>
    <w:rsid w:val="00814883"/>
    <w:rsid w:val="008149D5"/>
    <w:rsid w:val="008157AA"/>
    <w:rsid w:val="00815EDD"/>
    <w:rsid w:val="008163E4"/>
    <w:rsid w:val="00816A7E"/>
    <w:rsid w:val="008172D7"/>
    <w:rsid w:val="00817421"/>
    <w:rsid w:val="0082126C"/>
    <w:rsid w:val="008217B0"/>
    <w:rsid w:val="00821894"/>
    <w:rsid w:val="00821AD2"/>
    <w:rsid w:val="00821EFF"/>
    <w:rsid w:val="00821F14"/>
    <w:rsid w:val="0082233E"/>
    <w:rsid w:val="008228E7"/>
    <w:rsid w:val="00822A9D"/>
    <w:rsid w:val="00822C12"/>
    <w:rsid w:val="00822E97"/>
    <w:rsid w:val="00822F01"/>
    <w:rsid w:val="00823C27"/>
    <w:rsid w:val="0082404E"/>
    <w:rsid w:val="00824779"/>
    <w:rsid w:val="00824A98"/>
    <w:rsid w:val="008257A3"/>
    <w:rsid w:val="00826459"/>
    <w:rsid w:val="00826B0C"/>
    <w:rsid w:val="008305E5"/>
    <w:rsid w:val="00830852"/>
    <w:rsid w:val="00830856"/>
    <w:rsid w:val="008312EC"/>
    <w:rsid w:val="00831E53"/>
    <w:rsid w:val="0083252F"/>
    <w:rsid w:val="00832628"/>
    <w:rsid w:val="0083273C"/>
    <w:rsid w:val="00833A21"/>
    <w:rsid w:val="008342B3"/>
    <w:rsid w:val="008345AF"/>
    <w:rsid w:val="008348EA"/>
    <w:rsid w:val="008350FA"/>
    <w:rsid w:val="008351F6"/>
    <w:rsid w:val="00835B00"/>
    <w:rsid w:val="00836033"/>
    <w:rsid w:val="00836663"/>
    <w:rsid w:val="00836751"/>
    <w:rsid w:val="00836759"/>
    <w:rsid w:val="00836DFE"/>
    <w:rsid w:val="00837F5D"/>
    <w:rsid w:val="00840627"/>
    <w:rsid w:val="00840A2D"/>
    <w:rsid w:val="00842F3C"/>
    <w:rsid w:val="008432D0"/>
    <w:rsid w:val="0084370A"/>
    <w:rsid w:val="00843CE5"/>
    <w:rsid w:val="00844F0E"/>
    <w:rsid w:val="008452AB"/>
    <w:rsid w:val="00846808"/>
    <w:rsid w:val="00846DD6"/>
    <w:rsid w:val="00847145"/>
    <w:rsid w:val="00847244"/>
    <w:rsid w:val="00847D6D"/>
    <w:rsid w:val="008501AE"/>
    <w:rsid w:val="0085050A"/>
    <w:rsid w:val="008509A1"/>
    <w:rsid w:val="0085114D"/>
    <w:rsid w:val="0085127C"/>
    <w:rsid w:val="00851A94"/>
    <w:rsid w:val="00851BCB"/>
    <w:rsid w:val="00851E33"/>
    <w:rsid w:val="00851F76"/>
    <w:rsid w:val="00851F8A"/>
    <w:rsid w:val="00852D04"/>
    <w:rsid w:val="008532DB"/>
    <w:rsid w:val="008535A6"/>
    <w:rsid w:val="008543FC"/>
    <w:rsid w:val="008547FC"/>
    <w:rsid w:val="00854902"/>
    <w:rsid w:val="008558BF"/>
    <w:rsid w:val="0085653C"/>
    <w:rsid w:val="00856CF7"/>
    <w:rsid w:val="0085729F"/>
    <w:rsid w:val="008572B9"/>
    <w:rsid w:val="008579AB"/>
    <w:rsid w:val="00857B60"/>
    <w:rsid w:val="00860D3A"/>
    <w:rsid w:val="00861964"/>
    <w:rsid w:val="0086232C"/>
    <w:rsid w:val="008626A1"/>
    <w:rsid w:val="008628D1"/>
    <w:rsid w:val="008631CC"/>
    <w:rsid w:val="008634E1"/>
    <w:rsid w:val="00863762"/>
    <w:rsid w:val="008640AD"/>
    <w:rsid w:val="00865A08"/>
    <w:rsid w:val="00865EDD"/>
    <w:rsid w:val="008666CD"/>
    <w:rsid w:val="0086702D"/>
    <w:rsid w:val="008670FF"/>
    <w:rsid w:val="00867DF7"/>
    <w:rsid w:val="00870D25"/>
    <w:rsid w:val="00871D43"/>
    <w:rsid w:val="00871F08"/>
    <w:rsid w:val="0087348A"/>
    <w:rsid w:val="008735F1"/>
    <w:rsid w:val="008768E1"/>
    <w:rsid w:val="00876A28"/>
    <w:rsid w:val="00876D19"/>
    <w:rsid w:val="00876F54"/>
    <w:rsid w:val="00880115"/>
    <w:rsid w:val="0088048A"/>
    <w:rsid w:val="0088124D"/>
    <w:rsid w:val="00881286"/>
    <w:rsid w:val="00881B1F"/>
    <w:rsid w:val="00882D00"/>
    <w:rsid w:val="00882E5A"/>
    <w:rsid w:val="00883749"/>
    <w:rsid w:val="00884049"/>
    <w:rsid w:val="0088408E"/>
    <w:rsid w:val="00884806"/>
    <w:rsid w:val="00884A8F"/>
    <w:rsid w:val="00884BC3"/>
    <w:rsid w:val="008852DB"/>
    <w:rsid w:val="00885702"/>
    <w:rsid w:val="00885823"/>
    <w:rsid w:val="00885A3D"/>
    <w:rsid w:val="00885BEF"/>
    <w:rsid w:val="00885E0A"/>
    <w:rsid w:val="00885EBD"/>
    <w:rsid w:val="00886414"/>
    <w:rsid w:val="0088646F"/>
    <w:rsid w:val="00886EB3"/>
    <w:rsid w:val="00887F01"/>
    <w:rsid w:val="008902E5"/>
    <w:rsid w:val="00890788"/>
    <w:rsid w:val="008909BC"/>
    <w:rsid w:val="008916FD"/>
    <w:rsid w:val="00891990"/>
    <w:rsid w:val="00891A71"/>
    <w:rsid w:val="00891C68"/>
    <w:rsid w:val="0089225C"/>
    <w:rsid w:val="008922D2"/>
    <w:rsid w:val="00892653"/>
    <w:rsid w:val="00892A19"/>
    <w:rsid w:val="00893518"/>
    <w:rsid w:val="00894196"/>
    <w:rsid w:val="008942D6"/>
    <w:rsid w:val="00895882"/>
    <w:rsid w:val="00897A78"/>
    <w:rsid w:val="00897FEE"/>
    <w:rsid w:val="008A0451"/>
    <w:rsid w:val="008A21DC"/>
    <w:rsid w:val="008A34AB"/>
    <w:rsid w:val="008A360A"/>
    <w:rsid w:val="008A3DD2"/>
    <w:rsid w:val="008A447B"/>
    <w:rsid w:val="008A4A48"/>
    <w:rsid w:val="008A5317"/>
    <w:rsid w:val="008A57DA"/>
    <w:rsid w:val="008A5A30"/>
    <w:rsid w:val="008A5C47"/>
    <w:rsid w:val="008A5FBA"/>
    <w:rsid w:val="008A606E"/>
    <w:rsid w:val="008A6911"/>
    <w:rsid w:val="008A6FAD"/>
    <w:rsid w:val="008A7665"/>
    <w:rsid w:val="008A76EF"/>
    <w:rsid w:val="008A7793"/>
    <w:rsid w:val="008A7A35"/>
    <w:rsid w:val="008B1013"/>
    <w:rsid w:val="008B14C7"/>
    <w:rsid w:val="008B2530"/>
    <w:rsid w:val="008B2584"/>
    <w:rsid w:val="008B2686"/>
    <w:rsid w:val="008B2EE4"/>
    <w:rsid w:val="008B3701"/>
    <w:rsid w:val="008B391A"/>
    <w:rsid w:val="008B4729"/>
    <w:rsid w:val="008B569D"/>
    <w:rsid w:val="008B67FD"/>
    <w:rsid w:val="008B6F72"/>
    <w:rsid w:val="008B70FD"/>
    <w:rsid w:val="008B70FF"/>
    <w:rsid w:val="008B743D"/>
    <w:rsid w:val="008C00F0"/>
    <w:rsid w:val="008C194F"/>
    <w:rsid w:val="008C1A16"/>
    <w:rsid w:val="008C2AFB"/>
    <w:rsid w:val="008C38FD"/>
    <w:rsid w:val="008C3B0D"/>
    <w:rsid w:val="008C3F11"/>
    <w:rsid w:val="008C41BF"/>
    <w:rsid w:val="008C447A"/>
    <w:rsid w:val="008C4A8A"/>
    <w:rsid w:val="008C4ECB"/>
    <w:rsid w:val="008C5995"/>
    <w:rsid w:val="008C6975"/>
    <w:rsid w:val="008C7026"/>
    <w:rsid w:val="008D01A4"/>
    <w:rsid w:val="008D01F9"/>
    <w:rsid w:val="008D0418"/>
    <w:rsid w:val="008D04A5"/>
    <w:rsid w:val="008D0F2A"/>
    <w:rsid w:val="008D1271"/>
    <w:rsid w:val="008D12D9"/>
    <w:rsid w:val="008D1540"/>
    <w:rsid w:val="008D2628"/>
    <w:rsid w:val="008D2DB5"/>
    <w:rsid w:val="008D3E01"/>
    <w:rsid w:val="008D61EC"/>
    <w:rsid w:val="008D637C"/>
    <w:rsid w:val="008D68E4"/>
    <w:rsid w:val="008D721F"/>
    <w:rsid w:val="008D74BD"/>
    <w:rsid w:val="008D7EE4"/>
    <w:rsid w:val="008E04B5"/>
    <w:rsid w:val="008E1649"/>
    <w:rsid w:val="008E1B74"/>
    <w:rsid w:val="008E1DDD"/>
    <w:rsid w:val="008E24D2"/>
    <w:rsid w:val="008E2A24"/>
    <w:rsid w:val="008E2C43"/>
    <w:rsid w:val="008E3E08"/>
    <w:rsid w:val="008E3EDB"/>
    <w:rsid w:val="008E42FB"/>
    <w:rsid w:val="008E4686"/>
    <w:rsid w:val="008E4EA8"/>
    <w:rsid w:val="008E54E8"/>
    <w:rsid w:val="008E6342"/>
    <w:rsid w:val="008E731D"/>
    <w:rsid w:val="008E7550"/>
    <w:rsid w:val="008E7CCD"/>
    <w:rsid w:val="008E7DD9"/>
    <w:rsid w:val="008E7E21"/>
    <w:rsid w:val="008E7E9A"/>
    <w:rsid w:val="008F0CF7"/>
    <w:rsid w:val="008F1362"/>
    <w:rsid w:val="008F1AC1"/>
    <w:rsid w:val="008F1D94"/>
    <w:rsid w:val="008F247C"/>
    <w:rsid w:val="008F2A92"/>
    <w:rsid w:val="008F2B60"/>
    <w:rsid w:val="008F2CE2"/>
    <w:rsid w:val="008F3303"/>
    <w:rsid w:val="008F3B09"/>
    <w:rsid w:val="008F425B"/>
    <w:rsid w:val="008F4D48"/>
    <w:rsid w:val="008F63DE"/>
    <w:rsid w:val="008F6D5E"/>
    <w:rsid w:val="008F766B"/>
    <w:rsid w:val="008F77E2"/>
    <w:rsid w:val="00900434"/>
    <w:rsid w:val="009006D7"/>
    <w:rsid w:val="0090084E"/>
    <w:rsid w:val="009013E6"/>
    <w:rsid w:val="009014D5"/>
    <w:rsid w:val="00902470"/>
    <w:rsid w:val="009028DF"/>
    <w:rsid w:val="00902A13"/>
    <w:rsid w:val="0090328B"/>
    <w:rsid w:val="0090358F"/>
    <w:rsid w:val="0090363D"/>
    <w:rsid w:val="0090397C"/>
    <w:rsid w:val="0090449E"/>
    <w:rsid w:val="0090470C"/>
    <w:rsid w:val="00904859"/>
    <w:rsid w:val="009052BB"/>
    <w:rsid w:val="009068B0"/>
    <w:rsid w:val="00906D8C"/>
    <w:rsid w:val="00906F36"/>
    <w:rsid w:val="009071C3"/>
    <w:rsid w:val="00907200"/>
    <w:rsid w:val="00907B4C"/>
    <w:rsid w:val="00910234"/>
    <w:rsid w:val="009102DE"/>
    <w:rsid w:val="0091068B"/>
    <w:rsid w:val="009108D3"/>
    <w:rsid w:val="00910AC9"/>
    <w:rsid w:val="00910B1E"/>
    <w:rsid w:val="009114B4"/>
    <w:rsid w:val="00911A25"/>
    <w:rsid w:val="00911DBF"/>
    <w:rsid w:val="00911F75"/>
    <w:rsid w:val="009122BE"/>
    <w:rsid w:val="00912627"/>
    <w:rsid w:val="0091384E"/>
    <w:rsid w:val="00913F28"/>
    <w:rsid w:val="00914015"/>
    <w:rsid w:val="00914527"/>
    <w:rsid w:val="00914797"/>
    <w:rsid w:val="00914FB4"/>
    <w:rsid w:val="00915577"/>
    <w:rsid w:val="009160AE"/>
    <w:rsid w:val="00916332"/>
    <w:rsid w:val="00916C01"/>
    <w:rsid w:val="00916FCC"/>
    <w:rsid w:val="009173A1"/>
    <w:rsid w:val="009174B7"/>
    <w:rsid w:val="00917ACA"/>
    <w:rsid w:val="00917D77"/>
    <w:rsid w:val="00917DBF"/>
    <w:rsid w:val="00920113"/>
    <w:rsid w:val="0092011C"/>
    <w:rsid w:val="009209BB"/>
    <w:rsid w:val="0092111B"/>
    <w:rsid w:val="00921149"/>
    <w:rsid w:val="00921275"/>
    <w:rsid w:val="00922D9D"/>
    <w:rsid w:val="009230DE"/>
    <w:rsid w:val="0092323B"/>
    <w:rsid w:val="00923F80"/>
    <w:rsid w:val="00925C56"/>
    <w:rsid w:val="00925F2C"/>
    <w:rsid w:val="009274C3"/>
    <w:rsid w:val="0092791E"/>
    <w:rsid w:val="00927C71"/>
    <w:rsid w:val="00927D6E"/>
    <w:rsid w:val="00927E16"/>
    <w:rsid w:val="00927FC8"/>
    <w:rsid w:val="00931987"/>
    <w:rsid w:val="00931B7A"/>
    <w:rsid w:val="00933524"/>
    <w:rsid w:val="009339AB"/>
    <w:rsid w:val="00933A8C"/>
    <w:rsid w:val="00933D12"/>
    <w:rsid w:val="00934A03"/>
    <w:rsid w:val="009354B5"/>
    <w:rsid w:val="00937483"/>
    <w:rsid w:val="009407B8"/>
    <w:rsid w:val="00940832"/>
    <w:rsid w:val="00940D03"/>
    <w:rsid w:val="00940E10"/>
    <w:rsid w:val="009411B9"/>
    <w:rsid w:val="00941B2C"/>
    <w:rsid w:val="00942056"/>
    <w:rsid w:val="0094277D"/>
    <w:rsid w:val="00942AB6"/>
    <w:rsid w:val="009430BC"/>
    <w:rsid w:val="009438DC"/>
    <w:rsid w:val="00943BE5"/>
    <w:rsid w:val="00944078"/>
    <w:rsid w:val="009446D9"/>
    <w:rsid w:val="00945818"/>
    <w:rsid w:val="00945BB5"/>
    <w:rsid w:val="00946568"/>
    <w:rsid w:val="0094663A"/>
    <w:rsid w:val="009476A0"/>
    <w:rsid w:val="0094791F"/>
    <w:rsid w:val="00947979"/>
    <w:rsid w:val="00947BFB"/>
    <w:rsid w:val="00950697"/>
    <w:rsid w:val="00951830"/>
    <w:rsid w:val="009523FC"/>
    <w:rsid w:val="00952B33"/>
    <w:rsid w:val="0095314D"/>
    <w:rsid w:val="0095368B"/>
    <w:rsid w:val="0095415E"/>
    <w:rsid w:val="00954BDA"/>
    <w:rsid w:val="00955017"/>
    <w:rsid w:val="009558BE"/>
    <w:rsid w:val="00956AA2"/>
    <w:rsid w:val="00956BEF"/>
    <w:rsid w:val="00957290"/>
    <w:rsid w:val="009574E2"/>
    <w:rsid w:val="00960381"/>
    <w:rsid w:val="00960745"/>
    <w:rsid w:val="00960E4F"/>
    <w:rsid w:val="009613DF"/>
    <w:rsid w:val="00961B65"/>
    <w:rsid w:val="00961FBD"/>
    <w:rsid w:val="0096219E"/>
    <w:rsid w:val="00962ADC"/>
    <w:rsid w:val="009631F8"/>
    <w:rsid w:val="009639A1"/>
    <w:rsid w:val="009639A3"/>
    <w:rsid w:val="00964219"/>
    <w:rsid w:val="009646A6"/>
    <w:rsid w:val="00964721"/>
    <w:rsid w:val="00964F5C"/>
    <w:rsid w:val="0096559F"/>
    <w:rsid w:val="00965A93"/>
    <w:rsid w:val="0096616B"/>
    <w:rsid w:val="00966E71"/>
    <w:rsid w:val="00967D71"/>
    <w:rsid w:val="009702BC"/>
    <w:rsid w:val="009709DC"/>
    <w:rsid w:val="00970CA0"/>
    <w:rsid w:val="0097110B"/>
    <w:rsid w:val="00971B18"/>
    <w:rsid w:val="009723E5"/>
    <w:rsid w:val="0097262F"/>
    <w:rsid w:val="0097287E"/>
    <w:rsid w:val="00972D92"/>
    <w:rsid w:val="00972EBD"/>
    <w:rsid w:val="00972FDE"/>
    <w:rsid w:val="00973856"/>
    <w:rsid w:val="00973F16"/>
    <w:rsid w:val="00974894"/>
    <w:rsid w:val="00975128"/>
    <w:rsid w:val="00975B77"/>
    <w:rsid w:val="00975E41"/>
    <w:rsid w:val="00975F63"/>
    <w:rsid w:val="009760ED"/>
    <w:rsid w:val="0097672B"/>
    <w:rsid w:val="00976BAA"/>
    <w:rsid w:val="00976F02"/>
    <w:rsid w:val="00977358"/>
    <w:rsid w:val="009775F6"/>
    <w:rsid w:val="00977C66"/>
    <w:rsid w:val="00977EFB"/>
    <w:rsid w:val="00980089"/>
    <w:rsid w:val="00980435"/>
    <w:rsid w:val="009818C8"/>
    <w:rsid w:val="009819CE"/>
    <w:rsid w:val="00982074"/>
    <w:rsid w:val="00983A46"/>
    <w:rsid w:val="00983A81"/>
    <w:rsid w:val="00983C2A"/>
    <w:rsid w:val="00983F91"/>
    <w:rsid w:val="0098480E"/>
    <w:rsid w:val="009849AB"/>
    <w:rsid w:val="00984A94"/>
    <w:rsid w:val="00984C0C"/>
    <w:rsid w:val="00984C74"/>
    <w:rsid w:val="00984F11"/>
    <w:rsid w:val="0098621E"/>
    <w:rsid w:val="009868FB"/>
    <w:rsid w:val="00987644"/>
    <w:rsid w:val="009876BA"/>
    <w:rsid w:val="00987A2A"/>
    <w:rsid w:val="0099178C"/>
    <w:rsid w:val="009923C0"/>
    <w:rsid w:val="00992C31"/>
    <w:rsid w:val="00993F01"/>
    <w:rsid w:val="0099415F"/>
    <w:rsid w:val="00994E34"/>
    <w:rsid w:val="009952AD"/>
    <w:rsid w:val="00995650"/>
    <w:rsid w:val="0099574C"/>
    <w:rsid w:val="009959FC"/>
    <w:rsid w:val="00995BBF"/>
    <w:rsid w:val="00995F5D"/>
    <w:rsid w:val="0099623D"/>
    <w:rsid w:val="00996E1D"/>
    <w:rsid w:val="009972C8"/>
    <w:rsid w:val="00997B46"/>
    <w:rsid w:val="009A000D"/>
    <w:rsid w:val="009A01F0"/>
    <w:rsid w:val="009A0967"/>
    <w:rsid w:val="009A1121"/>
    <w:rsid w:val="009A14B8"/>
    <w:rsid w:val="009A3285"/>
    <w:rsid w:val="009A39B5"/>
    <w:rsid w:val="009A4EC3"/>
    <w:rsid w:val="009A5855"/>
    <w:rsid w:val="009A6EC5"/>
    <w:rsid w:val="009A7AFF"/>
    <w:rsid w:val="009A7BD7"/>
    <w:rsid w:val="009A7D4D"/>
    <w:rsid w:val="009B0E95"/>
    <w:rsid w:val="009B0EF1"/>
    <w:rsid w:val="009B1730"/>
    <w:rsid w:val="009B18B5"/>
    <w:rsid w:val="009B1F43"/>
    <w:rsid w:val="009B30F4"/>
    <w:rsid w:val="009B33F4"/>
    <w:rsid w:val="009B35F7"/>
    <w:rsid w:val="009B3DF6"/>
    <w:rsid w:val="009B403B"/>
    <w:rsid w:val="009B429B"/>
    <w:rsid w:val="009B438E"/>
    <w:rsid w:val="009B4775"/>
    <w:rsid w:val="009B4B2B"/>
    <w:rsid w:val="009B4B5F"/>
    <w:rsid w:val="009B500C"/>
    <w:rsid w:val="009B5CF5"/>
    <w:rsid w:val="009B6872"/>
    <w:rsid w:val="009B799F"/>
    <w:rsid w:val="009B7A2D"/>
    <w:rsid w:val="009C0235"/>
    <w:rsid w:val="009C0978"/>
    <w:rsid w:val="009C1342"/>
    <w:rsid w:val="009C1456"/>
    <w:rsid w:val="009C1515"/>
    <w:rsid w:val="009C30DF"/>
    <w:rsid w:val="009C410C"/>
    <w:rsid w:val="009C4B72"/>
    <w:rsid w:val="009C5005"/>
    <w:rsid w:val="009C5A2E"/>
    <w:rsid w:val="009C7671"/>
    <w:rsid w:val="009C7AB5"/>
    <w:rsid w:val="009D09BA"/>
    <w:rsid w:val="009D1271"/>
    <w:rsid w:val="009D212A"/>
    <w:rsid w:val="009D2B23"/>
    <w:rsid w:val="009D3F74"/>
    <w:rsid w:val="009D4D10"/>
    <w:rsid w:val="009D4E66"/>
    <w:rsid w:val="009D5020"/>
    <w:rsid w:val="009D53ED"/>
    <w:rsid w:val="009D5625"/>
    <w:rsid w:val="009D5E3E"/>
    <w:rsid w:val="009D5ECB"/>
    <w:rsid w:val="009D6725"/>
    <w:rsid w:val="009D6931"/>
    <w:rsid w:val="009D6977"/>
    <w:rsid w:val="009D6D35"/>
    <w:rsid w:val="009D6EA4"/>
    <w:rsid w:val="009D6F24"/>
    <w:rsid w:val="009D7353"/>
    <w:rsid w:val="009D751C"/>
    <w:rsid w:val="009D7DC3"/>
    <w:rsid w:val="009E09EB"/>
    <w:rsid w:val="009E0C78"/>
    <w:rsid w:val="009E11CA"/>
    <w:rsid w:val="009E1383"/>
    <w:rsid w:val="009E1764"/>
    <w:rsid w:val="009E1D33"/>
    <w:rsid w:val="009E2201"/>
    <w:rsid w:val="009E27D9"/>
    <w:rsid w:val="009E29AB"/>
    <w:rsid w:val="009E2F82"/>
    <w:rsid w:val="009E3C68"/>
    <w:rsid w:val="009E5AFF"/>
    <w:rsid w:val="009E5C6C"/>
    <w:rsid w:val="009E5D80"/>
    <w:rsid w:val="009E621A"/>
    <w:rsid w:val="009E6570"/>
    <w:rsid w:val="009E6954"/>
    <w:rsid w:val="009E6DC5"/>
    <w:rsid w:val="009E7905"/>
    <w:rsid w:val="009F0116"/>
    <w:rsid w:val="009F1146"/>
    <w:rsid w:val="009F1359"/>
    <w:rsid w:val="009F15B4"/>
    <w:rsid w:val="009F2362"/>
    <w:rsid w:val="009F2E5F"/>
    <w:rsid w:val="009F39D3"/>
    <w:rsid w:val="009F3A43"/>
    <w:rsid w:val="009F3C1F"/>
    <w:rsid w:val="009F5700"/>
    <w:rsid w:val="009F64F3"/>
    <w:rsid w:val="009F6984"/>
    <w:rsid w:val="00A004FB"/>
    <w:rsid w:val="00A0056B"/>
    <w:rsid w:val="00A018F5"/>
    <w:rsid w:val="00A02194"/>
    <w:rsid w:val="00A02A96"/>
    <w:rsid w:val="00A02AC8"/>
    <w:rsid w:val="00A02D6C"/>
    <w:rsid w:val="00A031C3"/>
    <w:rsid w:val="00A03545"/>
    <w:rsid w:val="00A03BA7"/>
    <w:rsid w:val="00A0403B"/>
    <w:rsid w:val="00A045F0"/>
    <w:rsid w:val="00A04C91"/>
    <w:rsid w:val="00A0508C"/>
    <w:rsid w:val="00A05599"/>
    <w:rsid w:val="00A05B01"/>
    <w:rsid w:val="00A06B11"/>
    <w:rsid w:val="00A06D48"/>
    <w:rsid w:val="00A071FC"/>
    <w:rsid w:val="00A07EC6"/>
    <w:rsid w:val="00A1014B"/>
    <w:rsid w:val="00A10D6D"/>
    <w:rsid w:val="00A10E08"/>
    <w:rsid w:val="00A1104B"/>
    <w:rsid w:val="00A11225"/>
    <w:rsid w:val="00A11676"/>
    <w:rsid w:val="00A11802"/>
    <w:rsid w:val="00A119FA"/>
    <w:rsid w:val="00A1266E"/>
    <w:rsid w:val="00A1269A"/>
    <w:rsid w:val="00A13713"/>
    <w:rsid w:val="00A13790"/>
    <w:rsid w:val="00A139AC"/>
    <w:rsid w:val="00A140F3"/>
    <w:rsid w:val="00A14383"/>
    <w:rsid w:val="00A14FF5"/>
    <w:rsid w:val="00A152AE"/>
    <w:rsid w:val="00A15CBF"/>
    <w:rsid w:val="00A15D97"/>
    <w:rsid w:val="00A1641A"/>
    <w:rsid w:val="00A16C21"/>
    <w:rsid w:val="00A17015"/>
    <w:rsid w:val="00A1701A"/>
    <w:rsid w:val="00A17249"/>
    <w:rsid w:val="00A17424"/>
    <w:rsid w:val="00A17E31"/>
    <w:rsid w:val="00A17ECF"/>
    <w:rsid w:val="00A204C1"/>
    <w:rsid w:val="00A20C06"/>
    <w:rsid w:val="00A20C75"/>
    <w:rsid w:val="00A20DBB"/>
    <w:rsid w:val="00A21ED3"/>
    <w:rsid w:val="00A221CE"/>
    <w:rsid w:val="00A226B0"/>
    <w:rsid w:val="00A239B7"/>
    <w:rsid w:val="00A23ED4"/>
    <w:rsid w:val="00A2404F"/>
    <w:rsid w:val="00A242FC"/>
    <w:rsid w:val="00A25E8C"/>
    <w:rsid w:val="00A261A1"/>
    <w:rsid w:val="00A27046"/>
    <w:rsid w:val="00A2715F"/>
    <w:rsid w:val="00A27455"/>
    <w:rsid w:val="00A308E3"/>
    <w:rsid w:val="00A3192C"/>
    <w:rsid w:val="00A32254"/>
    <w:rsid w:val="00A32679"/>
    <w:rsid w:val="00A32A45"/>
    <w:rsid w:val="00A33066"/>
    <w:rsid w:val="00A33380"/>
    <w:rsid w:val="00A337FF"/>
    <w:rsid w:val="00A34B33"/>
    <w:rsid w:val="00A353E2"/>
    <w:rsid w:val="00A359A1"/>
    <w:rsid w:val="00A35D88"/>
    <w:rsid w:val="00A35EBA"/>
    <w:rsid w:val="00A369B8"/>
    <w:rsid w:val="00A371F0"/>
    <w:rsid w:val="00A37932"/>
    <w:rsid w:val="00A37EED"/>
    <w:rsid w:val="00A401F2"/>
    <w:rsid w:val="00A406D2"/>
    <w:rsid w:val="00A4137E"/>
    <w:rsid w:val="00A4159E"/>
    <w:rsid w:val="00A42A9A"/>
    <w:rsid w:val="00A442B5"/>
    <w:rsid w:val="00A449CF"/>
    <w:rsid w:val="00A44F0C"/>
    <w:rsid w:val="00A460BA"/>
    <w:rsid w:val="00A50E4C"/>
    <w:rsid w:val="00A5193D"/>
    <w:rsid w:val="00A53701"/>
    <w:rsid w:val="00A53B73"/>
    <w:rsid w:val="00A54C3B"/>
    <w:rsid w:val="00A55A5B"/>
    <w:rsid w:val="00A57090"/>
    <w:rsid w:val="00A571E5"/>
    <w:rsid w:val="00A57391"/>
    <w:rsid w:val="00A5783C"/>
    <w:rsid w:val="00A57CBE"/>
    <w:rsid w:val="00A6041E"/>
    <w:rsid w:val="00A60DCC"/>
    <w:rsid w:val="00A60E63"/>
    <w:rsid w:val="00A61018"/>
    <w:rsid w:val="00A6146F"/>
    <w:rsid w:val="00A61474"/>
    <w:rsid w:val="00A61B81"/>
    <w:rsid w:val="00A62918"/>
    <w:rsid w:val="00A629F7"/>
    <w:rsid w:val="00A63151"/>
    <w:rsid w:val="00A638EA"/>
    <w:rsid w:val="00A63923"/>
    <w:rsid w:val="00A63F7E"/>
    <w:rsid w:val="00A6422F"/>
    <w:rsid w:val="00A6442C"/>
    <w:rsid w:val="00A6452A"/>
    <w:rsid w:val="00A6475E"/>
    <w:rsid w:val="00A64ACB"/>
    <w:rsid w:val="00A6547B"/>
    <w:rsid w:val="00A65617"/>
    <w:rsid w:val="00A656FD"/>
    <w:rsid w:val="00A65C26"/>
    <w:rsid w:val="00A65D51"/>
    <w:rsid w:val="00A664E1"/>
    <w:rsid w:val="00A66F9B"/>
    <w:rsid w:val="00A6752A"/>
    <w:rsid w:val="00A677A9"/>
    <w:rsid w:val="00A67A91"/>
    <w:rsid w:val="00A67B6A"/>
    <w:rsid w:val="00A67BF1"/>
    <w:rsid w:val="00A67D60"/>
    <w:rsid w:val="00A705CC"/>
    <w:rsid w:val="00A70ACB"/>
    <w:rsid w:val="00A712FD"/>
    <w:rsid w:val="00A71A4F"/>
    <w:rsid w:val="00A7222F"/>
    <w:rsid w:val="00A723F8"/>
    <w:rsid w:val="00A72EF3"/>
    <w:rsid w:val="00A72F2A"/>
    <w:rsid w:val="00A73C2E"/>
    <w:rsid w:val="00A7487A"/>
    <w:rsid w:val="00A74ADE"/>
    <w:rsid w:val="00A74FB4"/>
    <w:rsid w:val="00A75373"/>
    <w:rsid w:val="00A75378"/>
    <w:rsid w:val="00A75BAE"/>
    <w:rsid w:val="00A76F22"/>
    <w:rsid w:val="00A80842"/>
    <w:rsid w:val="00A8152B"/>
    <w:rsid w:val="00A81F95"/>
    <w:rsid w:val="00A81FC7"/>
    <w:rsid w:val="00A82F84"/>
    <w:rsid w:val="00A837A4"/>
    <w:rsid w:val="00A83CA0"/>
    <w:rsid w:val="00A844BC"/>
    <w:rsid w:val="00A84AE3"/>
    <w:rsid w:val="00A84F44"/>
    <w:rsid w:val="00A8519D"/>
    <w:rsid w:val="00A85844"/>
    <w:rsid w:val="00A85A57"/>
    <w:rsid w:val="00A85C56"/>
    <w:rsid w:val="00A867C1"/>
    <w:rsid w:val="00A86A9D"/>
    <w:rsid w:val="00A87392"/>
    <w:rsid w:val="00A87556"/>
    <w:rsid w:val="00A8776F"/>
    <w:rsid w:val="00A908F8"/>
    <w:rsid w:val="00A90982"/>
    <w:rsid w:val="00A909F2"/>
    <w:rsid w:val="00A91948"/>
    <w:rsid w:val="00A922FF"/>
    <w:rsid w:val="00A928AE"/>
    <w:rsid w:val="00A92CC8"/>
    <w:rsid w:val="00A937BB"/>
    <w:rsid w:val="00A94978"/>
    <w:rsid w:val="00A957D6"/>
    <w:rsid w:val="00A958C7"/>
    <w:rsid w:val="00A95A1F"/>
    <w:rsid w:val="00A95B98"/>
    <w:rsid w:val="00A96616"/>
    <w:rsid w:val="00A966A8"/>
    <w:rsid w:val="00A967B2"/>
    <w:rsid w:val="00A970D7"/>
    <w:rsid w:val="00A97E78"/>
    <w:rsid w:val="00A97F62"/>
    <w:rsid w:val="00AA022C"/>
    <w:rsid w:val="00AA0278"/>
    <w:rsid w:val="00AA02F5"/>
    <w:rsid w:val="00AA06C7"/>
    <w:rsid w:val="00AA19CE"/>
    <w:rsid w:val="00AA2656"/>
    <w:rsid w:val="00AA385E"/>
    <w:rsid w:val="00AA3A47"/>
    <w:rsid w:val="00AA46DF"/>
    <w:rsid w:val="00AA4CCF"/>
    <w:rsid w:val="00AA5104"/>
    <w:rsid w:val="00AA5A36"/>
    <w:rsid w:val="00AA5B35"/>
    <w:rsid w:val="00AA6978"/>
    <w:rsid w:val="00AA6C93"/>
    <w:rsid w:val="00AA7442"/>
    <w:rsid w:val="00AB0482"/>
    <w:rsid w:val="00AB0DE8"/>
    <w:rsid w:val="00AB1738"/>
    <w:rsid w:val="00AB18A9"/>
    <w:rsid w:val="00AB280C"/>
    <w:rsid w:val="00AB3286"/>
    <w:rsid w:val="00AB3362"/>
    <w:rsid w:val="00AB4369"/>
    <w:rsid w:val="00AB4D84"/>
    <w:rsid w:val="00AB52ED"/>
    <w:rsid w:val="00AB56D0"/>
    <w:rsid w:val="00AB580B"/>
    <w:rsid w:val="00AB6467"/>
    <w:rsid w:val="00AB6E84"/>
    <w:rsid w:val="00AB74EF"/>
    <w:rsid w:val="00AC132F"/>
    <w:rsid w:val="00AC14FD"/>
    <w:rsid w:val="00AC2742"/>
    <w:rsid w:val="00AC2DF9"/>
    <w:rsid w:val="00AC3400"/>
    <w:rsid w:val="00AC3916"/>
    <w:rsid w:val="00AC5072"/>
    <w:rsid w:val="00AC5A09"/>
    <w:rsid w:val="00AC6572"/>
    <w:rsid w:val="00AC6706"/>
    <w:rsid w:val="00AC73AC"/>
    <w:rsid w:val="00AC740F"/>
    <w:rsid w:val="00AC7CD9"/>
    <w:rsid w:val="00AC7DB2"/>
    <w:rsid w:val="00AD0449"/>
    <w:rsid w:val="00AD10F1"/>
    <w:rsid w:val="00AD17B6"/>
    <w:rsid w:val="00AD199E"/>
    <w:rsid w:val="00AD247C"/>
    <w:rsid w:val="00AD3BAD"/>
    <w:rsid w:val="00AD3CEC"/>
    <w:rsid w:val="00AD47B8"/>
    <w:rsid w:val="00AD50FD"/>
    <w:rsid w:val="00AD5C0D"/>
    <w:rsid w:val="00AD5D04"/>
    <w:rsid w:val="00AD6217"/>
    <w:rsid w:val="00AD736C"/>
    <w:rsid w:val="00AD7A16"/>
    <w:rsid w:val="00AD7A62"/>
    <w:rsid w:val="00AD7EBA"/>
    <w:rsid w:val="00AE0895"/>
    <w:rsid w:val="00AE0C64"/>
    <w:rsid w:val="00AE0C8B"/>
    <w:rsid w:val="00AE192B"/>
    <w:rsid w:val="00AE1BB7"/>
    <w:rsid w:val="00AE2CAA"/>
    <w:rsid w:val="00AE39F6"/>
    <w:rsid w:val="00AE46B6"/>
    <w:rsid w:val="00AE473F"/>
    <w:rsid w:val="00AE530D"/>
    <w:rsid w:val="00AE5FB0"/>
    <w:rsid w:val="00AE61F7"/>
    <w:rsid w:val="00AE63EE"/>
    <w:rsid w:val="00AE7099"/>
    <w:rsid w:val="00AF0187"/>
    <w:rsid w:val="00AF02A6"/>
    <w:rsid w:val="00AF08C9"/>
    <w:rsid w:val="00AF0AA0"/>
    <w:rsid w:val="00AF1FE8"/>
    <w:rsid w:val="00AF2A6F"/>
    <w:rsid w:val="00AF2E0F"/>
    <w:rsid w:val="00AF357B"/>
    <w:rsid w:val="00AF399B"/>
    <w:rsid w:val="00AF3BFF"/>
    <w:rsid w:val="00AF4098"/>
    <w:rsid w:val="00AF41B1"/>
    <w:rsid w:val="00AF42CA"/>
    <w:rsid w:val="00AF437A"/>
    <w:rsid w:val="00AF44D6"/>
    <w:rsid w:val="00AF5175"/>
    <w:rsid w:val="00AF550C"/>
    <w:rsid w:val="00AF6CCC"/>
    <w:rsid w:val="00AF6ECA"/>
    <w:rsid w:val="00AF7504"/>
    <w:rsid w:val="00B00313"/>
    <w:rsid w:val="00B00576"/>
    <w:rsid w:val="00B0121E"/>
    <w:rsid w:val="00B0126B"/>
    <w:rsid w:val="00B02540"/>
    <w:rsid w:val="00B03052"/>
    <w:rsid w:val="00B0341E"/>
    <w:rsid w:val="00B03900"/>
    <w:rsid w:val="00B03C89"/>
    <w:rsid w:val="00B03D53"/>
    <w:rsid w:val="00B03EB9"/>
    <w:rsid w:val="00B04295"/>
    <w:rsid w:val="00B04A9E"/>
    <w:rsid w:val="00B052E8"/>
    <w:rsid w:val="00B0534C"/>
    <w:rsid w:val="00B05963"/>
    <w:rsid w:val="00B06266"/>
    <w:rsid w:val="00B0771D"/>
    <w:rsid w:val="00B07B4E"/>
    <w:rsid w:val="00B07F78"/>
    <w:rsid w:val="00B1069C"/>
    <w:rsid w:val="00B10CA5"/>
    <w:rsid w:val="00B1129B"/>
    <w:rsid w:val="00B1130D"/>
    <w:rsid w:val="00B113D8"/>
    <w:rsid w:val="00B117C4"/>
    <w:rsid w:val="00B11CDE"/>
    <w:rsid w:val="00B13969"/>
    <w:rsid w:val="00B14C07"/>
    <w:rsid w:val="00B15328"/>
    <w:rsid w:val="00B15365"/>
    <w:rsid w:val="00B160A4"/>
    <w:rsid w:val="00B1626C"/>
    <w:rsid w:val="00B16871"/>
    <w:rsid w:val="00B1692F"/>
    <w:rsid w:val="00B176E2"/>
    <w:rsid w:val="00B17963"/>
    <w:rsid w:val="00B20CCA"/>
    <w:rsid w:val="00B21B23"/>
    <w:rsid w:val="00B22926"/>
    <w:rsid w:val="00B23EC8"/>
    <w:rsid w:val="00B240E6"/>
    <w:rsid w:val="00B2481F"/>
    <w:rsid w:val="00B25559"/>
    <w:rsid w:val="00B25660"/>
    <w:rsid w:val="00B25F64"/>
    <w:rsid w:val="00B26CC6"/>
    <w:rsid w:val="00B26FF7"/>
    <w:rsid w:val="00B270DF"/>
    <w:rsid w:val="00B27EEB"/>
    <w:rsid w:val="00B27FE9"/>
    <w:rsid w:val="00B302FF"/>
    <w:rsid w:val="00B31073"/>
    <w:rsid w:val="00B31227"/>
    <w:rsid w:val="00B31358"/>
    <w:rsid w:val="00B31CBA"/>
    <w:rsid w:val="00B32409"/>
    <w:rsid w:val="00B32421"/>
    <w:rsid w:val="00B32FEF"/>
    <w:rsid w:val="00B33C1D"/>
    <w:rsid w:val="00B341EB"/>
    <w:rsid w:val="00B349AD"/>
    <w:rsid w:val="00B34C36"/>
    <w:rsid w:val="00B36397"/>
    <w:rsid w:val="00B3645A"/>
    <w:rsid w:val="00B36B4B"/>
    <w:rsid w:val="00B37677"/>
    <w:rsid w:val="00B377D9"/>
    <w:rsid w:val="00B379F3"/>
    <w:rsid w:val="00B37A20"/>
    <w:rsid w:val="00B401C3"/>
    <w:rsid w:val="00B40914"/>
    <w:rsid w:val="00B412A7"/>
    <w:rsid w:val="00B41FC0"/>
    <w:rsid w:val="00B42B3B"/>
    <w:rsid w:val="00B42DED"/>
    <w:rsid w:val="00B44396"/>
    <w:rsid w:val="00B452B9"/>
    <w:rsid w:val="00B453A9"/>
    <w:rsid w:val="00B45FA7"/>
    <w:rsid w:val="00B463BC"/>
    <w:rsid w:val="00B4642A"/>
    <w:rsid w:val="00B46F12"/>
    <w:rsid w:val="00B477A9"/>
    <w:rsid w:val="00B47A73"/>
    <w:rsid w:val="00B5063F"/>
    <w:rsid w:val="00B50B7B"/>
    <w:rsid w:val="00B5121D"/>
    <w:rsid w:val="00B51261"/>
    <w:rsid w:val="00B51348"/>
    <w:rsid w:val="00B515C2"/>
    <w:rsid w:val="00B517E2"/>
    <w:rsid w:val="00B52D86"/>
    <w:rsid w:val="00B5305F"/>
    <w:rsid w:val="00B53422"/>
    <w:rsid w:val="00B53D2E"/>
    <w:rsid w:val="00B53DB9"/>
    <w:rsid w:val="00B5461C"/>
    <w:rsid w:val="00B5630D"/>
    <w:rsid w:val="00B56746"/>
    <w:rsid w:val="00B57205"/>
    <w:rsid w:val="00B60CB3"/>
    <w:rsid w:val="00B61119"/>
    <w:rsid w:val="00B61595"/>
    <w:rsid w:val="00B625A1"/>
    <w:rsid w:val="00B62F28"/>
    <w:rsid w:val="00B63248"/>
    <w:rsid w:val="00B63C29"/>
    <w:rsid w:val="00B64374"/>
    <w:rsid w:val="00B649B6"/>
    <w:rsid w:val="00B6525C"/>
    <w:rsid w:val="00B656B7"/>
    <w:rsid w:val="00B65DA7"/>
    <w:rsid w:val="00B6602E"/>
    <w:rsid w:val="00B6644B"/>
    <w:rsid w:val="00B7003D"/>
    <w:rsid w:val="00B701A2"/>
    <w:rsid w:val="00B701D8"/>
    <w:rsid w:val="00B703EE"/>
    <w:rsid w:val="00B70773"/>
    <w:rsid w:val="00B70B96"/>
    <w:rsid w:val="00B71D14"/>
    <w:rsid w:val="00B745D0"/>
    <w:rsid w:val="00B74997"/>
    <w:rsid w:val="00B74ACF"/>
    <w:rsid w:val="00B74E70"/>
    <w:rsid w:val="00B7520A"/>
    <w:rsid w:val="00B76277"/>
    <w:rsid w:val="00B7669E"/>
    <w:rsid w:val="00B76750"/>
    <w:rsid w:val="00B7695F"/>
    <w:rsid w:val="00B76C9D"/>
    <w:rsid w:val="00B771D0"/>
    <w:rsid w:val="00B803E0"/>
    <w:rsid w:val="00B81860"/>
    <w:rsid w:val="00B82355"/>
    <w:rsid w:val="00B82805"/>
    <w:rsid w:val="00B82959"/>
    <w:rsid w:val="00B82DF6"/>
    <w:rsid w:val="00B834D0"/>
    <w:rsid w:val="00B83A92"/>
    <w:rsid w:val="00B83F55"/>
    <w:rsid w:val="00B8456E"/>
    <w:rsid w:val="00B852BB"/>
    <w:rsid w:val="00B8566C"/>
    <w:rsid w:val="00B85C87"/>
    <w:rsid w:val="00B85DFE"/>
    <w:rsid w:val="00B8693B"/>
    <w:rsid w:val="00B8737E"/>
    <w:rsid w:val="00B87AA2"/>
    <w:rsid w:val="00B87BBA"/>
    <w:rsid w:val="00B9050B"/>
    <w:rsid w:val="00B910F9"/>
    <w:rsid w:val="00B916B8"/>
    <w:rsid w:val="00B91C67"/>
    <w:rsid w:val="00B926D5"/>
    <w:rsid w:val="00B938DB"/>
    <w:rsid w:val="00B93C87"/>
    <w:rsid w:val="00B9426A"/>
    <w:rsid w:val="00B9498E"/>
    <w:rsid w:val="00B94E5A"/>
    <w:rsid w:val="00B953AE"/>
    <w:rsid w:val="00B95E70"/>
    <w:rsid w:val="00B96B01"/>
    <w:rsid w:val="00B96FD7"/>
    <w:rsid w:val="00B974DB"/>
    <w:rsid w:val="00BA07A3"/>
    <w:rsid w:val="00BA10CB"/>
    <w:rsid w:val="00BA3260"/>
    <w:rsid w:val="00BA3E12"/>
    <w:rsid w:val="00BA4183"/>
    <w:rsid w:val="00BA4337"/>
    <w:rsid w:val="00BA46C0"/>
    <w:rsid w:val="00BA4CA8"/>
    <w:rsid w:val="00BA4FB4"/>
    <w:rsid w:val="00BA5631"/>
    <w:rsid w:val="00BA5A17"/>
    <w:rsid w:val="00BA6374"/>
    <w:rsid w:val="00BA6513"/>
    <w:rsid w:val="00BA70E7"/>
    <w:rsid w:val="00BA7442"/>
    <w:rsid w:val="00BA7F79"/>
    <w:rsid w:val="00BB0ADC"/>
    <w:rsid w:val="00BB14CB"/>
    <w:rsid w:val="00BB2A6B"/>
    <w:rsid w:val="00BB3055"/>
    <w:rsid w:val="00BB332D"/>
    <w:rsid w:val="00BB38A4"/>
    <w:rsid w:val="00BB41C8"/>
    <w:rsid w:val="00BB42D5"/>
    <w:rsid w:val="00BB444E"/>
    <w:rsid w:val="00BB46FF"/>
    <w:rsid w:val="00BB485A"/>
    <w:rsid w:val="00BB4F4D"/>
    <w:rsid w:val="00BB56B7"/>
    <w:rsid w:val="00BB58DE"/>
    <w:rsid w:val="00BB6016"/>
    <w:rsid w:val="00BB66F4"/>
    <w:rsid w:val="00BB68E7"/>
    <w:rsid w:val="00BB73C3"/>
    <w:rsid w:val="00BB760B"/>
    <w:rsid w:val="00BB78D5"/>
    <w:rsid w:val="00BB7ACC"/>
    <w:rsid w:val="00BB7BA1"/>
    <w:rsid w:val="00BC0FF9"/>
    <w:rsid w:val="00BC158D"/>
    <w:rsid w:val="00BC2692"/>
    <w:rsid w:val="00BC2E4B"/>
    <w:rsid w:val="00BC3AC1"/>
    <w:rsid w:val="00BC3E59"/>
    <w:rsid w:val="00BC47FE"/>
    <w:rsid w:val="00BC498A"/>
    <w:rsid w:val="00BC4F6C"/>
    <w:rsid w:val="00BC5D4E"/>
    <w:rsid w:val="00BC6681"/>
    <w:rsid w:val="00BC6DD2"/>
    <w:rsid w:val="00BD0184"/>
    <w:rsid w:val="00BD19B4"/>
    <w:rsid w:val="00BD1C1E"/>
    <w:rsid w:val="00BD20E5"/>
    <w:rsid w:val="00BD214B"/>
    <w:rsid w:val="00BD2F1A"/>
    <w:rsid w:val="00BD4743"/>
    <w:rsid w:val="00BD4DC5"/>
    <w:rsid w:val="00BD622A"/>
    <w:rsid w:val="00BD7223"/>
    <w:rsid w:val="00BE1B7D"/>
    <w:rsid w:val="00BE2159"/>
    <w:rsid w:val="00BE2252"/>
    <w:rsid w:val="00BE2C94"/>
    <w:rsid w:val="00BE2D12"/>
    <w:rsid w:val="00BE32D6"/>
    <w:rsid w:val="00BE3487"/>
    <w:rsid w:val="00BE3730"/>
    <w:rsid w:val="00BE3BE0"/>
    <w:rsid w:val="00BE406C"/>
    <w:rsid w:val="00BE40E0"/>
    <w:rsid w:val="00BE4696"/>
    <w:rsid w:val="00BE542F"/>
    <w:rsid w:val="00BE56D0"/>
    <w:rsid w:val="00BE66CA"/>
    <w:rsid w:val="00BE69B7"/>
    <w:rsid w:val="00BE6F38"/>
    <w:rsid w:val="00BE70B7"/>
    <w:rsid w:val="00BE787A"/>
    <w:rsid w:val="00BE7A7B"/>
    <w:rsid w:val="00BE7C98"/>
    <w:rsid w:val="00BF00F2"/>
    <w:rsid w:val="00BF15A3"/>
    <w:rsid w:val="00BF23E0"/>
    <w:rsid w:val="00BF2AC9"/>
    <w:rsid w:val="00BF38A5"/>
    <w:rsid w:val="00BF4041"/>
    <w:rsid w:val="00BF486F"/>
    <w:rsid w:val="00BF4C72"/>
    <w:rsid w:val="00BF5369"/>
    <w:rsid w:val="00BF56ED"/>
    <w:rsid w:val="00BF575B"/>
    <w:rsid w:val="00BF5BA7"/>
    <w:rsid w:val="00BF5DFE"/>
    <w:rsid w:val="00BF60F6"/>
    <w:rsid w:val="00BF6479"/>
    <w:rsid w:val="00BF7A4E"/>
    <w:rsid w:val="00BF7C60"/>
    <w:rsid w:val="00C000F6"/>
    <w:rsid w:val="00C00EC5"/>
    <w:rsid w:val="00C0129D"/>
    <w:rsid w:val="00C02912"/>
    <w:rsid w:val="00C02FC3"/>
    <w:rsid w:val="00C03173"/>
    <w:rsid w:val="00C03619"/>
    <w:rsid w:val="00C05AB7"/>
    <w:rsid w:val="00C075B4"/>
    <w:rsid w:val="00C10133"/>
    <w:rsid w:val="00C103B4"/>
    <w:rsid w:val="00C1092B"/>
    <w:rsid w:val="00C114B0"/>
    <w:rsid w:val="00C116A1"/>
    <w:rsid w:val="00C119F9"/>
    <w:rsid w:val="00C12325"/>
    <w:rsid w:val="00C1267C"/>
    <w:rsid w:val="00C12DC7"/>
    <w:rsid w:val="00C12F25"/>
    <w:rsid w:val="00C13A71"/>
    <w:rsid w:val="00C13FE9"/>
    <w:rsid w:val="00C14359"/>
    <w:rsid w:val="00C16ACD"/>
    <w:rsid w:val="00C17071"/>
    <w:rsid w:val="00C171EF"/>
    <w:rsid w:val="00C17509"/>
    <w:rsid w:val="00C218CD"/>
    <w:rsid w:val="00C21D6C"/>
    <w:rsid w:val="00C220E2"/>
    <w:rsid w:val="00C22A52"/>
    <w:rsid w:val="00C22F10"/>
    <w:rsid w:val="00C253F4"/>
    <w:rsid w:val="00C254F8"/>
    <w:rsid w:val="00C25D09"/>
    <w:rsid w:val="00C272A0"/>
    <w:rsid w:val="00C27665"/>
    <w:rsid w:val="00C27B93"/>
    <w:rsid w:val="00C27D27"/>
    <w:rsid w:val="00C30AAF"/>
    <w:rsid w:val="00C30B89"/>
    <w:rsid w:val="00C313D7"/>
    <w:rsid w:val="00C315C1"/>
    <w:rsid w:val="00C32019"/>
    <w:rsid w:val="00C32957"/>
    <w:rsid w:val="00C3321B"/>
    <w:rsid w:val="00C33695"/>
    <w:rsid w:val="00C33698"/>
    <w:rsid w:val="00C337BB"/>
    <w:rsid w:val="00C33A1B"/>
    <w:rsid w:val="00C33BDA"/>
    <w:rsid w:val="00C34273"/>
    <w:rsid w:val="00C34666"/>
    <w:rsid w:val="00C34B59"/>
    <w:rsid w:val="00C34EEF"/>
    <w:rsid w:val="00C374F3"/>
    <w:rsid w:val="00C37955"/>
    <w:rsid w:val="00C37EAC"/>
    <w:rsid w:val="00C40188"/>
    <w:rsid w:val="00C404BB"/>
    <w:rsid w:val="00C405C7"/>
    <w:rsid w:val="00C405F7"/>
    <w:rsid w:val="00C40D9D"/>
    <w:rsid w:val="00C41064"/>
    <w:rsid w:val="00C41594"/>
    <w:rsid w:val="00C420E3"/>
    <w:rsid w:val="00C4211E"/>
    <w:rsid w:val="00C422FC"/>
    <w:rsid w:val="00C438DD"/>
    <w:rsid w:val="00C4484B"/>
    <w:rsid w:val="00C44F98"/>
    <w:rsid w:val="00C45A4B"/>
    <w:rsid w:val="00C45A64"/>
    <w:rsid w:val="00C468C7"/>
    <w:rsid w:val="00C46ECD"/>
    <w:rsid w:val="00C47FD7"/>
    <w:rsid w:val="00C50D10"/>
    <w:rsid w:val="00C51690"/>
    <w:rsid w:val="00C51896"/>
    <w:rsid w:val="00C51D15"/>
    <w:rsid w:val="00C53A3F"/>
    <w:rsid w:val="00C53ACD"/>
    <w:rsid w:val="00C53DC7"/>
    <w:rsid w:val="00C5438A"/>
    <w:rsid w:val="00C54416"/>
    <w:rsid w:val="00C5491F"/>
    <w:rsid w:val="00C54922"/>
    <w:rsid w:val="00C54CEF"/>
    <w:rsid w:val="00C550B4"/>
    <w:rsid w:val="00C5566E"/>
    <w:rsid w:val="00C558B5"/>
    <w:rsid w:val="00C559EF"/>
    <w:rsid w:val="00C55C18"/>
    <w:rsid w:val="00C567F0"/>
    <w:rsid w:val="00C568D8"/>
    <w:rsid w:val="00C575E8"/>
    <w:rsid w:val="00C60385"/>
    <w:rsid w:val="00C61897"/>
    <w:rsid w:val="00C61919"/>
    <w:rsid w:val="00C6247A"/>
    <w:rsid w:val="00C62FE1"/>
    <w:rsid w:val="00C63D7B"/>
    <w:rsid w:val="00C647C4"/>
    <w:rsid w:val="00C6504C"/>
    <w:rsid w:val="00C65897"/>
    <w:rsid w:val="00C65E61"/>
    <w:rsid w:val="00C661BA"/>
    <w:rsid w:val="00C6628B"/>
    <w:rsid w:val="00C67BB4"/>
    <w:rsid w:val="00C67C38"/>
    <w:rsid w:val="00C67D2A"/>
    <w:rsid w:val="00C7051A"/>
    <w:rsid w:val="00C7059F"/>
    <w:rsid w:val="00C70AAD"/>
    <w:rsid w:val="00C715BB"/>
    <w:rsid w:val="00C7215B"/>
    <w:rsid w:val="00C72221"/>
    <w:rsid w:val="00C72516"/>
    <w:rsid w:val="00C726D0"/>
    <w:rsid w:val="00C731D2"/>
    <w:rsid w:val="00C736EE"/>
    <w:rsid w:val="00C73860"/>
    <w:rsid w:val="00C73BE6"/>
    <w:rsid w:val="00C75C24"/>
    <w:rsid w:val="00C75D68"/>
    <w:rsid w:val="00C76408"/>
    <w:rsid w:val="00C76531"/>
    <w:rsid w:val="00C771F0"/>
    <w:rsid w:val="00C77240"/>
    <w:rsid w:val="00C7746D"/>
    <w:rsid w:val="00C774D1"/>
    <w:rsid w:val="00C80234"/>
    <w:rsid w:val="00C80500"/>
    <w:rsid w:val="00C80DEB"/>
    <w:rsid w:val="00C819D1"/>
    <w:rsid w:val="00C81C96"/>
    <w:rsid w:val="00C8260D"/>
    <w:rsid w:val="00C82CC5"/>
    <w:rsid w:val="00C835DC"/>
    <w:rsid w:val="00C839C9"/>
    <w:rsid w:val="00C85429"/>
    <w:rsid w:val="00C8563F"/>
    <w:rsid w:val="00C8599B"/>
    <w:rsid w:val="00C86C3B"/>
    <w:rsid w:val="00C86C9F"/>
    <w:rsid w:val="00C8709E"/>
    <w:rsid w:val="00C8745A"/>
    <w:rsid w:val="00C877B2"/>
    <w:rsid w:val="00C87AD3"/>
    <w:rsid w:val="00C87B1E"/>
    <w:rsid w:val="00C90026"/>
    <w:rsid w:val="00C90070"/>
    <w:rsid w:val="00C90499"/>
    <w:rsid w:val="00C90B12"/>
    <w:rsid w:val="00C911CC"/>
    <w:rsid w:val="00C9235A"/>
    <w:rsid w:val="00C92415"/>
    <w:rsid w:val="00C928DE"/>
    <w:rsid w:val="00C92A86"/>
    <w:rsid w:val="00C931F0"/>
    <w:rsid w:val="00C94233"/>
    <w:rsid w:val="00C94334"/>
    <w:rsid w:val="00C94754"/>
    <w:rsid w:val="00C9496E"/>
    <w:rsid w:val="00C9577D"/>
    <w:rsid w:val="00C95B6B"/>
    <w:rsid w:val="00C95EFF"/>
    <w:rsid w:val="00C974B3"/>
    <w:rsid w:val="00C97611"/>
    <w:rsid w:val="00C97B4B"/>
    <w:rsid w:val="00CA0AA6"/>
    <w:rsid w:val="00CA1560"/>
    <w:rsid w:val="00CA16D6"/>
    <w:rsid w:val="00CA18AD"/>
    <w:rsid w:val="00CA2A4A"/>
    <w:rsid w:val="00CA344A"/>
    <w:rsid w:val="00CA3A03"/>
    <w:rsid w:val="00CA3F52"/>
    <w:rsid w:val="00CA424D"/>
    <w:rsid w:val="00CA56EC"/>
    <w:rsid w:val="00CA57F7"/>
    <w:rsid w:val="00CA6D0F"/>
    <w:rsid w:val="00CB05E7"/>
    <w:rsid w:val="00CB0A24"/>
    <w:rsid w:val="00CB0B26"/>
    <w:rsid w:val="00CB0E55"/>
    <w:rsid w:val="00CB1855"/>
    <w:rsid w:val="00CB1F4D"/>
    <w:rsid w:val="00CB29D0"/>
    <w:rsid w:val="00CB35B6"/>
    <w:rsid w:val="00CB67B6"/>
    <w:rsid w:val="00CB67D7"/>
    <w:rsid w:val="00CB74CD"/>
    <w:rsid w:val="00CB788F"/>
    <w:rsid w:val="00CB7938"/>
    <w:rsid w:val="00CB79A0"/>
    <w:rsid w:val="00CB7A62"/>
    <w:rsid w:val="00CB7AF9"/>
    <w:rsid w:val="00CB7CB9"/>
    <w:rsid w:val="00CB7D9E"/>
    <w:rsid w:val="00CC01F6"/>
    <w:rsid w:val="00CC0C03"/>
    <w:rsid w:val="00CC0E26"/>
    <w:rsid w:val="00CC1319"/>
    <w:rsid w:val="00CC136B"/>
    <w:rsid w:val="00CC1706"/>
    <w:rsid w:val="00CC2308"/>
    <w:rsid w:val="00CC39A5"/>
    <w:rsid w:val="00CC3D9D"/>
    <w:rsid w:val="00CC4CA6"/>
    <w:rsid w:val="00CC51D9"/>
    <w:rsid w:val="00CC75F5"/>
    <w:rsid w:val="00CD0437"/>
    <w:rsid w:val="00CD0A48"/>
    <w:rsid w:val="00CD0B7A"/>
    <w:rsid w:val="00CD11F1"/>
    <w:rsid w:val="00CD1BE6"/>
    <w:rsid w:val="00CD1F05"/>
    <w:rsid w:val="00CD258C"/>
    <w:rsid w:val="00CD26FA"/>
    <w:rsid w:val="00CD2751"/>
    <w:rsid w:val="00CD3234"/>
    <w:rsid w:val="00CD35F6"/>
    <w:rsid w:val="00CD3794"/>
    <w:rsid w:val="00CD4628"/>
    <w:rsid w:val="00CD4C7D"/>
    <w:rsid w:val="00CD5067"/>
    <w:rsid w:val="00CD54FE"/>
    <w:rsid w:val="00CD5723"/>
    <w:rsid w:val="00CD588D"/>
    <w:rsid w:val="00CD5C55"/>
    <w:rsid w:val="00CD5DB2"/>
    <w:rsid w:val="00CD5EF3"/>
    <w:rsid w:val="00CD6357"/>
    <w:rsid w:val="00CD6B91"/>
    <w:rsid w:val="00CD6DCF"/>
    <w:rsid w:val="00CD7722"/>
    <w:rsid w:val="00CD7D58"/>
    <w:rsid w:val="00CE1147"/>
    <w:rsid w:val="00CE116D"/>
    <w:rsid w:val="00CE27D9"/>
    <w:rsid w:val="00CE2B43"/>
    <w:rsid w:val="00CE3713"/>
    <w:rsid w:val="00CE45B0"/>
    <w:rsid w:val="00CE4C33"/>
    <w:rsid w:val="00CE4CD5"/>
    <w:rsid w:val="00CE5627"/>
    <w:rsid w:val="00CE638F"/>
    <w:rsid w:val="00CE6949"/>
    <w:rsid w:val="00CE716A"/>
    <w:rsid w:val="00CE7420"/>
    <w:rsid w:val="00CE7F82"/>
    <w:rsid w:val="00CF0A12"/>
    <w:rsid w:val="00CF11DD"/>
    <w:rsid w:val="00CF1A54"/>
    <w:rsid w:val="00CF2741"/>
    <w:rsid w:val="00CF2D00"/>
    <w:rsid w:val="00CF2F2D"/>
    <w:rsid w:val="00CF2F3D"/>
    <w:rsid w:val="00CF4D31"/>
    <w:rsid w:val="00CF4D41"/>
    <w:rsid w:val="00CF53DC"/>
    <w:rsid w:val="00CF5C27"/>
    <w:rsid w:val="00CF6B4E"/>
    <w:rsid w:val="00CF6F9D"/>
    <w:rsid w:val="00CF7560"/>
    <w:rsid w:val="00CF75B8"/>
    <w:rsid w:val="00D00187"/>
    <w:rsid w:val="00D00397"/>
    <w:rsid w:val="00D01321"/>
    <w:rsid w:val="00D01D99"/>
    <w:rsid w:val="00D023C7"/>
    <w:rsid w:val="00D028E8"/>
    <w:rsid w:val="00D02977"/>
    <w:rsid w:val="00D02D28"/>
    <w:rsid w:val="00D03E1C"/>
    <w:rsid w:val="00D04000"/>
    <w:rsid w:val="00D04E3B"/>
    <w:rsid w:val="00D04EAF"/>
    <w:rsid w:val="00D05EB4"/>
    <w:rsid w:val="00D065C6"/>
    <w:rsid w:val="00D06669"/>
    <w:rsid w:val="00D066A4"/>
    <w:rsid w:val="00D06A2F"/>
    <w:rsid w:val="00D06F51"/>
    <w:rsid w:val="00D110D0"/>
    <w:rsid w:val="00D11718"/>
    <w:rsid w:val="00D1197D"/>
    <w:rsid w:val="00D11B05"/>
    <w:rsid w:val="00D11B4C"/>
    <w:rsid w:val="00D1216C"/>
    <w:rsid w:val="00D12286"/>
    <w:rsid w:val="00D126A8"/>
    <w:rsid w:val="00D128DE"/>
    <w:rsid w:val="00D1373F"/>
    <w:rsid w:val="00D13E51"/>
    <w:rsid w:val="00D14845"/>
    <w:rsid w:val="00D15718"/>
    <w:rsid w:val="00D15C48"/>
    <w:rsid w:val="00D16172"/>
    <w:rsid w:val="00D161A8"/>
    <w:rsid w:val="00D16452"/>
    <w:rsid w:val="00D16499"/>
    <w:rsid w:val="00D16E94"/>
    <w:rsid w:val="00D1758D"/>
    <w:rsid w:val="00D179A6"/>
    <w:rsid w:val="00D20045"/>
    <w:rsid w:val="00D20077"/>
    <w:rsid w:val="00D20AFA"/>
    <w:rsid w:val="00D211D9"/>
    <w:rsid w:val="00D2142E"/>
    <w:rsid w:val="00D21674"/>
    <w:rsid w:val="00D218B7"/>
    <w:rsid w:val="00D22866"/>
    <w:rsid w:val="00D22AB7"/>
    <w:rsid w:val="00D22B46"/>
    <w:rsid w:val="00D250F8"/>
    <w:rsid w:val="00D253E9"/>
    <w:rsid w:val="00D2571C"/>
    <w:rsid w:val="00D25955"/>
    <w:rsid w:val="00D25993"/>
    <w:rsid w:val="00D26316"/>
    <w:rsid w:val="00D26DD4"/>
    <w:rsid w:val="00D2700D"/>
    <w:rsid w:val="00D27092"/>
    <w:rsid w:val="00D27621"/>
    <w:rsid w:val="00D276BB"/>
    <w:rsid w:val="00D27A5D"/>
    <w:rsid w:val="00D27BB4"/>
    <w:rsid w:val="00D3041C"/>
    <w:rsid w:val="00D30B51"/>
    <w:rsid w:val="00D3147B"/>
    <w:rsid w:val="00D337E8"/>
    <w:rsid w:val="00D3401A"/>
    <w:rsid w:val="00D343FF"/>
    <w:rsid w:val="00D34679"/>
    <w:rsid w:val="00D347C2"/>
    <w:rsid w:val="00D3487D"/>
    <w:rsid w:val="00D34ABB"/>
    <w:rsid w:val="00D36BD9"/>
    <w:rsid w:val="00D36FBB"/>
    <w:rsid w:val="00D37160"/>
    <w:rsid w:val="00D4083D"/>
    <w:rsid w:val="00D4092D"/>
    <w:rsid w:val="00D40E48"/>
    <w:rsid w:val="00D40F28"/>
    <w:rsid w:val="00D41E6D"/>
    <w:rsid w:val="00D426D0"/>
    <w:rsid w:val="00D42A11"/>
    <w:rsid w:val="00D43023"/>
    <w:rsid w:val="00D430A8"/>
    <w:rsid w:val="00D43172"/>
    <w:rsid w:val="00D43493"/>
    <w:rsid w:val="00D437CB"/>
    <w:rsid w:val="00D44B6E"/>
    <w:rsid w:val="00D450E1"/>
    <w:rsid w:val="00D45214"/>
    <w:rsid w:val="00D46133"/>
    <w:rsid w:val="00D4619A"/>
    <w:rsid w:val="00D46396"/>
    <w:rsid w:val="00D46614"/>
    <w:rsid w:val="00D46723"/>
    <w:rsid w:val="00D46FDF"/>
    <w:rsid w:val="00D4735A"/>
    <w:rsid w:val="00D47D45"/>
    <w:rsid w:val="00D47F7B"/>
    <w:rsid w:val="00D51233"/>
    <w:rsid w:val="00D518CE"/>
    <w:rsid w:val="00D51A9B"/>
    <w:rsid w:val="00D522E4"/>
    <w:rsid w:val="00D525ED"/>
    <w:rsid w:val="00D53494"/>
    <w:rsid w:val="00D5458A"/>
    <w:rsid w:val="00D5685A"/>
    <w:rsid w:val="00D570C6"/>
    <w:rsid w:val="00D60211"/>
    <w:rsid w:val="00D602AB"/>
    <w:rsid w:val="00D60558"/>
    <w:rsid w:val="00D613E1"/>
    <w:rsid w:val="00D61B9B"/>
    <w:rsid w:val="00D62977"/>
    <w:rsid w:val="00D63E47"/>
    <w:rsid w:val="00D63FFD"/>
    <w:rsid w:val="00D64183"/>
    <w:rsid w:val="00D64B5F"/>
    <w:rsid w:val="00D64ED4"/>
    <w:rsid w:val="00D652CF"/>
    <w:rsid w:val="00D656A8"/>
    <w:rsid w:val="00D67139"/>
    <w:rsid w:val="00D67A08"/>
    <w:rsid w:val="00D70442"/>
    <w:rsid w:val="00D705D7"/>
    <w:rsid w:val="00D70D3F"/>
    <w:rsid w:val="00D70DC7"/>
    <w:rsid w:val="00D71596"/>
    <w:rsid w:val="00D72AD7"/>
    <w:rsid w:val="00D72C64"/>
    <w:rsid w:val="00D735C9"/>
    <w:rsid w:val="00D73714"/>
    <w:rsid w:val="00D73810"/>
    <w:rsid w:val="00D742A7"/>
    <w:rsid w:val="00D7440C"/>
    <w:rsid w:val="00D74DA5"/>
    <w:rsid w:val="00D75C12"/>
    <w:rsid w:val="00D75EC8"/>
    <w:rsid w:val="00D76216"/>
    <w:rsid w:val="00D76597"/>
    <w:rsid w:val="00D7692F"/>
    <w:rsid w:val="00D77282"/>
    <w:rsid w:val="00D77646"/>
    <w:rsid w:val="00D77FAB"/>
    <w:rsid w:val="00D77FFE"/>
    <w:rsid w:val="00D80FB1"/>
    <w:rsid w:val="00D81416"/>
    <w:rsid w:val="00D8185C"/>
    <w:rsid w:val="00D8192E"/>
    <w:rsid w:val="00D823ED"/>
    <w:rsid w:val="00D8243E"/>
    <w:rsid w:val="00D82719"/>
    <w:rsid w:val="00D83C10"/>
    <w:rsid w:val="00D83F65"/>
    <w:rsid w:val="00D8428B"/>
    <w:rsid w:val="00D846B3"/>
    <w:rsid w:val="00D84723"/>
    <w:rsid w:val="00D855B7"/>
    <w:rsid w:val="00D85C43"/>
    <w:rsid w:val="00D862F7"/>
    <w:rsid w:val="00D86E6B"/>
    <w:rsid w:val="00D86E7F"/>
    <w:rsid w:val="00D87047"/>
    <w:rsid w:val="00D87C70"/>
    <w:rsid w:val="00D87D3B"/>
    <w:rsid w:val="00D9004A"/>
    <w:rsid w:val="00D912D3"/>
    <w:rsid w:val="00D92266"/>
    <w:rsid w:val="00D922B7"/>
    <w:rsid w:val="00D9285A"/>
    <w:rsid w:val="00D92E8A"/>
    <w:rsid w:val="00D92EB6"/>
    <w:rsid w:val="00D9358D"/>
    <w:rsid w:val="00D9534D"/>
    <w:rsid w:val="00D959ED"/>
    <w:rsid w:val="00D96F6B"/>
    <w:rsid w:val="00D97021"/>
    <w:rsid w:val="00D9748F"/>
    <w:rsid w:val="00D97D79"/>
    <w:rsid w:val="00DA03A9"/>
    <w:rsid w:val="00DA05BC"/>
    <w:rsid w:val="00DA0DDE"/>
    <w:rsid w:val="00DA1053"/>
    <w:rsid w:val="00DA11D7"/>
    <w:rsid w:val="00DA148C"/>
    <w:rsid w:val="00DA1F99"/>
    <w:rsid w:val="00DA2EE6"/>
    <w:rsid w:val="00DA34C6"/>
    <w:rsid w:val="00DA34DD"/>
    <w:rsid w:val="00DA35B4"/>
    <w:rsid w:val="00DA39BF"/>
    <w:rsid w:val="00DA3ACF"/>
    <w:rsid w:val="00DA3CED"/>
    <w:rsid w:val="00DA4311"/>
    <w:rsid w:val="00DA45B7"/>
    <w:rsid w:val="00DA4CDC"/>
    <w:rsid w:val="00DA50F1"/>
    <w:rsid w:val="00DA57FA"/>
    <w:rsid w:val="00DA5A44"/>
    <w:rsid w:val="00DA5A73"/>
    <w:rsid w:val="00DA5B48"/>
    <w:rsid w:val="00DA616D"/>
    <w:rsid w:val="00DA64CE"/>
    <w:rsid w:val="00DA6B3B"/>
    <w:rsid w:val="00DA7049"/>
    <w:rsid w:val="00DA73DC"/>
    <w:rsid w:val="00DA7B41"/>
    <w:rsid w:val="00DB140E"/>
    <w:rsid w:val="00DB15D9"/>
    <w:rsid w:val="00DB1688"/>
    <w:rsid w:val="00DB1B37"/>
    <w:rsid w:val="00DB2332"/>
    <w:rsid w:val="00DB3A0D"/>
    <w:rsid w:val="00DB3B5F"/>
    <w:rsid w:val="00DB410F"/>
    <w:rsid w:val="00DB52A2"/>
    <w:rsid w:val="00DB56E4"/>
    <w:rsid w:val="00DB5E5B"/>
    <w:rsid w:val="00DB6332"/>
    <w:rsid w:val="00DB66E1"/>
    <w:rsid w:val="00DB6700"/>
    <w:rsid w:val="00DB7912"/>
    <w:rsid w:val="00DC05AD"/>
    <w:rsid w:val="00DC0F93"/>
    <w:rsid w:val="00DC1704"/>
    <w:rsid w:val="00DC32B5"/>
    <w:rsid w:val="00DC3359"/>
    <w:rsid w:val="00DC3B52"/>
    <w:rsid w:val="00DC5BC5"/>
    <w:rsid w:val="00DC5E9C"/>
    <w:rsid w:val="00DC5F34"/>
    <w:rsid w:val="00DC63EB"/>
    <w:rsid w:val="00DC689E"/>
    <w:rsid w:val="00DD00C3"/>
    <w:rsid w:val="00DD00DC"/>
    <w:rsid w:val="00DD022B"/>
    <w:rsid w:val="00DD0D7B"/>
    <w:rsid w:val="00DD1341"/>
    <w:rsid w:val="00DD15DD"/>
    <w:rsid w:val="00DD29AF"/>
    <w:rsid w:val="00DD3037"/>
    <w:rsid w:val="00DD3785"/>
    <w:rsid w:val="00DD3C08"/>
    <w:rsid w:val="00DD3D8F"/>
    <w:rsid w:val="00DD4384"/>
    <w:rsid w:val="00DD47FC"/>
    <w:rsid w:val="00DD48C0"/>
    <w:rsid w:val="00DD49A5"/>
    <w:rsid w:val="00DD597A"/>
    <w:rsid w:val="00DD5A1C"/>
    <w:rsid w:val="00DD6251"/>
    <w:rsid w:val="00DD68CA"/>
    <w:rsid w:val="00DD7109"/>
    <w:rsid w:val="00DD7BF3"/>
    <w:rsid w:val="00DD7E32"/>
    <w:rsid w:val="00DE0224"/>
    <w:rsid w:val="00DE026F"/>
    <w:rsid w:val="00DE044F"/>
    <w:rsid w:val="00DE0DC7"/>
    <w:rsid w:val="00DE0DE2"/>
    <w:rsid w:val="00DE0E5A"/>
    <w:rsid w:val="00DE1915"/>
    <w:rsid w:val="00DE22E0"/>
    <w:rsid w:val="00DE23B6"/>
    <w:rsid w:val="00DE2C49"/>
    <w:rsid w:val="00DE3D19"/>
    <w:rsid w:val="00DE3F6D"/>
    <w:rsid w:val="00DE41F6"/>
    <w:rsid w:val="00DE5574"/>
    <w:rsid w:val="00DE6661"/>
    <w:rsid w:val="00DE7067"/>
    <w:rsid w:val="00DF0A6A"/>
    <w:rsid w:val="00DF0E26"/>
    <w:rsid w:val="00DF163B"/>
    <w:rsid w:val="00DF18B0"/>
    <w:rsid w:val="00DF2145"/>
    <w:rsid w:val="00DF2C95"/>
    <w:rsid w:val="00DF3079"/>
    <w:rsid w:val="00DF3D38"/>
    <w:rsid w:val="00DF3E2E"/>
    <w:rsid w:val="00DF44AF"/>
    <w:rsid w:val="00DF4643"/>
    <w:rsid w:val="00DF468C"/>
    <w:rsid w:val="00DF48FB"/>
    <w:rsid w:val="00DF5249"/>
    <w:rsid w:val="00DF5AE9"/>
    <w:rsid w:val="00DF5D5F"/>
    <w:rsid w:val="00DF6068"/>
    <w:rsid w:val="00DF6A4E"/>
    <w:rsid w:val="00DF7680"/>
    <w:rsid w:val="00DF7E11"/>
    <w:rsid w:val="00DF7E94"/>
    <w:rsid w:val="00E001FB"/>
    <w:rsid w:val="00E00A58"/>
    <w:rsid w:val="00E0117B"/>
    <w:rsid w:val="00E014D9"/>
    <w:rsid w:val="00E02068"/>
    <w:rsid w:val="00E02A25"/>
    <w:rsid w:val="00E0344B"/>
    <w:rsid w:val="00E03956"/>
    <w:rsid w:val="00E04393"/>
    <w:rsid w:val="00E043A6"/>
    <w:rsid w:val="00E065A2"/>
    <w:rsid w:val="00E07378"/>
    <w:rsid w:val="00E076C1"/>
    <w:rsid w:val="00E10FB7"/>
    <w:rsid w:val="00E11347"/>
    <w:rsid w:val="00E113F0"/>
    <w:rsid w:val="00E12163"/>
    <w:rsid w:val="00E124FB"/>
    <w:rsid w:val="00E125F2"/>
    <w:rsid w:val="00E130C0"/>
    <w:rsid w:val="00E13129"/>
    <w:rsid w:val="00E13F5B"/>
    <w:rsid w:val="00E14722"/>
    <w:rsid w:val="00E14C96"/>
    <w:rsid w:val="00E14F56"/>
    <w:rsid w:val="00E15500"/>
    <w:rsid w:val="00E15857"/>
    <w:rsid w:val="00E168A3"/>
    <w:rsid w:val="00E16D5D"/>
    <w:rsid w:val="00E16EB5"/>
    <w:rsid w:val="00E16F25"/>
    <w:rsid w:val="00E173DD"/>
    <w:rsid w:val="00E17863"/>
    <w:rsid w:val="00E17A86"/>
    <w:rsid w:val="00E20325"/>
    <w:rsid w:val="00E20AE1"/>
    <w:rsid w:val="00E2148C"/>
    <w:rsid w:val="00E22A4C"/>
    <w:rsid w:val="00E22B2D"/>
    <w:rsid w:val="00E23149"/>
    <w:rsid w:val="00E237DA"/>
    <w:rsid w:val="00E23E7E"/>
    <w:rsid w:val="00E243F3"/>
    <w:rsid w:val="00E24830"/>
    <w:rsid w:val="00E24E43"/>
    <w:rsid w:val="00E24F97"/>
    <w:rsid w:val="00E253A7"/>
    <w:rsid w:val="00E2550E"/>
    <w:rsid w:val="00E257F5"/>
    <w:rsid w:val="00E25A85"/>
    <w:rsid w:val="00E25AB3"/>
    <w:rsid w:val="00E25C0D"/>
    <w:rsid w:val="00E25EF5"/>
    <w:rsid w:val="00E26271"/>
    <w:rsid w:val="00E26AAF"/>
    <w:rsid w:val="00E278D7"/>
    <w:rsid w:val="00E27E26"/>
    <w:rsid w:val="00E30040"/>
    <w:rsid w:val="00E30AB2"/>
    <w:rsid w:val="00E31105"/>
    <w:rsid w:val="00E311A1"/>
    <w:rsid w:val="00E326EA"/>
    <w:rsid w:val="00E329A3"/>
    <w:rsid w:val="00E332A5"/>
    <w:rsid w:val="00E33CE1"/>
    <w:rsid w:val="00E3491A"/>
    <w:rsid w:val="00E36D8D"/>
    <w:rsid w:val="00E37045"/>
    <w:rsid w:val="00E376BA"/>
    <w:rsid w:val="00E37912"/>
    <w:rsid w:val="00E4034E"/>
    <w:rsid w:val="00E4056D"/>
    <w:rsid w:val="00E40D4F"/>
    <w:rsid w:val="00E40FE7"/>
    <w:rsid w:val="00E4206E"/>
    <w:rsid w:val="00E42254"/>
    <w:rsid w:val="00E42C49"/>
    <w:rsid w:val="00E4336E"/>
    <w:rsid w:val="00E43E07"/>
    <w:rsid w:val="00E43F28"/>
    <w:rsid w:val="00E442AF"/>
    <w:rsid w:val="00E444F4"/>
    <w:rsid w:val="00E45223"/>
    <w:rsid w:val="00E452A2"/>
    <w:rsid w:val="00E45963"/>
    <w:rsid w:val="00E467C8"/>
    <w:rsid w:val="00E46BEE"/>
    <w:rsid w:val="00E46C0A"/>
    <w:rsid w:val="00E46E09"/>
    <w:rsid w:val="00E4706E"/>
    <w:rsid w:val="00E50166"/>
    <w:rsid w:val="00E50637"/>
    <w:rsid w:val="00E5084A"/>
    <w:rsid w:val="00E51AB9"/>
    <w:rsid w:val="00E51EBE"/>
    <w:rsid w:val="00E52202"/>
    <w:rsid w:val="00E5278C"/>
    <w:rsid w:val="00E52835"/>
    <w:rsid w:val="00E529DA"/>
    <w:rsid w:val="00E53462"/>
    <w:rsid w:val="00E53656"/>
    <w:rsid w:val="00E53EF1"/>
    <w:rsid w:val="00E53FF5"/>
    <w:rsid w:val="00E54B50"/>
    <w:rsid w:val="00E54B7A"/>
    <w:rsid w:val="00E54D4F"/>
    <w:rsid w:val="00E54E77"/>
    <w:rsid w:val="00E54F21"/>
    <w:rsid w:val="00E55BF4"/>
    <w:rsid w:val="00E57AD1"/>
    <w:rsid w:val="00E6034E"/>
    <w:rsid w:val="00E6078A"/>
    <w:rsid w:val="00E60AA9"/>
    <w:rsid w:val="00E60CD8"/>
    <w:rsid w:val="00E60F72"/>
    <w:rsid w:val="00E61A3B"/>
    <w:rsid w:val="00E61C25"/>
    <w:rsid w:val="00E61CFC"/>
    <w:rsid w:val="00E6203B"/>
    <w:rsid w:val="00E62271"/>
    <w:rsid w:val="00E622F4"/>
    <w:rsid w:val="00E627AE"/>
    <w:rsid w:val="00E628EF"/>
    <w:rsid w:val="00E62D8C"/>
    <w:rsid w:val="00E62FC8"/>
    <w:rsid w:val="00E6370A"/>
    <w:rsid w:val="00E64A70"/>
    <w:rsid w:val="00E663F1"/>
    <w:rsid w:val="00E667F2"/>
    <w:rsid w:val="00E6680A"/>
    <w:rsid w:val="00E67828"/>
    <w:rsid w:val="00E6787B"/>
    <w:rsid w:val="00E678D0"/>
    <w:rsid w:val="00E67FAA"/>
    <w:rsid w:val="00E71106"/>
    <w:rsid w:val="00E71301"/>
    <w:rsid w:val="00E718AE"/>
    <w:rsid w:val="00E71D46"/>
    <w:rsid w:val="00E721CB"/>
    <w:rsid w:val="00E725AB"/>
    <w:rsid w:val="00E72981"/>
    <w:rsid w:val="00E72BF6"/>
    <w:rsid w:val="00E7388A"/>
    <w:rsid w:val="00E73FE5"/>
    <w:rsid w:val="00E74B5C"/>
    <w:rsid w:val="00E75EEA"/>
    <w:rsid w:val="00E7644B"/>
    <w:rsid w:val="00E773F6"/>
    <w:rsid w:val="00E80F64"/>
    <w:rsid w:val="00E81065"/>
    <w:rsid w:val="00E819BD"/>
    <w:rsid w:val="00E82324"/>
    <w:rsid w:val="00E83957"/>
    <w:rsid w:val="00E847D4"/>
    <w:rsid w:val="00E84BE8"/>
    <w:rsid w:val="00E85020"/>
    <w:rsid w:val="00E852A2"/>
    <w:rsid w:val="00E860E9"/>
    <w:rsid w:val="00E86222"/>
    <w:rsid w:val="00E874C7"/>
    <w:rsid w:val="00E87D3B"/>
    <w:rsid w:val="00E910A0"/>
    <w:rsid w:val="00E929B1"/>
    <w:rsid w:val="00E92D6F"/>
    <w:rsid w:val="00E933AC"/>
    <w:rsid w:val="00E93989"/>
    <w:rsid w:val="00E93BAF"/>
    <w:rsid w:val="00E93FC9"/>
    <w:rsid w:val="00E94009"/>
    <w:rsid w:val="00E940D5"/>
    <w:rsid w:val="00E941EC"/>
    <w:rsid w:val="00E94482"/>
    <w:rsid w:val="00E951DE"/>
    <w:rsid w:val="00E95B8C"/>
    <w:rsid w:val="00E95BDE"/>
    <w:rsid w:val="00E95FE1"/>
    <w:rsid w:val="00E96892"/>
    <w:rsid w:val="00E97BD3"/>
    <w:rsid w:val="00EA0398"/>
    <w:rsid w:val="00EA05E1"/>
    <w:rsid w:val="00EA0FD2"/>
    <w:rsid w:val="00EA1871"/>
    <w:rsid w:val="00EA1B56"/>
    <w:rsid w:val="00EA2B91"/>
    <w:rsid w:val="00EA3DDF"/>
    <w:rsid w:val="00EA4D1E"/>
    <w:rsid w:val="00EA50A8"/>
    <w:rsid w:val="00EA525A"/>
    <w:rsid w:val="00EA5713"/>
    <w:rsid w:val="00EA5727"/>
    <w:rsid w:val="00EA7275"/>
    <w:rsid w:val="00EA7DB5"/>
    <w:rsid w:val="00EB04EA"/>
    <w:rsid w:val="00EB0A86"/>
    <w:rsid w:val="00EB0AE0"/>
    <w:rsid w:val="00EB118B"/>
    <w:rsid w:val="00EB11EF"/>
    <w:rsid w:val="00EB14D1"/>
    <w:rsid w:val="00EB1863"/>
    <w:rsid w:val="00EB2408"/>
    <w:rsid w:val="00EB243A"/>
    <w:rsid w:val="00EB2907"/>
    <w:rsid w:val="00EB2E47"/>
    <w:rsid w:val="00EB3734"/>
    <w:rsid w:val="00EB387D"/>
    <w:rsid w:val="00EB3C6E"/>
    <w:rsid w:val="00EB3D1C"/>
    <w:rsid w:val="00EB4863"/>
    <w:rsid w:val="00EB4DB0"/>
    <w:rsid w:val="00EB579C"/>
    <w:rsid w:val="00EB59DC"/>
    <w:rsid w:val="00EB5F97"/>
    <w:rsid w:val="00EB6761"/>
    <w:rsid w:val="00EB73BF"/>
    <w:rsid w:val="00EC0181"/>
    <w:rsid w:val="00EC0604"/>
    <w:rsid w:val="00EC153A"/>
    <w:rsid w:val="00EC1758"/>
    <w:rsid w:val="00EC2DFF"/>
    <w:rsid w:val="00EC3BD8"/>
    <w:rsid w:val="00EC3E0B"/>
    <w:rsid w:val="00EC3F8A"/>
    <w:rsid w:val="00EC4335"/>
    <w:rsid w:val="00EC4A2C"/>
    <w:rsid w:val="00EC4CCE"/>
    <w:rsid w:val="00EC4E7C"/>
    <w:rsid w:val="00EC5330"/>
    <w:rsid w:val="00EC5457"/>
    <w:rsid w:val="00EC55C7"/>
    <w:rsid w:val="00EC572B"/>
    <w:rsid w:val="00EC5A82"/>
    <w:rsid w:val="00EC5D75"/>
    <w:rsid w:val="00EC5E7D"/>
    <w:rsid w:val="00EC6A4B"/>
    <w:rsid w:val="00EC718E"/>
    <w:rsid w:val="00EC73D1"/>
    <w:rsid w:val="00EC7F70"/>
    <w:rsid w:val="00ED0D5C"/>
    <w:rsid w:val="00ED1F1A"/>
    <w:rsid w:val="00ED235A"/>
    <w:rsid w:val="00ED292F"/>
    <w:rsid w:val="00ED2EDE"/>
    <w:rsid w:val="00ED2F5F"/>
    <w:rsid w:val="00ED365B"/>
    <w:rsid w:val="00ED3AAC"/>
    <w:rsid w:val="00ED4BFE"/>
    <w:rsid w:val="00ED5C66"/>
    <w:rsid w:val="00ED6252"/>
    <w:rsid w:val="00ED67C6"/>
    <w:rsid w:val="00ED6CEF"/>
    <w:rsid w:val="00ED7A8F"/>
    <w:rsid w:val="00EE12F6"/>
    <w:rsid w:val="00EE23CF"/>
    <w:rsid w:val="00EE2AA0"/>
    <w:rsid w:val="00EE2FF0"/>
    <w:rsid w:val="00EE34DF"/>
    <w:rsid w:val="00EE3F58"/>
    <w:rsid w:val="00EE40DC"/>
    <w:rsid w:val="00EE42B7"/>
    <w:rsid w:val="00EE4601"/>
    <w:rsid w:val="00EE46AB"/>
    <w:rsid w:val="00EE4EAE"/>
    <w:rsid w:val="00EE5530"/>
    <w:rsid w:val="00EE61FF"/>
    <w:rsid w:val="00EE6690"/>
    <w:rsid w:val="00EE682A"/>
    <w:rsid w:val="00EE7239"/>
    <w:rsid w:val="00EE7A59"/>
    <w:rsid w:val="00EF0156"/>
    <w:rsid w:val="00EF088F"/>
    <w:rsid w:val="00EF0D25"/>
    <w:rsid w:val="00EF0D61"/>
    <w:rsid w:val="00EF10B9"/>
    <w:rsid w:val="00EF10BC"/>
    <w:rsid w:val="00EF1BE4"/>
    <w:rsid w:val="00EF257B"/>
    <w:rsid w:val="00EF2600"/>
    <w:rsid w:val="00EF31AC"/>
    <w:rsid w:val="00EF3CBF"/>
    <w:rsid w:val="00EF3EC8"/>
    <w:rsid w:val="00EF465A"/>
    <w:rsid w:val="00EF4A3C"/>
    <w:rsid w:val="00EF4C83"/>
    <w:rsid w:val="00EF4E11"/>
    <w:rsid w:val="00EF4FEA"/>
    <w:rsid w:val="00EF54AE"/>
    <w:rsid w:val="00EF5805"/>
    <w:rsid w:val="00EF59A9"/>
    <w:rsid w:val="00EF59F7"/>
    <w:rsid w:val="00EF6235"/>
    <w:rsid w:val="00EF7FEE"/>
    <w:rsid w:val="00F0017F"/>
    <w:rsid w:val="00F002BD"/>
    <w:rsid w:val="00F008A7"/>
    <w:rsid w:val="00F0094F"/>
    <w:rsid w:val="00F00C0E"/>
    <w:rsid w:val="00F00E12"/>
    <w:rsid w:val="00F00E99"/>
    <w:rsid w:val="00F010CE"/>
    <w:rsid w:val="00F01B01"/>
    <w:rsid w:val="00F02C7E"/>
    <w:rsid w:val="00F02E2D"/>
    <w:rsid w:val="00F0369F"/>
    <w:rsid w:val="00F03FA9"/>
    <w:rsid w:val="00F04E06"/>
    <w:rsid w:val="00F051C1"/>
    <w:rsid w:val="00F05431"/>
    <w:rsid w:val="00F058CE"/>
    <w:rsid w:val="00F058DE"/>
    <w:rsid w:val="00F0590B"/>
    <w:rsid w:val="00F05D39"/>
    <w:rsid w:val="00F0601C"/>
    <w:rsid w:val="00F0619A"/>
    <w:rsid w:val="00F07529"/>
    <w:rsid w:val="00F07D1A"/>
    <w:rsid w:val="00F10DD2"/>
    <w:rsid w:val="00F10E6A"/>
    <w:rsid w:val="00F11E01"/>
    <w:rsid w:val="00F12022"/>
    <w:rsid w:val="00F121B6"/>
    <w:rsid w:val="00F122C0"/>
    <w:rsid w:val="00F12405"/>
    <w:rsid w:val="00F12AB4"/>
    <w:rsid w:val="00F12D9B"/>
    <w:rsid w:val="00F12F9E"/>
    <w:rsid w:val="00F132AF"/>
    <w:rsid w:val="00F13450"/>
    <w:rsid w:val="00F14365"/>
    <w:rsid w:val="00F14FC5"/>
    <w:rsid w:val="00F1545A"/>
    <w:rsid w:val="00F1553C"/>
    <w:rsid w:val="00F15ADD"/>
    <w:rsid w:val="00F15BEB"/>
    <w:rsid w:val="00F1606D"/>
    <w:rsid w:val="00F17321"/>
    <w:rsid w:val="00F17BDC"/>
    <w:rsid w:val="00F2065D"/>
    <w:rsid w:val="00F20FEB"/>
    <w:rsid w:val="00F2147C"/>
    <w:rsid w:val="00F21493"/>
    <w:rsid w:val="00F218F2"/>
    <w:rsid w:val="00F2318E"/>
    <w:rsid w:val="00F24834"/>
    <w:rsid w:val="00F24EB7"/>
    <w:rsid w:val="00F25060"/>
    <w:rsid w:val="00F2588A"/>
    <w:rsid w:val="00F258BD"/>
    <w:rsid w:val="00F25947"/>
    <w:rsid w:val="00F26500"/>
    <w:rsid w:val="00F26AEE"/>
    <w:rsid w:val="00F26D53"/>
    <w:rsid w:val="00F273C7"/>
    <w:rsid w:val="00F3043F"/>
    <w:rsid w:val="00F30468"/>
    <w:rsid w:val="00F310C0"/>
    <w:rsid w:val="00F31DD7"/>
    <w:rsid w:val="00F32099"/>
    <w:rsid w:val="00F32B95"/>
    <w:rsid w:val="00F3330A"/>
    <w:rsid w:val="00F33793"/>
    <w:rsid w:val="00F33AA0"/>
    <w:rsid w:val="00F341F1"/>
    <w:rsid w:val="00F342C2"/>
    <w:rsid w:val="00F34550"/>
    <w:rsid w:val="00F359EB"/>
    <w:rsid w:val="00F36634"/>
    <w:rsid w:val="00F36C3B"/>
    <w:rsid w:val="00F37228"/>
    <w:rsid w:val="00F374C0"/>
    <w:rsid w:val="00F3772B"/>
    <w:rsid w:val="00F37A8E"/>
    <w:rsid w:val="00F403DC"/>
    <w:rsid w:val="00F413ED"/>
    <w:rsid w:val="00F4191A"/>
    <w:rsid w:val="00F41C07"/>
    <w:rsid w:val="00F41D0E"/>
    <w:rsid w:val="00F42AE3"/>
    <w:rsid w:val="00F430B8"/>
    <w:rsid w:val="00F436BC"/>
    <w:rsid w:val="00F43B37"/>
    <w:rsid w:val="00F43DE4"/>
    <w:rsid w:val="00F44EAF"/>
    <w:rsid w:val="00F4538B"/>
    <w:rsid w:val="00F45DD6"/>
    <w:rsid w:val="00F45ED4"/>
    <w:rsid w:val="00F46CE3"/>
    <w:rsid w:val="00F46E7E"/>
    <w:rsid w:val="00F470DC"/>
    <w:rsid w:val="00F47399"/>
    <w:rsid w:val="00F474C7"/>
    <w:rsid w:val="00F479F4"/>
    <w:rsid w:val="00F47FA0"/>
    <w:rsid w:val="00F50E0F"/>
    <w:rsid w:val="00F518EF"/>
    <w:rsid w:val="00F52D1E"/>
    <w:rsid w:val="00F538E5"/>
    <w:rsid w:val="00F542C7"/>
    <w:rsid w:val="00F54A85"/>
    <w:rsid w:val="00F54ECA"/>
    <w:rsid w:val="00F56245"/>
    <w:rsid w:val="00F563D1"/>
    <w:rsid w:val="00F56412"/>
    <w:rsid w:val="00F56F22"/>
    <w:rsid w:val="00F572F6"/>
    <w:rsid w:val="00F5764D"/>
    <w:rsid w:val="00F578D4"/>
    <w:rsid w:val="00F5795C"/>
    <w:rsid w:val="00F57D3F"/>
    <w:rsid w:val="00F57D43"/>
    <w:rsid w:val="00F603A8"/>
    <w:rsid w:val="00F605DC"/>
    <w:rsid w:val="00F606CF"/>
    <w:rsid w:val="00F60F73"/>
    <w:rsid w:val="00F615F7"/>
    <w:rsid w:val="00F6269E"/>
    <w:rsid w:val="00F628D1"/>
    <w:rsid w:val="00F629A9"/>
    <w:rsid w:val="00F62A21"/>
    <w:rsid w:val="00F63810"/>
    <w:rsid w:val="00F646E6"/>
    <w:rsid w:val="00F64937"/>
    <w:rsid w:val="00F64E8E"/>
    <w:rsid w:val="00F65614"/>
    <w:rsid w:val="00F6582D"/>
    <w:rsid w:val="00F65BA8"/>
    <w:rsid w:val="00F6649F"/>
    <w:rsid w:val="00F66654"/>
    <w:rsid w:val="00F66B86"/>
    <w:rsid w:val="00F67D87"/>
    <w:rsid w:val="00F708DA"/>
    <w:rsid w:val="00F70AE8"/>
    <w:rsid w:val="00F70CFB"/>
    <w:rsid w:val="00F71807"/>
    <w:rsid w:val="00F71DD7"/>
    <w:rsid w:val="00F720CF"/>
    <w:rsid w:val="00F736C4"/>
    <w:rsid w:val="00F73887"/>
    <w:rsid w:val="00F73BF0"/>
    <w:rsid w:val="00F73D67"/>
    <w:rsid w:val="00F74134"/>
    <w:rsid w:val="00F74191"/>
    <w:rsid w:val="00F74570"/>
    <w:rsid w:val="00F753A3"/>
    <w:rsid w:val="00F75B42"/>
    <w:rsid w:val="00F75D51"/>
    <w:rsid w:val="00F760CD"/>
    <w:rsid w:val="00F7664A"/>
    <w:rsid w:val="00F7666E"/>
    <w:rsid w:val="00F76805"/>
    <w:rsid w:val="00F76977"/>
    <w:rsid w:val="00F76E38"/>
    <w:rsid w:val="00F76EC4"/>
    <w:rsid w:val="00F77B80"/>
    <w:rsid w:val="00F80D80"/>
    <w:rsid w:val="00F80DA9"/>
    <w:rsid w:val="00F81C3E"/>
    <w:rsid w:val="00F826D0"/>
    <w:rsid w:val="00F837C3"/>
    <w:rsid w:val="00F83981"/>
    <w:rsid w:val="00F84211"/>
    <w:rsid w:val="00F859E6"/>
    <w:rsid w:val="00F85A57"/>
    <w:rsid w:val="00F86408"/>
    <w:rsid w:val="00F86EBB"/>
    <w:rsid w:val="00F86F23"/>
    <w:rsid w:val="00F872B2"/>
    <w:rsid w:val="00F8782D"/>
    <w:rsid w:val="00F87D52"/>
    <w:rsid w:val="00F90636"/>
    <w:rsid w:val="00F90940"/>
    <w:rsid w:val="00F91154"/>
    <w:rsid w:val="00F91555"/>
    <w:rsid w:val="00F91F78"/>
    <w:rsid w:val="00F92978"/>
    <w:rsid w:val="00F92ADF"/>
    <w:rsid w:val="00F92B19"/>
    <w:rsid w:val="00F93385"/>
    <w:rsid w:val="00F93FB9"/>
    <w:rsid w:val="00F9489B"/>
    <w:rsid w:val="00F95B6C"/>
    <w:rsid w:val="00F95E2B"/>
    <w:rsid w:val="00F96BDF"/>
    <w:rsid w:val="00F96D8A"/>
    <w:rsid w:val="00F96EF3"/>
    <w:rsid w:val="00F9726F"/>
    <w:rsid w:val="00F97847"/>
    <w:rsid w:val="00FA01B6"/>
    <w:rsid w:val="00FA1D64"/>
    <w:rsid w:val="00FA1DCC"/>
    <w:rsid w:val="00FA2313"/>
    <w:rsid w:val="00FA2408"/>
    <w:rsid w:val="00FA2E79"/>
    <w:rsid w:val="00FA3191"/>
    <w:rsid w:val="00FA3343"/>
    <w:rsid w:val="00FA3847"/>
    <w:rsid w:val="00FA599A"/>
    <w:rsid w:val="00FA5F46"/>
    <w:rsid w:val="00FA6860"/>
    <w:rsid w:val="00FA6B79"/>
    <w:rsid w:val="00FA7042"/>
    <w:rsid w:val="00FA712B"/>
    <w:rsid w:val="00FA71A5"/>
    <w:rsid w:val="00FB1B61"/>
    <w:rsid w:val="00FB21F2"/>
    <w:rsid w:val="00FB2F98"/>
    <w:rsid w:val="00FB30E6"/>
    <w:rsid w:val="00FB37C2"/>
    <w:rsid w:val="00FB3853"/>
    <w:rsid w:val="00FB5072"/>
    <w:rsid w:val="00FB5343"/>
    <w:rsid w:val="00FB657A"/>
    <w:rsid w:val="00FB6FC2"/>
    <w:rsid w:val="00FB7232"/>
    <w:rsid w:val="00FB7779"/>
    <w:rsid w:val="00FB7C98"/>
    <w:rsid w:val="00FC00EC"/>
    <w:rsid w:val="00FC0779"/>
    <w:rsid w:val="00FC08EC"/>
    <w:rsid w:val="00FC24A4"/>
    <w:rsid w:val="00FC2870"/>
    <w:rsid w:val="00FC372E"/>
    <w:rsid w:val="00FC40E8"/>
    <w:rsid w:val="00FC4923"/>
    <w:rsid w:val="00FC4E88"/>
    <w:rsid w:val="00FC5C5E"/>
    <w:rsid w:val="00FC64ED"/>
    <w:rsid w:val="00FC6A1E"/>
    <w:rsid w:val="00FC6D1F"/>
    <w:rsid w:val="00FC6E1B"/>
    <w:rsid w:val="00FC6EDF"/>
    <w:rsid w:val="00FC6F36"/>
    <w:rsid w:val="00FC7339"/>
    <w:rsid w:val="00FC76BF"/>
    <w:rsid w:val="00FC7B49"/>
    <w:rsid w:val="00FD0239"/>
    <w:rsid w:val="00FD027F"/>
    <w:rsid w:val="00FD04B4"/>
    <w:rsid w:val="00FD1492"/>
    <w:rsid w:val="00FD1986"/>
    <w:rsid w:val="00FD1C33"/>
    <w:rsid w:val="00FD2359"/>
    <w:rsid w:val="00FD3450"/>
    <w:rsid w:val="00FD36D9"/>
    <w:rsid w:val="00FD376F"/>
    <w:rsid w:val="00FD3B97"/>
    <w:rsid w:val="00FD40C9"/>
    <w:rsid w:val="00FD4148"/>
    <w:rsid w:val="00FD5164"/>
    <w:rsid w:val="00FD5B94"/>
    <w:rsid w:val="00FD5D8C"/>
    <w:rsid w:val="00FD5E4B"/>
    <w:rsid w:val="00FD5FCE"/>
    <w:rsid w:val="00FD7B05"/>
    <w:rsid w:val="00FD7BB1"/>
    <w:rsid w:val="00FE0496"/>
    <w:rsid w:val="00FE04A9"/>
    <w:rsid w:val="00FE2413"/>
    <w:rsid w:val="00FE2F38"/>
    <w:rsid w:val="00FE3520"/>
    <w:rsid w:val="00FE35EF"/>
    <w:rsid w:val="00FE3E44"/>
    <w:rsid w:val="00FE4089"/>
    <w:rsid w:val="00FE4E29"/>
    <w:rsid w:val="00FE5280"/>
    <w:rsid w:val="00FE55DA"/>
    <w:rsid w:val="00FE5602"/>
    <w:rsid w:val="00FE5AC7"/>
    <w:rsid w:val="00FE5AE5"/>
    <w:rsid w:val="00FE63CC"/>
    <w:rsid w:val="00FE7069"/>
    <w:rsid w:val="00FE770A"/>
    <w:rsid w:val="00FE7B03"/>
    <w:rsid w:val="00FF04B5"/>
    <w:rsid w:val="00FF0A51"/>
    <w:rsid w:val="00FF0C43"/>
    <w:rsid w:val="00FF0C55"/>
    <w:rsid w:val="00FF1837"/>
    <w:rsid w:val="00FF1EC6"/>
    <w:rsid w:val="00FF1F37"/>
    <w:rsid w:val="00FF279D"/>
    <w:rsid w:val="00FF2A9C"/>
    <w:rsid w:val="00FF3217"/>
    <w:rsid w:val="00FF3412"/>
    <w:rsid w:val="00FF4109"/>
    <w:rsid w:val="00FF41F5"/>
    <w:rsid w:val="00FF473D"/>
    <w:rsid w:val="00FF4D0E"/>
    <w:rsid w:val="00FF50CD"/>
    <w:rsid w:val="00FF55D9"/>
    <w:rsid w:val="00FF69D1"/>
    <w:rsid w:val="00FF7EDA"/>
    <w:rsid w:val="0106A4FA"/>
    <w:rsid w:val="0118C33D"/>
    <w:rsid w:val="012BF6D8"/>
    <w:rsid w:val="016C5761"/>
    <w:rsid w:val="01844EB5"/>
    <w:rsid w:val="0263BFA8"/>
    <w:rsid w:val="027247E0"/>
    <w:rsid w:val="02D9714F"/>
    <w:rsid w:val="032EE4D4"/>
    <w:rsid w:val="03F30071"/>
    <w:rsid w:val="04135E4F"/>
    <w:rsid w:val="0490D2FA"/>
    <w:rsid w:val="04C70AD3"/>
    <w:rsid w:val="0500C046"/>
    <w:rsid w:val="05141AF5"/>
    <w:rsid w:val="0581F35F"/>
    <w:rsid w:val="05FF4D36"/>
    <w:rsid w:val="060C0F67"/>
    <w:rsid w:val="063FFA2F"/>
    <w:rsid w:val="06E48ADA"/>
    <w:rsid w:val="07C4C7B0"/>
    <w:rsid w:val="08378C83"/>
    <w:rsid w:val="0923628F"/>
    <w:rsid w:val="093C358A"/>
    <w:rsid w:val="09A7579C"/>
    <w:rsid w:val="0A37B0DE"/>
    <w:rsid w:val="0ADC2082"/>
    <w:rsid w:val="0B56107B"/>
    <w:rsid w:val="0B717177"/>
    <w:rsid w:val="0BF4DDD9"/>
    <w:rsid w:val="0C07F81A"/>
    <w:rsid w:val="0C2A9E0E"/>
    <w:rsid w:val="0C645BF6"/>
    <w:rsid w:val="0C8EBE6E"/>
    <w:rsid w:val="0CF1E0DC"/>
    <w:rsid w:val="0D06516C"/>
    <w:rsid w:val="0D78AA84"/>
    <w:rsid w:val="0DA3C87B"/>
    <w:rsid w:val="0DC397D1"/>
    <w:rsid w:val="0DD57745"/>
    <w:rsid w:val="0E09D4A1"/>
    <w:rsid w:val="0E1F48A1"/>
    <w:rsid w:val="0E990652"/>
    <w:rsid w:val="0EB09A1D"/>
    <w:rsid w:val="0ED03F58"/>
    <w:rsid w:val="0EF41913"/>
    <w:rsid w:val="0F032B61"/>
    <w:rsid w:val="0F476229"/>
    <w:rsid w:val="0F88E5E9"/>
    <w:rsid w:val="0FF62E20"/>
    <w:rsid w:val="0FF72EC7"/>
    <w:rsid w:val="104C9D4F"/>
    <w:rsid w:val="106A2567"/>
    <w:rsid w:val="10B33FA3"/>
    <w:rsid w:val="10D4CB81"/>
    <w:rsid w:val="10FDFF90"/>
    <w:rsid w:val="1112CD34"/>
    <w:rsid w:val="111FD73F"/>
    <w:rsid w:val="113AF07D"/>
    <w:rsid w:val="1184EF14"/>
    <w:rsid w:val="119AB162"/>
    <w:rsid w:val="11F4C72B"/>
    <w:rsid w:val="1217319A"/>
    <w:rsid w:val="122CA345"/>
    <w:rsid w:val="127F380C"/>
    <w:rsid w:val="1297FF0F"/>
    <w:rsid w:val="12B14AFE"/>
    <w:rsid w:val="12C086AB"/>
    <w:rsid w:val="12F134F5"/>
    <w:rsid w:val="12FD86F7"/>
    <w:rsid w:val="12FEF34E"/>
    <w:rsid w:val="130A8EEB"/>
    <w:rsid w:val="1337BCE8"/>
    <w:rsid w:val="136074BD"/>
    <w:rsid w:val="1399CAB7"/>
    <w:rsid w:val="13C798F4"/>
    <w:rsid w:val="1442B155"/>
    <w:rsid w:val="14566FA0"/>
    <w:rsid w:val="14813C60"/>
    <w:rsid w:val="15629AB6"/>
    <w:rsid w:val="15A65025"/>
    <w:rsid w:val="1666046B"/>
    <w:rsid w:val="1698B78F"/>
    <w:rsid w:val="1734C3B0"/>
    <w:rsid w:val="1786F967"/>
    <w:rsid w:val="187A0917"/>
    <w:rsid w:val="1895EF08"/>
    <w:rsid w:val="18AF5BF9"/>
    <w:rsid w:val="18E15023"/>
    <w:rsid w:val="18E20A13"/>
    <w:rsid w:val="18F5A557"/>
    <w:rsid w:val="1995E18C"/>
    <w:rsid w:val="1AC1DF38"/>
    <w:rsid w:val="1B36154F"/>
    <w:rsid w:val="1B3E6682"/>
    <w:rsid w:val="1BE6D02A"/>
    <w:rsid w:val="1C1C23A6"/>
    <w:rsid w:val="1C53DB7E"/>
    <w:rsid w:val="1C6E4515"/>
    <w:rsid w:val="1C7A2944"/>
    <w:rsid w:val="1C8DE5E5"/>
    <w:rsid w:val="1CA26901"/>
    <w:rsid w:val="1CBF0E6E"/>
    <w:rsid w:val="1D017BD9"/>
    <w:rsid w:val="1D07F913"/>
    <w:rsid w:val="1D4D7AAC"/>
    <w:rsid w:val="1D534995"/>
    <w:rsid w:val="1DA2CA5C"/>
    <w:rsid w:val="1DEEA63B"/>
    <w:rsid w:val="1E0897DE"/>
    <w:rsid w:val="1E491138"/>
    <w:rsid w:val="1F80B752"/>
    <w:rsid w:val="1FCBEBCE"/>
    <w:rsid w:val="1FD3CDA0"/>
    <w:rsid w:val="1FE8A753"/>
    <w:rsid w:val="1FF3BD12"/>
    <w:rsid w:val="205861FB"/>
    <w:rsid w:val="20786928"/>
    <w:rsid w:val="20999591"/>
    <w:rsid w:val="21242566"/>
    <w:rsid w:val="2135B945"/>
    <w:rsid w:val="213CBB10"/>
    <w:rsid w:val="214B2603"/>
    <w:rsid w:val="21A82AF0"/>
    <w:rsid w:val="21AD4C4F"/>
    <w:rsid w:val="22362249"/>
    <w:rsid w:val="2243F6A1"/>
    <w:rsid w:val="226633E3"/>
    <w:rsid w:val="2316684A"/>
    <w:rsid w:val="2419D27D"/>
    <w:rsid w:val="244D73E3"/>
    <w:rsid w:val="2523E1C7"/>
    <w:rsid w:val="255ED8AB"/>
    <w:rsid w:val="2566BFAB"/>
    <w:rsid w:val="2586B29C"/>
    <w:rsid w:val="25E1E29A"/>
    <w:rsid w:val="25E6C473"/>
    <w:rsid w:val="2612058D"/>
    <w:rsid w:val="26A19C35"/>
    <w:rsid w:val="26EB7407"/>
    <w:rsid w:val="26FADE56"/>
    <w:rsid w:val="2706A370"/>
    <w:rsid w:val="27484D2C"/>
    <w:rsid w:val="2793F0F4"/>
    <w:rsid w:val="27E0B899"/>
    <w:rsid w:val="284D8E0F"/>
    <w:rsid w:val="28F14DCA"/>
    <w:rsid w:val="291C552F"/>
    <w:rsid w:val="292C1371"/>
    <w:rsid w:val="292E9E50"/>
    <w:rsid w:val="299BA0D0"/>
    <w:rsid w:val="29BC5A43"/>
    <w:rsid w:val="29FF4F47"/>
    <w:rsid w:val="2A2F96BC"/>
    <w:rsid w:val="2A38B9FB"/>
    <w:rsid w:val="2AB51564"/>
    <w:rsid w:val="2B0A7604"/>
    <w:rsid w:val="2B12D1F8"/>
    <w:rsid w:val="2B207E10"/>
    <w:rsid w:val="2B506203"/>
    <w:rsid w:val="2BA1130A"/>
    <w:rsid w:val="2BC9719A"/>
    <w:rsid w:val="2BCCEC34"/>
    <w:rsid w:val="2BF89E39"/>
    <w:rsid w:val="2C0A827D"/>
    <w:rsid w:val="2C6D5E3D"/>
    <w:rsid w:val="2C7B9BAB"/>
    <w:rsid w:val="2C8CE877"/>
    <w:rsid w:val="2CED3D6A"/>
    <w:rsid w:val="2D4196D3"/>
    <w:rsid w:val="2D598C0A"/>
    <w:rsid w:val="2D8FC5CA"/>
    <w:rsid w:val="2D9BEF50"/>
    <w:rsid w:val="2DC5D42F"/>
    <w:rsid w:val="2DF0D792"/>
    <w:rsid w:val="2E6F71E0"/>
    <w:rsid w:val="2E851A3F"/>
    <w:rsid w:val="2E8A6252"/>
    <w:rsid w:val="2EC0C4F7"/>
    <w:rsid w:val="2EC1DAC4"/>
    <w:rsid w:val="2ED13680"/>
    <w:rsid w:val="2EEE9901"/>
    <w:rsid w:val="2F696F3B"/>
    <w:rsid w:val="2F81C7F1"/>
    <w:rsid w:val="2FF35AEF"/>
    <w:rsid w:val="30925E8C"/>
    <w:rsid w:val="314C61F2"/>
    <w:rsid w:val="31649FF9"/>
    <w:rsid w:val="319640C1"/>
    <w:rsid w:val="319B5CD9"/>
    <w:rsid w:val="328CD0D3"/>
    <w:rsid w:val="330728A9"/>
    <w:rsid w:val="33446B63"/>
    <w:rsid w:val="335051B9"/>
    <w:rsid w:val="33D08C79"/>
    <w:rsid w:val="342647EE"/>
    <w:rsid w:val="34393C75"/>
    <w:rsid w:val="348F9A61"/>
    <w:rsid w:val="34A3349E"/>
    <w:rsid w:val="351D03F1"/>
    <w:rsid w:val="354AC7CF"/>
    <w:rsid w:val="354CC43E"/>
    <w:rsid w:val="35EF069F"/>
    <w:rsid w:val="3689F24B"/>
    <w:rsid w:val="37206A73"/>
    <w:rsid w:val="37ADA2CA"/>
    <w:rsid w:val="37F2CC8A"/>
    <w:rsid w:val="3820F9F4"/>
    <w:rsid w:val="3822FE49"/>
    <w:rsid w:val="38476DF8"/>
    <w:rsid w:val="384F04DE"/>
    <w:rsid w:val="384F4BF6"/>
    <w:rsid w:val="3881B19B"/>
    <w:rsid w:val="3887C006"/>
    <w:rsid w:val="3893683F"/>
    <w:rsid w:val="38BA5D39"/>
    <w:rsid w:val="38EC3A92"/>
    <w:rsid w:val="38FF5D6F"/>
    <w:rsid w:val="392F6CA5"/>
    <w:rsid w:val="39C72512"/>
    <w:rsid w:val="39FC78A7"/>
    <w:rsid w:val="3A1F0594"/>
    <w:rsid w:val="3B66EA20"/>
    <w:rsid w:val="3B7D9014"/>
    <w:rsid w:val="3B8E267A"/>
    <w:rsid w:val="3BA73585"/>
    <w:rsid w:val="3BBF933D"/>
    <w:rsid w:val="3BC9468C"/>
    <w:rsid w:val="3BE38F21"/>
    <w:rsid w:val="3BFD8281"/>
    <w:rsid w:val="3C9AECE5"/>
    <w:rsid w:val="3CDC1647"/>
    <w:rsid w:val="3D0FED8D"/>
    <w:rsid w:val="3D55BA36"/>
    <w:rsid w:val="3DC91C7C"/>
    <w:rsid w:val="3E6D794E"/>
    <w:rsid w:val="3EC66CA0"/>
    <w:rsid w:val="3EC8BBF5"/>
    <w:rsid w:val="3F074042"/>
    <w:rsid w:val="3F40BB8B"/>
    <w:rsid w:val="3F4279A6"/>
    <w:rsid w:val="3F742A90"/>
    <w:rsid w:val="3F85BC25"/>
    <w:rsid w:val="3F94831B"/>
    <w:rsid w:val="3FC7FBA8"/>
    <w:rsid w:val="3FD8DC14"/>
    <w:rsid w:val="40020C7E"/>
    <w:rsid w:val="4040A87B"/>
    <w:rsid w:val="404B63F9"/>
    <w:rsid w:val="405AA692"/>
    <w:rsid w:val="40B3FF86"/>
    <w:rsid w:val="40DB4709"/>
    <w:rsid w:val="40F51035"/>
    <w:rsid w:val="40FB5815"/>
    <w:rsid w:val="41038CD4"/>
    <w:rsid w:val="4128FCBA"/>
    <w:rsid w:val="414722F8"/>
    <w:rsid w:val="4148E16C"/>
    <w:rsid w:val="421A1B91"/>
    <w:rsid w:val="43259D82"/>
    <w:rsid w:val="436562F5"/>
    <w:rsid w:val="43A14122"/>
    <w:rsid w:val="4406A830"/>
    <w:rsid w:val="447CF06D"/>
    <w:rsid w:val="44AE2DCD"/>
    <w:rsid w:val="450736E8"/>
    <w:rsid w:val="458DDDFB"/>
    <w:rsid w:val="459A5542"/>
    <w:rsid w:val="45B94DA6"/>
    <w:rsid w:val="45D7DF9D"/>
    <w:rsid w:val="466DD187"/>
    <w:rsid w:val="467D204A"/>
    <w:rsid w:val="46F4B2F5"/>
    <w:rsid w:val="472476A4"/>
    <w:rsid w:val="475F8DC4"/>
    <w:rsid w:val="479D54F7"/>
    <w:rsid w:val="48657555"/>
    <w:rsid w:val="48BD890B"/>
    <w:rsid w:val="48D29737"/>
    <w:rsid w:val="4940530D"/>
    <w:rsid w:val="4942BF78"/>
    <w:rsid w:val="494BB3B5"/>
    <w:rsid w:val="495425F3"/>
    <w:rsid w:val="49E8CFA6"/>
    <w:rsid w:val="4A0432AC"/>
    <w:rsid w:val="4A27DAB6"/>
    <w:rsid w:val="4A402892"/>
    <w:rsid w:val="4A4C2890"/>
    <w:rsid w:val="4A4D3E5D"/>
    <w:rsid w:val="4A54A1FB"/>
    <w:rsid w:val="4A8844E2"/>
    <w:rsid w:val="4B1D3694"/>
    <w:rsid w:val="4B5C449E"/>
    <w:rsid w:val="4B5EFC9A"/>
    <w:rsid w:val="4B66F6DA"/>
    <w:rsid w:val="4BDEB8F8"/>
    <w:rsid w:val="4BF238C4"/>
    <w:rsid w:val="4C5CA551"/>
    <w:rsid w:val="4CC7A507"/>
    <w:rsid w:val="4D772877"/>
    <w:rsid w:val="4DBC97EE"/>
    <w:rsid w:val="4E1DB87F"/>
    <w:rsid w:val="4E5F14B2"/>
    <w:rsid w:val="4E6558D4"/>
    <w:rsid w:val="4E77A9DA"/>
    <w:rsid w:val="4EB07374"/>
    <w:rsid w:val="4F53D039"/>
    <w:rsid w:val="4F6FA9E6"/>
    <w:rsid w:val="4F98F48F"/>
    <w:rsid w:val="4FB97A55"/>
    <w:rsid w:val="500DD5B4"/>
    <w:rsid w:val="50BC4C43"/>
    <w:rsid w:val="51102C2D"/>
    <w:rsid w:val="514B64F2"/>
    <w:rsid w:val="51539C41"/>
    <w:rsid w:val="520E398B"/>
    <w:rsid w:val="52243E0E"/>
    <w:rsid w:val="5233DFCC"/>
    <w:rsid w:val="526A10DA"/>
    <w:rsid w:val="526B05FD"/>
    <w:rsid w:val="52B555E3"/>
    <w:rsid w:val="532B6F44"/>
    <w:rsid w:val="53D5DBFA"/>
    <w:rsid w:val="53E70AD8"/>
    <w:rsid w:val="545D9A58"/>
    <w:rsid w:val="546C9D6F"/>
    <w:rsid w:val="548305B4"/>
    <w:rsid w:val="54C93A1E"/>
    <w:rsid w:val="54D103F7"/>
    <w:rsid w:val="556F6E86"/>
    <w:rsid w:val="56024AC7"/>
    <w:rsid w:val="563A95C4"/>
    <w:rsid w:val="57089FF6"/>
    <w:rsid w:val="5752D925"/>
    <w:rsid w:val="575F86B6"/>
    <w:rsid w:val="57AF691F"/>
    <w:rsid w:val="57B7D5FD"/>
    <w:rsid w:val="57EF898B"/>
    <w:rsid w:val="58381C46"/>
    <w:rsid w:val="584FD1D8"/>
    <w:rsid w:val="5856B297"/>
    <w:rsid w:val="589DA71C"/>
    <w:rsid w:val="590A9E07"/>
    <w:rsid w:val="5951580A"/>
    <w:rsid w:val="597ECA24"/>
    <w:rsid w:val="59E40AA8"/>
    <w:rsid w:val="59F0E396"/>
    <w:rsid w:val="59F932A7"/>
    <w:rsid w:val="5A5267B1"/>
    <w:rsid w:val="5A89CC2E"/>
    <w:rsid w:val="5A8C1816"/>
    <w:rsid w:val="5AEFDBEE"/>
    <w:rsid w:val="5AF24738"/>
    <w:rsid w:val="5B1605F4"/>
    <w:rsid w:val="5B1FD2DA"/>
    <w:rsid w:val="5B7EA3E3"/>
    <w:rsid w:val="5BB41521"/>
    <w:rsid w:val="5BBAE19C"/>
    <w:rsid w:val="5BF92D24"/>
    <w:rsid w:val="5C157EB0"/>
    <w:rsid w:val="5C43D6F0"/>
    <w:rsid w:val="5CA4E4DA"/>
    <w:rsid w:val="5CBFF011"/>
    <w:rsid w:val="5D01E0FD"/>
    <w:rsid w:val="5D0E5F8B"/>
    <w:rsid w:val="5DB4C8F1"/>
    <w:rsid w:val="5DFC0913"/>
    <w:rsid w:val="5E3C6BDF"/>
    <w:rsid w:val="5EA3C3B9"/>
    <w:rsid w:val="5F392D23"/>
    <w:rsid w:val="5FBD5F45"/>
    <w:rsid w:val="5FCB013A"/>
    <w:rsid w:val="5FCD3DD0"/>
    <w:rsid w:val="5FF48AD0"/>
    <w:rsid w:val="602D0FBA"/>
    <w:rsid w:val="607E4289"/>
    <w:rsid w:val="60BF39E8"/>
    <w:rsid w:val="61219E01"/>
    <w:rsid w:val="61521C0A"/>
    <w:rsid w:val="61524623"/>
    <w:rsid w:val="618A340C"/>
    <w:rsid w:val="6200319A"/>
    <w:rsid w:val="62359155"/>
    <w:rsid w:val="6290D413"/>
    <w:rsid w:val="62C70DEE"/>
    <w:rsid w:val="62D5E509"/>
    <w:rsid w:val="62ED429E"/>
    <w:rsid w:val="6311907A"/>
    <w:rsid w:val="6319E2A7"/>
    <w:rsid w:val="631AA927"/>
    <w:rsid w:val="63313FC6"/>
    <w:rsid w:val="6351B84B"/>
    <w:rsid w:val="638A5205"/>
    <w:rsid w:val="639B7E58"/>
    <w:rsid w:val="6447E2A9"/>
    <w:rsid w:val="6449C4D9"/>
    <w:rsid w:val="6474BF85"/>
    <w:rsid w:val="64A00137"/>
    <w:rsid w:val="64BC809A"/>
    <w:rsid w:val="64C5E3B8"/>
    <w:rsid w:val="64CB30F2"/>
    <w:rsid w:val="6517E183"/>
    <w:rsid w:val="651C4013"/>
    <w:rsid w:val="65203B59"/>
    <w:rsid w:val="6559A486"/>
    <w:rsid w:val="656AA938"/>
    <w:rsid w:val="65F73A0B"/>
    <w:rsid w:val="65F9AEFC"/>
    <w:rsid w:val="660F73FC"/>
    <w:rsid w:val="6623F5A9"/>
    <w:rsid w:val="6637EEF8"/>
    <w:rsid w:val="6665E757"/>
    <w:rsid w:val="6668C3F3"/>
    <w:rsid w:val="66739999"/>
    <w:rsid w:val="66757765"/>
    <w:rsid w:val="669D155D"/>
    <w:rsid w:val="66E75CEF"/>
    <w:rsid w:val="6752A1B1"/>
    <w:rsid w:val="67567E65"/>
    <w:rsid w:val="67A6CABA"/>
    <w:rsid w:val="67B55389"/>
    <w:rsid w:val="67B8CE64"/>
    <w:rsid w:val="67C8EC40"/>
    <w:rsid w:val="680EE9E6"/>
    <w:rsid w:val="68AAA47A"/>
    <w:rsid w:val="68E48D49"/>
    <w:rsid w:val="69AB3A5B"/>
    <w:rsid w:val="69E4784C"/>
    <w:rsid w:val="6A32AE7B"/>
    <w:rsid w:val="6A8E9891"/>
    <w:rsid w:val="6AC6828E"/>
    <w:rsid w:val="6B077D6E"/>
    <w:rsid w:val="6B0E92BF"/>
    <w:rsid w:val="6B74D67A"/>
    <w:rsid w:val="6B819115"/>
    <w:rsid w:val="6BCA63D1"/>
    <w:rsid w:val="6C6021E1"/>
    <w:rsid w:val="6CE06630"/>
    <w:rsid w:val="6D13DE0D"/>
    <w:rsid w:val="6D4EF2A5"/>
    <w:rsid w:val="6E20BDE3"/>
    <w:rsid w:val="6E5689E7"/>
    <w:rsid w:val="6E88A8A6"/>
    <w:rsid w:val="6F37D951"/>
    <w:rsid w:val="6F4FAC72"/>
    <w:rsid w:val="6FDBB4E7"/>
    <w:rsid w:val="6FE9B14F"/>
    <w:rsid w:val="6FFCBC67"/>
    <w:rsid w:val="700E74E0"/>
    <w:rsid w:val="702B8C4D"/>
    <w:rsid w:val="702DCCE9"/>
    <w:rsid w:val="703C8B27"/>
    <w:rsid w:val="70D676D1"/>
    <w:rsid w:val="71339658"/>
    <w:rsid w:val="71778548"/>
    <w:rsid w:val="718F8796"/>
    <w:rsid w:val="71C0F993"/>
    <w:rsid w:val="71D89B03"/>
    <w:rsid w:val="71E8E731"/>
    <w:rsid w:val="7236E579"/>
    <w:rsid w:val="72465440"/>
    <w:rsid w:val="7267E0EB"/>
    <w:rsid w:val="72703575"/>
    <w:rsid w:val="72830B66"/>
    <w:rsid w:val="72BA00A8"/>
    <w:rsid w:val="735202A7"/>
    <w:rsid w:val="7433B46F"/>
    <w:rsid w:val="7461DD9A"/>
    <w:rsid w:val="748576F4"/>
    <w:rsid w:val="74DB4A0C"/>
    <w:rsid w:val="7558D644"/>
    <w:rsid w:val="7598A285"/>
    <w:rsid w:val="75A30E16"/>
    <w:rsid w:val="75F49D62"/>
    <w:rsid w:val="7618B856"/>
    <w:rsid w:val="763881B0"/>
    <w:rsid w:val="7693B33C"/>
    <w:rsid w:val="769447A1"/>
    <w:rsid w:val="770A2EEE"/>
    <w:rsid w:val="77BA3C7C"/>
    <w:rsid w:val="77D5B333"/>
    <w:rsid w:val="780D141D"/>
    <w:rsid w:val="782F0C1E"/>
    <w:rsid w:val="78413BEF"/>
    <w:rsid w:val="78A4A68B"/>
    <w:rsid w:val="78F2D299"/>
    <w:rsid w:val="7928D00A"/>
    <w:rsid w:val="79791A03"/>
    <w:rsid w:val="797A0836"/>
    <w:rsid w:val="79B3300A"/>
    <w:rsid w:val="79DD7A00"/>
    <w:rsid w:val="7A4B9638"/>
    <w:rsid w:val="7A7AA90B"/>
    <w:rsid w:val="7AE556AB"/>
    <w:rsid w:val="7B2A4A63"/>
    <w:rsid w:val="7B78711D"/>
    <w:rsid w:val="7C7E3630"/>
    <w:rsid w:val="7D00EC6D"/>
    <w:rsid w:val="7D05B55D"/>
    <w:rsid w:val="7D0CEC6B"/>
    <w:rsid w:val="7D3B0C96"/>
    <w:rsid w:val="7D3EBE07"/>
    <w:rsid w:val="7E9A608C"/>
    <w:rsid w:val="7EE17E32"/>
    <w:rsid w:val="7F0464B9"/>
    <w:rsid w:val="7F3255CB"/>
    <w:rsid w:val="7F429D6E"/>
    <w:rsid w:val="7F6462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41F38"/>
  <w15:chartTrackingRefBased/>
  <w15:docId w15:val="{1F85F49B-C2B9-B84C-9156-04A2D0D8B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F63CF"/>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63CF"/>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4B5F"/>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79AB"/>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64B5F"/>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64B5F"/>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64B5F"/>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64B5F"/>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64B5F"/>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7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788"/>
    <w:rPr>
      <w:rFonts w:ascii="Segoe UI" w:hAnsi="Segoe UI" w:cs="Segoe UI"/>
      <w:sz w:val="18"/>
      <w:szCs w:val="18"/>
    </w:rPr>
  </w:style>
  <w:style w:type="character" w:customStyle="1" w:styleId="Heading1Char">
    <w:name w:val="Heading 1 Char"/>
    <w:basedOn w:val="DefaultParagraphFont"/>
    <w:link w:val="Heading1"/>
    <w:rsid w:val="002F63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F63C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2F63CF"/>
    <w:rPr>
      <w:sz w:val="16"/>
      <w:szCs w:val="16"/>
    </w:rPr>
  </w:style>
  <w:style w:type="paragraph" w:styleId="CommentText">
    <w:name w:val="annotation text"/>
    <w:basedOn w:val="Normal"/>
    <w:link w:val="CommentTextChar"/>
    <w:uiPriority w:val="99"/>
    <w:unhideWhenUsed/>
    <w:rsid w:val="002F63CF"/>
    <w:pPr>
      <w:spacing w:line="240" w:lineRule="auto"/>
    </w:pPr>
    <w:rPr>
      <w:sz w:val="20"/>
      <w:szCs w:val="20"/>
    </w:rPr>
  </w:style>
  <w:style w:type="character" w:customStyle="1" w:styleId="CommentTextChar">
    <w:name w:val="Comment Text Char"/>
    <w:basedOn w:val="DefaultParagraphFont"/>
    <w:link w:val="CommentText"/>
    <w:uiPriority w:val="99"/>
    <w:rsid w:val="002F63CF"/>
    <w:rPr>
      <w:sz w:val="20"/>
      <w:szCs w:val="20"/>
    </w:rPr>
  </w:style>
  <w:style w:type="paragraph" w:styleId="ListParagraph">
    <w:name w:val="List Paragraph"/>
    <w:basedOn w:val="Normal"/>
    <w:uiPriority w:val="34"/>
    <w:qFormat/>
    <w:rsid w:val="002F63CF"/>
    <w:pPr>
      <w:ind w:left="720"/>
      <w:contextualSpacing/>
    </w:pPr>
  </w:style>
  <w:style w:type="paragraph" w:styleId="CommentSubject">
    <w:name w:val="annotation subject"/>
    <w:basedOn w:val="CommentText"/>
    <w:next w:val="CommentText"/>
    <w:link w:val="CommentSubjectChar"/>
    <w:uiPriority w:val="99"/>
    <w:semiHidden/>
    <w:unhideWhenUsed/>
    <w:rsid w:val="002F63CF"/>
    <w:rPr>
      <w:b/>
      <w:bCs/>
    </w:rPr>
  </w:style>
  <w:style w:type="character" w:customStyle="1" w:styleId="CommentSubjectChar">
    <w:name w:val="Comment Subject Char"/>
    <w:basedOn w:val="CommentTextChar"/>
    <w:link w:val="CommentSubject"/>
    <w:uiPriority w:val="99"/>
    <w:semiHidden/>
    <w:rsid w:val="002F63CF"/>
    <w:rPr>
      <w:b/>
      <w:bCs/>
      <w:sz w:val="20"/>
      <w:szCs w:val="20"/>
    </w:rPr>
  </w:style>
  <w:style w:type="character" w:customStyle="1" w:styleId="Heading4Char">
    <w:name w:val="Heading 4 Char"/>
    <w:basedOn w:val="DefaultParagraphFont"/>
    <w:link w:val="Heading4"/>
    <w:uiPriority w:val="9"/>
    <w:rsid w:val="008579AB"/>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D64B5F"/>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D64B5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64B5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64B5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64B5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64B5F"/>
    <w:rPr>
      <w:rFonts w:asciiTheme="majorHAnsi" w:eastAsiaTheme="majorEastAsia" w:hAnsiTheme="majorHAnsi" w:cstheme="majorBidi"/>
      <w:i/>
      <w:iCs/>
      <w:color w:val="272727" w:themeColor="text1" w:themeTint="D8"/>
      <w:sz w:val="21"/>
      <w:szCs w:val="21"/>
    </w:rPr>
  </w:style>
  <w:style w:type="paragraph" w:customStyle="1" w:styleId="AuthorNames">
    <w:name w:val="Author Names"/>
    <w:basedOn w:val="Normal"/>
    <w:next w:val="Normal"/>
    <w:uiPriority w:val="99"/>
    <w:rsid w:val="002F4EC1"/>
    <w:pPr>
      <w:spacing w:after="0" w:line="240" w:lineRule="auto"/>
      <w:jc w:val="center"/>
    </w:pPr>
    <w:rPr>
      <w:rFonts w:ascii="Times New Roman" w:eastAsia="Times New Roman" w:hAnsi="Times New Roman" w:cs="Times New Roman"/>
      <w:sz w:val="20"/>
      <w:szCs w:val="20"/>
      <w:lang w:val="en-US"/>
    </w:rPr>
  </w:style>
  <w:style w:type="character" w:styleId="FootnoteReference">
    <w:name w:val="footnote reference"/>
    <w:rsid w:val="002F4EC1"/>
    <w:rPr>
      <w:sz w:val="20"/>
      <w:vertAlign w:val="superscript"/>
    </w:rPr>
  </w:style>
  <w:style w:type="paragraph" w:customStyle="1" w:styleId="Text">
    <w:name w:val="Text"/>
    <w:basedOn w:val="Normal"/>
    <w:uiPriority w:val="99"/>
    <w:rsid w:val="001E681A"/>
    <w:pPr>
      <w:tabs>
        <w:tab w:val="left" w:pos="288"/>
      </w:tabs>
      <w:spacing w:after="0" w:line="480" w:lineRule="auto"/>
      <w:ind w:firstLine="288"/>
      <w:jc w:val="both"/>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7A3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3D2"/>
  </w:style>
  <w:style w:type="paragraph" w:styleId="Footer">
    <w:name w:val="footer"/>
    <w:basedOn w:val="Normal"/>
    <w:link w:val="FooterChar"/>
    <w:uiPriority w:val="99"/>
    <w:unhideWhenUsed/>
    <w:rsid w:val="007A3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3D2"/>
  </w:style>
  <w:style w:type="table" w:styleId="TableGrid">
    <w:name w:val="Table Grid"/>
    <w:basedOn w:val="TableNormal"/>
    <w:uiPriority w:val="39"/>
    <w:rsid w:val="00A41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4B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A2D40"/>
    <w:rPr>
      <w:color w:val="0563C1" w:themeColor="hyperlink"/>
      <w:u w:val="single"/>
    </w:rPr>
  </w:style>
  <w:style w:type="character" w:styleId="UnresolvedMention">
    <w:name w:val="Unresolved Mention"/>
    <w:basedOn w:val="DefaultParagraphFont"/>
    <w:uiPriority w:val="99"/>
    <w:semiHidden/>
    <w:unhideWhenUsed/>
    <w:rsid w:val="002A2D40"/>
    <w:rPr>
      <w:color w:val="605E5C"/>
      <w:shd w:val="clear" w:color="auto" w:fill="E1DFDD"/>
    </w:rPr>
  </w:style>
  <w:style w:type="paragraph" w:customStyle="1" w:styleId="msonormal0">
    <w:name w:val="msonormal"/>
    <w:basedOn w:val="Normal"/>
    <w:uiPriority w:val="99"/>
    <w:semiHidden/>
    <w:rsid w:val="00B51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B515C2"/>
    <w:rPr>
      <w:color w:val="808080"/>
    </w:rPr>
  </w:style>
  <w:style w:type="numbering" w:customStyle="1" w:styleId="Style1">
    <w:name w:val="Style1"/>
    <w:uiPriority w:val="99"/>
    <w:rsid w:val="00B515C2"/>
    <w:pPr>
      <w:numPr>
        <w:numId w:val="28"/>
      </w:numPr>
    </w:pPr>
  </w:style>
  <w:style w:type="paragraph" w:styleId="TOC1">
    <w:name w:val="toc 1"/>
    <w:basedOn w:val="Normal"/>
    <w:next w:val="Normal"/>
    <w:autoRedefine/>
    <w:uiPriority w:val="39"/>
    <w:unhideWhenUsed/>
    <w:rsid w:val="00B515C2"/>
    <w:pPr>
      <w:spacing w:after="100" w:line="256" w:lineRule="auto"/>
    </w:pPr>
  </w:style>
  <w:style w:type="paragraph" w:styleId="TOC2">
    <w:name w:val="toc 2"/>
    <w:basedOn w:val="Normal"/>
    <w:next w:val="Normal"/>
    <w:autoRedefine/>
    <w:uiPriority w:val="39"/>
    <w:unhideWhenUsed/>
    <w:rsid w:val="00B515C2"/>
    <w:pPr>
      <w:spacing w:after="100" w:line="256" w:lineRule="auto"/>
      <w:ind w:left="220"/>
    </w:pPr>
  </w:style>
  <w:style w:type="paragraph" w:styleId="TOC3">
    <w:name w:val="toc 3"/>
    <w:basedOn w:val="Normal"/>
    <w:next w:val="Normal"/>
    <w:autoRedefine/>
    <w:uiPriority w:val="39"/>
    <w:unhideWhenUsed/>
    <w:rsid w:val="00B515C2"/>
    <w:pPr>
      <w:spacing w:after="100" w:line="256" w:lineRule="auto"/>
      <w:ind w:left="440"/>
    </w:pPr>
  </w:style>
  <w:style w:type="character" w:styleId="EndnoteReference">
    <w:name w:val="endnote reference"/>
    <w:basedOn w:val="DefaultParagraphFont"/>
    <w:uiPriority w:val="99"/>
    <w:semiHidden/>
    <w:unhideWhenUsed/>
    <w:rsid w:val="007C739B"/>
    <w:rPr>
      <w:vertAlign w:val="superscript"/>
    </w:rPr>
  </w:style>
  <w:style w:type="paragraph" w:styleId="Revision">
    <w:name w:val="Revision"/>
    <w:hidden/>
    <w:uiPriority w:val="99"/>
    <w:semiHidden/>
    <w:rsid w:val="003A4BC4"/>
    <w:pPr>
      <w:spacing w:after="0" w:line="240" w:lineRule="auto"/>
    </w:pPr>
  </w:style>
  <w:style w:type="character" w:styleId="LineNumber">
    <w:name w:val="line number"/>
    <w:basedOn w:val="DefaultParagraphFont"/>
    <w:uiPriority w:val="99"/>
    <w:semiHidden/>
    <w:unhideWhenUsed/>
    <w:rsid w:val="00735087"/>
  </w:style>
  <w:style w:type="character" w:styleId="FollowedHyperlink">
    <w:name w:val="FollowedHyperlink"/>
    <w:basedOn w:val="DefaultParagraphFont"/>
    <w:uiPriority w:val="99"/>
    <w:semiHidden/>
    <w:unhideWhenUsed/>
    <w:rsid w:val="006F5B12"/>
    <w:rPr>
      <w:color w:val="954F72" w:themeColor="followedHyperlink"/>
      <w:u w:val="single"/>
    </w:rPr>
  </w:style>
  <w:style w:type="numbering" w:customStyle="1" w:styleId="Style3">
    <w:name w:val="Style3"/>
    <w:uiPriority w:val="99"/>
    <w:rsid w:val="006F5B12"/>
    <w:pPr>
      <w:numPr>
        <w:numId w:val="43"/>
      </w:numPr>
    </w:pPr>
  </w:style>
  <w:style w:type="numbering" w:customStyle="1" w:styleId="Style4">
    <w:name w:val="Style4"/>
    <w:uiPriority w:val="99"/>
    <w:rsid w:val="006F5B12"/>
    <w:pPr>
      <w:numPr>
        <w:numId w:val="44"/>
      </w:numPr>
    </w:pPr>
  </w:style>
  <w:style w:type="numbering" w:customStyle="1" w:styleId="Style2">
    <w:name w:val="Style2"/>
    <w:uiPriority w:val="99"/>
    <w:rsid w:val="006F5B12"/>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6784">
      <w:bodyDiv w:val="1"/>
      <w:marLeft w:val="0"/>
      <w:marRight w:val="0"/>
      <w:marTop w:val="0"/>
      <w:marBottom w:val="0"/>
      <w:divBdr>
        <w:top w:val="none" w:sz="0" w:space="0" w:color="auto"/>
        <w:left w:val="none" w:sz="0" w:space="0" w:color="auto"/>
        <w:bottom w:val="none" w:sz="0" w:space="0" w:color="auto"/>
        <w:right w:val="none" w:sz="0" w:space="0" w:color="auto"/>
      </w:divBdr>
    </w:div>
    <w:div w:id="152837148">
      <w:bodyDiv w:val="1"/>
      <w:marLeft w:val="0"/>
      <w:marRight w:val="0"/>
      <w:marTop w:val="0"/>
      <w:marBottom w:val="0"/>
      <w:divBdr>
        <w:top w:val="none" w:sz="0" w:space="0" w:color="auto"/>
        <w:left w:val="none" w:sz="0" w:space="0" w:color="auto"/>
        <w:bottom w:val="none" w:sz="0" w:space="0" w:color="auto"/>
        <w:right w:val="none" w:sz="0" w:space="0" w:color="auto"/>
      </w:divBdr>
      <w:divsChild>
        <w:div w:id="1740905307">
          <w:marLeft w:val="0"/>
          <w:marRight w:val="0"/>
          <w:marTop w:val="0"/>
          <w:marBottom w:val="0"/>
          <w:divBdr>
            <w:top w:val="none" w:sz="0" w:space="0" w:color="auto"/>
            <w:left w:val="none" w:sz="0" w:space="0" w:color="auto"/>
            <w:bottom w:val="none" w:sz="0" w:space="0" w:color="auto"/>
            <w:right w:val="none" w:sz="0" w:space="0" w:color="auto"/>
          </w:divBdr>
          <w:divsChild>
            <w:div w:id="2932969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360935414">
      <w:bodyDiv w:val="1"/>
      <w:marLeft w:val="0"/>
      <w:marRight w:val="0"/>
      <w:marTop w:val="0"/>
      <w:marBottom w:val="0"/>
      <w:divBdr>
        <w:top w:val="none" w:sz="0" w:space="0" w:color="auto"/>
        <w:left w:val="none" w:sz="0" w:space="0" w:color="auto"/>
        <w:bottom w:val="none" w:sz="0" w:space="0" w:color="auto"/>
        <w:right w:val="none" w:sz="0" w:space="0" w:color="auto"/>
      </w:divBdr>
      <w:divsChild>
        <w:div w:id="656540489">
          <w:marLeft w:val="0"/>
          <w:marRight w:val="0"/>
          <w:marTop w:val="0"/>
          <w:marBottom w:val="0"/>
          <w:divBdr>
            <w:top w:val="none" w:sz="0" w:space="0" w:color="auto"/>
            <w:left w:val="none" w:sz="0" w:space="0" w:color="auto"/>
            <w:bottom w:val="none" w:sz="0" w:space="0" w:color="auto"/>
            <w:right w:val="none" w:sz="0" w:space="0" w:color="auto"/>
          </w:divBdr>
          <w:divsChild>
            <w:div w:id="103527795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362708794">
      <w:bodyDiv w:val="1"/>
      <w:marLeft w:val="0"/>
      <w:marRight w:val="0"/>
      <w:marTop w:val="0"/>
      <w:marBottom w:val="0"/>
      <w:divBdr>
        <w:top w:val="none" w:sz="0" w:space="0" w:color="auto"/>
        <w:left w:val="none" w:sz="0" w:space="0" w:color="auto"/>
        <w:bottom w:val="none" w:sz="0" w:space="0" w:color="auto"/>
        <w:right w:val="none" w:sz="0" w:space="0" w:color="auto"/>
      </w:divBdr>
    </w:div>
    <w:div w:id="459342552">
      <w:bodyDiv w:val="1"/>
      <w:marLeft w:val="0"/>
      <w:marRight w:val="0"/>
      <w:marTop w:val="0"/>
      <w:marBottom w:val="0"/>
      <w:divBdr>
        <w:top w:val="none" w:sz="0" w:space="0" w:color="auto"/>
        <w:left w:val="none" w:sz="0" w:space="0" w:color="auto"/>
        <w:bottom w:val="none" w:sz="0" w:space="0" w:color="auto"/>
        <w:right w:val="none" w:sz="0" w:space="0" w:color="auto"/>
      </w:divBdr>
    </w:div>
    <w:div w:id="617175833">
      <w:bodyDiv w:val="1"/>
      <w:marLeft w:val="0"/>
      <w:marRight w:val="0"/>
      <w:marTop w:val="0"/>
      <w:marBottom w:val="0"/>
      <w:divBdr>
        <w:top w:val="none" w:sz="0" w:space="0" w:color="auto"/>
        <w:left w:val="none" w:sz="0" w:space="0" w:color="auto"/>
        <w:bottom w:val="none" w:sz="0" w:space="0" w:color="auto"/>
        <w:right w:val="none" w:sz="0" w:space="0" w:color="auto"/>
      </w:divBdr>
      <w:divsChild>
        <w:div w:id="1528518099">
          <w:marLeft w:val="0"/>
          <w:marRight w:val="0"/>
          <w:marTop w:val="0"/>
          <w:marBottom w:val="0"/>
          <w:divBdr>
            <w:top w:val="none" w:sz="0" w:space="0" w:color="auto"/>
            <w:left w:val="none" w:sz="0" w:space="0" w:color="auto"/>
            <w:bottom w:val="none" w:sz="0" w:space="0" w:color="auto"/>
            <w:right w:val="none" w:sz="0" w:space="0" w:color="auto"/>
          </w:divBdr>
          <w:divsChild>
            <w:div w:id="161443623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660936766">
      <w:bodyDiv w:val="1"/>
      <w:marLeft w:val="0"/>
      <w:marRight w:val="0"/>
      <w:marTop w:val="0"/>
      <w:marBottom w:val="0"/>
      <w:divBdr>
        <w:top w:val="none" w:sz="0" w:space="0" w:color="auto"/>
        <w:left w:val="none" w:sz="0" w:space="0" w:color="auto"/>
        <w:bottom w:val="none" w:sz="0" w:space="0" w:color="auto"/>
        <w:right w:val="none" w:sz="0" w:space="0" w:color="auto"/>
      </w:divBdr>
    </w:div>
    <w:div w:id="1278831390">
      <w:bodyDiv w:val="1"/>
      <w:marLeft w:val="0"/>
      <w:marRight w:val="0"/>
      <w:marTop w:val="0"/>
      <w:marBottom w:val="0"/>
      <w:divBdr>
        <w:top w:val="none" w:sz="0" w:space="0" w:color="auto"/>
        <w:left w:val="none" w:sz="0" w:space="0" w:color="auto"/>
        <w:bottom w:val="none" w:sz="0" w:space="0" w:color="auto"/>
        <w:right w:val="none" w:sz="0" w:space="0" w:color="auto"/>
      </w:divBdr>
    </w:div>
    <w:div w:id="1407799287">
      <w:bodyDiv w:val="1"/>
      <w:marLeft w:val="0"/>
      <w:marRight w:val="0"/>
      <w:marTop w:val="0"/>
      <w:marBottom w:val="0"/>
      <w:divBdr>
        <w:top w:val="none" w:sz="0" w:space="0" w:color="auto"/>
        <w:left w:val="none" w:sz="0" w:space="0" w:color="auto"/>
        <w:bottom w:val="none" w:sz="0" w:space="0" w:color="auto"/>
        <w:right w:val="none" w:sz="0" w:space="0" w:color="auto"/>
      </w:divBdr>
    </w:div>
    <w:div w:id="1615208041">
      <w:bodyDiv w:val="1"/>
      <w:marLeft w:val="0"/>
      <w:marRight w:val="0"/>
      <w:marTop w:val="0"/>
      <w:marBottom w:val="0"/>
      <w:divBdr>
        <w:top w:val="none" w:sz="0" w:space="0" w:color="auto"/>
        <w:left w:val="none" w:sz="0" w:space="0" w:color="auto"/>
        <w:bottom w:val="none" w:sz="0" w:space="0" w:color="auto"/>
        <w:right w:val="none" w:sz="0" w:space="0" w:color="auto"/>
      </w:divBdr>
    </w:div>
    <w:div w:id="163081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tiff"/><Relationship Id="rId18" Type="http://schemas.openxmlformats.org/officeDocument/2006/relationships/image" Target="media/image6.ti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tif"/><Relationship Id="rId2" Type="http://schemas.openxmlformats.org/officeDocument/2006/relationships/customXml" Target="../customXml/item2.xml"/><Relationship Id="rId16" Type="http://schemas.openxmlformats.org/officeDocument/2006/relationships/image" Target="media/image4.tiff"/><Relationship Id="rId20"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stettler@imperial.ac.uk" TargetMode="External"/><Relationship Id="rId5" Type="http://schemas.openxmlformats.org/officeDocument/2006/relationships/numbering" Target="numbering.xml"/><Relationship Id="rId15" Type="http://schemas.openxmlformats.org/officeDocument/2006/relationships/image" Target="media/image3.tiff"/><Relationship Id="rId10" Type="http://schemas.openxmlformats.org/officeDocument/2006/relationships/endnotes" Target="endnotes.xml"/><Relationship Id="rId19" Type="http://schemas.openxmlformats.org/officeDocument/2006/relationships/image" Target="media/image7.t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E34EDD646C1F42A1A1A41BAC502BDE" ma:contentTypeVersion="7" ma:contentTypeDescription="Create a new document." ma:contentTypeScope="" ma:versionID="cadc94087d8b6deec45ed84c152f2f75">
  <xsd:schema xmlns:xsd="http://www.w3.org/2001/XMLSchema" xmlns:xs="http://www.w3.org/2001/XMLSchema" xmlns:p="http://schemas.microsoft.com/office/2006/metadata/properties" xmlns:ns3="063b7e8a-fb34-4446-8b3f-00faac938b26" xmlns:ns4="c284c16d-8d12-48b3-9e28-d44de03d4809" targetNamespace="http://schemas.microsoft.com/office/2006/metadata/properties" ma:root="true" ma:fieldsID="08366fc38e2b23113b6bb32c21b2054c" ns3:_="" ns4:_="">
    <xsd:import namespace="063b7e8a-fb34-4446-8b3f-00faac938b26"/>
    <xsd:import namespace="c284c16d-8d12-48b3-9e28-d44de03d48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b7e8a-fb34-4446-8b3f-00faac938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4c16d-8d12-48b3-9e28-d44de03d48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DCEFC91-4004-4134-8516-AC63F8AA22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A00BA0-2612-450D-BF44-438EBB471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b7e8a-fb34-4446-8b3f-00faac938b26"/>
    <ds:schemaRef ds:uri="c284c16d-8d12-48b3-9e28-d44de03d48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0A3336-16CF-43E2-8CA7-DFB5A401AE81}">
  <ds:schemaRefs>
    <ds:schemaRef ds:uri="http://schemas.microsoft.com/sharepoint/v3/contenttype/forms"/>
  </ds:schemaRefs>
</ds:datastoreItem>
</file>

<file path=customXml/itemProps4.xml><?xml version="1.0" encoding="utf-8"?>
<ds:datastoreItem xmlns:ds="http://schemas.openxmlformats.org/officeDocument/2006/customXml" ds:itemID="{A3785987-9C02-419B-8B83-40709CD67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41</Pages>
  <Words>46435</Words>
  <Characters>264684</Characters>
  <Application>Microsoft Office Word</Application>
  <DocSecurity>0</DocSecurity>
  <Lines>2205</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Jagtap, Swapnil S</dc:creator>
  <cp:keywords/>
  <dc:description/>
  <cp:lastModifiedBy>Jagtap, Swapnil S</cp:lastModifiedBy>
  <cp:revision>9</cp:revision>
  <dcterms:created xsi:type="dcterms:W3CDTF">2022-11-24T23:50:00Z</dcterms:created>
  <dcterms:modified xsi:type="dcterms:W3CDTF">2023-01-03T13:58:00Z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8e327267-5314-3de6-8c22-753863fb427a</vt:lpwstr>
  </property>
  <property fmtid="{D5CDD505-2E9C-101B-9397-08002B2CF9AE}" pid="4" name="Mendeley Citation Style_1">
    <vt:lpwstr>http://www.zotero.org/styles/transportation-research-part-d</vt:lpwstr>
  </property>
  <property fmtid="{D5CDD505-2E9C-101B-9397-08002B2CF9AE}" pid="5" name="Mendeley Recent Style Id 6_1">
    <vt:lpwstr>http://www.zotero.org/styles/modern-humanities-research-association</vt:lpwstr>
  </property>
  <property fmtid="{D5CDD505-2E9C-101B-9397-08002B2CF9AE}" pid="6" name="Mendeley Recent Style Name 6_1">
    <vt:lpwstr>Modern Humanities Research Association 3rd edition (note with bibliography)</vt:lpwstr>
  </property>
  <property fmtid="{D5CDD505-2E9C-101B-9397-08002B2CF9AE}" pid="7" name="Mendeley Recent Style Id 7_1">
    <vt:lpwstr>http://www.zotero.org/styles/modern-language-association</vt:lpwstr>
  </property>
  <property fmtid="{D5CDD505-2E9C-101B-9397-08002B2CF9AE}" pid="8" name="Mendeley Recent Style Name 7_1">
    <vt:lpwstr>Modern Language Association 9th edition</vt:lpwstr>
  </property>
  <property fmtid="{D5CDD505-2E9C-101B-9397-08002B2CF9AE}" pid="9" name="Mendeley Recent Style Id 8_1">
    <vt:lpwstr>http://www.zotero.org/styles/nature</vt:lpwstr>
  </property>
  <property fmtid="{D5CDD505-2E9C-101B-9397-08002B2CF9AE}" pid="10" name="Mendeley Recent Style Name 8_1">
    <vt:lpwstr>Nature</vt:lpwstr>
  </property>
  <property fmtid="{D5CDD505-2E9C-101B-9397-08002B2CF9AE}" pid="11" name="Mendeley Recent Style Id 9_1">
    <vt:lpwstr>http://www.zotero.org/styles/transportation-research-part-d</vt:lpwstr>
  </property>
  <property fmtid="{D5CDD505-2E9C-101B-9397-08002B2CF9AE}" pid="12" name="Mendeley Recent Style Name 9_1">
    <vt:lpwstr>Transportation Research Part D</vt:lpwstr>
  </property>
  <property fmtid="{D5CDD505-2E9C-101B-9397-08002B2CF9AE}" pid="13" name="ContentTypeId">
    <vt:lpwstr>0x010100C7E34EDD646C1F42A1A1A41BAC502BDE</vt:lpwstr>
  </property>
  <property fmtid="{D5CDD505-2E9C-101B-9397-08002B2CF9AE}" pid="14" name="Mendeley Recent Style Id 0_1">
    <vt:lpwstr>http://www.zotero.org/styles/apa</vt:lpwstr>
  </property>
  <property fmtid="{D5CDD505-2E9C-101B-9397-08002B2CF9AE}" pid="15" name="Mendeley Recent Style Name 0_1">
    <vt:lpwstr>American Psychological Association 7th edition</vt:lpwstr>
  </property>
  <property fmtid="{D5CDD505-2E9C-101B-9397-08002B2CF9AE}" pid="16" name="Mendeley Recent Style Id 1_1">
    <vt:lpwstr>http://www.zotero.org/styles/american-sociological-association</vt:lpwstr>
  </property>
  <property fmtid="{D5CDD505-2E9C-101B-9397-08002B2CF9AE}" pid="17" name="Mendeley Recent Style Name 1_1">
    <vt:lpwstr>American Sociological Association 6th edition</vt:lpwstr>
  </property>
  <property fmtid="{D5CDD505-2E9C-101B-9397-08002B2CF9AE}" pid="18" name="Mendeley Recent Style Id 2_1">
    <vt:lpwstr>http://www.zotero.org/styles/chicago-author-date</vt:lpwstr>
  </property>
  <property fmtid="{D5CDD505-2E9C-101B-9397-08002B2CF9AE}" pid="19" name="Mendeley Recent Style Name 2_1">
    <vt:lpwstr>Chicago Manual of Style 17th edition (author-date)</vt:lpwstr>
  </property>
  <property fmtid="{D5CDD505-2E9C-101B-9397-08002B2CF9AE}" pid="20" name="Mendeley Recent Style Id 3_1">
    <vt:lpwstr>http://www.zotero.org/styles/harvard-cite-them-right</vt:lpwstr>
  </property>
  <property fmtid="{D5CDD505-2E9C-101B-9397-08002B2CF9AE}" pid="21" name="Mendeley Recent Style Name 3_1">
    <vt:lpwstr>Cite Them Right 12th edition - Harvard</vt:lpwstr>
  </property>
  <property fmtid="{D5CDD505-2E9C-101B-9397-08002B2CF9AE}" pid="22" name="Mendeley Recent Style Id 4_1">
    <vt:lpwstr>http://www.zotero.org/styles/ieee</vt:lpwstr>
  </property>
  <property fmtid="{D5CDD505-2E9C-101B-9397-08002B2CF9AE}" pid="23" name="Mendeley Recent Style Name 4_1">
    <vt:lpwstr>IEEE</vt:lpwstr>
  </property>
  <property fmtid="{D5CDD505-2E9C-101B-9397-08002B2CF9AE}" pid="24" name="Mendeley Recent Style Id 5_1">
    <vt:lpwstr>http://www.zotero.org/styles/international-journal-of-hydrogen-energy</vt:lpwstr>
  </property>
  <property fmtid="{D5CDD505-2E9C-101B-9397-08002B2CF9AE}" pid="25" name="Mendeley Recent Style Name 5_1">
    <vt:lpwstr>International Journal of Hydrogen Energy</vt:lpwstr>
  </property>
</Properties>
</file>