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CC7" w:rsidRDefault="003D4CC7" w:rsidP="008F3F37">
      <w:pPr>
        <w:spacing w:beforeAutospacing="1" w:after="100" w:afterAutospacing="1" w:line="360" w:lineRule="auto"/>
        <w:jc w:val="both"/>
        <w:outlineLvl w:val="2"/>
        <w:rPr>
          <w:rFonts w:ascii="Times New Roman" w:eastAsia="Times New Roman" w:hAnsi="Times New Roman" w:cs="Times New Roman"/>
          <w:b/>
          <w:bCs/>
          <w:sz w:val="24"/>
          <w:szCs w:val="24"/>
        </w:rPr>
      </w:pPr>
      <w:r w:rsidRPr="008F3F37">
        <w:rPr>
          <w:rFonts w:ascii="Times New Roman" w:eastAsia="Times New Roman" w:hAnsi="Times New Roman" w:cs="Times New Roman"/>
          <w:b/>
          <w:bCs/>
          <w:sz w:val="24"/>
          <w:szCs w:val="24"/>
        </w:rPr>
        <w:t>Systematic Literature Review: Review of Erosion Control Methods in the 21</w:t>
      </w:r>
      <w:r w:rsidRPr="007529C5">
        <w:rPr>
          <w:rFonts w:ascii="Times New Roman" w:eastAsia="Times New Roman" w:hAnsi="Times New Roman" w:cs="Times New Roman"/>
          <w:b/>
          <w:bCs/>
          <w:sz w:val="24"/>
          <w:szCs w:val="24"/>
          <w:vertAlign w:val="superscript"/>
        </w:rPr>
        <w:t>st</w:t>
      </w:r>
      <w:r w:rsidRPr="008F3F37">
        <w:rPr>
          <w:rFonts w:ascii="Times New Roman" w:eastAsia="Times New Roman" w:hAnsi="Times New Roman" w:cs="Times New Roman"/>
          <w:b/>
          <w:bCs/>
          <w:sz w:val="24"/>
          <w:szCs w:val="24"/>
        </w:rPr>
        <w:t xml:space="preserve"> Century</w:t>
      </w:r>
    </w:p>
    <w:p w:rsidR="000532F1" w:rsidRDefault="000532F1" w:rsidP="008F3F37">
      <w:pPr>
        <w:spacing w:beforeAutospacing="1" w:after="100" w:afterAutospacing="1"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Eze anthony ejiofor</w:t>
      </w:r>
    </w:p>
    <w:p w:rsidR="000532F1" w:rsidRDefault="000532F1" w:rsidP="008F3F37">
      <w:pPr>
        <w:spacing w:beforeAutospacing="1" w:after="100" w:afterAutospacing="1"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Email : </w:t>
      </w:r>
      <w:hyperlink r:id="rId7" w:history="1">
        <w:r w:rsidRPr="00CB393A">
          <w:rPr>
            <w:rStyle w:val="Hyperlink"/>
            <w:rFonts w:ascii="Times New Roman" w:eastAsia="Times New Roman" w:hAnsi="Times New Roman" w:cs="Times New Roman"/>
            <w:bCs/>
            <w:sz w:val="24"/>
            <w:szCs w:val="24"/>
          </w:rPr>
          <w:t>anthonyejioforeze25@gmail.com</w:t>
        </w:r>
      </w:hyperlink>
    </w:p>
    <w:p w:rsidR="000532F1" w:rsidRDefault="000532F1" w:rsidP="008F3F37">
      <w:pPr>
        <w:spacing w:beforeAutospacing="1" w:after="100" w:afterAutospacing="1"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Phone  number : +2348039560444</w:t>
      </w:r>
    </w:p>
    <w:p w:rsidR="000532F1" w:rsidRPr="000532F1" w:rsidRDefault="000532F1" w:rsidP="008F3F37">
      <w:pPr>
        <w:spacing w:beforeAutospacing="1" w:after="100" w:afterAutospacing="1"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Department of  Agricultural and Bioresources Engineering, University of Nigeria, Nsukka</w:t>
      </w:r>
    </w:p>
    <w:p w:rsidR="00EB2781" w:rsidRDefault="00EB2781" w:rsidP="008F3F37">
      <w:pPr>
        <w:spacing w:beforeAutospacing="1" w:after="100" w:afterAutospacing="1"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EB2781" w:rsidRDefault="00EB2781" w:rsidP="008F3F37">
      <w:pPr>
        <w:spacing w:beforeAutospacing="1" w:after="100" w:afterAutospacing="1" w:line="360" w:lineRule="auto"/>
        <w:jc w:val="both"/>
        <w:outlineLvl w:val="2"/>
        <w:rPr>
          <w:rFonts w:ascii="Times New Roman" w:eastAsia="Times New Roman" w:hAnsi="Times New Roman" w:cs="Times New Roman"/>
          <w:bCs/>
          <w:sz w:val="24"/>
          <w:szCs w:val="24"/>
        </w:rPr>
      </w:pPr>
      <w:r w:rsidRPr="00EB2781">
        <w:rPr>
          <w:rFonts w:ascii="Times New Roman" w:eastAsia="Times New Roman" w:hAnsi="Times New Roman" w:cs="Times New Roman"/>
          <w:bCs/>
          <w:sz w:val="24"/>
          <w:szCs w:val="24"/>
        </w:rPr>
        <w:t xml:space="preserve">Erosion control has become one of the foremost environmental issues of the 21st century due to the accelerated impacts of climate change, land degradation, and unsustainable land management. </w:t>
      </w:r>
      <w:r w:rsidR="00827A72" w:rsidRPr="00B6164E">
        <w:rPr>
          <w:rFonts w:ascii="Times New Roman" w:hAnsi="Times New Roman" w:cs="Times New Roman"/>
          <w:iCs/>
          <w:sz w:val="24"/>
          <w:szCs w:val="24"/>
        </w:rPr>
        <w:t>The method of Preferred Reporting Items for Systematic Reviews and Meta-Analyses (PRISMA) was used. Series of eligibility/exclusion criteria were applied: only journal articles, peer reviewed conference papers and government publications were selected; articles in English publications were chosen as well. Only paper</w:t>
      </w:r>
      <w:r w:rsidR="0095298A">
        <w:rPr>
          <w:rFonts w:ascii="Times New Roman" w:hAnsi="Times New Roman" w:cs="Times New Roman"/>
          <w:iCs/>
          <w:sz w:val="24"/>
          <w:szCs w:val="24"/>
        </w:rPr>
        <w:t>s published in 1994 O</w:t>
      </w:r>
      <w:r w:rsidR="00827A72" w:rsidRPr="00B6164E">
        <w:rPr>
          <w:rFonts w:ascii="Times New Roman" w:hAnsi="Times New Roman" w:cs="Times New Roman"/>
          <w:iCs/>
          <w:sz w:val="24"/>
          <w:szCs w:val="24"/>
        </w:rPr>
        <w:t>nwards were selected.</w:t>
      </w:r>
      <w:r w:rsidR="00827A72">
        <w:rPr>
          <w:rFonts w:ascii="Times New Roman" w:hAnsi="Times New Roman" w:cs="Times New Roman"/>
          <w:iCs/>
          <w:sz w:val="24"/>
          <w:szCs w:val="24"/>
        </w:rPr>
        <w:t xml:space="preserve"> </w:t>
      </w:r>
      <w:r w:rsidRPr="00EB2781">
        <w:rPr>
          <w:rFonts w:ascii="Times New Roman" w:eastAsia="Times New Roman" w:hAnsi="Times New Roman" w:cs="Times New Roman"/>
          <w:bCs/>
          <w:sz w:val="24"/>
          <w:szCs w:val="24"/>
        </w:rPr>
        <w:t xml:space="preserve">This systematic review examines the broad array of erosion control methods developed and deployed in the past two decades and their efficacy, sustainability, and applicability across contexts. The review highlights the significance of vegetative strategies, such as cover crops, agroforestry, and reforestation, which not only reduce soil erosion but also enhance ecosystem </w:t>
      </w:r>
      <w:r w:rsidR="003E2C09">
        <w:rPr>
          <w:rFonts w:ascii="Times New Roman" w:eastAsia="Times New Roman" w:hAnsi="Times New Roman" w:cs="Times New Roman"/>
          <w:bCs/>
          <w:sz w:val="24"/>
          <w:szCs w:val="24"/>
        </w:rPr>
        <w:t xml:space="preserve"> </w:t>
      </w:r>
      <w:r w:rsidRPr="00EB2781">
        <w:rPr>
          <w:rFonts w:ascii="Times New Roman" w:eastAsia="Times New Roman" w:hAnsi="Times New Roman" w:cs="Times New Roman"/>
          <w:bCs/>
          <w:sz w:val="24"/>
          <w:szCs w:val="24"/>
        </w:rPr>
        <w:t>services such as carbon sequestration and biodiversity conservation. Structural strategies, such as terracing, check dams, and geosynthetic materials, remain effective but are typically limited by their high expense and maintenance requirements. Bioengineering techniques, by vegetative and structural incorporation, are increasingly favored for the double advantage of immediate erosion control alongside promoting long-term ecological recovery. Conservation tillage and soil organic amendments are agricultural management practices that have demonstrated the significance of improved soil quality and tensile strength. Moreover, community and policy-level interventions, such as integrated watershed management and payment for ecosystem services, have also emerged as indispensable methods of combatting erosion at the land</w:t>
      </w:r>
      <w:r w:rsidR="00166870">
        <w:rPr>
          <w:rFonts w:ascii="Times New Roman" w:eastAsia="Times New Roman" w:hAnsi="Times New Roman" w:cs="Times New Roman"/>
          <w:bCs/>
          <w:sz w:val="24"/>
          <w:szCs w:val="24"/>
        </w:rPr>
        <w:t>s</w:t>
      </w:r>
      <w:r w:rsidRPr="00EB2781">
        <w:rPr>
          <w:rFonts w:ascii="Times New Roman" w:eastAsia="Times New Roman" w:hAnsi="Times New Roman" w:cs="Times New Roman"/>
          <w:bCs/>
          <w:sz w:val="24"/>
          <w:szCs w:val="24"/>
        </w:rPr>
        <w:t xml:space="preserve">scape level. Despite taking great leaps forward, scaling them up and sustainability over the long term continues to pose a problem. This review underlines integrating technical measures into community involvement </w:t>
      </w:r>
      <w:r w:rsidRPr="00EB2781">
        <w:rPr>
          <w:rFonts w:ascii="Times New Roman" w:eastAsia="Times New Roman" w:hAnsi="Times New Roman" w:cs="Times New Roman"/>
          <w:bCs/>
          <w:sz w:val="24"/>
          <w:szCs w:val="24"/>
        </w:rPr>
        <w:lastRenderedPageBreak/>
        <w:t>coupled with policy action through locally determined strategies. Present studies must focus on optimizing the use of erosion control techniques, optimizing the involvement of stakeholders, and detailing innovative options for addressing emerging problems in a rapidly evolving world. It is feasible to minimize the impact of erosion and promote sustainable land use for generations to come by employing a multidisciplinary method.</w:t>
      </w:r>
    </w:p>
    <w:p w:rsidR="00166870" w:rsidRPr="00EB2781" w:rsidRDefault="00166870" w:rsidP="00166870">
      <w:pPr>
        <w:spacing w:beforeAutospacing="1" w:after="100" w:afterAutospacing="1" w:line="360" w:lineRule="auto"/>
        <w:jc w:val="both"/>
        <w:outlineLvl w:val="2"/>
        <w:rPr>
          <w:rFonts w:ascii="Times New Roman" w:eastAsia="Times New Roman" w:hAnsi="Times New Roman" w:cs="Times New Roman"/>
          <w:bCs/>
          <w:sz w:val="24"/>
          <w:szCs w:val="24"/>
        </w:rPr>
      </w:pPr>
      <w:r w:rsidRPr="00166870">
        <w:rPr>
          <w:rFonts w:ascii="Times New Roman" w:eastAsia="Times New Roman" w:hAnsi="Times New Roman" w:cs="Times New Roman"/>
          <w:b/>
          <w:bCs/>
          <w:sz w:val="24"/>
          <w:szCs w:val="24"/>
        </w:rPr>
        <w:t>Keywords</w:t>
      </w:r>
      <w:r>
        <w:rPr>
          <w:rFonts w:ascii="Times New Roman" w:eastAsia="Times New Roman" w:hAnsi="Times New Roman" w:cs="Times New Roman"/>
          <w:bCs/>
          <w:sz w:val="24"/>
          <w:szCs w:val="24"/>
        </w:rPr>
        <w:t xml:space="preserve">: </w:t>
      </w:r>
      <w:r>
        <w:rPr>
          <w:rFonts w:ascii="Times New Roman" w:hAnsi="Times New Roman" w:cs="Times New Roman"/>
          <w:color w:val="404040"/>
          <w:sz w:val="24"/>
          <w:szCs w:val="24"/>
        </w:rPr>
        <w:t>E</w:t>
      </w:r>
      <w:r w:rsidRPr="00166870">
        <w:rPr>
          <w:rFonts w:ascii="Times New Roman" w:hAnsi="Times New Roman" w:cs="Times New Roman"/>
          <w:color w:val="404040"/>
          <w:sz w:val="24"/>
          <w:szCs w:val="24"/>
        </w:rPr>
        <w:t>rosion contro</w:t>
      </w:r>
      <w:r>
        <w:rPr>
          <w:rFonts w:ascii="Times New Roman" w:hAnsi="Times New Roman" w:cs="Times New Roman"/>
          <w:color w:val="404040"/>
          <w:sz w:val="24"/>
          <w:szCs w:val="24"/>
        </w:rPr>
        <w:t>l, Soil conservation, S</w:t>
      </w:r>
      <w:r w:rsidRPr="00166870">
        <w:rPr>
          <w:rFonts w:ascii="Times New Roman" w:hAnsi="Times New Roman" w:cs="Times New Roman"/>
          <w:color w:val="404040"/>
          <w:sz w:val="24"/>
          <w:szCs w:val="24"/>
        </w:rPr>
        <w:t>ustainable land management, and 21</w:t>
      </w:r>
      <w:r w:rsidRPr="00166870">
        <w:rPr>
          <w:rFonts w:ascii="Times New Roman" w:hAnsi="Times New Roman" w:cs="Times New Roman"/>
          <w:color w:val="404040"/>
          <w:sz w:val="24"/>
          <w:szCs w:val="24"/>
          <w:vertAlign w:val="superscript"/>
        </w:rPr>
        <w:t>st</w:t>
      </w:r>
      <w:r w:rsidRPr="00166870">
        <w:rPr>
          <w:rFonts w:ascii="Times New Roman" w:hAnsi="Times New Roman" w:cs="Times New Roman"/>
          <w:color w:val="404040"/>
          <w:sz w:val="24"/>
          <w:szCs w:val="24"/>
        </w:rPr>
        <w:t xml:space="preserve"> century</w:t>
      </w:r>
    </w:p>
    <w:p w:rsidR="003D4CC7" w:rsidRPr="008F3F37" w:rsidRDefault="003D4CC7" w:rsidP="008F3F37">
      <w:pPr>
        <w:pStyle w:val="Heading1"/>
        <w:spacing w:line="360" w:lineRule="auto"/>
        <w:jc w:val="both"/>
        <w:rPr>
          <w:rFonts w:eastAsia="Times New Roman" w:cs="Times New Roman"/>
          <w:szCs w:val="24"/>
        </w:rPr>
      </w:pPr>
      <w:r w:rsidRPr="008F3F37">
        <w:rPr>
          <w:rFonts w:eastAsia="Times New Roman" w:cs="Times New Roman"/>
          <w:szCs w:val="24"/>
        </w:rPr>
        <w:t>Introduction</w:t>
      </w:r>
    </w:p>
    <w:p w:rsidR="00AD07E5" w:rsidRPr="008F3F37" w:rsidRDefault="00AD07E5"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Erosion, a natural force driven by wind, water, and ice, has been a perennial issue throughout human history, shaping landscapes, and impacting agricultural productivity, water quality, and ecosystem health. In the 21st century, though, the scale and severity of erosion have been exacerbated by a synergy of anthropogenic activity and climatic change. The intensified urbanization, deforestation, intensive agriculture, and infrastructure development have disrupted natural ecosystems, leaving soils vulnerable to erosion risk (Montgomery, 2007). Climate change has also exacerbated the problem by altering precipitation patterns, increasing the frequency and severity of extreme events, and accelerating the melting of glaciers and permafrost, all of which lead to higher soil displacement rates (IPCC, 2021). The consequences of unchecked erosion are extensive, varying from the loss of fertile topsoil, reduced agricultural output, sedimentation of water bodies, and increased vulnerability to natural disasters such as landslides and floods (Pimentel et al., 2004). Besides threatening environmental sustainability, these impacts have severe socio-economic implications, particularly for the people in developing nations whose livelihoods rely heavily on natural resources (Lal, 2018).</w:t>
      </w:r>
    </w:p>
    <w:p w:rsidR="00AD07E5" w:rsidRPr="008F3F37" w:rsidRDefault="00AD07E5"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 xml:space="preserve">Responding to such challenges, the 21st century has witnessed a growth in research and innovation aimed at devising effective erosion control measures. These measures span a wide spectrum, ranging from traditional methods such as terracing and reforestation to emerging technologies like geosynthetics and bioengineering measures (Gray &amp; Sotir, 2018). The growing recognition of the interconnections among ecological, social, and economic systems has also spurred the application of integrated approaches that combine technical, policy, and community-based solutions (Wunder et al., 2008). For instance, watershed management programs that engage local stakeholders in planning and implementation have been successful in addressing </w:t>
      </w:r>
      <w:r w:rsidRPr="008F3F37">
        <w:rPr>
          <w:rFonts w:ascii="Times New Roman" w:hAnsi="Times New Roman" w:cs="Times New Roman"/>
          <w:sz w:val="24"/>
          <w:szCs w:val="24"/>
        </w:rPr>
        <w:lastRenderedPageBreak/>
        <w:t>erosion at a landscape scale, while policies for sustainable land use, such as payments for ecosystem services (PES), have promoted conservation efforts (Chazdon et al., 2017). In spite of these developments, the success of erosion control practices is frequently reliant on how well they can be adapted to local circumstances, the resources available, and the extent of community participation (Blanco-Canqui et al., 2015).</w:t>
      </w:r>
    </w:p>
    <w:p w:rsidR="00384808" w:rsidRPr="008F3F37" w:rsidRDefault="00AD07E5"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This literature systematic review is intended to provide a comprehensive overview of 21st-century erosion control measures that have been developed and applied, their performance, sustainability, and feasibility in diverse environments. Based on a synthesis of evidence from an extensive list of scholarly journal articles, technical reports, and case studies, this review seeks to determine best practices, identify emerging trends, and address gaps in the existing literature. The review is structured under five general themes: vegetative strategies, structural strategies, bioengineering strategies, soil management practices, and policy and community-based approaches. Within each theme, the basic principles, practical applications, and empirical findings of their success are described. The ultimate aim of this review is to contribute to the ongoing debate on sustainable land management and provide actionable suggestions to policymakers, practitioners, and researchers struggling to cope with the impacts of erosion in an increasingly uncertain future.</w:t>
      </w:r>
    </w:p>
    <w:p w:rsidR="004A197D" w:rsidRPr="008F3F37" w:rsidRDefault="004A197D" w:rsidP="008F3F37">
      <w:pPr>
        <w:pStyle w:val="Heading1"/>
        <w:spacing w:line="360" w:lineRule="auto"/>
        <w:jc w:val="both"/>
        <w:rPr>
          <w:rFonts w:cs="Times New Roman"/>
          <w:szCs w:val="24"/>
        </w:rPr>
      </w:pPr>
      <w:r w:rsidRPr="008F3F37">
        <w:rPr>
          <w:rFonts w:cs="Times New Roman"/>
          <w:szCs w:val="24"/>
        </w:rPr>
        <w:t>Methodology</w:t>
      </w:r>
    </w:p>
    <w:p w:rsidR="004A197D" w:rsidRPr="008F3F37" w:rsidRDefault="004A197D" w:rsidP="008F3F37">
      <w:pPr>
        <w:pStyle w:val="Heading2"/>
        <w:spacing w:line="360" w:lineRule="auto"/>
        <w:jc w:val="both"/>
        <w:rPr>
          <w:rFonts w:cs="Times New Roman"/>
          <w:szCs w:val="24"/>
        </w:rPr>
      </w:pPr>
      <w:r w:rsidRPr="008F3F37">
        <w:rPr>
          <w:rFonts w:cs="Times New Roman"/>
          <w:szCs w:val="24"/>
        </w:rPr>
        <w:t>Preferred Reporting Items for Systematic Reviews and Meta-Analyses (PRISMA)</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 xml:space="preserve">The process of Preferred Reporting Items for Systematic Reviews and Meta-Analyses (PRISMA) which involves selecting literature databases (Google scholar, Science direct, and public records) was used to carry out a systematic review, establish eligibility and exclusion criteria, and set-out review process (identification, screening, and eligibility) and data separation and analysis. Sierra-Correa and Cantera Kintz (2015) observed that PRISMA presents remarkable importance for its use in literature review programme. This importance includes finding out different research questions that allow a systematic research, defining inclusion and exclusion criteria, and evaluating extremely huge databases within a short period of time (Shaffril et at., 2018). The PRISMA gave room to carry out a thorough review on the </w:t>
      </w:r>
      <w:r w:rsidR="00824F96" w:rsidRPr="008F3F37">
        <w:rPr>
          <w:rFonts w:ascii="Times New Roman" w:hAnsi="Times New Roman" w:cs="Times New Roman"/>
          <w:sz w:val="24"/>
          <w:szCs w:val="24"/>
        </w:rPr>
        <w:t>erosion control methods</w:t>
      </w:r>
      <w:r w:rsidRPr="008F3F37">
        <w:rPr>
          <w:rFonts w:ascii="Times New Roman" w:hAnsi="Times New Roman" w:cs="Times New Roman"/>
          <w:sz w:val="24"/>
          <w:szCs w:val="24"/>
        </w:rPr>
        <w:t>.</w:t>
      </w:r>
    </w:p>
    <w:p w:rsidR="004A197D" w:rsidRPr="008F3F37" w:rsidRDefault="004A197D" w:rsidP="008F3F37">
      <w:pPr>
        <w:pStyle w:val="Heading2"/>
        <w:spacing w:line="360" w:lineRule="auto"/>
        <w:jc w:val="both"/>
        <w:rPr>
          <w:rFonts w:cs="Times New Roman"/>
          <w:szCs w:val="24"/>
        </w:rPr>
      </w:pPr>
      <w:r w:rsidRPr="008F3F37">
        <w:rPr>
          <w:rFonts w:cs="Times New Roman"/>
          <w:szCs w:val="24"/>
        </w:rPr>
        <w:lastRenderedPageBreak/>
        <w:t>Resources</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 xml:space="preserve">The study was based on Google scholar, Scopus, and Science Direct as well as public records. Science Direct is a leading full-text scientific database that offers over two thousands </w:t>
      </w:r>
      <w:r w:rsidR="006F1F3F" w:rsidRPr="008F3F37">
        <w:rPr>
          <w:rFonts w:ascii="Times New Roman" w:hAnsi="Times New Roman" w:cs="Times New Roman"/>
          <w:sz w:val="24"/>
          <w:szCs w:val="24"/>
        </w:rPr>
        <w:t>five hundred</w:t>
      </w:r>
      <w:r w:rsidR="003E2C09">
        <w:rPr>
          <w:rFonts w:ascii="Times New Roman" w:hAnsi="Times New Roman" w:cs="Times New Roman"/>
          <w:sz w:val="24"/>
          <w:szCs w:val="24"/>
        </w:rPr>
        <w:t xml:space="preserve"> journals and more than</w:t>
      </w:r>
      <w:r w:rsidRPr="008F3F37">
        <w:rPr>
          <w:rFonts w:ascii="Times New Roman" w:hAnsi="Times New Roman" w:cs="Times New Roman"/>
          <w:sz w:val="24"/>
          <w:szCs w:val="24"/>
        </w:rPr>
        <w:t xml:space="preserve"> thirty-three thousand book titles, which covers wide range of interest including engineering. Google scholar is a rich repository comprising of several research papers especially conference and journal papers from different publishers, professional bodies, experts, institutional repository for thorough review. </w:t>
      </w:r>
    </w:p>
    <w:p w:rsidR="004A197D" w:rsidRPr="008F3F37" w:rsidRDefault="004A197D" w:rsidP="008F3F37">
      <w:pPr>
        <w:pStyle w:val="Heading2"/>
        <w:spacing w:line="360" w:lineRule="auto"/>
        <w:jc w:val="both"/>
        <w:rPr>
          <w:rFonts w:cs="Times New Roman"/>
          <w:szCs w:val="24"/>
        </w:rPr>
      </w:pPr>
      <w:r w:rsidRPr="008F3F37">
        <w:rPr>
          <w:rFonts w:cs="Times New Roman"/>
          <w:szCs w:val="24"/>
        </w:rPr>
        <w:t>Criteria for eligibility and exclusion</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Various eligibility and exclusion criteria were defined. Basing on the literature type, only peer-reviewed journals, and government publications were selected, implying that books, chapters in books, book series, and conference papers were excluded. In addition, only papers published in English were selected, meaning that non-English published papers were excluded in the search. Finally, the review covered pape</w:t>
      </w:r>
      <w:r w:rsidR="00913F79">
        <w:rPr>
          <w:rFonts w:ascii="Times New Roman" w:hAnsi="Times New Roman" w:cs="Times New Roman"/>
          <w:sz w:val="24"/>
          <w:szCs w:val="24"/>
        </w:rPr>
        <w:t>rs that were published from 1994 on</w:t>
      </w:r>
      <w:r w:rsidRPr="008F3F37">
        <w:rPr>
          <w:rFonts w:ascii="Times New Roman" w:hAnsi="Times New Roman" w:cs="Times New Roman"/>
          <w:sz w:val="24"/>
          <w:szCs w:val="24"/>
        </w:rPr>
        <w:t>wards.</w:t>
      </w:r>
    </w:p>
    <w:p w:rsidR="004A197D" w:rsidRPr="008F3F37" w:rsidRDefault="004A197D" w:rsidP="008F3F37">
      <w:pPr>
        <w:pStyle w:val="Heading2"/>
        <w:spacing w:line="360" w:lineRule="auto"/>
        <w:jc w:val="both"/>
        <w:rPr>
          <w:rFonts w:cs="Times New Roman"/>
          <w:szCs w:val="24"/>
        </w:rPr>
      </w:pPr>
      <w:r w:rsidRPr="008F3F37">
        <w:rPr>
          <w:rFonts w:cs="Times New Roman"/>
          <w:szCs w:val="24"/>
        </w:rPr>
        <w:t>Systematic review process</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 xml:space="preserve">The whole review work was divided into four stages. The first stage was the identification of the keywords relevant to </w:t>
      </w:r>
      <w:r w:rsidR="00564180" w:rsidRPr="008F3F37">
        <w:rPr>
          <w:rFonts w:ascii="Times New Roman" w:hAnsi="Times New Roman" w:cs="Times New Roman"/>
          <w:sz w:val="24"/>
          <w:szCs w:val="24"/>
        </w:rPr>
        <w:t>erosion control methods</w:t>
      </w:r>
      <w:r w:rsidRPr="008F3F37">
        <w:rPr>
          <w:rFonts w:ascii="Times New Roman" w:hAnsi="Times New Roman" w:cs="Times New Roman"/>
          <w:sz w:val="24"/>
          <w:szCs w:val="24"/>
        </w:rPr>
        <w:t xml:space="preserve"> in the search. This stage also included selecting identical articles, where </w:t>
      </w:r>
      <w:r w:rsidR="006B6F74">
        <w:rPr>
          <w:rFonts w:ascii="Times New Roman" w:hAnsi="Times New Roman" w:cs="Times New Roman"/>
          <w:sz w:val="24"/>
          <w:szCs w:val="24"/>
        </w:rPr>
        <w:t>700</w:t>
      </w:r>
      <w:r w:rsidRPr="008F3F37">
        <w:rPr>
          <w:rFonts w:ascii="Times New Roman" w:hAnsi="Times New Roman" w:cs="Times New Roman"/>
          <w:sz w:val="24"/>
          <w:szCs w:val="24"/>
        </w:rPr>
        <w:t xml:space="preserve"> papers scaled through to the next stage. In the second stage</w:t>
      </w:r>
      <w:r w:rsidR="006B6F74">
        <w:rPr>
          <w:rFonts w:ascii="Times New Roman" w:hAnsi="Times New Roman" w:cs="Times New Roman"/>
          <w:sz w:val="24"/>
          <w:szCs w:val="24"/>
        </w:rPr>
        <w:t>, 700</w:t>
      </w:r>
      <w:r w:rsidRPr="008F3F37">
        <w:rPr>
          <w:rFonts w:ascii="Times New Roman" w:hAnsi="Times New Roman" w:cs="Times New Roman"/>
          <w:sz w:val="24"/>
          <w:szCs w:val="24"/>
        </w:rPr>
        <w:t xml:space="preserve"> papers were reviewed out of </w:t>
      </w:r>
      <w:r w:rsidR="006B6F74">
        <w:rPr>
          <w:rFonts w:ascii="Times New Roman" w:hAnsi="Times New Roman" w:cs="Times New Roman"/>
          <w:sz w:val="24"/>
          <w:szCs w:val="24"/>
        </w:rPr>
        <w:t>which 580</w:t>
      </w:r>
      <w:r w:rsidR="00550FB2">
        <w:rPr>
          <w:rFonts w:ascii="Times New Roman" w:hAnsi="Times New Roman" w:cs="Times New Roman"/>
          <w:sz w:val="24"/>
          <w:szCs w:val="24"/>
        </w:rPr>
        <w:t xml:space="preserve"> were dropped out. 120</w:t>
      </w:r>
      <w:r w:rsidRPr="008F3F37">
        <w:rPr>
          <w:rFonts w:ascii="Times New Roman" w:hAnsi="Times New Roman" w:cs="Times New Roman"/>
          <w:sz w:val="24"/>
          <w:szCs w:val="24"/>
        </w:rPr>
        <w:t xml:space="preserve"> papers scaled through to the next stage. However, after critical evaluation of the papers wh</w:t>
      </w:r>
      <w:r w:rsidR="00550FB2">
        <w:rPr>
          <w:rFonts w:ascii="Times New Roman" w:hAnsi="Times New Roman" w:cs="Times New Roman"/>
          <w:sz w:val="24"/>
          <w:szCs w:val="24"/>
        </w:rPr>
        <w:t>ich reached the</w:t>
      </w:r>
      <w:r w:rsidR="00C85707">
        <w:rPr>
          <w:rFonts w:ascii="Times New Roman" w:hAnsi="Times New Roman" w:cs="Times New Roman"/>
          <w:sz w:val="24"/>
          <w:szCs w:val="24"/>
        </w:rPr>
        <w:t xml:space="preserve"> third stage, 88</w:t>
      </w:r>
      <w:r w:rsidRPr="008F3F37">
        <w:rPr>
          <w:rFonts w:ascii="Times New Roman" w:hAnsi="Times New Roman" w:cs="Times New Roman"/>
          <w:sz w:val="24"/>
          <w:szCs w:val="24"/>
        </w:rPr>
        <w:t xml:space="preserve"> papers were removed due to the fact that they did not align the inclusion criteria for </w:t>
      </w:r>
      <w:r w:rsidR="00564180" w:rsidRPr="008F3F37">
        <w:rPr>
          <w:rFonts w:ascii="Times New Roman" w:hAnsi="Times New Roman" w:cs="Times New Roman"/>
          <w:sz w:val="24"/>
          <w:szCs w:val="24"/>
        </w:rPr>
        <w:t>erosion control methods</w:t>
      </w:r>
      <w:r w:rsidRPr="008F3F37">
        <w:rPr>
          <w:rFonts w:ascii="Times New Roman" w:hAnsi="Times New Roman" w:cs="Times New Roman"/>
          <w:sz w:val="24"/>
          <w:szCs w:val="24"/>
        </w:rPr>
        <w:t>,</w:t>
      </w:r>
      <w:r w:rsidR="00564180" w:rsidRPr="008F3F37">
        <w:rPr>
          <w:rFonts w:ascii="Times New Roman" w:hAnsi="Times New Roman" w:cs="Times New Roman"/>
          <w:sz w:val="24"/>
          <w:szCs w:val="24"/>
        </w:rPr>
        <w:t xml:space="preserve"> or did not focus on erosion</w:t>
      </w:r>
      <w:r w:rsidR="00C85707">
        <w:rPr>
          <w:rFonts w:ascii="Times New Roman" w:hAnsi="Times New Roman" w:cs="Times New Roman"/>
          <w:sz w:val="24"/>
          <w:szCs w:val="24"/>
        </w:rPr>
        <w:t>. In the fourth stage, only 32</w:t>
      </w:r>
      <w:r w:rsidRPr="008F3F37">
        <w:rPr>
          <w:rFonts w:ascii="Times New Roman" w:hAnsi="Times New Roman" w:cs="Times New Roman"/>
          <w:sz w:val="24"/>
          <w:szCs w:val="24"/>
        </w:rPr>
        <w:t xml:space="preserve"> published papers were considered for subjective evaluation (see </w:t>
      </w:r>
      <w:r w:rsidRPr="008F3F37">
        <w:rPr>
          <w:rFonts w:ascii="Times New Roman" w:hAnsi="Times New Roman" w:cs="Times New Roman"/>
          <w:b/>
          <w:sz w:val="24"/>
          <w:szCs w:val="24"/>
        </w:rPr>
        <w:t>Fig. 1</w:t>
      </w:r>
      <w:r w:rsidRPr="008F3F37">
        <w:rPr>
          <w:rFonts w:ascii="Times New Roman" w:hAnsi="Times New Roman" w:cs="Times New Roman"/>
          <w:sz w:val="24"/>
          <w:szCs w:val="24"/>
        </w:rPr>
        <w:t>)</w:t>
      </w:r>
    </w:p>
    <w:p w:rsidR="00FA34D5" w:rsidRPr="008F3F37" w:rsidRDefault="00FA34D5"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FA34D5" w:rsidRDefault="00FA34D5" w:rsidP="008F3F37">
      <w:pPr>
        <w:spacing w:line="360" w:lineRule="auto"/>
        <w:jc w:val="both"/>
        <w:rPr>
          <w:rFonts w:ascii="Times New Roman" w:hAnsi="Times New Roman" w:cs="Times New Roman"/>
          <w:sz w:val="24"/>
          <w:szCs w:val="24"/>
        </w:rPr>
      </w:pPr>
    </w:p>
    <w:p w:rsidR="00550FB2" w:rsidRPr="008F3F37" w:rsidRDefault="00550FB2" w:rsidP="008F3F37">
      <w:pPr>
        <w:spacing w:line="360" w:lineRule="auto"/>
        <w:jc w:val="both"/>
        <w:rPr>
          <w:rFonts w:ascii="Times New Roman" w:hAnsi="Times New Roman" w:cs="Times New Roman"/>
          <w:sz w:val="24"/>
          <w:szCs w:val="24"/>
        </w:rPr>
      </w:pPr>
    </w:p>
    <w:p w:rsidR="00FA34D5" w:rsidRPr="008F3F37" w:rsidRDefault="00FA34D5" w:rsidP="008F3F37">
      <w:pPr>
        <w:spacing w:line="360" w:lineRule="auto"/>
        <w:jc w:val="both"/>
        <w:rPr>
          <w:rFonts w:ascii="Times New Roman" w:hAnsi="Times New Roman" w:cs="Times New Roman"/>
          <w:sz w:val="24"/>
          <w:szCs w:val="24"/>
        </w:rPr>
      </w:pPr>
    </w:p>
    <w:p w:rsidR="004A197D" w:rsidRPr="008F3F37" w:rsidRDefault="0016366D" w:rsidP="008F3F3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2" o:spid="_x0000_s1029" style="position:absolute;left:0;text-align:left;margin-left:43.5pt;margin-top:2.2pt;width:294.75pt;height: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6RewIAAEQFAAAOAAAAZHJzL2Uyb0RvYy54bWysVMFu2zAMvQ/YPwi6r07cpN2COkXQosOA&#10;og3aDj0rshQbkEWNUmJnXz9KdtyiLXYY5oNMiuSj+ETq4rJrDNsr9DXYgk9PJpwpK6Gs7bbgP59u&#10;vnzlzAdhS2HAqoIflOeXy8+fLlq3UDlUYEqFjECsX7Su4FUIbpFlXlaqEf4EnLJk1ICNCKTiNitR&#10;tITemCyfTM6yFrB0CFJ5T7vXvZEvE77WSoZ7rb0KzBSczhbSimndxDVbXojFFoWrajkcQ/zDKRpR&#10;W0o6Ql2LINgO63dQTS0RPOhwIqHJQOtaqlQDVTOdvKnmsRJOpVqIHO9Gmvz/g5V3+zWyuix4zpkV&#10;DV3RA5Em7NYolkd6WucX5PXo1jhonsRYa6exiX+qgnWJ0sNIqeoCk7R5ej47Pc3nnEmy5bPzs3ni&#10;PHuJdujDdwUNi0LBkbInJsX+1gfKSK5HF1Liafr8SQoHo+IRjH1QmsqgjHmKTg2krgyyvaCrF1Iq&#10;G6a9qRKl6rfnE/pikZRkjEhaAozIujZmxB4AYnO+x+5hBv8YqlL/jcGTvx2sDx4jUmawYQxuagv4&#10;EYChqobMvf+RpJ6ayFLoNh25RHED5YHuG6EfBO/kTU203wof1gKp82lGaJrDPS3aQFtwGCTOKsDf&#10;H+1Hf2pIsnLW0iQV3P/aCVScmR+WWvXbdDaLo5eU2fw8JwVfWzavLXbXXAHd2JTeDSeTGP2DOYoa&#10;oXmmoV/FrGQSVlLugsuAR+Uq9BNOz4ZUq1Vyo3FzItzaRycjeCQ4ttVT9yzQDb0XqGvv4Dh1YvGm&#10;BXvfGGlhtQug69SfL7wO1NOoph4anpX4FrzWk9fL47f8AwAA//8DAFBLAwQUAAYACAAAACEASNDP&#10;ztsAAAAHAQAADwAAAGRycy9kb3ducmV2LnhtbEyPwU7DMBBE70j8g7VI3KhTCEmVxqlQJS5IHNry&#10;AW68xGnjdRQ7TfL3LCc4jmY086bcza4TNxxC60nBepWAQKq9aalR8HV6f9qACFGT0Z0nVLBggF11&#10;f1fqwviJDng7xkZwCYVCK7Ax9oWUobbodFj5Hom9bz84HVkOjTSDnrjcdfI5STLpdEu8YHWPe4v1&#10;9Tg6HtF4WNb5tL9+2vmjxW654Lgo9fgwv21BRJzjXxh+8RkdKmY6+5FMEJ2CTc5XooI0BcF2lmev&#10;IM6sX1KQVSn/81c/AAAA//8DAFBLAQItABQABgAIAAAAIQC2gziS/gAAAOEBAAATAAAAAAAAAAAA&#10;AAAAAAAAAABbQ29udGVudF9UeXBlc10ueG1sUEsBAi0AFAAGAAgAAAAhADj9If/WAAAAlAEAAAsA&#10;AAAAAAAAAAAAAAAALwEAAF9yZWxzLy5yZWxzUEsBAi0AFAAGAAgAAAAhACeW/pF7AgAARAUAAA4A&#10;AAAAAAAAAAAAAAAALgIAAGRycy9lMm9Eb2MueG1sUEsBAi0AFAAGAAgAAAAhAEjQz87bAAAABwEA&#10;AA8AAAAAAAAAAAAAAAAA1QQAAGRycy9kb3ducmV2LnhtbFBLBQYAAAAABAAEAPMAAADdBQAAAAA=&#10;" fillcolor="#4f81bd [3204]" strokecolor="#243f60 [1604]" strokeweight="1pt">
            <v:textbox>
              <w:txbxContent>
                <w:p w:rsidR="00384808" w:rsidRDefault="00384808" w:rsidP="004A197D">
                  <w:pPr>
                    <w:jc w:val="center"/>
                  </w:pPr>
                  <w:r>
                    <w:t>Systematic Literature Review</w:t>
                  </w:r>
                </w:p>
              </w:txbxContent>
            </v:textbox>
          </v:rect>
        </w:pict>
      </w:r>
    </w:p>
    <w:p w:rsidR="004A197D" w:rsidRPr="008F3F37" w:rsidRDefault="0016366D" w:rsidP="008F3F37">
      <w:pPr>
        <w:spacing w:line="360" w:lineRule="auto"/>
        <w:jc w:val="both"/>
        <w:rPr>
          <w:rFonts w:ascii="Times New Roman" w:hAnsi="Times New Roman" w:cs="Times New Roman"/>
          <w:sz w:val="24"/>
          <w:szCs w:val="24"/>
        </w:rPr>
      </w:pPr>
      <w:r w:rsidRPr="0016366D">
        <w:rPr>
          <w:rFonts w:ascii="Times New Roman" w:hAnsi="Times New Roman" w:cs="Times New Roman"/>
          <w:b/>
          <w:noProof/>
          <w:sz w:val="24"/>
          <w:szCs w:val="24"/>
        </w:rPr>
        <w:pict>
          <v:rect id="Rectangle 6" o:spid="_x0000_s1031" style="position:absolute;left:0;text-align:left;margin-left:115.5pt;margin-top:29pt;width:1in;height:80.2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rXZAIAABwFAAAOAAAAZHJzL2Uyb0RvYy54bWysVEtv2zAMvg/YfxB0X20HabsGdYqgRYcB&#10;RVv0gZ4VWUqMyaJGKbGzXz9KdpyiC3YYdrEp8fv4pi6vusawrUJfgy15cZJzpqyEqrarkr++3H75&#10;ypkPwlbCgFUl3ynPr+afP122bqYmsAZTKWRkxPpZ60q+DsHNsszLtWqEPwGnLCk1YCMCHXGVVSha&#10;st6YbJLnZ1kLWDkEqbyn25teyefJvtZKhgetvQrMlJxiC+mL6buM32x+KWYrFG5dyyEM8Q9RNKK2&#10;5HQ0dSOCYBus/zDV1BLBgw4nEpoMtK6lSjlQNkX+IZvntXAq5ULF8W4sk/9/ZuX99hFZXZX8jDMr&#10;GmrRExVN2JVR7CyWp3V+Rqhn94jDyZMYc+00NvFPWbAulXQ3llR1gUm6vCim05wKL0lV5MVFcX4a&#10;jWYHtkMfviloWBRKjuQ9VVJs73zooXsI8WI0vf8khZ1RMQRjn5SmNMjjJLHTAKlrg2wrqPXVj2Jw&#10;m5CRomtjRlJxjGTCnjRgI02loRqJ+THiwduITh7BhpHY1Bbw72Td4/dZ97nGtEO37FLPUnzxZgnV&#10;jvqI0A+4d/K2pnLeCR8eBdJEUwtoS8MDfbSBtuQwSJytAX8du494GjTSctbShpTc/9wIVJyZ75ZG&#10;MLWWViodpqfnE/KB7zXL9xq7aa6BOlHQe+BkEiM+mL2oEZo3WuZF9EoqYSX5LrkMuD9ch35z6TmQ&#10;arFIMFojJ8KdfXYyGo91juPy0r0JdMNMBZrGe9hvk5h9GK0eG5kWFpsAuk5zd6jr0AFawTS5w3MR&#10;d/z9OaEOj9r8NwAAAP//AwBQSwMEFAAGAAgAAAAhAHpkMXrfAAAACgEAAA8AAABkcnMvZG93bnJl&#10;di54bWxMj0FPwzAMhe9I/IfISNxY2k3dSmk6TQhOICYGB45ZY9qKxKmarO3+PebETrb1np6/V25n&#10;Z8WIQ+g8KUgXCQik2puOGgWfH893OYgQNRltPaGCMwbYVtdXpS6Mn+gdx0NsBIdQKLSCNsa+kDLU&#10;LTodFr5HYu3bD05HPodGmkFPHO6sXCbJWjrdEX9odY+PLdY/h5NT4Pfd2e6G+7fxFTdfL/uYTPP6&#10;Sanbm3n3ACLiHP/N8IfP6FAx09GfyARhFSxXKXeJCrKcJxtWm4yXIytpnoGsSnlZofoFAAD//wMA&#10;UEsBAi0AFAAGAAgAAAAhALaDOJL+AAAA4QEAABMAAAAAAAAAAAAAAAAAAAAAAFtDb250ZW50X1R5&#10;cGVzXS54bWxQSwECLQAUAAYACAAAACEAOP0h/9YAAACUAQAACwAAAAAAAAAAAAAAAAAvAQAAX3Jl&#10;bHMvLnJlbHNQSwECLQAUAAYACAAAACEAVJ/a12QCAAAcBQAADgAAAAAAAAAAAAAAAAAuAgAAZHJz&#10;L2Uyb0RvYy54bWxQSwECLQAUAAYACAAAACEAemQxet8AAAAKAQAADwAAAAAAAAAAAAAAAAC+BAAA&#10;ZHJzL2Rvd25yZXYueG1sUEsFBgAAAAAEAAQA8wAAAMoFAAAAAA==&#10;" fillcolor="white [3201]" strokecolor="black [3200]" strokeweight="1pt">
            <v:textbox>
              <w:txbxContent>
                <w:p w:rsidR="00384808" w:rsidRDefault="00384808" w:rsidP="004A197D">
                  <w:pPr>
                    <w:jc w:val="center"/>
                  </w:pPr>
                  <w:r>
                    <w:t>Records identified from Science Direct</w:t>
                  </w:r>
                </w:p>
              </w:txbxContent>
            </v:textbox>
          </v:rect>
        </w:pict>
      </w:r>
      <w:r w:rsidRPr="0016366D">
        <w:rPr>
          <w:rFonts w:ascii="Times New Roman" w:hAnsi="Times New Roman" w:cs="Times New Roman"/>
          <w:noProof/>
          <w:color w:val="C4BC96" w:themeColor="background2" w:themeShade="BF"/>
          <w:sz w:val="24"/>
          <w:szCs w:val="24"/>
        </w:rPr>
        <w:pict>
          <v:rect id="Rectangle 3" o:spid="_x0000_s1026" style="position:absolute;left:0;text-align:left;margin-left:67.5pt;margin-top:3.15pt;width:231.75pt;height:18.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tRoQIAAL0FAAAOAAAAZHJzL2Uyb0RvYy54bWysVN1P2zAQf5+0/8Hy+0iTFgYVKapATJMY&#10;VMDEs+vYTSTb59luk+6v39lJQ8XYHqb1Ib3P33347i6vOq3ITjjfgClpfjKhRBgOVWM2Jf3+fPvp&#10;nBIfmKmYAiNKuheeXi0+frhs7VwUUIOqhCMIYvy8tSWtQ7DzLPO8Fpr5E7DCoFKC0ywg6zZZ5ViL&#10;6FplxWRylrXgKuuAC+9RetMr6SLhSyl4eJDSi0BUSTG3kL4ufdfxmy0u2XzjmK0bPqTB/iELzRqD&#10;QUeoGxYY2brmNyjdcAceZDjhoDOQsuEi1YDV5JM31TzVzIpUCzbH27FN/v/B8vvdypGmKumUEsM0&#10;PtEjNo2ZjRJkGtvTWj9Hqye7cgPnkYy1dtLp+I9VkC61dD+2VHSBcBQWF7NpUZxSwlFXTM9zpBEm&#10;e/W2zocvAjSJREkdRk+dZLs7H3rTg0kM5kE11W2jVGLimIhr5ciO4QMzzoUJRXJXW/0Nql5+NsFf&#10;/9QoxoHoxbODGLNJAxeRUm5HQbJYf19xosJeiRhamUchsXGxxhRwRDjOJe9VNatELz79Y8wEGJEl&#10;FjdiDwDv1ZkPjRzso6tIEz86T/6WWN/a0SNFBhNGZ90YcO8BqDBG7u2xZUetiWTo1l0aqiLmGCVr&#10;qPY4aA76DfSW3zb43nfMhxVzuHK4nHhGwgN+pIK2pDBQlNTgfr4nj/a4CailpMUVLqn/sWVOUKK+&#10;GtyRi3w2izufmNnp5wIZd6xZH2vMVl8DDlGOB8vyREb7oA6kdKBf8NosY1RUMcMxdkl5cAfmOvSn&#10;Be8VF8tlMsM9tyzcmSfLI3jsc5zn5+6FOTsMfcB1uYfDurP5m9nvbaOngeU2gGzSYrz2dXgBvBFp&#10;fId7Fo/QMZ+sXq/u4hcAAAD//wMAUEsDBBQABgAIAAAAIQBhds024QAAAAgBAAAPAAAAZHJzL2Rv&#10;d25yZXYueG1sTI9BS8NAFITvgv9heYIXaTcaU2PMpogggsWDbRW9bbPPJJh9G7LbJO2v93nS4zDD&#10;zDf5crKtGLD3jSMFl/MIBFLpTEOVgu3mcZaC8EGT0a0jVHBAD8vi9CTXmXEjveKwDpXgEvKZVlCH&#10;0GVS+rJGq/3cdUjsfbne6sCyr6Tp9cjltpVXUbSQVjfEC7Xu8KHG8nu9twpuPo7mMH6W2+en9zId&#10;3vzqJblYKXV+Nt3fgQg4hb8w/OIzOhTMtHN7Ml60rOOEvwQFixgE+8ltmoDYKbiOU5BFLv8fKH4A&#10;AAD//wMAUEsBAi0AFAAGAAgAAAAhALaDOJL+AAAA4QEAABMAAAAAAAAAAAAAAAAAAAAAAFtDb250&#10;ZW50X1R5cGVzXS54bWxQSwECLQAUAAYACAAAACEAOP0h/9YAAACUAQAACwAAAAAAAAAAAAAAAAAv&#10;AQAAX3JlbHMvLnJlbHNQSwECLQAUAAYACAAAACEAA+8LUaECAAC9BQAADgAAAAAAAAAAAAAAAAAu&#10;AgAAZHJzL2Uyb0RvYy54bWxQSwECLQAUAAYACAAAACEAYXbNNuEAAAAIAQAADwAAAAAAAAAAAAAA&#10;AAD7BAAAZHJzL2Rvd25yZXYueG1sUEsFBgAAAAAEAAQA8wAAAAkGAAAAAA==&#10;" fillcolor="#d99594 [1941]" strokecolor="#243f60 [1604]" strokeweight="1pt">
            <v:textbox>
              <w:txbxContent>
                <w:p w:rsidR="00384808" w:rsidRDefault="00384808" w:rsidP="004A197D">
                  <w:pPr>
                    <w:jc w:val="center"/>
                  </w:pPr>
                  <w:r>
                    <w:t>Identification of studies via databases and registers</w:t>
                  </w:r>
                </w:p>
              </w:txbxContent>
            </v:textbox>
          </v:rec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7" o:spid="_x0000_s1032" style="position:absolute;left:0;text-align:left;margin-left:192pt;margin-top:1.8pt;width:1in;height:78pt;z-index:2516664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DYZQIAABsFAAAOAAAAZHJzL2Uyb0RvYy54bWysVN9PGzEMfp+0/yHK+7hrx2BUXFEFYpqE&#10;GAImntNc0p6WxJmT9q776+fkfoAY2sO0l5x99mfH9uecX3TWsL3C0ICr+Oyo5Ew5CXXjNhX//nj9&#10;4TNnIQpXCwNOVfygAr9Yvn933vqFmsMWTK2QURAXFq2v+DZGvyiKILfKinAEXjkyakArIqm4KWoU&#10;LUW3ppiX5UnRAtYeQaoQ6O9Vb+TLHF9rJeM3rYOKzFSc7hbziflcp7NYnovFBoXfNnK4hviHW1jR&#10;OEo6hboSUbAdNn+Eso1ECKDjkQRbgNaNVLkGqmZWvqrmYSu8yrVQc4Kf2hT+X1h5u79D1tQVP+XM&#10;CUsjuqemCbcxip2m9rQ+LMjrwd/hoAUSU62dRpu+VAXrcksPU0tVF5mkn2ez4+OSGi/JdHZWnpBM&#10;UYpnsMcQvyiwLAkVR0qeGyn2NyH2rqML4dJl+vRZigej0g2Mu1eaqqCE84zO/FGXBtle0OTrH7Mh&#10;bfZMEN0YM4Fmb4FMHEGDb4KpzKkJWL4FfM42eeeM4OIEtI0D/DtY9/5j1X2tqezYrbs8so/jfNZQ&#10;H2iMCD2/g5fXDbXzRoR4J5AITROgJY3f6NAG2orDIHG2Bfz11v/kTzwjK2ctLUjFw8+dQMWZ+eqI&#10;gXmytFFZOf50Oqcc+NKyfmlxO3sJNIkZPQdeZjH5RzOKGsE+0S6vUlYyCScpd8VlxFG5jP3i0msg&#10;1WqV3WiLvIg37sHLFDz1OdHlsXsS6AdORSLjLYzLJBavqNX7JqSD1S6CbjLvUqf7vg4ToA3MzB1e&#10;i7TiL/Xs9fymLX8DAAD//wMAUEsDBBQABgAIAAAAIQDESc+x3QAAAAkBAAAPAAAAZHJzL2Rvd25y&#10;ZXYueG1sTI/BTsMwEETvSPyDtUjcqEOhIQ1xqgrBCURF4cDRjZckwl5Htpukf89ygtuOZjT7ptrM&#10;zooRQ+w9KbheZCCQGm96ahV8vD9dFSBi0mS09YQKThhhU5+fVbo0fqI3HPepFVxCsdQKupSGUsrY&#10;dOh0XPgBib0vH5xOLEMrTdATlzsrl1mWS6d74g+dHvChw+Z7f3QK/K4/2W1Yv44vePf5vEvZNOeP&#10;Sl1ezNt7EAnn9BeGX3xGh5qZDv5IJgqr4Ka45S2JjxwE+6tlwfrAwdU6B1lX8v+C+gcAAP//AwBQ&#10;SwECLQAUAAYACAAAACEAtoM4kv4AAADhAQAAEwAAAAAAAAAAAAAAAAAAAAAAW0NvbnRlbnRfVHlw&#10;ZXNdLnhtbFBLAQItABQABgAIAAAAIQA4/SH/1gAAAJQBAAALAAAAAAAAAAAAAAAAAC8BAABfcmVs&#10;cy8ucmVsc1BLAQItABQABgAIAAAAIQAvdjDYZQIAABsFAAAOAAAAAAAAAAAAAAAAAC4CAABkcnMv&#10;ZTJvRG9jLnhtbFBLAQItABQABgAIAAAAIQDESc+x3QAAAAkBAAAPAAAAAAAAAAAAAAAAAL8EAABk&#10;cnMvZG93bnJldi54bWxQSwUGAAAAAAQABADzAAAAyQUAAAAA&#10;" fillcolor="white [3201]" strokecolor="black [3200]" strokeweight="1pt">
            <v:textbox>
              <w:txbxContent>
                <w:p w:rsidR="00384808" w:rsidRDefault="00384808" w:rsidP="004A197D">
                  <w:pPr>
                    <w:jc w:val="center"/>
                  </w:pPr>
                  <w:r>
                    <w:t>Records identified from public records</w:t>
                  </w:r>
                </w:p>
              </w:txbxContent>
            </v:textbox>
          </v:rect>
        </w:pict>
      </w:r>
      <w:r>
        <w:rPr>
          <w:rFonts w:ascii="Times New Roman" w:hAnsi="Times New Roman" w:cs="Times New Roman"/>
          <w:b/>
          <w:noProof/>
          <w:sz w:val="24"/>
          <w:szCs w:val="24"/>
        </w:rPr>
        <w:pict>
          <v:rect id="Rectangle 5" o:spid="_x0000_s1028" style="position:absolute;left:0;text-align:left;margin-left:34.5pt;margin-top:1.8pt;width:75pt;height:77.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GaAIAABsFAAAOAAAAZHJzL2Uyb0RvYy54bWysVEtv2zAMvg/YfxB0X20HyboGdYqgRYcB&#10;RVu0HXpWZCkxJosapcTOfv0o+dGiK3YYdpFJ8yV+/Kjzi64x7KDQ12BLXpzknCkroarttuTfn64/&#10;feHMB2ErYcCqkh+V5xerjx/OW7dUM9iBqRQySmL9snUl34Xgllnm5U41wp+AU5aMGrARgVTcZhWK&#10;lrI3Jpvl+eesBawcglTe09+r3shXKb/WSoY7rb0KzJSc7hbSiencxDNbnYvlFoXb1XK4hviHWzSi&#10;tlR0SnUlgmB7rP9I1dQSwYMOJxKaDLSupUo9UDdF/qabx51wKvVC4Hg3weT/X1p5e7hHVlclX3Bm&#10;RUMjeiDQhN0axRYRntb5JXk9unscNE9i7LXT2MQvdcG6BOlxglR1gUn6ebaYLXICXpLp7EuRn6ac&#10;2UuwQx++KmhYFEqOVDwBKQ43PlBBch1dSImX6csnKRyNijcw9kFp6oIKzlJ04o+6NMgOgiZf/Shi&#10;K5QrecYQXRszBRXvBZkwBg2+MUwlTk2B+XuBL9Um71QRbJgCm9oC/j1Y9/5j132vse3Qbbo0svk4&#10;nw1URxojQs9v7+R1TXDeCB/uBRKhaQK0pOGODm2gLTkMEmc7wF/v/Y/+xDOyctbSgpTc/9wLVJyZ&#10;b5YYeFbM53GjkjJfnM5IwdeWzWuL3TeXQJMo6DlwMonRP5hR1AjNM+3yOlYlk7CSapdcBhyVy9Av&#10;Lr0GUq3XyY22yIlwYx+djMkjzpEuT92zQDdwKhAZb2FcJrF8Q63eN0ZaWO8D6DrxLiLd4zpMgDYw&#10;UWh4LeKKv9aT18ubtvoNAAD//wMAUEsDBBQABgAIAAAAIQAZ+NMF3AAAAAgBAAAPAAAAZHJzL2Rv&#10;d25yZXYueG1sTI/BTsMwEETvSPyDtUjcqJMiQhviVBWCE4iKwoGjGy9JhL2ObDdJ/57tCY6jGc28&#10;qTazs2LEEHtPCvJFBgKp8aanVsHnx/PNCkRMmoy2nlDBCSNs6suLSpfGT/SO4z61gksollpBl9JQ&#10;ShmbDp2OCz8gsfftg9OJZWilCXricmflMssK6XRPvNDpAR87bH72R6fA7/qT3Yb12/iK918vu5RN&#10;c/Gk1PXVvH0AkXBOf2E44zM61Mx08EcyUVgFxZqvJAW3BQi2l/lZHzh3t8pB1pX8f6D+BQAA//8D&#10;AFBLAQItABQABgAIAAAAIQC2gziS/gAAAOEBAAATAAAAAAAAAAAAAAAAAAAAAABbQ29udGVudF9U&#10;eXBlc10ueG1sUEsBAi0AFAAGAAgAAAAhADj9If/WAAAAlAEAAAsAAAAAAAAAAAAAAAAALwEAAF9y&#10;ZWxzLy5yZWxzUEsBAi0AFAAGAAgAAAAhAL7J2UZoAgAAGwUAAA4AAAAAAAAAAAAAAAAALgIAAGRy&#10;cy9lMm9Eb2MueG1sUEsBAi0AFAAGAAgAAAAhABn40wXcAAAACAEAAA8AAAAAAAAAAAAAAAAAwgQA&#10;AGRycy9kb3ducmV2LnhtbFBLBQYAAAAABAAEAPMAAADLBQAAAAA=&#10;" fillcolor="white [3201]" strokecolor="black [3200]" strokeweight="1pt">
            <v:textbox>
              <w:txbxContent>
                <w:p w:rsidR="00384808" w:rsidRDefault="00384808" w:rsidP="004A197D">
                  <w:pPr>
                    <w:jc w:val="center"/>
                  </w:pPr>
                  <w:r>
                    <w:t>Records identified from Google Scholar</w:t>
                  </w:r>
                </w:p>
              </w:txbxContent>
            </v:textbox>
          </v:rec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 o:spid="_x0000_s1027" style="position:absolute;left:0;text-align:left;margin-left:-37.55pt;margin-top:18.05pt;width:94.2pt;height:19.75pt;rotation:-90;flip:y;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eMeQIAAEcFAAAOAAAAZHJzL2Uyb0RvYy54bWysVNtOGzEQfa/Uf7D8XjabJhQiNigCUVVC&#10;gICWZ8drJ1Z969jJbvr1jL2XIorUquo+rDye+5kzPjtvjSZ7AUE5W9HyaEKJsNzVym4q+vXx6sMJ&#10;JSEyWzPtrKjoQQR6vnz/7qzxCzF1W6drAQSD2LBofEW3MfpFUQS+FYaFI+eFRaV0YFhEETZFDazB&#10;6EYX08nkuGgc1B4cFyHg7WWnpMscX0rB462UQUSiK4q1xfyH/F+nf7E8Y4sNML9VvC+D/UMVhimL&#10;ScdQlywysgP1WyijOLjgZDzizhROSsVF7gG7KSevunnYMi9yLwhO8CNM4f+F5Tf7OyCqruiMEssM&#10;jugeQWN2owWZJXgaHxZo9eDvoJcCHlOvrQRDwCGm89kkfZRIrfw35EHGArsjbYb6MEIt2kg4Xpbl&#10;6fHHGXpw1E3nk5NpTlZ0UVN0DyF+Fs6QdKgoYFU5Kttfh4iVoOlgksy1TXep2K68fIoHLTrlvZDY&#10;ZUqcg2R+iQsNZM+QGYxzYWOZ2sWw2qJ1cpNK69Fx+mfH3j65isy90fkvso4eObOzcXQ2yjp4K3v9&#10;fShZdvYDAl3fCYLYrts83vkwy7WrDzjyPDfEP3h+pRDhaxbiHQMkP17iQsdb/Entmoq6/kTJ1sHP&#10;t+6TPXIStZQ0uEwVDT92DAQl+otFtp6WszTrmIXZ/NMUBXipWb/U2J25cDiVMleXj8k+6uEowZkn&#10;3PtVyooqZjnmriiPMAgXsVtyfDm4WK2yGW6cZ/HaPng+8CAx6LF9YuB7mkUk6I0bFo8tXrGts00T&#10;sm61i06qTMWEdIdrPwHc1kyl/mVJz8FLOVv9ev+WzwAAAP//AwBQSwMEFAAGAAgAAAAhAASwZoHe&#10;AAAACAEAAA8AAABkcnMvZG93bnJldi54bWxMj09Lw0AQxe+C32EZwVu7aaMmjdkUEQTBg6Ta+zQ7&#10;+UOyuyG7TdNv73jS0/B4P968l+8XM4iZJt85q2CzjkCQrZzubKPg++ttlYLwAa3GwVlScCUP++L2&#10;JsdMu4staT6ERnCI9RkqaEMYMyl91ZJBv3YjWfZqNxkMLKdG6gkvHG4GuY2iJ2mws/yhxZFeW6r6&#10;w9koeIiS5rhLyrJ+76+V+eg/cd7WSt3fLS/PIAIt4Q+G3/pcHQrudHJnq70YFKwSBvnEaQyC/Tjl&#10;JSfmHqMNyCKX/wcUPwAAAP//AwBQSwECLQAUAAYACAAAACEAtoM4kv4AAADhAQAAEwAAAAAAAAAA&#10;AAAAAAAAAAAAW0NvbnRlbnRfVHlwZXNdLnhtbFBLAQItABQABgAIAAAAIQA4/SH/1gAAAJQBAAAL&#10;AAAAAAAAAAAAAAAAAC8BAABfcmVscy8ucmVsc1BLAQItABQABgAIAAAAIQAN0aeMeQIAAEcFAAAO&#10;AAAAAAAAAAAAAAAAAC4CAABkcnMvZTJvRG9jLnhtbFBLAQItABQABgAIAAAAIQAEsGaB3gAAAAgB&#10;AAAPAAAAAAAAAAAAAAAAANMEAABkcnMvZG93bnJldi54bWxQSwUGAAAAAAQABADzAAAA3gUAAAAA&#10;" fillcolor="#89aad3 [2164]" strokecolor="#4f81bd [3204]" strokeweight=".5pt">
            <v:fill color2="#7098c9 [2612]" rotate="t" colors="0 #b1cbe9;.5 #a3c1e5;1 #92b9e4" focus="100%" type="gradient">
              <o:fill v:ext="view" type="gradientUnscaled"/>
            </v:fill>
            <v:textbox>
              <w:txbxContent>
                <w:p w:rsidR="00384808" w:rsidRDefault="00384808" w:rsidP="004A197D">
                  <w:pPr>
                    <w:jc w:val="center"/>
                  </w:pPr>
                  <w:r>
                    <w:t>Identification</w:t>
                  </w:r>
                </w:p>
              </w:txbxContent>
            </v:textbox>
          </v:rec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33" type="#_x0000_t67" style="position:absolute;left:0;text-align:left;margin-left:143.25pt;margin-top:22.55pt;width:9pt;height:21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wQQXwIAABEFAAAOAAAAZHJzL2Uyb0RvYy54bWysVMFu2zAMvQ/YPwi6r46zrN2COkWQoMOA&#10;oC3aDj0rstQYk0SNUuJkXz9KdpyiK3YYdpEpkY8Unx91ebW3hu0UhgZcxcuzEWfKSagb91zx74/X&#10;Hz5zFqJwtTDgVMUPKvCr2ft3l62fqjFswNQKGSVxYdr6im9i9NOiCHKjrAhn4JUjpwa0ItIWn4sa&#10;RUvZrSnGo9F50QLWHkGqEOh02Tn5LOfXWsl4q3VQkZmK091iXjGv67QWs0sxfUbhN43sryH+4RZW&#10;NI6KDqmWIgq2xeaPVLaRCAF0PJNgC9C6kSr3QN2Uo1fdPGyEV7kXIif4gabw/9LKm90dsqamfzfm&#10;zAlL/2gJrWNzRGgZHRJDrQ9TCnzwd9jvApmp3b1Gm77UCNtnVg8Dq2ofmaTDspx8HBH3klzj8/ML&#10;silLcQJ7DPGrAsuSUfGayufqmVCxW4XYxR/jCJxu1N0hW/FgVLqGcfdKUzdUdZzRWUdqYZDtBCmg&#10;/lH2tXNkgujGmAFUvgUy8QjqYxNMZW0NwNFbwFO1ITpXBBcHoG0c4N/Buos/dt31mtpeQ32gn4fQ&#10;qTp4ed0QgysR4p1AkjGRTqMZb2nRBtqKQ29xtgH89dZ5iid1kZezlsai4uHnVqDizHxzpLsv5WSS&#10;5ihvJp8uxrTBl571S4/b2gUQ7yU9Al5mM8VHczQ1gn2iCZ6nquQSTlLtisuIx80iduNKb4BU83kO&#10;o9nxIq7cg5cpeWI1ieNx/yTQ9zKKpL8bOI6QmL4SUhebkA7m2wi6ySo78drzTXOXxdq/EWmwX+5z&#10;1Oklm/0GAAD//wMAUEsDBBQABgAIAAAAIQBEGFgP4AAAAAkBAAAPAAAAZHJzL2Rvd25yZXYueG1s&#10;TI9BTsMwEEX3SNzBGiR21Elo6iiNUyEkhJAqJEoP4MZDkmKPQ+ym6e0xq7Kcmac/71eb2Ro24eh7&#10;RxLSRQIMqXG6p1bC/vPloQDmgyKtjCOUcEEPm/r2plKldmf6wGkXWhZDyJdKQhfCUHLumw6t8gs3&#10;IMXblxutCnEcW65HdY7h1vAsSVbcqp7ih04N+Nxh8707WQk/x+3Fm33+1mTjVkzCCfX6LqS8v5uf&#10;1sACzuEKw59+VIc6Oh3cibRnRkJWrPKISljmKbAIPCbLuDhIKEQKvK74/wb1LwAAAP//AwBQSwEC&#10;LQAUAAYACAAAACEAtoM4kv4AAADhAQAAEwAAAAAAAAAAAAAAAAAAAAAAW0NvbnRlbnRfVHlwZXNd&#10;LnhtbFBLAQItABQABgAIAAAAIQA4/SH/1gAAAJQBAAALAAAAAAAAAAAAAAAAAC8BAABfcmVscy8u&#10;cmVsc1BLAQItABQABgAIAAAAIQBS1wQQXwIAABEFAAAOAAAAAAAAAAAAAAAAAC4CAABkcnMvZTJv&#10;RG9jLnhtbFBLAQItABQABgAIAAAAIQBEGFgP4AAAAAkBAAAPAAAAAAAAAAAAAAAAALkEAABkcnMv&#10;ZG93bnJldi54bWxQSwUGAAAAAAQABADzAAAAxgUAAAAA&#10;" adj="16971" fillcolor="white [3201]" strokecolor="black [3200]" strokeweight="1pt"/>
        </w:pict>
      </w:r>
      <w:r>
        <w:rPr>
          <w:rFonts w:ascii="Times New Roman" w:hAnsi="Times New Roman" w:cs="Times New Roman"/>
          <w:b/>
          <w:noProof/>
          <w:sz w:val="24"/>
          <w:szCs w:val="24"/>
        </w:rPr>
        <w:pict>
          <v:shape id="Down Arrow 14" o:spid="_x0000_s1037" type="#_x0000_t67" style="position:absolute;left:0;text-align:left;margin-left:210.75pt;margin-top:21.8pt;width:11.25pt;height:21.7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w9XwIAABEFAAAOAAAAZHJzL2Uyb0RvYy54bWysVEtv2zAMvg/YfxB0Xx0b6WNBnSJo0WFA&#10;0RZrh55VWUqMSaJGKXGyXz9KdpyiC3YYdpFJkR9f/qjLq601bKMwtOBqXp5MOFNOQtO6Zc2/P99+&#10;uuAsROEaYcCpmu9U4Ffzjx8uOz9TFazANAoZBXFh1vmar2L0s6IIcqWsCCfglSOjBrQikorLokHR&#10;UXRrimoyOSs6wMYjSBUC3d70Rj7P8bVWMj5oHVRkpuZUW8wn5vM1ncX8UsyWKPyqlUMZ4h+qsKJ1&#10;lHQMdSOiYGts/whlW4kQQMcTCbYArVupcg/UTTl5183TSniVe6HhBD+OKfy/sPJ+84isbejfTTlz&#10;wtI/uoHOsQUidIwuaUKdDzNyfPKPOGiBxNTuVqNNX2qEbfNUd+NU1TYySZfltLo4P+VMkqk6P6uq&#10;0xSzOIA9hvhFgWVJqHlD6XP2PFCxuQux99/7EThV1NeQpbgzKpVh3DelqRvKWmV05pG6Nsg2ghjQ&#10;/CiH3NkzQXRrzAgqj4FM3IMG3wRTmVsjcHIMeMg2eueM4OIItK0D/DtY9/77rvteU9uv0Ozo5yH0&#10;rA5e3rY0wTsR4qNAojERnlYzPtChDXQ1h0HibAX469h98id2kZWzjtai5uHnWqDizHx1xLvP5XSa&#10;9igr09PzihR8a3l9a3Frew0095IeAS+zmPyj2Ysawb7QBi9SVjIJJyl3zWXEvXId+3WlN0CqxSK7&#10;0e54Ee/ck5cpeJpqIsfz9kWgH2gUiX/3sF8hMXtHpN43IR0s1hF0m1l2mOswb9q7TNbhjUiL/VbP&#10;XoeXbP4bAAD//wMAUEsDBBQABgAIAAAAIQBL4Po63gAAAAkBAAAPAAAAZHJzL2Rvd25yZXYueG1s&#10;TI/BToNAEIbvJr7DZky82QXEWpGlUdRrY7FJe9zCCKTsLGGXQt/e8aS3mcyXf74/Xc+mE2ccXGtJ&#10;QbgIQCCVtmqpVrD7+rhbgXBeU6U7S6jggg7W2fVVqpPKTrTFc+FrwSHkEq2g8b5PpHRlg0a7he2R&#10;+PZtB6M9r0Mtq0FPHG46GQXBUhrdEn9odI95g+WpGI2Ct83T6bW47CnvDttPfN9PeTROSt3ezC/P&#10;IDzO/g+GX31Wh4ydjnakyolOQRyFD4zycL8EwUAcx1zuqGD1GILMUvm/QfYDAAD//wMAUEsBAi0A&#10;FAAGAAgAAAAhALaDOJL+AAAA4QEAABMAAAAAAAAAAAAAAAAAAAAAAFtDb250ZW50X1R5cGVzXS54&#10;bWxQSwECLQAUAAYACAAAACEAOP0h/9YAAACUAQAACwAAAAAAAAAAAAAAAAAvAQAAX3JlbHMvLnJl&#10;bHNQSwECLQAUAAYACAAAACEASX+MPV8CAAARBQAADgAAAAAAAAAAAAAAAAAuAgAAZHJzL2Uyb0Rv&#10;Yy54bWxQSwECLQAUAAYACAAAACEAS+D6Ot4AAAAJAQAADwAAAAAAAAAAAAAAAAC5BAAAZHJzL2Rv&#10;d25yZXYueG1sUEsFBgAAAAAEAAQA8wAAAMQFAAAAAA==&#10;" adj="16014" fillcolor="white [3201]" strokecolor="black [3200]" strokeweight="1pt"/>
        </w:pict>
      </w:r>
      <w:r>
        <w:rPr>
          <w:rFonts w:ascii="Times New Roman" w:hAnsi="Times New Roman" w:cs="Times New Roman"/>
          <w:b/>
          <w:noProof/>
          <w:sz w:val="24"/>
          <w:szCs w:val="24"/>
        </w:rPr>
        <w:pict>
          <v:shape id="Down Arrow 13" o:spid="_x0000_s1035" type="#_x0000_t67" style="position:absolute;left:0;text-align:left;margin-left:65.25pt;margin-top:22.55pt;width:9.75pt;height:20.2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QYAIAABEFAAAOAAAAZHJzL2Uyb0RvYy54bWysVN9P2zAQfp+0/8Hy+0gT6GAVKapATJMQ&#10;VMDEs3FsGs32eWe3affX7+ykKWJoD9NenDvfffcr3/n8YmsN2ygMLbial0cTzpST0LTupebfH68/&#10;nXEWonCNMOBUzXcq8Iv5xw/nnZ+pClZgGoWMgrgw63zNVzH6WVEEuVJWhCPwypFRA1oRScWXokHR&#10;UXRrimoy+Vx0gI1HkCoEur3qjXye42utZLzTOqjITM2ptphPzOdzOov5uZi9oPCrVg5liH+oworW&#10;UdIx1JWIgq2x/SOUbSVCAB2PJNgCtG6lyj1QN+XkTTcPK+FV7oWGE/w4pvD/wsrbzRJZ29C/O+bM&#10;CUv/6Ao6xxaI0DG6pAl1PszI8cEvcdACiandrUabvtQI2+ap7sapqm1kki7L6vismnImyVRNT8vT&#10;aYpZHMAeQ/yqwLIk1Lyh9Dl7HqjY3ITY++/9CJwq6mvIUtwZlcow7l5p6oayVhmdeaQuDbKNIAY0&#10;P8ohd/ZMEN0aM4LK90Am7kGDb4KpzK0ROHkPeMg2eueM4OIItK0D/DtY9/77rvteU9vP0Ozo5yH0&#10;rA5eXrc0wRsR4lIg0ZgIT6sZ7+jQBrqawyBxtgL89d598id2kZWzjtai5uHnWqDizHxzxLsv5clJ&#10;2qOsnExPK1LwteX5tcWt7SXQ3Et6BLzMYvKPZi9qBPtEG7xIWckknKTcNZcR98pl7NeV3gCpFovs&#10;RrvjRbxxD16m4GmqiRyP2yeBfqBRJP7dwn6FxOwNkXrfhHSwWEfQbWbZYa7DvGnvMlmHNyIt9ms9&#10;ex1esvlvAAAA//8DAFBLAwQUAAYACAAAACEANFAmd+AAAAAJAQAADwAAAGRycy9kb3ducmV2Lnht&#10;bEyPTUvDQBRF94L/YXiCG7EzVaeEmEkRQTdFS2spLqeZ1yQ4HyEzbdL+el9Xury8w33nFvPRWXbE&#10;PrbBK5hOBDD0VTCtrxVsvt7uM2AxaW+0DR4VnDDCvLy+KnRuwuBXeFynmlGJj7lW0KTU5ZzHqkGn&#10;4yR06Om2D73TiWJfc9Prgcqd5Q9CzLjTracPje7wtcHqZ31wChYfycq77fl7Mbzzapl9nlbnfavU&#10;7c348gws4Zj+YLjokzqU5LQLB28is5QfhSRUwZOcArsAUtC4nYJMzoCXBf+/oPwFAAD//wMAUEsB&#10;Ai0AFAAGAAgAAAAhALaDOJL+AAAA4QEAABMAAAAAAAAAAAAAAAAAAAAAAFtDb250ZW50X1R5cGVz&#10;XS54bWxQSwECLQAUAAYACAAAACEAOP0h/9YAAACUAQAACwAAAAAAAAAAAAAAAAAvAQAAX3JlbHMv&#10;LnJlbHNQSwECLQAUAAYACAAAACEAomPpUGACAAARBQAADgAAAAAAAAAAAAAAAAAuAgAAZHJzL2Uy&#10;b0RvYy54bWxQSwECLQAUAAYACAAAACEANFAmd+AAAAAJAQAADwAAAAAAAAAAAAAAAAC6BAAAZHJz&#10;L2Rvd25yZXYueG1sUEsFBgAAAAAEAAQA8wAAAMcFAAAAAA==&#10;" adj="16400" fillcolor="white [3201]" strokecolor="black [3200]" strokeweight="1p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9" o:spid="_x0000_s1030" style="position:absolute;left:0;text-align:left;margin-left:60.75pt;margin-top:14.7pt;width:186.75pt;height:5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hYagIAABwFAAAOAAAAZHJzL2Uyb0RvYy54bWysVEtv2zAMvg/YfxB0Xx1nbbIGdYqgRYcB&#10;RRu0HXpWZCkxJosapcTOfv0o+dGiK3YYdpFJ8yV+/KiLy7Y27KDQV2ALnp9MOFNWQlnZbcG/P918&#10;+sKZD8KWwoBVBT8qzy+XHz9cNG6hprADUypklMT6ReMKvgvBLbLMy52qhT8BpywZNWAtAqm4zUoU&#10;DWWvTTadTGZZA1g6BKm8p7/XnZEvU36tlQz3WnsVmCk43S2kE9O5iWe2vBCLLQq3q2R/DfEPt6hF&#10;ZanomOpaBMH2WP2Rqq4kggcdTiTUGWhdSZV6oG7yyZtuHnfCqdQLgePdCJP/f2nl3WGNrCoLfs6Z&#10;FTWN6IFAE3ZrFDuP8DTOL8jr0a2x1zyJsddWYx2/1AVrE6THEVLVBibp5/TzPJ9PzziTZJvNZvOz&#10;hHn2Eu3Qh68KahaFgiNVT0iKw60PVJFcBxdS4m26+kkKR6PiFYx9UJraiBVTdCKQujLIDoJGX/7I&#10;Yy+UK3nGEF0ZMwbl7wWZMAT1vjFMJVKNgZP3Al+qjd6pItgwBtaVBfx7sO78h667XmPbod20aWaz&#10;YUAbKI80R4SO4N7Jm4rgvBU+rAUSo4n7tKXhng5toCk49BJnO8Bf7/2P/kQ0snLW0IYU3P/cC1Sc&#10;mW+WKHien57GlUrK6dl8Sgq+tmxeW+y+vgKaRE7vgZNJjP7BDKJGqJ9pmVexKpmElVS74DLgoFyF&#10;bnPpOZBqtUputEZOhFv76GRMHnGOdHlqnwW6nlOB2HgHwzaJxRtqdb4x0sJqH0BXiXcR6Q7XfgK0&#10;golC/XMRd/y1nrxeHrXlbwAAAP//AwBQSwMEFAAGAAgAAAAhAA+ZOYTeAAAACgEAAA8AAABkcnMv&#10;ZG93bnJldi54bWxMj8FOwzAQRO9I/IO1SNyo05AWEuJUFYITqBWFA0c3XpIIex3FbpL+PcsJjqMZ&#10;zbwpN7OzYsQhdJ4ULBcJCKTam44aBR/vzzf3IELUZLT1hArOGGBTXV6UujB+ojccD7ERXEKh0Ara&#10;GPtCylC36HRY+B6JvS8/OB1ZDo00g5643FmZJslaOt0RL7S6x8cW6+/DySnw++5st0O+G1/x7vNl&#10;H5NpXj8pdX01bx9ARJzjXxh+8RkdKmY6+hOZICzrdLniqII0z0BwIMtXfO7Izm2WgaxK+f9C9QMA&#10;AP//AwBQSwECLQAUAAYACAAAACEAtoM4kv4AAADhAQAAEwAAAAAAAAAAAAAAAAAAAAAAW0NvbnRl&#10;bnRfVHlwZXNdLnhtbFBLAQItABQABgAIAAAAIQA4/SH/1gAAAJQBAAALAAAAAAAAAAAAAAAAAC8B&#10;AABfcmVscy8ucmVsc1BLAQItABQABgAIAAAAIQCo2yhYagIAABwFAAAOAAAAAAAAAAAAAAAAAC4C&#10;AABkcnMvZTJvRG9jLnhtbFBLAQItABQABgAIAAAAIQAPmTmE3gAAAAoBAAAPAAAAAAAAAAAAAAAA&#10;AMQEAABkcnMvZG93bnJldi54bWxQSwUGAAAAAAQABADzAAAAzwUAAAAA&#10;" fillcolor="white [3201]" strokecolor="black [3200]" strokeweight="1pt">
            <v:textbox>
              <w:txbxContent>
                <w:p w:rsidR="00384808" w:rsidRDefault="00384808" w:rsidP="004A197D">
                  <w:pPr>
                    <w:jc w:val="center"/>
                  </w:pPr>
                  <w:r>
                    <w:t>Total records identified</w:t>
                  </w:r>
                </w:p>
                <w:p w:rsidR="00384808" w:rsidRDefault="00F00562" w:rsidP="004A197D">
                  <w:pPr>
                    <w:jc w:val="center"/>
                  </w:pPr>
                  <w:r>
                    <w:t>(n=12</w:t>
                  </w:r>
                  <w:r w:rsidR="00384808">
                    <w:t>00)</w:t>
                  </w:r>
                </w:p>
              </w:txbxContent>
            </v:textbox>
          </v:rect>
        </w:pict>
      </w:r>
      <w:r>
        <w:rPr>
          <w:rFonts w:ascii="Times New Roman" w:hAnsi="Times New Roman" w:cs="Times New Roman"/>
          <w:b/>
          <w:noProof/>
          <w:sz w:val="24"/>
          <w:szCs w:val="24"/>
        </w:rPr>
        <w:pict>
          <v:rect id="Rectangle 10" o:spid="_x0000_s1034" style="position:absolute;left:0;text-align:left;margin-left:295.5pt;margin-top:.45pt;width:115.5pt;height:51.7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SoaAIAAB4FAAAOAAAAZHJzL2Uyb0RvYy54bWysVE1v2zAMvQ/YfxB0Xx0HadoGdYqgRYcB&#10;RVs0HXpWZCkxJosapcTOfv0o+aNFV+ww7GKTIh8pko+6vGprww4KfQW24PnJhDNlJZSV3Rb8+/Pt&#10;l3POfBC2FAasKvhReX61/PzpsnELNYUdmFIhoyDWLxpX8F0IbpFlXu5ULfwJOGXJqAFrEUjFbVai&#10;aCh6bbLpZDLPGsDSIUjlPZ3edEa+TPG1VjI8aO1VYKbgdLeQvpi+m/jNlpdisUXhdpXsryH+4Ra1&#10;qCwlHUPdiCDYHqs/QtWVRPCgw4mEOgOtK6lSDVRNPnlXzXonnEq1UHO8G9vk/19YeX94RFaVNDtq&#10;jxU1zeiJuibs1ihGZ9SgxvkF+a3dI/aaJzFW22qs45/qYG1q6nFsqmoDk3SYz+bz81MKLsk2Pz2b&#10;Tk9j0OwV7dCHrwpqFoWCI6VPvRSHOx8618GFcPE2Xf4khaNR8QrGPilNhVDGaUInCqlrg+wgaPjl&#10;j7xPmzwjRFfGjKD8I5AJA6j3jTCVaDUCJx8BX7ON3ikj2DAC68oC/h2sO/+h6q7WWHZoN22a2tkw&#10;oA2UR5okQkdx7+RtRe28Ez48CiRO0wRoT8MDfbSBpuDQS5ztAH99dB79iWpk5ayhHSm4/7kXqDgz&#10;3yyR8CKfzeJSJWVGoyUF31o2by12X18DTSKnF8HJJEb/YAZRI9QvtM6rmJVMwkrKXXAZcFCuQ7e7&#10;9CBItVolN1okJ8KdXTsZg8c+R7o8ty8CXc+pQGy8h2GfxOIdtTrfiLSw2gfQVeJd7HTX134CtISJ&#10;uf2DEbf8rZ68Xp+15W8AAAD//wMAUEsDBBQABgAIAAAAIQBLWTvT3QAAAAgBAAAPAAAAZHJzL2Rv&#10;d25yZXYueG1sTI/BTsMwEETvSPyDtUjcqN2olCbEqSoEJxAVhQNHN16SCHsdxW6S/j3LCY6jGc28&#10;Kbezd2LEIXaBNCwXCgRSHWxHjYaP96ebDYiYDFnjAqGGM0bYVpcXpSlsmOgNx0NqBJdQLIyGNqW+&#10;kDLWLXoTF6FHYu8rDN4klkMj7WAmLvdOZkqtpTcd8UJrenxosf4+nLyGsO/Objfkr+ML3n0+75Oa&#10;5vWj1tdX8+4eRMI5/YXhF5/RoWKmYziRjcJpuM2X/CVpyEGwvckylkfOqdUKZFXK/weqHwAAAP//&#10;AwBQSwECLQAUAAYACAAAACEAtoM4kv4AAADhAQAAEwAAAAAAAAAAAAAAAAAAAAAAW0NvbnRlbnRf&#10;VHlwZXNdLnhtbFBLAQItABQABgAIAAAAIQA4/SH/1gAAAJQBAAALAAAAAAAAAAAAAAAAAC8BAABf&#10;cmVscy8ucmVsc1BLAQItABQABgAIAAAAIQAWhMSoaAIAAB4FAAAOAAAAAAAAAAAAAAAAAC4CAABk&#10;cnMvZTJvRG9jLnhtbFBLAQItABQABgAIAAAAIQBLWTvT3QAAAAgBAAAPAAAAAAAAAAAAAAAAAMIE&#10;AABkcnMvZG93bnJldi54bWxQSwUGAAAAAAQABADzAAAAzAUAAAAA&#10;" fillcolor="white [3201]" strokecolor="black [3200]" strokeweight="1pt">
            <v:textbox>
              <w:txbxContent>
                <w:p w:rsidR="00384808" w:rsidRDefault="00384808" w:rsidP="004A197D">
                  <w:pPr>
                    <w:jc w:val="center"/>
                  </w:pPr>
                  <w:r>
                    <w:t>Records marked as ineligible by automatic tools (n=8501)</w:t>
                  </w:r>
                </w:p>
              </w:txbxContent>
            </v:textbox>
          </v:rect>
        </w:pict>
      </w:r>
      <w:r>
        <w:rPr>
          <w:rFonts w:ascii="Times New Roman" w:hAnsi="Times New Roman" w:cs="Times New Roman"/>
          <w:b/>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36" type="#_x0000_t13" style="position:absolute;left:0;text-align:left;margin-left:247.5pt;margin-top:25.05pt;width:48.75pt;height:12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AzYgIAABMFAAAOAAAAZHJzL2Uyb0RvYy54bWysVN9P2zAQfp+0/8Hy+0hTFTYqUlSBmCYh&#10;QJSJZ+PYTTTb553dpt1fv7OTpoihPUx7ce58992vfOeLy501bKswtOAqXp5MOFNOQt26dcW/P918&#10;+sJZiMLVwoBTFd+rwC8XHz9cdH6uptCAqRUyCuLCvPMVb2L086IIslFWhBPwypFRA1oRScV1UaPo&#10;KLo1xXQyOSs6wNojSBUC3V73Rr7I8bVWMt5rHVRkpuJUW8wn5vMlncXiQszXKHzTyqEM8Q9VWNE6&#10;SjqGuhZRsA22f4SyrUQIoOOJBFuA1q1UuQfqppy86WbVCK9yLzSc4Mcxhf8XVt5tH5C1Nf27U86c&#10;sPSPHtt1E9kSETpGtzSizoc5ea78Aw5aIDH1u9No05c6Ybs81v04VrWLTNLlWXleTim6JFN5Op1N&#10;8tiLI9hjiF8VWJaEimPKn9PnkYrtbYiUlgAHR1JSSX0RWYp7o1Idxj0qTf1Q2mlGZyapK4NsK4gD&#10;9Y8yNUSxsmeC6NaYEVS+BzLxABp8E0xldo3AyXvAY7bRO2cEF0egbR3g38G69z903fea2n6Bek+/&#10;D6HndfDypqUR3ooQHwQSkYnytJzxng5toKs4DBJnDeCv9+6TP/GLrJx1tBgVDz83AhVn5psj5p2X&#10;s1napKzMTj9PScHXlpfXFrexV0BzL+kZ8DKLyT+ag6gR7DPt8DJlJZNwknJXXEY8KFexX1h6BaRa&#10;LrMbbY8X8datvEzB01QTOZ52zwL9wKNIBLyDwxKJ+Rsi9b4J6WC5iaDbzLLjXId50+ZlwgyvRFrt&#10;13r2Or5li98AAAD//wMAUEsDBBQABgAIAAAAIQCNYLAm3gAAAAkBAAAPAAAAZHJzL2Rvd25yZXYu&#10;eG1sTI/BTsMwEETvSPyDtUjcqJOqARqyqRCoAokeoPABbryNI+J1sJ00/D3mBMfRjGbeVJvZ9mIi&#10;HzrHCPkiA0HcON1xi/Dxvr26BRGiYq16x4TwTQE29flZpUrtTvxG0z62IpVwKBWCiXEopQyNIavC&#10;wg3EyTs6b1VM0rdSe3VK5baXyyy7llZ1nBaMGujBUPO5Hy3CE78+em3ibhrtPOrjV84vz1vEy4v5&#10;/g5EpDn+heEXP6FDnZgObmQdRI+wWhfpS0QoshxEChTrZQHigHCzykHWlfz/oP4BAAD//wMAUEsB&#10;Ai0AFAAGAAgAAAAhALaDOJL+AAAA4QEAABMAAAAAAAAAAAAAAAAAAAAAAFtDb250ZW50X1R5cGVz&#10;XS54bWxQSwECLQAUAAYACAAAACEAOP0h/9YAAACUAQAACwAAAAAAAAAAAAAAAAAvAQAAX3JlbHMv&#10;LnJlbHNQSwECLQAUAAYACAAAACEAmicQM2ICAAATBQAADgAAAAAAAAAAAAAAAAAuAgAAZHJzL2Uy&#10;b0RvYy54bWxQSwECLQAUAAYACAAAACEAjWCwJt4AAAAJAQAADwAAAAAAAAAAAAAAAAC8BAAAZHJz&#10;L2Rvd25yZXYueG1sUEsFBgAAAAAEAAQA8wAAAMcFAAAAAA==&#10;" adj="18942" fillcolor="white [3201]" strokecolor="black [3200]" strokeweight="1pt"/>
        </w:pict>
      </w:r>
    </w:p>
    <w:p w:rsidR="004A197D" w:rsidRPr="008F3F37" w:rsidRDefault="004A197D" w:rsidP="008F3F37">
      <w:pPr>
        <w:spacing w:line="360" w:lineRule="auto"/>
        <w:jc w:val="both"/>
        <w:rPr>
          <w:rFonts w:ascii="Times New Roman" w:hAnsi="Times New Roman" w:cs="Times New Roman"/>
          <w:b/>
          <w:sz w:val="24"/>
          <w:szCs w:val="24"/>
        </w:rPr>
      </w:pP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Down Arrow 18" o:spid="_x0000_s1041" type="#_x0000_t67" style="position:absolute;left:0;text-align:left;margin-left:140.25pt;margin-top:6.1pt;width:9pt;height:20.2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BtYAIAABEFAAAOAAAAZHJzL2Uyb0RvYy54bWysVMFu2zAMvQ/YPwi6r46zdN2COEXQosOA&#10;oi3aDj2rspQYk0SNUuJkXz9KdpygC3YYdpFFkY8Unx81u9xawzYKQwOu4uXZiDPlJNSNW1b8+/PN&#10;h8+chShcLQw4VfGdCvxy/v7drPVTNYYVmFohoyQuTFtf8VWMfloUQa6UFeEMvHLk1IBWRDJxWdQo&#10;WspuTTEejT4VLWDtEaQKgU6vOyef5/xaKxnvtQ4qMlNxulvMK+b1Na3FfCamSxR+1cj+GuIfbmFF&#10;46jokOpaRMHW2PyRyjYSIYCOZxJsAVo3UuUeqJty9Kabp5XwKvdC5AQ/0BT+X1p5t3lA1tT07+hP&#10;OWHpH11D69gCEVpGh8RQ68OUAp/8A/ZWoG1qd6vRpi81wraZ1d3AqtpGJumwLCcfR8S9JNf4/KK8&#10;OE85iwPYY4hfFViWNhWvqXyungkVm9sQu/h9HIHTjbo75F3cGZWuYdyj0tQNVR1ndNaRujLINoIU&#10;UP8o+9o5MkF0Y8wAKk+BTNyD+tgEU1lbA3B0CnioNkTniuDiALSNA/w7WHfx+667XlPbr1Dv6Och&#10;dKoOXt40xOCtCPFBIMmYSKfRjPe0aANtxaHfcbYC/HXqPMWTusjLWUtjUfHwcy1QcWa+OdLdl3Iy&#10;SXOUjcn5xZgMPPa8Hnvc2l4B8V7SI+Bl3qb4aPZbjWBfaIIXqSq5hJNUu+Iy4t64it240hsg1WKR&#10;w2h2vIi37snLlDyxmsTxvH0R6HsZRdLfHexHSEzfCKmLTUgHi3UE3WSVHXjt+aa5y2Lt34g02Md2&#10;jjq8ZPPfAAAA//8DAFBLAwQUAAYACAAAACEAgKen894AAAAJAQAADwAAAGRycy9kb3ducmV2Lnht&#10;bEyPy07DMBBF90j8gzVI7KiDpbZpGqdCICQEagWFD3DiaRKIH7KdJvw9wwqWM/fozplyN5uBnTHE&#10;3lkJt4sMGNrG6d62Ej7eH29yYDEpq9XgLEr4xgi76vKiVIV2k33D8zG1jEpsLJSELiVfcB6bDo2K&#10;C+fRUnZywahEY2i5DmqicjNwkWUrblRv6UKnPN532HwdRyMh+LTCcXr6PGwenud1fdj7l9e9lNdX&#10;890WWMI5/cHwq0/qUJFT7UarIxskiDxbEkqBEMAIEJucFrWEpVgDr0r+/4PqBwAA//8DAFBLAQIt&#10;ABQABgAIAAAAIQC2gziS/gAAAOEBAAATAAAAAAAAAAAAAAAAAAAAAABbQ29udGVudF9UeXBlc10u&#10;eG1sUEsBAi0AFAAGAAgAAAAhADj9If/WAAAAlAEAAAsAAAAAAAAAAAAAAAAALwEAAF9yZWxzLy5y&#10;ZWxzUEsBAi0AFAAGAAgAAAAhAKnl4G1gAgAAEQUAAA4AAAAAAAAAAAAAAAAALgIAAGRycy9lMm9E&#10;b2MueG1sUEsBAi0AFAAGAAgAAAAhAICnp/PeAAAACQEAAA8AAAAAAAAAAAAAAAAAugQAAGRycy9k&#10;b3ducmV2LnhtbFBLBQYAAAAABAAEAPMAAADFBQAAAAA=&#10;" adj="16800" fillcolor="white [3201]" strokecolor="black [3200]" strokeweight="1pt"/>
        </w:pict>
      </w:r>
      <w:r>
        <w:rPr>
          <w:rFonts w:ascii="Times New Roman" w:hAnsi="Times New Roman" w:cs="Times New Roman"/>
          <w:b/>
          <w:noProof/>
          <w:sz w:val="24"/>
          <w:szCs w:val="24"/>
        </w:rPr>
        <w:pict>
          <v:rect id="Rectangle 16" o:spid="_x0000_s1038" style="position:absolute;left:0;text-align:left;margin-left:76.5pt;margin-top:24.85pt;width:138pt;height:50.2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LAaAIAAB4FAAAOAAAAZHJzL2Uyb0RvYy54bWysVE1v2zAMvQ/YfxB0Xx1nbdoFcYqgRYcB&#10;RVu0HXpWZCkxJosapcTOfv0o+aNBV+ww7GKTIh8pko9aXLa1YXuFvgJb8PxkwpmyEsrKbgr+/fnm&#10;0wVnPghbCgNWFfygPL9cfvywaNxcTWELplTIKIj188YVfBuCm2eZl1tVC38CTlkyasBaBFJxk5Uo&#10;Gopem2w6mcyyBrB0CFJ5T6fXnZEvU3ytlQz3WnsVmCk43S2kL6bvOn6z5ULMNyjctpL9NcQ/3KIW&#10;laWkY6hrEQTbYfVHqLqSCB50OJFQZ6B1JVWqgarJJ2+qedoKp1It1Bzvxjb5/xdW3u0fkFUlzW7G&#10;mRU1zeiRuibsxihGZ9Sgxvk5+T25B+w1T2KsttVYxz/VwdrU1MPYVNUGJukwPz+bzibUe0m22ecL&#10;0mPQ7BXt0IevCmoWhYIjpU+9FPtbHzrXwYVw8TZd/iSFg1HxCsY+Kk2FUMZpQicKqSuDbC9o+OWP&#10;vE+bPCNEV8aMoPw9kAkDqPeNMJVoNQIn7wFfs43eKSPYMALrygL+Haw7/6HqrtZYdmjXbZraxTCg&#10;NZQHmiRCR3Hv5E1F7bwVPjwIJE7TBGhPwz19tIGm4NBLnG0Bf713Hv2JamTlrKEdKbj/uROoODPf&#10;LJHwS356GpcqKadn51NS8NiyPrbYXX0FNImcXgQnkxj9gxlEjVC/0DqvYlYyCSspd8FlwEG5Ct3u&#10;0oMg1WqV3GiRnAi39snJGDz2OdLluX0R6HpOBWLjHQz7JOZvqNX5RqSF1S6ArhLvYqe7vvYToCVM&#10;zO0fjLjlx3ryen3Wlr8BAAD//wMAUEsDBBQABgAIAAAAIQDdYqZ43gAAAAoBAAAPAAAAZHJzL2Rv&#10;d25yZXYueG1sTI/NTsMwEITvSLyDtUjcqE0obRPiVBWCE6gVhUOPbrwkEf6JbDdJ357tCY6zM5r9&#10;plxP1rABQ+y8k3A/E8DQ1V53rpHw9fl6twIWk3JaGe9QwhkjrKvrq1IV2o/uA4d9ahiVuFgoCW1K&#10;fcF5rFu0Ks58j468bx+sSiRDw3VQI5VbwzMhFtyqztGHVvX43GL9sz9ZCX7Xnc0m5NvhHZeHt10S&#10;47R4kfL2Zto8AUs4pb8wXPAJHSpiOvqT05EZ0o8PtCVJmOdLYBSYZzkdjhdHZMCrkv+fUP0CAAD/&#10;/wMAUEsBAi0AFAAGAAgAAAAhALaDOJL+AAAA4QEAABMAAAAAAAAAAAAAAAAAAAAAAFtDb250ZW50&#10;X1R5cGVzXS54bWxQSwECLQAUAAYACAAAACEAOP0h/9YAAACUAQAACwAAAAAAAAAAAAAAAAAvAQAA&#10;X3JlbHMvLnJlbHNQSwECLQAUAAYACAAAACEALL5iwGgCAAAeBQAADgAAAAAAAAAAAAAAAAAuAgAA&#10;ZHJzL2Uyb0RvYy54bWxQSwECLQAUAAYACAAAACEA3WKmeN4AAAAKAQAADwAAAAAAAAAAAAAAAADC&#10;BAAAZHJzL2Rvd25yZXYueG1sUEsFBgAAAAAEAAQA8wAAAM0FAAAAAA==&#10;" fillcolor="white [3201]" strokecolor="black [3200]" strokeweight="1pt">
            <v:textbox>
              <w:txbxContent>
                <w:p w:rsidR="00384808" w:rsidRDefault="00384808" w:rsidP="004A197D">
                  <w:pPr>
                    <w:jc w:val="center"/>
                  </w:pPr>
                  <w:r>
                    <w:t>Total records screened</w:t>
                  </w:r>
                </w:p>
                <w:p w:rsidR="00384808" w:rsidRDefault="00550FB2" w:rsidP="004A197D">
                  <w:pPr>
                    <w:jc w:val="center"/>
                  </w:pPr>
                  <w:r>
                    <w:t>(n=700</w:t>
                  </w:r>
                  <w:r w:rsidR="00384808">
                    <w:t>)</w:t>
                  </w:r>
                </w:p>
              </w:txbxContent>
            </v:textbox>
          </v:rect>
        </w:pict>
      </w:r>
      <w:r>
        <w:rPr>
          <w:rFonts w:ascii="Times New Roman" w:hAnsi="Times New Roman" w:cs="Times New Roman"/>
          <w:b/>
          <w:noProof/>
          <w:sz w:val="24"/>
          <w:szCs w:val="24"/>
        </w:rPr>
        <w:pict>
          <v:rect id="Rectangle 17" o:spid="_x0000_s1039" style="position:absolute;left:0;text-align:left;margin-left:293.25pt;margin-top:7.6pt;width:117.75pt;height:53.2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MUaQIAAB4FAAAOAAAAZHJzL2Uyb0RvYy54bWysVEtv2zAMvg/YfxB0Xx0HSbMGdYqgRYcB&#10;RVv0gZ4VWUqMyaJGKbGzXz9KfrToih2GXWxS5EeK5EedX7S1YQeFvgJb8PxkwpmyEsrKbgv+/HT9&#10;5StnPghbCgNWFfyoPL9Yff503rilmsIOTKmQURDrl40r+C4Et8wyL3eqFv4EnLJk1IC1CKTiNitR&#10;NBS9Ntl0MjnNGsDSIUjlPZ1edUa+SvG1VjLcae1VYKbgdLeQvpi+m/jNVudiuUXhdpXsryH+4Ra1&#10;qCwlHUNdiSDYHqs/QtWVRPCgw4mEOgOtK6lSDVRNPnlXzeNOOJVqoeZ4N7bJ/7+w8vZwj6wqaXYL&#10;zqyoaUYP1DVht0YxOqMGNc4vye/R3WOveRJjta3GOv6pDtamph7Hpqo2MEmH+exsPpvOOZNkO12c&#10;ThfzGDR7RTv04ZuCmkWh4EjpUy/F4caHznVwIVy8TZc/SeFoVLyCsQ9KUyGUcZrQiULq0iA7CBp+&#10;+SPv0ybPCNGVMSMo/whkwgDqfSNMJVqNwMlHwNdso3fKCDaMwLqygH8H685/qLqrNZYd2k2bpnY2&#10;DGgD5ZEmidBR3Dt5XVE7b4QP9wKJ08R+2tNwRx9toCk49BJnO8BfH51Hf6IaWTlraEcK7n/uBSrO&#10;zHdLJDzLZ7O4VEmZzRdTUvCtZfPWYvf1JdAkcnoRnExi9A9mEDVC/ULrvI5ZySSspNwFlwEH5TJ0&#10;u0sPglTrdXKjRXIi3NhHJ2Pw2OdIl6f2RaDrORWIjbcw7JNYvqNW5xuRFtb7ALpKvIud7vraT4CW&#10;MDG3fzDilr/Vk9frs7b6DQAA//8DAFBLAwQUAAYACAAAACEAAci0p94AAAAKAQAADwAAAGRycy9k&#10;b3ducmV2LnhtbEyPzU7DMBCE70i8g7VI3KhTS0lDiFNVCE4gKgoHjm68JBH+iWw3Sd+e5USPO/Np&#10;dqbeLtawCUMcvJOwXmXA0LVeD66T8PnxfFcCi0k5rYx3KOGMEbbN9VWtKu1n947TIXWMQlyslIQ+&#10;pbHiPLY9WhVXfkRH3rcPViU6Q8d1UDOFW8NFlhXcqsHRh16N+Nhj+3M4WQl+P5zNLty/Ta+4+XrZ&#10;p2xeiicpb2+W3QOwhEv6h+GvPlWHhjod/cnpyIyEvCxyQsnIBTACSiFo3JEEsd4Ab2p+OaH5BQAA&#10;//8DAFBLAQItABQABgAIAAAAIQC2gziS/gAAAOEBAAATAAAAAAAAAAAAAAAAAAAAAABbQ29udGVu&#10;dF9UeXBlc10ueG1sUEsBAi0AFAAGAAgAAAAhADj9If/WAAAAlAEAAAsAAAAAAAAAAAAAAAAALwEA&#10;AF9yZWxzLy5yZWxzUEsBAi0AFAAGAAgAAAAhAA+NsxRpAgAAHgUAAA4AAAAAAAAAAAAAAAAALgIA&#10;AGRycy9lMm9Eb2MueG1sUEsBAi0AFAAGAAgAAAAhAAHItKfeAAAACgEAAA8AAAAAAAAAAAAAAAAA&#10;wwQAAGRycy9kb3ducmV2LnhtbFBLBQYAAAAABAAEAPMAAADOBQAAAAA=&#10;" fillcolor="white [3201]" strokecolor="black [3200]" strokeweight="1pt">
            <v:textbox>
              <w:txbxContent>
                <w:p w:rsidR="00384808" w:rsidRDefault="00384808" w:rsidP="004A197D">
                  <w:pPr>
                    <w:jc w:val="center"/>
                  </w:pPr>
                  <w:r>
                    <w:t>Records exclu</w:t>
                  </w:r>
                  <w:r w:rsidR="00550FB2">
                    <w:t>ded titles and abstracts (n=5</w:t>
                  </w:r>
                  <w:r w:rsidR="00F00562">
                    <w:t>80</w:t>
                  </w:r>
                  <w:r>
                    <w:t>)</w:t>
                  </w:r>
                </w:p>
              </w:txbxContent>
            </v:textbox>
          </v:rect>
        </w:pict>
      </w:r>
      <w:r>
        <w:rPr>
          <w:rFonts w:ascii="Times New Roman" w:hAnsi="Times New Roman" w:cs="Times New Roman"/>
          <w:b/>
          <w:noProof/>
          <w:sz w:val="24"/>
          <w:szCs w:val="24"/>
        </w:rPr>
        <w:pict>
          <v:shape id="Right Arrow 19" o:spid="_x0000_s1043" type="#_x0000_t13" style="position:absolute;left:0;text-align:left;margin-left:215.25pt;margin-top:21.75pt;width:77pt;height:10.5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oCYwIAABMFAAAOAAAAZHJzL2Uyb0RvYy54bWysVFFP2zAQfp+0/2D5faQpMNaKFFUgpkkI&#10;EDDxbBy7seb4vLPbtPv1Oztpihjaw7QXx+e778735TufX2xbyzYKgwFX8fJowplyEmrjVhX//nT9&#10;6QtnIQpXCwtOVXynAr9YfPxw3vm5mkIDtlbIKIkL885XvInRz4siyEa1IhyBV46cGrAVkUxcFTWK&#10;jrK3tphOJp+LDrD2CFKFQKdXvZMvcn6tlYx3WgcVma043S3mFfP6ktZicS7mKxS+MXK4hviHW7TC&#10;OCo6proSUbA1mj9StUYiBNDxSEJbgNZGqtwDdVNO3nTz2Aivci9ETvAjTeH/pZW3m3tkpqZ/N+PM&#10;iZb+0YNZNZEtEaFjdEoUdT7MKfLR3+NgBdqmfrca2/SlTtg207obaVXbyCQdzs7OZhMiX5KrPD4+&#10;Ps20FwewxxC/KmhZ2lQcU/1cPlMqNjchUlkC7APJSFfqL5F3cWdVuod1D0pTP1R2mtFZSerSItsI&#10;0kD9o0wNUa4cmSDaWDuCyvdANu5BQ2yCqayuETh5D3ioNkbniuDiCGyNA/w7WPfx+677XlPbL1Dv&#10;6Pch9LoOXl4bovBGhHgvkIRMrNNwxjtatIWu4jDsOGsAf713nuJJX+TlrKPBqHj4uRaoOLPfHClv&#10;Vp6cpEnKxsnp2ZQMfO15ee1x6/YSiPeSngEv8zbFR7vfaoT2mWZ4maqSSzhJtSsuI+6Ny9gPLL0C&#10;Ui2XOYymx4t44x69TMkTq0kcT9tngX7QUSQB3sJ+iMT8jZD62IR0sFxH0Car7MDrwDdNXhbM8Eqk&#10;0X5t56jDW7b4DQAA//8DAFBLAwQUAAYACAAAACEA4WmsxN8AAAAJAQAADwAAAGRycy9kb3ducmV2&#10;LnhtbEyPMU/DMBCFdyT+g3VILBW1A22JQpwKkBgYGFoiJDYnPpKI+BzFbpPy67lOML13uqd33+Xb&#10;2fXiiGPoPGlIlgoEUu1tR42G8v3lJgURoiFrek+o4YQBtsXlRW4y6yfa4XEfG8ElFDKjoY1xyKQM&#10;dYvOhKUfkHj35UdnIo9jI+1oJi53vbxVaiOd6YgvtGbA5xbr7/3BaXiaTklXJj+TfCvvP9KqXbx+&#10;qoXW11fz4wOIiHP8C8MZn9GhYKbKH8gG0WtY3ak1R8+GlQPrdMWm0rBhlUUu/39Q/AIAAP//AwBQ&#10;SwECLQAUAAYACAAAACEAtoM4kv4AAADhAQAAEwAAAAAAAAAAAAAAAAAAAAAAW0NvbnRlbnRfVHlw&#10;ZXNdLnhtbFBLAQItABQABgAIAAAAIQA4/SH/1gAAAJQBAAALAAAAAAAAAAAAAAAAAC8BAABfcmVs&#10;cy8ucmVsc1BLAQItABQABgAIAAAAIQDEW4oCYwIAABMFAAAOAAAAAAAAAAAAAAAAAC4CAABkcnMv&#10;ZTJvRG9jLnhtbFBLAQItABQABgAIAAAAIQDhaazE3wAAAAkBAAAPAAAAAAAAAAAAAAAAAL0EAABk&#10;cnMvZG93bnJldi54bWxQSwUGAAAAAAQABADzAAAAyQUAAAAA&#10;" adj="20127" fillcolor="white [3201]" strokecolor="black [3200]" strokeweight="1p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20" o:spid="_x0000_s1044" style="position:absolute;left:0;text-align:left;margin-left:-22.4pt;margin-top:17.05pt;width:67.8pt;height:20.9pt;rotation:-90;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cpcgIAADkFAAAOAAAAZHJzL2Uyb0RvYy54bWysVG1P2zAQ/j5p/8Hy95GmlMIqUlSBmCYh&#10;QMDEZ9ex22iOzzu7Tbpfv7PzAmJIm6blQ+TzvT/3nM8v2tqwvUJfgS14fjThTFkJZWU3Bf/2dP3p&#10;jDMfhC2FAasKflCeXyw/fjhv3EJNYQumVMgoiPWLxhV8G4JbZJmXW1ULfwROWVJqwFoEEnGTlSga&#10;il6bbDqZzLMGsHQIUnlPt1edki9TfK2VDHdaexWYKTjVFtIf038d/9nyXCw2KNy2kn0Z4h+qqEVl&#10;KekY6koEwXZY/RaqriSCBx2OJNQZaF1JlXqgbvLJm24et8Kp1AuB490Ik/9/YeXt/h5ZVRZ8SvBY&#10;UdOMHgg1YTdGMbojgBrnF2T36O6xlzwdY7etxpohEKr5nKZBXwKB2mJtwvgwYqzawCRdns3z49NT&#10;ziSppvOT2XFKkXWxYkyHPnxRULN4KDhSMSmo2N/4QPnJdDAhIdbWVZNO4WBUDGLsg9LUFiXMk3ci&#10;lLo0yPaCqCCkVDbksTuKl6yjm66MGR2nf3bs7aOrSmQbnf8i6+iRMoMNo3NdWcD3spffh5J1Zz8g&#10;0PUdIQjtuk3zzMfZraE80JDTnGjI3snrirC9ET7cCyS60yWtcLijnzbQFBz6E2dbwJ/v3Ud7YiFp&#10;OWtofQruf+wEKs7MV0v8/JzPZnHfkjA7OY3swtea9WuN3dWXQGPJU3XpGO2DGY4aoX6mTV/FrKQS&#10;VlLugsuAg3AZurWmt0Kq1SqZ0Y45EW7so5MDESJ3ntpnga4nWCBm3sKwamLxhmedbRyRhdUugK4S&#10;CSPUHa79CGg/E5f6tyQ+AK/lZPXy4i1/AQAA//8DAFBLAwQUAAYACAAAACEA8qXEIN4AAAAIAQAA&#10;DwAAAGRycy9kb3ducmV2LnhtbEyPwU7DMBBE70j8g7VI3FonASFI41RVJBCV4EDpIUc33iYR8Tqy&#10;nTb061lOcNyZp9mZYj3bQZzQh96RgnSZgEBqnOmpVbD/fF48gghRk9GDI1TwjQHW5fVVoXPjzvSB&#10;p11sBYdQyLWCLsYxlzI0HVodlm5EYu/ovNWRT99K4/WZw+0gsyR5kFb3xB86PWLVYfO1m6yC97B9&#10;mUb/tr3gK9abS13tq7pS6vZm3qxARJzjHwy/9bk6lNzp4CYyQQwKspRBBYs04wXs3989gTgwl7Eg&#10;y0L+H1D+AAAA//8DAFBLAQItABQABgAIAAAAIQC2gziS/gAAAOEBAAATAAAAAAAAAAAAAAAAAAAA&#10;AABbQ29udGVudF9UeXBlc10ueG1sUEsBAi0AFAAGAAgAAAAhADj9If/WAAAAlAEAAAsAAAAAAAAA&#10;AAAAAAAALwEAAF9yZWxzLy5yZWxzUEsBAi0AFAAGAAgAAAAhACEClylyAgAAOQUAAA4AAAAAAAAA&#10;AAAAAAAALgIAAGRycy9lMm9Eb2MueG1sUEsBAi0AFAAGAAgAAAAhAPKlxCDeAAAACAEAAA8AAAAA&#10;AAAAAAAAAAAAzAQAAGRycy9kb3ducmV2LnhtbFBLBQYAAAAABAAEAPMAAADXBQAAAAA=&#10;" fillcolor="#89aad3 [2164]" strokecolor="#4f81bd [3204]" strokeweight=".5pt">
            <v:fill color2="#7098c9 [2612]" rotate="t" colors="0 #b1cbe9;.5 #a3c1e5;1 #92b9e4" focus="100%" type="gradient">
              <o:fill v:ext="view" type="gradientUnscaled"/>
            </v:fill>
            <v:textbox>
              <w:txbxContent>
                <w:p w:rsidR="00384808" w:rsidRDefault="00384808" w:rsidP="004A197D">
                  <w:pPr>
                    <w:jc w:val="center"/>
                  </w:pPr>
                  <w:r>
                    <w:t xml:space="preserve">Screening </w:t>
                  </w:r>
                </w:p>
              </w:txbxContent>
            </v:textbox>
          </v:rec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Down Arrow 24" o:spid="_x0000_s1045" type="#_x0000_t67" style="position:absolute;left:0;text-align:left;margin-left:140.25pt;margin-top:17.7pt;width:8.25pt;height:21.7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EXwIAABEFAAAOAAAAZHJzL2Uyb0RvYy54bWysVN9P2zAQfp+0/8Hy+0gTFbpVpKgCMU1C&#10;gCgTz8axaTTb553dpt1fv7OTpoihPUx7ce58992vfOfzi501bKswtOBqXp5MOFNOQtO6l5p/f7z+&#10;9JmzEIVrhAGnar5XgV8sPn447/xcVbAG0yhkFMSFeedrvo7Rz4siyLWyIpyAV46MGtCKSCq+FA2K&#10;jqJbU1STyVnRATYeQaoQ6PaqN/JFjq+1kvFO66AiMzWn2mI+MZ/P6SwW52L+gsKvWzmUIf6hCita&#10;R0nHUFciCrbB9o9QtpUIAXQ8kWAL0LqVKvdA3ZSTN92s1sKr3AsNJ/hxTOH/hZW323tkbVPzasqZ&#10;E5b+0RV0ji0RoWN0SRPqfJiT48rf46AFElO7O402fakRtstT3Y9TVbvIJF2Wk+lsdsqZJFM1O6uq&#10;0xSzOII9hvhVgWVJqHlD6XP2PFCxvQmx9z/4EThV1NeQpbg3KpVh3IPS1A1lrTI680hdGmRbQQxo&#10;fpRD7uyZILo1ZgSV74FMPIAG3wRTmVsjcPIe8Jht9M4ZwcURaFsH+Hew7v0PXfe9prafodnTz0Po&#10;WR28vG5pgjcixHuBRGMiPK1mvKNDG+hqDoPE2Rrw13v3yZ/YRVbOOlqLmoefG4GKM/PNEe++lNNp&#10;2qOsTE9nFSn42vL82uI29hJo7iU9Al5mMflHcxA1gn2iDV6mrGQSTlLumsuIB+Uy9utKb4BUy2V2&#10;o93xIt64lZcpeJpqIsfj7kmgH2gUiX+3cFghMX9DpN43IR0sNxF0m1l2nOswb9q7TNbhjUiL/VrP&#10;XseXbPEbAAD//wMAUEsDBBQABgAIAAAAIQDoLcj04QAAAAkBAAAPAAAAZHJzL2Rvd25yZXYueG1s&#10;TI9BTsMwEEX3SNzBGiQ2iDpN0iYNmVQVAiFV6oLCAZzYJFFjO9hum9yeYQXL0Tz9/365nfTALsr5&#10;3hqE5SICpkxjZW9ahM+P18ccmA/CSDFYoxBm5WFb3d6UopD2at7V5RhaRiHGFwKhC2EsOPdNp7Tw&#10;CzsqQ78v67QIdLqWSyeuFK4HHkfRmmvRG2roxKieO9WcjmeN4NL993h4Wc5zejo8JMkui9/WNeL9&#10;3bR7AhbUFP5g+NUndajIqbZnIz0bEOI8WhGKkKxSYATEm4zG1QhZvgFelfz/guoHAAD//wMAUEsB&#10;Ai0AFAAGAAgAAAAhALaDOJL+AAAA4QEAABMAAAAAAAAAAAAAAAAAAAAAAFtDb250ZW50X1R5cGVz&#10;XS54bWxQSwECLQAUAAYACAAAACEAOP0h/9YAAACUAQAACwAAAAAAAAAAAAAAAAAvAQAAX3JlbHMv&#10;LnJlbHNQSwECLQAUAAYACAAAACEAy/zUxF8CAAARBQAADgAAAAAAAAAAAAAAAAAuAgAAZHJzL2Uy&#10;b0RvYy54bWxQSwECLQAUAAYACAAAACEA6C3I9OEAAAAJAQAADwAAAAAAAAAAAAAAAAC5BAAAZHJz&#10;L2Rvd25yZXYueG1sUEsFBgAAAAAEAAQA8wAAAMcFAAAAAA==&#10;" adj="17503" fillcolor="white [3201]" strokecolor="black [3200]" strokeweight="1p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23" o:spid="_x0000_s1046" style="position:absolute;left:0;text-align:left;margin-left:-20.15pt;margin-top:30.9pt;width:62pt;height:20.65pt;rotation:-90;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1QbwIAADkFAAAOAAAAZHJzL2Uyb0RvYy54bWysVNtq3DAQfS/0H4TeG6/dzaVLvGFJSCmE&#10;NCQpedbK0q6prFFH2rW3X9+RfElIAy2lfjAazf3MGZ1fdI1he4W+Blvy/GjGmbISqtpuSv7t8frD&#10;GWc+CFsJA1aV/KA8v1i+f3feuoUqYAumUsgoiPWL1pV8G4JbZJmXW9UIfwROWVJqwEYEEnGTVSha&#10;it6YrJjNTrIWsHIIUnlPt1e9ki9TfK2VDF+19iowU3KqLaQ/pv86/rPluVhsULhtLYcyxD9U0Yja&#10;UtIp1JUIgu2w/i1UU0sEDzocSWgy0LqWKvVA3eSzV908bIVTqRcCx7sJJv//wsrb/R2yuip58ZEz&#10;Kxqa0T2hJuzGKEZ3BFDr/ILsHtwdDpKnY+y209gwBEI1P6Fp0JdAoLZYlzA+TBirLjBJl6dnp3My&#10;Y5JUxUlRHB/HFFkfK8Z06MNnBQ2Lh5IjFZOCiv2ND73paEJ+sba+mnQKB6NiEGPvlaa2KGGevBOh&#10;1KVBthdEBSGlsiEfUifr6KZrYybH4s+Og310VYlsk/NfZJ08UmawYXJuagv4Vvbq+1iy7u1HBPq+&#10;IwShW3dpnnkyjVdrqA405DQnQt47eV0TtjfChzuBRHe6pBUOX+mnDbQlh+HE2Rbw51v30Z5YSFrO&#10;WlqfkvsfO4GKM/PFEj8/5fN53LckzI9PCxLwpWb9UmN3zSXQWPJUXTpG+2DGo0ZonmjTVzErqYSV&#10;lLvkMuAoXIZ+remtkGq1Sma0Y06EG/vg5EiEyJ3H7kmgGwgWiJm3MK6aWLziWW8bR2RhtQug60TC&#10;Z1yHEdB+JhoPb0l8AF7Kyer5xVv+AgAA//8DAFBLAwQUAAYACAAAACEAnLslnN0AAAAHAQAADwAA&#10;AGRycy9kb3ducmV2LnhtbEyPwU7DMBBE70j8g7VI3KhDSBFK41RVJBCV4EDpIUc33iYR8TqynTb0&#10;61lOcJyd1cybYj3bQZzQh96RgvtFAgKpcaanVsH+8/nuCUSImoweHKGCbwywLq+vCp0bd6YPPO1i&#10;KziEQq4VdDGOuZSh6dDqsHAjEntH562OLH0rjddnDreDTJPkUVrdEzd0esSqw+ZrN1kF72H7Mo3+&#10;bXvBV6w3l7raV3Wl1O3NvFmBiDjHv2f4xWd0KJnp4CYyQQyseUlUkCZLEGxn6QOIA5+zbAmyLOR/&#10;/vIHAAD//wMAUEsBAi0AFAAGAAgAAAAhALaDOJL+AAAA4QEAABMAAAAAAAAAAAAAAAAAAAAAAFtD&#10;b250ZW50X1R5cGVzXS54bWxQSwECLQAUAAYACAAAACEAOP0h/9YAAACUAQAACwAAAAAAAAAAAAAA&#10;AAAvAQAAX3JlbHMvLnJlbHNQSwECLQAUAAYACAAAACEADkd9UG8CAAA5BQAADgAAAAAAAAAAAAAA&#10;AAAuAgAAZHJzL2Uyb0RvYy54bWxQSwECLQAUAAYACAAAACEAnLslnN0AAAAHAQAADwAAAAAAAAAA&#10;AAAAAADJBAAAZHJzL2Rvd25yZXYueG1sUEsFBgAAAAAEAAQA8wAAANMFAAAAAA==&#10;" fillcolor="#89aad3 [2164]" strokecolor="#4f81bd [3204]" strokeweight=".5pt">
            <v:fill color2="#7098c9 [2612]" rotate="t" colors="0 #b1cbe9;.5 #a3c1e5;1 #92b9e4" focus="100%" type="gradient">
              <o:fill v:ext="view" type="gradientUnscaled"/>
            </v:fill>
            <v:textbox>
              <w:txbxContent>
                <w:p w:rsidR="00384808" w:rsidRDefault="00384808" w:rsidP="004A197D">
                  <w:pPr>
                    <w:jc w:val="center"/>
                  </w:pPr>
                  <w:r>
                    <w:t xml:space="preserve">Eligibility </w:t>
                  </w:r>
                </w:p>
              </w:txbxContent>
            </v:textbox>
          </v:rect>
        </w:pict>
      </w:r>
      <w:r>
        <w:rPr>
          <w:rFonts w:ascii="Times New Roman" w:hAnsi="Times New Roman" w:cs="Times New Roman"/>
          <w:b/>
          <w:noProof/>
          <w:sz w:val="24"/>
          <w:szCs w:val="24"/>
        </w:rPr>
        <w:pict>
          <v:rect id="Rectangle 22" o:spid="_x0000_s1042" style="position:absolute;left:0;text-align:left;margin-left:294.75pt;margin-top:11.5pt;width:118.5pt;height:40.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I0aAIAAB8FAAAOAAAAZHJzL2Uyb0RvYy54bWysVMFu2zAMvQ/YPwi6r46zZFuDOkXQosOA&#10;oi3aDj0rspQYk0SNUmJnXz9KdtyiK3YYdrFJkY8UyUednXfWsL3C0ICreHky4Uw5CXXjNhX//nj1&#10;4QtnIQpXCwNOVfygAj9fvn931vqFmsIWTK2QURAXFq2v+DZGvyiKILfKinACXjkyakArIqm4KWoU&#10;LUW3pphOJp+KFrD2CFKFQKeXvZEvc3ytlYy3WgcVmak43S3mL+bvOn2L5ZlYbFD4bSOHa4h/uIUV&#10;jaOkY6hLEQXbYfNHKNtIhAA6nkiwBWjdSJVroGrKyatqHrbCq1wLNSf4sU3h/4WVN/s7ZE1d8emU&#10;MycszeieuibcxihGZ9Sg1ocF+T34Oxy0QGKqttNo05/qYF1u6mFsquoik3RYziez0zn1XpJtXs4+&#10;kkxhime0xxC/KrAsCRVHSp97KfbXIfauRxfCpdv0+bMUD0alKxh3rzQVQhmnGZ0ppC4Msr2g4dc/&#10;yiFt9kwQ3Rgzgsq3QCYeQYNvgqlMqxE4eQv4nG30zhnBxRFoGwf4d7Du/Y9V97WmsmO37vLUynFC&#10;a6gPNEqEnuPBy6uG+nktQrwTSKSmEdCixlv6aANtxWGQONsC/nrrPPkT18jKWUtLUvHwcydQcWa+&#10;OWLhaTmbpa3Kymz+eUoKvrSsX1rczl4AjaKkJ8HLLCb/aI6iRrBPtM+rlJVMwknKXXEZ8ahcxH55&#10;6UWQarXKbrRJXsRr9+BlCp4anfjy2D0J9AOpItHxBo4LJRavuNX7JqSD1S6CbjLxUqv7vg4joC3M&#10;1B1ejLTmL/Xs9fyuLX8DAAD//wMAUEsDBBQABgAIAAAAIQB42bEM3gAAAAoBAAAPAAAAZHJzL2Rv&#10;d25yZXYueG1sTI/LTsMwEEX3SPyDNUjsqE2gIQ1xqgrBCkRF2wVLNx6SCD8i203Sv2dYwXJmju6c&#10;W61na9iIIfbeSbhdCGDoGq9710o47F9uCmAxKaeV8Q4lnDHCur68qFSp/eQ+cNylllGIi6WS0KU0&#10;lJzHpkOr4sIP6Oj25YNVicbQch3UROHW8EyInFvVO/rQqQGfOmy+dycrwW/7s9mE1fv4hg+fr9sk&#10;pjl/lvL6at48Aks4pz8YfvVJHWpyOvqT05EZCctitSRUQnZHnQgospwWRyLFvQBeV/x/hfoHAAD/&#10;/wMAUEsBAi0AFAAGAAgAAAAhALaDOJL+AAAA4QEAABMAAAAAAAAAAAAAAAAAAAAAAFtDb250ZW50&#10;X1R5cGVzXS54bWxQSwECLQAUAAYACAAAACEAOP0h/9YAAACUAQAACwAAAAAAAAAAAAAAAAAvAQAA&#10;X3JlbHMvLnJlbHNQSwECLQAUAAYACAAAACEA68rSNGgCAAAfBQAADgAAAAAAAAAAAAAAAAAuAgAA&#10;ZHJzL2Uyb0RvYy54bWxQSwECLQAUAAYACAAAACEAeNmxDN4AAAAKAQAADwAAAAAAAAAAAAAAAADC&#10;BAAAZHJzL2Rvd25yZXYueG1sUEsFBgAAAAAEAAQA8wAAAM0FAAAAAA==&#10;" fillcolor="white [3201]" strokecolor="black [3200]" strokeweight="1pt">
            <v:textbox>
              <w:txbxContent>
                <w:p w:rsidR="00384808" w:rsidRDefault="00C85707" w:rsidP="004A197D">
                  <w:pPr>
                    <w:jc w:val="center"/>
                  </w:pPr>
                  <w:r>
                    <w:t>Articles excluded (n=88</w:t>
                  </w:r>
                  <w:r w:rsidR="00384808">
                    <w:t>)</w:t>
                  </w:r>
                </w:p>
              </w:txbxContent>
            </v:textbox>
          </v:rect>
        </w:pict>
      </w:r>
      <w:r>
        <w:rPr>
          <w:rFonts w:ascii="Times New Roman" w:hAnsi="Times New Roman" w:cs="Times New Roman"/>
          <w:b/>
          <w:noProof/>
          <w:sz w:val="24"/>
          <w:szCs w:val="24"/>
        </w:rPr>
        <w:pict>
          <v:shape id="Right Arrow 25" o:spid="_x0000_s1047" type="#_x0000_t13" style="position:absolute;left:0;text-align:left;margin-left:216.75pt;margin-top:23.4pt;width:79.5pt;height:11.2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puYgIAABQFAAAOAAAAZHJzL2Uyb0RvYy54bWysVEtv2zAMvg/YfxB0X20H6SuoUwQpOgwo&#10;2qLt0LMqS7ExWdQoJU7260fJjlN0wQ7DLjIpvj9/1NX1tjVso9A3YEtenOScKSuhauyq5N9fbr9c&#10;cOaDsJUwYFXJd8rz6/nnT1edm6kJ1GAqhYySWD/rXMnrENwsy7ysVSv8CThlyagBWxFIxVVWoego&#10;e2uySZ6fZR1g5RCk8p5ub3ojn6f8WisZHrT2KjBTcuotpBPT+RbPbH4lZisUrm7k0Ib4hy5a0Vgq&#10;Oqa6EUGwNTZ/pGobieBBhxMJbQZaN1KlGWiaIv8wzXMtnEqzEDjejTD5/5dW3m8ekTVVySennFnR&#10;0j96alZ1YAtE6BjdEkSd8zPyfHaPOGiexDjvVmMbvzQJ2yZYdyOsahuYpMsizy/PTgl9SbZiOrk4&#10;T0mzQ7RDH74qaFkUSo6xgVQ/YSo2dz5QXQrYO5ISe+q7SFLYGRUbMfZJaRqI6k5SdKKSWhpkG0Ek&#10;qH4UcSLKlTxjiG6MGYOKY0Em7IMG3ximEr3GwPxY4KHa6J0qgg1jYNtYwL8H695/P3U/axz7Daod&#10;/T+EntjeyduGILwTPjwKJCYT6rSd4YEObaArOQwSZzXgr2P30Z8IRlbOOtqMkvufa4GKM/PNEvUu&#10;i+k0rlJSpqfnE1LwveXtvcWu2yUQ7gW9A04mMfoHsxc1QvtKS7yIVckkrKTaJZcB98oy9BtLz4BU&#10;i0Vyo/VxItzZZydj8ohqJMfL9lWgG3gUiIH3sN8iMftApN43RlpYrAPoJrHsgOuAN61eIszwTMTd&#10;fq8nr8NjNv8NAAD//wMAUEsDBBQABgAIAAAAIQCVP0tm3wAAAAkBAAAPAAAAZHJzL2Rvd25yZXYu&#10;eG1sTI9BT8MwDIXvSPyHyEjcWLp1q9bSdEKTkEDiwgBpR6/JmmqNEzXZVv495gQ32+/p+Xv1ZnKD&#10;uJgx9p4UzGcZCEOt1z11Cj4/nh/WIGJC0jh4Mgq+TYRNc3tTY6X9ld7NZZc6wSEUK1RgUwqVlLG1&#10;xmGc+WCItaMfHSZex07qEa8c7ga5yLJCOuyJP1gMZmtNe9qdnQIs3fZlGab58WuP8dQn+xrerFL3&#10;d9PTI4hkpvRnhl98RoeGmQ7+TDqKQcEyz1ds5aHgCmxYlQs+HBQUZQ6yqeX/Bs0PAAAA//8DAFBL&#10;AQItABQABgAIAAAAIQC2gziS/gAAAOEBAAATAAAAAAAAAAAAAAAAAAAAAABbQ29udGVudF9UeXBl&#10;c10ueG1sUEsBAi0AFAAGAAgAAAAhADj9If/WAAAAlAEAAAsAAAAAAAAAAAAAAAAALwEAAF9yZWxz&#10;Ly5yZWxzUEsBAi0AFAAGAAgAAAAhAB9KSm5iAgAAFAUAAA4AAAAAAAAAAAAAAAAALgIAAGRycy9l&#10;Mm9Eb2MueG1sUEsBAi0AFAAGAAgAAAAhAJU/S2bfAAAACQEAAA8AAAAAAAAAAAAAAAAAvAQAAGRy&#10;cy9kb3ducmV2LnhtbFBLBQYAAAAABAAEAPMAAADIBQAAAAA=&#10;" adj="20072" fillcolor="white [3201]" strokecolor="black [3200]" strokeweight="1pt"/>
        </w:pict>
      </w:r>
      <w:r>
        <w:rPr>
          <w:rFonts w:ascii="Times New Roman" w:hAnsi="Times New Roman" w:cs="Times New Roman"/>
          <w:b/>
          <w:noProof/>
          <w:sz w:val="24"/>
          <w:szCs w:val="24"/>
        </w:rPr>
        <w:pict>
          <v:rect id="Rectangle 21" o:spid="_x0000_s1040" style="position:absolute;left:0;text-align:left;margin-left:77.25pt;margin-top:10.75pt;width:138pt;height:38.2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LagIAAB8FAAAOAAAAZHJzL2Uyb0RvYy54bWysVEtPGzEQvlfqf7B8L5tNE0IjNigCUVVC&#10;gICKs+O1k1W9HnfsZDf99R17HyCKeqh68Xo8883zmz2/aGvDDgp9Bbbg+cmEM2UllJXdFvz70/Wn&#10;M858ELYUBqwq+FF5frH6+OG8cUs1hR2YUiEjJ9YvG1fwXQhumWVe7lQt/Ak4ZUmpAWsRSMRtVqJo&#10;yHttsulkcpo1gKVDkMp7er3qlHyV/GutZLjT2qvATMEpt5BOTOcmntnqXCy3KNyukn0a4h+yqEVl&#10;Kejo6koEwfZY/eGqriSCBx1OJNQZaF1JlWqgavLJm2oed8KpVAs1x7uxTf7/uZW3h3tkVVnwac6Z&#10;FTXN6IG6JuzWKEZv1KDG+SXZPbp77CVP11htq7GOX6qDtampx7Gpqg1M0mO+mE9PJ9R7SbrZ2Xyx&#10;mEen2QvaoQ9fFdQsXgqOFD71UhxufOhMBxPCxWy6+OkWjkbFFIx9UJoKoYjThE4UUpcG2UHQ8Msf&#10;qRYKmywjRFfGjKD8PZAJA6i3jTCVaDUCJ+8BX6KN1iki2DAC68oC/h2sO/uh6q7WWHZoN22aWv55&#10;mNAGyiONEqHjuHfyuqJ+3ggf7gUSqWkEtKjhjg5toCk49DfOdoC/3nuP9sQ10nLW0JIU3P/cC1Sc&#10;mW+WWPgln83iViVhNl9MScDXms1rjd3Xl0CjIKJRduka7YMZrhqhfqZ9XseopBJWUuyCy4CDcBm6&#10;5aU/glTrdTKjTXIi3NhHJ6Pz2OjIl6f2WaDrSRWIjrcwLJRYvuFWZxuRFtb7ALpKxIut7vraj4C2&#10;MFG3/2PENX8tJ6uX/9rqNwAAAP//AwBQSwMEFAAGAAgAAAAhAEVc11feAAAACQEAAA8AAABkcnMv&#10;ZG93bnJldi54bWxMj0FPwzAMhe9I/IfISNxYsrGNrTSdJgQnJiYGB45ZY9qKxKmarO3+PeY0TvbT&#10;e3r+nG9G70SPXWwCaZhOFAikMtiGKg2fHy93KxAxGbLGBUINZ4ywKa6vcpPZMNA79odUCS6hmBkN&#10;dUptJmUsa/QmTkKLxN536LxJLLtK2s4MXO6dnCm1lN40xBdq0+JTjeXP4eQ1hH1zdttu/dbv8OHr&#10;dZ/UMC6ftb69GbePIBKO6RKGP3xGh4KZjuFENgrHejFfcFTDbMqTA/N7xctRw3qlQBa5/P9B8QsA&#10;AP//AwBQSwECLQAUAAYACAAAACEAtoM4kv4AAADhAQAAEwAAAAAAAAAAAAAAAAAAAAAAW0NvbnRl&#10;bnRfVHlwZXNdLnhtbFBLAQItABQABgAIAAAAIQA4/SH/1gAAAJQBAAALAAAAAAAAAAAAAAAAAC8B&#10;AABfcmVscy8ucmVsc1BLAQItABQABgAIAAAAIQAqvR/LagIAAB8FAAAOAAAAAAAAAAAAAAAAAC4C&#10;AABkcnMvZTJvRG9jLnhtbFBLAQItABQABgAIAAAAIQBFXNdX3gAAAAkBAAAPAAAAAAAAAAAAAAAA&#10;AMQEAABkcnMvZG93bnJldi54bWxQSwUGAAAAAAQABADzAAAAzwUAAAAA&#10;" fillcolor="white [3201]" strokecolor="black [3200]" strokeweight="1pt">
            <v:textbox>
              <w:txbxContent>
                <w:p w:rsidR="00384808" w:rsidRDefault="00384808" w:rsidP="004A197D">
                  <w:pPr>
                    <w:jc w:val="center"/>
                  </w:pPr>
                  <w:r>
                    <w:t xml:space="preserve">Full-text articles </w:t>
                  </w:r>
                  <w:r w:rsidR="00F00562">
                    <w:t>assessed for eligibility (n-=120</w:t>
                  </w:r>
                  <w:r>
                    <w:t>)</w:t>
                  </w:r>
                </w:p>
              </w:txbxContent>
            </v:textbox>
          </v:rect>
        </w:pict>
      </w: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Down Arrow 28" o:spid="_x0000_s1050" type="#_x0000_t67" style="position:absolute;left:0;text-align:left;margin-left:141pt;margin-top:20.7pt;width:10.5pt;height:42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7yIYQIAABEFAAAOAAAAZHJzL2Uyb0RvYy54bWysVEtv2zAMvg/YfxB0Xx0n6R5BnCJo0WFA&#10;0QZth55VWUqMSaJGKXGyXz9KdpyiK3YYdpFJ8f35o+YXe2vYTmFowFW8PBtxppyEunHrin9/vP7w&#10;mbMQhauFAacqflCBXyzev5u3fqbGsAFTK2SUxIVZ6yu+idHPiiLIjbIinIFXjowa0IpIKq6LGkVL&#10;2a0pxqPRx6IFrD2CVCHQ7VVn5IucX2sl453WQUVmKk69xXxiPp/TWSzmYrZG4TeN7NsQ/9CFFY2j&#10;okOqKxEF22LzRyrbSIQAOp5JsAVo3UiVZ6BpytGraR42wqs8C4ET/ABT+H9p5e1uhaypKz6mP+WE&#10;pX90Ba1jS0RoGV0SQq0PM3J88CvstUBiGnev0aYvDcL2GdXDgKraRybpspxMJueEvSTT+WQyHWXU&#10;i1OwxxC/KrAsCRWvqXyungEVu5sQqSr5H/1ISR11PWQpHoxKbRh3rzRNQ1XHOTrzSF0aZDtBDKh/&#10;lGkeypU9U4hujBmCyreCTDwG9b4pTGVuDYGjtwJP1QbvXBFcHAJt4wD/Hqw7/+PU3axp7GeoD/Tz&#10;EDpWBy+vG0LwRoS4Ekg0JtBpNeMdHdpAW3HoJc42gL/euk/+xC6yctbSWlQ8/NwKVJyZb45496Wc&#10;TtMeZWV6/mlMCr60PL+0uK29BMK9pEfAyywm/2iOokawT7TBy1SVTMJJql1xGfGoXMZuXekNkGq5&#10;zG60O17EG/fgZUqeUE3keNw/CfQ9jSLx7xaOKyRmr4jU+aZIB8ttBN1klp1w7fGmvcuE6d+ItNgv&#10;9ex1eskWvwEAAP//AwBQSwMEFAAGAAgAAAAhAOvp3dfhAAAACgEAAA8AAABkcnMvZG93bnJldi54&#10;bWxMj8FOwzAMhu9IvENkJC6IpctKN0rTCU1CHCYOjI1z1pi2rHFKk23l7TEnONr+9Pv7i+XoOnHC&#10;IbSeNEwnCQikytuWag3bt6fbBYgQDVnTeUIN3xhgWV5eFCa3/kyveNrEWnAIhdxoaGLscylD1aAz&#10;YeJ7JL59+MGZyONQSzuYM4e7TqokyaQzLfGHxvS4arA6bI5Ow/P9PHWr3efhPZt/rdfZjXqR3ml9&#10;fTU+PoCIOMY/GH71WR1Kdtr7I9kgOg1qobhL1JBOUxAMzJIZL/ZMqrsUZFnI/xXKHwAAAP//AwBQ&#10;SwECLQAUAAYACAAAACEAtoM4kv4AAADhAQAAEwAAAAAAAAAAAAAAAAAAAAAAW0NvbnRlbnRfVHlw&#10;ZXNdLnhtbFBLAQItABQABgAIAAAAIQA4/SH/1gAAAJQBAAALAAAAAAAAAAAAAAAAAC8BAABfcmVs&#10;cy8ucmVsc1BLAQItABQABgAIAAAAIQClO7yIYQIAABEFAAAOAAAAAAAAAAAAAAAAAC4CAABkcnMv&#10;ZTJvRG9jLnhtbFBLAQItABQABgAIAAAAIQDr6d3X4QAAAAoBAAAPAAAAAAAAAAAAAAAAALsEAABk&#10;cnMvZG93bnJldi54bWxQSwUGAAAAAAQABADzAAAAyQUAAAAA&#10;" adj="18900" fillcolor="white [3201]" strokecolor="black [3200]" strokeweight="1pt"/>
        </w:pict>
      </w:r>
    </w:p>
    <w:p w:rsidR="004A197D" w:rsidRPr="008F3F37" w:rsidRDefault="004A197D" w:rsidP="008F3F37">
      <w:pPr>
        <w:spacing w:line="360" w:lineRule="auto"/>
        <w:jc w:val="both"/>
        <w:rPr>
          <w:rFonts w:ascii="Times New Roman" w:hAnsi="Times New Roman" w:cs="Times New Roman"/>
          <w:b/>
          <w:sz w:val="24"/>
          <w:szCs w:val="24"/>
        </w:rPr>
      </w:pPr>
    </w:p>
    <w:p w:rsidR="004A197D" w:rsidRPr="008F3F37" w:rsidRDefault="0016366D" w:rsidP="008F3F3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27" o:spid="_x0000_s1049" style="position:absolute;left:0;text-align:left;margin-left:-19.05pt;margin-top:16pt;width:60pt;height:21.9pt;rotation:90;flip:x y;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HSfwIAAEwFAAAOAAAAZHJzL2Uyb0RvYy54bWysVF1v0zAUfUfiP1h+p2lLt45q6VR1GiBN&#10;27QN9uw6dhvh2MZ2m5Rfz7HzwTQmhBB5iO617+e55/r8oqkUOQjnS6NzOhmNKRGam6LU25x+ebx6&#10;d0aJD0wXTBktcnoUnl4s3745r+1CTM3OqEI4giDaL2qb010IdpFlnu9ExfzIWKFxKY2rWIDqtlnh&#10;WI3olcqm4/FpVhtXWGe48B6nl+0lXab4UgoebqX0IhCVU9QW0t+l/yb+s+U5W2wds7uSd2Wwf6ii&#10;YqVG0iHUJQuM7F35W6iq5M54I8OImyozUpZcpB7QzWT8opuHHbMi9QJwvB1g8v8vLL853DlSFjmd&#10;zinRrMKM7oEa01slCM4AUG39AnYP9s51mocYu22kq4gzQPVkNo4fJVKV9hOY0EpfoxQt0SlpEuzH&#10;AXbRBMJxOD/FJOHKcTWdn03ep7FkbfjobJ0PH4WpSBRy6lBfCsoO1z6gJJj2JlBiuW2BSQpHJWIQ&#10;pe+FRKdI2JaUOCbWypEDAzsY50KHSWwY8ZJ1dJOlUoPjNKX9o2NnH11F4t/g/BdZB4+U2egwOFel&#10;Nu617MW3vmTZ2vcItH1HCEKzadKIJ7N+nBtTHDH3NDog7y2/KoHtNfPhjjlsAA6x1eEWP6lMnVPT&#10;SZTsjPvx2nm0BzFxS0mNjcqp/75nTlCiPmtQ9sNkNkPYkJTZyXwKxT2/2Ty/0ftqbTAWEAnVJTHa&#10;B9WL0pnqCcu/illxxTRH7pzy4HplHdpNx/PBxWqVzLB2loVr/WB5T4TIncfmiTnbESyAmTem3z62&#10;eMGz1jaOSJvVPhhZJhJGqFtcuxFgZROXuuclvgnP9WT16xFc/gQAAP//AwBQSwMEFAAGAAgAAAAh&#10;ANpjKlnbAAAABgEAAA8AAABkcnMvZG93bnJldi54bWxMj8FOwzAQRO9I/IO1SNxaJxQVGuJUVSUO&#10;SEiogQ9w4m0csNdR7KTh71lOcBzNaOZNuV+8EzOOsQ+kIF9nIJDaYHrqFHy8P68eQcSkyWgXCBV8&#10;Y4R9dX1V6sKEC51wrlMnuIRioRXYlIZCytha9Dquw4DE3jmMXieWYyfNqC9c7p28y7Kt9LonXrB6&#10;wKPF9quevILmIX/LhtfTy9F9tn7u68m6w6TU7c1yeAKRcEl/YfjFZ3SomKkJE5konAI+khSstjkI&#10;du83/KPhVL7ZgaxK+R+/+gEAAP//AwBQSwECLQAUAAYACAAAACEAtoM4kv4AAADhAQAAEwAAAAAA&#10;AAAAAAAAAAAAAAAAW0NvbnRlbnRfVHlwZXNdLnhtbFBLAQItABQABgAIAAAAIQA4/SH/1gAAAJQB&#10;AAALAAAAAAAAAAAAAAAAAC8BAABfcmVscy8ucmVsc1BLAQItABQABgAIAAAAIQAdBdHSfwIAAEwF&#10;AAAOAAAAAAAAAAAAAAAAAC4CAABkcnMvZTJvRG9jLnhtbFBLAQItABQABgAIAAAAIQDaYypZ2wAA&#10;AAYBAAAPAAAAAAAAAAAAAAAAANkEAABkcnMvZG93bnJldi54bWxQSwUGAAAAAAQABADzAAAA4QUA&#10;AAAA&#10;" fillcolor="#89aad3 [2164]" strokecolor="#4f81bd [3204]" strokeweight=".5pt">
            <v:fill color2="#7098c9 [2612]" rotate="t" colors="0 #b1cbe9;.5 #a3c1e5;1 #92b9e4" focus="100%" type="gradient">
              <o:fill v:ext="view" type="gradientUnscaled"/>
            </v:fill>
            <v:textbox>
              <w:txbxContent>
                <w:p w:rsidR="00384808" w:rsidRDefault="00384808" w:rsidP="004A197D">
                  <w:pPr>
                    <w:jc w:val="center"/>
                  </w:pPr>
                  <w:r>
                    <w:t xml:space="preserve">Included </w:t>
                  </w:r>
                </w:p>
              </w:txbxContent>
            </v:textbox>
          </v:rect>
        </w:pict>
      </w:r>
      <w:r>
        <w:rPr>
          <w:rFonts w:ascii="Times New Roman" w:hAnsi="Times New Roman" w:cs="Times New Roman"/>
          <w:b/>
          <w:noProof/>
          <w:sz w:val="24"/>
          <w:szCs w:val="24"/>
        </w:rPr>
        <w:pict>
          <v:rect id="Rectangle 26" o:spid="_x0000_s1048" style="position:absolute;left:0;text-align:left;margin-left:78.75pt;margin-top:8.65pt;width:138.75pt;height:4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1BbAIAAB8FAAAOAAAAZHJzL2Uyb0RvYy54bWysVEtv2zAMvg/YfxB0Xx0bTbsFdYqgRYcB&#10;RVs0HXpWZCkxJosapcTOfv0o+dGiK3YYdrFJ8SV+/KiLy64x7KDQ12BLnp/MOFNWQlXbbcm/P918&#10;+syZD8JWwoBVJT8qzy+XHz9ctG6hCtiBqRQySmL9onUl34XgFlnm5U41wp+AU5aMGrARgVTcZhWK&#10;lrI3Jitms7OsBawcglTe0+l1b+TLlF9rJcO91l4FZkpOdwvpi+m7id9seSEWWxRuV8vhGuIfbtGI&#10;2lLRKdW1CILtsf4jVVNLBA86nEhoMtC6lir1QN3kszfdrHfCqdQLgePdBJP/f2nl3eEBWV2VvDjj&#10;zIqGZvRIqAm7NYrRGQHUOr8gv7V7wEHzJMZuO41N/FMfrEugHidQVReYpMP8/KzIizlnkmzz83w+&#10;S6hnL9EOffiqoGFRKDlS+YSlONz6QBXJdXQhJd6mr5+kcDQqXsHYR6WpEapYpOhEIXVlkB0EDb/6&#10;kcdeKFfyjCG6NmYKyt8LMmEMGnxjmEq0mgJn7wW+VJu8U0WwYQpsagv492Dd+49d973GtkO36dLU&#10;8vk4oQ1URxolQs9x7+RNTXjeCh8eBBKpif60qOGePtpAW3IYJM52gL/eO4/+xDWyctbSkpTc/9wL&#10;VJyZb5ZY+CU/PY1blZTT+XlBCr62bF5b7L65AhpFTk+Ck0mM/sGMokZonmmfV7EqmYSVVLvkMuCo&#10;XIV+eelFkGq1Sm60SU6EW7t2MiaPQEe+PHXPAt1AqkB0vINxocTiDbd63xhpYbUPoOtEvAh1j+sw&#10;AtrCxKHhxYhr/lpPXi/v2vI3AAAA//8DAFBLAwQUAAYACAAAACEAUePFj9wAAAAKAQAADwAAAGRy&#10;cy9kb3ducmV2LnhtbExPy07DMBC8I/EP1iJxozaUNBDiVBWCE6gVhQNHN16SCHsdxW6S/j3LCW47&#10;D83OlOvZOzHiELtAGq4XCgRSHWxHjYaP9+erOxAxGbLGBUINJ4ywrs7PSlPYMNEbjvvUCA6hWBgN&#10;bUp9IWWsW/QmLkKPxNpXGLxJDIdG2sFMHO6dvFFqJb3piD+0psfHFuvv/dFrCLvu5DbD/XZ8xfzz&#10;ZZfUNK+etL68mDcPIBLO6c8Mv/W5OlTc6RCOZKNwjLM8Yysf+RIEG26XGY87MKGYkVUp/0+ofgAA&#10;AP//AwBQSwECLQAUAAYACAAAACEAtoM4kv4AAADhAQAAEwAAAAAAAAAAAAAAAAAAAAAAW0NvbnRl&#10;bnRfVHlwZXNdLnhtbFBLAQItABQABgAIAAAAIQA4/SH/1gAAAJQBAAALAAAAAAAAAAAAAAAAAC8B&#10;AABfcmVscy8ucmVsc1BLAQItABQABgAIAAAAIQAJmn1BbAIAAB8FAAAOAAAAAAAAAAAAAAAAAC4C&#10;AABkcnMvZTJvRG9jLnhtbFBLAQItABQABgAIAAAAIQBR48WP3AAAAAoBAAAPAAAAAAAAAAAAAAAA&#10;AMYEAABkcnMvZG93bnJldi54bWxQSwUGAAAAAAQABADzAAAAzwUAAAAA&#10;" fillcolor="white [3201]" strokecolor="black [3200]" strokeweight="1pt">
            <v:textbox>
              <w:txbxContent>
                <w:p w:rsidR="00384808" w:rsidRDefault="00384808" w:rsidP="004A197D">
                  <w:pPr>
                    <w:jc w:val="center"/>
                  </w:pPr>
                  <w:r>
                    <w:t xml:space="preserve">Articles </w:t>
                  </w:r>
                  <w:r w:rsidR="00C85707">
                    <w:t>included in the study (n=32</w:t>
                  </w:r>
                  <w:r>
                    <w:t>)</w:t>
                  </w:r>
                </w:p>
              </w:txbxContent>
            </v:textbox>
          </v:rect>
        </w:pict>
      </w:r>
    </w:p>
    <w:p w:rsidR="004A197D" w:rsidRPr="008F3F37" w:rsidRDefault="004A197D" w:rsidP="008F3F37">
      <w:pPr>
        <w:spacing w:line="360" w:lineRule="auto"/>
        <w:jc w:val="both"/>
        <w:rPr>
          <w:rFonts w:ascii="Times New Roman" w:hAnsi="Times New Roman" w:cs="Times New Roman"/>
          <w:b/>
          <w:sz w:val="24"/>
          <w:szCs w:val="24"/>
        </w:rPr>
      </w:pPr>
    </w:p>
    <w:p w:rsidR="004A197D" w:rsidRPr="008F3F37" w:rsidRDefault="004A197D" w:rsidP="008F3F37">
      <w:pPr>
        <w:spacing w:line="360" w:lineRule="auto"/>
        <w:jc w:val="both"/>
        <w:rPr>
          <w:rFonts w:ascii="Times New Roman" w:hAnsi="Times New Roman" w:cs="Times New Roman"/>
          <w:b/>
          <w:sz w:val="24"/>
          <w:szCs w:val="24"/>
        </w:rPr>
      </w:pPr>
      <w:r w:rsidRPr="008F3F37">
        <w:rPr>
          <w:rFonts w:ascii="Times New Roman" w:hAnsi="Times New Roman" w:cs="Times New Roman"/>
          <w:b/>
          <w:sz w:val="24"/>
          <w:szCs w:val="24"/>
        </w:rPr>
        <w:t xml:space="preserve">Fig. 1 </w:t>
      </w:r>
      <w:r w:rsidRPr="008F3F37">
        <w:rPr>
          <w:rFonts w:ascii="Times New Roman" w:hAnsi="Times New Roman" w:cs="Times New Roman"/>
          <w:sz w:val="24"/>
          <w:szCs w:val="24"/>
        </w:rPr>
        <w:t>PRISMA diagram showing steps in data extraction</w:t>
      </w:r>
    </w:p>
    <w:p w:rsidR="004A197D" w:rsidRPr="008F3F37" w:rsidRDefault="004A197D" w:rsidP="008F3F37">
      <w:pPr>
        <w:pStyle w:val="Heading2"/>
        <w:spacing w:line="360" w:lineRule="auto"/>
        <w:jc w:val="both"/>
        <w:rPr>
          <w:rFonts w:cs="Times New Roman"/>
          <w:szCs w:val="24"/>
        </w:rPr>
      </w:pPr>
      <w:r w:rsidRPr="008F3F37">
        <w:rPr>
          <w:rFonts w:cs="Times New Roman"/>
          <w:szCs w:val="24"/>
        </w:rPr>
        <w:lastRenderedPageBreak/>
        <w:t>Data Extraction and Analysis</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 xml:space="preserve">The selected papers were retrieved and scrutinized carefully basing on the areas which are related to the formulated research questions. This was done starting with scrutinizing the abstract and then reading through the entire sections (in-depth) of the papers to pick out the relevant data. A detailed meta-analysis was also carried out to identify the subject matters connected to </w:t>
      </w:r>
      <w:r w:rsidR="000D5BC1" w:rsidRPr="008F3F37">
        <w:rPr>
          <w:rFonts w:ascii="Times New Roman" w:hAnsi="Times New Roman" w:cs="Times New Roman"/>
          <w:sz w:val="24"/>
          <w:szCs w:val="24"/>
        </w:rPr>
        <w:t>erosion control methods</w:t>
      </w:r>
      <w:r w:rsidRPr="008F3F37">
        <w:rPr>
          <w:rFonts w:ascii="Times New Roman" w:hAnsi="Times New Roman" w:cs="Times New Roman"/>
          <w:sz w:val="24"/>
          <w:szCs w:val="24"/>
        </w:rPr>
        <w:t xml:space="preserve">. The inclusion and exclusion criteria are shown in </w:t>
      </w:r>
      <w:r w:rsidRPr="008F3F37">
        <w:rPr>
          <w:rFonts w:ascii="Times New Roman" w:hAnsi="Times New Roman" w:cs="Times New Roman"/>
          <w:b/>
          <w:sz w:val="24"/>
          <w:szCs w:val="24"/>
        </w:rPr>
        <w:t>Table 1</w:t>
      </w:r>
      <w:r w:rsidRPr="008F3F37">
        <w:rPr>
          <w:rFonts w:ascii="Times New Roman" w:hAnsi="Times New Roman" w:cs="Times New Roman"/>
          <w:sz w:val="24"/>
          <w:szCs w:val="24"/>
        </w:rPr>
        <w:t>.</w:t>
      </w:r>
    </w:p>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b/>
          <w:sz w:val="24"/>
          <w:szCs w:val="24"/>
        </w:rPr>
        <w:t>Table 1:</w:t>
      </w:r>
      <w:r w:rsidRPr="008F3F37">
        <w:rPr>
          <w:rFonts w:ascii="Times New Roman" w:hAnsi="Times New Roman" w:cs="Times New Roman"/>
          <w:sz w:val="24"/>
          <w:szCs w:val="24"/>
        </w:rPr>
        <w:t xml:space="preserve"> The inclusion and exclusion criteria</w:t>
      </w:r>
    </w:p>
    <w:tbl>
      <w:tblPr>
        <w:tblStyle w:val="PlainTable2"/>
        <w:tblW w:w="0" w:type="auto"/>
        <w:tblBorders>
          <w:insideH w:val="single" w:sz="4" w:space="0" w:color="auto"/>
          <w:insideV w:val="single" w:sz="4" w:space="0" w:color="auto"/>
        </w:tblBorders>
        <w:tblLook w:val="04A0"/>
      </w:tblPr>
      <w:tblGrid>
        <w:gridCol w:w="2840"/>
        <w:gridCol w:w="2841"/>
        <w:gridCol w:w="2841"/>
      </w:tblGrid>
      <w:tr w:rsidR="004A197D" w:rsidRPr="008F3F37" w:rsidTr="00384808">
        <w:trPr>
          <w:cnfStyle w:val="100000000000"/>
        </w:trPr>
        <w:tc>
          <w:tcPr>
            <w:cnfStyle w:val="001000000000"/>
            <w:tcW w:w="2840" w:type="dxa"/>
            <w:tcBorders>
              <w:bottom w:val="none" w:sz="0" w:space="0" w:color="auto"/>
            </w:tcBorders>
          </w:tcPr>
          <w:p w:rsidR="004A197D" w:rsidRPr="008F3F37" w:rsidRDefault="004A197D" w:rsidP="008F3F37">
            <w:pPr>
              <w:spacing w:line="360" w:lineRule="auto"/>
              <w:jc w:val="both"/>
              <w:rPr>
                <w:rFonts w:ascii="Times New Roman" w:hAnsi="Times New Roman" w:cs="Times New Roman"/>
                <w:sz w:val="24"/>
                <w:szCs w:val="24"/>
              </w:rPr>
            </w:pPr>
            <w:r w:rsidRPr="008F3F37">
              <w:rPr>
                <w:rFonts w:ascii="Times New Roman" w:hAnsi="Times New Roman" w:cs="Times New Roman"/>
                <w:sz w:val="24"/>
                <w:szCs w:val="24"/>
              </w:rPr>
              <w:t>Criteria</w:t>
            </w:r>
          </w:p>
        </w:tc>
        <w:tc>
          <w:tcPr>
            <w:tcW w:w="2841" w:type="dxa"/>
            <w:tcBorders>
              <w:bottom w:val="none" w:sz="0" w:space="0" w:color="auto"/>
            </w:tcBorders>
          </w:tcPr>
          <w:p w:rsidR="004A197D" w:rsidRPr="008F3F37" w:rsidRDefault="004A197D" w:rsidP="008F3F37">
            <w:pPr>
              <w:spacing w:line="360" w:lineRule="auto"/>
              <w:jc w:val="both"/>
              <w:cnfStyle w:val="100000000000"/>
              <w:rPr>
                <w:rFonts w:ascii="Times New Roman" w:hAnsi="Times New Roman" w:cs="Times New Roman"/>
                <w:sz w:val="24"/>
                <w:szCs w:val="24"/>
              </w:rPr>
            </w:pPr>
            <w:r w:rsidRPr="008F3F37">
              <w:rPr>
                <w:rFonts w:ascii="Times New Roman" w:hAnsi="Times New Roman" w:cs="Times New Roman"/>
                <w:sz w:val="24"/>
                <w:szCs w:val="24"/>
              </w:rPr>
              <w:t>Inclusion</w:t>
            </w:r>
          </w:p>
        </w:tc>
        <w:tc>
          <w:tcPr>
            <w:tcW w:w="2841" w:type="dxa"/>
            <w:tcBorders>
              <w:bottom w:val="none" w:sz="0" w:space="0" w:color="auto"/>
            </w:tcBorders>
          </w:tcPr>
          <w:p w:rsidR="004A197D" w:rsidRPr="008F3F37" w:rsidRDefault="004A197D" w:rsidP="008F3F37">
            <w:pPr>
              <w:spacing w:line="360" w:lineRule="auto"/>
              <w:jc w:val="both"/>
              <w:cnfStyle w:val="100000000000"/>
              <w:rPr>
                <w:rFonts w:ascii="Times New Roman" w:hAnsi="Times New Roman" w:cs="Times New Roman"/>
                <w:sz w:val="24"/>
                <w:szCs w:val="24"/>
              </w:rPr>
            </w:pPr>
            <w:r w:rsidRPr="008F3F37">
              <w:rPr>
                <w:rFonts w:ascii="Times New Roman" w:hAnsi="Times New Roman" w:cs="Times New Roman"/>
                <w:sz w:val="24"/>
                <w:szCs w:val="24"/>
              </w:rPr>
              <w:t>Exclusion</w:t>
            </w:r>
          </w:p>
        </w:tc>
      </w:tr>
      <w:tr w:rsidR="004A197D" w:rsidRPr="008F3F37" w:rsidTr="00384808">
        <w:trPr>
          <w:cnfStyle w:val="000000100000"/>
        </w:trPr>
        <w:tc>
          <w:tcPr>
            <w:cnfStyle w:val="001000000000"/>
            <w:tcW w:w="2840" w:type="dxa"/>
            <w:tcBorders>
              <w:top w:val="none" w:sz="0" w:space="0" w:color="auto"/>
              <w:bottom w:val="none" w:sz="0" w:space="0" w:color="auto"/>
            </w:tcBorders>
          </w:tcPr>
          <w:p w:rsidR="004A197D" w:rsidRPr="008F3F37" w:rsidRDefault="004A197D"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Type of literature</w:t>
            </w:r>
          </w:p>
        </w:tc>
        <w:tc>
          <w:tcPr>
            <w:tcW w:w="2841" w:type="dxa"/>
            <w:tcBorders>
              <w:top w:val="none" w:sz="0" w:space="0" w:color="auto"/>
              <w:bottom w:val="none" w:sz="0" w:space="0" w:color="auto"/>
            </w:tcBorders>
          </w:tcPr>
          <w:p w:rsidR="004A197D" w:rsidRPr="008F3F37" w:rsidRDefault="004A197D"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Journal papers, peer reviewed conference proceeding, gray literature</w:t>
            </w:r>
          </w:p>
        </w:tc>
        <w:tc>
          <w:tcPr>
            <w:tcW w:w="2841" w:type="dxa"/>
            <w:tcBorders>
              <w:top w:val="none" w:sz="0" w:space="0" w:color="auto"/>
              <w:bottom w:val="none" w:sz="0" w:space="0" w:color="auto"/>
            </w:tcBorders>
          </w:tcPr>
          <w:p w:rsidR="004A197D" w:rsidRPr="008F3F37" w:rsidRDefault="004A197D"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Book chapters</w:t>
            </w:r>
          </w:p>
        </w:tc>
      </w:tr>
      <w:tr w:rsidR="004A197D" w:rsidRPr="008F3F37" w:rsidTr="00384808">
        <w:tc>
          <w:tcPr>
            <w:cnfStyle w:val="001000000000"/>
            <w:tcW w:w="2840" w:type="dxa"/>
          </w:tcPr>
          <w:p w:rsidR="004A197D" w:rsidRPr="008F3F37" w:rsidRDefault="004A197D"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Language</w:t>
            </w:r>
          </w:p>
        </w:tc>
        <w:tc>
          <w:tcPr>
            <w:tcW w:w="2841" w:type="dxa"/>
          </w:tcPr>
          <w:p w:rsidR="004A197D" w:rsidRPr="008F3F37" w:rsidRDefault="004A197D"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 xml:space="preserve">English </w:t>
            </w:r>
          </w:p>
        </w:tc>
        <w:tc>
          <w:tcPr>
            <w:tcW w:w="2841" w:type="dxa"/>
          </w:tcPr>
          <w:p w:rsidR="004A197D" w:rsidRPr="008F3F37" w:rsidRDefault="004A197D"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Non-English</w:t>
            </w:r>
          </w:p>
        </w:tc>
      </w:tr>
      <w:tr w:rsidR="004A197D" w:rsidRPr="008F3F37" w:rsidTr="00384808">
        <w:trPr>
          <w:cnfStyle w:val="000000100000"/>
        </w:trPr>
        <w:tc>
          <w:tcPr>
            <w:cnfStyle w:val="001000000000"/>
            <w:tcW w:w="2840" w:type="dxa"/>
            <w:tcBorders>
              <w:top w:val="none" w:sz="0" w:space="0" w:color="auto"/>
              <w:bottom w:val="none" w:sz="0" w:space="0" w:color="auto"/>
            </w:tcBorders>
          </w:tcPr>
          <w:p w:rsidR="004A197D" w:rsidRPr="008F3F37" w:rsidRDefault="004A197D"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Timeline</w:t>
            </w:r>
          </w:p>
        </w:tc>
        <w:tc>
          <w:tcPr>
            <w:tcW w:w="2841" w:type="dxa"/>
            <w:tcBorders>
              <w:top w:val="none" w:sz="0" w:space="0" w:color="auto"/>
              <w:bottom w:val="none" w:sz="0" w:space="0" w:color="auto"/>
            </w:tcBorders>
          </w:tcPr>
          <w:p w:rsidR="004A197D" w:rsidRPr="008F3F37" w:rsidRDefault="002D5D4E" w:rsidP="008F3F37">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1994-onwards</w:t>
            </w:r>
          </w:p>
        </w:tc>
        <w:tc>
          <w:tcPr>
            <w:tcW w:w="2841" w:type="dxa"/>
            <w:tcBorders>
              <w:top w:val="none" w:sz="0" w:space="0" w:color="auto"/>
              <w:bottom w:val="none" w:sz="0" w:space="0" w:color="auto"/>
            </w:tcBorders>
          </w:tcPr>
          <w:p w:rsidR="004A197D" w:rsidRPr="008F3F37" w:rsidRDefault="004A197D" w:rsidP="008F3F37">
            <w:pPr>
              <w:spacing w:line="360" w:lineRule="auto"/>
              <w:jc w:val="both"/>
              <w:cnfStyle w:val="000000100000"/>
              <w:rPr>
                <w:rFonts w:ascii="Times New Roman" w:hAnsi="Times New Roman" w:cs="Times New Roman"/>
                <w:sz w:val="24"/>
                <w:szCs w:val="24"/>
              </w:rPr>
            </w:pPr>
          </w:p>
        </w:tc>
      </w:tr>
      <w:tr w:rsidR="004A197D" w:rsidRPr="008F3F37" w:rsidTr="00384808">
        <w:tc>
          <w:tcPr>
            <w:cnfStyle w:val="001000000000"/>
            <w:tcW w:w="2840" w:type="dxa"/>
          </w:tcPr>
          <w:p w:rsidR="004A197D" w:rsidRPr="008F3F37" w:rsidRDefault="004A197D"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Country</w:t>
            </w:r>
          </w:p>
        </w:tc>
        <w:tc>
          <w:tcPr>
            <w:tcW w:w="2841" w:type="dxa"/>
          </w:tcPr>
          <w:p w:rsidR="004A197D" w:rsidRPr="008F3F37" w:rsidRDefault="004A197D" w:rsidP="008F3F37">
            <w:pPr>
              <w:spacing w:line="360" w:lineRule="auto"/>
              <w:jc w:val="both"/>
              <w:cnfStyle w:val="000000000000"/>
              <w:rPr>
                <w:rFonts w:ascii="Times New Roman" w:hAnsi="Times New Roman" w:cs="Times New Roman"/>
                <w:sz w:val="24"/>
                <w:szCs w:val="24"/>
              </w:rPr>
            </w:pPr>
          </w:p>
        </w:tc>
        <w:tc>
          <w:tcPr>
            <w:tcW w:w="2841" w:type="dxa"/>
          </w:tcPr>
          <w:p w:rsidR="004A197D" w:rsidRPr="008F3F37" w:rsidRDefault="004A197D" w:rsidP="008F3F37">
            <w:pPr>
              <w:spacing w:line="360" w:lineRule="auto"/>
              <w:jc w:val="both"/>
              <w:cnfStyle w:val="000000000000"/>
              <w:rPr>
                <w:rFonts w:ascii="Times New Roman" w:hAnsi="Times New Roman" w:cs="Times New Roman"/>
                <w:sz w:val="24"/>
                <w:szCs w:val="24"/>
              </w:rPr>
            </w:pPr>
          </w:p>
        </w:tc>
      </w:tr>
      <w:tr w:rsidR="004A197D" w:rsidRPr="008F3F37" w:rsidTr="00384808">
        <w:trPr>
          <w:cnfStyle w:val="000000100000"/>
        </w:trPr>
        <w:tc>
          <w:tcPr>
            <w:cnfStyle w:val="001000000000"/>
            <w:tcW w:w="2840" w:type="dxa"/>
            <w:tcBorders>
              <w:top w:val="none" w:sz="0" w:space="0" w:color="auto"/>
              <w:bottom w:val="none" w:sz="0" w:space="0" w:color="auto"/>
            </w:tcBorders>
          </w:tcPr>
          <w:p w:rsidR="004A197D" w:rsidRPr="008F3F37" w:rsidRDefault="004A197D"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Indexes</w:t>
            </w:r>
          </w:p>
        </w:tc>
        <w:tc>
          <w:tcPr>
            <w:tcW w:w="2841" w:type="dxa"/>
            <w:tcBorders>
              <w:top w:val="none" w:sz="0" w:space="0" w:color="auto"/>
              <w:bottom w:val="none" w:sz="0" w:space="0" w:color="auto"/>
            </w:tcBorders>
          </w:tcPr>
          <w:p w:rsidR="004A197D" w:rsidRPr="008F3F37" w:rsidRDefault="004A197D"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Google Scholar, Science Direct</w:t>
            </w:r>
          </w:p>
        </w:tc>
        <w:tc>
          <w:tcPr>
            <w:tcW w:w="2841" w:type="dxa"/>
            <w:tcBorders>
              <w:top w:val="none" w:sz="0" w:space="0" w:color="auto"/>
              <w:bottom w:val="none" w:sz="0" w:space="0" w:color="auto"/>
            </w:tcBorders>
          </w:tcPr>
          <w:p w:rsidR="004A197D" w:rsidRPr="008F3F37" w:rsidRDefault="004A197D" w:rsidP="008F3F37">
            <w:pPr>
              <w:spacing w:line="360" w:lineRule="auto"/>
              <w:jc w:val="both"/>
              <w:cnfStyle w:val="000000100000"/>
              <w:rPr>
                <w:rFonts w:ascii="Times New Roman" w:hAnsi="Times New Roman" w:cs="Times New Roman"/>
                <w:sz w:val="24"/>
                <w:szCs w:val="24"/>
              </w:rPr>
            </w:pPr>
          </w:p>
        </w:tc>
      </w:tr>
    </w:tbl>
    <w:p w:rsidR="004A197D" w:rsidRPr="008F3F37" w:rsidRDefault="004A197D" w:rsidP="008F3F37">
      <w:pPr>
        <w:spacing w:line="360" w:lineRule="auto"/>
        <w:jc w:val="both"/>
        <w:rPr>
          <w:rFonts w:ascii="Times New Roman" w:hAnsi="Times New Roman" w:cs="Times New Roman"/>
          <w:sz w:val="24"/>
          <w:szCs w:val="24"/>
          <w:lang w:eastAsia="zh-CN"/>
        </w:rPr>
      </w:pPr>
    </w:p>
    <w:p w:rsidR="009D73FD" w:rsidRPr="008F3F37" w:rsidRDefault="009D73FD" w:rsidP="008F3F37">
      <w:pPr>
        <w:pStyle w:val="Heading1"/>
        <w:spacing w:line="360" w:lineRule="auto"/>
        <w:jc w:val="both"/>
        <w:rPr>
          <w:rFonts w:eastAsia="Times New Roman" w:cs="Times New Roman"/>
          <w:szCs w:val="24"/>
        </w:rPr>
      </w:pPr>
      <w:r w:rsidRPr="008F3F37">
        <w:rPr>
          <w:rFonts w:eastAsia="Times New Roman" w:cs="Times New Roman"/>
          <w:szCs w:val="24"/>
        </w:rPr>
        <w:t>Results and Discussions.</w:t>
      </w:r>
    </w:p>
    <w:p w:rsidR="00F21C8F" w:rsidRPr="008F3F37" w:rsidRDefault="00F21C8F" w:rsidP="008F3F37">
      <w:pPr>
        <w:pStyle w:val="Heading2"/>
        <w:spacing w:line="360" w:lineRule="auto"/>
        <w:jc w:val="both"/>
        <w:rPr>
          <w:rFonts w:cs="Times New Roman"/>
          <w:szCs w:val="24"/>
          <w:lang w:eastAsia="zh-CN"/>
        </w:rPr>
      </w:pPr>
      <w:r w:rsidRPr="008F3F37">
        <w:rPr>
          <w:rFonts w:cs="Times New Roman"/>
          <w:szCs w:val="24"/>
          <w:lang w:eastAsia="zh-CN"/>
        </w:rPr>
        <w:t>Spatial and temporal scope of the study</w:t>
      </w:r>
    </w:p>
    <w:p w:rsidR="00F21C8F" w:rsidRPr="008F3F37" w:rsidRDefault="00F21C8F" w:rsidP="008F3F37">
      <w:pPr>
        <w:spacing w:line="360" w:lineRule="auto"/>
        <w:jc w:val="both"/>
        <w:rPr>
          <w:rFonts w:ascii="Times New Roman" w:hAnsi="Times New Roman" w:cs="Times New Roman"/>
          <w:sz w:val="24"/>
          <w:szCs w:val="24"/>
          <w:lang w:eastAsia="zh-CN"/>
        </w:rPr>
      </w:pPr>
      <w:r w:rsidRPr="008F3F37">
        <w:rPr>
          <w:rFonts w:ascii="Times New Roman" w:hAnsi="Times New Roman" w:cs="Times New Roman"/>
          <w:sz w:val="24"/>
          <w:szCs w:val="24"/>
          <w:lang w:eastAsia="zh-CN"/>
        </w:rPr>
        <w:t xml:space="preserve">The reviewed articles shown that the </w:t>
      </w:r>
      <w:r w:rsidR="00F40755" w:rsidRPr="008F3F37">
        <w:rPr>
          <w:rFonts w:ascii="Times New Roman" w:hAnsi="Times New Roman" w:cs="Times New Roman"/>
          <w:sz w:val="24"/>
          <w:szCs w:val="24"/>
          <w:lang w:eastAsia="zh-CN"/>
        </w:rPr>
        <w:t>erosion control methods</w:t>
      </w:r>
      <w:r w:rsidRPr="008F3F37">
        <w:rPr>
          <w:rFonts w:ascii="Times New Roman" w:hAnsi="Times New Roman" w:cs="Times New Roman"/>
          <w:sz w:val="24"/>
          <w:szCs w:val="24"/>
          <w:lang w:eastAsia="zh-CN"/>
        </w:rPr>
        <w:t xml:space="preserve"> are divided into </w:t>
      </w:r>
      <w:r w:rsidR="00F40755" w:rsidRPr="008F3F37">
        <w:rPr>
          <w:rFonts w:ascii="Times New Roman" w:hAnsi="Times New Roman" w:cs="Times New Roman"/>
          <w:sz w:val="24"/>
          <w:szCs w:val="24"/>
          <w:lang w:eastAsia="zh-CN"/>
        </w:rPr>
        <w:t xml:space="preserve">vegetative, structural, bioengineering, </w:t>
      </w:r>
      <w:r w:rsidR="00AF640E" w:rsidRPr="008F3F37">
        <w:rPr>
          <w:rFonts w:ascii="Times New Roman" w:hAnsi="Times New Roman" w:cs="Times New Roman"/>
          <w:sz w:val="24"/>
          <w:szCs w:val="24"/>
          <w:lang w:eastAsia="zh-CN"/>
        </w:rPr>
        <w:t xml:space="preserve">soil management practices, and policy and community based approaches </w:t>
      </w:r>
      <w:r w:rsidRPr="008F3F37">
        <w:rPr>
          <w:rFonts w:ascii="Times New Roman" w:hAnsi="Times New Roman" w:cs="Times New Roman"/>
          <w:sz w:val="24"/>
          <w:szCs w:val="24"/>
          <w:lang w:eastAsia="zh-CN"/>
        </w:rPr>
        <w:t>as shown in table 2.  The reviewed exercise r</w:t>
      </w:r>
      <w:r w:rsidR="009B6472">
        <w:rPr>
          <w:rFonts w:ascii="Times New Roman" w:hAnsi="Times New Roman" w:cs="Times New Roman"/>
          <w:sz w:val="24"/>
          <w:szCs w:val="24"/>
          <w:lang w:eastAsia="zh-CN"/>
        </w:rPr>
        <w:t>evealed that, out of thirty one (31</w:t>
      </w:r>
      <w:r w:rsidR="00DF157A">
        <w:rPr>
          <w:rFonts w:ascii="Times New Roman" w:hAnsi="Times New Roman" w:cs="Times New Roman"/>
          <w:sz w:val="24"/>
          <w:szCs w:val="24"/>
          <w:lang w:eastAsia="zh-CN"/>
        </w:rPr>
        <w:t>) papers considered, two</w:t>
      </w:r>
      <w:r w:rsidR="002E3304">
        <w:rPr>
          <w:rFonts w:ascii="Times New Roman" w:hAnsi="Times New Roman" w:cs="Times New Roman"/>
          <w:sz w:val="24"/>
          <w:szCs w:val="24"/>
          <w:lang w:eastAsia="zh-CN"/>
        </w:rPr>
        <w:t xml:space="preserve"> (2</w:t>
      </w:r>
      <w:r w:rsidRPr="008F3F37">
        <w:rPr>
          <w:rFonts w:ascii="Times New Roman" w:hAnsi="Times New Roman" w:cs="Times New Roman"/>
          <w:sz w:val="24"/>
          <w:szCs w:val="24"/>
          <w:lang w:eastAsia="zh-CN"/>
        </w:rPr>
        <w:t xml:space="preserve">) which were about </w:t>
      </w:r>
      <w:r w:rsidR="00DF157A">
        <w:rPr>
          <w:rFonts w:ascii="Times New Roman" w:hAnsi="Times New Roman" w:cs="Times New Roman"/>
          <w:sz w:val="24"/>
          <w:szCs w:val="24"/>
          <w:lang w:eastAsia="zh-CN"/>
        </w:rPr>
        <w:t>erosion control methods</w:t>
      </w:r>
      <w:r w:rsidRPr="008F3F37">
        <w:rPr>
          <w:rFonts w:ascii="Times New Roman" w:hAnsi="Times New Roman" w:cs="Times New Roman"/>
          <w:sz w:val="24"/>
          <w:szCs w:val="24"/>
          <w:lang w:eastAsia="zh-CN"/>
        </w:rPr>
        <w:t xml:space="preserve"> identified explicitly </w:t>
      </w:r>
      <w:r w:rsidR="00DF157A">
        <w:rPr>
          <w:rFonts w:ascii="Times New Roman" w:hAnsi="Times New Roman" w:cs="Times New Roman"/>
          <w:sz w:val="24"/>
          <w:szCs w:val="24"/>
          <w:lang w:eastAsia="zh-CN"/>
        </w:rPr>
        <w:t>vegetative methods as an erosion control methods</w:t>
      </w:r>
      <w:r w:rsidR="009E60BB">
        <w:rPr>
          <w:rFonts w:ascii="Times New Roman" w:hAnsi="Times New Roman" w:cs="Times New Roman"/>
          <w:sz w:val="24"/>
          <w:szCs w:val="24"/>
          <w:lang w:eastAsia="zh-CN"/>
        </w:rPr>
        <w:t>. Two (</w:t>
      </w:r>
      <w:r w:rsidRPr="008F3F37">
        <w:rPr>
          <w:rFonts w:ascii="Times New Roman" w:hAnsi="Times New Roman" w:cs="Times New Roman"/>
          <w:sz w:val="24"/>
          <w:szCs w:val="24"/>
          <w:lang w:eastAsia="zh-CN"/>
        </w:rPr>
        <w:t xml:space="preserve">2) articles identified explicitly </w:t>
      </w:r>
      <w:r w:rsidR="009E60BB">
        <w:rPr>
          <w:rFonts w:ascii="Times New Roman" w:hAnsi="Times New Roman" w:cs="Times New Roman"/>
          <w:sz w:val="24"/>
          <w:szCs w:val="24"/>
          <w:lang w:eastAsia="zh-CN"/>
        </w:rPr>
        <w:t>vegetative methods</w:t>
      </w:r>
      <w:r w:rsidR="00943132">
        <w:rPr>
          <w:rFonts w:ascii="Times New Roman" w:hAnsi="Times New Roman" w:cs="Times New Roman"/>
          <w:sz w:val="24"/>
          <w:szCs w:val="24"/>
          <w:lang w:eastAsia="zh-CN"/>
        </w:rPr>
        <w:t>,</w:t>
      </w:r>
      <w:r w:rsidR="009E60BB">
        <w:rPr>
          <w:rFonts w:ascii="Times New Roman" w:hAnsi="Times New Roman" w:cs="Times New Roman"/>
          <w:sz w:val="24"/>
          <w:szCs w:val="24"/>
          <w:lang w:eastAsia="zh-CN"/>
        </w:rPr>
        <w:t xml:space="preserve"> and policy and community based </w:t>
      </w:r>
      <w:r w:rsidR="008C5723">
        <w:rPr>
          <w:rFonts w:ascii="Times New Roman" w:hAnsi="Times New Roman" w:cs="Times New Roman"/>
          <w:sz w:val="24"/>
          <w:szCs w:val="24"/>
          <w:lang w:eastAsia="zh-CN"/>
        </w:rPr>
        <w:t>practices, two</w:t>
      </w:r>
      <w:r w:rsidR="00943132">
        <w:rPr>
          <w:rFonts w:ascii="Times New Roman" w:hAnsi="Times New Roman" w:cs="Times New Roman"/>
          <w:sz w:val="24"/>
          <w:szCs w:val="24"/>
          <w:lang w:eastAsia="zh-CN"/>
        </w:rPr>
        <w:t xml:space="preserve"> (2</w:t>
      </w:r>
      <w:r w:rsidRPr="008F3F37">
        <w:rPr>
          <w:rFonts w:ascii="Times New Roman" w:hAnsi="Times New Roman" w:cs="Times New Roman"/>
          <w:sz w:val="24"/>
          <w:szCs w:val="24"/>
          <w:lang w:eastAsia="zh-CN"/>
        </w:rPr>
        <w:t>) explicitly identified single</w:t>
      </w:r>
      <w:r w:rsidR="00943132" w:rsidRPr="00943132">
        <w:rPr>
          <w:rFonts w:ascii="Times New Roman" w:hAnsi="Times New Roman" w:cs="Times New Roman"/>
          <w:sz w:val="24"/>
          <w:szCs w:val="24"/>
          <w:lang w:eastAsia="zh-CN"/>
        </w:rPr>
        <w:t xml:space="preserve"> </w:t>
      </w:r>
      <w:r w:rsidR="00943132">
        <w:rPr>
          <w:rFonts w:ascii="Times New Roman" w:hAnsi="Times New Roman" w:cs="Times New Roman"/>
          <w:sz w:val="24"/>
          <w:szCs w:val="24"/>
          <w:lang w:eastAsia="zh-CN"/>
        </w:rPr>
        <w:t>vegetative methods, and policy and community based practices, and bioengineering methods</w:t>
      </w:r>
      <w:r w:rsidR="002C2560">
        <w:rPr>
          <w:rFonts w:ascii="Times New Roman" w:hAnsi="Times New Roman" w:cs="Times New Roman"/>
          <w:sz w:val="24"/>
          <w:szCs w:val="24"/>
          <w:lang w:eastAsia="zh-CN"/>
        </w:rPr>
        <w:t>. Six (6</w:t>
      </w:r>
      <w:r w:rsidRPr="008F3F37">
        <w:rPr>
          <w:rFonts w:ascii="Times New Roman" w:hAnsi="Times New Roman" w:cs="Times New Roman"/>
          <w:sz w:val="24"/>
          <w:szCs w:val="24"/>
          <w:lang w:eastAsia="zh-CN"/>
        </w:rPr>
        <w:t>) identified explicitly</w:t>
      </w:r>
      <w:r w:rsidR="002C2560">
        <w:rPr>
          <w:rFonts w:ascii="Times New Roman" w:hAnsi="Times New Roman" w:cs="Times New Roman"/>
          <w:sz w:val="24"/>
          <w:szCs w:val="24"/>
          <w:lang w:eastAsia="zh-CN"/>
        </w:rPr>
        <w:t xml:space="preserve"> structural metho</w:t>
      </w:r>
      <w:r w:rsidR="008C5723">
        <w:rPr>
          <w:rFonts w:ascii="Times New Roman" w:hAnsi="Times New Roman" w:cs="Times New Roman"/>
          <w:sz w:val="24"/>
          <w:szCs w:val="24"/>
          <w:lang w:eastAsia="zh-CN"/>
        </w:rPr>
        <w:t>ds, and bioengineering methods, t</w:t>
      </w:r>
      <w:r w:rsidR="00B42B0C">
        <w:rPr>
          <w:rFonts w:ascii="Times New Roman" w:hAnsi="Times New Roman" w:cs="Times New Roman"/>
          <w:sz w:val="24"/>
          <w:szCs w:val="24"/>
          <w:lang w:eastAsia="zh-CN"/>
        </w:rPr>
        <w:t>wo (2</w:t>
      </w:r>
      <w:r w:rsidRPr="008F3F37">
        <w:rPr>
          <w:rFonts w:ascii="Times New Roman" w:hAnsi="Times New Roman" w:cs="Times New Roman"/>
          <w:sz w:val="24"/>
          <w:szCs w:val="24"/>
          <w:lang w:eastAsia="zh-CN"/>
        </w:rPr>
        <w:t xml:space="preserve">) </w:t>
      </w:r>
      <w:r w:rsidR="00B42B0C">
        <w:rPr>
          <w:rFonts w:ascii="Times New Roman" w:hAnsi="Times New Roman" w:cs="Times New Roman"/>
          <w:sz w:val="24"/>
          <w:szCs w:val="24"/>
          <w:lang w:eastAsia="zh-CN"/>
        </w:rPr>
        <w:lastRenderedPageBreak/>
        <w:t xml:space="preserve">explicitly </w:t>
      </w:r>
      <w:r w:rsidRPr="008F3F37">
        <w:rPr>
          <w:rFonts w:ascii="Times New Roman" w:hAnsi="Times New Roman" w:cs="Times New Roman"/>
          <w:sz w:val="24"/>
          <w:szCs w:val="24"/>
          <w:lang w:eastAsia="zh-CN"/>
        </w:rPr>
        <w:t xml:space="preserve">identified </w:t>
      </w:r>
      <w:r w:rsidR="00B42B0C">
        <w:rPr>
          <w:rFonts w:ascii="Times New Roman" w:hAnsi="Times New Roman" w:cs="Times New Roman"/>
          <w:sz w:val="24"/>
          <w:szCs w:val="24"/>
          <w:lang w:eastAsia="zh-CN"/>
        </w:rPr>
        <w:t>bioengineering methods</w:t>
      </w:r>
      <w:r w:rsidR="008C5723">
        <w:rPr>
          <w:rFonts w:ascii="Times New Roman" w:hAnsi="Times New Roman" w:cs="Times New Roman"/>
          <w:sz w:val="24"/>
          <w:szCs w:val="24"/>
          <w:lang w:eastAsia="zh-CN"/>
        </w:rPr>
        <w:t>, e</w:t>
      </w:r>
      <w:r w:rsidR="00334660">
        <w:rPr>
          <w:rFonts w:ascii="Times New Roman" w:hAnsi="Times New Roman" w:cs="Times New Roman"/>
          <w:sz w:val="24"/>
          <w:szCs w:val="24"/>
          <w:lang w:eastAsia="zh-CN"/>
        </w:rPr>
        <w:t>ight (8</w:t>
      </w:r>
      <w:r w:rsidRPr="008F3F37">
        <w:rPr>
          <w:rFonts w:ascii="Times New Roman" w:hAnsi="Times New Roman" w:cs="Times New Roman"/>
          <w:sz w:val="24"/>
          <w:szCs w:val="24"/>
          <w:lang w:eastAsia="zh-CN"/>
        </w:rPr>
        <w:t xml:space="preserve">) identified </w:t>
      </w:r>
      <w:r w:rsidR="0053537D">
        <w:rPr>
          <w:rFonts w:ascii="Times New Roman" w:hAnsi="Times New Roman" w:cs="Times New Roman"/>
          <w:sz w:val="24"/>
          <w:szCs w:val="24"/>
          <w:lang w:eastAsia="zh-CN"/>
        </w:rPr>
        <w:t xml:space="preserve">soil management practices, and </w:t>
      </w:r>
      <w:r w:rsidR="0075058D">
        <w:rPr>
          <w:rFonts w:ascii="Times New Roman" w:hAnsi="Times New Roman" w:cs="Times New Roman"/>
          <w:sz w:val="24"/>
          <w:szCs w:val="24"/>
          <w:lang w:eastAsia="zh-CN"/>
        </w:rPr>
        <w:t>ten (</w:t>
      </w:r>
      <w:r w:rsidR="0053537D">
        <w:rPr>
          <w:rFonts w:ascii="Times New Roman" w:hAnsi="Times New Roman" w:cs="Times New Roman"/>
          <w:sz w:val="24"/>
          <w:szCs w:val="24"/>
          <w:lang w:eastAsia="zh-CN"/>
        </w:rPr>
        <w:t>10</w:t>
      </w:r>
      <w:r w:rsidRPr="008F3F37">
        <w:rPr>
          <w:rFonts w:ascii="Times New Roman" w:hAnsi="Times New Roman" w:cs="Times New Roman"/>
          <w:sz w:val="24"/>
          <w:szCs w:val="24"/>
          <w:lang w:eastAsia="zh-CN"/>
        </w:rPr>
        <w:t xml:space="preserve">) </w:t>
      </w:r>
      <w:r w:rsidR="00334660" w:rsidRPr="008F3F37">
        <w:rPr>
          <w:rFonts w:ascii="Times New Roman" w:hAnsi="Times New Roman" w:cs="Times New Roman"/>
          <w:sz w:val="24"/>
          <w:szCs w:val="24"/>
          <w:lang w:eastAsia="zh-CN"/>
        </w:rPr>
        <w:t xml:space="preserve">articles </w:t>
      </w:r>
      <w:r w:rsidR="00334660">
        <w:rPr>
          <w:rFonts w:ascii="Times New Roman" w:hAnsi="Times New Roman" w:cs="Times New Roman"/>
          <w:sz w:val="24"/>
          <w:szCs w:val="24"/>
          <w:lang w:eastAsia="zh-CN"/>
        </w:rPr>
        <w:t>explicitly</w:t>
      </w:r>
      <w:r w:rsidR="0053537D">
        <w:rPr>
          <w:rFonts w:ascii="Times New Roman" w:hAnsi="Times New Roman" w:cs="Times New Roman"/>
          <w:sz w:val="24"/>
          <w:szCs w:val="24"/>
          <w:lang w:eastAsia="zh-CN"/>
        </w:rPr>
        <w:t xml:space="preserve"> </w:t>
      </w:r>
      <w:r w:rsidRPr="008F3F37">
        <w:rPr>
          <w:rFonts w:ascii="Times New Roman" w:hAnsi="Times New Roman" w:cs="Times New Roman"/>
          <w:sz w:val="24"/>
          <w:szCs w:val="24"/>
          <w:lang w:eastAsia="zh-CN"/>
        </w:rPr>
        <w:t xml:space="preserve">identified </w:t>
      </w:r>
      <w:r w:rsidR="0053537D">
        <w:rPr>
          <w:rFonts w:ascii="Times New Roman" w:hAnsi="Times New Roman" w:cs="Times New Roman"/>
          <w:sz w:val="24"/>
          <w:szCs w:val="24"/>
          <w:lang w:eastAsia="zh-CN"/>
        </w:rPr>
        <w:t>policy and community based approaches.</w:t>
      </w:r>
    </w:p>
    <w:p w:rsidR="00F21C8F" w:rsidRPr="008F3F37" w:rsidRDefault="00F21C8F" w:rsidP="008F3F37">
      <w:pPr>
        <w:spacing w:line="360" w:lineRule="auto"/>
        <w:jc w:val="both"/>
        <w:rPr>
          <w:rFonts w:ascii="Times New Roman" w:hAnsi="Times New Roman" w:cs="Times New Roman"/>
          <w:sz w:val="24"/>
          <w:szCs w:val="24"/>
          <w:lang w:eastAsia="zh-CN"/>
        </w:rPr>
      </w:pPr>
      <w:r w:rsidRPr="008F3F37">
        <w:rPr>
          <w:rFonts w:ascii="Times New Roman" w:hAnsi="Times New Roman" w:cs="Times New Roman"/>
          <w:sz w:val="24"/>
          <w:szCs w:val="24"/>
          <w:lang w:eastAsia="zh-CN"/>
        </w:rPr>
        <w:t>Table 2: Papers considered</w:t>
      </w:r>
    </w:p>
    <w:tbl>
      <w:tblPr>
        <w:tblStyle w:val="PlainTable2"/>
        <w:tblW w:w="0" w:type="auto"/>
        <w:tblLook w:val="04A0"/>
      </w:tblPr>
      <w:tblGrid>
        <w:gridCol w:w="720"/>
        <w:gridCol w:w="3870"/>
        <w:gridCol w:w="4760"/>
      </w:tblGrid>
      <w:tr w:rsidR="00913051" w:rsidRPr="008F3F37" w:rsidTr="00370230">
        <w:trPr>
          <w:cnfStyle w:val="1000000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S/N                                                                    </w:t>
            </w:r>
          </w:p>
        </w:tc>
        <w:tc>
          <w:tcPr>
            <w:tcW w:w="3870" w:type="dxa"/>
          </w:tcPr>
          <w:p w:rsidR="00913051" w:rsidRPr="008F3F37" w:rsidRDefault="00913051" w:rsidP="008F3F37">
            <w:pPr>
              <w:spacing w:line="360" w:lineRule="auto"/>
              <w:jc w:val="both"/>
              <w:cnfStyle w:val="100000000000"/>
              <w:rPr>
                <w:rFonts w:ascii="Times New Roman" w:hAnsi="Times New Roman" w:cs="Times New Roman"/>
                <w:b w:val="0"/>
                <w:sz w:val="24"/>
                <w:szCs w:val="24"/>
              </w:rPr>
            </w:pPr>
            <w:r w:rsidRPr="008F3F37">
              <w:rPr>
                <w:rFonts w:ascii="Times New Roman" w:hAnsi="Times New Roman" w:cs="Times New Roman"/>
                <w:b w:val="0"/>
                <w:sz w:val="24"/>
                <w:szCs w:val="24"/>
              </w:rPr>
              <w:t xml:space="preserve">Papers considered                                       </w:t>
            </w:r>
          </w:p>
        </w:tc>
        <w:tc>
          <w:tcPr>
            <w:tcW w:w="4760" w:type="dxa"/>
          </w:tcPr>
          <w:p w:rsidR="00913051" w:rsidRPr="008F3F37" w:rsidRDefault="00913051" w:rsidP="008F3F37">
            <w:pPr>
              <w:spacing w:line="360" w:lineRule="auto"/>
              <w:jc w:val="both"/>
              <w:cnfStyle w:val="100000000000"/>
              <w:rPr>
                <w:rFonts w:ascii="Times New Roman" w:hAnsi="Times New Roman" w:cs="Times New Roman"/>
                <w:b w:val="0"/>
                <w:sz w:val="24"/>
                <w:szCs w:val="24"/>
              </w:rPr>
            </w:pPr>
            <w:r w:rsidRPr="008F3F37">
              <w:rPr>
                <w:rFonts w:ascii="Times New Roman" w:hAnsi="Times New Roman" w:cs="Times New Roman"/>
                <w:b w:val="0"/>
                <w:sz w:val="24"/>
                <w:szCs w:val="24"/>
              </w:rPr>
              <w:t>Erosion control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1                                                                                                           </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Blanco-Canqui et al., 2015</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Vegetative methods, Policy and Community-Based Approaches, Bioengineering Methods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2                        </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 xml:space="preserve"> Fiener et al., 2011</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Vegetative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3                        </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Lal, 2018</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Vegetative methods, 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4 </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Chazdon et al., 2017</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Vegetative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5</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Liu et al., 2008</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Vegetative methods, 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6</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Morgan (2005)</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Structural methods, Policy and Community-Based Approaches, Bioengineering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7</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Koerner, 2012</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8</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 xml:space="preserve">Sharda et al., 2013                                             </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9</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Mishra et al., 2019</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10</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Nyssen et al., 2004</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11</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Gray &amp; Sotir, 2018</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12</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Das, 2010</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Structural methods, Bioengineering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13</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Schiechtl and Stern, 1997</w:t>
            </w:r>
          </w:p>
        </w:tc>
        <w:tc>
          <w:tcPr>
            <w:tcW w:w="4760" w:type="dxa"/>
          </w:tcPr>
          <w:p w:rsidR="00913051" w:rsidRPr="008F3F37" w:rsidRDefault="00913051" w:rsidP="008F3F37">
            <w:pPr>
              <w:pStyle w:val="Heading3"/>
              <w:numPr>
                <w:ilvl w:val="0"/>
                <w:numId w:val="0"/>
              </w:numPr>
              <w:spacing w:line="360" w:lineRule="auto"/>
              <w:ind w:left="720" w:hanging="720"/>
              <w:jc w:val="both"/>
              <w:outlineLvl w:val="2"/>
              <w:cnfStyle w:val="000000100000"/>
              <w:rPr>
                <w:szCs w:val="24"/>
              </w:rPr>
            </w:pPr>
            <w:r w:rsidRPr="008F3F37">
              <w:rPr>
                <w:szCs w:val="24"/>
              </w:rPr>
              <w:t>Bioengineering Methods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14</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Li and Eddleman, 2002</w:t>
            </w:r>
          </w:p>
        </w:tc>
        <w:tc>
          <w:tcPr>
            <w:tcW w:w="4760" w:type="dxa"/>
          </w:tcPr>
          <w:p w:rsidR="00913051" w:rsidRPr="008F3F37" w:rsidRDefault="00913051" w:rsidP="008F3F37">
            <w:pPr>
              <w:pStyle w:val="Heading3"/>
              <w:numPr>
                <w:ilvl w:val="2"/>
                <w:numId w:val="0"/>
              </w:numPr>
              <w:spacing w:line="360" w:lineRule="auto"/>
              <w:ind w:left="720" w:hanging="720"/>
              <w:jc w:val="both"/>
              <w:outlineLvl w:val="2"/>
              <w:cnfStyle w:val="000000000000"/>
              <w:rPr>
                <w:szCs w:val="24"/>
              </w:rPr>
            </w:pPr>
            <w:r w:rsidRPr="008F3F37">
              <w:rPr>
                <w:szCs w:val="24"/>
              </w:rPr>
              <w:t>Bioengineering Methods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15</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Montgomery, 2007</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16</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Derpsch et al., 2010</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17</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Kaspar &amp; Singer, 2011</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18</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Lehmann et al., 2011</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19</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Diacono &amp; Montemurro, 2010</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 xml:space="preserve">20 </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Thapa et al., 1999</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21</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Vanlauwe et al., 2010</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Soil management practices</w:t>
            </w:r>
          </w:p>
        </w:tc>
      </w:tr>
      <w:tr w:rsidR="002E4190" w:rsidRPr="008F3F37" w:rsidTr="00370230">
        <w:tc>
          <w:tcPr>
            <w:cnfStyle w:val="001000000000"/>
            <w:tcW w:w="720" w:type="dxa"/>
          </w:tcPr>
          <w:p w:rsidR="002E4190" w:rsidRPr="009E1630" w:rsidRDefault="002E4190" w:rsidP="008F3F37">
            <w:pPr>
              <w:spacing w:line="360" w:lineRule="auto"/>
              <w:jc w:val="both"/>
              <w:rPr>
                <w:rFonts w:ascii="Times New Roman" w:hAnsi="Times New Roman" w:cs="Times New Roman"/>
                <w:b w:val="0"/>
                <w:sz w:val="24"/>
                <w:szCs w:val="24"/>
              </w:rPr>
            </w:pPr>
            <w:r w:rsidRPr="009E1630">
              <w:rPr>
                <w:rFonts w:ascii="Times New Roman" w:hAnsi="Times New Roman" w:cs="Times New Roman"/>
                <w:b w:val="0"/>
                <w:sz w:val="24"/>
                <w:szCs w:val="24"/>
              </w:rPr>
              <w:lastRenderedPageBreak/>
              <w:t xml:space="preserve">22       </w:t>
            </w:r>
          </w:p>
        </w:tc>
        <w:tc>
          <w:tcPr>
            <w:tcW w:w="3870" w:type="dxa"/>
          </w:tcPr>
          <w:p w:rsidR="002E4190" w:rsidRPr="008F3F37" w:rsidRDefault="002E4190" w:rsidP="008F3F37">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 Lal, 2015</w:t>
            </w:r>
          </w:p>
        </w:tc>
        <w:tc>
          <w:tcPr>
            <w:tcW w:w="4760" w:type="dxa"/>
          </w:tcPr>
          <w:p w:rsidR="002E4190" w:rsidRPr="008F3F37" w:rsidRDefault="009E1630" w:rsidP="008F3F37">
            <w:pPr>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Soil management practices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3</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Wani et al., 2008</w:t>
            </w:r>
          </w:p>
        </w:tc>
        <w:tc>
          <w:tcPr>
            <w:tcW w:w="4760" w:type="dxa"/>
          </w:tcPr>
          <w:p w:rsidR="00913051" w:rsidRPr="008F3F37" w:rsidRDefault="00913051" w:rsidP="008F3F37">
            <w:pPr>
              <w:pStyle w:val="Heading3"/>
              <w:numPr>
                <w:ilvl w:val="0"/>
                <w:numId w:val="0"/>
              </w:numPr>
              <w:spacing w:line="360" w:lineRule="auto"/>
              <w:ind w:left="720" w:hanging="720"/>
              <w:jc w:val="both"/>
              <w:outlineLvl w:val="2"/>
              <w:cnfStyle w:val="000000100000"/>
              <w:rPr>
                <w:szCs w:val="24"/>
              </w:rPr>
            </w:pPr>
            <w:r w:rsidRPr="008F3F37">
              <w:rPr>
                <w:szCs w:val="24"/>
              </w:rPr>
              <w:t>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4</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Garg et al., 2012</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5</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Wunder et al., 2008</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6</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Pascual et al., 2014</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rPr>
          <w:cnfStyle w:val="000000100000"/>
        </w:trPr>
        <w:tc>
          <w:tcPr>
            <w:cnfStyle w:val="001000000000"/>
            <w:tcW w:w="720" w:type="dxa"/>
          </w:tcPr>
          <w:p w:rsidR="00913051" w:rsidRPr="008F3F37" w:rsidRDefault="009E1630" w:rsidP="008F3F37">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27</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Ali et al., 2014</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8</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Sparovek et al., 2010</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2</w:t>
            </w:r>
            <w:r w:rsidR="009E1630">
              <w:rPr>
                <w:rFonts w:ascii="Times New Roman" w:hAnsi="Times New Roman" w:cs="Times New Roman"/>
                <w:b w:val="0"/>
                <w:sz w:val="24"/>
                <w:szCs w:val="24"/>
              </w:rPr>
              <w:t>9</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Tiffen et al., 1994</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c>
          <w:tcPr>
            <w:cnfStyle w:val="001000000000"/>
            <w:tcW w:w="720" w:type="dxa"/>
          </w:tcPr>
          <w:p w:rsidR="00913051" w:rsidRPr="008F3F37" w:rsidRDefault="009E1630" w:rsidP="008F3F37">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30</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Garrity et al., 2002</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rPr>
          <w:cnfStyle w:val="000000100000"/>
        </w:trPr>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3</w:t>
            </w:r>
            <w:r w:rsidR="009E1630">
              <w:rPr>
                <w:rFonts w:ascii="Times New Roman" w:hAnsi="Times New Roman" w:cs="Times New Roman"/>
                <w:b w:val="0"/>
                <w:sz w:val="24"/>
                <w:szCs w:val="24"/>
              </w:rPr>
              <w:t>1</w:t>
            </w:r>
          </w:p>
        </w:tc>
        <w:tc>
          <w:tcPr>
            <w:tcW w:w="387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Reij et al., 2005</w:t>
            </w:r>
          </w:p>
        </w:tc>
        <w:tc>
          <w:tcPr>
            <w:tcW w:w="4760" w:type="dxa"/>
          </w:tcPr>
          <w:p w:rsidR="00913051" w:rsidRPr="008F3F37" w:rsidRDefault="00913051" w:rsidP="008F3F37">
            <w:pPr>
              <w:spacing w:line="360" w:lineRule="auto"/>
              <w:jc w:val="both"/>
              <w:cnfStyle w:val="0000001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r w:rsidR="00913051" w:rsidRPr="008F3F37" w:rsidTr="00370230">
        <w:tc>
          <w:tcPr>
            <w:cnfStyle w:val="001000000000"/>
            <w:tcW w:w="720" w:type="dxa"/>
          </w:tcPr>
          <w:p w:rsidR="00913051" w:rsidRPr="008F3F37" w:rsidRDefault="00913051" w:rsidP="008F3F37">
            <w:pPr>
              <w:spacing w:line="360" w:lineRule="auto"/>
              <w:jc w:val="both"/>
              <w:rPr>
                <w:rFonts w:ascii="Times New Roman" w:hAnsi="Times New Roman" w:cs="Times New Roman"/>
                <w:b w:val="0"/>
                <w:sz w:val="24"/>
                <w:szCs w:val="24"/>
              </w:rPr>
            </w:pPr>
            <w:r w:rsidRPr="008F3F37">
              <w:rPr>
                <w:rFonts w:ascii="Times New Roman" w:hAnsi="Times New Roman" w:cs="Times New Roman"/>
                <w:b w:val="0"/>
                <w:sz w:val="24"/>
                <w:szCs w:val="24"/>
              </w:rPr>
              <w:t>3</w:t>
            </w:r>
            <w:r w:rsidR="009E1630">
              <w:rPr>
                <w:rFonts w:ascii="Times New Roman" w:hAnsi="Times New Roman" w:cs="Times New Roman"/>
                <w:b w:val="0"/>
                <w:sz w:val="24"/>
                <w:szCs w:val="24"/>
              </w:rPr>
              <w:t>2</w:t>
            </w:r>
          </w:p>
        </w:tc>
        <w:tc>
          <w:tcPr>
            <w:tcW w:w="387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Pretty et al., 2010</w:t>
            </w:r>
          </w:p>
        </w:tc>
        <w:tc>
          <w:tcPr>
            <w:tcW w:w="4760" w:type="dxa"/>
          </w:tcPr>
          <w:p w:rsidR="00913051" w:rsidRPr="008F3F37" w:rsidRDefault="00913051" w:rsidP="008F3F37">
            <w:pPr>
              <w:spacing w:line="360" w:lineRule="auto"/>
              <w:jc w:val="both"/>
              <w:cnfStyle w:val="000000000000"/>
              <w:rPr>
                <w:rFonts w:ascii="Times New Roman" w:hAnsi="Times New Roman" w:cs="Times New Roman"/>
                <w:sz w:val="24"/>
                <w:szCs w:val="24"/>
              </w:rPr>
            </w:pPr>
            <w:r w:rsidRPr="008F3F37">
              <w:rPr>
                <w:rFonts w:ascii="Times New Roman" w:hAnsi="Times New Roman" w:cs="Times New Roman"/>
                <w:sz w:val="24"/>
                <w:szCs w:val="24"/>
              </w:rPr>
              <w:t>Policy and Community-Based Approaches</w:t>
            </w:r>
          </w:p>
        </w:tc>
      </w:tr>
    </w:tbl>
    <w:p w:rsidR="00913051" w:rsidRPr="008F3F37" w:rsidRDefault="00913051" w:rsidP="008F3F37">
      <w:pPr>
        <w:spacing w:line="360" w:lineRule="auto"/>
        <w:jc w:val="both"/>
        <w:rPr>
          <w:rFonts w:ascii="Times New Roman" w:hAnsi="Times New Roman" w:cs="Times New Roman"/>
          <w:sz w:val="24"/>
          <w:szCs w:val="24"/>
          <w:lang w:eastAsia="zh-CN"/>
        </w:rPr>
      </w:pPr>
    </w:p>
    <w:p w:rsidR="003D4CC7" w:rsidRPr="008F3F37" w:rsidRDefault="003D4CC7" w:rsidP="008F3F37">
      <w:pPr>
        <w:pStyle w:val="Heading3"/>
        <w:spacing w:line="360" w:lineRule="auto"/>
        <w:jc w:val="both"/>
        <w:rPr>
          <w:szCs w:val="24"/>
        </w:rPr>
      </w:pPr>
      <w:r w:rsidRPr="008F3F37">
        <w:rPr>
          <w:szCs w:val="24"/>
        </w:rPr>
        <w:t> Vegetative Methods</w:t>
      </w:r>
    </w:p>
    <w:p w:rsidR="006249E0" w:rsidRPr="008F3F37" w:rsidRDefault="006249E0" w:rsidP="008F3F37">
      <w:pPr>
        <w:pStyle w:val="Heading3"/>
        <w:numPr>
          <w:ilvl w:val="0"/>
          <w:numId w:val="0"/>
        </w:numPr>
        <w:spacing w:line="360" w:lineRule="auto"/>
        <w:jc w:val="both"/>
        <w:rPr>
          <w:szCs w:val="24"/>
        </w:rPr>
      </w:pPr>
      <w:r w:rsidRPr="008F3F37">
        <w:rPr>
          <w:szCs w:val="24"/>
        </w:rPr>
        <w:t>Vegetative erosion control practices are among the most widely used and ecologically friendly methods of minimizing soil erosion in the 21st century. Through the utilization of the natural properties of vegetation to anchor soil, reduce surface runoff, and enhance soil health, vegetative practices are being found to be extremely effective in both non-agricultural and agricultural settings. Some of the vegetative measures that are being employed include cover cropping, grassed waterways, agroforestry, reforestation, and vegetative buffers. These practices not only address the direct problem of losing soil but also assist in the long-term environmental benefits, such as increased soil fertility, carbon sequestration, and biodiversity conservation. The effectiveness of vegetative practices has been extensively studied, with research pointing to their potential to significantly reduce erosion rates while providing additional ecosystem services.</w:t>
      </w:r>
    </w:p>
    <w:p w:rsidR="006249E0" w:rsidRPr="008F3F37" w:rsidRDefault="006249E0" w:rsidP="008F3F37">
      <w:pPr>
        <w:pStyle w:val="Heading3"/>
        <w:numPr>
          <w:ilvl w:val="0"/>
          <w:numId w:val="0"/>
        </w:numPr>
        <w:spacing w:line="360" w:lineRule="auto"/>
        <w:jc w:val="both"/>
        <w:rPr>
          <w:szCs w:val="24"/>
        </w:rPr>
      </w:pPr>
      <w:r w:rsidRPr="008F3F37">
        <w:rPr>
          <w:szCs w:val="24"/>
        </w:rPr>
        <w:t xml:space="preserve">One of the most studied vegetative practices is the use of cover crops, crops grown primarily to enrich and shade the soil rather than harvest. Cover crops, such as legumes, grasses, and brassicas, are grown between cash crops or in fallow periods to permit ground cover, reduce soil exposure to erosive forces, and add soil organic matter. Cover crops can reduce soil erosion by up to 90% compared to bare soil, primarily via rainfall interception, surface runoff reduction, and soil structural improvement through root growth and addition of organic matter, according to </w:t>
      </w:r>
      <w:r w:rsidRPr="008F3F37">
        <w:rPr>
          <w:szCs w:val="24"/>
        </w:rPr>
        <w:lastRenderedPageBreak/>
        <w:t>Blanco-Canqui et al. (2015). For example, legume cover crops like clover and vetch have nitrogen-fixing properties that enhance the soil's fertility and reduce the application of synthetic fertilizers. Similarly, oats and rye are some of the grasses that grow dense root systems, which bind soil particles together and render them less susceptible to wind and water erosion. The effectiveness of cover crops, however, depends on factors such as the selection of species, density of planting, and management. In low rainfall areas, for instance, cover crops will compete with cash crops for water, and hence effective planning and irrigation management must be in place.</w:t>
      </w:r>
    </w:p>
    <w:p w:rsidR="006249E0" w:rsidRPr="008F3F37" w:rsidRDefault="006249E0" w:rsidP="008F3F37">
      <w:pPr>
        <w:pStyle w:val="Heading3"/>
        <w:numPr>
          <w:ilvl w:val="0"/>
          <w:numId w:val="0"/>
        </w:numPr>
        <w:spacing w:line="360" w:lineRule="auto"/>
        <w:jc w:val="both"/>
        <w:rPr>
          <w:szCs w:val="24"/>
        </w:rPr>
      </w:pPr>
      <w:r w:rsidRPr="008F3F37">
        <w:rPr>
          <w:szCs w:val="24"/>
        </w:rPr>
        <w:t>Another important vegetative practice is the establishment of grassed waterways, which are natural or constructed channels vegetated with grasses to convey runoff water without erosion. Grassed waterways are extremely beneficial in agricultural landscapes where concentrated flow can trigger gully formation. These water courses use grasses such as Bermuda grass and fescue, which slow down runoff, reduce its erosive power, and filter sediment before it enters downstream water bodies. A paper by Fiener et al. (2011) highlights that grassed waterways can reduce sediment loss by up to 80% in agricultural watersheds, and as a result, are a low-cost and low-maintenance solution for erosion control. However, the success of grassed waterways is dependent on proper design, i.e., appropriate channel size, slope gradients, and grass species selection. Lack of proper maintenance, i.e.,</w:t>
      </w:r>
    </w:p>
    <w:p w:rsidR="006249E0" w:rsidRPr="008F3F37" w:rsidRDefault="006249E0" w:rsidP="008F3F37">
      <w:pPr>
        <w:pStyle w:val="Heading3"/>
        <w:numPr>
          <w:ilvl w:val="0"/>
          <w:numId w:val="0"/>
        </w:numPr>
        <w:spacing w:line="360" w:lineRule="auto"/>
        <w:jc w:val="both"/>
        <w:rPr>
          <w:szCs w:val="24"/>
        </w:rPr>
      </w:pPr>
      <w:r w:rsidRPr="008F3F37">
        <w:rPr>
          <w:szCs w:val="24"/>
        </w:rPr>
        <w:t xml:space="preserve">Agroforestry, the integration of trees and shrubs into agricultural systems, is another successful vegetative strategy for erosion control. Agroforestry systems, i.e., alley cropping, windbreaks, and silvopasture, have multiple benefits, from soil stabilization and microclimate regulation to enhanced biodiversity. Trees and bushes in agroforestry systems reduce erosion by rainfall interception, reduction in wind speed, and soil stabilization with their expansive root systems. A study by Lal (2018) confirmed that agroforestry systems can reduce soil erosion by up to 60% in the tropics, where intense rainfall and steep slopes heighten the likelihood of erosion. For example, in Central America, alley cropping with nitrogen-fixing trees like Gliricidia sepium has been shown to reduce soil loss by a great amount while increasing crop yields. Similarly, windbreaks, rows of trees planted perpendicular to prevailing winds, have been effective in reducing wind erosion in semi-arid and arid regions. Although they are advantageous, </w:t>
      </w:r>
      <w:r w:rsidRPr="008F3F37">
        <w:rPr>
          <w:szCs w:val="24"/>
        </w:rPr>
        <w:lastRenderedPageBreak/>
        <w:t>agroforestry systems can be limited by land tenure, technical expertise deficiencies, and the long duration of time for trees to mature.</w:t>
      </w:r>
    </w:p>
    <w:p w:rsidR="006249E0" w:rsidRPr="008F3F37" w:rsidRDefault="006249E0" w:rsidP="008F3F37">
      <w:pPr>
        <w:pStyle w:val="Heading3"/>
        <w:numPr>
          <w:ilvl w:val="0"/>
          <w:numId w:val="0"/>
        </w:numPr>
        <w:spacing w:line="360" w:lineRule="auto"/>
        <w:jc w:val="both"/>
        <w:rPr>
          <w:szCs w:val="24"/>
        </w:rPr>
      </w:pPr>
      <w:r w:rsidRPr="008F3F37">
        <w:rPr>
          <w:szCs w:val="24"/>
        </w:rPr>
        <w:t>Reforestation and afforestation are also major vegetative erosion control methods, particularly in degraded landscapes and deforested areas. Reforestation is the replanting of trees in places where the forests have been cleared, whereas afforestation is planting trees where they did not previously exist. Both reforestation and afforestation restore vegetative cover, hold slopes in place, and decrease surface runoff. A meta-analysis conducted by Chazdon et al. (2017) established that tropical reforestation projects can lower soil erosion by as much as 95% within ten years of implantation. For instance, in the Loess Plateau of China, large-scale reforestation has transformed highly eroded landscapes into productive and stable ecosystems. However, the success of reforestation and afforestation is dependent upon the selection of appropriate tree species, site preparation, and long-term management. In some cases, introduction of exotic species or monoculture plantations can create unexpected ecological impacts, such as reduced biodiversity and altered water cycles.</w:t>
      </w:r>
    </w:p>
    <w:p w:rsidR="006249E0" w:rsidRPr="008F3F37" w:rsidRDefault="006249E0" w:rsidP="008F3F37">
      <w:pPr>
        <w:pStyle w:val="Heading3"/>
        <w:numPr>
          <w:ilvl w:val="0"/>
          <w:numId w:val="0"/>
        </w:numPr>
        <w:spacing w:line="360" w:lineRule="auto"/>
        <w:jc w:val="both"/>
        <w:rPr>
          <w:szCs w:val="24"/>
        </w:rPr>
      </w:pPr>
      <w:r w:rsidRPr="008F3F37">
        <w:rPr>
          <w:szCs w:val="24"/>
        </w:rPr>
        <w:t>Vegetative buffers, such as filter strips and riparian buffers, are another very effective vegetative erosion control method, particularly near water bodies. Riparian buffers are strips of vegetation along rivers and streams that filter sediment, nutrients, and pollutants from runoff before it reaches the water. Filter strips, which are narrower versions of the same idea, are used in fields to trap sediment and slow runoff. Research by Liu et al. (2008) demonstrates that the implementation of riparian buffers can reduce stream sediment loads by up to 70%, along with wildlife habitat creation and water quality improvement. The effectiveness of vegetative buffers depends on their width, vegetation type, and management. For example, buffers composed of many native species are generally more effective than monocultures because they produce greater root density and biomass.</w:t>
      </w:r>
    </w:p>
    <w:p w:rsidR="006249E0" w:rsidRPr="008F3F37" w:rsidRDefault="006249E0" w:rsidP="008F3F37">
      <w:pPr>
        <w:pStyle w:val="Heading3"/>
        <w:numPr>
          <w:ilvl w:val="0"/>
          <w:numId w:val="0"/>
        </w:numPr>
        <w:spacing w:line="360" w:lineRule="auto"/>
        <w:jc w:val="both"/>
        <w:rPr>
          <w:szCs w:val="24"/>
        </w:rPr>
      </w:pPr>
      <w:r w:rsidRPr="008F3F37">
        <w:rPr>
          <w:szCs w:val="24"/>
        </w:rPr>
        <w:t xml:space="preserve">In conclusion, vegetative erosion-control practices are a multifunctional and sustainable approach to soil erosion in the 21st century. Vegetative practices capitalize on the inherent ability of vegetation to stabilize soil, reduce runoff, and enhance ecosystem health, so they can be employed over a wide range of environments and land uses. While the effectiveness of vegetative practices has been well documented, their success is dependent upon careful planning, </w:t>
      </w:r>
      <w:r w:rsidRPr="008F3F37">
        <w:rPr>
          <w:szCs w:val="24"/>
        </w:rPr>
        <w:lastRenderedPageBreak/>
        <w:t>species selection, and management. Future studies must focus on optimizing the design and implementation of vegetative measures, particularly in the context of climate change and land-use pressure escalation. By integrating vegetative methods with other forms of erosion control, land management systems that are more resilient and sustainable can be achieved.</w:t>
      </w:r>
    </w:p>
    <w:p w:rsidR="003D4CC7" w:rsidRPr="008F3F37" w:rsidRDefault="003D4CC7" w:rsidP="008F3F37">
      <w:pPr>
        <w:pStyle w:val="Heading3"/>
        <w:spacing w:line="360" w:lineRule="auto"/>
        <w:jc w:val="both"/>
        <w:rPr>
          <w:szCs w:val="24"/>
        </w:rPr>
      </w:pPr>
      <w:r w:rsidRPr="008F3F37">
        <w:rPr>
          <w:szCs w:val="24"/>
        </w:rPr>
        <w:t>Structural Methods</w:t>
      </w:r>
    </w:p>
    <w:p w:rsidR="003E0597" w:rsidRPr="008F3F37" w:rsidRDefault="003E0597" w:rsidP="008F3F37">
      <w:pPr>
        <w:pStyle w:val="Heading3"/>
        <w:numPr>
          <w:ilvl w:val="0"/>
          <w:numId w:val="0"/>
        </w:numPr>
        <w:spacing w:line="360" w:lineRule="auto"/>
        <w:jc w:val="both"/>
        <w:rPr>
          <w:szCs w:val="24"/>
        </w:rPr>
      </w:pPr>
      <w:r w:rsidRPr="008F3F37">
        <w:rPr>
          <w:szCs w:val="24"/>
        </w:rPr>
        <w:t>Structural control of erosion involves the implementation of physical barriers or landscape changes to prevent the migration of soil and regulate the passage of water. Structural control can be applied when vegetation cannot maintain the ground stable or in circumstances where extensive erosion is likely to cause immediate loss of infrastructure, agriculture, or ecosystems. During the 21st century, advancements in engineering, materials science, and geotechnical practice have significantly enhanced the efficiency and sustainability of structural erosion control methods. This section provides detailed descriptions of these methods, combining results and discussion to outline their applications, efficiency, and limitations.</w:t>
      </w:r>
    </w:p>
    <w:p w:rsidR="00AE70FB" w:rsidRPr="008F3F37" w:rsidRDefault="003E0597" w:rsidP="008F3F37">
      <w:pPr>
        <w:pStyle w:val="Heading4"/>
        <w:spacing w:line="360" w:lineRule="auto"/>
        <w:jc w:val="both"/>
      </w:pPr>
      <w:r w:rsidRPr="008F3F37">
        <w:t>Terracing</w:t>
      </w:r>
    </w:p>
    <w:p w:rsidR="003E0597" w:rsidRPr="008F3F37" w:rsidRDefault="003E0597" w:rsidP="008F3F37">
      <w:pPr>
        <w:pStyle w:val="Heading3"/>
        <w:numPr>
          <w:ilvl w:val="0"/>
          <w:numId w:val="0"/>
        </w:numPr>
        <w:spacing w:line="360" w:lineRule="auto"/>
        <w:jc w:val="both"/>
        <w:rPr>
          <w:szCs w:val="24"/>
        </w:rPr>
      </w:pPr>
      <w:r w:rsidRPr="008F3F37">
        <w:rPr>
          <w:szCs w:val="24"/>
        </w:rPr>
        <w:t>Terracing is one of the most traditional and prevalent structural methods of steep slope erosion control. It involves building a series of leveled platforms, or terraces, along the contour of the slope, which reduces the rate of surface runoff and allows water to infiltrate into the ground. Terraces are particularly valuable in agricultural fields, where they prevent soil erosion and improve water retention for plants. It has been shown by a study conducted by Morgan (2005) that terracing can cut soil erosion on steep slopes by as much as 90%, and thus it is an effective technique for sustainable land management. The construction of terraces involves huge amounts of labor and capital, and if designed or maintained incorrectly, can cause terraces to collapse and increase erosion. Advances in modern engineering techniques, such as the use of geosynthetic materials for terrace wall stabilization, during the 21st century have improved the efficiency and durability of terracing systems (Koerner, 2012).</w:t>
      </w:r>
    </w:p>
    <w:p w:rsidR="003E0597" w:rsidRPr="008F3F37" w:rsidRDefault="003E0597" w:rsidP="008F3F37">
      <w:pPr>
        <w:pStyle w:val="Heading4"/>
        <w:spacing w:line="360" w:lineRule="auto"/>
        <w:jc w:val="both"/>
      </w:pPr>
      <w:r w:rsidRPr="008F3F37">
        <w:t>Contour Bunding</w:t>
      </w:r>
    </w:p>
    <w:p w:rsidR="003E0597" w:rsidRPr="008F3F37" w:rsidRDefault="003E0597" w:rsidP="008F3F37">
      <w:pPr>
        <w:pStyle w:val="Heading3"/>
        <w:numPr>
          <w:ilvl w:val="0"/>
          <w:numId w:val="0"/>
        </w:numPr>
        <w:spacing w:line="360" w:lineRule="auto"/>
        <w:jc w:val="both"/>
        <w:rPr>
          <w:szCs w:val="24"/>
        </w:rPr>
      </w:pPr>
      <w:r w:rsidRPr="008F3F37">
        <w:rPr>
          <w:szCs w:val="24"/>
        </w:rPr>
        <w:lastRenderedPageBreak/>
        <w:t>Contour bunding involves the construction of small ridges or embankments along the contour lines of a slope to intercept and reduce surface flow. The technique is particularly well suited in semi-arid regions, where it harvests soil moisture and reduces erosion. It has been established by a study by Sharda et al. (2013) that bunding of contour reduced soil loss by 50-70% in Indian agriculture fields. Effective contour bunding requires proper designing and spacing along with upkeep over time to prevent breaches. During the last few years, the application of vegetative measures, i.e., planting grass or shrubs on the bunds, has enhanced the environmental benefits and sustainability of this method (Mishra et al., 2019).</w:t>
      </w:r>
    </w:p>
    <w:p w:rsidR="003E0597" w:rsidRPr="008F3F37" w:rsidRDefault="003E0597" w:rsidP="008F3F37">
      <w:pPr>
        <w:pStyle w:val="Heading4"/>
        <w:spacing w:line="360" w:lineRule="auto"/>
        <w:jc w:val="both"/>
      </w:pPr>
      <w:r w:rsidRPr="008F3F37">
        <w:t>Check Dams</w:t>
      </w:r>
    </w:p>
    <w:p w:rsidR="003E0597" w:rsidRPr="008F3F37" w:rsidRDefault="003E0597" w:rsidP="008F3F37">
      <w:pPr>
        <w:pStyle w:val="Heading3"/>
        <w:numPr>
          <w:ilvl w:val="0"/>
          <w:numId w:val="0"/>
        </w:numPr>
        <w:spacing w:line="360" w:lineRule="auto"/>
        <w:jc w:val="both"/>
        <w:rPr>
          <w:szCs w:val="24"/>
        </w:rPr>
      </w:pPr>
      <w:r w:rsidRPr="008F3F37">
        <w:rPr>
          <w:szCs w:val="24"/>
        </w:rPr>
        <w:t>Check dams are small, temporary or permanent structures built across streams or gullies to reduce the velocity of water flow, trap sediment, and prevent erosion. They are typically constructed from the materials found locally, such as rocks, logs, or concrete. Check dams have also widely been used in small watersheds and mountainous regions to stabilize stream channels and prevent gully erosion. Nyssen et al. (2004) reported that check dams in the Ethiopian highlands successfully restricted sediment transport and promoted rehabilitation of degraded land. But the effectiveness of check dams depends on their construction, placement, and maintenance. Check dams poorly constructed can collapse during heavy rainfall, leading to further erosion downstream. With the incorporation of geotextiles and other artificial materials in the 21st century, the strength and effectiveness of check dams have been improved (Gray &amp; Sotir, 2018).</w:t>
      </w:r>
    </w:p>
    <w:p w:rsidR="003E0597" w:rsidRPr="008F3F37" w:rsidRDefault="003E0597" w:rsidP="008F3F37">
      <w:pPr>
        <w:pStyle w:val="Heading4"/>
        <w:spacing w:line="360" w:lineRule="auto"/>
        <w:jc w:val="both"/>
      </w:pPr>
      <w:r w:rsidRPr="008F3F37">
        <w:t>Retaining Walls</w:t>
      </w:r>
    </w:p>
    <w:p w:rsidR="003E0597" w:rsidRPr="008F3F37" w:rsidRDefault="003E0597" w:rsidP="008F3F37">
      <w:pPr>
        <w:pStyle w:val="Heading3"/>
        <w:numPr>
          <w:ilvl w:val="0"/>
          <w:numId w:val="0"/>
        </w:numPr>
        <w:spacing w:line="360" w:lineRule="auto"/>
        <w:jc w:val="both"/>
        <w:rPr>
          <w:szCs w:val="24"/>
        </w:rPr>
      </w:pPr>
      <w:r w:rsidRPr="008F3F37">
        <w:rPr>
          <w:szCs w:val="24"/>
        </w:rPr>
        <w:t xml:space="preserve">Retaining walls are vertical walls built to retain soil and support slopes. They are used often in towns, on roadsides, and on building development sites where the slopes are likely to produce landslide or erosion. Retaining walls are constructed with a variety of materials including concrete, stone, wood, or gabions (wire mesh boxes filled with stones). The design of retaining walls considers factors such as soil classification, slope ratio, and hydraulic conditions in an effort to have stability and function. Das (2010) highlighted in a research the importance of proper drainage systems behind retaining walls to prevent water pressure buildup, leading to wall </w:t>
      </w:r>
      <w:r w:rsidRPr="008F3F37">
        <w:rPr>
          <w:szCs w:val="24"/>
        </w:rPr>
        <w:lastRenderedPageBreak/>
        <w:t>failure. Reinforced soil structures such as mechanically stabilized earth (MSE) walls have gained popularity in recent years due to their affordability and ability to be designed for different site conditions (Koerner, 2012).</w:t>
      </w:r>
    </w:p>
    <w:p w:rsidR="003E0597" w:rsidRPr="008F3F37" w:rsidRDefault="003E0597" w:rsidP="008F3F37">
      <w:pPr>
        <w:pStyle w:val="Heading4"/>
        <w:spacing w:line="360" w:lineRule="auto"/>
        <w:jc w:val="both"/>
      </w:pPr>
      <w:r w:rsidRPr="008F3F37">
        <w:t>Gabions</w:t>
      </w:r>
    </w:p>
    <w:p w:rsidR="003E0597" w:rsidRPr="008F3F37" w:rsidRDefault="003E0597" w:rsidP="008F3F37">
      <w:pPr>
        <w:pStyle w:val="Heading3"/>
        <w:numPr>
          <w:ilvl w:val="0"/>
          <w:numId w:val="0"/>
        </w:numPr>
        <w:spacing w:line="360" w:lineRule="auto"/>
        <w:jc w:val="both"/>
        <w:rPr>
          <w:szCs w:val="24"/>
        </w:rPr>
      </w:pPr>
      <w:r w:rsidRPr="008F3F37">
        <w:rPr>
          <w:szCs w:val="24"/>
        </w:rPr>
        <w:t>Gabions are wire mesh containers filled with rocks or other durable materials, used in slope stabilization, erosion prevention, and riverbank defense. They are particularly valuable where there is high water flow or where there is a requirement for flexibility to accommodate ground movement. Gabions have widespread use in riverbank stabilization projects, where they reduce flowing water's erosive effect and enable sediment to be caught. Gray and Sotir (2018) demonstrated in a study that gabion structures reduced riverbank erosion by up to 80% in most case studies in the United States. Gabions, however, require periodic maintenance to prevent damage due to corrosion or intrusion of debris. With the use of coated or stainless-steel wire mesh in the 21st century, the performance and lifespan of gabion structures have been improved (Mishra et al., 2019).</w:t>
      </w:r>
    </w:p>
    <w:p w:rsidR="003E0597" w:rsidRPr="008F3F37" w:rsidRDefault="003E0597" w:rsidP="008F3F37">
      <w:pPr>
        <w:pStyle w:val="Heading4"/>
        <w:spacing w:line="360" w:lineRule="auto"/>
        <w:jc w:val="both"/>
      </w:pPr>
      <w:r w:rsidRPr="008F3F37">
        <w:t>Geosynthetic Materials</w:t>
      </w:r>
    </w:p>
    <w:p w:rsidR="003E0597" w:rsidRPr="008F3F37" w:rsidRDefault="003E0597" w:rsidP="008F3F37">
      <w:pPr>
        <w:pStyle w:val="Heading3"/>
        <w:numPr>
          <w:ilvl w:val="0"/>
          <w:numId w:val="0"/>
        </w:numPr>
        <w:spacing w:line="360" w:lineRule="auto"/>
        <w:jc w:val="both"/>
        <w:rPr>
          <w:szCs w:val="24"/>
        </w:rPr>
      </w:pPr>
      <w:r w:rsidRPr="008F3F37">
        <w:rPr>
          <w:szCs w:val="24"/>
        </w:rPr>
        <w:t>Use of geosynthetic products, such as geotextiles, geogrids, and geomembranes, has revolutionized structural erosion control practices in the 21st century. The products are used in soil reinforcement, slope stabilization, and water runoff control in a wide range of applications. Geotextiles, for example, are porous textile products which can be used for filtering soil particles, reinforcing slopes, and planting vegetation. A study by Koerner (2012) pointed out the effectiveness of geotextiles in preventing soil erosion by up to 95% in road embankments and construction. Geogrids, which are rigid or elastic polymer grids, are used to stabilize retaining walls and sloping slopes. The integration of geosynthetic materials with traditional erosion control measures, such as terracing and check dams, has significantly improved their effectiveness and sustainability (Gray &amp; Sotir, 2018).</w:t>
      </w:r>
    </w:p>
    <w:p w:rsidR="003E0597" w:rsidRPr="008F3F37" w:rsidRDefault="003E0597" w:rsidP="008F3F37">
      <w:pPr>
        <w:pStyle w:val="Heading4"/>
        <w:spacing w:line="360" w:lineRule="auto"/>
        <w:jc w:val="both"/>
      </w:pPr>
      <w:r w:rsidRPr="008F3F37">
        <w:t>Discussion</w:t>
      </w:r>
    </w:p>
    <w:p w:rsidR="003E0597" w:rsidRPr="008F3F37" w:rsidRDefault="003E0597" w:rsidP="008F3F37">
      <w:pPr>
        <w:pStyle w:val="Heading3"/>
        <w:numPr>
          <w:ilvl w:val="0"/>
          <w:numId w:val="0"/>
        </w:numPr>
        <w:spacing w:line="360" w:lineRule="auto"/>
        <w:jc w:val="both"/>
        <w:rPr>
          <w:szCs w:val="24"/>
        </w:rPr>
      </w:pPr>
      <w:r w:rsidRPr="008F3F37">
        <w:rPr>
          <w:szCs w:val="24"/>
        </w:rPr>
        <w:lastRenderedPageBreak/>
        <w:t>Structural methods of erosion control have been highly effective in preventing soil loss and landscape stabilization across different environments. Their success, however, is dependent on good design, construction, and maintenance, as well as consideration of local environmental and socio-economic conditions. While such methods are immediate and tangible in their impact, they are often expensive and resource-demanding, hence limiting their implementation in resource-limited settings. Moreover, the environmental impact of structural methods, e.g., the utilization of non-degradable materials or disruption of natural habitats, must be effectively regulated in an effort to provide for sustainability in the long run. In the 21st century, the combination of structural methods and vegetative and bioengineering approaches has demonstrated potential for achieving sustainable erosion control. Through the combination of the advantages of different methods, there is the potential to create efficient and versatile solutions that address the complex issues of erosion in a climate change scenario.</w:t>
      </w:r>
    </w:p>
    <w:p w:rsidR="003D4CC7" w:rsidRPr="008F3F37" w:rsidRDefault="003D4CC7" w:rsidP="008F3F37">
      <w:pPr>
        <w:pStyle w:val="Heading3"/>
        <w:spacing w:line="360" w:lineRule="auto"/>
        <w:jc w:val="both"/>
        <w:rPr>
          <w:szCs w:val="24"/>
        </w:rPr>
      </w:pPr>
      <w:r w:rsidRPr="008F3F37">
        <w:rPr>
          <w:szCs w:val="24"/>
        </w:rPr>
        <w:t>Bioengineering Methods</w:t>
      </w:r>
    </w:p>
    <w:p w:rsidR="007C497F" w:rsidRPr="008F3F37" w:rsidRDefault="007C497F" w:rsidP="008F3F37">
      <w:pPr>
        <w:pStyle w:val="Heading3"/>
        <w:numPr>
          <w:ilvl w:val="0"/>
          <w:numId w:val="0"/>
        </w:numPr>
        <w:spacing w:line="360" w:lineRule="auto"/>
        <w:jc w:val="both"/>
        <w:rPr>
          <w:szCs w:val="24"/>
        </w:rPr>
      </w:pPr>
      <w:r w:rsidRPr="008F3F37">
        <w:rPr>
          <w:szCs w:val="24"/>
        </w:rPr>
        <w:t>Bioengineering, or biotechnical soil erosion control, is a blending technique that harnesses both the biological and the engineering principles for soil stabilization, erosion reduction, and ecosystem re-establishment. The method is gaining popularity during the 21st century as it has the capability to provide immediate erosion control while enhancing the long-term process of ecological healing. As compared to the traditional structural practices relying on inert materials like concrete and steel, bioengineering utilizes living flora and biodegradable materials in the creation of environmentally friendly and sustainable solutions. The effectiveness of bioengineering processes lies in the ability to emulate nature, develop biodiversity, and boost landscape stability. This category addresses the predominant techniques, mechanisms, and outcomes of bioengineering operations, combining the results and the discussion for a deeper understanding of their roles in modern-day erosion control.</w:t>
      </w:r>
    </w:p>
    <w:p w:rsidR="007C497F" w:rsidRPr="008F3F37" w:rsidRDefault="007C497F" w:rsidP="008F3F37">
      <w:pPr>
        <w:pStyle w:val="Heading4"/>
        <w:spacing w:line="360" w:lineRule="auto"/>
        <w:jc w:val="both"/>
      </w:pPr>
      <w:r w:rsidRPr="008F3F37">
        <w:t>Major Techniques in Bioengineering</w:t>
      </w:r>
    </w:p>
    <w:p w:rsidR="007C497F" w:rsidRPr="008F3F37" w:rsidRDefault="007C497F" w:rsidP="008F3F37">
      <w:pPr>
        <w:pStyle w:val="Heading5"/>
        <w:spacing w:line="360" w:lineRule="auto"/>
        <w:jc w:val="both"/>
        <w:rPr>
          <w:szCs w:val="24"/>
        </w:rPr>
      </w:pPr>
      <w:r w:rsidRPr="008F3F37">
        <w:rPr>
          <w:szCs w:val="24"/>
        </w:rPr>
        <w:t>Live Staking</w:t>
      </w:r>
    </w:p>
    <w:p w:rsidR="007C497F" w:rsidRPr="008F3F37" w:rsidRDefault="007C497F" w:rsidP="008F3F37">
      <w:pPr>
        <w:pStyle w:val="Heading3"/>
        <w:numPr>
          <w:ilvl w:val="0"/>
          <w:numId w:val="0"/>
        </w:numPr>
        <w:spacing w:line="360" w:lineRule="auto"/>
        <w:jc w:val="both"/>
        <w:rPr>
          <w:szCs w:val="24"/>
        </w:rPr>
      </w:pPr>
      <w:r w:rsidRPr="008F3F37">
        <w:rPr>
          <w:szCs w:val="24"/>
        </w:rPr>
        <w:t xml:space="preserve">Live staking involves the planting of live shoots, often harvested from willows or poplar trees, directly into the ground to stabilize streambanks and slopes. With time, these cuttings root and </w:t>
      </w:r>
      <w:r w:rsidRPr="008F3F37">
        <w:rPr>
          <w:szCs w:val="24"/>
        </w:rPr>
        <w:lastRenderedPageBreak/>
        <w:t>grow into mature plants and form a natural protective barrier against erosion. Riparian zones have been proved effective in live staking by Gray and Sotir (2018), as the roots retain soil particles together, thereby preventing bank collapse. Live staking is cost-effective, easy to install, and simple to maintain, hence greatly preferred for carrying out small-scale control activities of erosion. However, the efficacy of live staking depends on species choice, location, and planting methods.</w:t>
      </w:r>
    </w:p>
    <w:p w:rsidR="007C497F" w:rsidRPr="008F3F37" w:rsidRDefault="007C497F" w:rsidP="008F3F37">
      <w:pPr>
        <w:pStyle w:val="Heading5"/>
        <w:spacing w:line="360" w:lineRule="auto"/>
        <w:jc w:val="both"/>
        <w:rPr>
          <w:szCs w:val="24"/>
        </w:rPr>
      </w:pPr>
      <w:r w:rsidRPr="008F3F37">
        <w:rPr>
          <w:szCs w:val="24"/>
        </w:rPr>
        <w:t>Brush Layering</w:t>
      </w:r>
    </w:p>
    <w:p w:rsidR="007C497F" w:rsidRPr="008F3F37" w:rsidRDefault="007C497F" w:rsidP="008F3F37">
      <w:pPr>
        <w:pStyle w:val="Heading3"/>
        <w:numPr>
          <w:ilvl w:val="0"/>
          <w:numId w:val="0"/>
        </w:numPr>
        <w:spacing w:line="360" w:lineRule="auto"/>
        <w:jc w:val="both"/>
        <w:rPr>
          <w:szCs w:val="24"/>
        </w:rPr>
      </w:pPr>
      <w:r w:rsidRPr="008F3F37">
        <w:rPr>
          <w:szCs w:val="24"/>
        </w:rPr>
        <w:t>Brush layering refers to the application of live branches or brushwood in horizontal layers to slopes or streambanks. The branches are covered partially with the soil and left to root and form a close vegetative cover. The process not only stabilizes the terrain but also enhances water infiltration and reduces surface runoff. Studies by Schiechtl and Stern (1997) have indicated that brush layering can reduce erosion rates by up to 70% in steep slopes. The method works best in shallow landslide-susceptible zones, where the rooted branches create a reinforcement network that stabilizes the ground. Brush layering, however, needs to be properly planned and implemented to enable proper root growth and long-term stability.</w:t>
      </w:r>
    </w:p>
    <w:p w:rsidR="007C497F" w:rsidRPr="008F3F37" w:rsidRDefault="007C497F" w:rsidP="008F3F37">
      <w:pPr>
        <w:pStyle w:val="Heading5"/>
        <w:spacing w:line="360" w:lineRule="auto"/>
        <w:jc w:val="both"/>
        <w:rPr>
          <w:szCs w:val="24"/>
        </w:rPr>
      </w:pPr>
      <w:r w:rsidRPr="008F3F37">
        <w:rPr>
          <w:szCs w:val="24"/>
        </w:rPr>
        <w:t>Coir Logs and Mats</w:t>
      </w:r>
    </w:p>
    <w:p w:rsidR="007C497F" w:rsidRPr="008F3F37" w:rsidRDefault="007C497F" w:rsidP="008F3F37">
      <w:pPr>
        <w:pStyle w:val="Heading3"/>
        <w:numPr>
          <w:ilvl w:val="0"/>
          <w:numId w:val="0"/>
        </w:numPr>
        <w:spacing w:line="360" w:lineRule="auto"/>
        <w:jc w:val="both"/>
        <w:rPr>
          <w:szCs w:val="24"/>
        </w:rPr>
      </w:pPr>
      <w:r w:rsidRPr="008F3F37">
        <w:rPr>
          <w:szCs w:val="24"/>
        </w:rPr>
        <w:t xml:space="preserve">Coir logs and mats are biodegradable erosion control products made from coconut fiber. These products are typically applied in association with live vegetation to provide temporary soil stabilization while promoting plant growth. Coir logs are tubular installations along streams or slopes, while coir mats are flat mats on the ground surface. Mishra et al. (2019) highlight the fact that coir logs are useful in tropical regions due to their tension strength and resistance to biodegradation, hence ideal for the control of erosion. Coir mats, on the other hand, are widely used in revegetation programs since they protect plant seedlings from erosion and support root establishment. The biodegradable properties of coir products imply that they will not leave behind any toxic </w:t>
      </w:r>
      <w:r w:rsidR="00913051" w:rsidRPr="008F3F37">
        <w:rPr>
          <w:szCs w:val="24"/>
        </w:rPr>
        <w:t>residues;</w:t>
      </w:r>
      <w:r w:rsidRPr="008F3F37">
        <w:rPr>
          <w:szCs w:val="24"/>
        </w:rPr>
        <w:t xml:space="preserve"> hence they are an environmentally friendly option.</w:t>
      </w:r>
    </w:p>
    <w:p w:rsidR="007C497F" w:rsidRPr="008F3F37" w:rsidRDefault="007C497F" w:rsidP="008F3F37">
      <w:pPr>
        <w:pStyle w:val="Heading5"/>
        <w:spacing w:line="360" w:lineRule="auto"/>
        <w:jc w:val="both"/>
        <w:rPr>
          <w:szCs w:val="24"/>
        </w:rPr>
      </w:pPr>
      <w:r w:rsidRPr="008F3F37">
        <w:rPr>
          <w:szCs w:val="24"/>
        </w:rPr>
        <w:t>Fascines</w:t>
      </w:r>
    </w:p>
    <w:p w:rsidR="007C497F" w:rsidRPr="008F3F37" w:rsidRDefault="007C497F" w:rsidP="008F3F37">
      <w:pPr>
        <w:pStyle w:val="Heading3"/>
        <w:numPr>
          <w:ilvl w:val="0"/>
          <w:numId w:val="0"/>
        </w:numPr>
        <w:spacing w:line="360" w:lineRule="auto"/>
        <w:jc w:val="both"/>
        <w:rPr>
          <w:szCs w:val="24"/>
        </w:rPr>
      </w:pPr>
      <w:r w:rsidRPr="008F3F37">
        <w:rPr>
          <w:szCs w:val="24"/>
        </w:rPr>
        <w:lastRenderedPageBreak/>
        <w:t>Fascines are bundles of live or dead plants, such as willow sticks, tied together and planted in shallow trenches on slopes or streambanks. The bundles act as a physical erosion barrier, trapping sediment and reducing the velocity of water. Over time, live fascines root and become dense cover, further stabilizing the soil. The technique is most effective on areas of moderate erosion rates and is generally implemented in combination with other bioengineering methods. Research by Li and Eddleman (2002) has shown that fascines have been able to reduce sediment transport up to 50% in small watersheds. However, effective fascine performance is dependent on good installation and maintenance, as poorly constructed bundles will not provide adequate erosion protection.</w:t>
      </w:r>
    </w:p>
    <w:p w:rsidR="007C497F" w:rsidRPr="008F3F37" w:rsidRDefault="007C497F" w:rsidP="008F3F37">
      <w:pPr>
        <w:pStyle w:val="Heading5"/>
        <w:spacing w:line="360" w:lineRule="auto"/>
        <w:jc w:val="both"/>
        <w:rPr>
          <w:szCs w:val="24"/>
        </w:rPr>
      </w:pPr>
      <w:r w:rsidRPr="008F3F37">
        <w:rPr>
          <w:szCs w:val="24"/>
        </w:rPr>
        <w:t>Vegetated Geogrids</w:t>
      </w:r>
    </w:p>
    <w:p w:rsidR="007C497F" w:rsidRPr="008F3F37" w:rsidRDefault="007C497F" w:rsidP="008F3F37">
      <w:pPr>
        <w:pStyle w:val="Heading3"/>
        <w:numPr>
          <w:ilvl w:val="0"/>
          <w:numId w:val="0"/>
        </w:numPr>
        <w:spacing w:line="360" w:lineRule="auto"/>
        <w:jc w:val="both"/>
        <w:rPr>
          <w:szCs w:val="24"/>
        </w:rPr>
      </w:pPr>
      <w:r w:rsidRPr="008F3F37">
        <w:rPr>
          <w:szCs w:val="24"/>
        </w:rPr>
        <w:t>Vegetated geogrids are a blend of geosynthetic materials and live vegetation used to create a reinforced soil system. Synthetic or natural fiber geogrids provide immediate structural stability, while the vegetation provides long-term stability through the ability of the roots to grow. This technique is most commonly used in road embankments and steep slopes where plant growth alone may not be sufficient to prevent erosion. Vegetated geogrids can reduce erosion rates up to 80% in hazard-prone sites, as contended by Koerner (2012). The utilization of geosynthetics with plants also increases soil fertility and water retention capacity, and hence it is a solution for diversified environments.</w:t>
      </w:r>
    </w:p>
    <w:p w:rsidR="007C497F" w:rsidRPr="008F3F37" w:rsidRDefault="007C497F" w:rsidP="008F3F37">
      <w:pPr>
        <w:pStyle w:val="Heading5"/>
        <w:spacing w:line="360" w:lineRule="auto"/>
        <w:jc w:val="both"/>
        <w:rPr>
          <w:szCs w:val="24"/>
        </w:rPr>
      </w:pPr>
      <w:r w:rsidRPr="008F3F37">
        <w:rPr>
          <w:szCs w:val="24"/>
        </w:rPr>
        <w:t>Mechanisms of Bioengineering Methods</w:t>
      </w:r>
    </w:p>
    <w:p w:rsidR="007C497F" w:rsidRPr="008F3F37" w:rsidRDefault="007C497F" w:rsidP="008F3F37">
      <w:pPr>
        <w:pStyle w:val="Heading3"/>
        <w:numPr>
          <w:ilvl w:val="0"/>
          <w:numId w:val="0"/>
        </w:numPr>
        <w:spacing w:line="360" w:lineRule="auto"/>
        <w:jc w:val="both"/>
        <w:rPr>
          <w:szCs w:val="24"/>
        </w:rPr>
      </w:pPr>
      <w:r w:rsidRPr="008F3F37">
        <w:rPr>
          <w:szCs w:val="24"/>
        </w:rPr>
        <w:t>Bioengineering methods work so well because they are capable of addressing the physical and biological requirements of erosion control. Root systems of plants play an essential role in soil stabilization by bonding soil particles together, thereby decreasing the likelihood that they will be washed or blown away by water or wind. Vegetation that grows above the ground is also a physical structure that slows down the speed of water and traps sediment. Also, vegetation enhances the structure of the soil by enhancing organic matter content and microbiological processes, which enhances soil stability (Blanco-Canqui et al., 2015).</w:t>
      </w:r>
    </w:p>
    <w:p w:rsidR="007C497F" w:rsidRPr="008F3F37" w:rsidRDefault="007C497F" w:rsidP="008F3F37">
      <w:pPr>
        <w:pStyle w:val="Heading3"/>
        <w:numPr>
          <w:ilvl w:val="0"/>
          <w:numId w:val="0"/>
        </w:numPr>
        <w:spacing w:line="360" w:lineRule="auto"/>
        <w:jc w:val="both"/>
        <w:rPr>
          <w:szCs w:val="24"/>
        </w:rPr>
      </w:pPr>
      <w:r w:rsidRPr="008F3F37">
        <w:rPr>
          <w:szCs w:val="24"/>
        </w:rPr>
        <w:t xml:space="preserve">Succession and ecological recovery processes are also naturally used by bioengineering methods. By using native species of plants, the methods offer habitats to wildlife, enhance diversity, and </w:t>
      </w:r>
      <w:r w:rsidRPr="008F3F37">
        <w:rPr>
          <w:szCs w:val="24"/>
        </w:rPr>
        <w:lastRenderedPageBreak/>
        <w:t>also restore ecosystem processes. For example, riparian bioengineering designs not only control erosion but also improve water quality, regulate streamflow, and promote aquatic ecosystems (Gray and Sotir, 2018). The use of biodegradable products, such as coir and brushwood, ensures that bioengineering methods are not harmful to the environment in the long run, as espoused in the principles of sustainable land management.</w:t>
      </w:r>
    </w:p>
    <w:p w:rsidR="007C497F" w:rsidRPr="008F3F37" w:rsidRDefault="007C497F" w:rsidP="008F3F37">
      <w:pPr>
        <w:pStyle w:val="Heading5"/>
        <w:spacing w:line="360" w:lineRule="auto"/>
        <w:jc w:val="both"/>
        <w:rPr>
          <w:szCs w:val="24"/>
        </w:rPr>
      </w:pPr>
      <w:r w:rsidRPr="008F3F37">
        <w:rPr>
          <w:szCs w:val="24"/>
        </w:rPr>
        <w:t xml:space="preserve"> Discussion of Results and Applications</w:t>
      </w:r>
    </w:p>
    <w:p w:rsidR="007C497F" w:rsidRPr="008F3F37" w:rsidRDefault="007C497F" w:rsidP="008F3F37">
      <w:pPr>
        <w:pStyle w:val="Heading3"/>
        <w:numPr>
          <w:ilvl w:val="0"/>
          <w:numId w:val="0"/>
        </w:numPr>
        <w:spacing w:line="360" w:lineRule="auto"/>
        <w:jc w:val="both"/>
        <w:rPr>
          <w:szCs w:val="24"/>
        </w:rPr>
      </w:pPr>
      <w:r w:rsidRPr="008F3F37">
        <w:rPr>
          <w:szCs w:val="24"/>
        </w:rPr>
        <w:t>The result of numerous experiments and field tests helps to demonstrate the versatility and robustness of bioengineering methods under varying conditions. On tropical coastlines, for example, with frequent heavy rains and high erosion rates, slope and streambank stabilization methods through coir logs and brush layering have been found to be most effective (Mishra et al., 2019). In temperate regions, live staking and vegetated geogrids have been used effectively to control erosion along agricultural and urban lands (Gray and Sotir, 2018). The application of bioengineering methods across different climatic and soil conditions makes it an effective choice to mitigate erosion in developed and developing countries.</w:t>
      </w:r>
    </w:p>
    <w:p w:rsidR="007C497F" w:rsidRPr="008F3F37" w:rsidRDefault="007C497F" w:rsidP="008F3F37">
      <w:pPr>
        <w:pStyle w:val="Heading3"/>
        <w:numPr>
          <w:ilvl w:val="0"/>
          <w:numId w:val="0"/>
        </w:numPr>
        <w:spacing w:line="360" w:lineRule="auto"/>
        <w:jc w:val="both"/>
        <w:rPr>
          <w:szCs w:val="24"/>
        </w:rPr>
      </w:pPr>
      <w:r w:rsidRPr="008F3F37">
        <w:rPr>
          <w:szCs w:val="24"/>
        </w:rPr>
        <w:t>Notwithstanding, the success of bioengineering methods depends on a multitude of factors, including species selection, site preparation, and maintenance. For example, vegetation species selection must consider local climate, soil, and ecological appropriateness to ensure optimal successful establishment and growth. Experienced installation techniques, such as coir log or fascine placement, are also important to the successful attainment of necessary erosion control functions. In the majority of instances, maintenance tasks such as watering, weeding, and replanting vegetation must be performed regularly to ensure long-term success.</w:t>
      </w:r>
    </w:p>
    <w:p w:rsidR="007C497F" w:rsidRPr="008F3F37" w:rsidRDefault="007C497F" w:rsidP="008F3F37">
      <w:pPr>
        <w:pStyle w:val="Heading3"/>
        <w:numPr>
          <w:ilvl w:val="0"/>
          <w:numId w:val="0"/>
        </w:numPr>
        <w:spacing w:line="360" w:lineRule="auto"/>
        <w:jc w:val="both"/>
        <w:rPr>
          <w:szCs w:val="24"/>
        </w:rPr>
      </w:pPr>
      <w:r w:rsidRPr="008F3F37">
        <w:rPr>
          <w:szCs w:val="24"/>
        </w:rPr>
        <w:t>Despite these challenges, bioengineering methods have several advantages over traditional erosion control measures. They are generally cheaper, more environmentally friendly, and more aesthetically pleasing than structural methods. Moreover, bioengineering promotes ecological restoration and biodiversity, which improves the overall health and resilience of ecosystems. As the world faces increasing environmental challenges, such as climate change and land degradation, bioengineering methods are bound to play an increasingly important role in sustainable land management and erosion control.</w:t>
      </w:r>
    </w:p>
    <w:p w:rsidR="007C497F" w:rsidRPr="008F3F37" w:rsidRDefault="007C497F" w:rsidP="008F3F37">
      <w:pPr>
        <w:pStyle w:val="Heading5"/>
        <w:spacing w:line="360" w:lineRule="auto"/>
        <w:jc w:val="both"/>
        <w:rPr>
          <w:szCs w:val="24"/>
        </w:rPr>
      </w:pPr>
      <w:r w:rsidRPr="008F3F37">
        <w:rPr>
          <w:szCs w:val="24"/>
        </w:rPr>
        <w:lastRenderedPageBreak/>
        <w:t xml:space="preserve"> Conclusion</w:t>
      </w:r>
    </w:p>
    <w:p w:rsidR="007C497F" w:rsidRPr="008F3F37" w:rsidRDefault="007C497F" w:rsidP="008F3F37">
      <w:pPr>
        <w:pStyle w:val="Heading3"/>
        <w:numPr>
          <w:ilvl w:val="0"/>
          <w:numId w:val="0"/>
        </w:numPr>
        <w:spacing w:line="360" w:lineRule="auto"/>
        <w:jc w:val="both"/>
        <w:rPr>
          <w:szCs w:val="24"/>
        </w:rPr>
      </w:pPr>
      <w:r w:rsidRPr="008F3F37">
        <w:rPr>
          <w:szCs w:val="24"/>
        </w:rPr>
        <w:t>Bioengineering methods are a holistic and sustainable approach to erosion control that combines the best of biological and engineering principles. Live staking, brush layering, coir logs, fascines, and vegetated geogrids are some of the methods that have proven to be effective in soil stabilization, erosion mitigation, and ecosystem recovery. The success of these methods is founded on their ability to mimic natural processes, promote biodiversity, and build landscape resilience. While restrictions such as species selection and maintenance continue, the benefits of bioengineering methods far outweigh their drawbacks. As more is needed for erosion control to be more sustainable and environmentally friendly, bioengineering could play a fundamental role in 21st-century land management planning.</w:t>
      </w:r>
    </w:p>
    <w:p w:rsidR="003D4CC7" w:rsidRPr="008F3F37" w:rsidRDefault="003D4CC7" w:rsidP="008F3F37">
      <w:pPr>
        <w:pStyle w:val="Heading3"/>
        <w:spacing w:line="360" w:lineRule="auto"/>
        <w:jc w:val="both"/>
        <w:rPr>
          <w:szCs w:val="24"/>
        </w:rPr>
      </w:pPr>
      <w:r w:rsidRPr="008F3F37">
        <w:rPr>
          <w:szCs w:val="24"/>
        </w:rPr>
        <w:t> Soil Management Practices</w:t>
      </w:r>
    </w:p>
    <w:p w:rsidR="0000420E" w:rsidRPr="008F3F37" w:rsidRDefault="0000420E" w:rsidP="008F3F37">
      <w:pPr>
        <w:pStyle w:val="Heading3"/>
        <w:numPr>
          <w:ilvl w:val="0"/>
          <w:numId w:val="0"/>
        </w:numPr>
        <w:spacing w:line="360" w:lineRule="auto"/>
        <w:jc w:val="both"/>
        <w:rPr>
          <w:szCs w:val="24"/>
        </w:rPr>
      </w:pPr>
      <w:r w:rsidRPr="008F3F37">
        <w:rPr>
          <w:szCs w:val="24"/>
        </w:rPr>
        <w:t>Soil management practices are among the most effective and sustainable ways of erosion control in the 21st century. Soil management practices seek to improve soil health, structure, and resistance to erosive forces such as wind and water. Farmers, land managers, and policymakers can use soil management practices to mitigate erosion while also improving agricultural productivity and ecosystem resilience. This chapter is focused on large-scale soil management practices for controlling soil erosion and synthesizes evidence from empirical research in debating implications of such practices on sustainable land management.</w:t>
      </w:r>
    </w:p>
    <w:p w:rsidR="0000420E" w:rsidRPr="008F3F37" w:rsidRDefault="0000420E" w:rsidP="008F3F37">
      <w:pPr>
        <w:pStyle w:val="Heading4"/>
        <w:spacing w:line="360" w:lineRule="auto"/>
        <w:jc w:val="both"/>
      </w:pPr>
      <w:r w:rsidRPr="008F3F37">
        <w:t>Conservation Tillage</w:t>
      </w:r>
    </w:p>
    <w:p w:rsidR="0000420E" w:rsidRPr="008F3F37" w:rsidRDefault="0000420E" w:rsidP="008F3F37">
      <w:pPr>
        <w:pStyle w:val="Heading3"/>
        <w:numPr>
          <w:ilvl w:val="0"/>
          <w:numId w:val="0"/>
        </w:numPr>
        <w:spacing w:line="360" w:lineRule="auto"/>
        <w:jc w:val="both"/>
        <w:rPr>
          <w:szCs w:val="24"/>
        </w:rPr>
      </w:pPr>
      <w:r w:rsidRPr="008F3F37">
        <w:rPr>
          <w:szCs w:val="24"/>
        </w:rPr>
        <w:t xml:space="preserve">Conservation tillage is defined as a widespread soil management system that restricts further disturbance of the soil by reduced intensity and frequency of plowing or tillage. As opposed to conventional tillage, where the soil is overturned and subsequently left exposed, conservation tillage has crop residues remaining on the surface as a covering that shields the soil from erosive power. Montgomery (2007) found that conservation tillage cuts down on soil erosion by up to 90% compared to conventional practice. The remaining residues improve soil organic matter, improve water infiltration, and reduce surface runoff, hence reducing the likelihood of water-induced erosion. Conservation tillage has also been reported to reduce wind erosion in arid and semi-arid regions by maintaining surface roughness and preventing soil particles from being </w:t>
      </w:r>
      <w:r w:rsidRPr="008F3F37">
        <w:rPr>
          <w:szCs w:val="24"/>
        </w:rPr>
        <w:lastRenderedPageBreak/>
        <w:t>blown into the air (Lal, 2015). Though useful, conservation tillage has previously been constrained by the specialized equipment needed and the expense of conversion from conventional tillage. Extended trials have proved, however, that the environmental and economic benefits of conservation tillage outweigh these up-front expenses, and therefore it is a key component of sustainable land management (Derpsch et al., 2010).</w:t>
      </w:r>
    </w:p>
    <w:p w:rsidR="0000420E" w:rsidRPr="008F3F37" w:rsidRDefault="0000420E" w:rsidP="008F3F37">
      <w:pPr>
        <w:pStyle w:val="Heading4"/>
        <w:spacing w:line="360" w:lineRule="auto"/>
        <w:jc w:val="both"/>
      </w:pPr>
      <w:r w:rsidRPr="008F3F37">
        <w:t>Crop Rotation and Diversification</w:t>
      </w:r>
    </w:p>
    <w:p w:rsidR="0000420E" w:rsidRPr="008F3F37" w:rsidRDefault="0000420E" w:rsidP="008F3F37">
      <w:pPr>
        <w:pStyle w:val="Heading3"/>
        <w:numPr>
          <w:ilvl w:val="0"/>
          <w:numId w:val="0"/>
        </w:numPr>
        <w:spacing w:line="360" w:lineRule="auto"/>
        <w:jc w:val="both"/>
        <w:rPr>
          <w:szCs w:val="24"/>
        </w:rPr>
      </w:pPr>
      <w:r w:rsidRPr="008F3F37">
        <w:rPr>
          <w:szCs w:val="24"/>
        </w:rPr>
        <w:t>Crop diversification and rotation are two important soil management measures that serve to manage erosion by maintaining structure and fertility of soil. Crop rotation with diverse root systems and nutrient requirements helps break cycles of disease and pests, reduces soil compaction, and improves levels of organic matter. Blanco-Canqui et al. (2015) point out that diversified cropping systems, e.g., legume inclusion in cereals, improve soil aggregation and erosion mitigation by promoting the growth of roots and microbial activity. Additionally, cover crops, grown during fallow periods, play a key role in the protection of the soil from erosion. Clover, rye, and vetch cover crops provide ground cover, suppress surface runoff, and facilitate water percolation, thereby minimizing soil loss (Kaspar &amp; Singer, 2011). Crop rotation with cover crops has worked in controlling erosion in hilly regions as well as regions with high rainfall. However, diversification and crop rotation are successful only if there is proper planning and adapting to soil and climatic conditions at a local level.</w:t>
      </w:r>
    </w:p>
    <w:p w:rsidR="0000420E" w:rsidRPr="008F3F37" w:rsidRDefault="0000420E" w:rsidP="008F3F37">
      <w:pPr>
        <w:pStyle w:val="Heading4"/>
        <w:spacing w:line="360" w:lineRule="auto"/>
        <w:jc w:val="both"/>
      </w:pPr>
      <w:r w:rsidRPr="008F3F37">
        <w:t>Organic Amendments</w:t>
      </w:r>
    </w:p>
    <w:p w:rsidR="0000420E" w:rsidRPr="008F3F37" w:rsidRDefault="0000420E" w:rsidP="008F3F37">
      <w:pPr>
        <w:pStyle w:val="Heading3"/>
        <w:numPr>
          <w:ilvl w:val="0"/>
          <w:numId w:val="0"/>
        </w:numPr>
        <w:spacing w:line="360" w:lineRule="auto"/>
        <w:jc w:val="both"/>
        <w:rPr>
          <w:szCs w:val="24"/>
        </w:rPr>
      </w:pPr>
      <w:r w:rsidRPr="008F3F37">
        <w:rPr>
          <w:szCs w:val="24"/>
        </w:rPr>
        <w:t>Utilization of organic amendments such as compost, manure, and bio</w:t>
      </w:r>
      <w:r w:rsidR="0098395C" w:rsidRPr="008F3F37">
        <w:rPr>
          <w:szCs w:val="24"/>
        </w:rPr>
        <w:t>-</w:t>
      </w:r>
      <w:r w:rsidRPr="008F3F37">
        <w:rPr>
          <w:szCs w:val="24"/>
        </w:rPr>
        <w:t xml:space="preserve">char is a good soil conservation practice for erosion control. Organic amendments improve the structure of the soil by increasing aggregate stability, improving </w:t>
      </w:r>
      <w:r w:rsidR="00C467D3" w:rsidRPr="008F3F37">
        <w:rPr>
          <w:szCs w:val="24"/>
        </w:rPr>
        <w:t>water-holding</w:t>
      </w:r>
      <w:r w:rsidRPr="008F3F37">
        <w:rPr>
          <w:szCs w:val="24"/>
        </w:rPr>
        <w:t xml:space="preserve"> and activating microbes. Lehmann et al. (2011) also note the potential of biochar, which is a carbon-rich product obtained through pyrolysis of biomass, to improve soil health and reduce erosion. Soil porosity has been reported to be increased, surface crusting reduced, and water infiltration improved through biochar amendments, which make soils more erosion-resistant. Similarly, compost and manure application have been shown to increase soil organic carbon, improve nutrient cycling, and reduce erosion in crop production (Diacono &amp; Montemurro, 2010). These benefits are </w:t>
      </w:r>
      <w:r w:rsidRPr="008F3F37">
        <w:rPr>
          <w:szCs w:val="24"/>
        </w:rPr>
        <w:lastRenderedPageBreak/>
        <w:t>particularly valuable in degraded soils, where soil fertility and resilience can be enhanced through organic amendments. However, cost and accessibility of organic amendments are usually the limiting factors, particularly in resource-scarce environments. Despite all of these limitations, the long-term benefits of organic amendments to the soil's health and erosion reduction make them an integral component of sustainable land management programs.</w:t>
      </w:r>
    </w:p>
    <w:p w:rsidR="0000420E" w:rsidRPr="008F3F37" w:rsidRDefault="0000420E" w:rsidP="008F3F37">
      <w:pPr>
        <w:pStyle w:val="Heading4"/>
        <w:spacing w:line="360" w:lineRule="auto"/>
        <w:jc w:val="both"/>
      </w:pPr>
      <w:r w:rsidRPr="008F3F37">
        <w:t>Contour Farming and Strip Cropping</w:t>
      </w:r>
    </w:p>
    <w:p w:rsidR="0000420E" w:rsidRPr="008F3F37" w:rsidRDefault="0000420E" w:rsidP="008F3F37">
      <w:pPr>
        <w:pStyle w:val="Heading3"/>
        <w:numPr>
          <w:ilvl w:val="0"/>
          <w:numId w:val="0"/>
        </w:numPr>
        <w:spacing w:line="360" w:lineRule="auto"/>
        <w:jc w:val="both"/>
        <w:rPr>
          <w:szCs w:val="24"/>
        </w:rPr>
      </w:pPr>
      <w:r w:rsidRPr="008F3F37">
        <w:rPr>
          <w:szCs w:val="24"/>
        </w:rPr>
        <w:t>Contour farming and strip cropping are two soil management practices in which tillage operations and crops trace along the natural incline of the land. The methods reduce the velocity of surface runoff, stimulate water infiltration, and minimize soil movement. Contouring has been particularly effective in reducing erosion on sloping land, with the potential to limit soil loss by up to 50% compared to up-and-down slope farming (Morgan, 2005). Strip cropping, in which strips of alternating vegetation or crops are sown, enhances erosion control by offering physical barriers that trap sediment and retard runoff. For example, scattered strips of annual grasses and legumes at row crops would minimize erosion highly in addition to increasing the fertility and biological nature of soils (Thapa et al., 1999). Such practice works best when adopted alongside other measures of soil conservation, for instance, conservation tillage, and organic addition in order to provide an integrated framework for managing erosion.</w:t>
      </w:r>
    </w:p>
    <w:p w:rsidR="0000420E" w:rsidRPr="008F3F37" w:rsidRDefault="0000420E" w:rsidP="008F3F37">
      <w:pPr>
        <w:pStyle w:val="Heading4"/>
        <w:spacing w:line="360" w:lineRule="auto"/>
        <w:jc w:val="both"/>
      </w:pPr>
      <w:r w:rsidRPr="008F3F37">
        <w:t>Integrated Soil Fertility Management</w:t>
      </w:r>
    </w:p>
    <w:p w:rsidR="0000420E" w:rsidRPr="008F3F37" w:rsidRDefault="0000420E" w:rsidP="008F3F37">
      <w:pPr>
        <w:pStyle w:val="Heading3"/>
        <w:numPr>
          <w:ilvl w:val="0"/>
          <w:numId w:val="0"/>
        </w:numPr>
        <w:spacing w:line="360" w:lineRule="auto"/>
        <w:jc w:val="both"/>
        <w:rPr>
          <w:szCs w:val="24"/>
        </w:rPr>
      </w:pPr>
      <w:r w:rsidRPr="008F3F37">
        <w:rPr>
          <w:szCs w:val="24"/>
        </w:rPr>
        <w:t>Integrated soil fertility management (ISFM) is a comprehensive approach that brings together the use of organic and inorganic fertilizers with conservation agriculture and high-quality crop varieties. ISFM aims to optimize nutrient supply, enhance soil quality, and reduce erosion by eliminating causes of soil degradation. Vanlauwe et al. (2010) point out that ISFM has the potential to reduce erosion significantly by improving soil structure, organic matter, and root development. For example, blending mineral fertilizers and organic matter has been proven to enhance soil aggregation and reduce erosion in smallholder farming systems in sub-Saharan Africa. Secondly, the use of improved crops with deep root systems can anchor soils and reduce erosion in risk-prone environments. ISFM is particularly important in soils of low fertility and high risk of erosion, where it can result in climate resilience and sustainable intensification.</w:t>
      </w:r>
    </w:p>
    <w:p w:rsidR="0000420E" w:rsidRPr="008F3F37" w:rsidRDefault="0000420E" w:rsidP="008F3F37">
      <w:pPr>
        <w:pStyle w:val="Heading4"/>
        <w:spacing w:line="360" w:lineRule="auto"/>
        <w:jc w:val="both"/>
      </w:pPr>
      <w:r w:rsidRPr="008F3F37">
        <w:lastRenderedPageBreak/>
        <w:t>Discussion and Implications</w:t>
      </w:r>
    </w:p>
    <w:p w:rsidR="0000420E" w:rsidRPr="008F3F37" w:rsidRDefault="0000420E" w:rsidP="008F3F37">
      <w:pPr>
        <w:pStyle w:val="Heading3"/>
        <w:numPr>
          <w:ilvl w:val="0"/>
          <w:numId w:val="0"/>
        </w:numPr>
        <w:spacing w:line="360" w:lineRule="auto"/>
        <w:jc w:val="both"/>
        <w:rPr>
          <w:szCs w:val="24"/>
        </w:rPr>
      </w:pPr>
      <w:r w:rsidRPr="008F3F37">
        <w:rPr>
          <w:szCs w:val="24"/>
        </w:rPr>
        <w:t>Empirical findings and results of field trials conclusively indicate that soil management practices are highly effective in controlling erosion and promoting sustainable land use. Conservation tillage, rotation, organic fertilizers, contour farming, and integrated soil fertility management all ensure improved soil health, reduction in erosion, and increased ecosystem service. These measures' use depends on a series of issues such as the socioeconomic environment, access to resources, and native knowledge. For example, smallholder farmers in developing countries may be prevented from using conservation tillage due to the cost of machinery, which is unaffordable, or the lack of technical know-how. Similarly, organic amendments may be limited in regions with low agricultural productivity or poor road networks. In solving such issues, measures to implement policies and initiatives supportive of implementing soil management measures such as conservation agriculture incentives, extension service, and training farmers will be needed. Moreover, combining soil management methods with other methodologies such as vegetative and structural methods will contribute to greater efficiency as well as sustainability. For example, combining conservation tillage with cover crops and agroforestry can create a synergistic relationship that provides maximum erosion control, improving soil fertility and diversity as well. Similarly, organic supplements in combination with contour farming will also reduce erosion and improve water retention on steep slopes. How effective these techniques are when practiced in combination is dependent on careful planning, community engagement, and adaptation to context.</w:t>
      </w:r>
    </w:p>
    <w:p w:rsidR="0000420E" w:rsidRPr="008F3F37" w:rsidRDefault="0000420E" w:rsidP="008F3F37">
      <w:pPr>
        <w:pStyle w:val="Heading3"/>
        <w:numPr>
          <w:ilvl w:val="0"/>
          <w:numId w:val="0"/>
        </w:numPr>
        <w:spacing w:line="360" w:lineRule="auto"/>
        <w:jc w:val="both"/>
        <w:rPr>
          <w:szCs w:val="24"/>
        </w:rPr>
      </w:pPr>
      <w:r w:rsidRPr="008F3F37">
        <w:rPr>
          <w:szCs w:val="24"/>
        </w:rPr>
        <w:t>In conclusion, horticultural practice is the pillar of 21st-century erosion control, an affordable and viable solution to land degradation. Improved soil health, more water entering the soil, and reduced surface runoff are ways in which horticultural practices ensure the resilience of agricultural production systems and the provision of ecosystem services. Yet, their use on a broad scale calls for collective efforts by policymakers, researchers, and land managers to remove obstacles and enhance sustainable land management. Research should in the future aim to improve the coordination of soil management practice with other techniques of erosion control, assessing their long-term consequences, and generating new ideas for solving future problems.</w:t>
      </w:r>
    </w:p>
    <w:p w:rsidR="003D4CC7" w:rsidRPr="008F3F37" w:rsidRDefault="003D4CC7" w:rsidP="008F3F37">
      <w:pPr>
        <w:pStyle w:val="Heading3"/>
        <w:spacing w:line="360" w:lineRule="auto"/>
        <w:jc w:val="both"/>
        <w:rPr>
          <w:szCs w:val="24"/>
        </w:rPr>
      </w:pPr>
      <w:r w:rsidRPr="008F3F37">
        <w:rPr>
          <w:szCs w:val="24"/>
        </w:rPr>
        <w:lastRenderedPageBreak/>
        <w:t>Policy and Community-Based Approaches</w:t>
      </w:r>
    </w:p>
    <w:p w:rsidR="006E72E0" w:rsidRPr="008F3F37" w:rsidRDefault="006E72E0" w:rsidP="008F3F37">
      <w:pPr>
        <w:pStyle w:val="Heading3"/>
        <w:numPr>
          <w:ilvl w:val="0"/>
          <w:numId w:val="0"/>
        </w:numPr>
        <w:spacing w:line="360" w:lineRule="auto"/>
        <w:jc w:val="both"/>
        <w:rPr>
          <w:szCs w:val="24"/>
        </w:rPr>
      </w:pPr>
      <w:r w:rsidRPr="008F3F37">
        <w:rPr>
          <w:szCs w:val="24"/>
        </w:rPr>
        <w:t>Policy and community-based erosion control practices are now the focal approaches of the 21st century, building on the inadequacies of purely technical practices through the integration of social, economic, and institutional factors. Such practices recognize that erosion is not only an environmental issue but also a socio-economic issue that requires direct community engagement, effective governance, and facilitative policy environments. This chapter brings together the findings and assesses the effectiveness of policy and community-led interventions, drawing on empirical studies and case studies in different geographic and socio-economic contexts.</w:t>
      </w:r>
    </w:p>
    <w:p w:rsidR="006E72E0" w:rsidRPr="008F3F37" w:rsidRDefault="006E72E0" w:rsidP="008F3F37">
      <w:pPr>
        <w:pStyle w:val="Heading4"/>
        <w:spacing w:line="360" w:lineRule="auto"/>
        <w:jc w:val="both"/>
      </w:pPr>
      <w:r w:rsidRPr="008F3F37">
        <w:t>Integrated Watershed Management</w:t>
      </w:r>
    </w:p>
    <w:p w:rsidR="006E72E0" w:rsidRPr="008F3F37" w:rsidRDefault="006E72E0" w:rsidP="008F3F37">
      <w:pPr>
        <w:pStyle w:val="Heading3"/>
        <w:numPr>
          <w:ilvl w:val="0"/>
          <w:numId w:val="0"/>
        </w:numPr>
        <w:spacing w:line="360" w:lineRule="auto"/>
        <w:jc w:val="both"/>
        <w:rPr>
          <w:szCs w:val="24"/>
        </w:rPr>
      </w:pPr>
      <w:r w:rsidRPr="008F3F37">
        <w:rPr>
          <w:szCs w:val="24"/>
        </w:rPr>
        <w:t>Integrated watershed management (IWM) is one of the most widespread policy models for managing erosion. IWM involves the integrated management of land, water, and vegetation resources of a watershed with a view to achieving sustainable outcomes. By involving the local population in planning and execution, IWM ensures that strategies to prevent erosion are appropriate for local conditions and needs. As an example, a study conducted by Pimentel et al. (2004) found that soil erosion was decreased by 50% over one decade through community-organized watershed management schemes in Ethiopia, while availability of water along with agricultural production were also increased. Similarly, the participatory watershed management program initiated under the National Watershed Development Project for Rainfed Areas (NWDPRA) in India has been effective in reducing erosion and enhancing livelihoods through exercises such as contour trenching, afforestation, and water harvesting (Wani et al., 2008). These instances indicate the role of community engagement in the scalability and sustainability of measures in stemming erosion.</w:t>
      </w:r>
    </w:p>
    <w:p w:rsidR="006E72E0" w:rsidRPr="008F3F37" w:rsidRDefault="006E72E0" w:rsidP="008F3F37">
      <w:pPr>
        <w:pStyle w:val="Heading3"/>
        <w:numPr>
          <w:ilvl w:val="0"/>
          <w:numId w:val="0"/>
        </w:numPr>
        <w:spacing w:line="360" w:lineRule="auto"/>
        <w:jc w:val="both"/>
        <w:rPr>
          <w:szCs w:val="24"/>
        </w:rPr>
      </w:pPr>
      <w:r w:rsidRPr="008F3F37">
        <w:rPr>
          <w:szCs w:val="24"/>
        </w:rPr>
        <w:t xml:space="preserve">However, the success of IWM depends on strong institutional support, adequate financing, and the capability of local societies to interact meaningfully. Barriers such as conflicting land-use priorities, technical inability, and inadequate financial capabilities are likely to hinder the rollout of IWM programs. For instance, a study by Garg et al. (2012) listed that the lack of coordination among government departments and the local people in Nepal led to the failure of many </w:t>
      </w:r>
      <w:r w:rsidRPr="008F3F37">
        <w:rPr>
          <w:szCs w:val="24"/>
        </w:rPr>
        <w:lastRenderedPageBreak/>
        <w:t>watershed management projects. Due to these factors, scholars and practitioners have suggested capacity-building programs, open governance institutions, and long-term financial commitments.</w:t>
      </w:r>
    </w:p>
    <w:p w:rsidR="006E72E0" w:rsidRPr="008F3F37" w:rsidRDefault="006E72E0" w:rsidP="008F3F37">
      <w:pPr>
        <w:pStyle w:val="Heading4"/>
        <w:spacing w:line="360" w:lineRule="auto"/>
        <w:jc w:val="both"/>
      </w:pPr>
      <w:r w:rsidRPr="008F3F37">
        <w:t>Payments for Ecosystem Services (PES)</w:t>
      </w:r>
    </w:p>
    <w:p w:rsidR="006E72E0" w:rsidRPr="008F3F37" w:rsidRDefault="006E72E0" w:rsidP="008F3F37">
      <w:pPr>
        <w:pStyle w:val="Heading3"/>
        <w:numPr>
          <w:ilvl w:val="0"/>
          <w:numId w:val="0"/>
        </w:numPr>
        <w:spacing w:line="360" w:lineRule="auto"/>
        <w:jc w:val="both"/>
        <w:rPr>
          <w:szCs w:val="24"/>
        </w:rPr>
      </w:pPr>
      <w:r w:rsidRPr="008F3F37">
        <w:rPr>
          <w:szCs w:val="24"/>
        </w:rPr>
        <w:t>Payments for Ecosystem Services (PES) are a policy tool for erosiion control, particularly for developing countries. PES programmes make land owners and communities undertake sustainable land management using monetary or in-kind payment as incentives to obtain ecosystem services such as the conservation of soils, regulation of water, and sequestration of carbon. A good example is Costa Rica's PES program that has been able to effectively combat deforestation and soil erosion decrease by compensating landowners for conservation and afforestation activities (Wunder et al., 2008). In China, the Sloping Land Conversion Program (SLCP) has also been successful in preventing erosion on sloping agricultural land by converting it into forests and grasslands, and the result has accrued to millions of rural families (Liu et al., 2008).</w:t>
      </w:r>
    </w:p>
    <w:p w:rsidR="006E72E0" w:rsidRPr="008F3F37" w:rsidRDefault="006E72E0" w:rsidP="008F3F37">
      <w:pPr>
        <w:pStyle w:val="Heading3"/>
        <w:numPr>
          <w:ilvl w:val="0"/>
          <w:numId w:val="0"/>
        </w:numPr>
        <w:spacing w:line="360" w:lineRule="auto"/>
        <w:jc w:val="both"/>
        <w:rPr>
          <w:szCs w:val="24"/>
        </w:rPr>
      </w:pPr>
      <w:r w:rsidRPr="008F3F37">
        <w:rPr>
          <w:szCs w:val="24"/>
        </w:rPr>
        <w:t>Although PES initiatives have been found to be beneficial, their efficiency relies on attentive design and practice. Among challenges are equitable sharing of benefits, redressing inequalities in power relationships, and establishing PES target goals with agreement from local planning priorities. Illustratively, the study by Pascual et al. (2014) revealed that marginalization of social groups, i.e., pastoralists and women, occurred for PES interventions in East Africa because of distorted land tenure rules. To overcome these challenges, researchers have advocated participatory approaches that involve all stakeholders in planning and executing PES programs.</w:t>
      </w:r>
    </w:p>
    <w:p w:rsidR="006E72E0" w:rsidRPr="008F3F37" w:rsidRDefault="006E72E0" w:rsidP="008F3F37">
      <w:pPr>
        <w:pStyle w:val="Heading4"/>
        <w:spacing w:line="360" w:lineRule="auto"/>
        <w:jc w:val="both"/>
      </w:pPr>
      <w:r w:rsidRPr="008F3F37">
        <w:t>Land Tenure Reforms and Policy Frameworks</w:t>
      </w:r>
    </w:p>
    <w:p w:rsidR="006E72E0" w:rsidRPr="008F3F37" w:rsidRDefault="006E72E0" w:rsidP="008F3F37">
      <w:pPr>
        <w:pStyle w:val="Heading3"/>
        <w:numPr>
          <w:ilvl w:val="0"/>
          <w:numId w:val="0"/>
        </w:numPr>
        <w:spacing w:line="360" w:lineRule="auto"/>
        <w:jc w:val="both"/>
        <w:rPr>
          <w:szCs w:val="24"/>
        </w:rPr>
      </w:pPr>
      <w:r w:rsidRPr="008F3F37">
        <w:rPr>
          <w:szCs w:val="24"/>
        </w:rPr>
        <w:t xml:space="preserve">Land tenure security is one of the main impetuses of the implementation of erosion control practices. Ambiguity or insecurity of land ownership in most regions holds farmers back from investing in long-term soil conservation practices. Reforms to land tenure aimed at rendering the rights over land clear and secure have been known to stimulate sustainable land use and reduce erosion. For instance, in Rwanda, the Land Tenure Regularization Program (LTRP) has motivated farmers to adopt terracing and agroforestry using formal titles of land (Ali et al., 2014). Furthermore, in Brazil, erosion and deforestation have been controlled by regularizing </w:t>
      </w:r>
      <w:r w:rsidRPr="008F3F37">
        <w:rPr>
          <w:szCs w:val="24"/>
        </w:rPr>
        <w:lastRenderedPageBreak/>
        <w:t>land ownership and promoting the use of sustainable land use through the Legal Land Program (Sparovek et al., 2010).</w:t>
      </w:r>
    </w:p>
    <w:p w:rsidR="006E72E0" w:rsidRPr="008F3F37" w:rsidRDefault="006E72E0" w:rsidP="008F3F37">
      <w:pPr>
        <w:pStyle w:val="Heading3"/>
        <w:numPr>
          <w:ilvl w:val="0"/>
          <w:numId w:val="0"/>
        </w:numPr>
        <w:spacing w:line="360" w:lineRule="auto"/>
        <w:jc w:val="both"/>
        <w:rPr>
          <w:szCs w:val="24"/>
        </w:rPr>
      </w:pPr>
      <w:r w:rsidRPr="008F3F37">
        <w:rPr>
          <w:szCs w:val="24"/>
        </w:rPr>
        <w:t>However, land tenure reforms alone cannot prevent erosion. They must be accompanied by supportive policy environments providing technical assistance, economic incentives, and market opportunities. For example, in Kenya, the synergism of land tenure reforms and state-led soil conservation has greatly reduced erosion in the highlands (Tiffen et al., 1994). The outcomes indicate that land tenure reforms should be coordinated with general policy programs to ensure erosion control sustainably.</w:t>
      </w:r>
    </w:p>
    <w:p w:rsidR="006E72E0" w:rsidRPr="008F3F37" w:rsidRDefault="006E72E0" w:rsidP="008F3F37">
      <w:pPr>
        <w:pStyle w:val="Heading4"/>
        <w:spacing w:line="360" w:lineRule="auto"/>
        <w:jc w:val="both"/>
      </w:pPr>
      <w:r w:rsidRPr="008F3F37">
        <w:t>Community-Based Participatory Approaches</w:t>
      </w:r>
    </w:p>
    <w:p w:rsidR="006E72E0" w:rsidRPr="008F3F37" w:rsidRDefault="006E72E0" w:rsidP="008F3F37">
      <w:pPr>
        <w:pStyle w:val="Heading3"/>
        <w:numPr>
          <w:ilvl w:val="0"/>
          <w:numId w:val="0"/>
        </w:numPr>
        <w:spacing w:line="360" w:lineRule="auto"/>
        <w:jc w:val="both"/>
        <w:rPr>
          <w:szCs w:val="24"/>
        </w:rPr>
      </w:pPr>
      <w:r w:rsidRPr="008F3F37">
        <w:rPr>
          <w:szCs w:val="24"/>
        </w:rPr>
        <w:t>Community-based participatory approaches encourage the active involvement of local communities in the planning, implementation, and monitoring of erosion control measures. They utilize local knowledge, social networks, and traditions to formulate culturally acceptable, economically feasible context-specific solutions. For example, in the Philippines, Landcare has successfully combated erosion via community-driven efforts such as contour farming, afforestation, and establishment of farmer cooperatives (Garrity et al., 2002). Similarly, in Burkina Faso, the Zaï technique, which is a native soil and water conservation technique, has been revitalized by extension programs centered around communities and, in turn, has seen substantial reductions in erosion and rises in crop production (Reij et al., 2005).</w:t>
      </w:r>
    </w:p>
    <w:p w:rsidR="006E72E0" w:rsidRPr="008F3F37" w:rsidRDefault="006E72E0" w:rsidP="008F3F37">
      <w:pPr>
        <w:pStyle w:val="Heading3"/>
        <w:numPr>
          <w:ilvl w:val="0"/>
          <w:numId w:val="0"/>
        </w:numPr>
        <w:spacing w:line="360" w:lineRule="auto"/>
        <w:jc w:val="both"/>
        <w:rPr>
          <w:szCs w:val="24"/>
        </w:rPr>
      </w:pPr>
      <w:r w:rsidRPr="008F3F37">
        <w:rPr>
          <w:szCs w:val="24"/>
        </w:rPr>
        <w:t>Community-based intervention success hinges on trust creation, social bonding, and enabling local institutions. Technical capacity constraints, resource inadequacies, and conflicting interests could undermine the value of such interventions. A case in point is a study by Pretty et al. (2010) which found technical and financial constraints thwarted scaling up of sub-Saharan Africa community-based erosion control practices. To address such challenges, experts have emphasized the importance of external aid, capacity building, and the integration of local knowledge and traditional practices with modern scientific research.</w:t>
      </w:r>
    </w:p>
    <w:p w:rsidR="006E72E0" w:rsidRPr="008F3F37" w:rsidRDefault="006E72E0" w:rsidP="008F3F37">
      <w:pPr>
        <w:pStyle w:val="Heading4"/>
        <w:spacing w:line="360" w:lineRule="auto"/>
        <w:jc w:val="both"/>
      </w:pPr>
      <w:r w:rsidRPr="008F3F37">
        <w:t>Discussion and Synthesis</w:t>
      </w:r>
    </w:p>
    <w:p w:rsidR="006E72E0" w:rsidRPr="008F3F37" w:rsidRDefault="006E72E0" w:rsidP="008F3F37">
      <w:pPr>
        <w:pStyle w:val="Heading3"/>
        <w:numPr>
          <w:ilvl w:val="0"/>
          <w:numId w:val="0"/>
        </w:numPr>
        <w:spacing w:line="360" w:lineRule="auto"/>
        <w:jc w:val="both"/>
        <w:rPr>
          <w:szCs w:val="24"/>
        </w:rPr>
      </w:pPr>
      <w:r w:rsidRPr="008F3F37">
        <w:rPr>
          <w:szCs w:val="24"/>
        </w:rPr>
        <w:lastRenderedPageBreak/>
        <w:t>Policy and community-based measures to control erosion have a number of benefits over technical solutions alone. By tackling the root socio-economic and institutional causes of erosion, these measures foster sustainable land management and increase the resilience of local communities. Watershed management, PES programs, land tenure reforms, and community-based participatory approaches have all shown the potential to control erosion while providing co-benefits like enhanced livelihoods, biodiversity conservation, and climate change mitigation.</w:t>
      </w:r>
    </w:p>
    <w:p w:rsidR="006E72E0" w:rsidRPr="008F3F37" w:rsidRDefault="006E72E0" w:rsidP="008F3F37">
      <w:pPr>
        <w:pStyle w:val="Heading3"/>
        <w:numPr>
          <w:ilvl w:val="0"/>
          <w:numId w:val="0"/>
        </w:numPr>
        <w:spacing w:line="360" w:lineRule="auto"/>
        <w:jc w:val="both"/>
        <w:rPr>
          <w:szCs w:val="24"/>
        </w:rPr>
      </w:pPr>
      <w:r w:rsidRPr="008F3F37">
        <w:rPr>
          <w:szCs w:val="24"/>
        </w:rPr>
        <w:t>Yet, these solutions are successful depending on whether or not they resolve critical issues of inequitable benefit allocation, constrained technical skills, and insufficiencies of financial assets. To circumvent these impediments, ensuing attempts must invest efforts in making institutions stronger, advancing multi-stakeholder alliances, and mixing ancient wisdom with current scientific principles. Through this multifaceted, inclusive effort, it becomes conceivable to maintain lasting erosion mitigation as well as promote the well-being of the populace and planet alike.</w:t>
      </w:r>
    </w:p>
    <w:p w:rsidR="003D4CC7" w:rsidRPr="008F3F37" w:rsidRDefault="003D4CC7" w:rsidP="008F3F37">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8F3F37">
        <w:rPr>
          <w:rFonts w:ascii="Times New Roman" w:eastAsia="Times New Roman" w:hAnsi="Times New Roman" w:cs="Times New Roman"/>
          <w:b/>
          <w:bCs/>
          <w:sz w:val="24"/>
          <w:szCs w:val="24"/>
        </w:rPr>
        <w:t>Conclusion</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t>The conclusion of this systematic review of literature consolidates the most significant findings and observations derived from the rigorous analysis of 21st-century erosion control practices. It highlights the extensive leap in developing and implementing diverse erosion control methods and also outlines the continuing challenges and opportunities for practice and research in the future. The 21st century has been marked by an increasing consciousness of the interrelatedness of environmental, social, and economic systems, leading to a call for a more holistic and integrated response to erosion control. This is evident in the increasing emphasis on sustainable land management approaches, community-based solutions, and integration of traditional knowledge with modern scientific breakthroughs.</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t xml:space="preserve">One of the most significant developments in 21st-century erosion control methods has been the global use of vegetative and bioengineering methods. These methods, which take advantage of the naturally stabilizing properties of vegetation and organic materials, have proven to be highly effective in reducing soil erosion while simultaneously providing other environmental benefits such as carbon sequestration, biodiversity conservation, and improved water quality. For </w:t>
      </w:r>
      <w:r w:rsidRPr="008F3F37">
        <w:rPr>
          <w:rFonts w:ascii="Times New Roman" w:eastAsia="Times New Roman" w:hAnsi="Times New Roman" w:cs="Times New Roman"/>
          <w:bCs/>
          <w:sz w:val="24"/>
          <w:szCs w:val="24"/>
        </w:rPr>
        <w:lastRenderedPageBreak/>
        <w:t>instance, the inclusion of cover crops and agroforestry systems has been shown to efficiently reduce soil erosion by enhancing soil structure and organic matter (Blanco-Canqui et al., 2015). Similarly, bioengineering applications like live staking and coir log placement have succeeded in streambank stabilization and mitigation of sediment load within water bodies (Gray &amp; Sotir, 2018). These methods are particularly useful in the tropics and subtropics, where the synergistic interaction of heavy rainfall and poor soils often leads to excessive erosion (Mishra et al., 2019). However, vegetative and bioengineering methods can be limited by climate variability, soil, and land use management, and therefore need site-specific careful planning and implementation.</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t>Structural measures of erosion control, while effective in certain cases, have been faced with challenges of cost, maintenance, and environmental impacts. Techniques such as terracing, check dams, and retaining walls are expensive and require technical expertise, thus less practical in resource-limited settings (Koerner, 2012). Moreover, the building of structural barriers at times results in obstruction of natural hydrological processes and can result in unintended environmental consequences, e.g., increased downstream sedimentation or habitat fragmentation (Nyssen et al., 2004). Despite such limitations, structural measures remain a primary component of the methods for managing erosion, particularly where the slopes are steep or there is much potential for erosion. The integration of structural methods with vegetative and bioengineering operations has been proved viable in terms of both effectiveness and sustainability, as demonstrated by the use of geosynthetic materials in slope stabilization (Koerner, 2012).</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t>Soil management methods have also become an integral part of 21st-century erosion control, particularly in agricultural environments. Conservation tillage, crop rotation, and organic amendment application have been used extensively because they have the potential to promote soil health while reducing erosion while maintaining agriculture productivity levels (Montgomery, 2007). Organic amendments such as compost and biochar have also been instrumental in improving soil structure, water holding capacity, and nutrient levels, which has reduced the susceptibility of degraded soils to erosion (Lehmann et al., 2011). However, application of such practices is generally constrained by farmer skills, availability of resources, and stimulation of the market, highlighting the need for focused extension services and policy assistance.</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lastRenderedPageBreak/>
        <w:t>Policy and community approaches have played a crucial role in fostering sustainable land management and erosion control at a landscape scale. Integrated watershed management programs, involving local communities in planning and implementation, have been effective in managing erosion and improving water quality in diverse settings (Pimentel et al., 2004). Payment for ecosystem services (PES) and land tenure reform policies have also been effective in managing erosion by incentivizing sustainable land management and allowing local stakeholders (Wunder et al., 2008). However, effectiveness in these interventions hinges on strong governance, stakeholder engagement, and adequate funding, which is challenging to obtain in practice.</w:t>
      </w:r>
    </w:p>
    <w:p w:rsidR="007D1443" w:rsidRPr="008F3F37" w:rsidRDefault="007D1443" w:rsidP="008F3F37">
      <w:pPr>
        <w:spacing w:before="100" w:beforeAutospacing="1" w:after="100" w:afterAutospacing="1" w:line="360" w:lineRule="auto"/>
        <w:jc w:val="both"/>
        <w:outlineLvl w:val="3"/>
        <w:rPr>
          <w:rFonts w:ascii="Times New Roman" w:eastAsia="Times New Roman" w:hAnsi="Times New Roman" w:cs="Times New Roman"/>
          <w:bCs/>
          <w:sz w:val="24"/>
          <w:szCs w:val="24"/>
        </w:rPr>
      </w:pPr>
      <w:r w:rsidRPr="008F3F37">
        <w:rPr>
          <w:rFonts w:ascii="Times New Roman" w:eastAsia="Times New Roman" w:hAnsi="Times New Roman" w:cs="Times New Roman"/>
          <w:bCs/>
          <w:sz w:val="24"/>
          <w:szCs w:val="24"/>
        </w:rPr>
        <w:t>All in all, the 21st century witnessed unprecedented advancement in erosion control strategies driven by the need to cope with the exacerbating impacts of climate change, land degradation, and food insecurity. While tremendous progress has been made, large-scale implementation of these methods and their sustainability in the long run remains a problem. The future course of research must be oriented towards optimizing the integration of multiple erosion control practices, optimizing involvement from the population, and the development of innovative solutions to overcome future problems. Through a participatory and multidisciplinary strategy, it is possible to reverse the impacts of erosion and achieve sustainable land management for the long term.</w:t>
      </w:r>
    </w:p>
    <w:p w:rsidR="00C067D2" w:rsidRDefault="003D4CC7" w:rsidP="009E1630">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8F3F37">
        <w:rPr>
          <w:rFonts w:ascii="Times New Roman" w:eastAsia="Times New Roman" w:hAnsi="Times New Roman" w:cs="Times New Roman"/>
          <w:b/>
          <w:bCs/>
          <w:sz w:val="24"/>
          <w:szCs w:val="24"/>
        </w:rPr>
        <w:t>References</w:t>
      </w:r>
    </w:p>
    <w:p w:rsidR="00C85707" w:rsidRDefault="00C85707" w:rsidP="00C85707">
      <w:pPr>
        <w:pStyle w:val="Heading1"/>
        <w:numPr>
          <w:ilvl w:val="0"/>
          <w:numId w:val="0"/>
        </w:numPr>
        <w:spacing w:line="360" w:lineRule="auto"/>
        <w:ind w:left="432" w:hanging="432"/>
        <w:jc w:val="both"/>
        <w:rPr>
          <w:rFonts w:eastAsia="Times New Roman" w:cs="Times New Roman"/>
          <w:color w:val="404040"/>
          <w:szCs w:val="24"/>
        </w:rPr>
      </w:pPr>
      <w:r w:rsidRPr="009A0EEB">
        <w:rPr>
          <w:rFonts w:eastAsia="Times New Roman" w:cs="Times New Roman"/>
          <w:color w:val="404040"/>
          <w:szCs w:val="24"/>
        </w:rPr>
        <w:lastRenderedPageBreak/>
        <w:t>Shaffril, H. A. M., Krauss, S. E., &amp; Samsuddi, S. F. (2018). A systematic review on Asian’s farmers’ adaptation practices towards climate change. Science of the Total Environment, 644, 683-695.</w:t>
      </w:r>
    </w:p>
    <w:p w:rsidR="00C85707" w:rsidRDefault="00C067D2" w:rsidP="00C85707">
      <w:pPr>
        <w:pStyle w:val="Heading1"/>
        <w:numPr>
          <w:ilvl w:val="0"/>
          <w:numId w:val="0"/>
        </w:numPr>
        <w:spacing w:line="360" w:lineRule="auto"/>
        <w:ind w:left="432" w:hanging="432"/>
        <w:jc w:val="both"/>
        <w:rPr>
          <w:rFonts w:cs="Times New Roman"/>
          <w:color w:val="404040"/>
          <w:szCs w:val="24"/>
        </w:rPr>
      </w:pPr>
      <w:r w:rsidRPr="00095C5E">
        <w:rPr>
          <w:rFonts w:cs="Times New Roman"/>
          <w:color w:val="404040"/>
          <w:szCs w:val="24"/>
        </w:rPr>
        <w:t>Ali, D. A., Deininger, K., &amp; Goldstein, M. (2014). Environmental and gender impacts of land tenure regularization in Africa: Pilot evidence from Rwanda. </w:t>
      </w:r>
      <w:r w:rsidRPr="00095C5E">
        <w:rPr>
          <w:rStyle w:val="Emphasis"/>
          <w:rFonts w:cs="Times New Roman"/>
          <w:color w:val="404040"/>
          <w:szCs w:val="24"/>
        </w:rPr>
        <w:t>Journal of Development Economics</w:t>
      </w:r>
      <w:r w:rsidRPr="00095C5E">
        <w:rPr>
          <w:rFonts w:cs="Times New Roman"/>
          <w:color w:val="404040"/>
          <w:szCs w:val="24"/>
        </w:rPr>
        <w:t>, 110, 262-275.</w:t>
      </w:r>
    </w:p>
    <w:p w:rsidR="00A13B36" w:rsidRDefault="00C067D2" w:rsidP="00A13B36">
      <w:pPr>
        <w:pStyle w:val="Heading1"/>
        <w:numPr>
          <w:ilvl w:val="0"/>
          <w:numId w:val="0"/>
        </w:numPr>
        <w:spacing w:line="360" w:lineRule="auto"/>
        <w:ind w:left="432" w:hanging="432"/>
        <w:jc w:val="both"/>
        <w:rPr>
          <w:rFonts w:cs="Times New Roman"/>
          <w:color w:val="404040"/>
          <w:szCs w:val="24"/>
        </w:rPr>
      </w:pPr>
      <w:r w:rsidRPr="00095C5E">
        <w:rPr>
          <w:rFonts w:cs="Times New Roman"/>
          <w:color w:val="404040"/>
          <w:szCs w:val="24"/>
        </w:rPr>
        <w:t>Blanco-Canqui, H., Shaver, T. M., Lindquist, J. L., Shapiro, C. A., Elmore, R. W., Francis, C. A., &amp; Hergert, G. W. (2015). Cover crops and ecosystem services: Insights from studies in temperate soils. </w:t>
      </w:r>
      <w:r w:rsidRPr="00095C5E">
        <w:rPr>
          <w:rStyle w:val="Emphasis"/>
          <w:rFonts w:cs="Times New Roman"/>
          <w:color w:val="404040"/>
          <w:szCs w:val="24"/>
        </w:rPr>
        <w:t>Agronomy Journal</w:t>
      </w:r>
      <w:r w:rsidRPr="00095C5E">
        <w:rPr>
          <w:rFonts w:cs="Times New Roman"/>
          <w:color w:val="404040"/>
          <w:szCs w:val="24"/>
        </w:rPr>
        <w:t>, 107(6), 2449-2474.</w:t>
      </w:r>
    </w:p>
    <w:p w:rsidR="00A13B36" w:rsidRDefault="00C067D2" w:rsidP="00A13B36">
      <w:pPr>
        <w:pStyle w:val="Heading1"/>
        <w:numPr>
          <w:ilvl w:val="0"/>
          <w:numId w:val="0"/>
        </w:numPr>
        <w:spacing w:line="360" w:lineRule="auto"/>
        <w:ind w:left="432" w:hanging="432"/>
        <w:jc w:val="both"/>
        <w:rPr>
          <w:rFonts w:cs="Times New Roman"/>
          <w:color w:val="404040"/>
          <w:szCs w:val="24"/>
        </w:rPr>
      </w:pPr>
      <w:r w:rsidRPr="00095C5E">
        <w:rPr>
          <w:rFonts w:cs="Times New Roman"/>
          <w:color w:val="404040"/>
          <w:szCs w:val="24"/>
        </w:rPr>
        <w:t>Chazdon, R. L., Brancalion, P. H., Laestadius, L., Bennett-Curry, A.,</w:t>
      </w:r>
      <w:r>
        <w:rPr>
          <w:color w:val="404040"/>
        </w:rPr>
        <w:t xml:space="preserve"> Buckingham, K., Kumar, C., </w:t>
      </w:r>
      <w:r w:rsidRPr="00095C5E">
        <w:rPr>
          <w:rFonts w:cs="Times New Roman"/>
          <w:color w:val="404040"/>
          <w:szCs w:val="24"/>
        </w:rPr>
        <w:t>&amp; Wilson, S. J. (2017). When is a forest a forest? Forest concepts and definitions in the era of forest and landscape restoration. </w:t>
      </w:r>
      <w:r w:rsidRPr="00095C5E">
        <w:rPr>
          <w:rStyle w:val="Emphasis"/>
          <w:rFonts w:cs="Times New Roman"/>
          <w:color w:val="404040"/>
          <w:szCs w:val="24"/>
        </w:rPr>
        <w:t>Ambio</w:t>
      </w:r>
      <w:r w:rsidRPr="00095C5E">
        <w:rPr>
          <w:rFonts w:cs="Times New Roman"/>
          <w:color w:val="404040"/>
          <w:szCs w:val="24"/>
        </w:rPr>
        <w:t>, 46(5), 538-550.</w:t>
      </w:r>
    </w:p>
    <w:p w:rsidR="00A13B36" w:rsidRDefault="00C067D2" w:rsidP="00A13B36">
      <w:pPr>
        <w:pStyle w:val="Heading1"/>
        <w:numPr>
          <w:ilvl w:val="0"/>
          <w:numId w:val="0"/>
        </w:numPr>
        <w:spacing w:line="360" w:lineRule="auto"/>
        <w:ind w:left="432" w:hanging="432"/>
        <w:jc w:val="both"/>
        <w:rPr>
          <w:rFonts w:cs="Times New Roman"/>
          <w:color w:val="404040"/>
          <w:szCs w:val="24"/>
        </w:rPr>
      </w:pPr>
      <w:r w:rsidRPr="00095C5E">
        <w:rPr>
          <w:rFonts w:cs="Times New Roman"/>
          <w:color w:val="404040"/>
          <w:szCs w:val="24"/>
        </w:rPr>
        <w:t>Das, B. M. (2010). </w:t>
      </w:r>
      <w:r w:rsidRPr="00095C5E">
        <w:rPr>
          <w:rStyle w:val="Emphasis"/>
          <w:rFonts w:cs="Times New Roman"/>
          <w:color w:val="404040"/>
          <w:szCs w:val="24"/>
        </w:rPr>
        <w:t>Principles of geotechnical engineering</w:t>
      </w:r>
      <w:r w:rsidRPr="00095C5E">
        <w:rPr>
          <w:rFonts w:cs="Times New Roman"/>
          <w:color w:val="404040"/>
          <w:szCs w:val="24"/>
        </w:rPr>
        <w:t>. Cengage Learning.</w:t>
      </w:r>
    </w:p>
    <w:p w:rsidR="00A13B36" w:rsidRDefault="00C067D2" w:rsidP="00A13B36">
      <w:pPr>
        <w:pStyle w:val="Heading1"/>
        <w:numPr>
          <w:ilvl w:val="0"/>
          <w:numId w:val="0"/>
        </w:numPr>
        <w:spacing w:line="360" w:lineRule="auto"/>
        <w:ind w:left="432" w:hanging="432"/>
        <w:jc w:val="both"/>
        <w:rPr>
          <w:rFonts w:cs="Times New Roman"/>
          <w:color w:val="404040"/>
          <w:szCs w:val="24"/>
        </w:rPr>
      </w:pPr>
      <w:r w:rsidRPr="00095C5E">
        <w:rPr>
          <w:rFonts w:cs="Times New Roman"/>
          <w:color w:val="404040"/>
          <w:szCs w:val="24"/>
        </w:rPr>
        <w:t>Derpsch, R., Friedrich, T., Kassam, A., &amp; Li, H. (2010). Current status of adoption of no-till farming in the world and some of its main benefits. </w:t>
      </w:r>
      <w:r w:rsidRPr="00095C5E">
        <w:rPr>
          <w:rStyle w:val="Emphasis"/>
          <w:rFonts w:cs="Times New Roman"/>
          <w:color w:val="404040"/>
          <w:szCs w:val="24"/>
        </w:rPr>
        <w:t>International Journal of Agricultural and Biological Engineering</w:t>
      </w:r>
      <w:r w:rsidRPr="00095C5E">
        <w:rPr>
          <w:rFonts w:cs="Times New Roman"/>
          <w:color w:val="404040"/>
          <w:szCs w:val="24"/>
        </w:rPr>
        <w:t>, 3(1), 1-25.</w:t>
      </w:r>
    </w:p>
    <w:p w:rsidR="00C067D2" w:rsidRPr="00A13B36" w:rsidRDefault="00C067D2" w:rsidP="00A13B36">
      <w:pPr>
        <w:pStyle w:val="Heading1"/>
        <w:numPr>
          <w:ilvl w:val="0"/>
          <w:numId w:val="0"/>
        </w:numPr>
        <w:spacing w:line="360" w:lineRule="auto"/>
        <w:ind w:left="432" w:hanging="432"/>
        <w:jc w:val="both"/>
        <w:rPr>
          <w:rFonts w:eastAsia="Times New Roman" w:cs="Times New Roman"/>
          <w:color w:val="404040"/>
          <w:szCs w:val="24"/>
        </w:rPr>
      </w:pPr>
      <w:r w:rsidRPr="00095C5E">
        <w:rPr>
          <w:rFonts w:cs="Times New Roman"/>
          <w:color w:val="404040"/>
          <w:szCs w:val="24"/>
        </w:rPr>
        <w:t>Diacono, M., &amp; Montemurro, F. (2010). Long-term effects of organic amendments on soil fertility: A review. </w:t>
      </w:r>
      <w:r w:rsidRPr="00095C5E">
        <w:rPr>
          <w:rStyle w:val="Emphasis"/>
          <w:rFonts w:cs="Times New Roman"/>
          <w:color w:val="404040"/>
          <w:szCs w:val="24"/>
        </w:rPr>
        <w:t>Agronomy for Sustainable Development</w:t>
      </w:r>
      <w:r w:rsidRPr="00095C5E">
        <w:rPr>
          <w:rFonts w:cs="Times New Roman"/>
          <w:color w:val="404040"/>
          <w:szCs w:val="24"/>
        </w:rPr>
        <w:t>, 30(2), 401-422.</w:t>
      </w:r>
    </w:p>
    <w:p w:rsidR="001F1B3C" w:rsidRDefault="00C067D2" w:rsidP="001F1B3C">
      <w:pPr>
        <w:pStyle w:val="NormalWeb"/>
        <w:spacing w:before="0" w:beforeAutospacing="0" w:line="360" w:lineRule="auto"/>
        <w:ind w:left="360"/>
        <w:jc w:val="both"/>
        <w:rPr>
          <w:color w:val="404040"/>
        </w:rPr>
      </w:pPr>
      <w:r w:rsidRPr="00095C5E">
        <w:rPr>
          <w:color w:val="404040"/>
        </w:rPr>
        <w:t>Fiener, P., Auerswald, K., &amp; Weigand, S. (2011). Managing erosion and water quality in agricultural watersheds by small detention ponds. </w:t>
      </w:r>
      <w:r w:rsidRPr="00095C5E">
        <w:rPr>
          <w:rStyle w:val="Emphasis"/>
          <w:color w:val="404040"/>
        </w:rPr>
        <w:t>Agriculture, Ecosystems &amp; Environment</w:t>
      </w:r>
      <w:r w:rsidRPr="00095C5E">
        <w:rPr>
          <w:color w:val="404040"/>
        </w:rPr>
        <w:t>, 140(1-2), 329-337.</w:t>
      </w:r>
    </w:p>
    <w:p w:rsidR="001F1B3C" w:rsidRPr="00095C5E" w:rsidRDefault="001F1B3C" w:rsidP="001F1B3C">
      <w:pPr>
        <w:pStyle w:val="NormalWeb"/>
        <w:spacing w:before="0" w:beforeAutospacing="0" w:line="360" w:lineRule="auto"/>
        <w:ind w:left="360"/>
        <w:jc w:val="both"/>
        <w:rPr>
          <w:color w:val="404040"/>
        </w:rPr>
      </w:pPr>
      <w:r w:rsidRPr="00095C5E">
        <w:rPr>
          <w:color w:val="404040"/>
        </w:rPr>
        <w:t>Garrity, D. P., Akinnifesi, F. K., Ajayi, O. C., Weldesemayat, S. G., Mowo, J. G., Kalinganire, A., ... &amp; Bayala, J. (2002). Evergreen Agriculture: A robust approach to sustainable food security in Africa. </w:t>
      </w:r>
      <w:r w:rsidRPr="00095C5E">
        <w:rPr>
          <w:rStyle w:val="Emphasis"/>
          <w:color w:val="404040"/>
        </w:rPr>
        <w:t>Food Security</w:t>
      </w:r>
      <w:r w:rsidRPr="00095C5E">
        <w:rPr>
          <w:color w:val="404040"/>
        </w:rPr>
        <w:t>, 2(3), 197-214.</w:t>
      </w:r>
    </w:p>
    <w:p w:rsidR="001F1B3C" w:rsidRDefault="001F1B3C" w:rsidP="00A13B36">
      <w:pPr>
        <w:pStyle w:val="NormalWeb"/>
        <w:spacing w:before="0" w:beforeAutospacing="0" w:line="360" w:lineRule="auto"/>
        <w:ind w:left="360"/>
        <w:jc w:val="both"/>
        <w:rPr>
          <w:color w:val="404040"/>
        </w:rPr>
      </w:pPr>
    </w:p>
    <w:p w:rsidR="00A13B36" w:rsidRDefault="00C067D2" w:rsidP="00A13B36">
      <w:pPr>
        <w:pStyle w:val="NormalWeb"/>
        <w:spacing w:before="0" w:beforeAutospacing="0" w:line="360" w:lineRule="auto"/>
        <w:ind w:left="360"/>
        <w:jc w:val="both"/>
        <w:rPr>
          <w:color w:val="404040"/>
        </w:rPr>
      </w:pPr>
      <w:r w:rsidRPr="00095C5E">
        <w:rPr>
          <w:color w:val="404040"/>
        </w:rPr>
        <w:t>Garg, K. K., Wani, S. P., Barron, J., Karlberg, L., &amp; Rockström, J. (2012). Up-scaling potential impacts on water flows from agricultural water interventions: Opportunities and trade-offs in the Osman Sagar catchment, Musi sub-basin, India. </w:t>
      </w:r>
      <w:r w:rsidRPr="00095C5E">
        <w:rPr>
          <w:rStyle w:val="Emphasis"/>
          <w:color w:val="404040"/>
        </w:rPr>
        <w:t>Hydrological Processes</w:t>
      </w:r>
      <w:r w:rsidRPr="00095C5E">
        <w:rPr>
          <w:color w:val="404040"/>
        </w:rPr>
        <w:t>, 27(26), 3905-3921.</w:t>
      </w:r>
    </w:p>
    <w:p w:rsidR="00C067D2" w:rsidRPr="00095C5E" w:rsidRDefault="00C067D2" w:rsidP="00C067D2">
      <w:pPr>
        <w:pStyle w:val="NormalWeb"/>
        <w:spacing w:before="0" w:beforeAutospacing="0" w:line="360" w:lineRule="auto"/>
        <w:ind w:left="360"/>
        <w:jc w:val="both"/>
        <w:rPr>
          <w:color w:val="404040"/>
        </w:rPr>
      </w:pPr>
      <w:r w:rsidRPr="00095C5E">
        <w:rPr>
          <w:color w:val="404040"/>
        </w:rPr>
        <w:t>Gray, D. H., &amp; Sotir, R. B. (2018). </w:t>
      </w:r>
      <w:r w:rsidRPr="00095C5E">
        <w:rPr>
          <w:rStyle w:val="Emphasis"/>
          <w:color w:val="404040"/>
        </w:rPr>
        <w:t>Biotechnical and soil bioengineering slope stabilization: A practical guide for erosion control</w:t>
      </w:r>
      <w:r w:rsidRPr="00095C5E">
        <w:rPr>
          <w:color w:val="404040"/>
        </w:rPr>
        <w:t>. John Wiley &amp; Sons.</w:t>
      </w:r>
    </w:p>
    <w:p w:rsidR="00C067D2" w:rsidRPr="00095C5E" w:rsidRDefault="00C067D2" w:rsidP="00C067D2">
      <w:pPr>
        <w:pStyle w:val="NormalWeb"/>
        <w:spacing w:before="0" w:beforeAutospacing="0" w:line="360" w:lineRule="auto"/>
        <w:ind w:left="360"/>
        <w:jc w:val="both"/>
        <w:rPr>
          <w:color w:val="404040"/>
        </w:rPr>
      </w:pPr>
      <w:r w:rsidRPr="00095C5E">
        <w:rPr>
          <w:color w:val="404040"/>
        </w:rPr>
        <w:t>IPCC. (2021). Climate Change 2021: The Physical Science Basis. Contribution of Working Group I to the Sixth Assessment Report of the Intergovernmental Panel on Climate Change. Cambridge University Press.</w:t>
      </w:r>
    </w:p>
    <w:p w:rsidR="00C067D2" w:rsidRPr="00095C5E" w:rsidRDefault="00C067D2" w:rsidP="00C067D2">
      <w:pPr>
        <w:pStyle w:val="NormalWeb"/>
        <w:spacing w:before="0" w:beforeAutospacing="0" w:line="360" w:lineRule="auto"/>
        <w:ind w:left="360"/>
        <w:jc w:val="both"/>
        <w:rPr>
          <w:color w:val="404040"/>
        </w:rPr>
      </w:pPr>
      <w:r w:rsidRPr="00095C5E">
        <w:rPr>
          <w:color w:val="404040"/>
        </w:rPr>
        <w:t>Kaspar, T. C., &amp; Singer, J. W. (2011). The use of cover crops to manage soil. </w:t>
      </w:r>
      <w:r w:rsidRPr="00095C5E">
        <w:rPr>
          <w:rStyle w:val="Emphasis"/>
          <w:color w:val="404040"/>
        </w:rPr>
        <w:t>Soil Management: Building a Stable Base for Agriculture</w:t>
      </w:r>
      <w:r w:rsidRPr="00095C5E">
        <w:rPr>
          <w:color w:val="404040"/>
        </w:rPr>
        <w:t>, 321-337.</w:t>
      </w:r>
    </w:p>
    <w:p w:rsidR="00C067D2" w:rsidRPr="00095C5E" w:rsidRDefault="00C067D2" w:rsidP="00C067D2">
      <w:pPr>
        <w:pStyle w:val="NormalWeb"/>
        <w:spacing w:before="0" w:beforeAutospacing="0" w:line="360" w:lineRule="auto"/>
        <w:ind w:left="360"/>
        <w:jc w:val="both"/>
        <w:rPr>
          <w:color w:val="404040"/>
        </w:rPr>
      </w:pPr>
      <w:r w:rsidRPr="00095C5E">
        <w:rPr>
          <w:color w:val="404040"/>
        </w:rPr>
        <w:t>Koerner, R. M. (2012). </w:t>
      </w:r>
      <w:r w:rsidRPr="00095C5E">
        <w:rPr>
          <w:rStyle w:val="Emphasis"/>
          <w:color w:val="404040"/>
        </w:rPr>
        <w:t>Designing with geosynthetics</w:t>
      </w:r>
      <w:r w:rsidRPr="00095C5E">
        <w:rPr>
          <w:color w:val="404040"/>
        </w:rPr>
        <w:t>. Xlibris Corporation.</w:t>
      </w:r>
    </w:p>
    <w:p w:rsidR="00C067D2" w:rsidRPr="00095C5E" w:rsidRDefault="00C067D2" w:rsidP="00C067D2">
      <w:pPr>
        <w:pStyle w:val="NormalWeb"/>
        <w:spacing w:before="0" w:beforeAutospacing="0" w:line="360" w:lineRule="auto"/>
        <w:ind w:left="360"/>
        <w:jc w:val="both"/>
        <w:rPr>
          <w:color w:val="404040"/>
        </w:rPr>
      </w:pPr>
      <w:r w:rsidRPr="00095C5E">
        <w:rPr>
          <w:color w:val="404040"/>
        </w:rPr>
        <w:t>Lal, R. (2015). Restoring soil quality to mitigate soil degradation. </w:t>
      </w:r>
      <w:r w:rsidRPr="00095C5E">
        <w:rPr>
          <w:rStyle w:val="Emphasis"/>
          <w:color w:val="404040"/>
        </w:rPr>
        <w:t>Sustainability</w:t>
      </w:r>
      <w:r w:rsidRPr="00095C5E">
        <w:rPr>
          <w:color w:val="404040"/>
        </w:rPr>
        <w:t>, 7(5), 5875-5895.</w:t>
      </w:r>
    </w:p>
    <w:p w:rsidR="00C067D2" w:rsidRPr="00095C5E" w:rsidRDefault="00C067D2" w:rsidP="00C067D2">
      <w:pPr>
        <w:pStyle w:val="NormalWeb"/>
        <w:spacing w:before="0" w:beforeAutospacing="0" w:line="360" w:lineRule="auto"/>
        <w:ind w:left="360"/>
        <w:jc w:val="both"/>
        <w:rPr>
          <w:color w:val="404040"/>
        </w:rPr>
      </w:pPr>
      <w:r w:rsidRPr="00095C5E">
        <w:rPr>
          <w:color w:val="404040"/>
        </w:rPr>
        <w:t>Lal, R. (2018). Digging deeper: A holistic perspective of factors affecting soil organic carbon sequestration in agroecosystems. </w:t>
      </w:r>
      <w:r w:rsidRPr="00095C5E">
        <w:rPr>
          <w:rStyle w:val="Emphasis"/>
          <w:color w:val="404040"/>
        </w:rPr>
        <w:t>Global Change Biology</w:t>
      </w:r>
      <w:r w:rsidRPr="00095C5E">
        <w:rPr>
          <w:color w:val="404040"/>
        </w:rPr>
        <w:t>, 24(8), 3285-3301.</w:t>
      </w:r>
    </w:p>
    <w:p w:rsidR="00C067D2" w:rsidRPr="00095C5E" w:rsidRDefault="00C067D2" w:rsidP="00C067D2">
      <w:pPr>
        <w:pStyle w:val="NormalWeb"/>
        <w:spacing w:before="0" w:beforeAutospacing="0" w:line="360" w:lineRule="auto"/>
        <w:ind w:left="360"/>
        <w:jc w:val="both"/>
        <w:rPr>
          <w:color w:val="404040"/>
        </w:rPr>
      </w:pPr>
      <w:r w:rsidRPr="00095C5E">
        <w:rPr>
          <w:color w:val="404040"/>
        </w:rPr>
        <w:t>Lehmann, J., Rillig, M. C., Thies, J., Masiello, C. A., Hockaday, W. C., &amp; Crowley, D. (2011). Biochar effects on soil biota–A review. </w:t>
      </w:r>
      <w:r w:rsidRPr="00095C5E">
        <w:rPr>
          <w:rStyle w:val="Emphasis"/>
          <w:color w:val="404040"/>
        </w:rPr>
        <w:t>Soil Biology and Biochemistry</w:t>
      </w:r>
      <w:r w:rsidRPr="00095C5E">
        <w:rPr>
          <w:color w:val="404040"/>
        </w:rPr>
        <w:t>, 43(9), 1812-1836.</w:t>
      </w:r>
    </w:p>
    <w:p w:rsidR="00C067D2" w:rsidRPr="00095C5E" w:rsidRDefault="00C067D2" w:rsidP="00C067D2">
      <w:pPr>
        <w:pStyle w:val="NormalWeb"/>
        <w:spacing w:before="0" w:beforeAutospacing="0" w:line="360" w:lineRule="auto"/>
        <w:ind w:left="360"/>
        <w:jc w:val="both"/>
        <w:rPr>
          <w:color w:val="404040"/>
        </w:rPr>
      </w:pPr>
      <w:r w:rsidRPr="00095C5E">
        <w:rPr>
          <w:color w:val="404040"/>
        </w:rPr>
        <w:t>Li, M. H., &amp; Eddleman, K. E. (2002). Biotechnical engineering as an alternative to traditional engineering methods: A biotechnical streambank stabilization design approach. </w:t>
      </w:r>
      <w:r w:rsidRPr="00095C5E">
        <w:rPr>
          <w:rStyle w:val="Emphasis"/>
          <w:color w:val="404040"/>
        </w:rPr>
        <w:t>Landscape and Urban Planning</w:t>
      </w:r>
      <w:r w:rsidRPr="00095C5E">
        <w:rPr>
          <w:color w:val="404040"/>
        </w:rPr>
        <w:t>, 60(4), 225-242.</w:t>
      </w:r>
    </w:p>
    <w:p w:rsidR="00C067D2" w:rsidRPr="00095C5E" w:rsidRDefault="00C067D2" w:rsidP="00C067D2">
      <w:pPr>
        <w:pStyle w:val="NormalWeb"/>
        <w:spacing w:before="0" w:beforeAutospacing="0" w:line="360" w:lineRule="auto"/>
        <w:ind w:left="360"/>
        <w:jc w:val="both"/>
        <w:rPr>
          <w:color w:val="404040"/>
        </w:rPr>
      </w:pPr>
      <w:r w:rsidRPr="00095C5E">
        <w:rPr>
          <w:color w:val="404040"/>
        </w:rPr>
        <w:lastRenderedPageBreak/>
        <w:t>Liu, J., Li, S., Ouyang, Z., Tam, C., &amp; Chen, X. (2008). Ecological and socioeconomic effects of China's policies for ecosystem services. </w:t>
      </w:r>
      <w:r w:rsidRPr="00095C5E">
        <w:rPr>
          <w:rStyle w:val="Emphasis"/>
          <w:color w:val="404040"/>
        </w:rPr>
        <w:t>Proceedings of the National Academy of Sciences</w:t>
      </w:r>
      <w:r w:rsidRPr="00095C5E">
        <w:rPr>
          <w:color w:val="404040"/>
        </w:rPr>
        <w:t>, 105(28), 9477-9482.</w:t>
      </w:r>
    </w:p>
    <w:p w:rsidR="00C067D2" w:rsidRPr="00095C5E" w:rsidRDefault="00C067D2" w:rsidP="00C067D2">
      <w:pPr>
        <w:pStyle w:val="NormalWeb"/>
        <w:spacing w:before="0" w:beforeAutospacing="0" w:line="360" w:lineRule="auto"/>
        <w:ind w:left="360"/>
        <w:jc w:val="both"/>
        <w:rPr>
          <w:color w:val="404040"/>
        </w:rPr>
      </w:pPr>
      <w:r w:rsidRPr="00095C5E">
        <w:rPr>
          <w:color w:val="404040"/>
        </w:rPr>
        <w:t>Liu, X., Zhang, X., &amp; Zhang, M. (2008). Major factors influencing the efficacy of vegetated buffers on sediment trapping: A review and analysis. </w:t>
      </w:r>
      <w:r w:rsidRPr="00095C5E">
        <w:rPr>
          <w:rStyle w:val="Emphasis"/>
          <w:color w:val="404040"/>
        </w:rPr>
        <w:t>Journal of Environmental Quality</w:t>
      </w:r>
      <w:r w:rsidRPr="00095C5E">
        <w:rPr>
          <w:color w:val="404040"/>
        </w:rPr>
        <w:t>, 37(5), 1667-1674.</w:t>
      </w:r>
    </w:p>
    <w:p w:rsidR="00C067D2" w:rsidRPr="00095C5E" w:rsidRDefault="00C067D2" w:rsidP="00C067D2">
      <w:pPr>
        <w:pStyle w:val="NormalWeb"/>
        <w:spacing w:before="0" w:beforeAutospacing="0" w:line="360" w:lineRule="auto"/>
        <w:ind w:left="360"/>
        <w:jc w:val="both"/>
        <w:rPr>
          <w:color w:val="404040"/>
        </w:rPr>
      </w:pPr>
      <w:r w:rsidRPr="00095C5E">
        <w:rPr>
          <w:color w:val="404040"/>
        </w:rPr>
        <w:t>Mishra, P. K., Rai, A., &amp; Rai, S. C. (2019). Use of coir geotextiles for soil conservation: A case study from the Indian Himalayas. </w:t>
      </w:r>
      <w:r w:rsidRPr="00095C5E">
        <w:rPr>
          <w:rStyle w:val="Emphasis"/>
          <w:color w:val="404040"/>
        </w:rPr>
        <w:t>Land Degradation &amp; Development</w:t>
      </w:r>
      <w:r w:rsidRPr="00095C5E">
        <w:rPr>
          <w:color w:val="404040"/>
        </w:rPr>
        <w:t>, 30(14), 1705-1715.</w:t>
      </w:r>
    </w:p>
    <w:p w:rsidR="00C067D2" w:rsidRPr="00095C5E" w:rsidRDefault="00C067D2" w:rsidP="00C067D2">
      <w:pPr>
        <w:pStyle w:val="NormalWeb"/>
        <w:spacing w:before="0" w:beforeAutospacing="0" w:line="360" w:lineRule="auto"/>
        <w:ind w:left="360"/>
        <w:jc w:val="both"/>
        <w:rPr>
          <w:color w:val="404040"/>
        </w:rPr>
      </w:pPr>
      <w:r w:rsidRPr="00095C5E">
        <w:rPr>
          <w:color w:val="404040"/>
        </w:rPr>
        <w:t>Montgomery, D. R. (2007). Soil erosion and agricultural sustainability. </w:t>
      </w:r>
      <w:r w:rsidRPr="00095C5E">
        <w:rPr>
          <w:rStyle w:val="Emphasis"/>
          <w:color w:val="404040"/>
        </w:rPr>
        <w:t>Proceedings of the National Academy of Sciences</w:t>
      </w:r>
      <w:r w:rsidRPr="00095C5E">
        <w:rPr>
          <w:color w:val="404040"/>
        </w:rPr>
        <w:t>, 104(33), 13268-13272.</w:t>
      </w:r>
    </w:p>
    <w:p w:rsidR="00C067D2" w:rsidRPr="00095C5E" w:rsidRDefault="00C067D2" w:rsidP="00C067D2">
      <w:pPr>
        <w:pStyle w:val="NormalWeb"/>
        <w:spacing w:before="0" w:beforeAutospacing="0" w:line="360" w:lineRule="auto"/>
        <w:ind w:left="360"/>
        <w:jc w:val="both"/>
        <w:rPr>
          <w:color w:val="404040"/>
        </w:rPr>
      </w:pPr>
      <w:r w:rsidRPr="00095C5E">
        <w:rPr>
          <w:color w:val="404040"/>
        </w:rPr>
        <w:t>Morgan, R. P. C. (2005). </w:t>
      </w:r>
      <w:r w:rsidRPr="00095C5E">
        <w:rPr>
          <w:rStyle w:val="Emphasis"/>
          <w:color w:val="404040"/>
        </w:rPr>
        <w:t>Soil erosion and conservation</w:t>
      </w:r>
      <w:r w:rsidRPr="00095C5E">
        <w:rPr>
          <w:color w:val="404040"/>
        </w:rPr>
        <w:t>. Blackwell Publishing.</w:t>
      </w:r>
    </w:p>
    <w:p w:rsidR="00C067D2" w:rsidRPr="00095C5E" w:rsidRDefault="00C067D2" w:rsidP="00C067D2">
      <w:pPr>
        <w:pStyle w:val="NormalWeb"/>
        <w:spacing w:before="0" w:beforeAutospacing="0" w:line="360" w:lineRule="auto"/>
        <w:ind w:left="360"/>
        <w:jc w:val="both"/>
        <w:rPr>
          <w:color w:val="404040"/>
        </w:rPr>
      </w:pPr>
      <w:r w:rsidRPr="00095C5E">
        <w:rPr>
          <w:color w:val="404040"/>
        </w:rPr>
        <w:t>Nyssen, J., Poesen, J., Moeyersons, J., Deckers, J., Haile, M., &amp; Lang, A. (2004). Human impact on the environment in the Ethiopian and Eritrean highlands—a state of the art. </w:t>
      </w:r>
      <w:r w:rsidRPr="00095C5E">
        <w:rPr>
          <w:rStyle w:val="Emphasis"/>
          <w:color w:val="404040"/>
        </w:rPr>
        <w:t>Earth-Science Reviews</w:t>
      </w:r>
      <w:r w:rsidRPr="00095C5E">
        <w:rPr>
          <w:color w:val="404040"/>
        </w:rPr>
        <w:t>, 64(3-4), 273-320.</w:t>
      </w:r>
    </w:p>
    <w:p w:rsidR="00C067D2" w:rsidRPr="00095C5E" w:rsidRDefault="00C067D2" w:rsidP="00C067D2">
      <w:pPr>
        <w:pStyle w:val="NormalWeb"/>
        <w:spacing w:before="0" w:beforeAutospacing="0" w:line="360" w:lineRule="auto"/>
        <w:ind w:left="360"/>
        <w:jc w:val="both"/>
        <w:rPr>
          <w:color w:val="404040"/>
        </w:rPr>
      </w:pPr>
      <w:r w:rsidRPr="00095C5E">
        <w:rPr>
          <w:color w:val="404040"/>
        </w:rPr>
        <w:t>Nyssen, J., Poesen, J., Moeyersons, J., Deckers, J., Haile, M., &amp; Lang, A. (2004). Human impact on the environment in the Ethiopian and Eritrean highlands—a state of the art. </w:t>
      </w:r>
      <w:r w:rsidRPr="00095C5E">
        <w:rPr>
          <w:rStyle w:val="Emphasis"/>
          <w:color w:val="404040"/>
        </w:rPr>
        <w:t>Earth-Science Reviews</w:t>
      </w:r>
      <w:r w:rsidRPr="00095C5E">
        <w:rPr>
          <w:color w:val="404040"/>
        </w:rPr>
        <w:t>, 64(3-4), 273-320.</w:t>
      </w:r>
    </w:p>
    <w:p w:rsidR="00C067D2" w:rsidRPr="00095C5E" w:rsidRDefault="00C067D2" w:rsidP="00C067D2">
      <w:pPr>
        <w:pStyle w:val="NormalWeb"/>
        <w:spacing w:before="0" w:beforeAutospacing="0" w:line="360" w:lineRule="auto"/>
        <w:ind w:left="360"/>
        <w:jc w:val="both"/>
        <w:rPr>
          <w:color w:val="404040"/>
        </w:rPr>
      </w:pPr>
      <w:r w:rsidRPr="00095C5E">
        <w:rPr>
          <w:color w:val="404040"/>
        </w:rPr>
        <w:t>Pascual, U., Phelps, J., Garmendia, E., Brown, K., Corbera, E., Martin, A., ... &amp; Muradian, R. (2014). Social equity matters in payments for ecosystem services. </w:t>
      </w:r>
      <w:r w:rsidRPr="00095C5E">
        <w:rPr>
          <w:rStyle w:val="Emphasis"/>
          <w:color w:val="404040"/>
        </w:rPr>
        <w:t>BioScience</w:t>
      </w:r>
      <w:r w:rsidRPr="00095C5E">
        <w:rPr>
          <w:color w:val="404040"/>
        </w:rPr>
        <w:t>, 64(11), 1027-1036.</w:t>
      </w:r>
    </w:p>
    <w:p w:rsidR="00C067D2" w:rsidRPr="00095C5E" w:rsidRDefault="00C067D2" w:rsidP="00C067D2">
      <w:pPr>
        <w:pStyle w:val="NormalWeb"/>
        <w:spacing w:before="0" w:beforeAutospacing="0" w:line="360" w:lineRule="auto"/>
        <w:ind w:left="360"/>
        <w:jc w:val="both"/>
        <w:rPr>
          <w:color w:val="404040"/>
        </w:rPr>
      </w:pPr>
      <w:r w:rsidRPr="00095C5E">
        <w:rPr>
          <w:color w:val="404040"/>
        </w:rPr>
        <w:t>Pimentel, D., Harvey, C., Resosudarmo, P., Sinclair, K., Kurz, D., McNair, M., ... &amp; Blair, R. (2004). Environmental and economic costs of soil erosion and conservation benefits. </w:t>
      </w:r>
      <w:r w:rsidRPr="00095C5E">
        <w:rPr>
          <w:rStyle w:val="Emphasis"/>
          <w:color w:val="404040"/>
        </w:rPr>
        <w:t>Science</w:t>
      </w:r>
      <w:r w:rsidRPr="00095C5E">
        <w:rPr>
          <w:color w:val="404040"/>
        </w:rPr>
        <w:t>, 267(5201), 1117-1123.</w:t>
      </w:r>
    </w:p>
    <w:p w:rsidR="00C067D2" w:rsidRPr="00095C5E" w:rsidRDefault="00C067D2" w:rsidP="00C067D2">
      <w:pPr>
        <w:pStyle w:val="NormalWeb"/>
        <w:spacing w:before="0" w:beforeAutospacing="0" w:line="360" w:lineRule="auto"/>
        <w:ind w:left="360"/>
        <w:jc w:val="both"/>
        <w:rPr>
          <w:color w:val="404040"/>
        </w:rPr>
      </w:pPr>
      <w:r w:rsidRPr="00095C5E">
        <w:rPr>
          <w:color w:val="404040"/>
        </w:rPr>
        <w:lastRenderedPageBreak/>
        <w:t>Pretty, J., Toulmin, C., &amp; Williams, S. (2010). Sustainable intensification in African agriculture. </w:t>
      </w:r>
      <w:r w:rsidRPr="00095C5E">
        <w:rPr>
          <w:rStyle w:val="Emphasis"/>
          <w:color w:val="404040"/>
        </w:rPr>
        <w:t>International Journal of Agricultural Sustainability</w:t>
      </w:r>
      <w:r w:rsidRPr="00095C5E">
        <w:rPr>
          <w:color w:val="404040"/>
        </w:rPr>
        <w:t>, 9(1), 5-24.</w:t>
      </w:r>
    </w:p>
    <w:p w:rsidR="00C067D2" w:rsidRPr="00095C5E" w:rsidRDefault="00C067D2" w:rsidP="00C067D2">
      <w:pPr>
        <w:pStyle w:val="NormalWeb"/>
        <w:spacing w:before="0" w:beforeAutospacing="0" w:line="360" w:lineRule="auto"/>
        <w:ind w:left="360"/>
        <w:jc w:val="both"/>
        <w:rPr>
          <w:color w:val="404040"/>
        </w:rPr>
      </w:pPr>
      <w:r w:rsidRPr="00095C5E">
        <w:rPr>
          <w:color w:val="404040"/>
        </w:rPr>
        <w:t>Reij, C., Tappan, G., &amp; Smale, M. (2005). Re-greening the Sahel: Farmer-led innovation in Burkina Faso and Niger. </w:t>
      </w:r>
      <w:r w:rsidRPr="00095C5E">
        <w:rPr>
          <w:rStyle w:val="Emphasis"/>
          <w:color w:val="404040"/>
        </w:rPr>
        <w:t>Millions Fed: Proven Successes in Agricultural Development</w:t>
      </w:r>
      <w:r w:rsidRPr="00095C5E">
        <w:rPr>
          <w:color w:val="404040"/>
        </w:rPr>
        <w:t>, 53-58.</w:t>
      </w:r>
    </w:p>
    <w:p w:rsidR="00C067D2" w:rsidRPr="00095C5E" w:rsidRDefault="00C067D2" w:rsidP="00C067D2">
      <w:pPr>
        <w:pStyle w:val="NormalWeb"/>
        <w:spacing w:before="0" w:beforeAutospacing="0" w:line="360" w:lineRule="auto"/>
        <w:ind w:left="360"/>
        <w:jc w:val="both"/>
        <w:rPr>
          <w:color w:val="404040"/>
        </w:rPr>
      </w:pPr>
      <w:r w:rsidRPr="00095C5E">
        <w:rPr>
          <w:color w:val="404040"/>
        </w:rPr>
        <w:t>Schiechtl, H. M., &amp; Stern, R. (1997). </w:t>
      </w:r>
      <w:r w:rsidRPr="00095C5E">
        <w:rPr>
          <w:rStyle w:val="Emphasis"/>
          <w:color w:val="404040"/>
        </w:rPr>
        <w:t>Water bioengineering techniques for watercourse bank and shoreline protection</w:t>
      </w:r>
      <w:r w:rsidRPr="00095C5E">
        <w:rPr>
          <w:color w:val="404040"/>
        </w:rPr>
        <w:t>. Blackwell Science.</w:t>
      </w:r>
    </w:p>
    <w:p w:rsidR="00C067D2" w:rsidRPr="00095C5E" w:rsidRDefault="00C067D2" w:rsidP="00C067D2">
      <w:pPr>
        <w:pStyle w:val="NormalWeb"/>
        <w:spacing w:before="0" w:beforeAutospacing="0" w:line="360" w:lineRule="auto"/>
        <w:ind w:left="360"/>
        <w:jc w:val="both"/>
        <w:rPr>
          <w:color w:val="404040"/>
        </w:rPr>
      </w:pPr>
      <w:r w:rsidRPr="00095C5E">
        <w:rPr>
          <w:color w:val="404040"/>
        </w:rPr>
        <w:t>Sharda, V. N., Juyal, G. P., &amp; Prakash, C. (2013). Contour bunding for in-situ soil and water conservation in semi-arid tropics. </w:t>
      </w:r>
      <w:r w:rsidRPr="00095C5E">
        <w:rPr>
          <w:rStyle w:val="Emphasis"/>
          <w:color w:val="404040"/>
        </w:rPr>
        <w:t>Current Science</w:t>
      </w:r>
      <w:r w:rsidRPr="00095C5E">
        <w:rPr>
          <w:color w:val="404040"/>
        </w:rPr>
        <w:t>, 104(3), 342-347.</w:t>
      </w:r>
    </w:p>
    <w:p w:rsidR="00C067D2" w:rsidRPr="00095C5E" w:rsidRDefault="00C067D2" w:rsidP="00C067D2">
      <w:pPr>
        <w:pStyle w:val="NormalWeb"/>
        <w:spacing w:before="0" w:beforeAutospacing="0" w:line="360" w:lineRule="auto"/>
        <w:ind w:left="360"/>
        <w:jc w:val="both"/>
        <w:rPr>
          <w:color w:val="404040"/>
        </w:rPr>
      </w:pPr>
      <w:r w:rsidRPr="00095C5E">
        <w:rPr>
          <w:color w:val="404040"/>
        </w:rPr>
        <w:t>Sparovek, G., Berndes, G., Barretto, A. G., &amp; Klug, I. L. (2010). The revision of the Brazilian Forest Act: Increased deforestation or a historic step towards balancing agricultural development and nature conservation? </w:t>
      </w:r>
      <w:r w:rsidRPr="00095C5E">
        <w:rPr>
          <w:rStyle w:val="Emphasis"/>
          <w:color w:val="404040"/>
        </w:rPr>
        <w:t>Environmental Science &amp; Policy</w:t>
      </w:r>
      <w:r w:rsidRPr="00095C5E">
        <w:rPr>
          <w:color w:val="404040"/>
        </w:rPr>
        <w:t>, 16(1), 65-72.</w:t>
      </w:r>
    </w:p>
    <w:p w:rsidR="00C067D2" w:rsidRPr="00095C5E" w:rsidRDefault="00C067D2" w:rsidP="00C067D2">
      <w:pPr>
        <w:pStyle w:val="NormalWeb"/>
        <w:spacing w:before="0" w:beforeAutospacing="0" w:line="360" w:lineRule="auto"/>
        <w:ind w:left="360"/>
        <w:jc w:val="both"/>
        <w:rPr>
          <w:color w:val="404040"/>
        </w:rPr>
      </w:pPr>
      <w:r w:rsidRPr="00095C5E">
        <w:rPr>
          <w:color w:val="404040"/>
        </w:rPr>
        <w:t>Thapa, B. B., Cassel, D. K., &amp; Garrity, D. P. (1999). Ridge tillage and contour natural grass barrier strips reduce tillage erosion. </w:t>
      </w:r>
      <w:r w:rsidRPr="00095C5E">
        <w:rPr>
          <w:rStyle w:val="Emphasis"/>
          <w:color w:val="404040"/>
        </w:rPr>
        <w:t>Soil and Tillage Research</w:t>
      </w:r>
      <w:r w:rsidRPr="00095C5E">
        <w:rPr>
          <w:color w:val="404040"/>
        </w:rPr>
        <w:t>, 51(3-4), 341-356.</w:t>
      </w:r>
    </w:p>
    <w:p w:rsidR="00C067D2" w:rsidRPr="00095C5E" w:rsidRDefault="00C067D2" w:rsidP="00C067D2">
      <w:pPr>
        <w:pStyle w:val="NormalWeb"/>
        <w:spacing w:before="0" w:beforeAutospacing="0" w:line="360" w:lineRule="auto"/>
        <w:ind w:left="360"/>
        <w:jc w:val="both"/>
        <w:rPr>
          <w:color w:val="404040"/>
        </w:rPr>
      </w:pPr>
      <w:r w:rsidRPr="00095C5E">
        <w:rPr>
          <w:color w:val="404040"/>
        </w:rPr>
        <w:t>Tiffen, M., Mortimore, M., &amp; Gichuki, F. (1994). </w:t>
      </w:r>
      <w:r w:rsidRPr="00095C5E">
        <w:rPr>
          <w:rStyle w:val="Emphasis"/>
          <w:color w:val="404040"/>
        </w:rPr>
        <w:t>More people, less erosion: Environmental recovery in Kenya</w:t>
      </w:r>
      <w:r w:rsidRPr="00095C5E">
        <w:rPr>
          <w:color w:val="404040"/>
        </w:rPr>
        <w:t>. John Wiley &amp; Sons.</w:t>
      </w:r>
    </w:p>
    <w:p w:rsidR="00C067D2" w:rsidRPr="00095C5E" w:rsidRDefault="00C067D2" w:rsidP="00C067D2">
      <w:pPr>
        <w:pStyle w:val="NormalWeb"/>
        <w:spacing w:before="0" w:beforeAutospacing="0" w:line="360" w:lineRule="auto"/>
        <w:ind w:left="360"/>
        <w:jc w:val="both"/>
        <w:rPr>
          <w:color w:val="404040"/>
        </w:rPr>
      </w:pPr>
      <w:r w:rsidRPr="00095C5E">
        <w:rPr>
          <w:color w:val="404040"/>
        </w:rPr>
        <w:t>Vanlauwe, B., Bationo, A., Chianu, J., Giller, K. E., Merckx, R., Mokwunye, U., ... &amp; Sanginga, N. (2010). Integrated soil fertility management: Operational definition and consequences for implementation and dissemination. </w:t>
      </w:r>
      <w:r w:rsidRPr="00095C5E">
        <w:rPr>
          <w:rStyle w:val="Emphasis"/>
          <w:color w:val="404040"/>
        </w:rPr>
        <w:t>Outlook on Agriculture</w:t>
      </w:r>
      <w:r w:rsidRPr="00095C5E">
        <w:rPr>
          <w:color w:val="404040"/>
        </w:rPr>
        <w:t>, 39(1), 17-24.</w:t>
      </w:r>
    </w:p>
    <w:p w:rsidR="00C067D2" w:rsidRPr="00095C5E" w:rsidRDefault="00C067D2" w:rsidP="00C067D2">
      <w:pPr>
        <w:pStyle w:val="NormalWeb"/>
        <w:spacing w:before="0" w:beforeAutospacing="0" w:line="360" w:lineRule="auto"/>
        <w:ind w:left="360"/>
        <w:jc w:val="both"/>
        <w:rPr>
          <w:color w:val="404040"/>
        </w:rPr>
      </w:pPr>
      <w:r w:rsidRPr="00095C5E">
        <w:rPr>
          <w:color w:val="404040"/>
        </w:rPr>
        <w:t>Wani, S. P., Sreedevi, T. K., Rockström, J., &amp; Ramakrishna, Y. S. (2008). Rainfed agriculture—past trends and future prospects. </w:t>
      </w:r>
      <w:r w:rsidRPr="00095C5E">
        <w:rPr>
          <w:rStyle w:val="Emphasis"/>
          <w:color w:val="404040"/>
        </w:rPr>
        <w:t>Rainfed Agriculture: Unlocking the Potential</w:t>
      </w:r>
      <w:r w:rsidRPr="00095C5E">
        <w:rPr>
          <w:color w:val="404040"/>
        </w:rPr>
        <w:t>, 1-35.</w:t>
      </w:r>
    </w:p>
    <w:p w:rsidR="00C85707" w:rsidRPr="004940D7" w:rsidRDefault="00C067D2" w:rsidP="00C85707">
      <w:pPr>
        <w:pStyle w:val="NormalWeb"/>
        <w:spacing w:before="0" w:beforeAutospacing="0" w:line="360" w:lineRule="auto"/>
        <w:ind w:left="360"/>
        <w:jc w:val="both"/>
        <w:rPr>
          <w:color w:val="404040"/>
        </w:rPr>
      </w:pPr>
      <w:r w:rsidRPr="00095C5E">
        <w:rPr>
          <w:color w:val="404040"/>
        </w:rPr>
        <w:t>Wunder, S., Engel, S., &amp; Pagiola, S. (2008). Taking stock: A comparative analysis of payments for environmental services programs in developed and developing countries. </w:t>
      </w:r>
      <w:r w:rsidRPr="00095C5E">
        <w:rPr>
          <w:rStyle w:val="Emphasis"/>
          <w:color w:val="404040"/>
        </w:rPr>
        <w:t>Ecological Economics</w:t>
      </w:r>
      <w:r w:rsidRPr="00095C5E">
        <w:rPr>
          <w:color w:val="404040"/>
        </w:rPr>
        <w:t>, 65(4), 834-852.</w:t>
      </w:r>
    </w:p>
    <w:sectPr w:rsidR="00C85707" w:rsidRPr="004940D7" w:rsidSect="00F32D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FD2" w:rsidRDefault="00DC5FD2" w:rsidP="00F21C8F">
      <w:pPr>
        <w:spacing w:after="0" w:line="240" w:lineRule="auto"/>
      </w:pPr>
      <w:r>
        <w:separator/>
      </w:r>
    </w:p>
  </w:endnote>
  <w:endnote w:type="continuationSeparator" w:id="1">
    <w:p w:rsidR="00DC5FD2" w:rsidRDefault="00DC5FD2" w:rsidP="00F21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FD2" w:rsidRDefault="00DC5FD2" w:rsidP="00F21C8F">
      <w:pPr>
        <w:spacing w:after="0" w:line="240" w:lineRule="auto"/>
      </w:pPr>
      <w:r>
        <w:separator/>
      </w:r>
    </w:p>
  </w:footnote>
  <w:footnote w:type="continuationSeparator" w:id="1">
    <w:p w:rsidR="00DC5FD2" w:rsidRDefault="00DC5FD2" w:rsidP="00F21C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595E"/>
    <w:multiLevelType w:val="multilevel"/>
    <w:tmpl w:val="2E98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A10FF0"/>
    <w:multiLevelType w:val="multilevel"/>
    <w:tmpl w:val="EDD479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3D4CC7"/>
    <w:rsid w:val="0000420E"/>
    <w:rsid w:val="00045BA4"/>
    <w:rsid w:val="000532F1"/>
    <w:rsid w:val="000677B4"/>
    <w:rsid w:val="000D5B15"/>
    <w:rsid w:val="000D5BC1"/>
    <w:rsid w:val="000E159A"/>
    <w:rsid w:val="000E371E"/>
    <w:rsid w:val="000F11F0"/>
    <w:rsid w:val="00100D14"/>
    <w:rsid w:val="00124E92"/>
    <w:rsid w:val="00134D99"/>
    <w:rsid w:val="0014070E"/>
    <w:rsid w:val="00146D36"/>
    <w:rsid w:val="001534E6"/>
    <w:rsid w:val="0016366D"/>
    <w:rsid w:val="00166870"/>
    <w:rsid w:val="001D56C7"/>
    <w:rsid w:val="001E4070"/>
    <w:rsid w:val="001F1B3C"/>
    <w:rsid w:val="00203776"/>
    <w:rsid w:val="0026617B"/>
    <w:rsid w:val="0027437D"/>
    <w:rsid w:val="002A629B"/>
    <w:rsid w:val="002C1154"/>
    <w:rsid w:val="002C2560"/>
    <w:rsid w:val="002D5D4E"/>
    <w:rsid w:val="002E0720"/>
    <w:rsid w:val="002E26DD"/>
    <w:rsid w:val="002E3304"/>
    <w:rsid w:val="002E4190"/>
    <w:rsid w:val="00334660"/>
    <w:rsid w:val="00337286"/>
    <w:rsid w:val="00384808"/>
    <w:rsid w:val="003D4CC7"/>
    <w:rsid w:val="003E0597"/>
    <w:rsid w:val="003E2C09"/>
    <w:rsid w:val="003F498F"/>
    <w:rsid w:val="004174F2"/>
    <w:rsid w:val="00421192"/>
    <w:rsid w:val="00421620"/>
    <w:rsid w:val="004940D7"/>
    <w:rsid w:val="004A197D"/>
    <w:rsid w:val="004D02F0"/>
    <w:rsid w:val="00520451"/>
    <w:rsid w:val="0053537D"/>
    <w:rsid w:val="00550FB2"/>
    <w:rsid w:val="00563639"/>
    <w:rsid w:val="00564180"/>
    <w:rsid w:val="00601331"/>
    <w:rsid w:val="006249E0"/>
    <w:rsid w:val="006451E8"/>
    <w:rsid w:val="00671E76"/>
    <w:rsid w:val="006B6F74"/>
    <w:rsid w:val="006E72E0"/>
    <w:rsid w:val="006F1F3F"/>
    <w:rsid w:val="0075058D"/>
    <w:rsid w:val="007529C5"/>
    <w:rsid w:val="00761920"/>
    <w:rsid w:val="0077035A"/>
    <w:rsid w:val="007B19CD"/>
    <w:rsid w:val="007C497F"/>
    <w:rsid w:val="007D1443"/>
    <w:rsid w:val="007D6EE0"/>
    <w:rsid w:val="00814468"/>
    <w:rsid w:val="00824F96"/>
    <w:rsid w:val="00827A72"/>
    <w:rsid w:val="008C5723"/>
    <w:rsid w:val="008F3F37"/>
    <w:rsid w:val="00903272"/>
    <w:rsid w:val="00913051"/>
    <w:rsid w:val="00913F79"/>
    <w:rsid w:val="00917722"/>
    <w:rsid w:val="00943132"/>
    <w:rsid w:val="0095298A"/>
    <w:rsid w:val="00972F1E"/>
    <w:rsid w:val="0098395C"/>
    <w:rsid w:val="00997441"/>
    <w:rsid w:val="009B3DA5"/>
    <w:rsid w:val="009B6472"/>
    <w:rsid w:val="009D73FD"/>
    <w:rsid w:val="009E1630"/>
    <w:rsid w:val="009E60BB"/>
    <w:rsid w:val="00A13B36"/>
    <w:rsid w:val="00A34A1C"/>
    <w:rsid w:val="00A475C7"/>
    <w:rsid w:val="00A57A6F"/>
    <w:rsid w:val="00AA4DAE"/>
    <w:rsid w:val="00AB5CEE"/>
    <w:rsid w:val="00AD07E5"/>
    <w:rsid w:val="00AE70FB"/>
    <w:rsid w:val="00AF3119"/>
    <w:rsid w:val="00AF640E"/>
    <w:rsid w:val="00B42B0C"/>
    <w:rsid w:val="00BA21C8"/>
    <w:rsid w:val="00BB5005"/>
    <w:rsid w:val="00BC1BF6"/>
    <w:rsid w:val="00BC4B4A"/>
    <w:rsid w:val="00C067D2"/>
    <w:rsid w:val="00C37936"/>
    <w:rsid w:val="00C467D3"/>
    <w:rsid w:val="00C85707"/>
    <w:rsid w:val="00CC67A2"/>
    <w:rsid w:val="00D85D26"/>
    <w:rsid w:val="00DC5FD2"/>
    <w:rsid w:val="00DF0585"/>
    <w:rsid w:val="00DF157A"/>
    <w:rsid w:val="00DF2E54"/>
    <w:rsid w:val="00E05DD3"/>
    <w:rsid w:val="00E57D88"/>
    <w:rsid w:val="00E741B1"/>
    <w:rsid w:val="00EB2781"/>
    <w:rsid w:val="00F00562"/>
    <w:rsid w:val="00F1435F"/>
    <w:rsid w:val="00F21C8F"/>
    <w:rsid w:val="00F32D1F"/>
    <w:rsid w:val="00F40755"/>
    <w:rsid w:val="00FA34D5"/>
    <w:rsid w:val="00FA7CD9"/>
    <w:rsid w:val="00FB3100"/>
    <w:rsid w:val="00FE4C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1F"/>
  </w:style>
  <w:style w:type="paragraph" w:styleId="Heading1">
    <w:name w:val="heading 1"/>
    <w:basedOn w:val="Normal"/>
    <w:next w:val="Normal"/>
    <w:link w:val="Heading1Char"/>
    <w:qFormat/>
    <w:rsid w:val="000677B4"/>
    <w:pPr>
      <w:keepNext/>
      <w:keepLines/>
      <w:numPr>
        <w:numId w:val="2"/>
      </w:numPr>
      <w:spacing w:before="480" w:after="0"/>
      <w:outlineLvl w:val="0"/>
    </w:pPr>
    <w:rPr>
      <w:rFonts w:ascii="Times New Roman" w:eastAsiaTheme="majorEastAsia" w:hAnsi="Times New Roman" w:cstheme="majorBidi"/>
      <w:bCs/>
      <w:sz w:val="24"/>
      <w:szCs w:val="28"/>
    </w:rPr>
  </w:style>
  <w:style w:type="paragraph" w:styleId="Heading2">
    <w:name w:val="heading 2"/>
    <w:basedOn w:val="Normal"/>
    <w:next w:val="Normal"/>
    <w:link w:val="Heading2Char"/>
    <w:uiPriority w:val="9"/>
    <w:unhideWhenUsed/>
    <w:qFormat/>
    <w:rsid w:val="00E05DD3"/>
    <w:pPr>
      <w:keepNext/>
      <w:keepLines/>
      <w:numPr>
        <w:ilvl w:val="1"/>
        <w:numId w:val="2"/>
      </w:numPr>
      <w:spacing w:before="200" w:after="0"/>
      <w:outlineLvl w:val="1"/>
    </w:pPr>
    <w:rPr>
      <w:rFonts w:ascii="Times New Roman" w:eastAsiaTheme="majorEastAsia" w:hAnsi="Times New Roman" w:cstheme="majorBidi"/>
      <w:bCs/>
      <w:sz w:val="24"/>
      <w:szCs w:val="26"/>
    </w:rPr>
  </w:style>
  <w:style w:type="paragraph" w:styleId="Heading3">
    <w:name w:val="heading 3"/>
    <w:basedOn w:val="Normal"/>
    <w:link w:val="Heading3Char"/>
    <w:uiPriority w:val="9"/>
    <w:qFormat/>
    <w:rsid w:val="006451E8"/>
    <w:pPr>
      <w:numPr>
        <w:ilvl w:val="2"/>
        <w:numId w:val="2"/>
      </w:numPr>
      <w:spacing w:before="100" w:beforeAutospacing="1" w:after="100" w:afterAutospacing="1" w:line="240" w:lineRule="auto"/>
      <w:outlineLvl w:val="2"/>
    </w:pPr>
    <w:rPr>
      <w:rFonts w:ascii="Times New Roman" w:eastAsia="Times New Roman" w:hAnsi="Times New Roman" w:cs="Times New Roman"/>
      <w:bCs/>
      <w:sz w:val="24"/>
      <w:szCs w:val="27"/>
    </w:rPr>
  </w:style>
  <w:style w:type="paragraph" w:styleId="Heading4">
    <w:name w:val="heading 4"/>
    <w:basedOn w:val="Normal"/>
    <w:link w:val="Heading4Char"/>
    <w:uiPriority w:val="9"/>
    <w:qFormat/>
    <w:rsid w:val="00AE70FB"/>
    <w:pPr>
      <w:numPr>
        <w:ilvl w:val="3"/>
        <w:numId w:val="2"/>
      </w:numPr>
      <w:spacing w:before="100" w:beforeAutospacing="1" w:after="100" w:afterAutospacing="1" w:line="240" w:lineRule="auto"/>
      <w:outlineLvl w:val="3"/>
    </w:pPr>
    <w:rPr>
      <w:rFonts w:ascii="Times New Roman" w:eastAsia="Times New Roman" w:hAnsi="Times New Roman" w:cs="Times New Roman"/>
      <w:bCs/>
      <w:sz w:val="24"/>
      <w:szCs w:val="24"/>
    </w:rPr>
  </w:style>
  <w:style w:type="paragraph" w:styleId="Heading5">
    <w:name w:val="heading 5"/>
    <w:basedOn w:val="Normal"/>
    <w:link w:val="Heading5Char"/>
    <w:uiPriority w:val="9"/>
    <w:qFormat/>
    <w:rsid w:val="00AB5CEE"/>
    <w:pPr>
      <w:numPr>
        <w:ilvl w:val="4"/>
        <w:numId w:val="2"/>
      </w:numPr>
      <w:spacing w:before="100" w:beforeAutospacing="1" w:after="100" w:afterAutospacing="1" w:line="240" w:lineRule="auto"/>
      <w:outlineLvl w:val="4"/>
    </w:pPr>
    <w:rPr>
      <w:rFonts w:ascii="Times New Roman" w:eastAsia="Times New Roman" w:hAnsi="Times New Roman" w:cs="Times New Roman"/>
      <w:bCs/>
      <w:sz w:val="24"/>
      <w:szCs w:val="20"/>
    </w:rPr>
  </w:style>
  <w:style w:type="paragraph" w:styleId="Heading6">
    <w:name w:val="heading 6"/>
    <w:basedOn w:val="Normal"/>
    <w:next w:val="Normal"/>
    <w:link w:val="Heading6Char"/>
    <w:unhideWhenUsed/>
    <w:qFormat/>
    <w:rsid w:val="000677B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677B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7B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7B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51E8"/>
    <w:rPr>
      <w:rFonts w:ascii="Times New Roman" w:eastAsia="Times New Roman" w:hAnsi="Times New Roman" w:cs="Times New Roman"/>
      <w:bCs/>
      <w:sz w:val="24"/>
      <w:szCs w:val="27"/>
    </w:rPr>
  </w:style>
  <w:style w:type="character" w:customStyle="1" w:styleId="Heading4Char">
    <w:name w:val="Heading 4 Char"/>
    <w:basedOn w:val="DefaultParagraphFont"/>
    <w:link w:val="Heading4"/>
    <w:uiPriority w:val="9"/>
    <w:rsid w:val="00AE70FB"/>
    <w:rPr>
      <w:rFonts w:ascii="Times New Roman" w:eastAsia="Times New Roman" w:hAnsi="Times New Roman" w:cs="Times New Roman"/>
      <w:bCs/>
      <w:sz w:val="24"/>
      <w:szCs w:val="24"/>
    </w:rPr>
  </w:style>
  <w:style w:type="character" w:customStyle="1" w:styleId="Heading5Char">
    <w:name w:val="Heading 5 Char"/>
    <w:basedOn w:val="DefaultParagraphFont"/>
    <w:link w:val="Heading5"/>
    <w:uiPriority w:val="9"/>
    <w:rsid w:val="00AB5CEE"/>
    <w:rPr>
      <w:rFonts w:ascii="Times New Roman" w:eastAsia="Times New Roman" w:hAnsi="Times New Roman" w:cs="Times New Roman"/>
      <w:bCs/>
      <w:sz w:val="24"/>
      <w:szCs w:val="20"/>
    </w:rPr>
  </w:style>
  <w:style w:type="paragraph" w:styleId="NormalWeb">
    <w:name w:val="Normal (Web)"/>
    <w:basedOn w:val="Normal"/>
    <w:uiPriority w:val="99"/>
    <w:unhideWhenUsed/>
    <w:rsid w:val="003D4C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4CC7"/>
    <w:rPr>
      <w:b/>
      <w:bCs/>
    </w:rPr>
  </w:style>
  <w:style w:type="character" w:styleId="Emphasis">
    <w:name w:val="Emphasis"/>
    <w:basedOn w:val="DefaultParagraphFont"/>
    <w:uiPriority w:val="20"/>
    <w:qFormat/>
    <w:rsid w:val="003D4CC7"/>
    <w:rPr>
      <w:i/>
      <w:iCs/>
    </w:rPr>
  </w:style>
  <w:style w:type="character" w:customStyle="1" w:styleId="Heading1Char">
    <w:name w:val="Heading 1 Char"/>
    <w:basedOn w:val="DefaultParagraphFont"/>
    <w:link w:val="Heading1"/>
    <w:uiPriority w:val="9"/>
    <w:rsid w:val="000677B4"/>
    <w:rPr>
      <w:rFonts w:ascii="Times New Roman" w:eastAsiaTheme="majorEastAsia" w:hAnsi="Times New Roman" w:cstheme="majorBidi"/>
      <w:bCs/>
      <w:sz w:val="24"/>
      <w:szCs w:val="28"/>
    </w:rPr>
  </w:style>
  <w:style w:type="character" w:customStyle="1" w:styleId="Heading2Char">
    <w:name w:val="Heading 2 Char"/>
    <w:basedOn w:val="DefaultParagraphFont"/>
    <w:link w:val="Heading2"/>
    <w:uiPriority w:val="9"/>
    <w:rsid w:val="00E05DD3"/>
    <w:rPr>
      <w:rFonts w:ascii="Times New Roman" w:eastAsiaTheme="majorEastAsia" w:hAnsi="Times New Roman" w:cstheme="majorBidi"/>
      <w:bCs/>
      <w:sz w:val="24"/>
      <w:szCs w:val="26"/>
    </w:rPr>
  </w:style>
  <w:style w:type="character" w:customStyle="1" w:styleId="Heading6Char">
    <w:name w:val="Heading 6 Char"/>
    <w:basedOn w:val="DefaultParagraphFont"/>
    <w:link w:val="Heading6"/>
    <w:uiPriority w:val="9"/>
    <w:semiHidden/>
    <w:rsid w:val="000677B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677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7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7B4"/>
    <w:rPr>
      <w:rFonts w:asciiTheme="majorHAnsi" w:eastAsiaTheme="majorEastAsia" w:hAnsiTheme="majorHAnsi" w:cstheme="majorBidi"/>
      <w:i/>
      <w:iCs/>
      <w:color w:val="404040" w:themeColor="text1" w:themeTint="BF"/>
      <w:sz w:val="20"/>
      <w:szCs w:val="20"/>
    </w:rPr>
  </w:style>
  <w:style w:type="table" w:customStyle="1" w:styleId="PlainTable2">
    <w:name w:val="Plain Table 2"/>
    <w:basedOn w:val="TableNormal"/>
    <w:uiPriority w:val="42"/>
    <w:rsid w:val="004A197D"/>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semiHidden/>
    <w:unhideWhenUsed/>
    <w:rsid w:val="00F21C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1C8F"/>
  </w:style>
  <w:style w:type="paragraph" w:styleId="Footer">
    <w:name w:val="footer"/>
    <w:basedOn w:val="Normal"/>
    <w:link w:val="FooterChar"/>
    <w:uiPriority w:val="99"/>
    <w:semiHidden/>
    <w:unhideWhenUsed/>
    <w:rsid w:val="00F21C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1C8F"/>
  </w:style>
  <w:style w:type="character" w:styleId="Hyperlink">
    <w:name w:val="Hyperlink"/>
    <w:basedOn w:val="DefaultParagraphFont"/>
    <w:uiPriority w:val="99"/>
    <w:unhideWhenUsed/>
    <w:rsid w:val="000532F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7260423">
      <w:bodyDiv w:val="1"/>
      <w:marLeft w:val="0"/>
      <w:marRight w:val="0"/>
      <w:marTop w:val="0"/>
      <w:marBottom w:val="0"/>
      <w:divBdr>
        <w:top w:val="none" w:sz="0" w:space="0" w:color="auto"/>
        <w:left w:val="none" w:sz="0" w:space="0" w:color="auto"/>
        <w:bottom w:val="none" w:sz="0" w:space="0" w:color="auto"/>
        <w:right w:val="none" w:sz="0" w:space="0" w:color="auto"/>
      </w:divBdr>
      <w:divsChild>
        <w:div w:id="513494856">
          <w:marLeft w:val="0"/>
          <w:marRight w:val="0"/>
          <w:marTop w:val="100"/>
          <w:marBottom w:val="100"/>
          <w:divBdr>
            <w:top w:val="none" w:sz="0" w:space="0" w:color="auto"/>
            <w:left w:val="none" w:sz="0" w:space="0" w:color="auto"/>
            <w:bottom w:val="none" w:sz="0" w:space="0" w:color="auto"/>
            <w:right w:val="none" w:sz="0" w:space="0" w:color="auto"/>
          </w:divBdr>
          <w:divsChild>
            <w:div w:id="323243985">
              <w:marLeft w:val="0"/>
              <w:marRight w:val="0"/>
              <w:marTop w:val="0"/>
              <w:marBottom w:val="0"/>
              <w:divBdr>
                <w:top w:val="none" w:sz="0" w:space="0" w:color="auto"/>
                <w:left w:val="none" w:sz="0" w:space="0" w:color="auto"/>
                <w:bottom w:val="none" w:sz="0" w:space="0" w:color="auto"/>
                <w:right w:val="none" w:sz="0" w:space="0" w:color="auto"/>
              </w:divBdr>
              <w:divsChild>
                <w:div w:id="13545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7225">
      <w:bodyDiv w:val="1"/>
      <w:marLeft w:val="0"/>
      <w:marRight w:val="0"/>
      <w:marTop w:val="0"/>
      <w:marBottom w:val="0"/>
      <w:divBdr>
        <w:top w:val="none" w:sz="0" w:space="0" w:color="auto"/>
        <w:left w:val="none" w:sz="0" w:space="0" w:color="auto"/>
        <w:bottom w:val="none" w:sz="0" w:space="0" w:color="auto"/>
        <w:right w:val="none" w:sz="0" w:space="0" w:color="auto"/>
      </w:divBdr>
    </w:div>
    <w:div w:id="1441337080">
      <w:bodyDiv w:val="1"/>
      <w:marLeft w:val="0"/>
      <w:marRight w:val="0"/>
      <w:marTop w:val="0"/>
      <w:marBottom w:val="0"/>
      <w:divBdr>
        <w:top w:val="none" w:sz="0" w:space="0" w:color="auto"/>
        <w:left w:val="none" w:sz="0" w:space="0" w:color="auto"/>
        <w:bottom w:val="none" w:sz="0" w:space="0" w:color="auto"/>
        <w:right w:val="none" w:sz="0" w:space="0" w:color="auto"/>
      </w:divBdr>
    </w:div>
    <w:div w:id="1504391778">
      <w:bodyDiv w:val="1"/>
      <w:marLeft w:val="0"/>
      <w:marRight w:val="0"/>
      <w:marTop w:val="0"/>
      <w:marBottom w:val="0"/>
      <w:divBdr>
        <w:top w:val="none" w:sz="0" w:space="0" w:color="auto"/>
        <w:left w:val="none" w:sz="0" w:space="0" w:color="auto"/>
        <w:bottom w:val="none" w:sz="0" w:space="0" w:color="auto"/>
        <w:right w:val="none" w:sz="0" w:space="0" w:color="auto"/>
      </w:divBdr>
    </w:div>
    <w:div w:id="1549535009">
      <w:bodyDiv w:val="1"/>
      <w:marLeft w:val="0"/>
      <w:marRight w:val="0"/>
      <w:marTop w:val="0"/>
      <w:marBottom w:val="0"/>
      <w:divBdr>
        <w:top w:val="none" w:sz="0" w:space="0" w:color="auto"/>
        <w:left w:val="none" w:sz="0" w:space="0" w:color="auto"/>
        <w:bottom w:val="none" w:sz="0" w:space="0" w:color="auto"/>
        <w:right w:val="none" w:sz="0" w:space="0" w:color="auto"/>
      </w:divBdr>
    </w:div>
    <w:div w:id="1730953419">
      <w:bodyDiv w:val="1"/>
      <w:marLeft w:val="0"/>
      <w:marRight w:val="0"/>
      <w:marTop w:val="0"/>
      <w:marBottom w:val="0"/>
      <w:divBdr>
        <w:top w:val="none" w:sz="0" w:space="0" w:color="auto"/>
        <w:left w:val="none" w:sz="0" w:space="0" w:color="auto"/>
        <w:bottom w:val="none" w:sz="0" w:space="0" w:color="auto"/>
        <w:right w:val="none" w:sz="0" w:space="0" w:color="auto"/>
      </w:divBdr>
    </w:div>
    <w:div w:id="1748191962">
      <w:bodyDiv w:val="1"/>
      <w:marLeft w:val="0"/>
      <w:marRight w:val="0"/>
      <w:marTop w:val="0"/>
      <w:marBottom w:val="0"/>
      <w:divBdr>
        <w:top w:val="none" w:sz="0" w:space="0" w:color="auto"/>
        <w:left w:val="none" w:sz="0" w:space="0" w:color="auto"/>
        <w:bottom w:val="none" w:sz="0" w:space="0" w:color="auto"/>
        <w:right w:val="none" w:sz="0" w:space="0" w:color="auto"/>
      </w:divBdr>
    </w:div>
    <w:div w:id="21404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honyejioforeze2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31</Pages>
  <Words>9798</Words>
  <Characters>55853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dcterms:created xsi:type="dcterms:W3CDTF">2025-02-19T18:12:00Z</dcterms:created>
  <dcterms:modified xsi:type="dcterms:W3CDTF">2025-02-24T17:00:00Z</dcterms:modified>
</cp:coreProperties>
</file>