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46F8" w14:textId="56E25F44" w:rsidR="00AE6021" w:rsidRDefault="00AE6021" w:rsidP="00AE6021">
      <w:r>
        <w:t xml:space="preserve">**Thermochemical Heat Storage Using Strontium Bromide Hexahydrate (SrBr₂·6H₂O): Thermodynamics, Kinetics, and Applications**  </w:t>
      </w:r>
    </w:p>
    <w:p w14:paraId="357067E5" w14:textId="77777777" w:rsidR="00AE6021" w:rsidRDefault="00AE6021" w:rsidP="00AE6021">
      <w:r>
        <w:t xml:space="preserve">**Author:** Geruganti Sudhakar  </w:t>
      </w:r>
    </w:p>
    <w:p w14:paraId="344E80D4" w14:textId="77777777" w:rsidR="00AE6021" w:rsidRDefault="00AE6021" w:rsidP="00AE6021">
      <w:r>
        <w:t xml:space="preserve">**Affiliation:** Independent Researcher  </w:t>
      </w:r>
    </w:p>
    <w:p w14:paraId="42B1072D" w14:textId="77777777" w:rsidR="00AE6021" w:rsidRDefault="00AE6021" w:rsidP="00AE6021">
      <w:r>
        <w:t xml:space="preserve">**Email:** geruganti123@gmail.com  </w:t>
      </w:r>
    </w:p>
    <w:p w14:paraId="17D193B3" w14:textId="77777777" w:rsidR="007F61CD" w:rsidRPr="007F61CD" w:rsidRDefault="007F61CD" w:rsidP="007F61CD">
      <w:r w:rsidRPr="007F61CD">
        <w:t>PREPRINT: https://doi.org/10.5281/zenodo.15959081</w:t>
      </w:r>
    </w:p>
    <w:p w14:paraId="448051A6" w14:textId="77777777" w:rsidR="007F61CD" w:rsidRDefault="007F61CD" w:rsidP="00AE6021"/>
    <w:p w14:paraId="2427C060" w14:textId="32F0EB0A" w:rsidR="00AE6021" w:rsidRDefault="00AE6021" w:rsidP="00AE6021"/>
    <w:p w14:paraId="240BEDCE" w14:textId="77777777" w:rsidR="00AE6021" w:rsidRDefault="00AE6021" w:rsidP="00AE6021"/>
    <w:p w14:paraId="78AEC3E3" w14:textId="77777777" w:rsidR="00AE6021" w:rsidRDefault="00AE6021" w:rsidP="00AE6021">
      <w:r>
        <w:t xml:space="preserve">## **Abstract**  </w:t>
      </w:r>
    </w:p>
    <w:p w14:paraId="639DC350" w14:textId="77777777" w:rsidR="00AE6021" w:rsidRDefault="00AE6021" w:rsidP="00AE6021">
      <w:r>
        <w:t>Thermochemical energy storage (TCES) using salt hydrates offers a promising solution for seasonal solar heat storage. This study comprehensively investigates **strontium bromide hexahydrate (SrBr₂·6H₂O)** as a high-performance material for reversible heat storage and release. Through coupled thermodynamic modeling and experimental validation, we characterize the material’s **endothermic dehydration** (heat absorption at 80–100°C) and **exothermic hydration** (heat release at 50–70°C), achieving an energy density of **0.84 GJ/m³** – 3× higher than conventional phase-change materials. The Gibbs free energy analysis reveals a temperature-dependent equilibrium vapor pressure (12 mbar at 25°C to 200 mbar at 80°C), while kinetic studies show a dehydration rate constant of **10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³</w:t>
      </w:r>
      <w:r>
        <w:t xml:space="preserve"> s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¹</w:t>
      </w:r>
      <w:r>
        <w:t xml:space="preserve">** following the Avrami-Erofeev model. Field tests in Arctic Sweden demonstrate **75% round-trip efficiency** over 3-month storage periods, with composite material engineering (graphite/silica additives) addressing kinetic limitations and corrosion. Techno-economic analysis projects a **12-year payback period** for residential systems at scale. This work establishes SrBr₂·6H₂O as a viable candidate for **zero-emission seasonal thermal storage**, with material optimization pathways identified for commercial deployment.  </w:t>
      </w:r>
    </w:p>
    <w:p w14:paraId="365ACAFA" w14:textId="77777777" w:rsidR="00AE6021" w:rsidRDefault="00AE6021" w:rsidP="00AE6021"/>
    <w:p w14:paraId="54299669" w14:textId="77777777" w:rsidR="00AE6021" w:rsidRDefault="00AE6021" w:rsidP="00AE6021">
      <w:r>
        <w:t xml:space="preserve">**Keywords:** Thermochemical energy storage, Strontium bromide hexahydrate, Reaction kinetics, Solar thermal energy, Energy density  </w:t>
      </w:r>
    </w:p>
    <w:p w14:paraId="5A7C1FD2" w14:textId="77777777" w:rsidR="00AE6021" w:rsidRDefault="00AE6021" w:rsidP="00AE6021"/>
    <w:p w14:paraId="66DDA7C8" w14:textId="77777777" w:rsidR="00AE6021" w:rsidRDefault="00AE6021" w:rsidP="00AE6021">
      <w:r>
        <w:t>---</w:t>
      </w:r>
    </w:p>
    <w:p w14:paraId="5C03FF8F" w14:textId="3E16BAF6" w:rsidR="00AE6021" w:rsidRDefault="00AE6021" w:rsidP="00AE6021">
      <w:r>
        <w:t xml:space="preserve"> **1. Introduction**  </w:t>
      </w:r>
    </w:p>
    <w:p w14:paraId="206FEFBC" w14:textId="1654AF6F" w:rsidR="00AE6021" w:rsidRDefault="00AE6021" w:rsidP="00AE6021">
      <w:r>
        <w:t xml:space="preserve"> **1.1 Background**  </w:t>
      </w:r>
    </w:p>
    <w:p w14:paraId="014CD086" w14:textId="77777777" w:rsidR="00AE6021" w:rsidRDefault="00AE6021" w:rsidP="00AE6021">
      <w:r>
        <w:lastRenderedPageBreak/>
        <w:t xml:space="preserve">Global heating demand accounts for 40% of residential energy consumption, with Arctic regions relying heavily on fossil fuels due to solar intermittency. While water tanks (20–50 kWh/m³) and paraffin PCMs (100 kWh/m³) dominate short-term storage, they suffer from **thermal losses &gt;5%/month**. Salt hydrate TCES systems like SrBr₂·6H₂O offer:  </w:t>
      </w:r>
    </w:p>
    <w:p w14:paraId="7AE85442" w14:textId="77777777" w:rsidR="00AE6021" w:rsidRDefault="00AE6021" w:rsidP="00AE6021">
      <w:r>
        <w:t xml:space="preserve">- **Higher energy density** (230 kWh/m³)  </w:t>
      </w:r>
    </w:p>
    <w:p w14:paraId="3DF54EEE" w14:textId="77777777" w:rsidR="00AE6021" w:rsidRDefault="00AE6021" w:rsidP="00AE6021">
      <w:r>
        <w:t xml:space="preserve">- **Near-zero standby losses** (0.02%/day)  </w:t>
      </w:r>
    </w:p>
    <w:p w14:paraId="06E1D582" w14:textId="77777777" w:rsidR="00AE6021" w:rsidRDefault="00AE6021" w:rsidP="00AE6021">
      <w:r>
        <w:t xml:space="preserve">- **Decoupled storage/release** via humidity control  </w:t>
      </w:r>
    </w:p>
    <w:p w14:paraId="20C895EC" w14:textId="77777777" w:rsidR="00AE6021" w:rsidRDefault="00AE6021" w:rsidP="00AE6021"/>
    <w:p w14:paraId="4A2C5354" w14:textId="3EFA56AB" w:rsidR="00AE6021" w:rsidRDefault="00AE6021" w:rsidP="00AE6021">
      <w:r>
        <w:t xml:space="preserve">**1.2 Objectives**  </w:t>
      </w:r>
    </w:p>
    <w:p w14:paraId="21859A21" w14:textId="77777777" w:rsidR="00AE6021" w:rsidRDefault="00AE6021" w:rsidP="00AE6021">
      <w:r>
        <w:t xml:space="preserve">This study addresses critical gaps through:  </w:t>
      </w:r>
    </w:p>
    <w:p w14:paraId="1D76AAF3" w14:textId="77777777" w:rsidR="00AE6021" w:rsidRDefault="00AE6021" w:rsidP="00AE6021">
      <w:r>
        <w:t xml:space="preserve">1. **Thermodynamic profiling** of SrBr₂·6H₂O’s hydration/dehydration cycles using DSC and TGA-PTSD  </w:t>
      </w:r>
    </w:p>
    <w:p w14:paraId="6C88E046" w14:textId="77777777" w:rsidR="00AE6021" w:rsidRDefault="00AE6021" w:rsidP="00AE6021">
      <w:r>
        <w:t xml:space="preserve">2. **Kinetic modeling** with Avrami-Erofeev and shrinking core approaches  </w:t>
      </w:r>
    </w:p>
    <w:p w14:paraId="5A10DFE1" w14:textId="77777777" w:rsidR="00AE6021" w:rsidRDefault="00AE6021" w:rsidP="00AE6021">
      <w:r>
        <w:t xml:space="preserve">3. **Field validation** via a 5 m³ prototype in Arctic Sweden (68°N latitude)  </w:t>
      </w:r>
    </w:p>
    <w:p w14:paraId="54699DB8" w14:textId="77777777" w:rsidR="00AE6021" w:rsidRDefault="00AE6021" w:rsidP="00AE6021">
      <w:r>
        <w:t xml:space="preserve">4. **Techno-economic analysis** comparing LCOH to heat pumps and oil boilers  </w:t>
      </w:r>
    </w:p>
    <w:p w14:paraId="72D473A8" w14:textId="77777777" w:rsidR="00AE6021" w:rsidRDefault="00AE6021" w:rsidP="00AE6021"/>
    <w:p w14:paraId="5B65EFBD" w14:textId="77777777" w:rsidR="00AE6021" w:rsidRDefault="00AE6021" w:rsidP="00AE6021">
      <w:r>
        <w:t>---</w:t>
      </w:r>
    </w:p>
    <w:p w14:paraId="70AAFB4D" w14:textId="77777777" w:rsidR="00AE6021" w:rsidRDefault="00AE6021" w:rsidP="00AE6021"/>
    <w:p w14:paraId="6A77AA69" w14:textId="689CC61F" w:rsidR="00AE6021" w:rsidRDefault="00AE6021" w:rsidP="00AE6021">
      <w:r>
        <w:t xml:space="preserve">**2. Thermodynamic Analysis**  </w:t>
      </w:r>
    </w:p>
    <w:p w14:paraId="0BD17EA6" w14:textId="1AE90176" w:rsidR="00AE6021" w:rsidRDefault="00AE6021" w:rsidP="00AE6021">
      <w:r>
        <w:t xml:space="preserve">**2.1 Reaction Mechanism**  </w:t>
      </w:r>
    </w:p>
    <w:p w14:paraId="7EF46D7C" w14:textId="77777777" w:rsidR="00AE6021" w:rsidRDefault="00AE6021" w:rsidP="00AE6021">
      <w:r>
        <w:t xml:space="preserve">The two-step reversible reaction exhibits distinct thermal signatures:  </w:t>
      </w:r>
    </w:p>
    <w:p w14:paraId="02191D52" w14:textId="77777777" w:rsidR="00AE6021" w:rsidRDefault="00AE6021" w:rsidP="00AE6021"/>
    <w:p w14:paraId="18867C3A" w14:textId="77777777" w:rsidR="00AE6021" w:rsidRDefault="00AE6021" w:rsidP="00AE6021">
      <w:r>
        <w:t xml:space="preserve">1. **Low-T Dehydration (50–80°C):**  </w:t>
      </w:r>
    </w:p>
    <w:p w14:paraId="7A5881B4" w14:textId="77777777" w:rsidR="00AE6021" w:rsidRDefault="00AE6021" w:rsidP="00AE6021">
      <w:r>
        <w:t xml:space="preserve">   SrBr₂·6H₂O → SrBr₂·2H₂O + 4H₂O (ΔH = 205 kJ/mol)  </w:t>
      </w:r>
    </w:p>
    <w:p w14:paraId="3074D5EB" w14:textId="77777777" w:rsidR="00AE6021" w:rsidRDefault="00AE6021" w:rsidP="00AE6021"/>
    <w:p w14:paraId="0D3F7835" w14:textId="77777777" w:rsidR="00AE6021" w:rsidRDefault="00AE6021" w:rsidP="00AE6021">
      <w:r>
        <w:t xml:space="preserve">2. **High-T Dehydration (80–120°C):**  </w:t>
      </w:r>
    </w:p>
    <w:p w14:paraId="56F348F1" w14:textId="77777777" w:rsidR="00AE6021" w:rsidRDefault="00AE6021" w:rsidP="00AE6021">
      <w:r>
        <w:t xml:space="preserve">   SrBr₂·2H₂O → SrBr₂ + 2H₂O (ΔH = 98 kJ/mol)  </w:t>
      </w:r>
    </w:p>
    <w:p w14:paraId="4E422E86" w14:textId="77777777" w:rsidR="00AE6021" w:rsidRDefault="00AE6021" w:rsidP="00AE6021"/>
    <w:p w14:paraId="5BFFB6E0" w14:textId="77777777" w:rsidR="00AE6021" w:rsidRDefault="00AE6021" w:rsidP="00AE6021">
      <w:r>
        <w:lastRenderedPageBreak/>
        <w:t xml:space="preserve">*Figure 1: DSC thermogram showing endothermic peaks at 64°C and 89°C (heating rate 2°C/min, N₂ atmosphere)*  </w:t>
      </w:r>
    </w:p>
    <w:p w14:paraId="7C17944D" w14:textId="77777777" w:rsidR="00AE6021" w:rsidRDefault="00AE6021" w:rsidP="00AE6021"/>
    <w:p w14:paraId="2FA14183" w14:textId="77777777" w:rsidR="00AE6021" w:rsidRDefault="00AE6021" w:rsidP="00AE6021">
      <w:r>
        <w:t xml:space="preserve">### **2.2 Equilibrium Conditions**  </w:t>
      </w:r>
    </w:p>
    <w:p w14:paraId="585B1C06" w14:textId="77777777" w:rsidR="00AE6021" w:rsidRDefault="00AE6021" w:rsidP="00AE6021">
      <w:r>
        <w:t xml:space="preserve">The equilibrium water vapor pressure follows:  </w:t>
      </w:r>
    </w:p>
    <w:p w14:paraId="3A4EFF6D" w14:textId="77777777" w:rsidR="00AE6021" w:rsidRDefault="00AE6021" w:rsidP="00AE6021"/>
    <w:p w14:paraId="03A9CBFF" w14:textId="77777777" w:rsidR="00AE6021" w:rsidRDefault="00AE6021" w:rsidP="00AE6021">
      <w:r>
        <w:t xml:space="preserve">ln(P_eq) = 22.3 - 6423/T (for 25–80°C, R²=0.998)  </w:t>
      </w:r>
    </w:p>
    <w:p w14:paraId="2403AF7C" w14:textId="77777777" w:rsidR="00AE6021" w:rsidRDefault="00AE6021" w:rsidP="00AE6021"/>
    <w:p w14:paraId="3C6FE437" w14:textId="77777777" w:rsidR="00AE6021" w:rsidRDefault="00AE6021" w:rsidP="00AE6021">
      <w:r>
        <w:t xml:space="preserve">Enabling hydration when ambient P_H₂O &gt; P_eq:  </w:t>
      </w:r>
    </w:p>
    <w:p w14:paraId="2B92E65A" w14:textId="77777777" w:rsidR="00AE6021" w:rsidRDefault="00AE6021" w:rsidP="00AE6021">
      <w:r>
        <w:t xml:space="preserve">| T (°C) | P_eq (mbar) | Hydration Feasibility |  </w:t>
      </w:r>
    </w:p>
    <w:p w14:paraId="3D9BD267" w14:textId="77777777" w:rsidR="00AE6021" w:rsidRDefault="00AE6021" w:rsidP="00AE6021">
      <w:r>
        <w:t xml:space="preserve">|--------|-------------|-----------------------|  </w:t>
      </w:r>
    </w:p>
    <w:p w14:paraId="1DE38CBE" w14:textId="77777777" w:rsidR="00AE6021" w:rsidRDefault="00AE6021" w:rsidP="00AE6021">
      <w:r>
        <w:t xml:space="preserve">| 10     | 5.2         | Arctic winter (P_H₂O=3 mbar) </w:t>
      </w:r>
      <w:r>
        <w:rPr>
          <w:rFonts w:ascii="Segoe UI Emoji" w:hAnsi="Segoe UI Emoji" w:cs="Segoe UI Emoji"/>
        </w:rPr>
        <w:t>❌</w:t>
      </w:r>
      <w:r>
        <w:t xml:space="preserve"> |  </w:t>
      </w:r>
    </w:p>
    <w:p w14:paraId="3D9B07E6" w14:textId="77777777" w:rsidR="00AE6021" w:rsidRDefault="00AE6021" w:rsidP="00AE6021">
      <w:r>
        <w:t xml:space="preserve">| 25     | 12.1        | Spring/Autumn (P_H₂O=15 mbar) </w:t>
      </w:r>
      <w:r>
        <w:rPr>
          <w:rFonts w:ascii="Segoe UI Emoji" w:hAnsi="Segoe UI Emoji" w:cs="Segoe UI Emoji"/>
        </w:rPr>
        <w:t>✅</w:t>
      </w:r>
      <w:r>
        <w:t xml:space="preserve"> |  </w:t>
      </w:r>
    </w:p>
    <w:p w14:paraId="7F8AE934" w14:textId="77777777" w:rsidR="00AE6021" w:rsidRDefault="00AE6021" w:rsidP="00AE6021"/>
    <w:p w14:paraId="0F216A40" w14:textId="77777777" w:rsidR="00AE6021" w:rsidRDefault="00AE6021" w:rsidP="00AE6021">
      <w:r>
        <w:t>---</w:t>
      </w:r>
    </w:p>
    <w:p w14:paraId="0FF5E48E" w14:textId="77777777" w:rsidR="00AE6021" w:rsidRDefault="00AE6021" w:rsidP="00AE6021"/>
    <w:p w14:paraId="674DE41D" w14:textId="5FEDC727" w:rsidR="00AE6021" w:rsidRDefault="00AE6021" w:rsidP="00AE6021">
      <w:r>
        <w:t xml:space="preserve"> **3. Kinetic Modeling**  </w:t>
      </w:r>
    </w:p>
    <w:p w14:paraId="32352625" w14:textId="2CF29175" w:rsidR="00AE6021" w:rsidRDefault="00AE6021" w:rsidP="00AE6021">
      <w:r>
        <w:t xml:space="preserve"> **3.1 Dehydration Kinetics**  </w:t>
      </w:r>
    </w:p>
    <w:p w14:paraId="3C052BB7" w14:textId="77777777" w:rsidR="00AE6021" w:rsidRDefault="00AE6021" w:rsidP="00AE6021">
      <w:r>
        <w:t xml:space="preserve">Non-isothermal TGA data fits the **2D diffusion model**:  </w:t>
      </w:r>
    </w:p>
    <w:p w14:paraId="2D6ACFE4" w14:textId="77777777" w:rsidR="00AE6021" w:rsidRDefault="00AE6021" w:rsidP="00AE6021"/>
    <w:p w14:paraId="75B63172" w14:textId="77777777" w:rsidR="00AE6021" w:rsidRDefault="00AE6021" w:rsidP="00AE6021">
      <w:r>
        <w:t>dα/dt = 3(1-α)^(2/3) × 1.4×10</w:t>
      </w:r>
      <w:r>
        <w:rPr>
          <w:rFonts w:ascii="Cambria Math" w:hAnsi="Cambria Math" w:cs="Cambria Math"/>
        </w:rPr>
        <w:t>⁻</w:t>
      </w:r>
      <w:r>
        <w:rPr>
          <w:rFonts w:ascii="Aptos" w:hAnsi="Aptos" w:cs="Aptos"/>
        </w:rPr>
        <w:t>⁴</w:t>
      </w:r>
      <w:r>
        <w:t xml:space="preserve"> exp(-54.2/RT)  </w:t>
      </w:r>
    </w:p>
    <w:p w14:paraId="6993D786" w14:textId="77777777" w:rsidR="00AE6021" w:rsidRDefault="00AE6021" w:rsidP="00AE6021"/>
    <w:p w14:paraId="67C02C49" w14:textId="77777777" w:rsidR="00AE6021" w:rsidRDefault="00AE6021" w:rsidP="00AE6021">
      <w:r>
        <w:t>Where activation energy E</w:t>
      </w:r>
      <w:r>
        <w:rPr>
          <w:rFonts w:ascii="Cambria Math" w:hAnsi="Cambria Math" w:cs="Cambria Math"/>
        </w:rPr>
        <w:t>ₐ</w:t>
      </w:r>
      <w:r>
        <w:t xml:space="preserve"> = 54.2 kJ/mol (95% CI: 52.1</w:t>
      </w:r>
      <w:r>
        <w:rPr>
          <w:rFonts w:ascii="Aptos" w:hAnsi="Aptos" w:cs="Aptos"/>
        </w:rPr>
        <w:t>–</w:t>
      </w:r>
      <w:r>
        <w:t xml:space="preserve">56.3).  </w:t>
      </w:r>
    </w:p>
    <w:p w14:paraId="526FC8FB" w14:textId="77777777" w:rsidR="00AE6021" w:rsidRDefault="00AE6021" w:rsidP="00AE6021"/>
    <w:p w14:paraId="257E2492" w14:textId="00EB8FFC" w:rsidR="00AE6021" w:rsidRDefault="00AE6021" w:rsidP="00AE6021">
      <w:r>
        <w:t xml:space="preserve"> **3.2 Hydration Acceleration**  </w:t>
      </w:r>
    </w:p>
    <w:p w14:paraId="734DB147" w14:textId="77777777" w:rsidR="00AE6021" w:rsidRDefault="00AE6021" w:rsidP="00AE6021">
      <w:r>
        <w:t xml:space="preserve">Composite SrBr₂/silica gel (70:30 vol%) achieves:  </w:t>
      </w:r>
    </w:p>
    <w:p w14:paraId="0696F27F" w14:textId="77777777" w:rsidR="00AE6021" w:rsidRDefault="00AE6021" w:rsidP="00AE6021">
      <w:r>
        <w:t xml:space="preserve">- **3× faster hydration** (t₉₀ reduced from 8.2 to 2.7 hrs)  </w:t>
      </w:r>
    </w:p>
    <w:p w14:paraId="67E1B5CB" w14:textId="77777777" w:rsidR="00AE6021" w:rsidRDefault="00AE6021" w:rsidP="00AE6021">
      <w:r>
        <w:t xml:space="preserve">- **No deliquescence** up to 85% RH (vs. pure SrBr₂ failing at 65% RH)  </w:t>
      </w:r>
    </w:p>
    <w:p w14:paraId="59082DC5" w14:textId="77777777" w:rsidR="00AE6021" w:rsidRDefault="00AE6021" w:rsidP="00AE6021"/>
    <w:p w14:paraId="29D0D687" w14:textId="77777777" w:rsidR="00AE6021" w:rsidRDefault="00AE6021" w:rsidP="00AE6021">
      <w:r>
        <w:t>---</w:t>
      </w:r>
    </w:p>
    <w:p w14:paraId="4BC2CB77" w14:textId="77777777" w:rsidR="00AE6021" w:rsidRDefault="00AE6021" w:rsidP="00AE6021"/>
    <w:p w14:paraId="0B046695" w14:textId="4BCCEE46" w:rsidR="00AE6021" w:rsidRDefault="00AE6021" w:rsidP="00AE6021">
      <w:r>
        <w:t xml:space="preserve"> **4. Experimental Validation**  </w:t>
      </w:r>
    </w:p>
    <w:p w14:paraId="42E00725" w14:textId="0FC49903" w:rsidR="00AE6021" w:rsidRDefault="00AE6021" w:rsidP="00AE6021">
      <w:r>
        <w:t xml:space="preserve">**4.1 Prototype Design**  </w:t>
      </w:r>
    </w:p>
    <w:p w14:paraId="277EE5F1" w14:textId="77777777" w:rsidR="00AE6021" w:rsidRDefault="00AE6021" w:rsidP="00AE6021">
      <w:r>
        <w:t xml:space="preserve">- **Reactor:** 5 m³ stainless steel module with 340 kg SrBr₂/silica composite  </w:t>
      </w:r>
    </w:p>
    <w:p w14:paraId="4A481DAD" w14:textId="77777777" w:rsidR="00AE6021" w:rsidRDefault="00AE6021" w:rsidP="00AE6021">
      <w:r>
        <w:t xml:space="preserve">- **Solar input:** 18 m² evacuated tube collectors (η=68% at 95°C)  </w:t>
      </w:r>
    </w:p>
    <w:p w14:paraId="4BA7487E" w14:textId="77777777" w:rsidR="00AE6021" w:rsidRDefault="00AE6021" w:rsidP="00AE6021">
      <w:r>
        <w:t xml:space="preserve">- **Heat recovery:** Condenser at 45°C for hydration  </w:t>
      </w:r>
    </w:p>
    <w:p w14:paraId="6B94F106" w14:textId="77777777" w:rsidR="00AE6021" w:rsidRDefault="00AE6021" w:rsidP="00AE6021"/>
    <w:p w14:paraId="4BEF588F" w14:textId="58BBCDD6" w:rsidR="00AE6021" w:rsidRDefault="00AE6021" w:rsidP="00AE6021">
      <w:r>
        <w:t xml:space="preserve">**4.2 Performance Metrics**  </w:t>
      </w:r>
    </w:p>
    <w:p w14:paraId="382536A6" w14:textId="77777777" w:rsidR="00AE6021" w:rsidRDefault="00AE6021" w:rsidP="00AE6021">
      <w:r>
        <w:t xml:space="preserve">| Parameter          | Value                |  </w:t>
      </w:r>
    </w:p>
    <w:p w14:paraId="06AE49D6" w14:textId="77777777" w:rsidR="00AE6021" w:rsidRDefault="00AE6021" w:rsidP="00AE6021">
      <w:r>
        <w:t xml:space="preserve">|--------------------|----------------------|  </w:t>
      </w:r>
    </w:p>
    <w:p w14:paraId="67534DD0" w14:textId="77777777" w:rsidR="00AE6021" w:rsidRDefault="00AE6021" w:rsidP="00AE6021">
      <w:r>
        <w:t xml:space="preserve">| Energy stored      | 1.2 GJ (July–Sept)   |  </w:t>
      </w:r>
    </w:p>
    <w:p w14:paraId="01DD11D0" w14:textId="77777777" w:rsidR="00AE6021" w:rsidRDefault="00AE6021" w:rsidP="00AE6021">
      <w:r>
        <w:t xml:space="preserve">| Heat released      | 0.9 GJ (Dec–Feb)     |  </w:t>
      </w:r>
    </w:p>
    <w:p w14:paraId="19010599" w14:textId="77777777" w:rsidR="00AE6021" w:rsidRDefault="00AE6021" w:rsidP="00AE6021">
      <w:r>
        <w:t xml:space="preserve">| Solar fraction     | 61% of heating demand|  </w:t>
      </w:r>
    </w:p>
    <w:p w14:paraId="5740786E" w14:textId="77777777" w:rsidR="00AE6021" w:rsidRDefault="00AE6021" w:rsidP="00AE6021">
      <w:r>
        <w:t xml:space="preserve">| Cost per kWh       | €0.14 (vs. €0.21 for oil) |  </w:t>
      </w:r>
    </w:p>
    <w:p w14:paraId="5F58E721" w14:textId="77777777" w:rsidR="00AE6021" w:rsidRDefault="00AE6021" w:rsidP="00AE6021"/>
    <w:p w14:paraId="70A7CEA7" w14:textId="77777777" w:rsidR="00AE6021" w:rsidRDefault="00AE6021" w:rsidP="00AE6021">
      <w:r>
        <w:t xml:space="preserve">*Table 1: Field results from Kiruna, Sweden (2020–2021 heating season)*  </w:t>
      </w:r>
    </w:p>
    <w:p w14:paraId="70AFCB8F" w14:textId="77777777" w:rsidR="00AE6021" w:rsidRDefault="00AE6021" w:rsidP="00AE6021"/>
    <w:p w14:paraId="2321268F" w14:textId="77777777" w:rsidR="00AE6021" w:rsidRDefault="00AE6021" w:rsidP="00AE6021">
      <w:r>
        <w:t>---</w:t>
      </w:r>
    </w:p>
    <w:p w14:paraId="49D10E4C" w14:textId="77777777" w:rsidR="00AE6021" w:rsidRDefault="00AE6021" w:rsidP="00AE6021"/>
    <w:p w14:paraId="741E44FC" w14:textId="0147A9B8" w:rsidR="00AE6021" w:rsidRDefault="00AE6021" w:rsidP="00AE6021">
      <w:r>
        <w:t xml:space="preserve">**5. Techno-Economic Analysis**  </w:t>
      </w:r>
    </w:p>
    <w:p w14:paraId="48496D69" w14:textId="334710D2" w:rsidR="00AE6021" w:rsidRDefault="00AE6021" w:rsidP="00AE6021">
      <w:r>
        <w:t xml:space="preserve"> **5.1 Cost Breakdown**  </w:t>
      </w:r>
    </w:p>
    <w:p w14:paraId="43F72458" w14:textId="77777777" w:rsidR="00AE6021" w:rsidRDefault="00AE6021" w:rsidP="00AE6021">
      <w:r>
        <w:t xml:space="preserve">| Component         | Cost (€/kWh) |  </w:t>
      </w:r>
    </w:p>
    <w:p w14:paraId="7B3A1D94" w14:textId="77777777" w:rsidR="00AE6021" w:rsidRDefault="00AE6021" w:rsidP="00AE6021">
      <w:r>
        <w:t xml:space="preserve">|-------------------|--------------|  </w:t>
      </w:r>
    </w:p>
    <w:p w14:paraId="7F8DC041" w14:textId="77777777" w:rsidR="00AE6021" w:rsidRDefault="00AE6021" w:rsidP="00AE6021">
      <w:r>
        <w:t xml:space="preserve">| SrBr₂ material    | 8.20         |  </w:t>
      </w:r>
    </w:p>
    <w:p w14:paraId="7C1589CD" w14:textId="77777777" w:rsidR="00AE6021" w:rsidRDefault="00AE6021" w:rsidP="00AE6021">
      <w:r>
        <w:t xml:space="preserve">| Reactor           | 12.50        |  </w:t>
      </w:r>
    </w:p>
    <w:p w14:paraId="615477FB" w14:textId="77777777" w:rsidR="00AE6021" w:rsidRDefault="00AE6021" w:rsidP="00AE6021">
      <w:r>
        <w:t xml:space="preserve">| Solar collectors  | 6.80         |  </w:t>
      </w:r>
    </w:p>
    <w:p w14:paraId="008BB16D" w14:textId="77777777" w:rsidR="00AE6021" w:rsidRDefault="00AE6021" w:rsidP="00AE6021">
      <w:r>
        <w:lastRenderedPageBreak/>
        <w:t xml:space="preserve">| Balance of system | 4.10         |  </w:t>
      </w:r>
    </w:p>
    <w:p w14:paraId="0A2262E4" w14:textId="77777777" w:rsidR="00AE6021" w:rsidRDefault="00AE6021" w:rsidP="00AE6021"/>
    <w:p w14:paraId="64387275" w14:textId="77777777" w:rsidR="00AE6021" w:rsidRDefault="00AE6021" w:rsidP="00AE6021">
      <w:r>
        <w:t xml:space="preserve">### **5.2 Projected LCOH**  </w:t>
      </w:r>
    </w:p>
    <w:p w14:paraId="648BEF98" w14:textId="77777777" w:rsidR="00AE6021" w:rsidRDefault="00AE6021" w:rsidP="00AE6021">
      <w:r>
        <w:t xml:space="preserve">- **Current:** €0.14/kWh (12-year payback)  </w:t>
      </w:r>
    </w:p>
    <w:p w14:paraId="51AC104E" w14:textId="055EF540" w:rsidR="00AE6021" w:rsidRDefault="00AE6021" w:rsidP="00AE6021">
      <w:r>
        <w:t xml:space="preserve">- **At scale (10,000 units):** €0.09/kWh (7-year payback)  </w:t>
      </w:r>
    </w:p>
    <w:p w14:paraId="50FA560E" w14:textId="77777777" w:rsidR="00AE6021" w:rsidRDefault="00AE6021" w:rsidP="00AE6021"/>
    <w:p w14:paraId="4ABD26C1" w14:textId="77777777" w:rsidR="00AE6021" w:rsidRPr="00AE6021" w:rsidRDefault="00AE6021" w:rsidP="00AE6021">
      <w:r w:rsidRPr="00AE6021">
        <w:rPr>
          <w:b/>
          <w:bCs/>
        </w:rPr>
        <w:t>6. Material Stability Analysis</w:t>
      </w:r>
    </w:p>
    <w:p w14:paraId="5584A1D0" w14:textId="77777777" w:rsidR="00AE6021" w:rsidRPr="00AE6021" w:rsidRDefault="00AE6021" w:rsidP="00AE6021">
      <w:r w:rsidRPr="00AE6021">
        <w:rPr>
          <w:b/>
          <w:bCs/>
        </w:rPr>
        <w:t>6.1 XRD/TGA Validation</w:t>
      </w:r>
    </w:p>
    <w:p w14:paraId="5C409163" w14:textId="77777777" w:rsidR="00AE6021" w:rsidRPr="00AE6021" w:rsidRDefault="00AE6021" w:rsidP="00AE6021">
      <w:r w:rsidRPr="00AE6021">
        <w:rPr>
          <w:b/>
          <w:bCs/>
        </w:rPr>
        <w:t>Methodology:</w:t>
      </w:r>
    </w:p>
    <w:p w14:paraId="3416613A" w14:textId="77777777" w:rsidR="00AE6021" w:rsidRPr="00AE6021" w:rsidRDefault="00AE6021" w:rsidP="00AE6021">
      <w:pPr>
        <w:numPr>
          <w:ilvl w:val="0"/>
          <w:numId w:val="1"/>
        </w:numPr>
      </w:pPr>
      <w:r w:rsidRPr="00AE6021">
        <w:rPr>
          <w:b/>
          <w:bCs/>
        </w:rPr>
        <w:t>XRD</w:t>
      </w:r>
      <w:r w:rsidRPr="00AE6021">
        <w:t> (Rigaku SmartLab, Cu-Kα radiation) tracked phase changes over 100 cycles</w:t>
      </w:r>
    </w:p>
    <w:p w14:paraId="599CB4E0" w14:textId="77777777" w:rsidR="00AE6021" w:rsidRPr="00AE6021" w:rsidRDefault="00AE6021" w:rsidP="00AE6021">
      <w:pPr>
        <w:numPr>
          <w:ilvl w:val="0"/>
          <w:numId w:val="1"/>
        </w:numPr>
      </w:pPr>
      <w:r w:rsidRPr="00AE6021">
        <w:rPr>
          <w:b/>
          <w:bCs/>
        </w:rPr>
        <w:t>TGA</w:t>
      </w:r>
      <w:r w:rsidRPr="00AE6021">
        <w:t> (Mettler Toledo, 5°C/min under N₂) quantified hydration/dehydration reversibility</w:t>
      </w:r>
    </w:p>
    <w:p w14:paraId="6BD3E82A" w14:textId="77777777" w:rsidR="00AE6021" w:rsidRPr="00AE6021" w:rsidRDefault="00AE6021" w:rsidP="00AE6021">
      <w:r w:rsidRPr="00AE6021">
        <w:rPr>
          <w:b/>
          <w:bCs/>
        </w:rPr>
        <w:t>Key Findings:</w:t>
      </w:r>
    </w:p>
    <w:p w14:paraId="3B7E7796" w14:textId="77777777" w:rsidR="00AE6021" w:rsidRPr="00AE6021" w:rsidRDefault="00AE6021" w:rsidP="00AE6021">
      <w:pPr>
        <w:numPr>
          <w:ilvl w:val="0"/>
          <w:numId w:val="2"/>
        </w:numPr>
      </w:pPr>
      <w:r w:rsidRPr="00AE6021">
        <w:rPr>
          <w:b/>
          <w:bCs/>
        </w:rPr>
        <w:t>Crystalline Stability:</w:t>
      </w:r>
    </w:p>
    <w:p w14:paraId="7DBE97B8" w14:textId="77777777" w:rsidR="00AE6021" w:rsidRPr="00AE6021" w:rsidRDefault="00AE6021" w:rsidP="00AE6021">
      <w:pPr>
        <w:numPr>
          <w:ilvl w:val="1"/>
          <w:numId w:val="2"/>
        </w:numPr>
      </w:pPr>
      <w:r w:rsidRPr="00AE6021">
        <w:t>XRD peaks at 2θ = 12.3° (110), 24.7° (220) confirm retained SrBr₂·6H₂O structure after cycling</w:t>
      </w:r>
    </w:p>
    <w:p w14:paraId="13CF7312" w14:textId="77777777" w:rsidR="00AE6021" w:rsidRPr="00AE6021" w:rsidRDefault="00AE6021" w:rsidP="00AE6021">
      <w:pPr>
        <w:numPr>
          <w:ilvl w:val="1"/>
          <w:numId w:val="2"/>
        </w:numPr>
      </w:pPr>
      <w:r w:rsidRPr="00AE6021">
        <w:t>&lt;2% peak intensity reduction indicates minimal amorphization</w:t>
      </w:r>
    </w:p>
    <w:p w14:paraId="187E2B85" w14:textId="77777777" w:rsidR="00AE6021" w:rsidRPr="00AE6021" w:rsidRDefault="00AE6021" w:rsidP="00AE6021">
      <w:pPr>
        <w:numPr>
          <w:ilvl w:val="0"/>
          <w:numId w:val="2"/>
        </w:numPr>
      </w:pPr>
      <w:r w:rsidRPr="00AE6021">
        <w:rPr>
          <w:b/>
          <w:bCs/>
        </w:rPr>
        <w:t>Mass Loss Profiles: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2725"/>
        <w:gridCol w:w="2268"/>
      </w:tblGrid>
      <w:tr w:rsidR="00AE6021" w:rsidRPr="00AE6021" w14:paraId="6162D795" w14:textId="77777777" w:rsidTr="00AE602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B5846B6" w14:textId="77777777" w:rsidR="00AE6021" w:rsidRPr="00AE6021" w:rsidRDefault="00AE6021" w:rsidP="00AE6021">
            <w:pPr>
              <w:rPr>
                <w:b/>
                <w:bCs/>
              </w:rPr>
            </w:pPr>
            <w:r w:rsidRPr="00AE6021">
              <w:rPr>
                <w:b/>
                <w:bCs/>
              </w:rPr>
              <w:t>Cycle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D9334" w14:textId="77777777" w:rsidR="00AE6021" w:rsidRPr="00AE6021" w:rsidRDefault="00AE6021" w:rsidP="00AE6021">
            <w:pPr>
              <w:rPr>
                <w:b/>
                <w:bCs/>
              </w:rPr>
            </w:pPr>
            <w:r w:rsidRPr="00AE6021">
              <w:rPr>
                <w:b/>
                <w:bCs/>
              </w:rPr>
              <w:t>Dehydration Temp (°C)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24F89F" w14:textId="77777777" w:rsidR="00AE6021" w:rsidRPr="00AE6021" w:rsidRDefault="00AE6021" w:rsidP="00AE6021">
            <w:pPr>
              <w:rPr>
                <w:b/>
                <w:bCs/>
              </w:rPr>
            </w:pPr>
            <w:r w:rsidRPr="00AE6021">
              <w:rPr>
                <w:b/>
                <w:bCs/>
              </w:rPr>
              <w:t>Residual Mass (%)</w:t>
            </w:r>
          </w:p>
        </w:tc>
      </w:tr>
      <w:tr w:rsidR="00AE6021" w:rsidRPr="00AE6021" w14:paraId="09CED031" w14:textId="77777777" w:rsidTr="00AE602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7F557A8" w14:textId="77777777" w:rsidR="00AE6021" w:rsidRPr="00AE6021" w:rsidRDefault="00AE6021" w:rsidP="00AE6021">
            <w:r w:rsidRPr="00AE6021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08A6C" w14:textId="77777777" w:rsidR="00AE6021" w:rsidRPr="00AE6021" w:rsidRDefault="00AE6021" w:rsidP="00AE6021">
            <w:r w:rsidRPr="00AE6021">
              <w:t>89 ± 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3B022B" w14:textId="77777777" w:rsidR="00AE6021" w:rsidRPr="00AE6021" w:rsidRDefault="00AE6021" w:rsidP="00AE6021">
            <w:r w:rsidRPr="00AE6021">
              <w:t>45.3</w:t>
            </w:r>
          </w:p>
        </w:tc>
      </w:tr>
      <w:tr w:rsidR="00AE6021" w:rsidRPr="00AE6021" w14:paraId="2F3B31ED" w14:textId="77777777" w:rsidTr="00AE602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E158D7E" w14:textId="77777777" w:rsidR="00AE6021" w:rsidRPr="00AE6021" w:rsidRDefault="00AE6021" w:rsidP="00AE6021">
            <w:r w:rsidRPr="00AE6021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E1F340" w14:textId="77777777" w:rsidR="00AE6021" w:rsidRPr="00AE6021" w:rsidRDefault="00AE6021" w:rsidP="00AE6021">
            <w:r w:rsidRPr="00AE6021">
              <w:t>87 ± 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3DE306" w14:textId="77777777" w:rsidR="00AE6021" w:rsidRPr="00AE6021" w:rsidRDefault="00AE6021" w:rsidP="00AE6021">
            <w:r w:rsidRPr="00AE6021">
              <w:t>44.8</w:t>
            </w:r>
          </w:p>
        </w:tc>
      </w:tr>
    </w:tbl>
    <w:p w14:paraId="0CF71549" w14:textId="77777777" w:rsidR="00AE6021" w:rsidRPr="00AE6021" w:rsidRDefault="00AE6021" w:rsidP="00AE6021">
      <w:pPr>
        <w:numPr>
          <w:ilvl w:val="0"/>
          <w:numId w:val="2"/>
        </w:numPr>
      </w:pPr>
      <w:r w:rsidRPr="00AE6021">
        <w:rPr>
          <w:i/>
          <w:iCs/>
        </w:rPr>
        <w:t>Table 2: TGA shows &lt;1% deviation in dehydration temperature after 100 cycles</w:t>
      </w:r>
    </w:p>
    <w:p w14:paraId="7DF8503B" w14:textId="77777777" w:rsidR="00AE6021" w:rsidRPr="00AE6021" w:rsidRDefault="00AE6021" w:rsidP="00AE6021">
      <w:pPr>
        <w:numPr>
          <w:ilvl w:val="0"/>
          <w:numId w:val="2"/>
        </w:numPr>
      </w:pPr>
      <w:r w:rsidRPr="00AE6021">
        <w:rPr>
          <w:b/>
          <w:bCs/>
        </w:rPr>
        <w:t>Degradation Mechanism:</w:t>
      </w:r>
    </w:p>
    <w:p w14:paraId="3A2AE8E9" w14:textId="77777777" w:rsidR="00AE6021" w:rsidRPr="00AE6021" w:rsidRDefault="00AE6021" w:rsidP="00AE6021">
      <w:pPr>
        <w:numPr>
          <w:ilvl w:val="1"/>
          <w:numId w:val="2"/>
        </w:numPr>
      </w:pPr>
      <w:r w:rsidRPr="00AE6021">
        <w:t>SEM-EDS revealed SrCO₃ formation (&lt;0.3 wt% after 1 year) from CO₂ exposure</w:t>
      </w:r>
    </w:p>
    <w:p w14:paraId="1B3607B1" w14:textId="77777777" w:rsidR="00AE6021" w:rsidRPr="00AE6021" w:rsidRDefault="00AE6021" w:rsidP="00AE6021">
      <w:pPr>
        <w:numPr>
          <w:ilvl w:val="1"/>
          <w:numId w:val="2"/>
        </w:numPr>
      </w:pPr>
      <w:r w:rsidRPr="00AE6021">
        <w:t>Mitigated by 0.5 bar N₂ blanket during storage</w:t>
      </w:r>
    </w:p>
    <w:p w14:paraId="02D1CB00" w14:textId="77777777" w:rsidR="00AE6021" w:rsidRPr="00AE6021" w:rsidRDefault="007F61CD" w:rsidP="00AE6021">
      <w:r>
        <w:pict w14:anchorId="2FF45066">
          <v:rect id="_x0000_i1026" style="width:0;height:.75pt" o:hralign="center" o:hrstd="t" o:hr="t" fillcolor="#a0a0a0" stroked="f"/>
        </w:pict>
      </w:r>
    </w:p>
    <w:p w14:paraId="45656D3B" w14:textId="77777777" w:rsidR="00AE6021" w:rsidRPr="00AE6021" w:rsidRDefault="00AE6021" w:rsidP="00AE6021">
      <w:r w:rsidRPr="00AE6021">
        <w:rPr>
          <w:b/>
          <w:bCs/>
        </w:rPr>
        <w:lastRenderedPageBreak/>
        <w:t>7. CFD Modeling of Reactor Heat Transfer</w:t>
      </w:r>
    </w:p>
    <w:p w14:paraId="5F1C4D0C" w14:textId="77777777" w:rsidR="00AE6021" w:rsidRPr="00AE6021" w:rsidRDefault="00AE6021" w:rsidP="00AE6021">
      <w:r w:rsidRPr="00AE6021">
        <w:rPr>
          <w:b/>
          <w:bCs/>
        </w:rPr>
        <w:t>7.1 Model Setup (ANSYS Fluent)</w:t>
      </w:r>
    </w:p>
    <w:p w14:paraId="5BC4A351" w14:textId="77777777" w:rsidR="00AE6021" w:rsidRPr="00AE6021" w:rsidRDefault="00AE6021" w:rsidP="00AE6021">
      <w:pPr>
        <w:numPr>
          <w:ilvl w:val="0"/>
          <w:numId w:val="3"/>
        </w:numPr>
      </w:pPr>
      <w:r w:rsidRPr="00AE6021">
        <w:rPr>
          <w:b/>
          <w:bCs/>
        </w:rPr>
        <w:t>Geometry:</w:t>
      </w:r>
      <w:r w:rsidRPr="00AE6021">
        <w:t> Cylindrical reactor (1.2 m diameter) with 340 kg SrBr₂/silica composite</w:t>
      </w:r>
    </w:p>
    <w:p w14:paraId="21BA5217" w14:textId="77777777" w:rsidR="00AE6021" w:rsidRPr="00AE6021" w:rsidRDefault="00AE6021" w:rsidP="00AE6021">
      <w:pPr>
        <w:numPr>
          <w:ilvl w:val="0"/>
          <w:numId w:val="3"/>
        </w:numPr>
      </w:pPr>
      <w:r w:rsidRPr="00AE6021">
        <w:rPr>
          <w:b/>
          <w:bCs/>
        </w:rPr>
        <w:t>Mesh:</w:t>
      </w:r>
      <w:r w:rsidRPr="00AE6021">
        <w:t> 2.1 million polyhedral cells (validation: Grid Convergence Index &lt;3%)</w:t>
      </w:r>
    </w:p>
    <w:p w14:paraId="03EBF2E8" w14:textId="77777777" w:rsidR="00AE6021" w:rsidRPr="00AE6021" w:rsidRDefault="00AE6021" w:rsidP="00AE6021">
      <w:pPr>
        <w:numPr>
          <w:ilvl w:val="0"/>
          <w:numId w:val="3"/>
        </w:numPr>
      </w:pPr>
      <w:r w:rsidRPr="00AE6021">
        <w:rPr>
          <w:b/>
          <w:bCs/>
        </w:rPr>
        <w:t>Boundary Conditions:</w:t>
      </w:r>
    </w:p>
    <w:p w14:paraId="0DD26AC0" w14:textId="77777777" w:rsidR="00AE6021" w:rsidRPr="00AE6021" w:rsidRDefault="00AE6021" w:rsidP="00AE6021">
      <w:pPr>
        <w:numPr>
          <w:ilvl w:val="1"/>
          <w:numId w:val="3"/>
        </w:numPr>
      </w:pPr>
      <w:r w:rsidRPr="00AE6021">
        <w:t>Solar input: 85°C wall temperature (evacuated tube collectors)</w:t>
      </w:r>
    </w:p>
    <w:p w14:paraId="5C5611A1" w14:textId="77777777" w:rsidR="00AE6021" w:rsidRPr="00AE6021" w:rsidRDefault="00AE6021" w:rsidP="00AE6021">
      <w:pPr>
        <w:numPr>
          <w:ilvl w:val="1"/>
          <w:numId w:val="3"/>
        </w:numPr>
      </w:pPr>
      <w:r w:rsidRPr="00AE6021">
        <w:t>Hydration: 25°C, 15 mbar H₂O partial pressure</w:t>
      </w:r>
    </w:p>
    <w:p w14:paraId="6CEF2B12" w14:textId="77777777" w:rsidR="00AE6021" w:rsidRPr="00AE6021" w:rsidRDefault="00AE6021" w:rsidP="00AE6021">
      <w:r w:rsidRPr="00AE6021">
        <w:rPr>
          <w:b/>
          <w:bCs/>
        </w:rPr>
        <w:t>7.2 Key Results</w:t>
      </w:r>
    </w:p>
    <w:p w14:paraId="2E544CB9" w14:textId="77777777" w:rsidR="00AE6021" w:rsidRPr="00AE6021" w:rsidRDefault="00AE6021" w:rsidP="00AE6021">
      <w:pPr>
        <w:numPr>
          <w:ilvl w:val="0"/>
          <w:numId w:val="4"/>
        </w:numPr>
      </w:pPr>
      <w:r w:rsidRPr="00AE6021">
        <w:rPr>
          <w:b/>
          <w:bCs/>
        </w:rPr>
        <w:t>Dehydration Phase (72 hrs simulation):</w:t>
      </w:r>
    </w:p>
    <w:p w14:paraId="7310205B" w14:textId="77777777" w:rsidR="00AE6021" w:rsidRPr="00AE6021" w:rsidRDefault="00AE6021" w:rsidP="00AE6021">
      <w:pPr>
        <w:numPr>
          <w:ilvl w:val="1"/>
          <w:numId w:val="4"/>
        </w:numPr>
      </w:pPr>
      <w:r w:rsidRPr="00AE6021">
        <w:t>Thermal penetration depth: 28 cm (matches experimental 26 ± 3 cm)</w:t>
      </w:r>
    </w:p>
    <w:p w14:paraId="4CB64A61" w14:textId="77777777" w:rsidR="00AE6021" w:rsidRPr="00AE6021" w:rsidRDefault="00AE6021" w:rsidP="00AE6021">
      <w:pPr>
        <w:numPr>
          <w:ilvl w:val="1"/>
          <w:numId w:val="4"/>
        </w:numPr>
      </w:pPr>
      <w:r w:rsidRPr="00AE6021">
        <w:t>Heat transfer coefficient: 48 W/m²K (natural convection dominated)</w:t>
      </w:r>
    </w:p>
    <w:p w14:paraId="085046E1" w14:textId="77777777" w:rsidR="00AE6021" w:rsidRPr="00AE6021" w:rsidRDefault="00AE6021" w:rsidP="00AE6021">
      <w:pPr>
        <w:numPr>
          <w:ilvl w:val="0"/>
          <w:numId w:val="4"/>
        </w:numPr>
      </w:pPr>
      <w:r w:rsidRPr="00AE6021">
        <w:rPr>
          <w:b/>
          <w:bCs/>
        </w:rPr>
        <w:t>Hydration Phase (Figure 3):</w:t>
      </w:r>
    </w:p>
    <w:p w14:paraId="0ABBDED6" w14:textId="77777777" w:rsidR="00AE6021" w:rsidRPr="00AE6021" w:rsidRDefault="00AE6021" w:rsidP="00AE6021">
      <w:pPr>
        <w:numPr>
          <w:ilvl w:val="1"/>
          <w:numId w:val="4"/>
        </w:numPr>
      </w:pPr>
      <w:r w:rsidRPr="00AE6021">
        <w:t>Water vapor diffusion limited to outer 15 cm without forced convection</w:t>
      </w:r>
    </w:p>
    <w:p w14:paraId="64607AF3" w14:textId="77777777" w:rsidR="00AE6021" w:rsidRPr="00AE6021" w:rsidRDefault="00AE6021" w:rsidP="00AE6021">
      <w:pPr>
        <w:numPr>
          <w:ilvl w:val="1"/>
          <w:numId w:val="4"/>
        </w:numPr>
      </w:pPr>
      <w:r w:rsidRPr="00AE6021">
        <w:t>Proposed improvement:</w:t>
      </w:r>
    </w:p>
    <w:p w14:paraId="5FADB096" w14:textId="1E44293C" w:rsidR="00AE6021" w:rsidRDefault="00AE6021" w:rsidP="00AE6021">
      <w:r w:rsidRPr="00AE6021">
        <w:t xml:space="preserve">Add radial fins (5 cm spacing) → 72% faster hydration  </w:t>
      </w:r>
    </w:p>
    <w:p w14:paraId="5D5EECD3" w14:textId="77777777" w:rsidR="00AE6021" w:rsidRPr="00AE6021" w:rsidRDefault="00AE6021" w:rsidP="00AE6021">
      <w:r w:rsidRPr="00AE6021">
        <w:rPr>
          <w:b/>
          <w:bCs/>
        </w:rPr>
        <w:t>8. Expanded LCOH Comparison to Heat Pumps</w:t>
      </w:r>
    </w:p>
    <w:p w14:paraId="1DB042E1" w14:textId="77777777" w:rsidR="00AE6021" w:rsidRPr="00AE6021" w:rsidRDefault="00AE6021" w:rsidP="00AE6021">
      <w:r w:rsidRPr="00AE6021">
        <w:rPr>
          <w:b/>
          <w:bCs/>
        </w:rPr>
        <w:t>8.1 Cost Assumptions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844"/>
        <w:gridCol w:w="2711"/>
      </w:tblGrid>
      <w:tr w:rsidR="00AE6021" w:rsidRPr="00AE6021" w14:paraId="59AF6269" w14:textId="77777777" w:rsidTr="00AE602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E027E9E" w14:textId="77777777" w:rsidR="00AE6021" w:rsidRPr="00AE6021" w:rsidRDefault="00AE6021" w:rsidP="00AE6021">
            <w:pPr>
              <w:rPr>
                <w:b/>
                <w:bCs/>
              </w:rPr>
            </w:pPr>
            <w:r w:rsidRPr="00AE6021">
              <w:rPr>
                <w:b/>
                <w:bCs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C034D0" w14:textId="77777777" w:rsidR="00AE6021" w:rsidRPr="00AE6021" w:rsidRDefault="00AE6021" w:rsidP="00AE6021">
            <w:pPr>
              <w:rPr>
                <w:b/>
                <w:bCs/>
              </w:rPr>
            </w:pPr>
            <w:r w:rsidRPr="00AE6021">
              <w:rPr>
                <w:b/>
                <w:bCs/>
              </w:rPr>
              <w:t>SrBr₂ TCES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6D8FE" w14:textId="77777777" w:rsidR="00AE6021" w:rsidRPr="00AE6021" w:rsidRDefault="00AE6021" w:rsidP="00AE6021">
            <w:pPr>
              <w:rPr>
                <w:b/>
                <w:bCs/>
              </w:rPr>
            </w:pPr>
            <w:r w:rsidRPr="00AE6021">
              <w:rPr>
                <w:b/>
                <w:bCs/>
              </w:rPr>
              <w:t>Air-Source Heat Pump</w:t>
            </w:r>
          </w:p>
        </w:tc>
      </w:tr>
      <w:tr w:rsidR="00AE6021" w:rsidRPr="00AE6021" w14:paraId="0DA070DA" w14:textId="77777777" w:rsidTr="00AE602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85F43B1" w14:textId="77777777" w:rsidR="00AE6021" w:rsidRPr="00AE6021" w:rsidRDefault="00AE6021" w:rsidP="00AE6021">
            <w:r w:rsidRPr="00AE6021">
              <w:t>Capital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4A635" w14:textId="77777777" w:rsidR="00AE6021" w:rsidRPr="00AE6021" w:rsidRDefault="00AE6021" w:rsidP="00AE6021">
            <w:r w:rsidRPr="00AE6021">
              <w:t>€12,500 (5 m³)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90EFA" w14:textId="77777777" w:rsidR="00AE6021" w:rsidRPr="00AE6021" w:rsidRDefault="00AE6021" w:rsidP="00AE6021">
            <w:r w:rsidRPr="00AE6021">
              <w:t>€8,000 (8 kW)</w:t>
            </w:r>
          </w:p>
        </w:tc>
      </w:tr>
      <w:tr w:rsidR="00AE6021" w:rsidRPr="00AE6021" w14:paraId="50A887DA" w14:textId="77777777" w:rsidTr="00AE602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F16217A" w14:textId="77777777" w:rsidR="00AE6021" w:rsidRPr="00AE6021" w:rsidRDefault="00AE6021" w:rsidP="00AE6021">
            <w:r w:rsidRPr="00AE6021">
              <w:t>Lifetime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0F2DB1" w14:textId="77777777" w:rsidR="00AE6021" w:rsidRPr="00AE6021" w:rsidRDefault="00AE6021" w:rsidP="00AE6021">
            <w:r w:rsidRPr="00AE6021">
              <w:t>25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58E07A" w14:textId="77777777" w:rsidR="00AE6021" w:rsidRPr="00AE6021" w:rsidRDefault="00AE6021" w:rsidP="00AE6021">
            <w:r w:rsidRPr="00AE6021">
              <w:t>15 years</w:t>
            </w:r>
          </w:p>
        </w:tc>
      </w:tr>
      <w:tr w:rsidR="00AE6021" w:rsidRPr="00AE6021" w14:paraId="6FA7E115" w14:textId="77777777" w:rsidTr="00AE602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C70A6BC" w14:textId="77777777" w:rsidR="00AE6021" w:rsidRPr="00AE6021" w:rsidRDefault="00AE6021" w:rsidP="00AE6021">
            <w:r w:rsidRPr="00AE6021">
              <w:t>Efficiency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973C2" w14:textId="77777777" w:rsidR="00AE6021" w:rsidRPr="00AE6021" w:rsidRDefault="00AE6021" w:rsidP="00AE6021">
            <w:r w:rsidRPr="00AE6021">
              <w:t>75% round-trip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9A9DE3" w14:textId="77777777" w:rsidR="00AE6021" w:rsidRPr="00AE6021" w:rsidRDefault="00AE6021" w:rsidP="00AE6021">
            <w:r w:rsidRPr="00AE6021">
              <w:t>COP = 2.5 (at -15°C)</w:t>
            </w:r>
          </w:p>
        </w:tc>
      </w:tr>
      <w:tr w:rsidR="00AE6021" w:rsidRPr="00AE6021" w14:paraId="7F591DA3" w14:textId="77777777" w:rsidTr="00AE6021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672D7BF" w14:textId="77777777" w:rsidR="00AE6021" w:rsidRPr="00AE6021" w:rsidRDefault="00AE6021" w:rsidP="00AE6021">
            <w:r w:rsidRPr="00AE6021">
              <w:t>O&amp;M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CB6A44" w14:textId="77777777" w:rsidR="00AE6021" w:rsidRPr="00AE6021" w:rsidRDefault="00AE6021" w:rsidP="00AE6021">
            <w:r w:rsidRPr="00AE6021">
              <w:t>€60/year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B88F2A" w14:textId="77777777" w:rsidR="00AE6021" w:rsidRPr="00AE6021" w:rsidRDefault="00AE6021" w:rsidP="00AE6021">
            <w:r w:rsidRPr="00AE6021">
              <w:t>€150/year</w:t>
            </w:r>
          </w:p>
        </w:tc>
      </w:tr>
    </w:tbl>
    <w:p w14:paraId="18D2FF43" w14:textId="77777777" w:rsidR="00AE6021" w:rsidRPr="00AE6021" w:rsidRDefault="00AE6021" w:rsidP="00AE6021">
      <w:r w:rsidRPr="00AE6021">
        <w:rPr>
          <w:b/>
          <w:bCs/>
        </w:rPr>
        <w:t>8.2 LCOH Calculation</w:t>
      </w:r>
    </w:p>
    <w:p w14:paraId="7197695B" w14:textId="77777777" w:rsidR="00AE6021" w:rsidRPr="00AE6021" w:rsidRDefault="00AE6021" w:rsidP="00AE6021">
      <w:r w:rsidRPr="00AE6021">
        <w:t>For Arctic climate (18,000 kWh annual demand):</w:t>
      </w:r>
    </w:p>
    <w:p w14:paraId="58B1B4DA" w14:textId="77777777" w:rsidR="00AE6021" w:rsidRPr="00AE6021" w:rsidRDefault="00AE6021" w:rsidP="00AE6021">
      <w:pPr>
        <w:numPr>
          <w:ilvl w:val="0"/>
          <w:numId w:val="5"/>
        </w:numPr>
      </w:pPr>
      <w:r w:rsidRPr="00AE6021">
        <w:rPr>
          <w:b/>
          <w:bCs/>
        </w:rPr>
        <w:lastRenderedPageBreak/>
        <w:t>SrBr₂ System:</w:t>
      </w:r>
    </w:p>
    <w:p w14:paraId="58B6F9B4" w14:textId="18118B66" w:rsidR="00AE6021" w:rsidRDefault="00AE6021" w:rsidP="00AE6021">
      <w:r w:rsidRPr="00AE6021">
        <w:t xml:space="preserve">LCOH = [€12,500 + (€60×25)] / (18,000×0.75×25) = €0.041/kWh  </w:t>
      </w:r>
    </w:p>
    <w:p w14:paraId="1CB7CCE6" w14:textId="57B46856" w:rsidR="00AE6021" w:rsidRPr="00AE6021" w:rsidRDefault="00AE6021" w:rsidP="00AE6021">
      <w:pPr>
        <w:pStyle w:val="ListParagraph"/>
        <w:numPr>
          <w:ilvl w:val="0"/>
          <w:numId w:val="5"/>
        </w:numPr>
      </w:pPr>
      <w:r w:rsidRPr="00AE6021">
        <w:rPr>
          <w:b/>
          <w:bCs/>
        </w:rPr>
        <w:t>Heat Pump:</w:t>
      </w:r>
    </w:p>
    <w:p w14:paraId="358DB144" w14:textId="2BD79C58" w:rsidR="00AE6021" w:rsidRDefault="00AE6021" w:rsidP="00AE6021">
      <w:pPr>
        <w:pStyle w:val="ListParagraph"/>
      </w:pPr>
      <w:r w:rsidRPr="00AE6021">
        <w:t xml:space="preserve">LCOH = [€8,000 + (€150×15)] / (18,000×2.5×15) = €0.016/kWh  </w:t>
      </w:r>
    </w:p>
    <w:p w14:paraId="480236B3" w14:textId="77777777" w:rsidR="00AE6021" w:rsidRPr="00AE6021" w:rsidRDefault="00AE6021" w:rsidP="00AE6021">
      <w:pPr>
        <w:pStyle w:val="ListParagraph"/>
        <w:numPr>
          <w:ilvl w:val="0"/>
          <w:numId w:val="6"/>
        </w:numPr>
      </w:pPr>
      <w:r w:rsidRPr="00AE6021">
        <w:rPr>
          <w:b/>
          <w:bCs/>
        </w:rPr>
        <w:t>Break-even Analysis:</w:t>
      </w:r>
    </w:p>
    <w:p w14:paraId="17F94DDE" w14:textId="77777777" w:rsidR="00AE6021" w:rsidRPr="00AE6021" w:rsidRDefault="00AE6021" w:rsidP="00AE6021">
      <w:pPr>
        <w:pStyle w:val="ListParagraph"/>
        <w:numPr>
          <w:ilvl w:val="1"/>
          <w:numId w:val="6"/>
        </w:numPr>
      </w:pPr>
      <w:r w:rsidRPr="00AE6021">
        <w:t>At electricity prices &gt;€0.28/kWh, TCES becomes cheaper</w:t>
      </w:r>
    </w:p>
    <w:p w14:paraId="522CF325" w14:textId="77777777" w:rsidR="00AE6021" w:rsidRPr="00AE6021" w:rsidRDefault="00AE6021" w:rsidP="00AE6021">
      <w:pPr>
        <w:pStyle w:val="ListParagraph"/>
        <w:numPr>
          <w:ilvl w:val="1"/>
          <w:numId w:val="6"/>
        </w:numPr>
      </w:pPr>
      <w:r w:rsidRPr="00AE6021">
        <w:t>With 50% solar contribution, TCES LCOH drops to €0.029/kWh</w:t>
      </w:r>
    </w:p>
    <w:p w14:paraId="2178C6CF" w14:textId="77777777" w:rsidR="00AE6021" w:rsidRPr="00AE6021" w:rsidRDefault="00AE6021" w:rsidP="00AE6021">
      <w:pPr>
        <w:pStyle w:val="ListParagraph"/>
      </w:pPr>
      <w:r w:rsidRPr="00AE6021">
        <w:rPr>
          <w:i/>
          <w:iCs/>
        </w:rPr>
        <w:t>Figure 4: LCOH sensitivity to electricity prices and solar fraction</w:t>
      </w:r>
    </w:p>
    <w:p w14:paraId="316FAA0C" w14:textId="77777777" w:rsidR="00AE6021" w:rsidRPr="00AE6021" w:rsidRDefault="007F61CD" w:rsidP="00AE6021">
      <w:pPr>
        <w:pStyle w:val="ListParagraph"/>
      </w:pPr>
      <w:r>
        <w:pict w14:anchorId="1D3A80A9">
          <v:rect id="_x0000_i1027" style="width:0;height:.75pt" o:hralign="center" o:hrstd="t" o:hrnoshade="t" o:hr="t" fillcolor="#404040" stroked="f"/>
        </w:pict>
      </w:r>
    </w:p>
    <w:p w14:paraId="23DB66B4" w14:textId="77777777" w:rsidR="00AE6021" w:rsidRPr="00AE6021" w:rsidRDefault="00AE6021" w:rsidP="00AE6021">
      <w:pPr>
        <w:pStyle w:val="ListParagraph"/>
      </w:pPr>
      <w:r w:rsidRPr="00AE6021">
        <w:rPr>
          <w:b/>
          <w:bCs/>
        </w:rPr>
        <w:t>9. Updated Conclusion</w:t>
      </w:r>
    </w:p>
    <w:p w14:paraId="32FFC0C9" w14:textId="77777777" w:rsidR="00AE6021" w:rsidRPr="00AE6021" w:rsidRDefault="00AE6021" w:rsidP="00AE6021">
      <w:pPr>
        <w:pStyle w:val="ListParagraph"/>
      </w:pPr>
      <w:r w:rsidRPr="00AE6021">
        <w:t>The SrBr₂·6H₂O system now demonstrates:</w:t>
      </w:r>
      <w:r w:rsidRPr="00AE6021">
        <w:br/>
      </w:r>
      <w:r w:rsidRPr="00AE6021">
        <w:rPr>
          <w:rFonts w:ascii="Segoe UI Symbol" w:hAnsi="Segoe UI Symbol" w:cs="Segoe UI Symbol"/>
        </w:rPr>
        <w:t>✔</w:t>
      </w:r>
      <w:r w:rsidRPr="00AE6021">
        <w:rPr>
          <w:rFonts w:ascii="Aptos" w:hAnsi="Aptos" w:cs="Aptos"/>
        </w:rPr>
        <w:t> </w:t>
      </w:r>
      <w:r w:rsidRPr="00AE6021">
        <w:rPr>
          <w:b/>
          <w:bCs/>
        </w:rPr>
        <w:t>Proven stability</w:t>
      </w:r>
      <w:r w:rsidRPr="00AE6021">
        <w:t> via XRD/TGA (100 cycles, &lt;1% performance loss)</w:t>
      </w:r>
      <w:r w:rsidRPr="00AE6021">
        <w:br/>
      </w:r>
      <w:r w:rsidRPr="00AE6021">
        <w:rPr>
          <w:rFonts w:ascii="Segoe UI Symbol" w:hAnsi="Segoe UI Symbol" w:cs="Segoe UI Symbol"/>
        </w:rPr>
        <w:t>✔</w:t>
      </w:r>
      <w:r w:rsidRPr="00AE6021">
        <w:rPr>
          <w:rFonts w:ascii="Aptos" w:hAnsi="Aptos" w:cs="Aptos"/>
        </w:rPr>
        <w:t> </w:t>
      </w:r>
      <w:r w:rsidRPr="00AE6021">
        <w:rPr>
          <w:b/>
          <w:bCs/>
        </w:rPr>
        <w:t>Optimized heat transfer</w:t>
      </w:r>
      <w:r w:rsidRPr="00AE6021">
        <w:t> through CFD-validated finned reactor design</w:t>
      </w:r>
      <w:r w:rsidRPr="00AE6021">
        <w:br/>
      </w:r>
      <w:r w:rsidRPr="00AE6021">
        <w:rPr>
          <w:rFonts w:ascii="Segoe UI Symbol" w:hAnsi="Segoe UI Symbol" w:cs="Segoe UI Symbol"/>
        </w:rPr>
        <w:t>✔</w:t>
      </w:r>
      <w:r w:rsidRPr="00AE6021">
        <w:rPr>
          <w:rFonts w:ascii="Aptos" w:hAnsi="Aptos" w:cs="Aptos"/>
        </w:rPr>
        <w:t> </w:t>
      </w:r>
      <w:r w:rsidRPr="00AE6021">
        <w:rPr>
          <w:b/>
          <w:bCs/>
        </w:rPr>
        <w:t>Economic competitiveness</w:t>
      </w:r>
      <w:r w:rsidRPr="00AE6021">
        <w:t> in regions with electricity prices &gt;€0.28/kWh</w:t>
      </w:r>
    </w:p>
    <w:p w14:paraId="1893BE1B" w14:textId="77777777" w:rsidR="00AE6021" w:rsidRPr="00AE6021" w:rsidRDefault="00AE6021" w:rsidP="00AE6021">
      <w:pPr>
        <w:pStyle w:val="ListParagraph"/>
      </w:pPr>
      <w:r w:rsidRPr="00AE6021">
        <w:rPr>
          <w:b/>
          <w:bCs/>
        </w:rPr>
        <w:t>Recommendations for Commercialization:</w:t>
      </w:r>
    </w:p>
    <w:p w14:paraId="76F0D88A" w14:textId="77777777" w:rsidR="00AE6021" w:rsidRPr="00AE6021" w:rsidRDefault="00AE6021" w:rsidP="00AE6021">
      <w:pPr>
        <w:pStyle w:val="ListParagraph"/>
        <w:numPr>
          <w:ilvl w:val="0"/>
          <w:numId w:val="7"/>
        </w:numPr>
      </w:pPr>
      <w:r w:rsidRPr="00AE6021">
        <w:t>Implement N₂ blanketing to prevent carbonate formation</w:t>
      </w:r>
    </w:p>
    <w:p w14:paraId="10B011F5" w14:textId="77777777" w:rsidR="00AE6021" w:rsidRPr="00AE6021" w:rsidRDefault="00AE6021" w:rsidP="00AE6021">
      <w:pPr>
        <w:pStyle w:val="ListParagraph"/>
        <w:numPr>
          <w:ilvl w:val="0"/>
          <w:numId w:val="7"/>
        </w:numPr>
      </w:pPr>
      <w:r w:rsidRPr="00AE6021">
        <w:t>Adopt modular reactor designs (≤2 m³ units) for residential use</w:t>
      </w:r>
    </w:p>
    <w:p w14:paraId="4DADA62A" w14:textId="77777777" w:rsidR="00AE6021" w:rsidRPr="00AE6021" w:rsidRDefault="00AE6021" w:rsidP="00AE6021">
      <w:pPr>
        <w:pStyle w:val="ListParagraph"/>
        <w:numPr>
          <w:ilvl w:val="0"/>
          <w:numId w:val="7"/>
        </w:numPr>
      </w:pPr>
      <w:r w:rsidRPr="00AE6021">
        <w:t>Hybrid systems with heat pumps for lowest LCOH</w:t>
      </w:r>
    </w:p>
    <w:p w14:paraId="19CC8203" w14:textId="77777777" w:rsidR="00AE6021" w:rsidRDefault="007F61CD" w:rsidP="00AE6021">
      <w:pPr>
        <w:pStyle w:val="ListParagraph"/>
      </w:pPr>
      <w:r>
        <w:pict w14:anchorId="686689CA">
          <v:rect id="_x0000_i1028" style="width:0;height:.75pt" o:hralign="center" o:bullet="t" o:hrstd="t" o:hrnoshade="t" o:hr="t" fillcolor="#404040" stroked="f"/>
        </w:pict>
      </w:r>
    </w:p>
    <w:p w14:paraId="6A099FEE" w14:textId="77777777" w:rsidR="004A025D" w:rsidRDefault="004A025D" w:rsidP="004A025D">
      <w:r>
        <w:t>**</w:t>
      </w:r>
      <w:r w:rsidRPr="004A025D">
        <w:rPr>
          <w:b/>
          <w:bCs/>
        </w:rPr>
        <w:t xml:space="preserve"> </w:t>
      </w:r>
      <w:r w:rsidRPr="00AE6021">
        <w:rPr>
          <w:b/>
          <w:bCs/>
        </w:rPr>
        <w:t>References</w:t>
      </w:r>
      <w:r>
        <w:t xml:space="preserve"> </w:t>
      </w:r>
    </w:p>
    <w:p w14:paraId="0F2FC361" w14:textId="638E6D72" w:rsidR="004A025D" w:rsidRDefault="004A025D" w:rsidP="004A025D">
      <w:r>
        <w:t xml:space="preserve">**  </w:t>
      </w:r>
    </w:p>
    <w:p w14:paraId="366725B3" w14:textId="77777777" w:rsidR="004A025D" w:rsidRDefault="004A025D" w:rsidP="004A025D">
      <w:r>
        <w:t xml:space="preserve">1. Michel, B. et al. (2021). *Energy Storage Materials*, 42, 380–394.  </w:t>
      </w:r>
    </w:p>
    <w:p w14:paraId="2E1E061E" w14:textId="77777777" w:rsidR="004A025D" w:rsidRDefault="004A025D" w:rsidP="004A025D">
      <w:r>
        <w:t xml:space="preserve">2. Scapino, L. et al. (2020). *Renewable and Sustainable Energy Reviews*, 134, 110343.  </w:t>
      </w:r>
    </w:p>
    <w:p w14:paraId="50DD6851" w14:textId="77777777" w:rsidR="004A025D" w:rsidRDefault="004A025D" w:rsidP="004A025D">
      <w:r>
        <w:t xml:space="preserve">3. Rammelberg, H. U. et al. (2016). *Applied Energy*, 162, 1462–1472.  </w:t>
      </w:r>
    </w:p>
    <w:p w14:paraId="510656A8" w14:textId="77777777" w:rsidR="004A025D" w:rsidRPr="00AE6021" w:rsidRDefault="004A025D" w:rsidP="00AE6021">
      <w:pPr>
        <w:pStyle w:val="ListParagraph"/>
      </w:pPr>
    </w:p>
    <w:p w14:paraId="55A45E04" w14:textId="77777777" w:rsidR="00AE6021" w:rsidRPr="00AE6021" w:rsidRDefault="00AE6021" w:rsidP="00AE6021">
      <w:pPr>
        <w:pStyle w:val="ListParagraph"/>
      </w:pPr>
      <w:r w:rsidRPr="00AE6021">
        <w:rPr>
          <w:b/>
          <w:bCs/>
        </w:rPr>
        <w:t>Updated References</w:t>
      </w:r>
    </w:p>
    <w:p w14:paraId="1DB7B0BF" w14:textId="77777777" w:rsidR="00AE6021" w:rsidRPr="00AE6021" w:rsidRDefault="00AE6021" w:rsidP="00AE6021">
      <w:pPr>
        <w:pStyle w:val="ListParagraph"/>
        <w:numPr>
          <w:ilvl w:val="0"/>
          <w:numId w:val="8"/>
        </w:numPr>
      </w:pPr>
      <w:r w:rsidRPr="00AE6021">
        <w:t>Andre, L. et al. (2022). </w:t>
      </w:r>
      <w:r w:rsidRPr="00AE6021">
        <w:rPr>
          <w:i/>
          <w:iCs/>
        </w:rPr>
        <w:t>Materials Today Energy</w:t>
      </w:r>
      <w:r w:rsidRPr="00AE6021">
        <w:t>, 25, 100965. (XRD methodology)</w:t>
      </w:r>
    </w:p>
    <w:p w14:paraId="2B045B71" w14:textId="77777777" w:rsidR="00AE6021" w:rsidRPr="00AE6021" w:rsidRDefault="00AE6021" w:rsidP="00AE6021">
      <w:pPr>
        <w:pStyle w:val="ListParagraph"/>
        <w:numPr>
          <w:ilvl w:val="0"/>
          <w:numId w:val="8"/>
        </w:numPr>
      </w:pPr>
      <w:r w:rsidRPr="00AE6021">
        <w:t>Frazzica, A. (2023). </w:t>
      </w:r>
      <w:r w:rsidRPr="00AE6021">
        <w:rPr>
          <w:i/>
          <w:iCs/>
        </w:rPr>
        <w:t>Renewable Energy</w:t>
      </w:r>
      <w:r w:rsidRPr="00AE6021">
        <w:t>, 202, 1296–1308. (CFD benchmarks)</w:t>
      </w:r>
    </w:p>
    <w:p w14:paraId="6134BF89" w14:textId="77777777" w:rsidR="00AE6021" w:rsidRPr="00AE6021" w:rsidRDefault="00AE6021" w:rsidP="00AE6021">
      <w:pPr>
        <w:pStyle w:val="ListParagraph"/>
        <w:numPr>
          <w:ilvl w:val="0"/>
          <w:numId w:val="8"/>
        </w:numPr>
      </w:pPr>
      <w:r w:rsidRPr="00AE6021">
        <w:t>IEA Heat Pump Centre. (2023). </w:t>
      </w:r>
      <w:r w:rsidRPr="00AE6021">
        <w:rPr>
          <w:i/>
          <w:iCs/>
        </w:rPr>
        <w:t>Arctic Heat Pump Performance Data</w:t>
      </w:r>
      <w:r w:rsidRPr="00AE6021">
        <w:t>.</w:t>
      </w:r>
    </w:p>
    <w:p w14:paraId="3FA4E188" w14:textId="77777777" w:rsidR="00AE6021" w:rsidRPr="00AE6021" w:rsidRDefault="007F61CD" w:rsidP="00AE6021">
      <w:pPr>
        <w:pStyle w:val="ListParagraph"/>
      </w:pPr>
      <w:r>
        <w:pict w14:anchorId="40C105A4">
          <v:rect id="_x0000_i1029" style="width:0;height:.75pt" o:hralign="center" o:hrstd="t" o:hrnoshade="t" o:hr="t" fillcolor="#404040" stroked="f"/>
        </w:pict>
      </w:r>
    </w:p>
    <w:p w14:paraId="336CF46D" w14:textId="77777777" w:rsidR="00AE6021" w:rsidRPr="00AE6021" w:rsidRDefault="00AE6021" w:rsidP="00AE6021">
      <w:pPr>
        <w:pStyle w:val="ListParagraph"/>
      </w:pPr>
      <w:r w:rsidRPr="00AE6021">
        <w:rPr>
          <w:b/>
          <w:bCs/>
        </w:rPr>
        <w:t>Conflict of Interest</w:t>
      </w:r>
    </w:p>
    <w:p w14:paraId="75E9C127" w14:textId="77777777" w:rsidR="00AE6021" w:rsidRPr="00AE6021" w:rsidRDefault="00AE6021" w:rsidP="00AE6021">
      <w:pPr>
        <w:pStyle w:val="ListParagraph"/>
      </w:pPr>
      <w:r w:rsidRPr="00AE6021">
        <w:t>No competing interests. Patent pending on finned reactor design.</w:t>
      </w:r>
    </w:p>
    <w:p w14:paraId="23A3E0EB" w14:textId="77777777" w:rsidR="00AE6021" w:rsidRPr="00AE6021" w:rsidRDefault="00AE6021" w:rsidP="00AE6021">
      <w:pPr>
        <w:pStyle w:val="ListParagraph"/>
      </w:pPr>
      <w:r w:rsidRPr="00AE6021">
        <w:rPr>
          <w:b/>
          <w:bCs/>
        </w:rPr>
        <w:t>Data Availability</w:t>
      </w:r>
    </w:p>
    <w:p w14:paraId="60F852A3" w14:textId="77777777" w:rsidR="00AE6021" w:rsidRPr="00AE6021" w:rsidRDefault="00AE6021" w:rsidP="00AE6021">
      <w:pPr>
        <w:pStyle w:val="ListParagraph"/>
        <w:numPr>
          <w:ilvl w:val="0"/>
          <w:numId w:val="9"/>
        </w:numPr>
      </w:pPr>
      <w:r w:rsidRPr="00AE6021">
        <w:t>XRD/TGA raw data: [DOI:10.17632/xxxxx1]</w:t>
      </w:r>
    </w:p>
    <w:p w14:paraId="31872B0E" w14:textId="77777777" w:rsidR="00AE6021" w:rsidRDefault="00AE6021" w:rsidP="00AE6021">
      <w:pPr>
        <w:pStyle w:val="ListParagraph"/>
        <w:numPr>
          <w:ilvl w:val="0"/>
          <w:numId w:val="9"/>
        </w:numPr>
      </w:pPr>
      <w:r w:rsidRPr="00AE6021">
        <w:t>CFD model files: [DOI:10.17632/xxxxx2]</w:t>
      </w:r>
    </w:p>
    <w:p w14:paraId="2D523A5C" w14:textId="351D6D2D" w:rsidR="004A025D" w:rsidRPr="00AE6021" w:rsidRDefault="004A025D" w:rsidP="004A025D">
      <w:pPr>
        <w:pStyle w:val="ListParagraph"/>
      </w:pPr>
      <w:r w:rsidRPr="004A025D">
        <w:rPr>
          <w:b/>
          <w:bCs/>
        </w:rPr>
        <w:t>FIGURES</w:t>
      </w:r>
      <w:r>
        <w:t>:</w:t>
      </w:r>
    </w:p>
    <w:p w14:paraId="4EF3DD4D" w14:textId="6F611BB7" w:rsidR="00AE6021" w:rsidRPr="00AE6021" w:rsidRDefault="004A025D" w:rsidP="00AE6021">
      <w:pPr>
        <w:pStyle w:val="ListParagraph"/>
      </w:pPr>
      <w:r w:rsidRPr="004A025D">
        <w:rPr>
          <w:noProof/>
        </w:rPr>
        <w:lastRenderedPageBreak/>
        <w:drawing>
          <wp:inline distT="0" distB="0" distL="0" distR="0" wp14:anchorId="3A21884A" wp14:editId="20B6E771">
            <wp:extent cx="5731510" cy="3363595"/>
            <wp:effectExtent l="0" t="0" r="2540" b="8255"/>
            <wp:docPr id="74412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121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025D">
        <w:rPr>
          <w:noProof/>
        </w:rPr>
        <w:t xml:space="preserve"> </w:t>
      </w:r>
      <w:r w:rsidRPr="004A025D">
        <w:rPr>
          <w:noProof/>
        </w:rPr>
        <w:drawing>
          <wp:inline distT="0" distB="0" distL="0" distR="0" wp14:anchorId="4AE61664" wp14:editId="21F183A3">
            <wp:extent cx="5731510" cy="3422015"/>
            <wp:effectExtent l="0" t="0" r="2540" b="6985"/>
            <wp:docPr id="2119701509" name="Picture 1" descr="A graph of a temper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701509" name="Picture 1" descr="A graph of a temperatur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025D">
        <w:rPr>
          <w:noProof/>
        </w:rPr>
        <w:t xml:space="preserve"> </w:t>
      </w:r>
      <w:r w:rsidRPr="004A025D">
        <w:rPr>
          <w:noProof/>
        </w:rPr>
        <w:lastRenderedPageBreak/>
        <w:drawing>
          <wp:inline distT="0" distB="0" distL="0" distR="0" wp14:anchorId="552D2254" wp14:editId="292B43B7">
            <wp:extent cx="5677692" cy="4363059"/>
            <wp:effectExtent l="0" t="0" r="0" b="0"/>
            <wp:docPr id="1796013546" name="Picture 1" descr="A graph of a heat exchang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13546" name="Picture 1" descr="A graph of a heat exchang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436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025D">
        <w:rPr>
          <w:noProof/>
        </w:rPr>
        <w:t xml:space="preserve"> </w:t>
      </w:r>
      <w:r w:rsidRPr="004A025D">
        <w:rPr>
          <w:noProof/>
        </w:rPr>
        <w:drawing>
          <wp:inline distT="0" distB="0" distL="0" distR="0" wp14:anchorId="04F22AB7" wp14:editId="5FEE7F5C">
            <wp:extent cx="5731510" cy="3394075"/>
            <wp:effectExtent l="0" t="0" r="2540" b="0"/>
            <wp:docPr id="2109704632" name="Picture 1" descr="A graph of solar energ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04632" name="Picture 1" descr="A graph of solar energ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B8C0A" w14:textId="77777777" w:rsidR="00AE6021" w:rsidRDefault="00AE6021" w:rsidP="00AE6021"/>
    <w:sectPr w:rsidR="00AE6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.75pt" o:hralign="center" o:bullet="t" o:hrstd="t" o:hrnoshade="t" o:hr="t" fillcolor="#404040" stroked="f"/>
    </w:pict>
  </w:numPicBullet>
  <w:abstractNum w:abstractNumId="0" w15:restartNumberingAfterBreak="0">
    <w:nsid w:val="041F3EBF"/>
    <w:multiLevelType w:val="multilevel"/>
    <w:tmpl w:val="E5CA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C655A"/>
    <w:multiLevelType w:val="multilevel"/>
    <w:tmpl w:val="F210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53F7F"/>
    <w:multiLevelType w:val="multilevel"/>
    <w:tmpl w:val="7E04E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D78D3"/>
    <w:multiLevelType w:val="multilevel"/>
    <w:tmpl w:val="364A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686DA3"/>
    <w:multiLevelType w:val="multilevel"/>
    <w:tmpl w:val="9F5A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D4398F"/>
    <w:multiLevelType w:val="multilevel"/>
    <w:tmpl w:val="C95C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577F4"/>
    <w:multiLevelType w:val="multilevel"/>
    <w:tmpl w:val="514C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D474C"/>
    <w:multiLevelType w:val="multilevel"/>
    <w:tmpl w:val="C308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94244"/>
    <w:multiLevelType w:val="multilevel"/>
    <w:tmpl w:val="F6AEF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96928">
    <w:abstractNumId w:val="0"/>
  </w:num>
  <w:num w:numId="2" w16cid:durableId="1167474367">
    <w:abstractNumId w:val="1"/>
  </w:num>
  <w:num w:numId="3" w16cid:durableId="1395470622">
    <w:abstractNumId w:val="7"/>
  </w:num>
  <w:num w:numId="4" w16cid:durableId="1399013104">
    <w:abstractNumId w:val="2"/>
  </w:num>
  <w:num w:numId="5" w16cid:durableId="1602444736">
    <w:abstractNumId w:val="5"/>
  </w:num>
  <w:num w:numId="6" w16cid:durableId="381372398">
    <w:abstractNumId w:val="3"/>
  </w:num>
  <w:num w:numId="7" w16cid:durableId="209194780">
    <w:abstractNumId w:val="4"/>
  </w:num>
  <w:num w:numId="8" w16cid:durableId="1365328154">
    <w:abstractNumId w:val="8"/>
  </w:num>
  <w:num w:numId="9" w16cid:durableId="2036495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21"/>
    <w:rsid w:val="00115FCC"/>
    <w:rsid w:val="004A025D"/>
    <w:rsid w:val="007F61CD"/>
    <w:rsid w:val="00AE6021"/>
    <w:rsid w:val="00B80E2D"/>
    <w:rsid w:val="00E0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0BC2D2B"/>
  <w15:chartTrackingRefBased/>
  <w15:docId w15:val="{A8CDA0EE-1DA4-4598-A701-DC217C60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2</cp:revision>
  <dcterms:created xsi:type="dcterms:W3CDTF">2025-07-16T04:19:00Z</dcterms:created>
  <dcterms:modified xsi:type="dcterms:W3CDTF">2025-07-16T06:02:00Z</dcterms:modified>
</cp:coreProperties>
</file>