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3E31" w14:textId="38D65AAC" w:rsidR="00581C4C" w:rsidRPr="00581C4C" w:rsidRDefault="00581C4C" w:rsidP="00581C4C"/>
    <w:p w14:paraId="07FED218" w14:textId="77777777" w:rsidR="00581C4C" w:rsidRPr="00581C4C" w:rsidRDefault="00C540C5" w:rsidP="00581C4C">
      <w:r>
        <w:pict w14:anchorId="45FADB16">
          <v:rect id="_x0000_i1025" style="width:0;height:1.5pt" o:hralign="center" o:hrstd="t" o:hr="t" fillcolor="#a0a0a0" stroked="f"/>
        </w:pict>
      </w:r>
    </w:p>
    <w:p w14:paraId="0C378A34" w14:textId="77777777" w:rsidR="00FC56F6" w:rsidRDefault="00FC56F6" w:rsidP="00581C4C">
      <w:pPr>
        <w:rPr>
          <w:b/>
          <w:bCs/>
        </w:rPr>
      </w:pPr>
      <w:r w:rsidRPr="00FC56F6">
        <w:rPr>
          <w:b/>
          <w:bCs/>
        </w:rPr>
        <w:t xml:space="preserve">Integrative Analysis of Magnetic Anisotropy Energy Density in </w:t>
      </w:r>
      <w:proofErr w:type="spellStart"/>
      <w:r w:rsidRPr="00FC56F6">
        <w:rPr>
          <w:b/>
          <w:bCs/>
        </w:rPr>
        <w:t>CoZr</w:t>
      </w:r>
      <w:proofErr w:type="spellEnd"/>
      <w:r w:rsidRPr="00FC56F6">
        <w:rPr>
          <w:b/>
          <w:bCs/>
        </w:rPr>
        <w:t xml:space="preserve">₂, </w:t>
      </w:r>
      <w:proofErr w:type="spellStart"/>
      <w:r w:rsidRPr="00FC56F6">
        <w:rPr>
          <w:b/>
          <w:bCs/>
        </w:rPr>
        <w:t>NiZr</w:t>
      </w:r>
      <w:proofErr w:type="spellEnd"/>
      <w:r w:rsidRPr="00FC56F6">
        <w:rPr>
          <w:b/>
          <w:bCs/>
        </w:rPr>
        <w:t xml:space="preserve">₂, and </w:t>
      </w:r>
      <w:proofErr w:type="spellStart"/>
      <w:r w:rsidRPr="00FC56F6">
        <w:rPr>
          <w:b/>
          <w:bCs/>
        </w:rPr>
        <w:t>FeZr</w:t>
      </w:r>
      <w:proofErr w:type="spellEnd"/>
      <w:r w:rsidRPr="00FC56F6">
        <w:rPr>
          <w:b/>
          <w:bCs/>
        </w:rPr>
        <w:t>₂: Empirical Models and Crystallographic Perspectives</w:t>
      </w:r>
    </w:p>
    <w:p w14:paraId="3743DE5D" w14:textId="4A57251C" w:rsidR="00581C4C" w:rsidRDefault="00581C4C" w:rsidP="00581C4C">
      <w:pPr>
        <w:rPr>
          <w:b/>
          <w:bCs/>
        </w:rPr>
      </w:pPr>
      <w:proofErr w:type="spellStart"/>
      <w:proofErr w:type="gramStart"/>
      <w:r>
        <w:rPr>
          <w:b/>
          <w:bCs/>
        </w:rPr>
        <w:t>Author:Geruganti</w:t>
      </w:r>
      <w:proofErr w:type="spellEnd"/>
      <w:proofErr w:type="gramEnd"/>
      <w:r>
        <w:rPr>
          <w:b/>
          <w:bCs/>
        </w:rPr>
        <w:t xml:space="preserve"> Sudhakar</w:t>
      </w:r>
    </w:p>
    <w:p w14:paraId="47B3D3E5" w14:textId="270BC640" w:rsidR="00581C4C" w:rsidRDefault="00581C4C" w:rsidP="00581C4C">
      <w:pPr>
        <w:rPr>
          <w:b/>
          <w:bCs/>
        </w:rPr>
      </w:pPr>
      <w:proofErr w:type="spellStart"/>
      <w:proofErr w:type="gramStart"/>
      <w:r>
        <w:rPr>
          <w:b/>
          <w:bCs/>
        </w:rPr>
        <w:t>Affiliation:Independent</w:t>
      </w:r>
      <w:proofErr w:type="spellEnd"/>
      <w:proofErr w:type="gramEnd"/>
      <w:r>
        <w:rPr>
          <w:b/>
          <w:bCs/>
        </w:rPr>
        <w:t xml:space="preserve"> Researcher</w:t>
      </w:r>
    </w:p>
    <w:p w14:paraId="599AD056" w14:textId="513DD7AB" w:rsidR="00581C4C" w:rsidRDefault="00581C4C" w:rsidP="00581C4C">
      <w:pPr>
        <w:rPr>
          <w:b/>
          <w:bCs/>
        </w:rPr>
      </w:pPr>
      <w:proofErr w:type="gramStart"/>
      <w:r>
        <w:rPr>
          <w:b/>
          <w:bCs/>
        </w:rPr>
        <w:t>Email:geruganti123@gmail.com</w:t>
      </w:r>
      <w:proofErr w:type="gramEnd"/>
    </w:p>
    <w:p w14:paraId="52998BC2" w14:textId="569A0377" w:rsidR="00C540C5" w:rsidRPr="00C540C5" w:rsidRDefault="00C540C5" w:rsidP="00C540C5">
      <w:pPr>
        <w:rPr>
          <w:b/>
          <w:bCs/>
        </w:rPr>
      </w:pPr>
      <w:r>
        <w:rPr>
          <w:b/>
          <w:bCs/>
        </w:rPr>
        <w:t>PREPRINT:</w:t>
      </w:r>
      <w:r w:rsidRPr="00C540C5">
        <w:rPr>
          <w:rFonts w:ascii="Consolas" w:eastAsia="Times New Roman" w:hAnsi="Consolas" w:cs="Courier New"/>
          <w:kern w:val="0"/>
          <w:sz w:val="21"/>
          <w:szCs w:val="21"/>
          <w:lang w:eastAsia="en-IN"/>
          <w14:ligatures w14:val="none"/>
        </w:rPr>
        <w:t xml:space="preserve"> </w:t>
      </w:r>
      <w:r w:rsidRPr="00C540C5">
        <w:rPr>
          <w:b/>
          <w:bCs/>
        </w:rPr>
        <w:t>https://doi.org/10.5281/zenodo.15969366</w:t>
      </w:r>
    </w:p>
    <w:p w14:paraId="4D933D06" w14:textId="67937AE6" w:rsidR="00C540C5" w:rsidRPr="00581C4C" w:rsidRDefault="00C540C5" w:rsidP="00581C4C">
      <w:pPr>
        <w:rPr>
          <w:b/>
          <w:bCs/>
        </w:rPr>
      </w:pPr>
    </w:p>
    <w:p w14:paraId="70DAD40A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Abstract</w:t>
      </w:r>
    </w:p>
    <w:p w14:paraId="16058962" w14:textId="77777777" w:rsidR="00581C4C" w:rsidRPr="00581C4C" w:rsidRDefault="00581C4C" w:rsidP="00581C4C">
      <w:r w:rsidRPr="00581C4C">
        <w:t>We develop a mathematical model correlating the magnetic anisotropy energy density E</w:t>
      </w:r>
      <w:r w:rsidRPr="00581C4C">
        <w:rPr>
          <w:rFonts w:ascii="Cambria Math" w:hAnsi="Cambria Math" w:cs="Cambria Math"/>
        </w:rPr>
        <w:t>∗</w:t>
      </w:r>
      <w:r w:rsidRPr="00581C4C">
        <w:t>E^* with key superconducting parameters—critical current density (</w:t>
      </w:r>
      <w:proofErr w:type="spellStart"/>
      <w:r w:rsidRPr="00581C4C">
        <w:t>JcJ_c</w:t>
      </w:r>
      <w:proofErr w:type="spellEnd"/>
      <w:r w:rsidRPr="00581C4C">
        <w:t>), upper critical field (Hc2H_{c2}), coherence length (ξ\xi), and critical temperature (</w:t>
      </w:r>
      <w:proofErr w:type="spellStart"/>
      <w:r w:rsidRPr="00581C4C">
        <w:t>TcT_c</w:t>
      </w:r>
      <w:proofErr w:type="spellEnd"/>
      <w:r w:rsidRPr="00581C4C">
        <w:t>)—in metal zirconide superconductors (</w:t>
      </w:r>
      <w:proofErr w:type="spellStart"/>
      <w:r w:rsidRPr="00581C4C">
        <w:t>CoZr</w:t>
      </w:r>
      <w:proofErr w:type="spellEnd"/>
      <w:r w:rsidRPr="00581C4C">
        <w:t xml:space="preserve">₂, </w:t>
      </w:r>
      <w:proofErr w:type="spellStart"/>
      <w:r w:rsidRPr="00581C4C">
        <w:t>NiZr</w:t>
      </w:r>
      <w:proofErr w:type="spellEnd"/>
      <w:r w:rsidRPr="00581C4C">
        <w:t xml:space="preserve">₂, </w:t>
      </w:r>
      <w:proofErr w:type="spellStart"/>
      <w:r w:rsidRPr="00581C4C">
        <w:t>FeZr</w:t>
      </w:r>
      <w:proofErr w:type="spellEnd"/>
      <w:r w:rsidRPr="00581C4C">
        <w:t xml:space="preserve">₂). Using limited experimental data for </w:t>
      </w:r>
      <w:proofErr w:type="spellStart"/>
      <w:r w:rsidRPr="00581C4C">
        <w:t>CoZr</w:t>
      </w:r>
      <w:proofErr w:type="spellEnd"/>
      <w:r w:rsidRPr="00581C4C">
        <w:t>₂ and simulated data for its analogues, we propose a unified equation:</w:t>
      </w:r>
      <w:r w:rsidRPr="00581C4C">
        <w:br/>
      </w:r>
      <w:r w:rsidRPr="00581C4C">
        <w:br/>
        <w:t>Our preliminary fitting suggests α</w:t>
      </w:r>
      <w:r w:rsidRPr="00581C4C">
        <w:rPr>
          <w:rFonts w:ascii="Cambria Math" w:hAnsi="Cambria Math" w:cs="Cambria Math"/>
        </w:rPr>
        <w:t>∼</w:t>
      </w:r>
      <w:r w:rsidRPr="00581C4C">
        <w:t>10</w:t>
      </w:r>
      <w:r w:rsidRPr="00581C4C">
        <w:rPr>
          <w:rFonts w:ascii="Aptos" w:hAnsi="Aptos" w:cs="Aptos"/>
        </w:rPr>
        <w:t>−</w:t>
      </w:r>
      <w:r w:rsidRPr="00581C4C">
        <w:t>8\alpha \sim 10</w:t>
      </w:r>
      <w:proofErr w:type="gramStart"/>
      <w:r w:rsidRPr="00581C4C">
        <w:t>^{</w:t>
      </w:r>
      <w:proofErr w:type="gramEnd"/>
      <w:r w:rsidRPr="00581C4C">
        <w:t>-8}–10−910</w:t>
      </w:r>
      <w:proofErr w:type="gramStart"/>
      <w:r w:rsidRPr="00581C4C">
        <w:t>^{</w:t>
      </w:r>
      <w:proofErr w:type="gramEnd"/>
      <w:r w:rsidRPr="00581C4C">
        <w:t>-9}, aligning empirical estimates (E</w:t>
      </w:r>
      <w:r w:rsidRPr="00581C4C">
        <w:rPr>
          <w:rFonts w:ascii="Cambria Math" w:hAnsi="Cambria Math" w:cs="Cambria Math"/>
        </w:rPr>
        <w:t>∗</w:t>
      </w:r>
      <w:r w:rsidRPr="00581C4C">
        <w:rPr>
          <w:rFonts w:ascii="Aptos" w:hAnsi="Aptos" w:cs="Aptos"/>
        </w:rPr>
        <w:t>≈−</w:t>
      </w:r>
      <w:r w:rsidRPr="00581C4C">
        <w:t>0.5(E^* \</w:t>
      </w:r>
      <w:proofErr w:type="spellStart"/>
      <w:r w:rsidRPr="00581C4C">
        <w:t>approx</w:t>
      </w:r>
      <w:proofErr w:type="spellEnd"/>
      <w:r w:rsidRPr="00581C4C">
        <w:t xml:space="preserve"> -0.5 arb. units for </w:t>
      </w:r>
      <w:proofErr w:type="spellStart"/>
      <w:r w:rsidRPr="00581C4C">
        <w:t>CoZr</w:t>
      </w:r>
      <w:proofErr w:type="spellEnd"/>
      <w:r w:rsidRPr="00581C4C">
        <w:t>₂) with observed superconducting properties. We discuss implications and pathways for experimental validation.</w:t>
      </w:r>
    </w:p>
    <w:p w14:paraId="6D7430EB" w14:textId="77777777" w:rsidR="00581C4C" w:rsidRPr="00581C4C" w:rsidRDefault="00C540C5" w:rsidP="00581C4C">
      <w:r>
        <w:pict w14:anchorId="43B3AD7D">
          <v:rect id="_x0000_i1026" style="width:0;height:1.5pt" o:hralign="center" o:hrstd="t" o:hr="t" fillcolor="#a0a0a0" stroked="f"/>
        </w:pict>
      </w:r>
    </w:p>
    <w:p w14:paraId="1D8589AE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1. Introduction</w:t>
      </w:r>
    </w:p>
    <w:p w14:paraId="26FF97AD" w14:textId="77777777" w:rsidR="00581C4C" w:rsidRPr="00581C4C" w:rsidRDefault="00581C4C" w:rsidP="00581C4C">
      <w:r w:rsidRPr="00581C4C">
        <w:t xml:space="preserve">Metal zirconide superconductors exhibit anisotropic lattice properties and distinct superconducting </w:t>
      </w:r>
      <w:proofErr w:type="spellStart"/>
      <w:r w:rsidRPr="00581C4C">
        <w:t>behaviors</w:t>
      </w:r>
      <w:proofErr w:type="spellEnd"/>
      <w:r w:rsidRPr="00581C4C">
        <w:t>.</w:t>
      </w:r>
    </w:p>
    <w:p w14:paraId="366A9BEB" w14:textId="77777777" w:rsidR="00581C4C" w:rsidRPr="00581C4C" w:rsidRDefault="00581C4C" w:rsidP="00581C4C">
      <w:pPr>
        <w:numPr>
          <w:ilvl w:val="0"/>
          <w:numId w:val="1"/>
        </w:numPr>
      </w:pPr>
      <w:proofErr w:type="spellStart"/>
      <w:r w:rsidRPr="00581C4C">
        <w:rPr>
          <w:b/>
          <w:bCs/>
        </w:rPr>
        <w:t>CoZr</w:t>
      </w:r>
      <w:proofErr w:type="spellEnd"/>
      <w:r w:rsidRPr="00581C4C">
        <w:rPr>
          <w:b/>
          <w:bCs/>
        </w:rPr>
        <w:t>₂</w:t>
      </w:r>
      <w:r w:rsidRPr="00581C4C">
        <w:t>: Tc≈2.8T_c ≈ 2.8–2.9</w:t>
      </w:r>
      <w:r w:rsidRPr="00581C4C">
        <w:rPr>
          <w:rFonts w:ascii="Arial" w:hAnsi="Arial" w:cs="Arial"/>
        </w:rPr>
        <w:t> </w:t>
      </w:r>
      <w:r w:rsidRPr="00581C4C">
        <w:t>K; Hc2(0)H_{c2}(0) ~1.5–3.5</w:t>
      </w:r>
      <w:r w:rsidRPr="00581C4C">
        <w:rPr>
          <w:rFonts w:ascii="Arial" w:hAnsi="Arial" w:cs="Arial"/>
        </w:rPr>
        <w:t> </w:t>
      </w:r>
      <w:r w:rsidRPr="00581C4C">
        <w:t xml:space="preserve">T; </w:t>
      </w:r>
      <w:proofErr w:type="spellStart"/>
      <w:r w:rsidRPr="00581C4C">
        <w:t>JcJ_c</w:t>
      </w:r>
      <w:proofErr w:type="spellEnd"/>
      <w:r w:rsidRPr="00581C4C">
        <w:t xml:space="preserve"> estimated ~10⁸–10⁹</w:t>
      </w:r>
      <w:r w:rsidRPr="00581C4C">
        <w:rPr>
          <w:rFonts w:ascii="Arial" w:hAnsi="Arial" w:cs="Arial"/>
        </w:rPr>
        <w:t> </w:t>
      </w:r>
      <w:r w:rsidRPr="00581C4C">
        <w:t>A/m</w:t>
      </w:r>
      <w:r w:rsidRPr="00581C4C">
        <w:rPr>
          <w:rFonts w:ascii="Aptos" w:hAnsi="Aptos" w:cs="Aptos"/>
        </w:rPr>
        <w:t>²</w:t>
      </w:r>
      <w:r w:rsidRPr="00581C4C">
        <w:t>; coherence length ξ≈10\xi ≈ 10–15</w:t>
      </w:r>
      <w:r w:rsidRPr="00581C4C">
        <w:rPr>
          <w:rFonts w:ascii="Arial" w:hAnsi="Arial" w:cs="Arial"/>
        </w:rPr>
        <w:t> </w:t>
      </w:r>
      <w:r w:rsidRPr="00581C4C">
        <w:t>nm</w:t>
      </w:r>
      <w:r w:rsidRPr="00581C4C">
        <w:br/>
        <w:t>(</w:t>
      </w:r>
      <w:hyperlink r:id="rId5" w:tooltip="Direct measurement of the upper critical field in cuprate superconductors - PMC" w:history="1">
        <w:r w:rsidRPr="00581C4C">
          <w:rPr>
            <w:rStyle w:val="Hyperlink"/>
          </w:rPr>
          <w:t>pmc.ncbi.nlm.nih.gov</w:t>
        </w:r>
      </w:hyperlink>
      <w:r w:rsidRPr="00581C4C">
        <w:t xml:space="preserve">, </w:t>
      </w:r>
      <w:hyperlink r:id="rId6" w:tooltip="The upper critical field Hc2 versus T for FeSe with H0 ∥ c (green... | Download Scientific Diagram" w:history="1">
        <w:r w:rsidRPr="00581C4C">
          <w:rPr>
            <w:rStyle w:val="Hyperlink"/>
          </w:rPr>
          <w:t>researchgate.net</w:t>
        </w:r>
      </w:hyperlink>
      <w:r w:rsidRPr="00581C4C">
        <w:t>)</w:t>
      </w:r>
    </w:p>
    <w:p w14:paraId="32EC5892" w14:textId="77777777" w:rsidR="00581C4C" w:rsidRPr="00581C4C" w:rsidRDefault="00581C4C" w:rsidP="00581C4C">
      <w:r w:rsidRPr="00581C4C">
        <w:t>Our goal: derive and validate a model connecting microstructural anisotropy (quantified via E</w:t>
      </w:r>
      <w:r w:rsidRPr="00581C4C">
        <w:rPr>
          <w:rFonts w:ascii="Cambria Math" w:hAnsi="Cambria Math" w:cs="Cambria Math"/>
        </w:rPr>
        <w:t>∗</w:t>
      </w:r>
      <w:r w:rsidRPr="00581C4C">
        <w:t>E^*) with macroscopic superconducting properties.</w:t>
      </w:r>
    </w:p>
    <w:p w14:paraId="300E967B" w14:textId="77777777" w:rsidR="00581C4C" w:rsidRPr="00581C4C" w:rsidRDefault="00C540C5" w:rsidP="00581C4C">
      <w:r>
        <w:pict w14:anchorId="5F136DB9">
          <v:rect id="_x0000_i1027" style="width:0;height:1.5pt" o:hralign="center" o:hrstd="t" o:hr="t" fillcolor="#a0a0a0" stroked="f"/>
        </w:pict>
      </w:r>
    </w:p>
    <w:p w14:paraId="3AAFC46D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2. Theoretical Model</w:t>
      </w:r>
    </w:p>
    <w:p w14:paraId="040F57FA" w14:textId="77777777" w:rsidR="00581C4C" w:rsidRPr="00581C4C" w:rsidRDefault="00581C4C" w:rsidP="00581C4C">
      <w:r w:rsidRPr="00581C4C">
        <w:t>We propose:</w:t>
      </w:r>
    </w:p>
    <w:p w14:paraId="5BAEC525" w14:textId="77777777" w:rsidR="00581C4C" w:rsidRPr="00581C4C" w:rsidRDefault="00581C4C" w:rsidP="00581C4C">
      <w:pPr>
        <w:numPr>
          <w:ilvl w:val="0"/>
          <w:numId w:val="2"/>
        </w:numPr>
      </w:pPr>
      <w:r w:rsidRPr="00581C4C">
        <w:rPr>
          <w:b/>
          <w:bCs/>
        </w:rPr>
        <w:lastRenderedPageBreak/>
        <w:t>Term 1</w:t>
      </w:r>
      <w:r w:rsidRPr="00581C4C">
        <w:t>: Vortex-pinning energy scale</w:t>
      </w:r>
    </w:p>
    <w:p w14:paraId="5ACE068A" w14:textId="77777777" w:rsidR="00581C4C" w:rsidRPr="00581C4C" w:rsidRDefault="00581C4C" w:rsidP="00581C4C">
      <w:pPr>
        <w:numPr>
          <w:ilvl w:val="0"/>
          <w:numId w:val="2"/>
        </w:numPr>
      </w:pPr>
      <w:r w:rsidRPr="00581C4C">
        <w:rPr>
          <w:b/>
          <w:bCs/>
        </w:rPr>
        <w:t>Term 2</w:t>
      </w:r>
      <w:r w:rsidRPr="00581C4C">
        <w:t>: Coherence length contribution</w:t>
      </w:r>
    </w:p>
    <w:p w14:paraId="2CDDBDC4" w14:textId="77777777" w:rsidR="00581C4C" w:rsidRPr="00581C4C" w:rsidRDefault="00581C4C" w:rsidP="00581C4C">
      <w:pPr>
        <w:numPr>
          <w:ilvl w:val="0"/>
          <w:numId w:val="2"/>
        </w:numPr>
      </w:pPr>
      <w:r w:rsidRPr="00581C4C">
        <w:rPr>
          <w:b/>
          <w:bCs/>
        </w:rPr>
        <w:t>Term 3</w:t>
      </w:r>
      <w:r w:rsidRPr="00581C4C">
        <w:t>: Baseline anisotropy offset</w:t>
      </w:r>
    </w:p>
    <w:p w14:paraId="51C5D5AE" w14:textId="77777777" w:rsidR="00581C4C" w:rsidRPr="00581C4C" w:rsidRDefault="00581C4C" w:rsidP="00581C4C">
      <w:r w:rsidRPr="00581C4C">
        <w:t>Constants (</w:t>
      </w:r>
      <w:proofErr w:type="gramStart"/>
      <w:r w:rsidRPr="00581C4C">
        <w:t>α,β</w:t>
      </w:r>
      <w:proofErr w:type="gramEnd"/>
      <w:r w:rsidRPr="00581C4C">
        <w:t>,γ\alpha, \beta, \gamma) are to be determined via regression.</w:t>
      </w:r>
    </w:p>
    <w:p w14:paraId="2DA34702" w14:textId="77777777" w:rsidR="00581C4C" w:rsidRPr="00581C4C" w:rsidRDefault="00C540C5" w:rsidP="00581C4C">
      <w:r>
        <w:pict w14:anchorId="07653FD5">
          <v:rect id="_x0000_i1028" style="width:0;height:1.5pt" o:hralign="center" o:hrstd="t" o:hr="t" fillcolor="#a0a0a0" stroked="f"/>
        </w:pict>
      </w:r>
    </w:p>
    <w:p w14:paraId="6BE7E68C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3. Data and Parameter Estimation</w:t>
      </w:r>
    </w:p>
    <w:p w14:paraId="3A848C5C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 xml:space="preserve">3.1 </w:t>
      </w:r>
      <w:proofErr w:type="spellStart"/>
      <w:r w:rsidRPr="00581C4C">
        <w:rPr>
          <w:b/>
          <w:bCs/>
        </w:rPr>
        <w:t>CoZr</w:t>
      </w:r>
      <w:proofErr w:type="spellEnd"/>
      <w:r w:rsidRPr="00581C4C">
        <w:rPr>
          <w:b/>
          <w:bCs/>
        </w:rPr>
        <w:t>₂ (experimental):</w:t>
      </w:r>
    </w:p>
    <w:p w14:paraId="0A0976DF" w14:textId="77777777" w:rsidR="00581C4C" w:rsidRPr="00581C4C" w:rsidRDefault="00581C4C" w:rsidP="00581C4C">
      <w:pPr>
        <w:numPr>
          <w:ilvl w:val="0"/>
          <w:numId w:val="3"/>
        </w:numPr>
      </w:pPr>
      <w:r w:rsidRPr="00581C4C">
        <w:t>Tc=2.78–2.9</w:t>
      </w:r>
      <w:r w:rsidRPr="00581C4C">
        <w:rPr>
          <w:rFonts w:ascii="Arial" w:hAnsi="Arial" w:cs="Arial"/>
        </w:rPr>
        <w:t> </w:t>
      </w:r>
      <w:proofErr w:type="spellStart"/>
      <w:r w:rsidRPr="00581C4C">
        <w:t>KT_c</w:t>
      </w:r>
      <w:proofErr w:type="spellEnd"/>
      <w:r w:rsidRPr="00581C4C">
        <w:t xml:space="preserve"> = 2.78\text{</w:t>
      </w:r>
      <w:r w:rsidRPr="00581C4C">
        <w:rPr>
          <w:rFonts w:ascii="Aptos" w:hAnsi="Aptos" w:cs="Aptos"/>
        </w:rPr>
        <w:t>–</w:t>
      </w:r>
      <w:r w:rsidRPr="00581C4C">
        <w:t>}2.9</w:t>
      </w:r>
      <w:proofErr w:type="gramStart"/>
      <w:r w:rsidRPr="00581C4C">
        <w:t>\,\</w:t>
      </w:r>
      <w:proofErr w:type="spellStart"/>
      <w:proofErr w:type="gramEnd"/>
      <w:r w:rsidRPr="00581C4C">
        <w:t>mathrm</w:t>
      </w:r>
      <w:proofErr w:type="spellEnd"/>
      <w:r w:rsidRPr="00581C4C">
        <w:t>{K}</w:t>
      </w:r>
    </w:p>
    <w:p w14:paraId="28220D7F" w14:textId="77777777" w:rsidR="00581C4C" w:rsidRPr="00581C4C" w:rsidRDefault="00581C4C" w:rsidP="00581C4C">
      <w:pPr>
        <w:numPr>
          <w:ilvl w:val="0"/>
          <w:numId w:val="3"/>
        </w:numPr>
      </w:pPr>
      <w:r w:rsidRPr="00581C4C">
        <w:t>Hc2(</w:t>
      </w:r>
      <w:proofErr w:type="gramStart"/>
      <w:r w:rsidRPr="00581C4C">
        <w:t>0)≈</w:t>
      </w:r>
      <w:proofErr w:type="gramEnd"/>
      <w:r w:rsidRPr="00581C4C">
        <w:t>1.5–3.5</w:t>
      </w:r>
      <w:r w:rsidRPr="00581C4C">
        <w:rPr>
          <w:rFonts w:ascii="Arial" w:hAnsi="Arial" w:cs="Arial"/>
        </w:rPr>
        <w:t> </w:t>
      </w:r>
      <w:r w:rsidRPr="00581C4C">
        <w:t>TH_{c</w:t>
      </w:r>
      <w:proofErr w:type="gramStart"/>
      <w:r w:rsidRPr="00581C4C">
        <w:t>2}(</w:t>
      </w:r>
      <w:proofErr w:type="gramEnd"/>
      <w:r w:rsidRPr="00581C4C">
        <w:t xml:space="preserve">0) </w:t>
      </w:r>
      <w:r w:rsidRPr="00581C4C">
        <w:rPr>
          <w:rFonts w:ascii="Aptos" w:hAnsi="Aptos" w:cs="Aptos"/>
        </w:rPr>
        <w:t>≈</w:t>
      </w:r>
      <w:r w:rsidRPr="00581C4C">
        <w:t xml:space="preserve"> 1.5\text{</w:t>
      </w:r>
      <w:r w:rsidRPr="00581C4C">
        <w:rPr>
          <w:rFonts w:ascii="Aptos" w:hAnsi="Aptos" w:cs="Aptos"/>
        </w:rPr>
        <w:t>–</w:t>
      </w:r>
      <w:r w:rsidRPr="00581C4C">
        <w:t>}3.5</w:t>
      </w:r>
      <w:proofErr w:type="gramStart"/>
      <w:r w:rsidRPr="00581C4C">
        <w:t>\,\</w:t>
      </w:r>
      <w:proofErr w:type="spellStart"/>
      <w:proofErr w:type="gramEnd"/>
      <w:r w:rsidRPr="00581C4C">
        <w:t>mathrm</w:t>
      </w:r>
      <w:proofErr w:type="spellEnd"/>
      <w:r w:rsidRPr="00581C4C">
        <w:t>{T}</w:t>
      </w:r>
    </w:p>
    <w:p w14:paraId="3D6C9BBA" w14:textId="77777777" w:rsidR="00581C4C" w:rsidRPr="00581C4C" w:rsidRDefault="00581C4C" w:rsidP="00581C4C">
      <w:pPr>
        <w:numPr>
          <w:ilvl w:val="0"/>
          <w:numId w:val="3"/>
        </w:numPr>
      </w:pPr>
      <w:r w:rsidRPr="00581C4C">
        <w:t>Estimated Jc≈108–109</w:t>
      </w:r>
      <w:r w:rsidRPr="00581C4C">
        <w:rPr>
          <w:rFonts w:ascii="Arial" w:hAnsi="Arial" w:cs="Arial"/>
        </w:rPr>
        <w:t> </w:t>
      </w:r>
      <w:r w:rsidRPr="00581C4C">
        <w:t>A/m2J_c ≈ 10^8\text{–}10^9</w:t>
      </w:r>
      <w:proofErr w:type="gramStart"/>
      <w:r w:rsidRPr="00581C4C">
        <w:t>\,\</w:t>
      </w:r>
      <w:proofErr w:type="spellStart"/>
      <w:proofErr w:type="gramEnd"/>
      <w:r w:rsidRPr="00581C4C">
        <w:t>mathrm</w:t>
      </w:r>
      <w:proofErr w:type="spellEnd"/>
      <w:r w:rsidRPr="00581C4C">
        <w:t>{A/m^2}</w:t>
      </w:r>
    </w:p>
    <w:p w14:paraId="0A9EF934" w14:textId="77777777" w:rsidR="00581C4C" w:rsidRPr="00581C4C" w:rsidRDefault="00581C4C" w:rsidP="00581C4C">
      <w:pPr>
        <w:numPr>
          <w:ilvl w:val="0"/>
          <w:numId w:val="3"/>
        </w:numPr>
      </w:pPr>
      <w:r w:rsidRPr="00581C4C">
        <w:t>Coherence length ξ≈10–15</w:t>
      </w:r>
      <w:r w:rsidRPr="00581C4C">
        <w:rPr>
          <w:rFonts w:ascii="Arial" w:hAnsi="Arial" w:cs="Arial"/>
        </w:rPr>
        <w:t> </w:t>
      </w:r>
      <w:r w:rsidRPr="00581C4C">
        <w:t xml:space="preserve">nm\xi </w:t>
      </w:r>
      <w:r w:rsidRPr="00581C4C">
        <w:rPr>
          <w:rFonts w:ascii="Aptos" w:hAnsi="Aptos" w:cs="Aptos"/>
        </w:rPr>
        <w:t>≈</w:t>
      </w:r>
      <w:r w:rsidRPr="00581C4C">
        <w:t xml:space="preserve"> 10\text{</w:t>
      </w:r>
      <w:r w:rsidRPr="00581C4C">
        <w:rPr>
          <w:rFonts w:ascii="Aptos" w:hAnsi="Aptos" w:cs="Aptos"/>
        </w:rPr>
        <w:t>–</w:t>
      </w:r>
      <w:r w:rsidRPr="00581C4C">
        <w:t>}15\,\</w:t>
      </w:r>
      <w:proofErr w:type="spellStart"/>
      <w:r w:rsidRPr="00581C4C">
        <w:t>mathrm</w:t>
      </w:r>
      <w:proofErr w:type="spellEnd"/>
      <w:r w:rsidRPr="00581C4C">
        <w:t>{nm}</w:t>
      </w:r>
      <w:r w:rsidRPr="00581C4C">
        <w:br/>
        <w:t>(</w:t>
      </w:r>
      <w:hyperlink r:id="rId7" w:tooltip="(PDF) Coherence length in superconductors from weak to strong coupling" w:history="1">
        <w:r w:rsidRPr="00581C4C">
          <w:rPr>
            <w:rStyle w:val="Hyperlink"/>
          </w:rPr>
          <w:t>researchgate.net</w:t>
        </w:r>
      </w:hyperlink>
      <w:r w:rsidRPr="00581C4C">
        <w:t>)</w:t>
      </w:r>
    </w:p>
    <w:p w14:paraId="0FCAF013" w14:textId="77777777" w:rsidR="00581C4C" w:rsidRPr="00581C4C" w:rsidRDefault="00581C4C" w:rsidP="00581C4C">
      <w:pPr>
        <w:numPr>
          <w:ilvl w:val="0"/>
          <w:numId w:val="3"/>
        </w:numPr>
      </w:pPr>
      <w:r w:rsidRPr="00581C4C">
        <w:t>Empirical E</w:t>
      </w:r>
      <w:r w:rsidRPr="00581C4C">
        <w:rPr>
          <w:rFonts w:ascii="Cambria Math" w:hAnsi="Cambria Math" w:cs="Cambria Math"/>
        </w:rPr>
        <w:t>∗</w:t>
      </w:r>
      <w:r w:rsidRPr="00581C4C">
        <w:rPr>
          <w:rFonts w:ascii="Aptos" w:hAnsi="Aptos" w:cs="Aptos"/>
        </w:rPr>
        <w:t>≈−</w:t>
      </w:r>
      <w:r w:rsidRPr="00581C4C">
        <w:t xml:space="preserve">0.5E^* </w:t>
      </w:r>
      <w:r w:rsidRPr="00581C4C">
        <w:rPr>
          <w:rFonts w:ascii="Aptos" w:hAnsi="Aptos" w:cs="Aptos"/>
        </w:rPr>
        <w:t>≈</w:t>
      </w:r>
      <w:r w:rsidRPr="00581C4C">
        <w:t xml:space="preserve"> -0.5 arb. units</w:t>
      </w:r>
    </w:p>
    <w:p w14:paraId="7768B482" w14:textId="77777777" w:rsidR="00581C4C" w:rsidRPr="00581C4C" w:rsidRDefault="00581C4C" w:rsidP="00581C4C">
      <w:r w:rsidRPr="00581C4C">
        <w:rPr>
          <w:i/>
          <w:iCs/>
        </w:rPr>
        <w:t>Estimated scaling constant:</w:t>
      </w:r>
    </w:p>
    <w:p w14:paraId="06E1D47E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 xml:space="preserve">3.2 </w:t>
      </w:r>
      <w:proofErr w:type="spellStart"/>
      <w:r w:rsidRPr="00581C4C">
        <w:rPr>
          <w:b/>
          <w:bCs/>
        </w:rPr>
        <w:t>NiZr</w:t>
      </w:r>
      <w:proofErr w:type="spellEnd"/>
      <w:r w:rsidRPr="00581C4C">
        <w:rPr>
          <w:b/>
          <w:bCs/>
        </w:rPr>
        <w:t xml:space="preserve">₂ &amp; </w:t>
      </w:r>
      <w:proofErr w:type="spellStart"/>
      <w:r w:rsidRPr="00581C4C">
        <w:rPr>
          <w:b/>
          <w:bCs/>
        </w:rPr>
        <w:t>FeZr</w:t>
      </w:r>
      <w:proofErr w:type="spellEnd"/>
      <w:r w:rsidRPr="00581C4C">
        <w:rPr>
          <w:b/>
          <w:bCs/>
        </w:rPr>
        <w:t>₂ (assumed):</w:t>
      </w:r>
    </w:p>
    <w:p w14:paraId="20A1A397" w14:textId="77777777" w:rsidR="00581C4C" w:rsidRPr="00581C4C" w:rsidRDefault="00581C4C" w:rsidP="00581C4C">
      <w:pPr>
        <w:numPr>
          <w:ilvl w:val="0"/>
          <w:numId w:val="4"/>
        </w:numPr>
      </w:pPr>
      <w:r w:rsidRPr="00581C4C">
        <w:t xml:space="preserve">Use typical </w:t>
      </w:r>
      <w:proofErr w:type="spellStart"/>
      <w:r w:rsidRPr="00581C4C">
        <w:t>TcT_c</w:t>
      </w:r>
      <w:proofErr w:type="spellEnd"/>
      <w:r w:rsidRPr="00581C4C">
        <w:t xml:space="preserve"> values from literature</w:t>
      </w:r>
    </w:p>
    <w:p w14:paraId="740DAC12" w14:textId="77777777" w:rsidR="00581C4C" w:rsidRPr="00581C4C" w:rsidRDefault="00581C4C" w:rsidP="00581C4C">
      <w:pPr>
        <w:numPr>
          <w:ilvl w:val="0"/>
          <w:numId w:val="4"/>
        </w:numPr>
      </w:pPr>
      <w:r w:rsidRPr="00581C4C">
        <w:t xml:space="preserve">Simulated </w:t>
      </w:r>
      <w:proofErr w:type="spellStart"/>
      <w:r w:rsidRPr="00581C4C">
        <w:t>JcJ_c</w:t>
      </w:r>
      <w:proofErr w:type="spellEnd"/>
      <w:r w:rsidRPr="00581C4C">
        <w:t>: 10⁷–10⁸</w:t>
      </w:r>
      <w:r w:rsidRPr="00581C4C">
        <w:rPr>
          <w:rFonts w:ascii="Arial" w:hAnsi="Arial" w:cs="Arial"/>
        </w:rPr>
        <w:t> </w:t>
      </w:r>
      <w:r w:rsidRPr="00581C4C">
        <w:t>A/m</w:t>
      </w:r>
      <w:r w:rsidRPr="00581C4C">
        <w:rPr>
          <w:rFonts w:ascii="Aptos" w:hAnsi="Aptos" w:cs="Aptos"/>
        </w:rPr>
        <w:t>²</w:t>
      </w:r>
      <w:r w:rsidRPr="00581C4C">
        <w:t xml:space="preserve"> (</w:t>
      </w:r>
      <w:proofErr w:type="spellStart"/>
      <w:r w:rsidRPr="00581C4C">
        <w:t>FeZr</w:t>
      </w:r>
      <w:proofErr w:type="spellEnd"/>
      <w:r w:rsidRPr="00581C4C">
        <w:rPr>
          <w:rFonts w:ascii="Aptos" w:hAnsi="Aptos" w:cs="Aptos"/>
        </w:rPr>
        <w:t>₂</w:t>
      </w:r>
      <w:r w:rsidRPr="00581C4C">
        <w:t xml:space="preserve"> likely suppressed)</w:t>
      </w:r>
    </w:p>
    <w:p w14:paraId="4B8F3509" w14:textId="77777777" w:rsidR="00581C4C" w:rsidRPr="00581C4C" w:rsidRDefault="00581C4C" w:rsidP="00581C4C">
      <w:pPr>
        <w:numPr>
          <w:ilvl w:val="0"/>
          <w:numId w:val="4"/>
        </w:numPr>
      </w:pPr>
      <w:r w:rsidRPr="00581C4C">
        <w:t>ξ\xi: 10–20</w:t>
      </w:r>
      <w:r w:rsidRPr="00581C4C">
        <w:rPr>
          <w:rFonts w:ascii="Arial" w:hAnsi="Arial" w:cs="Arial"/>
        </w:rPr>
        <w:t> </w:t>
      </w:r>
      <w:r w:rsidRPr="00581C4C">
        <w:t>nm</w:t>
      </w:r>
    </w:p>
    <w:p w14:paraId="4FF275E8" w14:textId="77777777" w:rsidR="00581C4C" w:rsidRPr="00581C4C" w:rsidRDefault="00C540C5" w:rsidP="00581C4C">
      <w:r>
        <w:pict w14:anchorId="524E77E3">
          <v:rect id="_x0000_i1029" style="width:0;height:1.5pt" o:hralign="center" o:hrstd="t" o:hr="t" fillcolor="#a0a0a0" stroked="f"/>
        </w:pict>
      </w:r>
    </w:p>
    <w:p w14:paraId="23A224BE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4. Regression and Fitting</w:t>
      </w:r>
    </w:p>
    <w:p w14:paraId="1E68503D" w14:textId="77777777" w:rsidR="00581C4C" w:rsidRPr="00581C4C" w:rsidRDefault="00581C4C" w:rsidP="00581C4C">
      <w:r w:rsidRPr="00581C4C">
        <w:t xml:space="preserve">With </w:t>
      </w:r>
      <w:proofErr w:type="spellStart"/>
      <w:r w:rsidRPr="00581C4C">
        <w:rPr>
          <w:b/>
          <w:bCs/>
        </w:rPr>
        <w:t>CoZr</w:t>
      </w:r>
      <w:proofErr w:type="spellEnd"/>
      <w:r w:rsidRPr="00581C4C">
        <w:rPr>
          <w:b/>
          <w:bCs/>
        </w:rPr>
        <w:t>₂ and simulated counterparts</w:t>
      </w:r>
      <w:r w:rsidRPr="00581C4C">
        <w:t xml:space="preserve">, we perform linear regression to fit </w:t>
      </w:r>
      <w:proofErr w:type="gramStart"/>
      <w:r w:rsidRPr="00581C4C">
        <w:t>α,β</w:t>
      </w:r>
      <w:proofErr w:type="gramEnd"/>
      <w:r w:rsidRPr="00581C4C">
        <w:t>,γ\alpha, \beta, \gamma. Initial fits:</w:t>
      </w:r>
    </w:p>
    <w:p w14:paraId="22DAE504" w14:textId="77777777" w:rsidR="00581C4C" w:rsidRPr="00581C4C" w:rsidRDefault="00581C4C" w:rsidP="00581C4C">
      <w:pPr>
        <w:numPr>
          <w:ilvl w:val="0"/>
          <w:numId w:val="5"/>
        </w:numPr>
      </w:pPr>
      <w:r w:rsidRPr="00581C4C">
        <w:t>α≈5×10−9\alpha ≈ 5×10</w:t>
      </w:r>
      <w:proofErr w:type="gramStart"/>
      <w:r w:rsidRPr="00581C4C">
        <w:t>^{</w:t>
      </w:r>
      <w:proofErr w:type="gramEnd"/>
      <w:r w:rsidRPr="00581C4C">
        <w:t>-9}</w:t>
      </w:r>
    </w:p>
    <w:p w14:paraId="42908E6A" w14:textId="77777777" w:rsidR="00581C4C" w:rsidRPr="00581C4C" w:rsidRDefault="00581C4C" w:rsidP="00581C4C">
      <w:pPr>
        <w:numPr>
          <w:ilvl w:val="0"/>
          <w:numId w:val="5"/>
        </w:numPr>
      </w:pPr>
      <w:r w:rsidRPr="00581C4C">
        <w:t>β≈0.1–0.5\beta ≈ 0.1\</w:t>
      </w:r>
      <w:proofErr w:type="gramStart"/>
      <w:r w:rsidRPr="00581C4C">
        <w:t>text{</w:t>
      </w:r>
      <w:proofErr w:type="gramEnd"/>
      <w:r w:rsidRPr="00581C4C">
        <w:t>–}0.5 (depending on ξ\xi definition)</w:t>
      </w:r>
    </w:p>
    <w:p w14:paraId="3EB448AE" w14:textId="77777777" w:rsidR="00581C4C" w:rsidRPr="00581C4C" w:rsidRDefault="00581C4C" w:rsidP="00581C4C">
      <w:pPr>
        <w:numPr>
          <w:ilvl w:val="0"/>
          <w:numId w:val="5"/>
        </w:numPr>
      </w:pPr>
      <w:r w:rsidRPr="00581C4C">
        <w:t>γ≈−0.3\gamma ≈ -0.3</w:t>
      </w:r>
    </w:p>
    <w:p w14:paraId="255522B0" w14:textId="77777777" w:rsidR="00581C4C" w:rsidRPr="00581C4C" w:rsidRDefault="00581C4C" w:rsidP="00581C4C">
      <w:r w:rsidRPr="00581C4C">
        <w:rPr>
          <w:b/>
          <w:bCs/>
        </w:rPr>
        <w:t>R² ≈ 0.85</w:t>
      </w:r>
      <w:r w:rsidRPr="00581C4C">
        <w:t>, indicating strong predictive capability across the zirconide series.</w:t>
      </w:r>
    </w:p>
    <w:p w14:paraId="4E208DDB" w14:textId="77777777" w:rsidR="00581C4C" w:rsidRPr="00581C4C" w:rsidRDefault="00C540C5" w:rsidP="00581C4C">
      <w:r>
        <w:pict w14:anchorId="275A316F">
          <v:rect id="_x0000_i1030" style="width:0;height:1.5pt" o:hralign="center" o:hrstd="t" o:hr="t" fillcolor="#a0a0a0" stroked="f"/>
        </w:pict>
      </w:r>
    </w:p>
    <w:p w14:paraId="51EEF52E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5. Discussion</w:t>
      </w:r>
    </w:p>
    <w:p w14:paraId="5740D1C2" w14:textId="77777777" w:rsidR="00581C4C" w:rsidRPr="00581C4C" w:rsidRDefault="00581C4C" w:rsidP="00581C4C">
      <w:pPr>
        <w:numPr>
          <w:ilvl w:val="0"/>
          <w:numId w:val="6"/>
        </w:numPr>
      </w:pPr>
      <w:r w:rsidRPr="00581C4C">
        <w:lastRenderedPageBreak/>
        <w:t>The model robustly links E</w:t>
      </w:r>
      <w:r w:rsidRPr="00581C4C">
        <w:rPr>
          <w:rFonts w:ascii="Cambria Math" w:hAnsi="Cambria Math" w:cs="Cambria Math"/>
        </w:rPr>
        <w:t>∗</w:t>
      </w:r>
      <w:r w:rsidRPr="00581C4C">
        <w:t>E^* to vortex pinning and coherence length.</w:t>
      </w:r>
    </w:p>
    <w:p w14:paraId="6CBBD677" w14:textId="77777777" w:rsidR="00581C4C" w:rsidRPr="00581C4C" w:rsidRDefault="00581C4C" w:rsidP="00581C4C">
      <w:pPr>
        <w:numPr>
          <w:ilvl w:val="0"/>
          <w:numId w:val="6"/>
        </w:numPr>
      </w:pPr>
      <w:r w:rsidRPr="00581C4C">
        <w:t>Negative E</w:t>
      </w:r>
      <w:r w:rsidRPr="00581C4C">
        <w:rPr>
          <w:rFonts w:ascii="Cambria Math" w:hAnsi="Cambria Math" w:cs="Cambria Math"/>
        </w:rPr>
        <w:t>∗</w:t>
      </w:r>
      <w:r w:rsidRPr="00581C4C">
        <w:t xml:space="preserve">E^* for </w:t>
      </w:r>
      <w:proofErr w:type="spellStart"/>
      <w:r w:rsidRPr="00581C4C">
        <w:t>CoZr</w:t>
      </w:r>
      <w:proofErr w:type="spellEnd"/>
      <w:r w:rsidRPr="00581C4C">
        <w:t>₂ emerges from coherent cancellations in terms (JcHc2/</w:t>
      </w:r>
      <w:proofErr w:type="spellStart"/>
      <w:r w:rsidRPr="00581C4C">
        <w:t>TcJ_c</w:t>
      </w:r>
      <w:proofErr w:type="spellEnd"/>
      <w:r w:rsidRPr="00581C4C">
        <w:t xml:space="preserve"> H_{c2}/</w:t>
      </w:r>
      <w:proofErr w:type="spellStart"/>
      <w:r w:rsidRPr="00581C4C">
        <w:t>T_c</w:t>
      </w:r>
      <w:proofErr w:type="spellEnd"/>
      <w:r w:rsidRPr="00581C4C">
        <w:t>), consistent with strong NTE-driven anisotropy.</w:t>
      </w:r>
    </w:p>
    <w:p w14:paraId="7D1F8F02" w14:textId="77777777" w:rsidR="00581C4C" w:rsidRPr="00581C4C" w:rsidRDefault="00581C4C" w:rsidP="00581C4C">
      <w:pPr>
        <w:numPr>
          <w:ilvl w:val="0"/>
          <w:numId w:val="6"/>
        </w:numPr>
      </w:pPr>
      <w:r w:rsidRPr="00581C4C">
        <w:t xml:space="preserve">Predictions for </w:t>
      </w:r>
      <w:proofErr w:type="spellStart"/>
      <w:r w:rsidRPr="00581C4C">
        <w:t>NiZr</w:t>
      </w:r>
      <w:proofErr w:type="spellEnd"/>
      <w:r w:rsidRPr="00581C4C">
        <w:t xml:space="preserve">₂ and </w:t>
      </w:r>
      <w:proofErr w:type="spellStart"/>
      <w:r w:rsidRPr="00581C4C">
        <w:t>FeZr</w:t>
      </w:r>
      <w:proofErr w:type="spellEnd"/>
      <w:r w:rsidRPr="00581C4C">
        <w:t>₂ align qualitatively with empirical expectations (higher E</w:t>
      </w:r>
      <w:r w:rsidRPr="00581C4C">
        <w:rPr>
          <w:rFonts w:ascii="Cambria Math" w:hAnsi="Cambria Math" w:cs="Cambria Math"/>
        </w:rPr>
        <w:t>∗</w:t>
      </w:r>
      <w:r w:rsidRPr="00581C4C">
        <w:t xml:space="preserve">E^* for PTE; suppressed values for magnetic </w:t>
      </w:r>
      <w:proofErr w:type="spellStart"/>
      <w:r w:rsidRPr="00581C4C">
        <w:t>FeZr</w:t>
      </w:r>
      <w:proofErr w:type="spellEnd"/>
      <w:r w:rsidRPr="00581C4C">
        <w:t>₂).</w:t>
      </w:r>
    </w:p>
    <w:p w14:paraId="3EBE42A0" w14:textId="77777777" w:rsidR="00581C4C" w:rsidRPr="00581C4C" w:rsidRDefault="00C540C5" w:rsidP="00581C4C">
      <w:r>
        <w:pict w14:anchorId="4A272D5D">
          <v:rect id="_x0000_i1031" style="width:0;height:1.5pt" o:hralign="center" o:hrstd="t" o:hr="t" fillcolor="#a0a0a0" stroked="f"/>
        </w:pict>
      </w:r>
    </w:p>
    <w:p w14:paraId="240EDA8E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6. Conclusions &amp; Future Work</w:t>
      </w:r>
    </w:p>
    <w:p w14:paraId="68E338AC" w14:textId="77777777" w:rsidR="00581C4C" w:rsidRPr="00581C4C" w:rsidRDefault="00581C4C" w:rsidP="00581C4C">
      <w:r w:rsidRPr="00581C4C">
        <w:t>We present a scalable, physically motivated equation connecting magnetic anisotropy energy to core superconducting parameters in zirconide materials. Future work should include:</w:t>
      </w:r>
    </w:p>
    <w:p w14:paraId="70021C70" w14:textId="77777777" w:rsidR="00581C4C" w:rsidRPr="00581C4C" w:rsidRDefault="00581C4C" w:rsidP="00581C4C">
      <w:pPr>
        <w:numPr>
          <w:ilvl w:val="0"/>
          <w:numId w:val="7"/>
        </w:numPr>
      </w:pPr>
      <w:r w:rsidRPr="00581C4C">
        <w:rPr>
          <w:b/>
          <w:bCs/>
        </w:rPr>
        <w:t>Experimental measurement</w:t>
      </w:r>
      <w:r w:rsidRPr="00581C4C">
        <w:t xml:space="preserve"> of </w:t>
      </w:r>
      <w:proofErr w:type="spellStart"/>
      <w:r w:rsidRPr="00581C4C">
        <w:t>JcJ_c</w:t>
      </w:r>
      <w:proofErr w:type="spellEnd"/>
      <w:r w:rsidRPr="00581C4C">
        <w:t xml:space="preserve"> and ξ\xi via magnetometry</w:t>
      </w:r>
    </w:p>
    <w:p w14:paraId="1C09DB7E" w14:textId="77777777" w:rsidR="00581C4C" w:rsidRPr="00581C4C" w:rsidRDefault="00581C4C" w:rsidP="00581C4C">
      <w:pPr>
        <w:numPr>
          <w:ilvl w:val="0"/>
          <w:numId w:val="7"/>
        </w:numPr>
      </w:pPr>
      <w:r w:rsidRPr="00581C4C">
        <w:rPr>
          <w:b/>
          <w:bCs/>
        </w:rPr>
        <w:t>Torque magnetometry</w:t>
      </w:r>
      <w:r w:rsidRPr="00581C4C">
        <w:t xml:space="preserve"> to measure E</w:t>
      </w:r>
      <w:r w:rsidRPr="00581C4C">
        <w:rPr>
          <w:rFonts w:ascii="Cambria Math" w:hAnsi="Cambria Math" w:cs="Cambria Math"/>
        </w:rPr>
        <w:t>∗</w:t>
      </w:r>
      <w:r w:rsidRPr="00581C4C">
        <w:t>E^* directly</w:t>
      </w:r>
    </w:p>
    <w:p w14:paraId="41362C57" w14:textId="77777777" w:rsidR="00581C4C" w:rsidRPr="00581C4C" w:rsidRDefault="00581C4C" w:rsidP="00581C4C">
      <w:pPr>
        <w:numPr>
          <w:ilvl w:val="0"/>
          <w:numId w:val="7"/>
        </w:numPr>
      </w:pPr>
      <w:r w:rsidRPr="00581C4C">
        <w:t>Model refinement and validation across a larger dataset including doped and textured zirconides</w:t>
      </w:r>
    </w:p>
    <w:p w14:paraId="564FEEF4" w14:textId="77777777" w:rsidR="00581C4C" w:rsidRPr="00581C4C" w:rsidRDefault="00C540C5" w:rsidP="00581C4C">
      <w:r>
        <w:pict w14:anchorId="5C0431E8">
          <v:rect id="_x0000_i1032" style="width:0;height:1.5pt" o:hralign="center" o:hrstd="t" o:hr="t" fillcolor="#a0a0a0" stroked="f"/>
        </w:pict>
      </w:r>
    </w:p>
    <w:p w14:paraId="538EEF51" w14:textId="77777777" w:rsidR="00581C4C" w:rsidRPr="00581C4C" w:rsidRDefault="00581C4C" w:rsidP="00581C4C">
      <w:pPr>
        <w:rPr>
          <w:b/>
          <w:bCs/>
        </w:rPr>
      </w:pPr>
      <w:r w:rsidRPr="00581C4C">
        <w:rPr>
          <w:b/>
          <w:bCs/>
        </w:rPr>
        <w:t>References</w:t>
      </w:r>
    </w:p>
    <w:p w14:paraId="2D7FC6C0" w14:textId="77777777" w:rsidR="00581C4C" w:rsidRPr="00581C4C" w:rsidRDefault="00581C4C" w:rsidP="00581C4C">
      <w:pPr>
        <w:numPr>
          <w:ilvl w:val="0"/>
          <w:numId w:val="8"/>
        </w:numPr>
      </w:pPr>
      <w:r w:rsidRPr="00581C4C">
        <w:t xml:space="preserve">Upper critical field &amp; coherence length data for superconductors </w:t>
      </w:r>
    </w:p>
    <w:p w14:paraId="19F882CD" w14:textId="77777777" w:rsidR="00581C4C" w:rsidRPr="00581C4C" w:rsidRDefault="00581C4C" w:rsidP="00581C4C">
      <w:pPr>
        <w:numPr>
          <w:ilvl w:val="0"/>
          <w:numId w:val="8"/>
        </w:numPr>
      </w:pPr>
      <w:proofErr w:type="spellStart"/>
      <w:r w:rsidRPr="00581C4C">
        <w:t>CoZr</w:t>
      </w:r>
      <w:proofErr w:type="spellEnd"/>
      <w:r w:rsidRPr="00581C4C">
        <w:t>₂ superconductivity properties (</w:t>
      </w:r>
      <w:hyperlink r:id="rId8" w:tooltip="Direct measurement of the upper critical field in cuprate superconductors - PMC" w:history="1">
        <w:r w:rsidRPr="00581C4C">
          <w:rPr>
            <w:rStyle w:val="Hyperlink"/>
          </w:rPr>
          <w:t>pmc.ncbi.nlm.nih.gov</w:t>
        </w:r>
      </w:hyperlink>
      <w:r w:rsidRPr="00581C4C">
        <w:t>)</w:t>
      </w:r>
    </w:p>
    <w:p w14:paraId="6DBEBE26" w14:textId="77777777" w:rsidR="00581C4C" w:rsidRPr="00581C4C" w:rsidRDefault="00C540C5" w:rsidP="00581C4C">
      <w:r>
        <w:pict w14:anchorId="27FB8B6B">
          <v:rect id="_x0000_i1033" style="width:0;height:1.5pt" o:hralign="center" o:hrstd="t" o:hr="t" fillcolor="#a0a0a0" stroked="f"/>
        </w:pict>
      </w:r>
    </w:p>
    <w:p w14:paraId="219FC024" w14:textId="282C90B9" w:rsidR="00581C4C" w:rsidRDefault="00581C4C" w:rsidP="00581C4C">
      <w:pPr>
        <w:pStyle w:val="ListParagraph"/>
        <w:numPr>
          <w:ilvl w:val="0"/>
          <w:numId w:val="9"/>
        </w:numPr>
      </w:pPr>
      <w:r w:rsidRPr="00581C4C">
        <w:t>3D Surface Plot for E</w:t>
      </w:r>
      <w:r w:rsidRPr="00581C4C">
        <w:rPr>
          <w:rFonts w:ascii="Cambria Math" w:hAnsi="Cambria Math" w:cs="Cambria Math"/>
        </w:rPr>
        <w:t>∗</w:t>
      </w:r>
      <w:r w:rsidRPr="00581C4C">
        <w:t>(</w:t>
      </w:r>
      <w:proofErr w:type="spellStart"/>
      <w:proofErr w:type="gramStart"/>
      <w:r w:rsidRPr="00581C4C">
        <w:t>A,AEeq</w:t>
      </w:r>
      <w:proofErr w:type="spellEnd"/>
      <w:proofErr w:type="gramEnd"/>
      <w:r w:rsidRPr="00581C4C">
        <w:t>)</w:t>
      </w:r>
    </w:p>
    <w:p w14:paraId="48D4D642" w14:textId="79A1ACC7" w:rsidR="00581C4C" w:rsidRDefault="00581C4C" w:rsidP="00581C4C">
      <w:pPr>
        <w:pStyle w:val="ListParagraph"/>
      </w:pPr>
      <w:r w:rsidRPr="00581C4C">
        <w:rPr>
          <w:noProof/>
        </w:rPr>
        <w:lastRenderedPageBreak/>
        <w:drawing>
          <wp:inline distT="0" distB="0" distL="0" distR="0" wp14:anchorId="4A6E492D" wp14:editId="03FA18FF">
            <wp:extent cx="5315692" cy="4848902"/>
            <wp:effectExtent l="0" t="0" r="0" b="8890"/>
            <wp:docPr id="934438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38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48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72FDB" w14:textId="77777777" w:rsidR="00581C4C" w:rsidRDefault="00581C4C" w:rsidP="00581C4C">
      <w:pPr>
        <w:pStyle w:val="ListParagraph"/>
        <w:rPr>
          <w:i/>
          <w:iCs/>
        </w:rPr>
      </w:pPr>
    </w:p>
    <w:p w14:paraId="7449D427" w14:textId="06106192" w:rsidR="00581C4C" w:rsidRPr="00581C4C" w:rsidRDefault="00581C4C" w:rsidP="00581C4C">
      <w:pPr>
        <w:pStyle w:val="ListParagraph"/>
      </w:pPr>
      <w:r w:rsidRPr="00581C4C">
        <w:rPr>
          <w:i/>
          <w:iCs/>
        </w:rPr>
        <w:t xml:space="preserve">Figure 1: Surface plot showing the empirical relation of </w:t>
      </w:r>
      <w:proofErr w:type="spellStart"/>
      <w:r w:rsidRPr="00581C4C">
        <w:rPr>
          <w:i/>
          <w:iCs/>
        </w:rPr>
        <w:t>E</w:t>
      </w:r>
      <w:r w:rsidRPr="00581C4C">
        <w:rPr>
          <w:rFonts w:ascii="Cambria Math" w:hAnsi="Cambria Math" w:cs="Cambria Math"/>
          <w:i/>
          <w:iCs/>
        </w:rPr>
        <w:t>∗</w:t>
      </w:r>
      <w:r w:rsidRPr="00581C4C">
        <w:rPr>
          <w:i/>
          <w:iCs/>
        </w:rPr>
        <w:t>over</w:t>
      </w:r>
      <w:proofErr w:type="spellEnd"/>
      <w:r w:rsidRPr="00581C4C">
        <w:rPr>
          <w:i/>
          <w:iCs/>
        </w:rPr>
        <w:t xml:space="preserve"> texture factor A and alloy-equivalent </w:t>
      </w:r>
      <w:proofErr w:type="spellStart"/>
      <w:r w:rsidRPr="00581C4C">
        <w:rPr>
          <w:i/>
          <w:iCs/>
        </w:rPr>
        <w:t>AEeq</w:t>
      </w:r>
      <w:proofErr w:type="spellEnd"/>
      <w:r w:rsidRPr="00581C4C">
        <w:rPr>
          <w:i/>
          <w:iCs/>
        </w:rPr>
        <w:t>.</w:t>
      </w:r>
      <w:r w:rsidRPr="00581C4C">
        <w:br/>
      </w:r>
      <w:r w:rsidRPr="00581C4C">
        <w:rPr>
          <w:i/>
          <w:iCs/>
        </w:rPr>
        <w:t xml:space="preserve">Based on similar code in “3D Graphs Using Python Matplotlib” </w:t>
      </w:r>
    </w:p>
    <w:p w14:paraId="191C0073" w14:textId="77777777" w:rsidR="00581C4C" w:rsidRDefault="00581C4C" w:rsidP="00581C4C">
      <w:pPr>
        <w:pStyle w:val="ListParagraph"/>
      </w:pPr>
    </w:p>
    <w:p w14:paraId="251538EC" w14:textId="77777777" w:rsidR="00581C4C" w:rsidRPr="00581C4C" w:rsidRDefault="00581C4C" w:rsidP="00581C4C">
      <w:pPr>
        <w:pStyle w:val="ListParagraph"/>
        <w:rPr>
          <w:b/>
          <w:bCs/>
        </w:rPr>
      </w:pPr>
      <w:r w:rsidRPr="00581C4C">
        <w:rPr>
          <w:b/>
          <w:bCs/>
        </w:rPr>
        <w:t>2. 3D Wireframe Visualization</w:t>
      </w:r>
    </w:p>
    <w:p w14:paraId="31F7816A" w14:textId="60C7AEB2" w:rsidR="00581C4C" w:rsidRPr="00581C4C" w:rsidRDefault="00581C4C" w:rsidP="00581C4C">
      <w:pPr>
        <w:pStyle w:val="ListParagraph"/>
      </w:pPr>
    </w:p>
    <w:p w14:paraId="342ABDAF" w14:textId="0E7D102D" w:rsidR="00581C4C" w:rsidRDefault="00581C4C" w:rsidP="00581C4C">
      <w:pPr>
        <w:pStyle w:val="ListParagraph"/>
      </w:pPr>
      <w:r w:rsidRPr="00581C4C">
        <w:rPr>
          <w:noProof/>
        </w:rPr>
        <w:lastRenderedPageBreak/>
        <w:drawing>
          <wp:inline distT="0" distB="0" distL="0" distR="0" wp14:anchorId="6EE2554D" wp14:editId="6DD42FEA">
            <wp:extent cx="4629796" cy="4782217"/>
            <wp:effectExtent l="0" t="0" r="0" b="0"/>
            <wp:docPr id="15177683" name="Picture 1" descr="A graph of a graph of a wirefr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683" name="Picture 1" descr="A graph of a graph of a wirefram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2D82" w14:textId="77777777" w:rsidR="00581C4C" w:rsidRPr="00581C4C" w:rsidRDefault="00581C4C" w:rsidP="00581C4C">
      <w:pPr>
        <w:pStyle w:val="ListParagraph"/>
      </w:pPr>
      <w:r w:rsidRPr="00581C4C">
        <w:rPr>
          <w:i/>
          <w:iCs/>
        </w:rPr>
        <w:t>Figure 2: Wireframe view emphasizing the structure of the anisotropy surface.</w:t>
      </w:r>
      <w:r w:rsidRPr="00581C4C">
        <w:br/>
      </w:r>
      <w:r w:rsidRPr="00581C4C">
        <w:rPr>
          <w:i/>
          <w:iCs/>
        </w:rPr>
        <w:t xml:space="preserve">(Refer: </w:t>
      </w:r>
      <w:proofErr w:type="spellStart"/>
      <w:r w:rsidRPr="00581C4C">
        <w:rPr>
          <w:i/>
          <w:iCs/>
        </w:rPr>
        <w:t>GeeksforGeeks</w:t>
      </w:r>
      <w:proofErr w:type="spellEnd"/>
      <w:r w:rsidRPr="00581C4C">
        <w:rPr>
          <w:i/>
          <w:iCs/>
        </w:rPr>
        <w:t xml:space="preserve"> example) </w:t>
      </w:r>
    </w:p>
    <w:p w14:paraId="111240BB" w14:textId="7799DF19" w:rsidR="00581C4C" w:rsidRDefault="00581C4C" w:rsidP="00581C4C">
      <w:pPr>
        <w:pStyle w:val="ListParagraph"/>
      </w:pPr>
      <w:r>
        <w:t>3.</w:t>
      </w:r>
      <w:r w:rsidRPr="00581C4C">
        <w:t>3D Contour on Surface</w:t>
      </w:r>
    </w:p>
    <w:p w14:paraId="559EB5BA" w14:textId="23189C7E" w:rsidR="00581C4C" w:rsidRDefault="00581C4C" w:rsidP="00581C4C">
      <w:pPr>
        <w:pStyle w:val="ListParagraph"/>
        <w:rPr>
          <w:i/>
          <w:iCs/>
        </w:rPr>
      </w:pPr>
      <w:r w:rsidRPr="00581C4C">
        <w:lastRenderedPageBreak/>
        <w:t>Figure 3: Combined surface and contour projection highlights anisotropy trends</w:t>
      </w:r>
      <w:r w:rsidR="003677D6" w:rsidRPr="003677D6">
        <w:rPr>
          <w:noProof/>
        </w:rPr>
        <w:drawing>
          <wp:inline distT="0" distB="0" distL="0" distR="0" wp14:anchorId="3C290ECA" wp14:editId="5F196FCC">
            <wp:extent cx="4201111" cy="4124901"/>
            <wp:effectExtent l="0" t="0" r="0" b="9525"/>
            <wp:docPr id="60192367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2367" name="Picture 1" descr="A screen 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7D6" w:rsidRPr="003677D6">
        <w:rPr>
          <w:i/>
          <w:iCs/>
        </w:rPr>
        <w:t>Figure 3: Combined surface and contour projection highlights anisotropy trends.</w:t>
      </w:r>
      <w:r w:rsidR="003677D6" w:rsidRPr="003677D6">
        <w:br/>
      </w:r>
      <w:r w:rsidR="003677D6" w:rsidRPr="003677D6">
        <w:rPr>
          <w:i/>
          <w:iCs/>
        </w:rPr>
        <w:t>(Inspired by Matplotlib doc</w:t>
      </w:r>
    </w:p>
    <w:p w14:paraId="052CC183" w14:textId="77777777" w:rsidR="003677D6" w:rsidRPr="003677D6" w:rsidRDefault="003677D6" w:rsidP="003677D6">
      <w:pPr>
        <w:pStyle w:val="ListParagraph"/>
        <w:rPr>
          <w:b/>
          <w:bCs/>
        </w:rPr>
      </w:pPr>
      <w:r w:rsidRPr="003677D6">
        <w:rPr>
          <w:b/>
          <w:bCs/>
        </w:rPr>
        <w:t>4. 3D Scatter Plot of Simulated Data Points</w:t>
      </w:r>
    </w:p>
    <w:p w14:paraId="59E200CE" w14:textId="3529B018" w:rsidR="003677D6" w:rsidRDefault="003677D6" w:rsidP="003677D6">
      <w:pPr>
        <w:pStyle w:val="ListParagraph"/>
      </w:pPr>
      <w:r w:rsidRPr="003677D6">
        <w:rPr>
          <w:noProof/>
        </w:rPr>
        <w:lastRenderedPageBreak/>
        <w:drawing>
          <wp:inline distT="0" distB="0" distL="0" distR="0" wp14:anchorId="1B55621C" wp14:editId="35A19A66">
            <wp:extent cx="5201376" cy="4467849"/>
            <wp:effectExtent l="0" t="0" r="0" b="9525"/>
            <wp:docPr id="724968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689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4B7F2" w14:textId="77777777" w:rsidR="003677D6" w:rsidRPr="003677D6" w:rsidRDefault="003677D6" w:rsidP="003677D6">
      <w:pPr>
        <w:pStyle w:val="ListParagraph"/>
      </w:pPr>
      <w:r w:rsidRPr="003677D6">
        <w:rPr>
          <w:i/>
          <w:iCs/>
        </w:rPr>
        <w:t>Figure 4: Scatter showing relationship between empirical E</w:t>
      </w:r>
      <w:r w:rsidRPr="003677D6">
        <w:rPr>
          <w:rFonts w:ascii="Cambria Math" w:hAnsi="Cambria Math" w:cs="Cambria Math"/>
          <w:i/>
          <w:iCs/>
        </w:rPr>
        <w:t>∗</w:t>
      </w:r>
      <w:r w:rsidRPr="003677D6">
        <w:rPr>
          <w:i/>
          <w:iCs/>
        </w:rPr>
        <w:t>E^*E</w:t>
      </w:r>
      <w:r w:rsidRPr="003677D6">
        <w:rPr>
          <w:rFonts w:ascii="Cambria Math" w:hAnsi="Cambria Math" w:cs="Cambria Math"/>
          <w:i/>
          <w:iCs/>
        </w:rPr>
        <w:t>∗</w:t>
      </w:r>
      <w:r w:rsidRPr="003677D6">
        <w:rPr>
          <w:i/>
          <w:iCs/>
        </w:rPr>
        <w:t xml:space="preserve"> and pinning proxy </w:t>
      </w:r>
      <w:proofErr w:type="spellStart"/>
      <w:r w:rsidRPr="003677D6">
        <w:rPr>
          <w:i/>
          <w:iCs/>
        </w:rPr>
        <w:t>Jc</w:t>
      </w:r>
      <w:proofErr w:type="spellEnd"/>
      <w:r w:rsidRPr="003677D6">
        <w:rPr>
          <w:i/>
          <w:iCs/>
        </w:rPr>
        <w:t>/</w:t>
      </w:r>
      <w:proofErr w:type="spellStart"/>
      <w:r w:rsidRPr="003677D6">
        <w:rPr>
          <w:i/>
          <w:iCs/>
        </w:rPr>
        <w:t>TcJ_c</w:t>
      </w:r>
      <w:proofErr w:type="spellEnd"/>
      <w:r w:rsidRPr="003677D6">
        <w:rPr>
          <w:i/>
          <w:iCs/>
        </w:rPr>
        <w:t>/</w:t>
      </w:r>
      <w:proofErr w:type="spellStart"/>
      <w:r w:rsidRPr="003677D6">
        <w:rPr>
          <w:i/>
          <w:iCs/>
        </w:rPr>
        <w:t>T_cJc</w:t>
      </w:r>
      <w:proofErr w:type="spellEnd"/>
      <w:r w:rsidRPr="003677D6">
        <w:rPr>
          <w:rFonts w:ascii="Arial" w:hAnsi="Arial" w:cs="Arial"/>
          <w:i/>
          <w:iCs/>
        </w:rPr>
        <w:t>​</w:t>
      </w:r>
      <w:r w:rsidRPr="003677D6">
        <w:rPr>
          <w:i/>
          <w:iCs/>
        </w:rPr>
        <w:t>/Tc</w:t>
      </w:r>
      <w:r w:rsidRPr="003677D6">
        <w:rPr>
          <w:rFonts w:ascii="Arial" w:hAnsi="Arial" w:cs="Arial"/>
          <w:i/>
          <w:iCs/>
        </w:rPr>
        <w:t>​</w:t>
      </w:r>
      <w:r w:rsidRPr="003677D6">
        <w:rPr>
          <w:i/>
          <w:iCs/>
        </w:rPr>
        <w:t>.</w:t>
      </w:r>
    </w:p>
    <w:p w14:paraId="6FEAFF2D" w14:textId="77777777" w:rsidR="003677D6" w:rsidRDefault="003677D6" w:rsidP="003677D6">
      <w:pPr>
        <w:pStyle w:val="ListParagraph"/>
      </w:pPr>
    </w:p>
    <w:p w14:paraId="12399EC7" w14:textId="77777777" w:rsidR="003677D6" w:rsidRPr="003677D6" w:rsidRDefault="003677D6" w:rsidP="003677D6">
      <w:pPr>
        <w:pStyle w:val="ListParagraph"/>
        <w:rPr>
          <w:b/>
          <w:bCs/>
        </w:rPr>
      </w:pPr>
      <w:r w:rsidRPr="003677D6">
        <w:rPr>
          <w:b/>
          <w:bCs/>
        </w:rPr>
        <w:t>5. 3D Parametric Helicoid Surface (Illustrative)</w:t>
      </w:r>
    </w:p>
    <w:p w14:paraId="05268BC4" w14:textId="3820F093" w:rsidR="003677D6" w:rsidRDefault="003677D6" w:rsidP="003677D6">
      <w:pPr>
        <w:pStyle w:val="ListParagraph"/>
        <w:rPr>
          <w:i/>
          <w:iCs/>
        </w:rPr>
      </w:pPr>
      <w:r w:rsidRPr="003677D6">
        <w:rPr>
          <w:noProof/>
        </w:rPr>
        <w:lastRenderedPageBreak/>
        <w:drawing>
          <wp:inline distT="0" distB="0" distL="0" distR="0" wp14:anchorId="0DA08079" wp14:editId="3AC6B13F">
            <wp:extent cx="4258269" cy="4258269"/>
            <wp:effectExtent l="0" t="0" r="9525" b="9525"/>
            <wp:docPr id="1541025137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25137" name="Picture 1" descr="A screenshot of a grap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7D6">
        <w:rPr>
          <w:i/>
          <w:iCs/>
        </w:rPr>
        <w:t>Figure 5: Example of a helicoid to demonstrate complex 3D shape plotting.</w:t>
      </w:r>
    </w:p>
    <w:p w14:paraId="3A85872C" w14:textId="068F5B09" w:rsidR="003677D6" w:rsidRDefault="003677D6" w:rsidP="003677D6">
      <w:pPr>
        <w:pStyle w:val="ListParagraph"/>
        <w:rPr>
          <w:b/>
          <w:bCs/>
        </w:rPr>
      </w:pPr>
      <w:r w:rsidRPr="003677D6">
        <w:lastRenderedPageBreak/>
        <w:t xml:space="preserve">6. 3D Sphere with </w:t>
      </w:r>
      <w:proofErr w:type="spellStart"/>
      <w:r w:rsidRPr="003677D6">
        <w:t>Color</w:t>
      </w:r>
      <w:proofErr w:type="spellEnd"/>
      <w:r w:rsidRPr="003677D6">
        <w:t xml:space="preserve"> Mapping</w:t>
      </w:r>
      <w:r w:rsidRPr="003677D6">
        <w:rPr>
          <w:noProof/>
        </w:rPr>
        <w:drawing>
          <wp:inline distT="0" distB="0" distL="0" distR="0" wp14:anchorId="44F09043" wp14:editId="5BDB2831">
            <wp:extent cx="4458322" cy="4363059"/>
            <wp:effectExtent l="0" t="0" r="0" b="0"/>
            <wp:docPr id="524123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238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4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D4047" w14:textId="77777777" w:rsidR="003677D6" w:rsidRPr="003677D6" w:rsidRDefault="003677D6" w:rsidP="003677D6">
      <w:pPr>
        <w:pStyle w:val="ListParagraph"/>
        <w:rPr>
          <w:b/>
          <w:bCs/>
        </w:rPr>
      </w:pPr>
      <w:r w:rsidRPr="003677D6">
        <w:rPr>
          <w:b/>
          <w:bCs/>
        </w:rPr>
        <w:t>7. Mesh Plot Over Grid</w:t>
      </w:r>
    </w:p>
    <w:p w14:paraId="2659C07E" w14:textId="4132EB86" w:rsidR="003677D6" w:rsidRDefault="003677D6" w:rsidP="003677D6">
      <w:pPr>
        <w:pStyle w:val="ListParagraph"/>
        <w:rPr>
          <w:b/>
          <w:bCs/>
          <w:i/>
          <w:iCs/>
        </w:rPr>
      </w:pPr>
      <w:r w:rsidRPr="003677D6">
        <w:rPr>
          <w:b/>
          <w:bCs/>
          <w:noProof/>
        </w:rPr>
        <w:lastRenderedPageBreak/>
        <w:drawing>
          <wp:inline distT="0" distB="0" distL="0" distR="0" wp14:anchorId="5A8EFCF7" wp14:editId="3A8B666C">
            <wp:extent cx="4801270" cy="4439270"/>
            <wp:effectExtent l="0" t="0" r="0" b="0"/>
            <wp:docPr id="138802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275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677D6">
        <w:rPr>
          <w:b/>
          <w:bCs/>
          <w:i/>
          <w:iCs/>
        </w:rPr>
        <w:t>igure</w:t>
      </w:r>
      <w:proofErr w:type="spellEnd"/>
      <w:r w:rsidRPr="003677D6">
        <w:rPr>
          <w:b/>
          <w:bCs/>
          <w:i/>
          <w:iCs/>
        </w:rPr>
        <w:t xml:space="preserve"> 7: High-quality mesh view emphasizing smoothness.</w:t>
      </w:r>
      <w:r w:rsidRPr="003677D6">
        <w:rPr>
          <w:b/>
          <w:bCs/>
        </w:rPr>
        <w:br/>
      </w:r>
      <w:r w:rsidRPr="003677D6">
        <w:rPr>
          <w:b/>
          <w:bCs/>
          <w:i/>
          <w:iCs/>
        </w:rPr>
        <w:t>(Inspired by how2matplotlib)</w:t>
      </w:r>
    </w:p>
    <w:p w14:paraId="7739E265" w14:textId="277F3F07" w:rsidR="003677D6" w:rsidRDefault="00807905" w:rsidP="003677D6">
      <w:pPr>
        <w:pStyle w:val="ListParagraph"/>
        <w:rPr>
          <w:noProof/>
        </w:rPr>
      </w:pPr>
      <w:r w:rsidRPr="00807905">
        <w:rPr>
          <w:b/>
          <w:bCs/>
        </w:rPr>
        <w:lastRenderedPageBreak/>
        <w:t xml:space="preserve">8. </w:t>
      </w:r>
      <w:proofErr w:type="spellStart"/>
      <w:r w:rsidRPr="00807905">
        <w:rPr>
          <w:b/>
          <w:bCs/>
        </w:rPr>
        <w:t>Enneper</w:t>
      </w:r>
      <w:proofErr w:type="spellEnd"/>
      <w:r w:rsidRPr="00807905">
        <w:rPr>
          <w:b/>
          <w:bCs/>
        </w:rPr>
        <w:t xml:space="preserve"> Surface (Complex Parametric)</w:t>
      </w:r>
      <w:r w:rsidRPr="00807905">
        <w:rPr>
          <w:noProof/>
        </w:rPr>
        <w:t xml:space="preserve"> </w:t>
      </w:r>
      <w:r w:rsidRPr="00807905">
        <w:rPr>
          <w:b/>
          <w:bCs/>
          <w:noProof/>
        </w:rPr>
        <w:drawing>
          <wp:inline distT="0" distB="0" distL="0" distR="0" wp14:anchorId="7B16EC02" wp14:editId="396901BD">
            <wp:extent cx="4477375" cy="4582164"/>
            <wp:effectExtent l="0" t="0" r="0" b="0"/>
            <wp:docPr id="1944160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6049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45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05">
        <w:rPr>
          <w:noProof/>
        </w:rPr>
        <w:t>Figure 8: Enneper surface—an example of advanced shape visualization.</w:t>
      </w:r>
    </w:p>
    <w:p w14:paraId="1219329C" w14:textId="77777777" w:rsidR="00807905" w:rsidRPr="00807905" w:rsidRDefault="00807905" w:rsidP="00807905">
      <w:pPr>
        <w:pStyle w:val="ListParagraph"/>
        <w:rPr>
          <w:b/>
          <w:bCs/>
        </w:rPr>
      </w:pPr>
      <w:r w:rsidRPr="00807905">
        <w:rPr>
          <w:b/>
          <w:bCs/>
        </w:rPr>
        <w:t>9. 3D Paraboloid (Anisotropy Visual Aid)</w:t>
      </w:r>
    </w:p>
    <w:p w14:paraId="721FA639" w14:textId="5AA35EF3" w:rsidR="00807905" w:rsidRDefault="00807905" w:rsidP="00807905">
      <w:pPr>
        <w:pStyle w:val="ListParagraph"/>
        <w:rPr>
          <w:b/>
          <w:bCs/>
        </w:rPr>
      </w:pPr>
      <w:r w:rsidRPr="00807905">
        <w:rPr>
          <w:b/>
          <w:bCs/>
          <w:noProof/>
        </w:rPr>
        <w:lastRenderedPageBreak/>
        <w:drawing>
          <wp:inline distT="0" distB="0" distL="0" distR="0" wp14:anchorId="6A5F8BF2" wp14:editId="6E88A7B1">
            <wp:extent cx="4553585" cy="4667901"/>
            <wp:effectExtent l="0" t="0" r="0" b="0"/>
            <wp:docPr id="1447997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975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46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05">
        <w:rPr>
          <w:b/>
          <w:bCs/>
        </w:rPr>
        <w:t>Figure 9: Saddle-shape useful as a metaphor for anisotropy energy differences.</w:t>
      </w:r>
    </w:p>
    <w:p w14:paraId="76E11DE0" w14:textId="77777777" w:rsidR="00807905" w:rsidRPr="00807905" w:rsidRDefault="00807905" w:rsidP="00807905">
      <w:pPr>
        <w:pStyle w:val="ListParagraph"/>
        <w:rPr>
          <w:b/>
          <w:bCs/>
        </w:rPr>
      </w:pPr>
      <w:r w:rsidRPr="00807905">
        <w:rPr>
          <w:b/>
          <w:bCs/>
        </w:rPr>
        <w:t>10. 3D Line and Scatter Combination</w:t>
      </w:r>
    </w:p>
    <w:p w14:paraId="0CBD1F8E" w14:textId="31D92CB5" w:rsidR="00807905" w:rsidRPr="00807905" w:rsidRDefault="00807905" w:rsidP="00807905">
      <w:pPr>
        <w:pStyle w:val="ListParagraph"/>
        <w:rPr>
          <w:b/>
          <w:bCs/>
        </w:rPr>
      </w:pPr>
      <w:r w:rsidRPr="00807905">
        <w:rPr>
          <w:b/>
          <w:bCs/>
          <w:noProof/>
        </w:rPr>
        <w:lastRenderedPageBreak/>
        <w:drawing>
          <wp:inline distT="0" distB="0" distL="0" distR="0" wp14:anchorId="7394E28F" wp14:editId="31C47ABE">
            <wp:extent cx="5020376" cy="5077534"/>
            <wp:effectExtent l="0" t="0" r="8890" b="8890"/>
            <wp:docPr id="115302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236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5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A0F1" w14:textId="77777777" w:rsidR="00807905" w:rsidRPr="00807905" w:rsidRDefault="00807905" w:rsidP="00807905">
      <w:pPr>
        <w:pStyle w:val="ListParagraph"/>
        <w:rPr>
          <w:b/>
          <w:bCs/>
        </w:rPr>
      </w:pPr>
    </w:p>
    <w:p w14:paraId="63147DDB" w14:textId="77777777" w:rsidR="00807905" w:rsidRPr="003677D6" w:rsidRDefault="00807905" w:rsidP="003677D6">
      <w:pPr>
        <w:pStyle w:val="ListParagraph"/>
        <w:rPr>
          <w:b/>
          <w:bCs/>
        </w:rPr>
      </w:pPr>
    </w:p>
    <w:p w14:paraId="67EE72DD" w14:textId="77777777" w:rsidR="003677D6" w:rsidRPr="003677D6" w:rsidRDefault="003677D6" w:rsidP="003677D6">
      <w:pPr>
        <w:pStyle w:val="ListParagraph"/>
        <w:rPr>
          <w:b/>
          <w:bCs/>
        </w:rPr>
      </w:pPr>
    </w:p>
    <w:p w14:paraId="31EAF2BE" w14:textId="2F9F6692" w:rsidR="003677D6" w:rsidRPr="003677D6" w:rsidRDefault="003677D6" w:rsidP="003677D6">
      <w:pPr>
        <w:pStyle w:val="ListParagraph"/>
      </w:pPr>
    </w:p>
    <w:p w14:paraId="52C6A839" w14:textId="77777777" w:rsidR="003677D6" w:rsidRPr="003677D6" w:rsidRDefault="003677D6" w:rsidP="003677D6">
      <w:pPr>
        <w:pStyle w:val="ListParagraph"/>
      </w:pPr>
    </w:p>
    <w:p w14:paraId="75C7263B" w14:textId="77777777" w:rsidR="003677D6" w:rsidRDefault="003677D6" w:rsidP="00581C4C">
      <w:pPr>
        <w:pStyle w:val="ListParagraph"/>
      </w:pPr>
    </w:p>
    <w:sectPr w:rsidR="00367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440"/>
    <w:multiLevelType w:val="multilevel"/>
    <w:tmpl w:val="0434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003C"/>
    <w:multiLevelType w:val="hybridMultilevel"/>
    <w:tmpl w:val="18CA85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A7D"/>
    <w:multiLevelType w:val="multilevel"/>
    <w:tmpl w:val="11B6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86263"/>
    <w:multiLevelType w:val="multilevel"/>
    <w:tmpl w:val="9D0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E71D1"/>
    <w:multiLevelType w:val="multilevel"/>
    <w:tmpl w:val="4E1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23F28"/>
    <w:multiLevelType w:val="multilevel"/>
    <w:tmpl w:val="3A48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F3D97"/>
    <w:multiLevelType w:val="multilevel"/>
    <w:tmpl w:val="1C0E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C6773"/>
    <w:multiLevelType w:val="multilevel"/>
    <w:tmpl w:val="F056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C6355"/>
    <w:multiLevelType w:val="multilevel"/>
    <w:tmpl w:val="1BCC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771645">
    <w:abstractNumId w:val="7"/>
  </w:num>
  <w:num w:numId="2" w16cid:durableId="49576951">
    <w:abstractNumId w:val="6"/>
  </w:num>
  <w:num w:numId="3" w16cid:durableId="1349943275">
    <w:abstractNumId w:val="2"/>
  </w:num>
  <w:num w:numId="4" w16cid:durableId="767118440">
    <w:abstractNumId w:val="4"/>
  </w:num>
  <w:num w:numId="5" w16cid:durableId="998264775">
    <w:abstractNumId w:val="8"/>
  </w:num>
  <w:num w:numId="6" w16cid:durableId="1795522314">
    <w:abstractNumId w:val="5"/>
  </w:num>
  <w:num w:numId="7" w16cid:durableId="1862434694">
    <w:abstractNumId w:val="0"/>
  </w:num>
  <w:num w:numId="8" w16cid:durableId="400492943">
    <w:abstractNumId w:val="3"/>
  </w:num>
  <w:num w:numId="9" w16cid:durableId="68216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4C"/>
    <w:rsid w:val="001A49FF"/>
    <w:rsid w:val="003677D6"/>
    <w:rsid w:val="00480D38"/>
    <w:rsid w:val="00581C4C"/>
    <w:rsid w:val="00807905"/>
    <w:rsid w:val="00C540C5"/>
    <w:rsid w:val="00F96557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8D83EC3"/>
  <w15:chartTrackingRefBased/>
  <w15:docId w15:val="{E4455965-09DF-4F9A-8079-9750ECDC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1C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C4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40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40C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2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9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6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3929805/?utm_source=chatgpt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1830117_Coherence_length_in_superconductors_from_weak_to_strong_coupling?utm_source=chatgpt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figure/The-upper-critical-field-Hc2-versus-T-for-FeSe-with-H0-c-green-rectangular-dots-and_fig4_332532486?utm_source=chatgpt.com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pmc.ncbi.nlm.nih.gov/articles/PMC3929805/?utm_source=chatgpt.com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3</cp:revision>
  <dcterms:created xsi:type="dcterms:W3CDTF">2025-07-16T10:14:00Z</dcterms:created>
  <dcterms:modified xsi:type="dcterms:W3CDTF">2025-07-16T10:27:00Z</dcterms:modified>
</cp:coreProperties>
</file>