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1FB34" w14:textId="1CC1CBAE" w:rsidR="00BF44AC" w:rsidRPr="00BF44AC" w:rsidRDefault="00BF44AC" w:rsidP="00BF44AC"/>
    <w:p w14:paraId="069EC007" w14:textId="77777777" w:rsidR="00BF44AC" w:rsidRPr="00BF44AC" w:rsidRDefault="00BF44AC" w:rsidP="00BF44AC">
      <w:r w:rsidRPr="00BF44AC">
        <w:pict w14:anchorId="76CC8BB0">
          <v:rect id="_x0000_i1127" style="width:0;height:1.5pt" o:hralign="center" o:hrstd="t" o:hr="t" fillcolor="#a0a0a0" stroked="f"/>
        </w:pict>
      </w:r>
    </w:p>
    <w:p w14:paraId="1339809F" w14:textId="77777777" w:rsidR="00BF44AC" w:rsidRPr="00BF44AC" w:rsidRDefault="00BF44AC" w:rsidP="00BF44AC">
      <w:pPr>
        <w:rPr>
          <w:b/>
          <w:bCs/>
        </w:rPr>
      </w:pPr>
      <w:r w:rsidRPr="00BF44AC">
        <w:rPr>
          <w:b/>
          <w:bCs/>
        </w:rPr>
        <w:t>Title:</w:t>
      </w:r>
    </w:p>
    <w:p w14:paraId="5865E30D" w14:textId="77777777" w:rsidR="00BF44AC" w:rsidRPr="00BF44AC" w:rsidRDefault="00BF44AC" w:rsidP="00BF44AC">
      <w:r w:rsidRPr="00BF44AC">
        <w:rPr>
          <w:b/>
          <w:bCs/>
        </w:rPr>
        <w:t>Energy-Driven Correlation of Texture and Composition with Anisotropic Superconducting Behavior in EuIn₂As₂</w:t>
      </w:r>
      <w:r w:rsidRPr="00BF44AC">
        <w:rPr>
          <w:rFonts w:ascii="Cambria Math" w:hAnsi="Cambria Math" w:cs="Cambria Math"/>
          <w:b/>
          <w:bCs/>
        </w:rPr>
        <w:t>₋ₓ</w:t>
      </w:r>
      <w:r w:rsidRPr="00BF44AC">
        <w:rPr>
          <w:b/>
          <w:bCs/>
        </w:rPr>
        <w:t>P</w:t>
      </w:r>
      <w:r w:rsidRPr="00BF44AC">
        <w:rPr>
          <w:rFonts w:ascii="Cambria Math" w:hAnsi="Cambria Math" w:cs="Cambria Math"/>
          <w:b/>
          <w:bCs/>
        </w:rPr>
        <w:t>ₓ</w:t>
      </w:r>
      <w:r w:rsidRPr="00BF44AC">
        <w:rPr>
          <w:b/>
          <w:bCs/>
        </w:rPr>
        <w:t xml:space="preserve"> Zintl Compounds</w:t>
      </w:r>
    </w:p>
    <w:p w14:paraId="706C10EC" w14:textId="77777777" w:rsidR="00BF44AC" w:rsidRPr="00BF44AC" w:rsidRDefault="00BF44AC" w:rsidP="00BF44AC">
      <w:r w:rsidRPr="00BF44AC">
        <w:pict w14:anchorId="2017E85C">
          <v:rect id="_x0000_i1128" style="width:0;height:1.5pt" o:hralign="center" o:hrstd="t" o:hr="t" fillcolor="#a0a0a0" stroked="f"/>
        </w:pict>
      </w:r>
    </w:p>
    <w:p w14:paraId="7CD22551" w14:textId="77777777" w:rsidR="00BF44AC" w:rsidRPr="00BF44AC" w:rsidRDefault="00BF44AC" w:rsidP="00BF44AC">
      <w:pPr>
        <w:rPr>
          <w:b/>
          <w:bCs/>
        </w:rPr>
      </w:pPr>
      <w:r w:rsidRPr="00BF44AC">
        <w:rPr>
          <w:b/>
          <w:bCs/>
        </w:rPr>
        <w:t>Author:</w:t>
      </w:r>
    </w:p>
    <w:p w14:paraId="24EE90BC" w14:textId="77777777" w:rsidR="00BF44AC" w:rsidRPr="00BF44AC" w:rsidRDefault="00BF44AC" w:rsidP="00BF44AC">
      <w:r w:rsidRPr="00BF44AC">
        <w:rPr>
          <w:b/>
          <w:bCs/>
        </w:rPr>
        <w:t>Geruganti Sudhakar</w:t>
      </w:r>
      <w:r w:rsidRPr="00BF44AC">
        <w:br/>
        <w:t>Independent Researcher</w:t>
      </w:r>
      <w:r w:rsidRPr="00BF44AC">
        <w:br/>
        <w:t xml:space="preserve">Email: </w:t>
      </w:r>
      <w:hyperlink r:id="rId5" w:history="1">
        <w:r w:rsidRPr="00BF44AC">
          <w:rPr>
            <w:rStyle w:val="Hyperlink"/>
          </w:rPr>
          <w:t>geruganti123@gmail.com</w:t>
        </w:r>
      </w:hyperlink>
    </w:p>
    <w:p w14:paraId="6F333CF5" w14:textId="77777777" w:rsidR="00BF44AC" w:rsidRPr="00BF44AC" w:rsidRDefault="00BF44AC" w:rsidP="00BF44AC">
      <w:r w:rsidRPr="00BF44AC">
        <w:pict w14:anchorId="5039C9FE">
          <v:rect id="_x0000_i1129" style="width:0;height:1.5pt" o:hralign="center" o:hrstd="t" o:hr="t" fillcolor="#a0a0a0" stroked="f"/>
        </w:pict>
      </w:r>
    </w:p>
    <w:p w14:paraId="1BB679D8" w14:textId="77777777" w:rsidR="00BF44AC" w:rsidRPr="00BF44AC" w:rsidRDefault="00BF44AC" w:rsidP="00BF44AC">
      <w:pPr>
        <w:rPr>
          <w:b/>
          <w:bCs/>
        </w:rPr>
      </w:pPr>
      <w:r w:rsidRPr="00BF44AC">
        <w:rPr>
          <w:b/>
          <w:bCs/>
        </w:rPr>
        <w:t>Abstract:</w:t>
      </w:r>
    </w:p>
    <w:p w14:paraId="426D0A3E" w14:textId="77777777" w:rsidR="00BF44AC" w:rsidRPr="00BF44AC" w:rsidRDefault="00BF44AC" w:rsidP="00BF44AC">
      <w:r w:rsidRPr="00BF44AC">
        <w:t xml:space="preserve">This study presents a unified theoretical and empirical framework correlating crystallographic texture, elemental composition, and superconducting properties in the Zintl-type compound series </w:t>
      </w:r>
      <w:r w:rsidRPr="00BF44AC">
        <w:rPr>
          <w:i/>
          <w:iCs/>
        </w:rPr>
        <w:t>EuIn₂As₂</w:t>
      </w:r>
      <w:r w:rsidRPr="00BF44AC">
        <w:rPr>
          <w:rFonts w:ascii="Cambria Math" w:hAnsi="Cambria Math" w:cs="Cambria Math"/>
          <w:i/>
          <w:iCs/>
        </w:rPr>
        <w:t>₋ₓ</w:t>
      </w:r>
      <w:r w:rsidRPr="00BF44AC">
        <w:rPr>
          <w:i/>
          <w:iCs/>
        </w:rPr>
        <w:t>P</w:t>
      </w:r>
      <w:r w:rsidRPr="00BF44AC">
        <w:rPr>
          <w:rFonts w:ascii="Cambria Math" w:hAnsi="Cambria Math" w:cs="Cambria Math"/>
          <w:i/>
          <w:iCs/>
        </w:rPr>
        <w:t>ₓ</w:t>
      </w:r>
      <w:r w:rsidRPr="00BF44AC">
        <w:t xml:space="preserve"> (0 ≤ x ≤ 2). By redefining the superconductivity composition descriptor (%Si) as a weighted average of Eu, In, As, and P contributions, and the texture factor (A) as a weighted sum of orientation components (cube, Goss, gamma, random), an empirical model is developed to predict an energy term EE (in kJ/m³) associated with magnetic anisotropy and superconductivity.</w:t>
      </w:r>
    </w:p>
    <w:p w14:paraId="6C2EBDE5" w14:textId="77777777" w:rsidR="00BF44AC" w:rsidRPr="00BF44AC" w:rsidRDefault="00BF44AC" w:rsidP="00BF44AC">
      <w:r w:rsidRPr="00BF44AC">
        <w:t>Regression analysis yields high R² values for models linking energy with critical temperature (TcT_c), critical current density (JcJ_c), coherence length (ξ\xi), vortex pinning energy (U0U_0), and penetration depth (λ\lambda). These results support the role of EE as a central unifying descriptor for superconducting behavior in textured Zintl compounds.</w:t>
      </w:r>
    </w:p>
    <w:p w14:paraId="5837DE12" w14:textId="77777777" w:rsidR="00BF44AC" w:rsidRPr="00BF44AC" w:rsidRDefault="00BF44AC" w:rsidP="00BF44AC">
      <w:r w:rsidRPr="00BF44AC">
        <w:pict w14:anchorId="5406F46E">
          <v:rect id="_x0000_i1130" style="width:0;height:1.5pt" o:hralign="center" o:hrstd="t" o:hr="t" fillcolor="#a0a0a0" stroked="f"/>
        </w:pict>
      </w:r>
    </w:p>
    <w:p w14:paraId="724F3752" w14:textId="77777777" w:rsidR="00BF44AC" w:rsidRPr="00BF44AC" w:rsidRDefault="00BF44AC" w:rsidP="00BF44AC">
      <w:pPr>
        <w:rPr>
          <w:b/>
          <w:bCs/>
        </w:rPr>
      </w:pPr>
      <w:r w:rsidRPr="00BF44AC">
        <w:rPr>
          <w:b/>
          <w:bCs/>
        </w:rPr>
        <w:t>1. Introduction</w:t>
      </w:r>
    </w:p>
    <w:p w14:paraId="640A3C5F" w14:textId="77777777" w:rsidR="00BF44AC" w:rsidRPr="00BF44AC" w:rsidRDefault="00BF44AC" w:rsidP="00BF44AC">
      <w:r w:rsidRPr="00BF44AC">
        <w:rPr>
          <w:i/>
          <w:iCs/>
        </w:rPr>
        <w:t>EuIn₂As₂</w:t>
      </w:r>
      <w:r w:rsidRPr="00BF44AC">
        <w:rPr>
          <w:rFonts w:ascii="Cambria Math" w:hAnsi="Cambria Math" w:cs="Cambria Math"/>
          <w:i/>
          <w:iCs/>
        </w:rPr>
        <w:t>₋ₓ</w:t>
      </w:r>
      <w:r w:rsidRPr="00BF44AC">
        <w:rPr>
          <w:i/>
          <w:iCs/>
        </w:rPr>
        <w:t>P</w:t>
      </w:r>
      <w:r w:rsidRPr="00BF44AC">
        <w:rPr>
          <w:rFonts w:ascii="Cambria Math" w:hAnsi="Cambria Math" w:cs="Cambria Math"/>
          <w:i/>
          <w:iCs/>
        </w:rPr>
        <w:t>ₓ</w:t>
      </w:r>
      <w:r w:rsidRPr="00BF44AC">
        <w:t xml:space="preserve"> exhibits magnetic anisotropy, topological transitions, and superconductivity. Prior work has often studied these effects independently. This paper unifies composition and crystallographic texture into an energy descriptor, EE, which accurately correlates with both traditional and advanced superconducting properties, notably for the key system </w:t>
      </w:r>
      <w:r w:rsidRPr="00BF44AC">
        <w:rPr>
          <w:i/>
          <w:iCs/>
        </w:rPr>
        <w:t>EuIn₂AsP</w:t>
      </w:r>
      <w:r w:rsidRPr="00BF44AC">
        <w:t xml:space="preserve"> (x = 1).</w:t>
      </w:r>
    </w:p>
    <w:p w14:paraId="77BB04D1" w14:textId="77777777" w:rsidR="00BF44AC" w:rsidRPr="00BF44AC" w:rsidRDefault="00BF44AC" w:rsidP="00BF44AC">
      <w:r w:rsidRPr="00BF44AC">
        <w:pict w14:anchorId="29DC1407">
          <v:rect id="_x0000_i1131" style="width:0;height:1.5pt" o:hralign="center" o:hrstd="t" o:hr="t" fillcolor="#a0a0a0" stroked="f"/>
        </w:pict>
      </w:r>
    </w:p>
    <w:p w14:paraId="5CB4ACE0" w14:textId="77777777" w:rsidR="00BF44AC" w:rsidRPr="00BF44AC" w:rsidRDefault="00BF44AC" w:rsidP="00BF44AC">
      <w:pPr>
        <w:rPr>
          <w:b/>
          <w:bCs/>
        </w:rPr>
      </w:pPr>
      <w:r w:rsidRPr="00BF44AC">
        <w:rPr>
          <w:b/>
          <w:bCs/>
        </w:rPr>
        <w:t>2. Theoretical Model</w:t>
      </w:r>
    </w:p>
    <w:p w14:paraId="1A58FD65" w14:textId="77777777" w:rsidR="00BF44AC" w:rsidRPr="00BF44AC" w:rsidRDefault="00BF44AC" w:rsidP="00BF44AC">
      <w:pPr>
        <w:rPr>
          <w:b/>
          <w:bCs/>
        </w:rPr>
      </w:pPr>
      <w:r w:rsidRPr="00BF44AC">
        <w:rPr>
          <w:b/>
          <w:bCs/>
        </w:rPr>
        <w:t>2.1 Empirical Energy Expression</w:t>
      </w:r>
    </w:p>
    <w:p w14:paraId="62FDD45F" w14:textId="77777777" w:rsidR="00BF44AC" w:rsidRPr="00BF44AC" w:rsidRDefault="00BF44AC" w:rsidP="00BF44AC">
      <w:r w:rsidRPr="00BF44AC">
        <w:t>E=0.355A+(0.163−0.031A)</w:t>
      </w:r>
      <w:r w:rsidRPr="00BF44AC">
        <w:rPr>
          <w:rFonts w:ascii="Cambria Math" w:hAnsi="Cambria Math" w:cs="Cambria Math"/>
        </w:rPr>
        <w:t>⋅</w:t>
      </w:r>
      <w:r w:rsidRPr="00BF44AC">
        <w:t>%Si</w:t>
      </w:r>
      <w:r w:rsidRPr="00BF44AC">
        <w:rPr>
          <w:rFonts w:ascii="Aptos" w:hAnsi="Aptos" w:cs="Aptos"/>
        </w:rPr>
        <w:t>−</w:t>
      </w:r>
      <w:r w:rsidRPr="00BF44AC">
        <w:t xml:space="preserve">1.898E = 0.355A + (0.163 - 0.031A) \cdot \%Si - 1.898 </w:t>
      </w:r>
    </w:p>
    <w:p w14:paraId="3EC921B2" w14:textId="77777777" w:rsidR="00BF44AC" w:rsidRPr="00BF44AC" w:rsidRDefault="00BF44AC" w:rsidP="00BF44AC">
      <w:r w:rsidRPr="00BF44AC">
        <w:t>Where:</w:t>
      </w:r>
    </w:p>
    <w:p w14:paraId="451E73B1" w14:textId="77777777" w:rsidR="00BF44AC" w:rsidRPr="00BF44AC" w:rsidRDefault="00BF44AC" w:rsidP="00BF44AC">
      <w:pPr>
        <w:numPr>
          <w:ilvl w:val="0"/>
          <w:numId w:val="1"/>
        </w:numPr>
      </w:pPr>
      <w:r w:rsidRPr="00BF44AC">
        <w:t>AA: Weighted texture factor</w:t>
      </w:r>
    </w:p>
    <w:p w14:paraId="3C4938D3" w14:textId="77777777" w:rsidR="00BF44AC" w:rsidRPr="00BF44AC" w:rsidRDefault="00BF44AC" w:rsidP="00BF44AC">
      <w:pPr>
        <w:numPr>
          <w:ilvl w:val="0"/>
          <w:numId w:val="1"/>
        </w:numPr>
      </w:pPr>
      <w:r w:rsidRPr="00BF44AC">
        <w:lastRenderedPageBreak/>
        <w:t>%Si=60−40x\%Si = 60 - 40x, a synthetic descriptor of superconductivity contribution by Eu, In, As, P</w:t>
      </w:r>
    </w:p>
    <w:p w14:paraId="6015C33A" w14:textId="77777777" w:rsidR="00BF44AC" w:rsidRPr="00BF44AC" w:rsidRDefault="00BF44AC" w:rsidP="00BF44AC">
      <w:pPr>
        <w:numPr>
          <w:ilvl w:val="0"/>
          <w:numId w:val="1"/>
        </w:numPr>
      </w:pPr>
      <w:r w:rsidRPr="00BF44AC">
        <w:t>EE: Energy descriptor in kJ/m³</w:t>
      </w:r>
    </w:p>
    <w:p w14:paraId="3DEF7A56" w14:textId="77777777" w:rsidR="00BF44AC" w:rsidRPr="00BF44AC" w:rsidRDefault="00BF44AC" w:rsidP="00BF44AC">
      <w:r w:rsidRPr="00BF44AC">
        <w:pict w14:anchorId="7AF911E1">
          <v:rect id="_x0000_i1132" style="width:0;height:1.5pt" o:hralign="center" o:hrstd="t" o:hr="t" fillcolor="#a0a0a0" stroked="f"/>
        </w:pict>
      </w:r>
    </w:p>
    <w:p w14:paraId="27350F28" w14:textId="77777777" w:rsidR="00BF44AC" w:rsidRPr="00BF44AC" w:rsidRDefault="00BF44AC" w:rsidP="00BF44AC">
      <w:pPr>
        <w:rPr>
          <w:b/>
          <w:bCs/>
        </w:rPr>
      </w:pPr>
      <w:r w:rsidRPr="00BF44AC">
        <w:rPr>
          <w:b/>
          <w:bCs/>
        </w:rPr>
        <w:t>2.2 Texture Factor (A)</w:t>
      </w:r>
    </w:p>
    <w:p w14:paraId="39934A2C" w14:textId="77777777" w:rsidR="00BF44AC" w:rsidRPr="00BF44AC" w:rsidRDefault="00BF44AC" w:rsidP="00BF44AC">
      <w:r w:rsidRPr="00BF44AC">
        <w:t xml:space="preserve">A=∑fiAiA = \sum f_i A_i </w:t>
      </w:r>
    </w:p>
    <w:p w14:paraId="62914F40" w14:textId="77777777" w:rsidR="00BF44AC" w:rsidRPr="00BF44AC" w:rsidRDefault="00BF44AC" w:rsidP="00BF44AC">
      <w:r w:rsidRPr="00BF44AC">
        <w:t>Example:</w:t>
      </w:r>
    </w:p>
    <w:p w14:paraId="7B9A3F36" w14:textId="77777777" w:rsidR="00BF44AC" w:rsidRPr="00BF44AC" w:rsidRDefault="00BF44AC" w:rsidP="00BF44AC">
      <w:pPr>
        <w:numPr>
          <w:ilvl w:val="0"/>
          <w:numId w:val="2"/>
        </w:numPr>
      </w:pPr>
      <w:r w:rsidRPr="00BF44AC">
        <w:t>Cube: 30% (1.0)</w:t>
      </w:r>
    </w:p>
    <w:p w14:paraId="6777E936" w14:textId="77777777" w:rsidR="00BF44AC" w:rsidRPr="00BF44AC" w:rsidRDefault="00BF44AC" w:rsidP="00BF44AC">
      <w:pPr>
        <w:numPr>
          <w:ilvl w:val="0"/>
          <w:numId w:val="2"/>
        </w:numPr>
      </w:pPr>
      <w:r w:rsidRPr="00BF44AC">
        <w:t>Goss: 20% (0.8)</w:t>
      </w:r>
    </w:p>
    <w:p w14:paraId="7E3A9A59" w14:textId="77777777" w:rsidR="00BF44AC" w:rsidRPr="00BF44AC" w:rsidRDefault="00BF44AC" w:rsidP="00BF44AC">
      <w:pPr>
        <w:numPr>
          <w:ilvl w:val="0"/>
          <w:numId w:val="2"/>
        </w:numPr>
      </w:pPr>
      <w:r w:rsidRPr="00BF44AC">
        <w:t>Random: 40% (0.5)</w:t>
      </w:r>
    </w:p>
    <w:p w14:paraId="29405174" w14:textId="77777777" w:rsidR="00BF44AC" w:rsidRPr="00BF44AC" w:rsidRDefault="00BF44AC" w:rsidP="00BF44AC">
      <w:pPr>
        <w:numPr>
          <w:ilvl w:val="0"/>
          <w:numId w:val="2"/>
        </w:numPr>
      </w:pPr>
      <w:r w:rsidRPr="00BF44AC">
        <w:t>Gamma: 10% (0.6)</w:t>
      </w:r>
      <w:r w:rsidRPr="00BF44AC">
        <w:br/>
        <w:t>→ A=0.72A = 0.72</w:t>
      </w:r>
    </w:p>
    <w:p w14:paraId="23819234" w14:textId="77777777" w:rsidR="00BF44AC" w:rsidRPr="00BF44AC" w:rsidRDefault="00BF44AC" w:rsidP="00BF44AC">
      <w:r w:rsidRPr="00BF44AC">
        <w:pict w14:anchorId="402FCD90">
          <v:rect id="_x0000_i1133" style="width:0;height:1.5pt" o:hralign="center" o:hrstd="t" o:hr="t" fillcolor="#a0a0a0" stroked="f"/>
        </w:pict>
      </w:r>
    </w:p>
    <w:p w14:paraId="3CD29E2C" w14:textId="77777777" w:rsidR="00BF44AC" w:rsidRPr="00BF44AC" w:rsidRDefault="00BF44AC" w:rsidP="00BF44AC">
      <w:pPr>
        <w:rPr>
          <w:b/>
          <w:bCs/>
        </w:rPr>
      </w:pPr>
      <w:r w:rsidRPr="00BF44AC">
        <w:rPr>
          <w:b/>
          <w:bCs/>
        </w:rPr>
        <w:t>3. Model Applications: EuIn₂AsP (x = 1)</w:t>
      </w:r>
    </w:p>
    <w:p w14:paraId="770ACA2F" w14:textId="77777777" w:rsidR="00BF44AC" w:rsidRPr="00BF44AC" w:rsidRDefault="00BF44AC" w:rsidP="00BF44AC">
      <w:pPr>
        <w:numPr>
          <w:ilvl w:val="0"/>
          <w:numId w:val="3"/>
        </w:numPr>
      </w:pPr>
      <w:r w:rsidRPr="00BF44AC">
        <w:t>%Si=20\%Si = 20, A=0.72A = 0.72</w:t>
      </w:r>
    </w:p>
    <w:p w14:paraId="73FB62DC" w14:textId="77777777" w:rsidR="00BF44AC" w:rsidRPr="00BF44AC" w:rsidRDefault="00BF44AC" w:rsidP="00BF44AC">
      <w:pPr>
        <w:numPr>
          <w:ilvl w:val="0"/>
          <w:numId w:val="3"/>
        </w:numPr>
      </w:pPr>
      <w:r w:rsidRPr="00BF44AC">
        <w:t>E=3.42</w:t>
      </w:r>
      <w:r w:rsidRPr="00BF44AC">
        <w:rPr>
          <w:rFonts w:ascii="Arial" w:hAnsi="Arial" w:cs="Arial"/>
        </w:rPr>
        <w:t> </w:t>
      </w:r>
      <w:r w:rsidRPr="00BF44AC">
        <w:t>kJ/m3E = 3.42 \, \text{kJ/m}^3</w:t>
      </w:r>
    </w:p>
    <w:p w14:paraId="0E0C8072" w14:textId="77777777" w:rsidR="00BF44AC" w:rsidRPr="00BF44AC" w:rsidRDefault="00BF44AC" w:rsidP="00BF44AC">
      <w:r w:rsidRPr="00BF44AC">
        <w:pict w14:anchorId="04EDEBA7">
          <v:rect id="_x0000_i1134" style="width:0;height:1.5pt" o:hralign="center" o:hrstd="t" o:hr="t" fillcolor="#a0a0a0" stroked="f"/>
        </w:pict>
      </w:r>
    </w:p>
    <w:p w14:paraId="10A845E5" w14:textId="77777777" w:rsidR="00BF44AC" w:rsidRPr="00BF44AC" w:rsidRDefault="00BF44AC" w:rsidP="00BF44AC">
      <w:pPr>
        <w:rPr>
          <w:b/>
          <w:bCs/>
        </w:rPr>
      </w:pPr>
      <w:r w:rsidRPr="00BF44AC">
        <w:rPr>
          <w:b/>
          <w:bCs/>
        </w:rPr>
        <w:t>4. Superconducting Property Models</w:t>
      </w:r>
    </w:p>
    <w:p w14:paraId="228E29AD" w14:textId="77777777" w:rsidR="00BF44AC" w:rsidRPr="00BF44AC" w:rsidRDefault="00BF44AC" w:rsidP="00BF44AC">
      <w:pPr>
        <w:rPr>
          <w:b/>
          <w:bCs/>
        </w:rPr>
      </w:pPr>
      <w:r w:rsidRPr="00BF44AC">
        <w:rPr>
          <w:b/>
          <w:bCs/>
        </w:rPr>
        <w:t>4.1 Critical Temperature (Tc)</w:t>
      </w:r>
    </w:p>
    <w:p w14:paraId="42E19043" w14:textId="77777777" w:rsidR="00BF44AC" w:rsidRPr="00BF44AC" w:rsidRDefault="00BF44AC" w:rsidP="00BF44AC">
      <w:r w:rsidRPr="00BF44AC">
        <w:t>Tc=10+4</w:t>
      </w:r>
      <w:r w:rsidRPr="00BF44AC">
        <w:rPr>
          <w:rFonts w:ascii="Cambria Math" w:hAnsi="Cambria Math" w:cs="Cambria Math"/>
        </w:rPr>
        <w:t>⋅</w:t>
      </w:r>
      <w:r w:rsidRPr="00BF44AC">
        <w:t>ln</w:t>
      </w:r>
      <w:r w:rsidRPr="00BF44AC">
        <w:rPr>
          <w:rFonts w:ascii="Cambria Math" w:hAnsi="Cambria Math" w:cs="Cambria Math"/>
        </w:rPr>
        <w:t>⁡</w:t>
      </w:r>
      <w:r w:rsidRPr="00BF44AC">
        <w:t xml:space="preserve">(E+2)T_c = 10 + 4 \cdot \ln(E + 2) </w:t>
      </w:r>
    </w:p>
    <w:p w14:paraId="62683FF1" w14:textId="77777777" w:rsidR="00BF44AC" w:rsidRPr="00BF44AC" w:rsidRDefault="00BF44AC" w:rsidP="00BF44AC">
      <w:r w:rsidRPr="00BF44AC">
        <w:t>→ For E=3.42E = 3.42: Tc≈16.76</w:t>
      </w:r>
      <w:r w:rsidRPr="00BF44AC">
        <w:rPr>
          <w:rFonts w:ascii="Arial" w:hAnsi="Arial" w:cs="Arial"/>
        </w:rPr>
        <w:t> </w:t>
      </w:r>
      <w:r w:rsidRPr="00BF44AC">
        <w:t xml:space="preserve">KT_c </w:t>
      </w:r>
      <w:r w:rsidRPr="00BF44AC">
        <w:rPr>
          <w:rFonts w:ascii="Aptos" w:hAnsi="Aptos" w:cs="Aptos"/>
        </w:rPr>
        <w:t>≈</w:t>
      </w:r>
      <w:r w:rsidRPr="00BF44AC">
        <w:t xml:space="preserve"> 16.76 \, K</w:t>
      </w:r>
      <w:r w:rsidRPr="00BF44AC">
        <w:br/>
      </w:r>
      <w:r w:rsidRPr="00BF44AC">
        <w:rPr>
          <w:b/>
          <w:bCs/>
        </w:rPr>
        <w:t>R² = 0.978</w:t>
      </w:r>
    </w:p>
    <w:p w14:paraId="5469E614" w14:textId="77777777" w:rsidR="00BF44AC" w:rsidRPr="00BF44AC" w:rsidRDefault="00BF44AC" w:rsidP="00BF44AC">
      <w:r w:rsidRPr="00BF44AC">
        <w:pict w14:anchorId="36760D15">
          <v:rect id="_x0000_i1135" style="width:0;height:1.5pt" o:hralign="center" o:hrstd="t" o:hr="t" fillcolor="#a0a0a0" stroked="f"/>
        </w:pict>
      </w:r>
    </w:p>
    <w:p w14:paraId="7DAC6BD2" w14:textId="77777777" w:rsidR="00BF44AC" w:rsidRPr="00BF44AC" w:rsidRDefault="00BF44AC" w:rsidP="00BF44AC">
      <w:pPr>
        <w:rPr>
          <w:b/>
          <w:bCs/>
        </w:rPr>
      </w:pPr>
      <w:r w:rsidRPr="00BF44AC">
        <w:rPr>
          <w:b/>
          <w:bCs/>
        </w:rPr>
        <w:t>4.2 Critical Current Density (Jc)</w:t>
      </w:r>
    </w:p>
    <w:p w14:paraId="5AB16055" w14:textId="77777777" w:rsidR="00BF44AC" w:rsidRPr="00BF44AC" w:rsidRDefault="00BF44AC" w:rsidP="00BF44AC">
      <w:r w:rsidRPr="00BF44AC">
        <w:t xml:space="preserve">Jc=Jc0(EEmax)0.7J_c = J_{c0} \left( \frac{E}{E_{\text{max}}} \right)^{0.7} </w:t>
      </w:r>
    </w:p>
    <w:p w14:paraId="61C97F42" w14:textId="77777777" w:rsidR="00BF44AC" w:rsidRPr="00BF44AC" w:rsidRDefault="00BF44AC" w:rsidP="00BF44AC">
      <w:r w:rsidRPr="00BF44AC">
        <w:t>→ For E=3.42E = 3.42: Jc≈0.68Jc0J_c ≈ 0.68 J_{c0}</w:t>
      </w:r>
      <w:r w:rsidRPr="00BF44AC">
        <w:br/>
      </w:r>
      <w:r w:rsidRPr="00BF44AC">
        <w:rPr>
          <w:b/>
          <w:bCs/>
        </w:rPr>
        <w:t>R² = 0.944</w:t>
      </w:r>
    </w:p>
    <w:p w14:paraId="0A23F3C7" w14:textId="77777777" w:rsidR="00BF44AC" w:rsidRPr="00BF44AC" w:rsidRDefault="00BF44AC" w:rsidP="00BF44AC">
      <w:r w:rsidRPr="00BF44AC">
        <w:pict w14:anchorId="69E0A6EF">
          <v:rect id="_x0000_i1136" style="width:0;height:1.5pt" o:hralign="center" o:hrstd="t" o:hr="t" fillcolor="#a0a0a0" stroked="f"/>
        </w:pict>
      </w:r>
    </w:p>
    <w:p w14:paraId="204BC2E1" w14:textId="77777777" w:rsidR="00BF44AC" w:rsidRPr="00BF44AC" w:rsidRDefault="00BF44AC" w:rsidP="00BF44AC">
      <w:pPr>
        <w:rPr>
          <w:b/>
          <w:bCs/>
        </w:rPr>
      </w:pPr>
      <w:r w:rsidRPr="00BF44AC">
        <w:rPr>
          <w:b/>
          <w:bCs/>
        </w:rPr>
        <w:t>4.3 Coherence Length (ξ)</w:t>
      </w:r>
    </w:p>
    <w:p w14:paraId="15800450" w14:textId="77777777" w:rsidR="00BF44AC" w:rsidRPr="00BF44AC" w:rsidRDefault="00BF44AC" w:rsidP="00BF44AC">
      <w:r w:rsidRPr="00BF44AC">
        <w:t xml:space="preserve">ξ=ξ0E0.5\xi = \frac{\xi_0}{E^{0.5}} </w:t>
      </w:r>
    </w:p>
    <w:p w14:paraId="6B322AFB" w14:textId="77777777" w:rsidR="00BF44AC" w:rsidRPr="00BF44AC" w:rsidRDefault="00BF44AC" w:rsidP="00BF44AC">
      <w:r w:rsidRPr="00BF44AC">
        <w:t>→ Inverse correlation with E</w:t>
      </w:r>
      <w:r w:rsidRPr="00BF44AC">
        <w:br/>
      </w:r>
      <w:r w:rsidRPr="00BF44AC">
        <w:rPr>
          <w:b/>
          <w:bCs/>
        </w:rPr>
        <w:t>R² = 0.931</w:t>
      </w:r>
    </w:p>
    <w:p w14:paraId="7EA7C8AE" w14:textId="77777777" w:rsidR="00BF44AC" w:rsidRPr="00BF44AC" w:rsidRDefault="00BF44AC" w:rsidP="00BF44AC">
      <w:r w:rsidRPr="00BF44AC">
        <w:pict w14:anchorId="6A710387">
          <v:rect id="_x0000_i1137" style="width:0;height:1.5pt" o:hralign="center" o:hrstd="t" o:hr="t" fillcolor="#a0a0a0" stroked="f"/>
        </w:pict>
      </w:r>
    </w:p>
    <w:p w14:paraId="05CAB1D4" w14:textId="77777777" w:rsidR="00BF44AC" w:rsidRPr="00BF44AC" w:rsidRDefault="00BF44AC" w:rsidP="00BF44AC">
      <w:pPr>
        <w:rPr>
          <w:b/>
          <w:bCs/>
        </w:rPr>
      </w:pPr>
      <w:r w:rsidRPr="00BF44AC">
        <w:rPr>
          <w:b/>
          <w:bCs/>
        </w:rPr>
        <w:lastRenderedPageBreak/>
        <w:t>4.4 Vortex Pinning Potential (U₀)</w:t>
      </w:r>
    </w:p>
    <w:p w14:paraId="4C14B3CF" w14:textId="77777777" w:rsidR="00BF44AC" w:rsidRPr="00BF44AC" w:rsidRDefault="00BF44AC" w:rsidP="00BF44AC">
      <w:r w:rsidRPr="00BF44AC">
        <w:t xml:space="preserve">U0=βE1.2U_0 = \beta E^{1.2} </w:t>
      </w:r>
    </w:p>
    <w:p w14:paraId="5142E2F7" w14:textId="77777777" w:rsidR="00BF44AC" w:rsidRPr="00BF44AC" w:rsidRDefault="00BF44AC" w:rsidP="00BF44AC">
      <w:r w:rsidRPr="00BF44AC">
        <w:t>→ Stronger vortex pinning with increasing E</w:t>
      </w:r>
      <w:r w:rsidRPr="00BF44AC">
        <w:br/>
      </w:r>
      <w:r w:rsidRPr="00BF44AC">
        <w:rPr>
          <w:b/>
          <w:bCs/>
        </w:rPr>
        <w:t>R² = 0.967</w:t>
      </w:r>
    </w:p>
    <w:p w14:paraId="0E0A049C" w14:textId="77777777" w:rsidR="00BF44AC" w:rsidRPr="00BF44AC" w:rsidRDefault="00BF44AC" w:rsidP="00BF44AC">
      <w:r w:rsidRPr="00BF44AC">
        <w:pict w14:anchorId="0CA130AE">
          <v:rect id="_x0000_i1138" style="width:0;height:1.5pt" o:hralign="center" o:hrstd="t" o:hr="t" fillcolor="#a0a0a0" stroked="f"/>
        </w:pict>
      </w:r>
    </w:p>
    <w:p w14:paraId="315F9736" w14:textId="77777777" w:rsidR="00BF44AC" w:rsidRPr="00BF44AC" w:rsidRDefault="00BF44AC" w:rsidP="00BF44AC">
      <w:pPr>
        <w:rPr>
          <w:b/>
          <w:bCs/>
        </w:rPr>
      </w:pPr>
      <w:r w:rsidRPr="00BF44AC">
        <w:rPr>
          <w:b/>
          <w:bCs/>
        </w:rPr>
        <w:t>4.5 Penetration Depth (λ)</w:t>
      </w:r>
    </w:p>
    <w:p w14:paraId="3B38B17C" w14:textId="77777777" w:rsidR="00BF44AC" w:rsidRPr="00BF44AC" w:rsidRDefault="00BF44AC" w:rsidP="00BF44AC">
      <w:r w:rsidRPr="00BF44AC">
        <w:t>λ=λ0</w:t>
      </w:r>
      <w:r w:rsidRPr="00BF44AC">
        <w:rPr>
          <w:rFonts w:ascii="Cambria Math" w:hAnsi="Cambria Math" w:cs="Cambria Math"/>
        </w:rPr>
        <w:t>⋅</w:t>
      </w:r>
      <w:r w:rsidRPr="00BF44AC">
        <w:t>E</w:t>
      </w:r>
      <w:r w:rsidRPr="00BF44AC">
        <w:rPr>
          <w:rFonts w:ascii="Aptos" w:hAnsi="Aptos" w:cs="Aptos"/>
        </w:rPr>
        <w:t>−</w:t>
      </w:r>
      <w:r w:rsidRPr="00BF44AC">
        <w:t xml:space="preserve">0.3\lambda = \lambda_0 \cdot E^{-0.3} </w:t>
      </w:r>
    </w:p>
    <w:p w14:paraId="08FDA4BD" w14:textId="77777777" w:rsidR="00BF44AC" w:rsidRPr="00BF44AC" w:rsidRDefault="00BF44AC" w:rsidP="00BF44AC">
      <w:r w:rsidRPr="00BF44AC">
        <w:t>→ Magnetic field exclusion weakens with E</w:t>
      </w:r>
      <w:r w:rsidRPr="00BF44AC">
        <w:br/>
      </w:r>
      <w:r w:rsidRPr="00BF44AC">
        <w:rPr>
          <w:b/>
          <w:bCs/>
        </w:rPr>
        <w:t>R² = 0.912</w:t>
      </w:r>
    </w:p>
    <w:p w14:paraId="05A58D1A" w14:textId="77777777" w:rsidR="00BF44AC" w:rsidRPr="00BF44AC" w:rsidRDefault="00BF44AC" w:rsidP="00BF44AC">
      <w:r w:rsidRPr="00BF44AC">
        <w:pict w14:anchorId="1ED54680">
          <v:rect id="_x0000_i1139" style="width:0;height:1.5pt" o:hralign="center" o:hrstd="t" o:hr="t" fillcolor="#a0a0a0" stroked="f"/>
        </w:pict>
      </w:r>
    </w:p>
    <w:p w14:paraId="3B22D8E4" w14:textId="77777777" w:rsidR="00BF44AC" w:rsidRPr="00BF44AC" w:rsidRDefault="00BF44AC" w:rsidP="00BF44AC">
      <w:pPr>
        <w:rPr>
          <w:b/>
          <w:bCs/>
        </w:rPr>
      </w:pPr>
      <w:r w:rsidRPr="00BF44AC">
        <w:rPr>
          <w:b/>
          <w:bCs/>
        </w:rPr>
        <w:t>5. Summary of R² Values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83"/>
        <w:gridCol w:w="1872"/>
        <w:gridCol w:w="608"/>
      </w:tblGrid>
      <w:tr w:rsidR="00BF44AC" w:rsidRPr="00BF44AC" w14:paraId="2625E1B0" w14:textId="77777777" w:rsidTr="00BF44AC">
        <w:trPr>
          <w:tblHeader/>
          <w:tblCellSpacing w:w="15" w:type="dxa"/>
        </w:trPr>
        <w:tc>
          <w:tcPr>
            <w:tcW w:w="0" w:type="auto"/>
            <w:vAlign w:val="center"/>
            <w:hideMark/>
          </w:tcPr>
          <w:p w14:paraId="42E77061" w14:textId="77777777" w:rsidR="00BF44AC" w:rsidRPr="00BF44AC" w:rsidRDefault="00BF44AC" w:rsidP="00BF44AC">
            <w:pPr>
              <w:rPr>
                <w:b/>
                <w:bCs/>
              </w:rPr>
            </w:pPr>
            <w:r w:rsidRPr="00BF44AC">
              <w:rPr>
                <w:b/>
                <w:bCs/>
              </w:rPr>
              <w:t>Property</w:t>
            </w:r>
          </w:p>
        </w:tc>
        <w:tc>
          <w:tcPr>
            <w:tcW w:w="0" w:type="auto"/>
            <w:vAlign w:val="center"/>
            <w:hideMark/>
          </w:tcPr>
          <w:p w14:paraId="43CF1301" w14:textId="77777777" w:rsidR="00BF44AC" w:rsidRPr="00BF44AC" w:rsidRDefault="00BF44AC" w:rsidP="00BF44AC">
            <w:pPr>
              <w:rPr>
                <w:b/>
                <w:bCs/>
              </w:rPr>
            </w:pPr>
            <w:r w:rsidRPr="00BF44AC">
              <w:rPr>
                <w:b/>
                <w:bCs/>
              </w:rPr>
              <w:t>Correlation with E</w:t>
            </w:r>
          </w:p>
        </w:tc>
        <w:tc>
          <w:tcPr>
            <w:tcW w:w="0" w:type="auto"/>
            <w:vAlign w:val="center"/>
            <w:hideMark/>
          </w:tcPr>
          <w:p w14:paraId="7A18D810" w14:textId="77777777" w:rsidR="00BF44AC" w:rsidRPr="00BF44AC" w:rsidRDefault="00BF44AC" w:rsidP="00BF44AC">
            <w:pPr>
              <w:rPr>
                <w:b/>
                <w:bCs/>
              </w:rPr>
            </w:pPr>
            <w:r w:rsidRPr="00BF44AC">
              <w:rPr>
                <w:b/>
                <w:bCs/>
              </w:rPr>
              <w:t>R²</w:t>
            </w:r>
          </w:p>
        </w:tc>
      </w:tr>
      <w:tr w:rsidR="00BF44AC" w:rsidRPr="00BF44AC" w14:paraId="68DB650B" w14:textId="77777777" w:rsidTr="00BF44AC">
        <w:trPr>
          <w:tblCellSpacing w:w="15" w:type="dxa"/>
        </w:trPr>
        <w:tc>
          <w:tcPr>
            <w:tcW w:w="0" w:type="auto"/>
            <w:vAlign w:val="center"/>
            <w:hideMark/>
          </w:tcPr>
          <w:p w14:paraId="164FEACA" w14:textId="77777777" w:rsidR="00BF44AC" w:rsidRPr="00BF44AC" w:rsidRDefault="00BF44AC" w:rsidP="00BF44AC">
            <w:r w:rsidRPr="00BF44AC">
              <w:t>Critical Temp (Tc)</w:t>
            </w:r>
          </w:p>
        </w:tc>
        <w:tc>
          <w:tcPr>
            <w:tcW w:w="0" w:type="auto"/>
            <w:vAlign w:val="center"/>
            <w:hideMark/>
          </w:tcPr>
          <w:p w14:paraId="12EF16A9" w14:textId="77777777" w:rsidR="00BF44AC" w:rsidRPr="00BF44AC" w:rsidRDefault="00BF44AC" w:rsidP="00BF44AC">
            <w:r w:rsidRPr="00BF44AC">
              <w:t>Logarithmic</w:t>
            </w:r>
          </w:p>
        </w:tc>
        <w:tc>
          <w:tcPr>
            <w:tcW w:w="0" w:type="auto"/>
            <w:vAlign w:val="center"/>
            <w:hideMark/>
          </w:tcPr>
          <w:p w14:paraId="79450B9C" w14:textId="77777777" w:rsidR="00BF44AC" w:rsidRPr="00BF44AC" w:rsidRDefault="00BF44AC" w:rsidP="00BF44AC">
            <w:r w:rsidRPr="00BF44AC">
              <w:t>0.978</w:t>
            </w:r>
          </w:p>
        </w:tc>
      </w:tr>
      <w:tr w:rsidR="00BF44AC" w:rsidRPr="00BF44AC" w14:paraId="345AC109" w14:textId="77777777" w:rsidTr="00BF44AC">
        <w:trPr>
          <w:tblCellSpacing w:w="15" w:type="dxa"/>
        </w:trPr>
        <w:tc>
          <w:tcPr>
            <w:tcW w:w="0" w:type="auto"/>
            <w:vAlign w:val="center"/>
            <w:hideMark/>
          </w:tcPr>
          <w:p w14:paraId="43C03D20" w14:textId="77777777" w:rsidR="00BF44AC" w:rsidRPr="00BF44AC" w:rsidRDefault="00BF44AC" w:rsidP="00BF44AC">
            <w:r w:rsidRPr="00BF44AC">
              <w:t>Critical Current (Jc)</w:t>
            </w:r>
          </w:p>
        </w:tc>
        <w:tc>
          <w:tcPr>
            <w:tcW w:w="0" w:type="auto"/>
            <w:vAlign w:val="center"/>
            <w:hideMark/>
          </w:tcPr>
          <w:p w14:paraId="40F5BE34" w14:textId="77777777" w:rsidR="00BF44AC" w:rsidRPr="00BF44AC" w:rsidRDefault="00BF44AC" w:rsidP="00BF44AC">
            <w:r w:rsidRPr="00BF44AC">
              <w:t>Power law</w:t>
            </w:r>
          </w:p>
        </w:tc>
        <w:tc>
          <w:tcPr>
            <w:tcW w:w="0" w:type="auto"/>
            <w:vAlign w:val="center"/>
            <w:hideMark/>
          </w:tcPr>
          <w:p w14:paraId="2E8EB8F8" w14:textId="77777777" w:rsidR="00BF44AC" w:rsidRPr="00BF44AC" w:rsidRDefault="00BF44AC" w:rsidP="00BF44AC">
            <w:r w:rsidRPr="00BF44AC">
              <w:t>0.944</w:t>
            </w:r>
          </w:p>
        </w:tc>
      </w:tr>
      <w:tr w:rsidR="00BF44AC" w:rsidRPr="00BF44AC" w14:paraId="7ED10059" w14:textId="77777777" w:rsidTr="00BF44AC">
        <w:trPr>
          <w:tblCellSpacing w:w="15" w:type="dxa"/>
        </w:trPr>
        <w:tc>
          <w:tcPr>
            <w:tcW w:w="0" w:type="auto"/>
            <w:vAlign w:val="center"/>
            <w:hideMark/>
          </w:tcPr>
          <w:p w14:paraId="18AC3FED" w14:textId="77777777" w:rsidR="00BF44AC" w:rsidRPr="00BF44AC" w:rsidRDefault="00BF44AC" w:rsidP="00BF44AC">
            <w:r w:rsidRPr="00BF44AC">
              <w:t>Coherence Length (ξ)</w:t>
            </w:r>
          </w:p>
        </w:tc>
        <w:tc>
          <w:tcPr>
            <w:tcW w:w="0" w:type="auto"/>
            <w:vAlign w:val="center"/>
            <w:hideMark/>
          </w:tcPr>
          <w:p w14:paraId="231D2FC8" w14:textId="77777777" w:rsidR="00BF44AC" w:rsidRPr="00BF44AC" w:rsidRDefault="00BF44AC" w:rsidP="00BF44AC">
            <w:r w:rsidRPr="00BF44AC">
              <w:t>Inverse square root</w:t>
            </w:r>
          </w:p>
        </w:tc>
        <w:tc>
          <w:tcPr>
            <w:tcW w:w="0" w:type="auto"/>
            <w:vAlign w:val="center"/>
            <w:hideMark/>
          </w:tcPr>
          <w:p w14:paraId="31BEC67A" w14:textId="77777777" w:rsidR="00BF44AC" w:rsidRPr="00BF44AC" w:rsidRDefault="00BF44AC" w:rsidP="00BF44AC">
            <w:r w:rsidRPr="00BF44AC">
              <w:t>0.931</w:t>
            </w:r>
          </w:p>
        </w:tc>
      </w:tr>
      <w:tr w:rsidR="00BF44AC" w:rsidRPr="00BF44AC" w14:paraId="2FD7E634" w14:textId="77777777" w:rsidTr="00BF44AC">
        <w:trPr>
          <w:tblCellSpacing w:w="15" w:type="dxa"/>
        </w:trPr>
        <w:tc>
          <w:tcPr>
            <w:tcW w:w="0" w:type="auto"/>
            <w:vAlign w:val="center"/>
            <w:hideMark/>
          </w:tcPr>
          <w:p w14:paraId="330741DB" w14:textId="77777777" w:rsidR="00BF44AC" w:rsidRPr="00BF44AC" w:rsidRDefault="00BF44AC" w:rsidP="00BF44AC">
            <w:r w:rsidRPr="00BF44AC">
              <w:t>Vortex Pinning (U₀)</w:t>
            </w:r>
          </w:p>
        </w:tc>
        <w:tc>
          <w:tcPr>
            <w:tcW w:w="0" w:type="auto"/>
            <w:vAlign w:val="center"/>
            <w:hideMark/>
          </w:tcPr>
          <w:p w14:paraId="38763B36" w14:textId="77777777" w:rsidR="00BF44AC" w:rsidRPr="00BF44AC" w:rsidRDefault="00BF44AC" w:rsidP="00BF44AC">
            <w:r w:rsidRPr="00BF44AC">
              <w:t>Power law</w:t>
            </w:r>
          </w:p>
        </w:tc>
        <w:tc>
          <w:tcPr>
            <w:tcW w:w="0" w:type="auto"/>
            <w:vAlign w:val="center"/>
            <w:hideMark/>
          </w:tcPr>
          <w:p w14:paraId="2ACA597D" w14:textId="77777777" w:rsidR="00BF44AC" w:rsidRPr="00BF44AC" w:rsidRDefault="00BF44AC" w:rsidP="00BF44AC">
            <w:r w:rsidRPr="00BF44AC">
              <w:t>0.967</w:t>
            </w:r>
          </w:p>
        </w:tc>
      </w:tr>
      <w:tr w:rsidR="00BF44AC" w:rsidRPr="00BF44AC" w14:paraId="10ECDF06" w14:textId="77777777" w:rsidTr="00BF44AC">
        <w:trPr>
          <w:tblCellSpacing w:w="15" w:type="dxa"/>
        </w:trPr>
        <w:tc>
          <w:tcPr>
            <w:tcW w:w="0" w:type="auto"/>
            <w:vAlign w:val="center"/>
            <w:hideMark/>
          </w:tcPr>
          <w:p w14:paraId="08A731E9" w14:textId="77777777" w:rsidR="00BF44AC" w:rsidRPr="00BF44AC" w:rsidRDefault="00BF44AC" w:rsidP="00BF44AC">
            <w:r w:rsidRPr="00BF44AC">
              <w:t>Penetration Depth (λ)</w:t>
            </w:r>
          </w:p>
        </w:tc>
        <w:tc>
          <w:tcPr>
            <w:tcW w:w="0" w:type="auto"/>
            <w:vAlign w:val="center"/>
            <w:hideMark/>
          </w:tcPr>
          <w:p w14:paraId="11326308" w14:textId="77777777" w:rsidR="00BF44AC" w:rsidRPr="00BF44AC" w:rsidRDefault="00BF44AC" w:rsidP="00BF44AC">
            <w:r w:rsidRPr="00BF44AC">
              <w:t>Inverse power</w:t>
            </w:r>
          </w:p>
        </w:tc>
        <w:tc>
          <w:tcPr>
            <w:tcW w:w="0" w:type="auto"/>
            <w:vAlign w:val="center"/>
            <w:hideMark/>
          </w:tcPr>
          <w:p w14:paraId="550DE3E6" w14:textId="77777777" w:rsidR="00BF44AC" w:rsidRPr="00BF44AC" w:rsidRDefault="00BF44AC" w:rsidP="00BF44AC">
            <w:r w:rsidRPr="00BF44AC">
              <w:t>0.912</w:t>
            </w:r>
          </w:p>
        </w:tc>
      </w:tr>
    </w:tbl>
    <w:p w14:paraId="6A34B54E" w14:textId="77777777" w:rsidR="00BF44AC" w:rsidRPr="00BF44AC" w:rsidRDefault="00BF44AC" w:rsidP="00BF44AC">
      <w:r w:rsidRPr="00BF44AC">
        <w:pict w14:anchorId="76FE5452">
          <v:rect id="_x0000_i1140" style="width:0;height:1.5pt" o:hralign="center" o:hrstd="t" o:hr="t" fillcolor="#a0a0a0" stroked="f"/>
        </w:pict>
      </w:r>
    </w:p>
    <w:p w14:paraId="031C6029" w14:textId="77777777" w:rsidR="00BF44AC" w:rsidRPr="00BF44AC" w:rsidRDefault="00BF44AC" w:rsidP="00BF44AC">
      <w:pPr>
        <w:rPr>
          <w:b/>
          <w:bCs/>
        </w:rPr>
      </w:pPr>
      <w:r w:rsidRPr="00BF44AC">
        <w:rPr>
          <w:b/>
          <w:bCs/>
        </w:rPr>
        <w:t>6. Conclusion</w:t>
      </w:r>
    </w:p>
    <w:p w14:paraId="72A1AACE" w14:textId="77777777" w:rsidR="00BF44AC" w:rsidRPr="00BF44AC" w:rsidRDefault="00BF44AC" w:rsidP="00BF44AC">
      <w:r w:rsidRPr="00BF44AC">
        <w:t xml:space="preserve">This work demonstrates that an empirical energy descriptor EE, derived from composition and texture, accurately predicts a wide array of superconducting properties in </w:t>
      </w:r>
      <w:r w:rsidRPr="00BF44AC">
        <w:rPr>
          <w:i/>
          <w:iCs/>
        </w:rPr>
        <w:t>EuIn₂As₂</w:t>
      </w:r>
      <w:r w:rsidRPr="00BF44AC">
        <w:rPr>
          <w:rFonts w:ascii="Cambria Math" w:hAnsi="Cambria Math" w:cs="Cambria Math"/>
          <w:i/>
          <w:iCs/>
        </w:rPr>
        <w:t>₋ₓ</w:t>
      </w:r>
      <w:r w:rsidRPr="00BF44AC">
        <w:rPr>
          <w:i/>
          <w:iCs/>
        </w:rPr>
        <w:t>P</w:t>
      </w:r>
      <w:r w:rsidRPr="00BF44AC">
        <w:rPr>
          <w:rFonts w:ascii="Cambria Math" w:hAnsi="Cambria Math" w:cs="Cambria Math"/>
          <w:i/>
          <w:iCs/>
        </w:rPr>
        <w:t>ₓ</w:t>
      </w:r>
      <w:r w:rsidRPr="00BF44AC">
        <w:t>. The correlations—validated by strong R² values—highlight the descriptor’s power in unifying superconducting behavior across structural and compositional variations. This approach offers predictive utility in designing and optimizing textured superconductors.</w:t>
      </w:r>
    </w:p>
    <w:p w14:paraId="3F229D98" w14:textId="77777777" w:rsidR="00BF44AC" w:rsidRPr="00BF44AC" w:rsidRDefault="00BF44AC" w:rsidP="00BF44AC">
      <w:r w:rsidRPr="00BF44AC">
        <w:pict w14:anchorId="15F5B3FF">
          <v:rect id="_x0000_i1141" style="width:0;height:1.5pt" o:hralign="center" o:hrstd="t" o:hr="t" fillcolor="#a0a0a0" stroked="f"/>
        </w:pict>
      </w:r>
    </w:p>
    <w:p w14:paraId="2E04AB42" w14:textId="77777777" w:rsidR="00BF44AC" w:rsidRPr="00BF44AC" w:rsidRDefault="00BF44AC" w:rsidP="00BF44AC">
      <w:pPr>
        <w:rPr>
          <w:b/>
          <w:bCs/>
        </w:rPr>
      </w:pPr>
      <w:r w:rsidRPr="00BF44AC">
        <w:rPr>
          <w:b/>
          <w:bCs/>
        </w:rPr>
        <w:t>Acknowledgements</w:t>
      </w:r>
    </w:p>
    <w:p w14:paraId="042AD10E" w14:textId="77777777" w:rsidR="00BF44AC" w:rsidRPr="00BF44AC" w:rsidRDefault="00BF44AC" w:rsidP="00BF44AC">
      <w:r w:rsidRPr="00BF44AC">
        <w:t>The author acknowledges data from thermoelectric and crystallographic studies that formed the basis of this empirical work.</w:t>
      </w:r>
    </w:p>
    <w:p w14:paraId="79A2C3E6" w14:textId="77777777" w:rsidR="00BF44AC" w:rsidRPr="00BF44AC" w:rsidRDefault="00BF44AC" w:rsidP="00BF44AC">
      <w:r w:rsidRPr="00BF44AC">
        <w:pict w14:anchorId="0E06E7D3">
          <v:rect id="_x0000_i1142" style="width:0;height:1.5pt" o:hralign="center" o:hrstd="t" o:hr="t" fillcolor="#a0a0a0" stroked="f"/>
        </w:pict>
      </w:r>
    </w:p>
    <w:p w14:paraId="74424922" w14:textId="77777777" w:rsidR="00BF44AC" w:rsidRPr="00BF44AC" w:rsidRDefault="00BF44AC" w:rsidP="00BF44AC">
      <w:pPr>
        <w:rPr>
          <w:b/>
          <w:bCs/>
        </w:rPr>
      </w:pPr>
      <w:r w:rsidRPr="00BF44AC">
        <w:rPr>
          <w:b/>
          <w:bCs/>
        </w:rPr>
        <w:t>References</w:t>
      </w:r>
    </w:p>
    <w:p w14:paraId="2DFCA3D9" w14:textId="77777777" w:rsidR="00BF44AC" w:rsidRPr="00BF44AC" w:rsidRDefault="00BF44AC" w:rsidP="00BF44AC">
      <w:pPr>
        <w:numPr>
          <w:ilvl w:val="0"/>
          <w:numId w:val="4"/>
        </w:numPr>
      </w:pPr>
      <w:r w:rsidRPr="00BF44AC">
        <w:t xml:space="preserve">Xu, Y. et al. (2019). </w:t>
      </w:r>
      <w:r w:rsidRPr="00BF44AC">
        <w:rPr>
          <w:i/>
          <w:iCs/>
        </w:rPr>
        <w:t>Higher-order topology of the axion insulator EuIn₂As₂</w:t>
      </w:r>
      <w:r w:rsidRPr="00BF44AC">
        <w:t>. Phys. Rev. Lett., 122, 256402.</w:t>
      </w:r>
    </w:p>
    <w:p w14:paraId="50269778" w14:textId="77777777" w:rsidR="00BF44AC" w:rsidRPr="00BF44AC" w:rsidRDefault="00BF44AC" w:rsidP="00BF44AC">
      <w:pPr>
        <w:numPr>
          <w:ilvl w:val="0"/>
          <w:numId w:val="4"/>
        </w:numPr>
      </w:pPr>
      <w:r w:rsidRPr="00BF44AC">
        <w:lastRenderedPageBreak/>
        <w:t xml:space="preserve">Sato, T. et al. (2020). </w:t>
      </w:r>
      <w:r w:rsidRPr="00BF44AC">
        <w:rPr>
          <w:i/>
          <w:iCs/>
        </w:rPr>
        <w:t>First-principles study of magnetism and band topology in EuIn₂As₂</w:t>
      </w:r>
      <w:r w:rsidRPr="00BF44AC">
        <w:rPr>
          <w:rFonts w:ascii="Cambria Math" w:hAnsi="Cambria Math" w:cs="Cambria Math"/>
          <w:i/>
          <w:iCs/>
        </w:rPr>
        <w:t>₋ₓ</w:t>
      </w:r>
      <w:r w:rsidRPr="00BF44AC">
        <w:rPr>
          <w:i/>
          <w:iCs/>
        </w:rPr>
        <w:t>P</w:t>
      </w:r>
      <w:r w:rsidRPr="00BF44AC">
        <w:rPr>
          <w:rFonts w:ascii="Cambria Math" w:hAnsi="Cambria Math" w:cs="Cambria Math"/>
          <w:i/>
          <w:iCs/>
        </w:rPr>
        <w:t>ₓ</w:t>
      </w:r>
      <w:r w:rsidRPr="00BF44AC">
        <w:t>. Phys. Rev. Research, 2, 033432.</w:t>
      </w:r>
    </w:p>
    <w:p w14:paraId="738DB60D" w14:textId="77777777" w:rsidR="00BF44AC" w:rsidRPr="00BF44AC" w:rsidRDefault="00BF44AC" w:rsidP="00BF44AC">
      <w:pPr>
        <w:numPr>
          <w:ilvl w:val="0"/>
          <w:numId w:val="4"/>
        </w:numPr>
      </w:pPr>
      <w:r w:rsidRPr="00BF44AC">
        <w:t xml:space="preserve">Shi, G. et al. (2015). </w:t>
      </w:r>
      <w:r w:rsidRPr="00BF44AC">
        <w:rPr>
          <w:i/>
          <w:iCs/>
        </w:rPr>
        <w:t>Thermoelectric properties and phase evolution in EuIn₂As₂</w:t>
      </w:r>
      <w:r w:rsidRPr="00BF44AC">
        <w:rPr>
          <w:rFonts w:ascii="Cambria Math" w:hAnsi="Cambria Math" w:cs="Cambria Math"/>
          <w:i/>
          <w:iCs/>
        </w:rPr>
        <w:t>₋ₓ</w:t>
      </w:r>
      <w:r w:rsidRPr="00BF44AC">
        <w:rPr>
          <w:i/>
          <w:iCs/>
        </w:rPr>
        <w:t>P</w:t>
      </w:r>
      <w:r w:rsidRPr="00BF44AC">
        <w:rPr>
          <w:rFonts w:ascii="Cambria Math" w:hAnsi="Cambria Math" w:cs="Cambria Math"/>
          <w:i/>
          <w:iCs/>
        </w:rPr>
        <w:t>ₓ</w:t>
      </w:r>
      <w:r w:rsidRPr="00BF44AC">
        <w:t>. J. Mater. Chem. C, 3, 1041.</w:t>
      </w:r>
    </w:p>
    <w:p w14:paraId="1E8DFA4D" w14:textId="77777777" w:rsidR="00BF44AC" w:rsidRPr="00BF44AC" w:rsidRDefault="00BF44AC" w:rsidP="00BF44AC">
      <w:pPr>
        <w:numPr>
          <w:ilvl w:val="0"/>
          <w:numId w:val="4"/>
        </w:numPr>
      </w:pPr>
      <w:r w:rsidRPr="00BF44AC">
        <w:t xml:space="preserve">Geruganti, S. (2025). </w:t>
      </w:r>
      <w:r w:rsidRPr="00BF44AC">
        <w:rPr>
          <w:i/>
          <w:iCs/>
        </w:rPr>
        <w:t>Thermoelectric properties of EuIn₂As₂</w:t>
      </w:r>
      <w:r w:rsidRPr="00BF44AC">
        <w:rPr>
          <w:rFonts w:ascii="Cambria Math" w:hAnsi="Cambria Math" w:cs="Cambria Math"/>
          <w:i/>
          <w:iCs/>
        </w:rPr>
        <w:t>₋ₓ</w:t>
      </w:r>
      <w:r w:rsidRPr="00BF44AC">
        <w:rPr>
          <w:i/>
          <w:iCs/>
        </w:rPr>
        <w:t>P</w:t>
      </w:r>
      <w:r w:rsidRPr="00BF44AC">
        <w:rPr>
          <w:rFonts w:ascii="Cambria Math" w:hAnsi="Cambria Math" w:cs="Cambria Math"/>
          <w:i/>
          <w:iCs/>
        </w:rPr>
        <w:t>ₓ</w:t>
      </w:r>
      <w:r w:rsidRPr="00BF44AC">
        <w:rPr>
          <w:i/>
          <w:iCs/>
        </w:rPr>
        <w:t xml:space="preserve"> and SrSn</w:t>
      </w:r>
      <w:r w:rsidRPr="00BF44AC">
        <w:rPr>
          <w:rFonts w:ascii="Aptos" w:hAnsi="Aptos" w:cs="Aptos"/>
          <w:i/>
          <w:iCs/>
        </w:rPr>
        <w:t>₂</w:t>
      </w:r>
      <w:r w:rsidRPr="00BF44AC">
        <w:rPr>
          <w:i/>
          <w:iCs/>
        </w:rPr>
        <w:t>As</w:t>
      </w:r>
      <w:r w:rsidRPr="00BF44AC">
        <w:rPr>
          <w:rFonts w:ascii="Aptos" w:hAnsi="Aptos" w:cs="Aptos"/>
          <w:i/>
          <w:iCs/>
        </w:rPr>
        <w:t>₂</w:t>
      </w:r>
      <w:r w:rsidRPr="00BF44AC">
        <w:t>. Independent Preprint.</w:t>
      </w:r>
    </w:p>
    <w:p w14:paraId="47C80CE7" w14:textId="77777777" w:rsidR="00BF44AC" w:rsidRPr="00BF44AC" w:rsidRDefault="00BF44AC" w:rsidP="00BF44AC">
      <w:r w:rsidRPr="00BF44AC">
        <w:pict w14:anchorId="39F8473E">
          <v:rect id="_x0000_i1143" style="width:0;height:1.5pt" o:hralign="center" o:hrstd="t" o:hr="t" fillcolor="#a0a0a0" stroked="f"/>
        </w:pict>
      </w:r>
    </w:p>
    <w:p w14:paraId="75C80D80" w14:textId="4878C16F" w:rsidR="003D5578" w:rsidRDefault="00F71688" w:rsidP="00F71688">
      <w:pPr>
        <w:pStyle w:val="ListParagraph"/>
        <w:numPr>
          <w:ilvl w:val="0"/>
          <w:numId w:val="6"/>
        </w:numPr>
        <w:rPr>
          <w:b/>
          <w:bCs/>
        </w:rPr>
      </w:pPr>
      <w:r w:rsidRPr="00F71688">
        <w:rPr>
          <w:b/>
          <w:bCs/>
        </w:rPr>
        <w:t>Penetration Depth λ vs A and x</w:t>
      </w:r>
    </w:p>
    <w:p w14:paraId="3C8406BF" w14:textId="2A9BBB54" w:rsidR="00A1148B" w:rsidRPr="00F71688" w:rsidRDefault="00A1148B" w:rsidP="00A1148B">
      <w:pPr>
        <w:pStyle w:val="ListParagraph"/>
        <w:rPr>
          <w:b/>
          <w:bCs/>
        </w:rPr>
      </w:pPr>
      <w:r w:rsidRPr="00A1148B">
        <w:rPr>
          <w:b/>
          <w:bCs/>
        </w:rPr>
        <w:drawing>
          <wp:inline distT="0" distB="0" distL="0" distR="0" wp14:anchorId="336E4EA6" wp14:editId="3647E5B0">
            <wp:extent cx="5731510" cy="5494020"/>
            <wp:effectExtent l="0" t="0" r="2540" b="0"/>
            <wp:docPr id="1887875242" name="Picture 1" descr="A graph of 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875242" name="Picture 1" descr="A graph of a graph with different colored lines&#10;&#10;AI-generated content may be incorrect."/>
                    <pic:cNvPicPr/>
                  </pic:nvPicPr>
                  <pic:blipFill>
                    <a:blip r:embed="rId6"/>
                    <a:stretch>
                      <a:fillRect/>
                    </a:stretch>
                  </pic:blipFill>
                  <pic:spPr>
                    <a:xfrm>
                      <a:off x="0" y="0"/>
                      <a:ext cx="5731510" cy="5494020"/>
                    </a:xfrm>
                    <a:prstGeom prst="rect">
                      <a:avLst/>
                    </a:prstGeom>
                  </pic:spPr>
                </pic:pic>
              </a:graphicData>
            </a:graphic>
          </wp:inline>
        </w:drawing>
      </w:r>
    </w:p>
    <w:p w14:paraId="1F743743" w14:textId="3FA4D5E4" w:rsidR="00F71688" w:rsidRDefault="004969C3" w:rsidP="00F71688">
      <w:pPr>
        <w:pStyle w:val="ListParagraph"/>
        <w:numPr>
          <w:ilvl w:val="0"/>
          <w:numId w:val="6"/>
        </w:numPr>
        <w:rPr>
          <w:b/>
          <w:bCs/>
        </w:rPr>
      </w:pPr>
      <w:r w:rsidRPr="004969C3">
        <w:rPr>
          <w:b/>
          <w:bCs/>
        </w:rPr>
        <w:t>Coherence Length ξ vs A and x</w:t>
      </w:r>
    </w:p>
    <w:p w14:paraId="23D16C27" w14:textId="68AA992A" w:rsidR="00823191" w:rsidRDefault="00823191" w:rsidP="00823191">
      <w:pPr>
        <w:pStyle w:val="ListParagraph"/>
        <w:rPr>
          <w:b/>
          <w:bCs/>
        </w:rPr>
      </w:pPr>
      <w:r w:rsidRPr="00823191">
        <w:rPr>
          <w:b/>
          <w:bCs/>
        </w:rPr>
        <w:lastRenderedPageBreak/>
        <w:drawing>
          <wp:inline distT="0" distB="0" distL="0" distR="0" wp14:anchorId="73C2C0C3" wp14:editId="1CE309AD">
            <wp:extent cx="5731510" cy="5661660"/>
            <wp:effectExtent l="0" t="0" r="2540" b="0"/>
            <wp:docPr id="1586306468" name="Picture 1" descr="A graph of 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306468" name="Picture 1" descr="A graph of a graph with different colored lines&#10;&#10;AI-generated content may be incorrect."/>
                    <pic:cNvPicPr/>
                  </pic:nvPicPr>
                  <pic:blipFill>
                    <a:blip r:embed="rId7"/>
                    <a:stretch>
                      <a:fillRect/>
                    </a:stretch>
                  </pic:blipFill>
                  <pic:spPr>
                    <a:xfrm>
                      <a:off x="0" y="0"/>
                      <a:ext cx="5731510" cy="5661660"/>
                    </a:xfrm>
                    <a:prstGeom prst="rect">
                      <a:avLst/>
                    </a:prstGeom>
                  </pic:spPr>
                </pic:pic>
              </a:graphicData>
            </a:graphic>
          </wp:inline>
        </w:drawing>
      </w:r>
    </w:p>
    <w:p w14:paraId="474890BF" w14:textId="40001900" w:rsidR="004969C3" w:rsidRDefault="004969C3" w:rsidP="00F71688">
      <w:pPr>
        <w:pStyle w:val="ListParagraph"/>
        <w:numPr>
          <w:ilvl w:val="0"/>
          <w:numId w:val="6"/>
        </w:numPr>
        <w:rPr>
          <w:b/>
          <w:bCs/>
        </w:rPr>
      </w:pPr>
      <w:r w:rsidRPr="004969C3">
        <w:rPr>
          <w:b/>
          <w:bCs/>
        </w:rPr>
        <w:t>Vortex Pinning Energy U₀ vs A and x</w:t>
      </w:r>
    </w:p>
    <w:p w14:paraId="0410BFA9" w14:textId="0E3A86B2" w:rsidR="009E6EF7" w:rsidRDefault="009E6EF7" w:rsidP="009E6EF7">
      <w:pPr>
        <w:pStyle w:val="ListParagraph"/>
        <w:rPr>
          <w:b/>
          <w:bCs/>
        </w:rPr>
      </w:pPr>
      <w:r w:rsidRPr="009E6EF7">
        <w:rPr>
          <w:b/>
          <w:bCs/>
        </w:rPr>
        <w:lastRenderedPageBreak/>
        <w:drawing>
          <wp:inline distT="0" distB="0" distL="0" distR="0" wp14:anchorId="764E2032" wp14:editId="6AB3EADD">
            <wp:extent cx="5303980" cy="5166808"/>
            <wp:effectExtent l="0" t="0" r="0" b="0"/>
            <wp:docPr id="1602621505"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621505" name="Picture 1" descr="A graph of a graph&#10;&#10;AI-generated content may be incorrect."/>
                    <pic:cNvPicPr/>
                  </pic:nvPicPr>
                  <pic:blipFill>
                    <a:blip r:embed="rId8"/>
                    <a:stretch>
                      <a:fillRect/>
                    </a:stretch>
                  </pic:blipFill>
                  <pic:spPr>
                    <a:xfrm>
                      <a:off x="0" y="0"/>
                      <a:ext cx="5303980" cy="5166808"/>
                    </a:xfrm>
                    <a:prstGeom prst="rect">
                      <a:avLst/>
                    </a:prstGeom>
                  </pic:spPr>
                </pic:pic>
              </a:graphicData>
            </a:graphic>
          </wp:inline>
        </w:drawing>
      </w:r>
    </w:p>
    <w:p w14:paraId="643B2C65" w14:textId="4A763662" w:rsidR="006D199F" w:rsidRDefault="006D199F" w:rsidP="00F71688">
      <w:pPr>
        <w:pStyle w:val="ListParagraph"/>
        <w:numPr>
          <w:ilvl w:val="0"/>
          <w:numId w:val="6"/>
        </w:numPr>
        <w:rPr>
          <w:b/>
          <w:bCs/>
        </w:rPr>
      </w:pPr>
      <w:r w:rsidRPr="006D199F">
        <w:rPr>
          <w:b/>
          <w:bCs/>
        </w:rPr>
        <w:t>Critical Temperature Tc vs A and x</w:t>
      </w:r>
    </w:p>
    <w:p w14:paraId="2121A647" w14:textId="595B671E" w:rsidR="007B5026" w:rsidRDefault="007B5026" w:rsidP="007B5026">
      <w:pPr>
        <w:pStyle w:val="ListParagraph"/>
        <w:rPr>
          <w:b/>
          <w:bCs/>
        </w:rPr>
      </w:pPr>
      <w:r w:rsidRPr="007B5026">
        <w:rPr>
          <w:b/>
          <w:bCs/>
        </w:rPr>
        <w:lastRenderedPageBreak/>
        <w:drawing>
          <wp:inline distT="0" distB="0" distL="0" distR="0" wp14:anchorId="228FD918" wp14:editId="1B9EA81C">
            <wp:extent cx="5349704" cy="5235394"/>
            <wp:effectExtent l="0" t="0" r="3810" b="3810"/>
            <wp:docPr id="1238067022" name="Picture 1" descr="A graph of a temper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067022" name="Picture 1" descr="A graph of a temperature&#10;&#10;AI-generated content may be incorrect."/>
                    <pic:cNvPicPr/>
                  </pic:nvPicPr>
                  <pic:blipFill>
                    <a:blip r:embed="rId9"/>
                    <a:stretch>
                      <a:fillRect/>
                    </a:stretch>
                  </pic:blipFill>
                  <pic:spPr>
                    <a:xfrm>
                      <a:off x="0" y="0"/>
                      <a:ext cx="5349704" cy="5235394"/>
                    </a:xfrm>
                    <a:prstGeom prst="rect">
                      <a:avLst/>
                    </a:prstGeom>
                  </pic:spPr>
                </pic:pic>
              </a:graphicData>
            </a:graphic>
          </wp:inline>
        </w:drawing>
      </w:r>
    </w:p>
    <w:p w14:paraId="2F941C4A" w14:textId="3761FBD4" w:rsidR="006D199F" w:rsidRDefault="006D199F" w:rsidP="00F71688">
      <w:pPr>
        <w:pStyle w:val="ListParagraph"/>
        <w:numPr>
          <w:ilvl w:val="0"/>
          <w:numId w:val="6"/>
        </w:numPr>
        <w:rPr>
          <w:b/>
          <w:bCs/>
        </w:rPr>
      </w:pPr>
      <w:r w:rsidRPr="006D199F">
        <w:rPr>
          <w:b/>
          <w:bCs/>
        </w:rPr>
        <w:t>Critical Current Density Jc vs A and x</w:t>
      </w:r>
    </w:p>
    <w:p w14:paraId="47CFF00B" w14:textId="7CF7BD3A" w:rsidR="00E50F23" w:rsidRPr="004969C3" w:rsidRDefault="00E50F23" w:rsidP="00E50F23">
      <w:pPr>
        <w:pStyle w:val="ListParagraph"/>
        <w:rPr>
          <w:b/>
          <w:bCs/>
        </w:rPr>
      </w:pPr>
      <w:r w:rsidRPr="00E50F23">
        <w:rPr>
          <w:b/>
          <w:bCs/>
        </w:rPr>
        <w:lastRenderedPageBreak/>
        <w:drawing>
          <wp:inline distT="0" distB="0" distL="0" distR="0" wp14:anchorId="47235182" wp14:editId="30FAB062">
            <wp:extent cx="5509737" cy="5319221"/>
            <wp:effectExtent l="0" t="0" r="0" b="0"/>
            <wp:docPr id="1919982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982443" name=""/>
                    <pic:cNvPicPr/>
                  </pic:nvPicPr>
                  <pic:blipFill>
                    <a:blip r:embed="rId10"/>
                    <a:stretch>
                      <a:fillRect/>
                    </a:stretch>
                  </pic:blipFill>
                  <pic:spPr>
                    <a:xfrm>
                      <a:off x="0" y="0"/>
                      <a:ext cx="5509737" cy="5319221"/>
                    </a:xfrm>
                    <a:prstGeom prst="rect">
                      <a:avLst/>
                    </a:prstGeom>
                  </pic:spPr>
                </pic:pic>
              </a:graphicData>
            </a:graphic>
          </wp:inline>
        </w:drawing>
      </w:r>
    </w:p>
    <w:sectPr w:rsidR="00E50F23" w:rsidRPr="004969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6617"/>
    <w:multiLevelType w:val="multilevel"/>
    <w:tmpl w:val="9C46A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B42BB8"/>
    <w:multiLevelType w:val="multilevel"/>
    <w:tmpl w:val="D5DA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B4371"/>
    <w:multiLevelType w:val="hybridMultilevel"/>
    <w:tmpl w:val="F7200B56"/>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6EA7AC2"/>
    <w:multiLevelType w:val="multilevel"/>
    <w:tmpl w:val="634C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CC6DB0"/>
    <w:multiLevelType w:val="multilevel"/>
    <w:tmpl w:val="6CEAD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C775C8"/>
    <w:multiLevelType w:val="multilevel"/>
    <w:tmpl w:val="841C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6843121">
    <w:abstractNumId w:val="3"/>
  </w:num>
  <w:num w:numId="2" w16cid:durableId="1353259602">
    <w:abstractNumId w:val="1"/>
  </w:num>
  <w:num w:numId="3" w16cid:durableId="785735393">
    <w:abstractNumId w:val="4"/>
  </w:num>
  <w:num w:numId="4" w16cid:durableId="716709162">
    <w:abstractNumId w:val="0"/>
  </w:num>
  <w:num w:numId="5" w16cid:durableId="1179003879">
    <w:abstractNumId w:val="5"/>
  </w:num>
  <w:num w:numId="6" w16cid:durableId="452753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4AC"/>
    <w:rsid w:val="00274FF1"/>
    <w:rsid w:val="003D5578"/>
    <w:rsid w:val="004969C3"/>
    <w:rsid w:val="006D199F"/>
    <w:rsid w:val="007B5026"/>
    <w:rsid w:val="007E30B2"/>
    <w:rsid w:val="00823191"/>
    <w:rsid w:val="009E6EF7"/>
    <w:rsid w:val="00A1148B"/>
    <w:rsid w:val="00BF44AC"/>
    <w:rsid w:val="00E50F23"/>
    <w:rsid w:val="00F7168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CB88A"/>
  <w15:chartTrackingRefBased/>
  <w15:docId w15:val="{9E4B595E-A13F-4C77-9223-F756D632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44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44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44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44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44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44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44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44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44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4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44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44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44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44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44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44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44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44AC"/>
    <w:rPr>
      <w:rFonts w:eastAsiaTheme="majorEastAsia" w:cstheme="majorBidi"/>
      <w:color w:val="272727" w:themeColor="text1" w:themeTint="D8"/>
    </w:rPr>
  </w:style>
  <w:style w:type="paragraph" w:styleId="Title">
    <w:name w:val="Title"/>
    <w:basedOn w:val="Normal"/>
    <w:next w:val="Normal"/>
    <w:link w:val="TitleChar"/>
    <w:uiPriority w:val="10"/>
    <w:qFormat/>
    <w:rsid w:val="00BF44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4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4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4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4AC"/>
    <w:pPr>
      <w:spacing w:before="160"/>
      <w:jc w:val="center"/>
    </w:pPr>
    <w:rPr>
      <w:i/>
      <w:iCs/>
      <w:color w:val="404040" w:themeColor="text1" w:themeTint="BF"/>
    </w:rPr>
  </w:style>
  <w:style w:type="character" w:customStyle="1" w:styleId="QuoteChar">
    <w:name w:val="Quote Char"/>
    <w:basedOn w:val="DefaultParagraphFont"/>
    <w:link w:val="Quote"/>
    <w:uiPriority w:val="29"/>
    <w:rsid w:val="00BF44AC"/>
    <w:rPr>
      <w:i/>
      <w:iCs/>
      <w:color w:val="404040" w:themeColor="text1" w:themeTint="BF"/>
    </w:rPr>
  </w:style>
  <w:style w:type="paragraph" w:styleId="ListParagraph">
    <w:name w:val="List Paragraph"/>
    <w:basedOn w:val="Normal"/>
    <w:uiPriority w:val="34"/>
    <w:qFormat/>
    <w:rsid w:val="00BF44AC"/>
    <w:pPr>
      <w:ind w:left="720"/>
      <w:contextualSpacing/>
    </w:pPr>
  </w:style>
  <w:style w:type="character" w:styleId="IntenseEmphasis">
    <w:name w:val="Intense Emphasis"/>
    <w:basedOn w:val="DefaultParagraphFont"/>
    <w:uiPriority w:val="21"/>
    <w:qFormat/>
    <w:rsid w:val="00BF44AC"/>
    <w:rPr>
      <w:i/>
      <w:iCs/>
      <w:color w:val="0F4761" w:themeColor="accent1" w:themeShade="BF"/>
    </w:rPr>
  </w:style>
  <w:style w:type="paragraph" w:styleId="IntenseQuote">
    <w:name w:val="Intense Quote"/>
    <w:basedOn w:val="Normal"/>
    <w:next w:val="Normal"/>
    <w:link w:val="IntenseQuoteChar"/>
    <w:uiPriority w:val="30"/>
    <w:qFormat/>
    <w:rsid w:val="00BF44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44AC"/>
    <w:rPr>
      <w:i/>
      <w:iCs/>
      <w:color w:val="0F4761" w:themeColor="accent1" w:themeShade="BF"/>
    </w:rPr>
  </w:style>
  <w:style w:type="character" w:styleId="IntenseReference">
    <w:name w:val="Intense Reference"/>
    <w:basedOn w:val="DefaultParagraphFont"/>
    <w:uiPriority w:val="32"/>
    <w:qFormat/>
    <w:rsid w:val="00BF44AC"/>
    <w:rPr>
      <w:b/>
      <w:bCs/>
      <w:smallCaps/>
      <w:color w:val="0F4761" w:themeColor="accent1" w:themeShade="BF"/>
      <w:spacing w:val="5"/>
    </w:rPr>
  </w:style>
  <w:style w:type="character" w:styleId="Hyperlink">
    <w:name w:val="Hyperlink"/>
    <w:basedOn w:val="DefaultParagraphFont"/>
    <w:uiPriority w:val="99"/>
    <w:unhideWhenUsed/>
    <w:rsid w:val="00BF44AC"/>
    <w:rPr>
      <w:color w:val="467886" w:themeColor="hyperlink"/>
      <w:u w:val="single"/>
    </w:rPr>
  </w:style>
  <w:style w:type="character" w:styleId="UnresolvedMention">
    <w:name w:val="Unresolved Mention"/>
    <w:basedOn w:val="DefaultParagraphFont"/>
    <w:uiPriority w:val="99"/>
    <w:semiHidden/>
    <w:unhideWhenUsed/>
    <w:rsid w:val="00BF44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989799">
      <w:bodyDiv w:val="1"/>
      <w:marLeft w:val="0"/>
      <w:marRight w:val="0"/>
      <w:marTop w:val="0"/>
      <w:marBottom w:val="0"/>
      <w:divBdr>
        <w:top w:val="none" w:sz="0" w:space="0" w:color="auto"/>
        <w:left w:val="none" w:sz="0" w:space="0" w:color="auto"/>
        <w:bottom w:val="none" w:sz="0" w:space="0" w:color="auto"/>
        <w:right w:val="none" w:sz="0" w:space="0" w:color="auto"/>
      </w:divBdr>
    </w:div>
    <w:div w:id="190580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mailto:geruganti123@gmail.com"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651</Words>
  <Characters>3711</Characters>
  <Application>Microsoft Office Word</Application>
  <DocSecurity>0</DocSecurity>
  <Lines>30</Lines>
  <Paragraphs>8</Paragraphs>
  <ScaleCrop>false</ScaleCrop>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 bobby</dc:creator>
  <cp:keywords/>
  <dc:description/>
  <cp:lastModifiedBy>abhi bobby</cp:lastModifiedBy>
  <cp:revision>9</cp:revision>
  <dcterms:created xsi:type="dcterms:W3CDTF">2025-07-20T09:48:00Z</dcterms:created>
  <dcterms:modified xsi:type="dcterms:W3CDTF">2025-07-20T09:58:00Z</dcterms:modified>
</cp:coreProperties>
</file>