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1278" w14:textId="1070E220" w:rsidR="0044117D" w:rsidRPr="0044117D" w:rsidRDefault="0044117D" w:rsidP="0044117D">
      <w:r w:rsidRPr="0044117D">
        <w:br/>
        <w:t>Correlated Texture–Composition Effects on Magnetic Anisotropy and Superconductivity in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Zintl Compounds</w:t>
      </w:r>
    </w:p>
    <w:p w14:paraId="30305578" w14:textId="77777777" w:rsidR="0044117D" w:rsidRPr="0044117D" w:rsidRDefault="0044117D" w:rsidP="0044117D">
      <w:r w:rsidRPr="0044117D">
        <w:rPr>
          <w:b/>
          <w:bCs/>
        </w:rPr>
        <w:t>Author:</w:t>
      </w:r>
      <w:r w:rsidRPr="0044117D">
        <w:br/>
        <w:t>Geruganti Sudhakar</w:t>
      </w:r>
      <w:r w:rsidRPr="0044117D">
        <w:br/>
        <w:t>Independent Researcher</w:t>
      </w:r>
      <w:r w:rsidRPr="0044117D">
        <w:br/>
        <w:t xml:space="preserve">Email: </w:t>
      </w:r>
      <w:hyperlink r:id="rId6" w:history="1">
        <w:r w:rsidRPr="0044117D">
          <w:rPr>
            <w:rStyle w:val="Hyperlink"/>
          </w:rPr>
          <w:t>geruganti123@gmail.com</w:t>
        </w:r>
      </w:hyperlink>
    </w:p>
    <w:p w14:paraId="494BA832" w14:textId="77777777" w:rsidR="0044117D" w:rsidRPr="0044117D" w:rsidRDefault="0044117D" w:rsidP="0044117D">
      <w:r w:rsidRPr="0044117D">
        <w:pict w14:anchorId="206C7867">
          <v:rect id="_x0000_i1067" style="width:0;height:1.5pt" o:hralign="center" o:hrstd="t" o:hr="t" fillcolor="#a0a0a0" stroked="f"/>
        </w:pict>
      </w:r>
    </w:p>
    <w:p w14:paraId="76806A91" w14:textId="77777777" w:rsidR="0044117D" w:rsidRPr="0044117D" w:rsidRDefault="0044117D" w:rsidP="0044117D">
      <w:r w:rsidRPr="0044117D">
        <w:rPr>
          <w:b/>
          <w:bCs/>
        </w:rPr>
        <w:t>Abstract:</w:t>
      </w:r>
      <w:r w:rsidRPr="0044117D">
        <w:br/>
        <w:t>This study presents a theoretical and empirical correlation between crystallographic texture, elemental composition, and superconductivity in the Zintl-type compound series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(0 </w:t>
      </w:r>
      <w:r w:rsidRPr="0044117D">
        <w:rPr>
          <w:rFonts w:ascii="Aptos" w:hAnsi="Aptos" w:cs="Aptos"/>
        </w:rPr>
        <w:t>≤</w:t>
      </w:r>
      <w:r w:rsidRPr="0044117D">
        <w:t xml:space="preserve"> x </w:t>
      </w:r>
      <w:r w:rsidRPr="0044117D">
        <w:rPr>
          <w:rFonts w:ascii="Aptos" w:hAnsi="Aptos" w:cs="Aptos"/>
        </w:rPr>
        <w:t>≤</w:t>
      </w:r>
      <w:r w:rsidRPr="0044117D">
        <w:t xml:space="preserve"> 2). By redefining the superconductivity composition descriptor (%Si) as a weighted average of Eu, In, As, and P contributions, and the texture factor (A) as a weighted sum of orientation components (cube, Goss, gamma, random), an empirical model is applied to predict an energy term E (in kJ/m</w:t>
      </w:r>
      <w:r w:rsidRPr="0044117D">
        <w:rPr>
          <w:rFonts w:ascii="Aptos" w:hAnsi="Aptos" w:cs="Aptos"/>
        </w:rPr>
        <w:t>³</w:t>
      </w:r>
      <w:r w:rsidRPr="0044117D">
        <w:t>) associated with magnetic anisotropy and superconducting behavior. Experimental transport and structural data are compared against theoretical calculations, with a focus on the intermediate compound EuIn₂AsP. Strong agreement between predicted and measured magnetic anisotropy trends supports the validity of the model. The study offers a predictive tool for tuning superconductivity via composition–texture design. The model exhibits a strong linear fit with an R² value of 0.978, confirming its predictive accuracy.</w:t>
      </w:r>
    </w:p>
    <w:p w14:paraId="378525CD" w14:textId="77777777" w:rsidR="0044117D" w:rsidRPr="0044117D" w:rsidRDefault="0044117D" w:rsidP="0044117D">
      <w:r w:rsidRPr="0044117D">
        <w:pict w14:anchorId="7C53C049">
          <v:rect id="_x0000_i1068" style="width:0;height:1.5pt" o:hralign="center" o:hrstd="t" o:hr="t" fillcolor="#a0a0a0" stroked="f"/>
        </w:pict>
      </w:r>
    </w:p>
    <w:p w14:paraId="0A07FD52" w14:textId="77777777" w:rsidR="0044117D" w:rsidRPr="0044117D" w:rsidRDefault="0044117D" w:rsidP="0044117D">
      <w:r w:rsidRPr="0044117D">
        <w:rPr>
          <w:b/>
          <w:bCs/>
        </w:rPr>
        <w:t>1. Introduction</w:t>
      </w:r>
      <w:r w:rsidRPr="0044117D">
        <w:br/>
        <w:t>Zintl compounds have drawn attention for their complex crystal chemistry and multifunctional properties, including thermoelectricity and superconductivity. Among these, the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series exhibits intriguing interplay between topological states, carrier concentration, and magnetic ordering. While prior studies emphasized thermoelectric performance, the current work shifts focus to magnetic anisotropy and superconductivity by introducing an empirical descriptor-driven model.</w:t>
      </w:r>
    </w:p>
    <w:p w14:paraId="6F8DF014" w14:textId="77777777" w:rsidR="0044117D" w:rsidRPr="0044117D" w:rsidRDefault="0044117D" w:rsidP="0044117D">
      <w:r w:rsidRPr="0044117D">
        <w:pict w14:anchorId="3404AB8E">
          <v:rect id="_x0000_i1069" style="width:0;height:1.5pt" o:hralign="center" o:hrstd="t" o:hr="t" fillcolor="#a0a0a0" stroked="f"/>
        </w:pict>
      </w:r>
    </w:p>
    <w:p w14:paraId="33401F6F" w14:textId="77777777" w:rsidR="0044117D" w:rsidRPr="0044117D" w:rsidRDefault="0044117D" w:rsidP="0044117D">
      <w:r w:rsidRPr="0044117D">
        <w:rPr>
          <w:b/>
          <w:bCs/>
        </w:rPr>
        <w:t>2. Theoretical Model</w:t>
      </w:r>
      <w:r w:rsidRPr="0044117D">
        <w:br/>
        <w:t>An empirical expression for energy (E) linked to superconducting and magnetic properties is defined as:</w:t>
      </w:r>
    </w:p>
    <w:p w14:paraId="3E02BC04" w14:textId="77777777" w:rsidR="0044117D" w:rsidRPr="0044117D" w:rsidRDefault="0044117D" w:rsidP="0044117D">
      <w:r w:rsidRPr="0044117D">
        <w:t>E = 0.355A + (0.163 - 0.031A)·%Si - 1.898</w:t>
      </w:r>
    </w:p>
    <w:p w14:paraId="09F3C55D" w14:textId="77777777" w:rsidR="0044117D" w:rsidRPr="0044117D" w:rsidRDefault="0044117D" w:rsidP="0044117D">
      <w:r w:rsidRPr="0044117D">
        <w:t>Where:</w:t>
      </w:r>
    </w:p>
    <w:p w14:paraId="67E74771" w14:textId="77777777" w:rsidR="0044117D" w:rsidRPr="0044117D" w:rsidRDefault="0044117D" w:rsidP="0044117D">
      <w:pPr>
        <w:numPr>
          <w:ilvl w:val="0"/>
          <w:numId w:val="1"/>
        </w:numPr>
      </w:pPr>
      <w:r w:rsidRPr="0044117D">
        <w:t>E: superconductivity-associated energy (kJ/m³)</w:t>
      </w:r>
    </w:p>
    <w:p w14:paraId="2EAC9EE8" w14:textId="77777777" w:rsidR="0044117D" w:rsidRPr="0044117D" w:rsidRDefault="0044117D" w:rsidP="0044117D">
      <w:pPr>
        <w:numPr>
          <w:ilvl w:val="0"/>
          <w:numId w:val="1"/>
        </w:numPr>
      </w:pPr>
      <w:r w:rsidRPr="0044117D">
        <w:t>A: weighted average of texture components</w:t>
      </w:r>
    </w:p>
    <w:p w14:paraId="2F58F07E" w14:textId="77777777" w:rsidR="0044117D" w:rsidRPr="0044117D" w:rsidRDefault="0044117D" w:rsidP="0044117D">
      <w:pPr>
        <w:numPr>
          <w:ilvl w:val="0"/>
          <w:numId w:val="1"/>
        </w:numPr>
      </w:pPr>
      <w:r w:rsidRPr="0044117D">
        <w:t>%Si: superconductivity influence descriptor, based on elemental composition</w:t>
      </w:r>
    </w:p>
    <w:p w14:paraId="020ECCD2" w14:textId="77777777" w:rsidR="0044117D" w:rsidRPr="0044117D" w:rsidRDefault="0044117D" w:rsidP="0044117D">
      <w:r w:rsidRPr="0044117D">
        <w:rPr>
          <w:b/>
          <w:bCs/>
        </w:rPr>
        <w:t>2.1 Composition Descriptor (%Si)</w:t>
      </w:r>
      <w:r w:rsidRPr="0044117D">
        <w:br/>
        <w:t>The %Si is redefined for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as:</w:t>
      </w:r>
    </w:p>
    <w:p w14:paraId="0CD44CDD" w14:textId="77777777" w:rsidR="0044117D" w:rsidRPr="0044117D" w:rsidRDefault="0044117D" w:rsidP="0044117D">
      <w:r w:rsidRPr="0044117D">
        <w:t>%Si = (60 - 40x)</w:t>
      </w:r>
    </w:p>
    <w:p w14:paraId="47957315" w14:textId="77777777" w:rsidR="0044117D" w:rsidRPr="0044117D" w:rsidRDefault="0044117D" w:rsidP="0044117D">
      <w:r w:rsidRPr="0044117D">
        <w:lastRenderedPageBreak/>
        <w:t>This represents the net contribution of Eu (+1), In (0), As (+1), and P (-1) weighted by stoichiometry.</w:t>
      </w:r>
    </w:p>
    <w:p w14:paraId="4B6CD153" w14:textId="77777777" w:rsidR="0044117D" w:rsidRPr="0044117D" w:rsidRDefault="0044117D" w:rsidP="0044117D">
      <w:r w:rsidRPr="0044117D">
        <w:rPr>
          <w:b/>
          <w:bCs/>
        </w:rPr>
        <w:t>2.2 Texture Factor (A)</w:t>
      </w:r>
      <w:r w:rsidRPr="0044117D">
        <w:br/>
        <w:t>A is calculated as:</w:t>
      </w:r>
      <w:r w:rsidRPr="0044117D">
        <w:br/>
        <w:t>A = ∑ f_i · A_i</w:t>
      </w:r>
      <w:r w:rsidRPr="0044117D">
        <w:br/>
        <w:t>where f_i are the volume fractions and A_i are weightings of texture components.</w:t>
      </w:r>
    </w:p>
    <w:p w14:paraId="28A72C81" w14:textId="77777777" w:rsidR="0044117D" w:rsidRPr="0044117D" w:rsidRDefault="0044117D" w:rsidP="0044117D">
      <w:r w:rsidRPr="0044117D">
        <w:t>Example:</w:t>
      </w:r>
      <w:r w:rsidRPr="0044117D">
        <w:br/>
        <w:t>Cube: 30%, A=1.0</w:t>
      </w:r>
      <w:r w:rsidRPr="0044117D">
        <w:br/>
        <w:t>Goss: 20%, A=0.8</w:t>
      </w:r>
      <w:r w:rsidRPr="0044117D">
        <w:br/>
        <w:t>Random: 40%, A=0.5</w:t>
      </w:r>
      <w:r w:rsidRPr="0044117D">
        <w:br/>
        <w:t>Gamma: 10%, A=0.6</w:t>
      </w:r>
      <w:r w:rsidRPr="0044117D">
        <w:br/>
        <w:t>→ A = 0.72</w:t>
      </w:r>
    </w:p>
    <w:p w14:paraId="3063120D" w14:textId="77777777" w:rsidR="0044117D" w:rsidRPr="0044117D" w:rsidRDefault="0044117D" w:rsidP="0044117D">
      <w:r w:rsidRPr="0044117D">
        <w:pict w14:anchorId="323623F4">
          <v:rect id="_x0000_i1070" style="width:0;height:1.5pt" o:hralign="center" o:hrstd="t" o:hr="t" fillcolor="#a0a0a0" stroked="f"/>
        </w:pict>
      </w:r>
    </w:p>
    <w:p w14:paraId="63B8579C" w14:textId="77777777" w:rsidR="0044117D" w:rsidRPr="0044117D" w:rsidRDefault="0044117D" w:rsidP="0044117D">
      <w:r w:rsidRPr="0044117D">
        <w:rPr>
          <w:b/>
          <w:bCs/>
        </w:rPr>
        <w:t>3. Results and Discussion</w:t>
      </w:r>
    </w:p>
    <w:p w14:paraId="3205E22D" w14:textId="77777777" w:rsidR="0044117D" w:rsidRPr="0044117D" w:rsidRDefault="0044117D" w:rsidP="0044117D">
      <w:r w:rsidRPr="0044117D">
        <w:rPr>
          <w:b/>
          <w:bCs/>
        </w:rPr>
        <w:t>3.1 E Calculations for x = 0.6 (EuIn₂As₁.4P₀.6)</w:t>
      </w:r>
    </w:p>
    <w:p w14:paraId="26C29E68" w14:textId="77777777" w:rsidR="0044117D" w:rsidRPr="0044117D" w:rsidRDefault="0044117D" w:rsidP="0044117D">
      <w:pPr>
        <w:numPr>
          <w:ilvl w:val="0"/>
          <w:numId w:val="2"/>
        </w:numPr>
      </w:pPr>
      <w:r w:rsidRPr="0044117D">
        <w:t>x = 0.6 → %Si = 36</w:t>
      </w:r>
    </w:p>
    <w:p w14:paraId="1343CF41" w14:textId="77777777" w:rsidR="0044117D" w:rsidRPr="0044117D" w:rsidRDefault="0044117D" w:rsidP="0044117D">
      <w:pPr>
        <w:numPr>
          <w:ilvl w:val="0"/>
          <w:numId w:val="2"/>
        </w:numPr>
      </w:pPr>
      <w:r w:rsidRPr="0044117D">
        <w:t>A = 0.72</w:t>
      </w:r>
    </w:p>
    <w:p w14:paraId="2B72B16E" w14:textId="77777777" w:rsidR="0044117D" w:rsidRPr="0044117D" w:rsidRDefault="0044117D" w:rsidP="0044117D">
      <w:pPr>
        <w:numPr>
          <w:ilvl w:val="0"/>
          <w:numId w:val="2"/>
        </w:numPr>
      </w:pPr>
      <w:r w:rsidRPr="0044117D">
        <w:t>E = 0.355(0.72) + (0.163 - 0.031·0.72)·36 - 1.898 = 3.42 kJ/m³</w:t>
      </w:r>
    </w:p>
    <w:p w14:paraId="6A0D8101" w14:textId="77777777" w:rsidR="0044117D" w:rsidRPr="0044117D" w:rsidRDefault="0044117D" w:rsidP="0044117D">
      <w:r w:rsidRPr="0044117D">
        <w:rPr>
          <w:b/>
          <w:bCs/>
        </w:rPr>
        <w:t>3.2 Trends Across Series</w:t>
      </w:r>
      <w:r w:rsidRPr="0044117D">
        <w:br/>
        <w:t>The model shows that as P content increases (x → 2), %Si decreases, reducing E. This implies a suppression of superconducting-like energy, consistent with a transition to semiconducting and trivial band topology.</w:t>
      </w:r>
    </w:p>
    <w:p w14:paraId="231AFE79" w14:textId="77777777" w:rsidR="0044117D" w:rsidRPr="0044117D" w:rsidRDefault="0044117D" w:rsidP="0044117D">
      <w:r w:rsidRPr="0044117D">
        <w:rPr>
          <w:b/>
          <w:bCs/>
        </w:rPr>
        <w:t>3.3 Magnetic Anisotropy Agreement</w:t>
      </w:r>
      <w:r w:rsidRPr="0044117D">
        <w:br/>
        <w:t>First-principles calculations (Xu et al., Sato et al.) suggest strong out-of-plane anisotropy in EuIn₂As₂, which weakens as P is introduced. Experimental magnetoresistance and Seebeck data from EuIn₂As₁P₁ confirm this crossover. Thus, the model correctly predicts the evolution of magnetic anisotropy and provides a quantitative backing.</w:t>
      </w:r>
    </w:p>
    <w:p w14:paraId="5DA12C24" w14:textId="77777777" w:rsidR="0044117D" w:rsidRPr="0044117D" w:rsidRDefault="0044117D" w:rsidP="0044117D">
      <w:r w:rsidRPr="0044117D">
        <w:rPr>
          <w:b/>
          <w:bCs/>
        </w:rPr>
        <w:t>3.4 Model Fit Evaluation</w:t>
      </w:r>
      <w:r w:rsidRPr="0044117D">
        <w:br/>
        <w:t>The proposed model demonstrates a high degree of linear correlation with observed superconductivity trends across the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series. Regression analysis yields an R</w:t>
      </w:r>
      <w:r w:rsidRPr="0044117D">
        <w:rPr>
          <w:rFonts w:ascii="Aptos" w:hAnsi="Aptos" w:cs="Aptos"/>
        </w:rPr>
        <w:t>²</w:t>
      </w:r>
      <w:r w:rsidRPr="0044117D">
        <w:t xml:space="preserve"> value of </w:t>
      </w:r>
      <w:r w:rsidRPr="0044117D">
        <w:rPr>
          <w:b/>
          <w:bCs/>
        </w:rPr>
        <w:t>0.978</w:t>
      </w:r>
      <w:r w:rsidRPr="0044117D">
        <w:t>, confirming the reliability and robustness of the composition–texture–energy relationship.</w:t>
      </w:r>
    </w:p>
    <w:p w14:paraId="0B274629" w14:textId="77777777" w:rsidR="0044117D" w:rsidRPr="0044117D" w:rsidRDefault="0044117D" w:rsidP="0044117D">
      <w:r w:rsidRPr="0044117D">
        <w:pict w14:anchorId="620E1869">
          <v:rect id="_x0000_i1071" style="width:0;height:1.5pt" o:hralign="center" o:hrstd="t" o:hr="t" fillcolor="#a0a0a0" stroked="f"/>
        </w:pict>
      </w:r>
    </w:p>
    <w:p w14:paraId="7CBB47A4" w14:textId="77777777" w:rsidR="0044117D" w:rsidRPr="0044117D" w:rsidRDefault="0044117D" w:rsidP="0044117D">
      <w:r w:rsidRPr="0044117D">
        <w:rPr>
          <w:b/>
          <w:bCs/>
        </w:rPr>
        <w:t>4. Conclusion</w:t>
      </w:r>
      <w:r w:rsidRPr="0044117D">
        <w:br/>
        <w:t>This work proposes a simple yet powerful framework linking texture, elemental composition, and superconductivity via an empirical energy term. The model aligns well with experimental and theoretical results in the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series, particularly for EuIn</w:t>
      </w:r>
      <w:r w:rsidRPr="0044117D">
        <w:rPr>
          <w:rFonts w:ascii="Aptos" w:hAnsi="Aptos" w:cs="Aptos"/>
        </w:rPr>
        <w:t>₂</w:t>
      </w:r>
      <w:r w:rsidRPr="0044117D">
        <w:t>AsP. Future work can expand this approach to other magnetic Zintl systems and optimize superconductivity through microstructural control.</w:t>
      </w:r>
    </w:p>
    <w:p w14:paraId="37B859FC" w14:textId="77777777" w:rsidR="0044117D" w:rsidRPr="0044117D" w:rsidRDefault="0044117D" w:rsidP="0044117D">
      <w:r w:rsidRPr="0044117D">
        <w:pict w14:anchorId="51CB6D01">
          <v:rect id="_x0000_i1072" style="width:0;height:1.5pt" o:hralign="center" o:hrstd="t" o:hr="t" fillcolor="#a0a0a0" stroked="f"/>
        </w:pict>
      </w:r>
    </w:p>
    <w:p w14:paraId="3660F8AE" w14:textId="77777777" w:rsidR="0044117D" w:rsidRPr="0044117D" w:rsidRDefault="0044117D" w:rsidP="0044117D">
      <w:r w:rsidRPr="0044117D">
        <w:rPr>
          <w:b/>
          <w:bCs/>
        </w:rPr>
        <w:lastRenderedPageBreak/>
        <w:t>Acknowledgements</w:t>
      </w:r>
      <w:r w:rsidRPr="0044117D">
        <w:br/>
        <w:t>The author acknowledges all prior foundational studies on EuIn₂As₂</w:t>
      </w:r>
      <w:r w:rsidRPr="0044117D">
        <w:rPr>
          <w:rFonts w:ascii="Cambria Math" w:hAnsi="Cambria Math" w:cs="Cambria Math"/>
        </w:rPr>
        <w:t>₋ₓ</w:t>
      </w:r>
      <w:r w:rsidRPr="0044117D">
        <w:t>P</w:t>
      </w:r>
      <w:r w:rsidRPr="0044117D">
        <w:rPr>
          <w:rFonts w:ascii="Cambria Math" w:hAnsi="Cambria Math" w:cs="Cambria Math"/>
        </w:rPr>
        <w:t>ₓ</w:t>
      </w:r>
      <w:r w:rsidRPr="0044117D">
        <w:t xml:space="preserve"> and the open-access thermoelectric data that enabled this work.</w:t>
      </w:r>
    </w:p>
    <w:p w14:paraId="413106C6" w14:textId="77777777" w:rsidR="0044117D" w:rsidRPr="0044117D" w:rsidRDefault="0044117D" w:rsidP="0044117D">
      <w:r w:rsidRPr="0044117D">
        <w:pict w14:anchorId="042198AF">
          <v:rect id="_x0000_i1073" style="width:0;height:1.5pt" o:hralign="center" o:hrstd="t" o:hr="t" fillcolor="#a0a0a0" stroked="f"/>
        </w:pict>
      </w:r>
    </w:p>
    <w:p w14:paraId="612501B5" w14:textId="45475B74" w:rsidR="00415464" w:rsidRPr="00415464" w:rsidRDefault="0044117D" w:rsidP="00415464">
      <w:pPr>
        <w:rPr>
          <w:b/>
          <w:bCs/>
        </w:rPr>
      </w:pPr>
      <w:r w:rsidRPr="0044117D">
        <w:br/>
      </w:r>
      <w:r w:rsidR="00415464" w:rsidRPr="00415464">
        <w:rPr>
          <w:b/>
          <w:bCs/>
        </w:rPr>
        <w:t>References</w:t>
      </w:r>
    </w:p>
    <w:p w14:paraId="63BF74CA" w14:textId="77777777" w:rsidR="00415464" w:rsidRPr="00415464" w:rsidRDefault="00415464" w:rsidP="00415464">
      <w:pPr>
        <w:numPr>
          <w:ilvl w:val="0"/>
          <w:numId w:val="3"/>
        </w:numPr>
      </w:pPr>
      <w:r w:rsidRPr="00415464">
        <w:rPr>
          <w:b/>
          <w:bCs/>
        </w:rPr>
        <w:t>Xu, Y., Song, Z., Wang, Z., Weng, H., &amp; Dai, X.</w:t>
      </w:r>
      <w:r w:rsidRPr="00415464">
        <w:t xml:space="preserve"> (2019). </w:t>
      </w:r>
      <w:r w:rsidRPr="00415464">
        <w:rPr>
          <w:i/>
          <w:iCs/>
        </w:rPr>
        <w:t>Higher-order topology of the axion insulator EuIn₂As₂</w:t>
      </w:r>
      <w:r w:rsidRPr="00415464">
        <w:t xml:space="preserve">. </w:t>
      </w:r>
      <w:r w:rsidRPr="00415464">
        <w:rPr>
          <w:b/>
          <w:bCs/>
        </w:rPr>
        <w:t>Physical Review Letters</w:t>
      </w:r>
      <w:r w:rsidRPr="00415464">
        <w:t>, 122(25), 256402.</w:t>
      </w:r>
      <w:r w:rsidRPr="00415464">
        <w:br/>
        <w:t>https://doi.org/10.1103/PhysRevLett.122.256402</w:t>
      </w:r>
    </w:p>
    <w:p w14:paraId="42F042C6" w14:textId="77777777" w:rsidR="00415464" w:rsidRPr="00415464" w:rsidRDefault="00415464" w:rsidP="00415464">
      <w:pPr>
        <w:numPr>
          <w:ilvl w:val="0"/>
          <w:numId w:val="3"/>
        </w:numPr>
      </w:pPr>
      <w:r w:rsidRPr="00415464">
        <w:rPr>
          <w:b/>
          <w:bCs/>
        </w:rPr>
        <w:t>Sato, T., Zhang, C., &amp; Singh, D. J.</w:t>
      </w:r>
      <w:r w:rsidRPr="00415464">
        <w:t xml:space="preserve"> (2020). </w:t>
      </w:r>
      <w:r w:rsidRPr="00415464">
        <w:rPr>
          <w:i/>
          <w:iCs/>
        </w:rPr>
        <w:t>First-principles study of magnetism and band topology in EuIn₂As₂</w:t>
      </w:r>
      <w:r w:rsidRPr="00415464">
        <w:rPr>
          <w:rFonts w:ascii="Cambria Math" w:hAnsi="Cambria Math" w:cs="Cambria Math"/>
          <w:i/>
          <w:iCs/>
        </w:rPr>
        <w:t>₋ₓ</w:t>
      </w:r>
      <w:r w:rsidRPr="00415464">
        <w:rPr>
          <w:i/>
          <w:iCs/>
        </w:rPr>
        <w:t>P</w:t>
      </w:r>
      <w:r w:rsidRPr="00415464">
        <w:rPr>
          <w:rFonts w:ascii="Cambria Math" w:hAnsi="Cambria Math" w:cs="Cambria Math"/>
          <w:i/>
          <w:iCs/>
        </w:rPr>
        <w:t>ₓ</w:t>
      </w:r>
      <w:r w:rsidRPr="00415464">
        <w:t xml:space="preserve">. </w:t>
      </w:r>
      <w:r w:rsidRPr="00415464">
        <w:rPr>
          <w:b/>
          <w:bCs/>
        </w:rPr>
        <w:t>Physical Review Research</w:t>
      </w:r>
      <w:r w:rsidRPr="00415464">
        <w:t>, 2(3), 033432.</w:t>
      </w:r>
      <w:r w:rsidRPr="00415464">
        <w:br/>
        <w:t>https://doi.org/10.1103/PhysRevResearch.2.033432</w:t>
      </w:r>
    </w:p>
    <w:p w14:paraId="163E7428" w14:textId="77777777" w:rsidR="00415464" w:rsidRPr="00415464" w:rsidRDefault="00415464" w:rsidP="00415464">
      <w:pPr>
        <w:numPr>
          <w:ilvl w:val="0"/>
          <w:numId w:val="3"/>
        </w:numPr>
      </w:pPr>
      <w:r w:rsidRPr="00415464">
        <w:rPr>
          <w:b/>
          <w:bCs/>
        </w:rPr>
        <w:t>Shi, G., Pei, Y., &amp; Snyder, G. J.</w:t>
      </w:r>
      <w:r w:rsidRPr="00415464">
        <w:t xml:space="preserve"> (2015). </w:t>
      </w:r>
      <w:r w:rsidRPr="00415464">
        <w:rPr>
          <w:i/>
          <w:iCs/>
        </w:rPr>
        <w:t>Thermoelectric properties and phase evolution in EuIn₂As₂</w:t>
      </w:r>
      <w:r w:rsidRPr="00415464">
        <w:rPr>
          <w:rFonts w:ascii="Cambria Math" w:hAnsi="Cambria Math" w:cs="Cambria Math"/>
          <w:i/>
          <w:iCs/>
        </w:rPr>
        <w:t>₋ₓ</w:t>
      </w:r>
      <w:r w:rsidRPr="00415464">
        <w:rPr>
          <w:i/>
          <w:iCs/>
        </w:rPr>
        <w:t>P</w:t>
      </w:r>
      <w:r w:rsidRPr="00415464">
        <w:rPr>
          <w:rFonts w:ascii="Cambria Math" w:hAnsi="Cambria Math" w:cs="Cambria Math"/>
          <w:i/>
          <w:iCs/>
        </w:rPr>
        <w:t>ₓ</w:t>
      </w:r>
      <w:r w:rsidRPr="00415464">
        <w:t xml:space="preserve">. </w:t>
      </w:r>
      <w:r w:rsidRPr="00415464">
        <w:rPr>
          <w:b/>
          <w:bCs/>
        </w:rPr>
        <w:t>Journal of Materials Chemistry C</w:t>
      </w:r>
      <w:r w:rsidRPr="00415464">
        <w:t>, 3(10), 1041–1047.</w:t>
      </w:r>
      <w:r w:rsidRPr="00415464">
        <w:br/>
        <w:t>https://doi.org/10.1039/C4TC02324B</w:t>
      </w:r>
    </w:p>
    <w:p w14:paraId="74FAEE48" w14:textId="77777777" w:rsidR="00415464" w:rsidRPr="00415464" w:rsidRDefault="00415464" w:rsidP="00415464">
      <w:pPr>
        <w:numPr>
          <w:ilvl w:val="0"/>
          <w:numId w:val="3"/>
        </w:numPr>
      </w:pPr>
      <w:r w:rsidRPr="00415464">
        <w:rPr>
          <w:b/>
          <w:bCs/>
        </w:rPr>
        <w:t>Geruganti, S.</w:t>
      </w:r>
      <w:r w:rsidRPr="00415464">
        <w:t xml:space="preserve"> (2025). </w:t>
      </w:r>
      <w:r w:rsidRPr="00415464">
        <w:rPr>
          <w:i/>
          <w:iCs/>
        </w:rPr>
        <w:t>Thermoelectric properties of the As–P-based Zintl compounds EuIn₂As₂</w:t>
      </w:r>
      <w:r w:rsidRPr="00415464">
        <w:rPr>
          <w:rFonts w:ascii="Cambria Math" w:hAnsi="Cambria Math" w:cs="Cambria Math"/>
          <w:i/>
          <w:iCs/>
        </w:rPr>
        <w:t>₋ₓ</w:t>
      </w:r>
      <w:r w:rsidRPr="00415464">
        <w:rPr>
          <w:i/>
          <w:iCs/>
        </w:rPr>
        <w:t>P</w:t>
      </w:r>
      <w:r w:rsidRPr="00415464">
        <w:rPr>
          <w:rFonts w:ascii="Cambria Math" w:hAnsi="Cambria Math" w:cs="Cambria Math"/>
          <w:i/>
          <w:iCs/>
        </w:rPr>
        <w:t>ₓ</w:t>
      </w:r>
      <w:r w:rsidRPr="00415464">
        <w:rPr>
          <w:i/>
          <w:iCs/>
        </w:rPr>
        <w:t xml:space="preserve"> (x = 0 to 2) and SrSn</w:t>
      </w:r>
      <w:r w:rsidRPr="00415464">
        <w:rPr>
          <w:rFonts w:ascii="Aptos" w:hAnsi="Aptos" w:cs="Aptos"/>
          <w:i/>
          <w:iCs/>
        </w:rPr>
        <w:t>₂</w:t>
      </w:r>
      <w:r w:rsidRPr="00415464">
        <w:rPr>
          <w:i/>
          <w:iCs/>
        </w:rPr>
        <w:t>As</w:t>
      </w:r>
      <w:r w:rsidRPr="00415464">
        <w:rPr>
          <w:rFonts w:ascii="Aptos" w:hAnsi="Aptos" w:cs="Aptos"/>
          <w:i/>
          <w:iCs/>
        </w:rPr>
        <w:t>₂</w:t>
      </w:r>
      <w:r w:rsidRPr="00415464">
        <w:t xml:space="preserve">. </w:t>
      </w:r>
      <w:r w:rsidRPr="00415464">
        <w:rPr>
          <w:b/>
          <w:bCs/>
        </w:rPr>
        <w:t>Independent Preprint</w:t>
      </w:r>
      <w:r w:rsidRPr="00415464">
        <w:t>.</w:t>
      </w:r>
    </w:p>
    <w:p w14:paraId="334B966D" w14:textId="167A67E7" w:rsidR="003D5578" w:rsidRDefault="00415464" w:rsidP="00B333AE">
      <w:pPr>
        <w:numPr>
          <w:ilvl w:val="0"/>
          <w:numId w:val="3"/>
        </w:numPr>
      </w:pPr>
      <w:r w:rsidRPr="00415464">
        <w:rPr>
          <w:b/>
          <w:bCs/>
        </w:rPr>
        <w:t>Tan, G., Liu, Y., &amp; Zhao, L. D.</w:t>
      </w:r>
      <w:r w:rsidRPr="00415464">
        <w:t xml:space="preserve"> (2016). </w:t>
      </w:r>
      <w:r w:rsidRPr="00415464">
        <w:rPr>
          <w:i/>
          <w:iCs/>
        </w:rPr>
        <w:t>Enhanced thermoelectric performance in Zintl compounds via microstructure control</w:t>
      </w:r>
      <w:r w:rsidRPr="00415464">
        <w:t xml:space="preserve">. </w:t>
      </w:r>
      <w:r w:rsidRPr="00415464">
        <w:rPr>
          <w:b/>
          <w:bCs/>
        </w:rPr>
        <w:t>Nature Communications</w:t>
      </w:r>
      <w:r w:rsidRPr="00415464">
        <w:t>, 7, 12167.</w:t>
      </w:r>
      <w:r w:rsidRPr="00415464">
        <w:br/>
      </w:r>
      <w:hyperlink r:id="rId7" w:history="1">
        <w:r w:rsidR="00B333AE" w:rsidRPr="00415464">
          <w:rPr>
            <w:rStyle w:val="Hyperlink"/>
          </w:rPr>
          <w:t>https://doi.org/10.1038/ncomms12167</w:t>
        </w:r>
      </w:hyperlink>
    </w:p>
    <w:p w14:paraId="2FD30169" w14:textId="5DC95021" w:rsidR="00B333AE" w:rsidRDefault="00B333AE" w:rsidP="00B333AE">
      <w:pPr>
        <w:ind w:left="360"/>
        <w:rPr>
          <w:b/>
          <w:bCs/>
        </w:rPr>
      </w:pPr>
    </w:p>
    <w:p w14:paraId="0871FF5B" w14:textId="352AAAF9" w:rsidR="00B333AE" w:rsidRDefault="00B333AE" w:rsidP="00B333AE">
      <w:pPr>
        <w:ind w:left="360"/>
        <w:rPr>
          <w:b/>
          <w:bCs/>
        </w:rPr>
      </w:pPr>
      <w:r>
        <w:rPr>
          <w:b/>
          <w:bCs/>
        </w:rPr>
        <w:t>3D F</w:t>
      </w:r>
      <w:r w:rsidR="00C71B99">
        <w:rPr>
          <w:b/>
          <w:bCs/>
        </w:rPr>
        <w:t>IGURES:</w:t>
      </w:r>
    </w:p>
    <w:p w14:paraId="7ECBFC9A" w14:textId="7FE6C866" w:rsidR="00C71B99" w:rsidRDefault="00C71B99" w:rsidP="00FC55A1">
      <w:pPr>
        <w:pStyle w:val="ListParagraph"/>
        <w:numPr>
          <w:ilvl w:val="0"/>
          <w:numId w:val="4"/>
        </w:numPr>
        <w:rPr>
          <w:b/>
          <w:bCs/>
        </w:rPr>
      </w:pPr>
      <w:r w:rsidRPr="00FC55A1">
        <w:rPr>
          <w:b/>
          <w:bCs/>
        </w:rPr>
        <w:t>E vs Texture A vs Composition x (surface plot)</w:t>
      </w:r>
    </w:p>
    <w:p w14:paraId="10DE6D56" w14:textId="06064EC3" w:rsidR="003E02EB" w:rsidRPr="00FC55A1" w:rsidRDefault="00E731D9" w:rsidP="003E02EB">
      <w:pPr>
        <w:pStyle w:val="ListParagraph"/>
        <w:rPr>
          <w:b/>
          <w:bCs/>
        </w:rPr>
      </w:pPr>
      <w:r w:rsidRPr="00E731D9">
        <w:rPr>
          <w:b/>
          <w:bCs/>
        </w:rPr>
        <w:lastRenderedPageBreak/>
        <w:drawing>
          <wp:inline distT="0" distB="0" distL="0" distR="0" wp14:anchorId="3B084B28" wp14:editId="2C2A3A92">
            <wp:extent cx="5105842" cy="5044877"/>
            <wp:effectExtent l="0" t="0" r="0" b="3810"/>
            <wp:docPr id="427999574" name="Picture 1" descr="A graph of a graph of tex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99574" name="Picture 1" descr="A graph of a graph of texture&#10;&#10;AI-generated content may be incorrect."/>
                    <pic:cNvPicPr/>
                  </pic:nvPicPr>
                  <pic:blipFill>
                    <a:blip r:embed="rId8"/>
                    <a:stretch>
                      <a:fillRect/>
                    </a:stretch>
                  </pic:blipFill>
                  <pic:spPr>
                    <a:xfrm>
                      <a:off x="0" y="0"/>
                      <a:ext cx="5105842" cy="5044877"/>
                    </a:xfrm>
                    <a:prstGeom prst="rect">
                      <a:avLst/>
                    </a:prstGeom>
                  </pic:spPr>
                </pic:pic>
              </a:graphicData>
            </a:graphic>
          </wp:inline>
        </w:drawing>
      </w:r>
    </w:p>
    <w:p w14:paraId="30E9441D" w14:textId="7744B2B6" w:rsidR="00FC55A1" w:rsidRPr="00BD6520" w:rsidRDefault="00FC55A1" w:rsidP="00FC55A1">
      <w:pPr>
        <w:pStyle w:val="ListParagraph"/>
        <w:numPr>
          <w:ilvl w:val="0"/>
          <w:numId w:val="4"/>
        </w:numPr>
      </w:pPr>
      <w:r w:rsidRPr="00FC55A1">
        <w:t xml:space="preserve"> </w:t>
      </w:r>
      <w:r w:rsidRPr="00FC55A1">
        <w:rPr>
          <w:b/>
          <w:bCs/>
        </w:rPr>
        <w:t>E vs Tc vs Jc (3D Scatter from Model)</w:t>
      </w:r>
    </w:p>
    <w:p w14:paraId="59704DDA" w14:textId="4F95F126" w:rsidR="00BD6520" w:rsidRPr="00AF04A6" w:rsidRDefault="00BD6520" w:rsidP="00BD6520">
      <w:pPr>
        <w:pStyle w:val="ListParagraph"/>
      </w:pPr>
      <w:r w:rsidRPr="00BD6520">
        <w:lastRenderedPageBreak/>
        <w:drawing>
          <wp:inline distT="0" distB="0" distL="0" distR="0" wp14:anchorId="46511366" wp14:editId="0FD0F58D">
            <wp:extent cx="5731510" cy="5454015"/>
            <wp:effectExtent l="0" t="0" r="2540" b="0"/>
            <wp:docPr id="415210793"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10793" name="Picture 1" descr="A graph of a graph of a graph&#10;&#10;AI-generated content may be incorrect."/>
                    <pic:cNvPicPr/>
                  </pic:nvPicPr>
                  <pic:blipFill>
                    <a:blip r:embed="rId9"/>
                    <a:stretch>
                      <a:fillRect/>
                    </a:stretch>
                  </pic:blipFill>
                  <pic:spPr>
                    <a:xfrm>
                      <a:off x="0" y="0"/>
                      <a:ext cx="5731510" cy="5454015"/>
                    </a:xfrm>
                    <a:prstGeom prst="rect">
                      <a:avLst/>
                    </a:prstGeom>
                  </pic:spPr>
                </pic:pic>
              </a:graphicData>
            </a:graphic>
          </wp:inline>
        </w:drawing>
      </w:r>
    </w:p>
    <w:p w14:paraId="6EDB30EA" w14:textId="22C262B7" w:rsidR="00AF04A6" w:rsidRPr="00691DD3" w:rsidRDefault="00AF04A6" w:rsidP="00FC55A1">
      <w:pPr>
        <w:pStyle w:val="ListParagraph"/>
        <w:numPr>
          <w:ilvl w:val="0"/>
          <w:numId w:val="4"/>
        </w:numPr>
      </w:pPr>
      <w:r w:rsidRPr="00AF04A6">
        <w:rPr>
          <w:b/>
          <w:bCs/>
        </w:rPr>
        <w:t>x vs %Si vs E (composition descriptor effect)</w:t>
      </w:r>
    </w:p>
    <w:p w14:paraId="2504DD60" w14:textId="2BD6AA90" w:rsidR="00691DD3" w:rsidRPr="003749A2" w:rsidRDefault="00691DD3" w:rsidP="00691DD3">
      <w:pPr>
        <w:pStyle w:val="ListParagraph"/>
      </w:pPr>
      <w:r w:rsidRPr="00691DD3">
        <w:lastRenderedPageBreak/>
        <w:drawing>
          <wp:inline distT="0" distB="0" distL="0" distR="0" wp14:anchorId="655A0DD5" wp14:editId="3DE4A550">
            <wp:extent cx="5731510" cy="5556885"/>
            <wp:effectExtent l="0" t="0" r="2540" b="5715"/>
            <wp:docPr id="1823026318" name="Picture 1" descr="A graph of a graph of ener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26318" name="Picture 1" descr="A graph of a graph of energy&#10;&#10;AI-generated content may be incorrect."/>
                    <pic:cNvPicPr/>
                  </pic:nvPicPr>
                  <pic:blipFill>
                    <a:blip r:embed="rId10"/>
                    <a:stretch>
                      <a:fillRect/>
                    </a:stretch>
                  </pic:blipFill>
                  <pic:spPr>
                    <a:xfrm>
                      <a:off x="0" y="0"/>
                      <a:ext cx="5731510" cy="5556885"/>
                    </a:xfrm>
                    <a:prstGeom prst="rect">
                      <a:avLst/>
                    </a:prstGeom>
                  </pic:spPr>
                </pic:pic>
              </a:graphicData>
            </a:graphic>
          </wp:inline>
        </w:drawing>
      </w:r>
    </w:p>
    <w:p w14:paraId="2AE021C5" w14:textId="53EDE706" w:rsidR="003749A2" w:rsidRPr="00360B2A" w:rsidRDefault="003749A2" w:rsidP="00FC55A1">
      <w:pPr>
        <w:pStyle w:val="ListParagraph"/>
        <w:numPr>
          <w:ilvl w:val="0"/>
          <w:numId w:val="4"/>
        </w:numPr>
      </w:pPr>
      <w:r w:rsidRPr="003749A2">
        <w:rPr>
          <w:b/>
          <w:bCs/>
        </w:rPr>
        <w:t>3D Wireframe: E vs A vs %</w:t>
      </w:r>
      <w:r w:rsidR="00997F5A">
        <w:rPr>
          <w:b/>
          <w:bCs/>
        </w:rPr>
        <w:t>EULN2ASP</w:t>
      </w:r>
    </w:p>
    <w:p w14:paraId="2C865E88" w14:textId="3C66E35B" w:rsidR="00360B2A" w:rsidRPr="003749A2" w:rsidRDefault="00360B2A" w:rsidP="00360B2A">
      <w:pPr>
        <w:pStyle w:val="ListParagraph"/>
      </w:pPr>
      <w:r w:rsidRPr="00360B2A">
        <w:lastRenderedPageBreak/>
        <w:drawing>
          <wp:inline distT="0" distB="0" distL="0" distR="0" wp14:anchorId="522CDE18" wp14:editId="4E494CC2">
            <wp:extent cx="5731510" cy="5696585"/>
            <wp:effectExtent l="0" t="0" r="2540" b="0"/>
            <wp:docPr id="787029772" name="Picture 1" descr="A graph of a graph with a green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9772" name="Picture 1" descr="A graph of a graph with a green square&#10;&#10;AI-generated content may be incorrect."/>
                    <pic:cNvPicPr/>
                  </pic:nvPicPr>
                  <pic:blipFill>
                    <a:blip r:embed="rId11"/>
                    <a:stretch>
                      <a:fillRect/>
                    </a:stretch>
                  </pic:blipFill>
                  <pic:spPr>
                    <a:xfrm>
                      <a:off x="0" y="0"/>
                      <a:ext cx="5731510" cy="5696585"/>
                    </a:xfrm>
                    <a:prstGeom prst="rect">
                      <a:avLst/>
                    </a:prstGeom>
                  </pic:spPr>
                </pic:pic>
              </a:graphicData>
            </a:graphic>
          </wp:inline>
        </w:drawing>
      </w:r>
    </w:p>
    <w:p w14:paraId="608C8187" w14:textId="0F9962B2" w:rsidR="003749A2" w:rsidRDefault="000D326D" w:rsidP="00FC55A1">
      <w:pPr>
        <w:pStyle w:val="ListParagraph"/>
        <w:numPr>
          <w:ilvl w:val="0"/>
          <w:numId w:val="4"/>
        </w:numPr>
        <w:rPr>
          <w:b/>
          <w:bCs/>
        </w:rPr>
      </w:pPr>
      <w:r w:rsidRPr="000D326D">
        <w:rPr>
          <w:b/>
          <w:bCs/>
        </w:rPr>
        <w:t>3D Contour Plot: Magnetic Anisotropy Proxy E</w:t>
      </w:r>
    </w:p>
    <w:p w14:paraId="78988AB1" w14:textId="432FF2D3" w:rsidR="009B1458" w:rsidRPr="000D326D" w:rsidRDefault="009B1458" w:rsidP="009B1458">
      <w:pPr>
        <w:pStyle w:val="ListParagraph"/>
        <w:rPr>
          <w:b/>
          <w:bCs/>
        </w:rPr>
      </w:pPr>
      <w:r w:rsidRPr="009B1458">
        <w:rPr>
          <w:b/>
          <w:bCs/>
        </w:rPr>
        <w:lastRenderedPageBreak/>
        <w:drawing>
          <wp:inline distT="0" distB="0" distL="0" distR="0" wp14:anchorId="21837201" wp14:editId="4AB952AD">
            <wp:extent cx="5723116" cy="5616427"/>
            <wp:effectExtent l="0" t="0" r="0" b="3810"/>
            <wp:docPr id="1734309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09202" name=""/>
                    <pic:cNvPicPr/>
                  </pic:nvPicPr>
                  <pic:blipFill>
                    <a:blip r:embed="rId12"/>
                    <a:stretch>
                      <a:fillRect/>
                    </a:stretch>
                  </pic:blipFill>
                  <pic:spPr>
                    <a:xfrm>
                      <a:off x="0" y="0"/>
                      <a:ext cx="5723116" cy="5616427"/>
                    </a:xfrm>
                    <a:prstGeom prst="rect">
                      <a:avLst/>
                    </a:prstGeom>
                  </pic:spPr>
                </pic:pic>
              </a:graphicData>
            </a:graphic>
          </wp:inline>
        </w:drawing>
      </w:r>
    </w:p>
    <w:sectPr w:rsidR="009B1458" w:rsidRPr="000D32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47FF0"/>
    <w:multiLevelType w:val="multilevel"/>
    <w:tmpl w:val="D62C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93ECF"/>
    <w:multiLevelType w:val="multilevel"/>
    <w:tmpl w:val="9964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F3E97"/>
    <w:multiLevelType w:val="hybridMultilevel"/>
    <w:tmpl w:val="DF6603AC"/>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B4314C7"/>
    <w:multiLevelType w:val="multilevel"/>
    <w:tmpl w:val="B09CC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286816">
    <w:abstractNumId w:val="1"/>
  </w:num>
  <w:num w:numId="2" w16cid:durableId="1424179628">
    <w:abstractNumId w:val="0"/>
  </w:num>
  <w:num w:numId="3" w16cid:durableId="764962923">
    <w:abstractNumId w:val="3"/>
  </w:num>
  <w:num w:numId="4" w16cid:durableId="273444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CA"/>
    <w:rsid w:val="000D326D"/>
    <w:rsid w:val="00274FF1"/>
    <w:rsid w:val="003103E7"/>
    <w:rsid w:val="00360B2A"/>
    <w:rsid w:val="003749A2"/>
    <w:rsid w:val="003D5578"/>
    <w:rsid w:val="003E02EB"/>
    <w:rsid w:val="00415464"/>
    <w:rsid w:val="0044117D"/>
    <w:rsid w:val="00691DD3"/>
    <w:rsid w:val="007E30B2"/>
    <w:rsid w:val="00853F84"/>
    <w:rsid w:val="00997F5A"/>
    <w:rsid w:val="009B1458"/>
    <w:rsid w:val="00AF04A6"/>
    <w:rsid w:val="00B333AE"/>
    <w:rsid w:val="00BD6520"/>
    <w:rsid w:val="00C71B99"/>
    <w:rsid w:val="00D547CA"/>
    <w:rsid w:val="00E731D9"/>
    <w:rsid w:val="00FC55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3866"/>
  <w15:chartTrackingRefBased/>
  <w15:docId w15:val="{9B166A1A-75BC-4DC5-9176-C085A91D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4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47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47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47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4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7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47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47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47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47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4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7CA"/>
    <w:rPr>
      <w:rFonts w:eastAsiaTheme="majorEastAsia" w:cstheme="majorBidi"/>
      <w:color w:val="272727" w:themeColor="text1" w:themeTint="D8"/>
    </w:rPr>
  </w:style>
  <w:style w:type="paragraph" w:styleId="Title">
    <w:name w:val="Title"/>
    <w:basedOn w:val="Normal"/>
    <w:next w:val="Normal"/>
    <w:link w:val="TitleChar"/>
    <w:uiPriority w:val="10"/>
    <w:qFormat/>
    <w:rsid w:val="00D54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7CA"/>
    <w:pPr>
      <w:spacing w:before="160"/>
      <w:jc w:val="center"/>
    </w:pPr>
    <w:rPr>
      <w:i/>
      <w:iCs/>
      <w:color w:val="404040" w:themeColor="text1" w:themeTint="BF"/>
    </w:rPr>
  </w:style>
  <w:style w:type="character" w:customStyle="1" w:styleId="QuoteChar">
    <w:name w:val="Quote Char"/>
    <w:basedOn w:val="DefaultParagraphFont"/>
    <w:link w:val="Quote"/>
    <w:uiPriority w:val="29"/>
    <w:rsid w:val="00D547CA"/>
    <w:rPr>
      <w:i/>
      <w:iCs/>
      <w:color w:val="404040" w:themeColor="text1" w:themeTint="BF"/>
    </w:rPr>
  </w:style>
  <w:style w:type="paragraph" w:styleId="ListParagraph">
    <w:name w:val="List Paragraph"/>
    <w:basedOn w:val="Normal"/>
    <w:uiPriority w:val="34"/>
    <w:qFormat/>
    <w:rsid w:val="00D547CA"/>
    <w:pPr>
      <w:ind w:left="720"/>
      <w:contextualSpacing/>
    </w:pPr>
  </w:style>
  <w:style w:type="character" w:styleId="IntenseEmphasis">
    <w:name w:val="Intense Emphasis"/>
    <w:basedOn w:val="DefaultParagraphFont"/>
    <w:uiPriority w:val="21"/>
    <w:qFormat/>
    <w:rsid w:val="00D547CA"/>
    <w:rPr>
      <w:i/>
      <w:iCs/>
      <w:color w:val="0F4761" w:themeColor="accent1" w:themeShade="BF"/>
    </w:rPr>
  </w:style>
  <w:style w:type="paragraph" w:styleId="IntenseQuote">
    <w:name w:val="Intense Quote"/>
    <w:basedOn w:val="Normal"/>
    <w:next w:val="Normal"/>
    <w:link w:val="IntenseQuoteChar"/>
    <w:uiPriority w:val="30"/>
    <w:qFormat/>
    <w:rsid w:val="00D54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47CA"/>
    <w:rPr>
      <w:i/>
      <w:iCs/>
      <w:color w:val="0F4761" w:themeColor="accent1" w:themeShade="BF"/>
    </w:rPr>
  </w:style>
  <w:style w:type="character" w:styleId="IntenseReference">
    <w:name w:val="Intense Reference"/>
    <w:basedOn w:val="DefaultParagraphFont"/>
    <w:uiPriority w:val="32"/>
    <w:qFormat/>
    <w:rsid w:val="00D547CA"/>
    <w:rPr>
      <w:b/>
      <w:bCs/>
      <w:smallCaps/>
      <w:color w:val="0F4761" w:themeColor="accent1" w:themeShade="BF"/>
      <w:spacing w:val="5"/>
    </w:rPr>
  </w:style>
  <w:style w:type="character" w:styleId="Hyperlink">
    <w:name w:val="Hyperlink"/>
    <w:basedOn w:val="DefaultParagraphFont"/>
    <w:uiPriority w:val="99"/>
    <w:unhideWhenUsed/>
    <w:rsid w:val="0044117D"/>
    <w:rPr>
      <w:color w:val="467886" w:themeColor="hyperlink"/>
      <w:u w:val="single"/>
    </w:rPr>
  </w:style>
  <w:style w:type="character" w:styleId="UnresolvedMention">
    <w:name w:val="Unresolved Mention"/>
    <w:basedOn w:val="DefaultParagraphFont"/>
    <w:uiPriority w:val="99"/>
    <w:semiHidden/>
    <w:unhideWhenUsed/>
    <w:rsid w:val="00441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8662">
      <w:bodyDiv w:val="1"/>
      <w:marLeft w:val="0"/>
      <w:marRight w:val="0"/>
      <w:marTop w:val="0"/>
      <w:marBottom w:val="0"/>
      <w:divBdr>
        <w:top w:val="none" w:sz="0" w:space="0" w:color="auto"/>
        <w:left w:val="none" w:sz="0" w:space="0" w:color="auto"/>
        <w:bottom w:val="none" w:sz="0" w:space="0" w:color="auto"/>
        <w:right w:val="none" w:sz="0" w:space="0" w:color="auto"/>
      </w:divBdr>
    </w:div>
    <w:div w:id="577862072">
      <w:bodyDiv w:val="1"/>
      <w:marLeft w:val="0"/>
      <w:marRight w:val="0"/>
      <w:marTop w:val="0"/>
      <w:marBottom w:val="0"/>
      <w:divBdr>
        <w:top w:val="none" w:sz="0" w:space="0" w:color="auto"/>
        <w:left w:val="none" w:sz="0" w:space="0" w:color="auto"/>
        <w:bottom w:val="none" w:sz="0" w:space="0" w:color="auto"/>
        <w:right w:val="none" w:sz="0" w:space="0" w:color="auto"/>
      </w:divBdr>
    </w:div>
    <w:div w:id="691106262">
      <w:bodyDiv w:val="1"/>
      <w:marLeft w:val="0"/>
      <w:marRight w:val="0"/>
      <w:marTop w:val="0"/>
      <w:marBottom w:val="0"/>
      <w:divBdr>
        <w:top w:val="none" w:sz="0" w:space="0" w:color="auto"/>
        <w:left w:val="none" w:sz="0" w:space="0" w:color="auto"/>
        <w:bottom w:val="none" w:sz="0" w:space="0" w:color="auto"/>
        <w:right w:val="none" w:sz="0" w:space="0" w:color="auto"/>
      </w:divBdr>
    </w:div>
    <w:div w:id="1109467025">
      <w:bodyDiv w:val="1"/>
      <w:marLeft w:val="0"/>
      <w:marRight w:val="0"/>
      <w:marTop w:val="0"/>
      <w:marBottom w:val="0"/>
      <w:divBdr>
        <w:top w:val="none" w:sz="0" w:space="0" w:color="auto"/>
        <w:left w:val="none" w:sz="0" w:space="0" w:color="auto"/>
        <w:bottom w:val="none" w:sz="0" w:space="0" w:color="auto"/>
        <w:right w:val="none" w:sz="0" w:space="0" w:color="auto"/>
      </w:divBdr>
    </w:div>
    <w:div w:id="2102220881">
      <w:bodyDiv w:val="1"/>
      <w:marLeft w:val="0"/>
      <w:marRight w:val="0"/>
      <w:marTop w:val="0"/>
      <w:marBottom w:val="0"/>
      <w:divBdr>
        <w:top w:val="none" w:sz="0" w:space="0" w:color="auto"/>
        <w:left w:val="none" w:sz="0" w:space="0" w:color="auto"/>
        <w:bottom w:val="none" w:sz="0" w:space="0" w:color="auto"/>
        <w:right w:val="none" w:sz="0" w:space="0" w:color="auto"/>
      </w:divBdr>
      <w:divsChild>
        <w:div w:id="346489973">
          <w:marLeft w:val="0"/>
          <w:marRight w:val="0"/>
          <w:marTop w:val="0"/>
          <w:marBottom w:val="0"/>
          <w:divBdr>
            <w:top w:val="none" w:sz="0" w:space="0" w:color="auto"/>
            <w:left w:val="none" w:sz="0" w:space="0" w:color="auto"/>
            <w:bottom w:val="none" w:sz="0" w:space="0" w:color="auto"/>
            <w:right w:val="none" w:sz="0" w:space="0" w:color="auto"/>
          </w:divBdr>
          <w:divsChild>
            <w:div w:id="1708262875">
              <w:marLeft w:val="0"/>
              <w:marRight w:val="0"/>
              <w:marTop w:val="0"/>
              <w:marBottom w:val="0"/>
              <w:divBdr>
                <w:top w:val="none" w:sz="0" w:space="0" w:color="auto"/>
                <w:left w:val="none" w:sz="0" w:space="0" w:color="auto"/>
                <w:bottom w:val="none" w:sz="0" w:space="0" w:color="auto"/>
                <w:right w:val="none" w:sz="0" w:space="0" w:color="auto"/>
              </w:divBdr>
            </w:div>
            <w:div w:id="1610509427">
              <w:marLeft w:val="0"/>
              <w:marRight w:val="0"/>
              <w:marTop w:val="0"/>
              <w:marBottom w:val="0"/>
              <w:divBdr>
                <w:top w:val="none" w:sz="0" w:space="0" w:color="auto"/>
                <w:left w:val="none" w:sz="0" w:space="0" w:color="auto"/>
                <w:bottom w:val="none" w:sz="0" w:space="0" w:color="auto"/>
                <w:right w:val="none" w:sz="0" w:space="0" w:color="auto"/>
              </w:divBdr>
              <w:divsChild>
                <w:div w:id="632367403">
                  <w:marLeft w:val="0"/>
                  <w:marRight w:val="0"/>
                  <w:marTop w:val="0"/>
                  <w:marBottom w:val="0"/>
                  <w:divBdr>
                    <w:top w:val="none" w:sz="0" w:space="0" w:color="auto"/>
                    <w:left w:val="none" w:sz="0" w:space="0" w:color="auto"/>
                    <w:bottom w:val="none" w:sz="0" w:space="0" w:color="auto"/>
                    <w:right w:val="none" w:sz="0" w:space="0" w:color="auto"/>
                  </w:divBdr>
                  <w:divsChild>
                    <w:div w:id="5535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38/ncomms12167"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eruganti123@gmail.co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9BAE8-CBE3-4B0D-A2C0-BA7F18A8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 bobby</dc:creator>
  <cp:keywords/>
  <dc:description/>
  <cp:lastModifiedBy>abhi bobby</cp:lastModifiedBy>
  <cp:revision>17</cp:revision>
  <dcterms:created xsi:type="dcterms:W3CDTF">2025-07-20T09:08:00Z</dcterms:created>
  <dcterms:modified xsi:type="dcterms:W3CDTF">2025-07-20T09:41:00Z</dcterms:modified>
</cp:coreProperties>
</file>