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FDF9" w14:textId="417F76AA" w:rsidR="008B0952" w:rsidRPr="008B0952" w:rsidRDefault="008B0952" w:rsidP="008B0952"/>
    <w:p w14:paraId="73D8FD90" w14:textId="77777777" w:rsidR="008B0952" w:rsidRPr="008B0952" w:rsidRDefault="008B0952" w:rsidP="008B0952">
      <w:r w:rsidRPr="008B0952">
        <w:pict w14:anchorId="1FE2C5A7">
          <v:rect id="_x0000_i1085" style="width:0;height:1.5pt" o:hralign="center" o:hrstd="t" o:hr="t" fillcolor="#a0a0a0" stroked="f"/>
        </w:pict>
      </w:r>
    </w:p>
    <w:p w14:paraId="668481C9" w14:textId="0754E847" w:rsidR="008B0952" w:rsidRDefault="008B0952" w:rsidP="008B0952">
      <w:pPr>
        <w:rPr>
          <w:b/>
          <w:bCs/>
        </w:rPr>
      </w:pPr>
      <w:r w:rsidRPr="008B0952">
        <w:rPr>
          <w:b/>
          <w:bCs/>
        </w:rPr>
        <w:t>Correlation Between Theoretical and Experimental Values of E</w:t>
      </w:r>
      <w:r w:rsidRPr="008B0952">
        <w:rPr>
          <w:rFonts w:ascii="Cambria Math" w:hAnsi="Cambria Math" w:cs="Cambria Math"/>
          <w:b/>
          <w:bCs/>
        </w:rPr>
        <w:t>∗</w:t>
      </w:r>
      <w:r w:rsidRPr="008B0952">
        <w:rPr>
          <w:b/>
          <w:bCs/>
        </w:rPr>
        <w:t xml:space="preserve"> for TrZr2/3 Superconductors</w:t>
      </w:r>
    </w:p>
    <w:p w14:paraId="326AD726" w14:textId="21E6D8B9" w:rsidR="008B0952" w:rsidRDefault="008B0952" w:rsidP="008B0952">
      <w:pPr>
        <w:rPr>
          <w:b/>
          <w:bCs/>
        </w:rPr>
      </w:pPr>
      <w:proofErr w:type="spellStart"/>
      <w:r>
        <w:rPr>
          <w:b/>
          <w:bCs/>
        </w:rPr>
        <w:t>Author:Geruganti</w:t>
      </w:r>
      <w:proofErr w:type="spellEnd"/>
      <w:r>
        <w:rPr>
          <w:b/>
          <w:bCs/>
        </w:rPr>
        <w:t xml:space="preserve"> Sudhakar</w:t>
      </w:r>
    </w:p>
    <w:p w14:paraId="2FA69BF1" w14:textId="35AEF986" w:rsidR="008B0952" w:rsidRDefault="008B0952" w:rsidP="008B0952">
      <w:pPr>
        <w:rPr>
          <w:b/>
          <w:bCs/>
        </w:rPr>
      </w:pPr>
      <w:proofErr w:type="spellStart"/>
      <w:r>
        <w:rPr>
          <w:b/>
          <w:bCs/>
        </w:rPr>
        <w:t>Affiliation:Independent</w:t>
      </w:r>
      <w:proofErr w:type="spellEnd"/>
      <w:r>
        <w:rPr>
          <w:b/>
          <w:bCs/>
        </w:rPr>
        <w:t xml:space="preserve"> Researcher</w:t>
      </w:r>
    </w:p>
    <w:p w14:paraId="723A92A9" w14:textId="54B305DC" w:rsidR="008B0952" w:rsidRPr="008B0952" w:rsidRDefault="008B0952" w:rsidP="008B0952">
      <w:pPr>
        <w:rPr>
          <w:b/>
          <w:bCs/>
        </w:rPr>
      </w:pPr>
      <w:r>
        <w:rPr>
          <w:b/>
          <w:bCs/>
        </w:rPr>
        <w:t>Email:geruganti123@gmail.com</w:t>
      </w:r>
    </w:p>
    <w:p w14:paraId="0473DB42" w14:textId="77777777" w:rsidR="008B0952" w:rsidRPr="008B0952" w:rsidRDefault="008B0952" w:rsidP="008B0952">
      <w:pPr>
        <w:rPr>
          <w:b/>
          <w:bCs/>
        </w:rPr>
      </w:pPr>
      <w:r w:rsidRPr="008B0952">
        <w:rPr>
          <w:b/>
          <w:bCs/>
        </w:rPr>
        <w:t>Abstract</w:t>
      </w:r>
    </w:p>
    <w:p w14:paraId="6BAF2148" w14:textId="4FA94759" w:rsidR="008B0952" w:rsidRPr="008B0952" w:rsidRDefault="008B0952" w:rsidP="008B0952">
      <w:r w:rsidRPr="008B0952">
        <w:t>The magnetic anisotropy energy density (E</w:t>
      </w:r>
      <w:r w:rsidRPr="008B0952">
        <w:rPr>
          <w:rFonts w:ascii="Cambria Math" w:hAnsi="Cambria Math" w:cs="Cambria Math"/>
        </w:rPr>
        <w:t>∗</w:t>
      </w:r>
      <w:r w:rsidRPr="008B0952">
        <w:t xml:space="preserve">) is a critical parameter influencing the superconducting and structural </w:t>
      </w:r>
      <w:proofErr w:type="spellStart"/>
      <w:r w:rsidRPr="008B0952">
        <w:t>behavior</w:t>
      </w:r>
      <w:proofErr w:type="spellEnd"/>
      <w:r w:rsidRPr="008B0952">
        <w:t xml:space="preserve"> of TrZr2and TrZr3 compounds, where Tr is a transition metal. However, direct measurements of E</w:t>
      </w:r>
      <w:r w:rsidRPr="008B0952">
        <w:rPr>
          <w:rFonts w:ascii="Cambria Math" w:hAnsi="Cambria Math" w:cs="Cambria Math"/>
        </w:rPr>
        <w:t>∗</w:t>
      </w:r>
      <w:r w:rsidRPr="008B0952">
        <w:t xml:space="preserve"> remain scarce. In this study, we estimate E</w:t>
      </w:r>
      <w:r w:rsidRPr="008B0952">
        <w:rPr>
          <w:rFonts w:ascii="Cambria Math" w:hAnsi="Cambria Math" w:cs="Cambria Math"/>
        </w:rPr>
        <w:t>∗</w:t>
      </w:r>
      <w:r w:rsidRPr="008B0952">
        <w:t xml:space="preserve"> using both empirical and crystallographic models and correlate these values with indirect experimental observables such as thermal expansion, superconducting transition temperature (Tc), and local structural flexibility. Our results reveal consistent trends linking anisotropic energy with structural and electronic properties, offering a predictive framework for designing new anisotropic superconductors.</w:t>
      </w:r>
    </w:p>
    <w:p w14:paraId="389CAABD" w14:textId="77777777" w:rsidR="008B0952" w:rsidRPr="008B0952" w:rsidRDefault="008B0952" w:rsidP="008B0952">
      <w:r w:rsidRPr="008B0952">
        <w:pict w14:anchorId="59C55901">
          <v:rect id="_x0000_i1086" style="width:0;height:1.5pt" o:hralign="center" o:hrstd="t" o:hr="t" fillcolor="#a0a0a0" stroked="f"/>
        </w:pict>
      </w:r>
    </w:p>
    <w:p w14:paraId="6D4ED792" w14:textId="77777777" w:rsidR="008B0952" w:rsidRPr="008B0952" w:rsidRDefault="008B0952" w:rsidP="008B0952">
      <w:pPr>
        <w:rPr>
          <w:b/>
          <w:bCs/>
        </w:rPr>
      </w:pPr>
      <w:r w:rsidRPr="008B0952">
        <w:rPr>
          <w:b/>
          <w:bCs/>
        </w:rPr>
        <w:t>1. Introduction</w:t>
      </w:r>
    </w:p>
    <w:p w14:paraId="04B0DDC0" w14:textId="48E8416B" w:rsidR="008B0952" w:rsidRPr="008B0952" w:rsidRDefault="008B0952" w:rsidP="008B0952">
      <w:r w:rsidRPr="008B0952">
        <w:t>Transition metal zirconides, particularly those of the form TrZr2 and TrZr3, exhibit a broad range of magnetic and superconducting phenomena. Among these, the anisotropy of the magnetic energy landscape—quantified by the magnetic anisotropy energy density E</w:t>
      </w:r>
      <w:r w:rsidRPr="008B0952">
        <w:rPr>
          <w:rFonts w:ascii="Cambria Math" w:hAnsi="Cambria Math" w:cs="Cambria Math"/>
        </w:rPr>
        <w:t>∗</w:t>
      </w:r>
      <w:r w:rsidRPr="008B0952">
        <w:t>—is an important but poorly characterized parameter.</w:t>
      </w:r>
    </w:p>
    <w:p w14:paraId="1037BCD6" w14:textId="7F80729A" w:rsidR="008B0952" w:rsidRPr="008B0952" w:rsidRDefault="008B0952" w:rsidP="008B0952">
      <w:r w:rsidRPr="008B0952">
        <w:t>Due to the lack of direct measurements, theoretical estimations and indirect experimental correlations provide a promising route for understanding E</w:t>
      </w:r>
      <w:r w:rsidRPr="008B0952">
        <w:rPr>
          <w:rFonts w:ascii="Cambria Math" w:hAnsi="Cambria Math" w:cs="Cambria Math"/>
        </w:rPr>
        <w:t>∗</w:t>
      </w:r>
      <w:r w:rsidRPr="008B0952">
        <w:t>. This work combines crystallographic, thermodynamic, and superconducting data to estimate and compare E</w:t>
      </w:r>
      <w:r w:rsidRPr="008B0952">
        <w:rPr>
          <w:rFonts w:ascii="Cambria Math" w:hAnsi="Cambria Math" w:cs="Cambria Math"/>
        </w:rPr>
        <w:t>∗</w:t>
      </w:r>
      <w:r w:rsidRPr="008B0952">
        <w:t xml:space="preserve"> values in selected TrZr2 compounds (</w:t>
      </w:r>
      <w:proofErr w:type="spellStart"/>
      <w:r w:rsidRPr="008B0952">
        <w:t>CoZr</w:t>
      </w:r>
      <w:proofErr w:type="spellEnd"/>
      <w:r w:rsidRPr="008B0952">
        <w:t xml:space="preserve">₂, </w:t>
      </w:r>
      <w:proofErr w:type="spellStart"/>
      <w:r w:rsidRPr="008B0952">
        <w:t>FeZr</w:t>
      </w:r>
      <w:proofErr w:type="spellEnd"/>
      <w:r w:rsidRPr="008B0952">
        <w:t xml:space="preserve">₂, and </w:t>
      </w:r>
      <w:proofErr w:type="spellStart"/>
      <w:r w:rsidRPr="008B0952">
        <w:t>NiZr</w:t>
      </w:r>
      <w:proofErr w:type="spellEnd"/>
      <w:r w:rsidRPr="008B0952">
        <w:t>₂), with broader implications for more complex systems.</w:t>
      </w:r>
    </w:p>
    <w:p w14:paraId="4554060E" w14:textId="77777777" w:rsidR="008B0952" w:rsidRPr="008B0952" w:rsidRDefault="008B0952" w:rsidP="008B0952">
      <w:r w:rsidRPr="008B0952">
        <w:pict w14:anchorId="02F46431">
          <v:rect id="_x0000_i1087" style="width:0;height:1.5pt" o:hralign="center" o:hrstd="t" o:hr="t" fillcolor="#a0a0a0" stroked="f"/>
        </w:pict>
      </w:r>
    </w:p>
    <w:p w14:paraId="43791649" w14:textId="1A0414A0" w:rsidR="008B0952" w:rsidRPr="008B0952" w:rsidRDefault="008B0952" w:rsidP="008B0952">
      <w:pPr>
        <w:rPr>
          <w:b/>
          <w:bCs/>
        </w:rPr>
      </w:pPr>
      <w:r w:rsidRPr="008B0952">
        <w:rPr>
          <w:b/>
          <w:bCs/>
        </w:rPr>
        <w:t>2. Theoretical Predictions of E</w:t>
      </w:r>
      <w:r w:rsidRPr="008B0952">
        <w:rPr>
          <w:rFonts w:ascii="Cambria Math" w:hAnsi="Cambria Math" w:cs="Cambria Math"/>
          <w:b/>
          <w:bCs/>
        </w:rPr>
        <w:t>∗</w:t>
      </w:r>
    </w:p>
    <w:p w14:paraId="1758C823" w14:textId="77777777" w:rsidR="008B0952" w:rsidRPr="008B0952" w:rsidRDefault="008B0952" w:rsidP="008B0952">
      <w:pPr>
        <w:rPr>
          <w:b/>
          <w:bCs/>
        </w:rPr>
      </w:pPr>
      <w:r w:rsidRPr="008B0952">
        <w:rPr>
          <w:b/>
          <w:bCs/>
        </w:rPr>
        <w:t>2.1 Empirical Model Based on Thermal Expansion</w:t>
      </w:r>
    </w:p>
    <w:p w14:paraId="4402A37B" w14:textId="10B1AF66" w:rsidR="008B0952" w:rsidRPr="008B0952" w:rsidRDefault="008B0952" w:rsidP="008B0952">
      <w:r w:rsidRPr="008B0952">
        <w:t xml:space="preserve">We adopt an empirical approach incorporating the average thermal expansion coefficient AA and atomic number-weighted composition index </w:t>
      </w:r>
      <w:proofErr w:type="spellStart"/>
      <w:r w:rsidRPr="008B0952">
        <w:t>AEeq</w:t>
      </w:r>
      <w:proofErr w:type="spellEnd"/>
      <w:r w:rsidRPr="008B0952">
        <w:t>, leading to the following general form:</w:t>
      </w:r>
    </w:p>
    <w:p w14:paraId="34468B70" w14:textId="5D5A4115" w:rsidR="008B0952" w:rsidRPr="008B0952" w:rsidRDefault="008B0952" w:rsidP="008B0952">
      <w:r w:rsidRPr="008B0952">
        <w:lastRenderedPageBreak/>
        <w:t>E</w:t>
      </w:r>
      <w:r w:rsidRPr="008B0952">
        <w:rPr>
          <w:rFonts w:ascii="Cambria Math" w:hAnsi="Cambria Math" w:cs="Cambria Math"/>
        </w:rPr>
        <w:t>∗</w:t>
      </w:r>
      <w:r w:rsidRPr="008B0952">
        <w:t>=0.355A+(0.163</w:t>
      </w:r>
      <w:r w:rsidRPr="008B0952">
        <w:rPr>
          <w:rFonts w:ascii="Aptos" w:hAnsi="Aptos" w:cs="Aptos"/>
        </w:rPr>
        <w:t>−</w:t>
      </w:r>
      <w:r w:rsidRPr="008B0952">
        <w:t>0.031A)</w:t>
      </w:r>
      <w:r w:rsidRPr="008B0952">
        <w:rPr>
          <w:rFonts w:ascii="Cambria Math" w:hAnsi="Cambria Math" w:cs="Cambria Math"/>
        </w:rPr>
        <w:t>⋅</w:t>
      </w:r>
      <w:r w:rsidRPr="008B0952">
        <w:t>AEeq</w:t>
      </w:r>
      <w:r w:rsidRPr="008B0952">
        <w:rPr>
          <w:rFonts w:ascii="Aptos" w:hAnsi="Aptos" w:cs="Aptos"/>
        </w:rPr>
        <w:t>−</w:t>
      </w:r>
      <w:r w:rsidRPr="008B0952">
        <w:t>1.898</w:t>
      </w:r>
    </w:p>
    <w:p w14:paraId="116014CB" w14:textId="77777777" w:rsidR="008B0952" w:rsidRPr="008B0952" w:rsidRDefault="008B0952" w:rsidP="008B0952">
      <w:r w:rsidRPr="008B0952">
        <w:rPr>
          <w:b/>
          <w:bCs/>
        </w:rPr>
        <w:t xml:space="preserve">For </w:t>
      </w:r>
      <w:proofErr w:type="spellStart"/>
      <w:r w:rsidRPr="008B0952">
        <w:rPr>
          <w:b/>
          <w:bCs/>
        </w:rPr>
        <w:t>CoZr</w:t>
      </w:r>
      <w:proofErr w:type="spellEnd"/>
      <w:r w:rsidRPr="008B0952">
        <w:rPr>
          <w:b/>
          <w:bCs/>
        </w:rPr>
        <w:t>₂</w:t>
      </w:r>
      <w:r w:rsidRPr="008B0952">
        <w:t>:</w:t>
      </w:r>
    </w:p>
    <w:p w14:paraId="2E0A5FB4" w14:textId="44267A2A" w:rsidR="008B0952" w:rsidRPr="008B0952" w:rsidRDefault="008B0952" w:rsidP="008B0952">
      <w:pPr>
        <w:numPr>
          <w:ilvl w:val="0"/>
          <w:numId w:val="1"/>
        </w:numPr>
      </w:pPr>
      <w:r w:rsidRPr="008B0952">
        <w:t>A=16.5</w:t>
      </w:r>
      <w:r w:rsidRPr="008B0952">
        <w:rPr>
          <w:rFonts w:ascii="Arial" w:hAnsi="Arial" w:cs="Arial"/>
        </w:rPr>
        <w:t> </w:t>
      </w:r>
      <w:r w:rsidRPr="008B0952">
        <w:rPr>
          <w:rFonts w:ascii="Aptos" w:hAnsi="Aptos" w:cs="Aptos"/>
        </w:rPr>
        <w:t>μ</w:t>
      </w:r>
      <w:r w:rsidRPr="008B0952">
        <w:t>K</w:t>
      </w:r>
      <w:r w:rsidRPr="008B0952">
        <w:rPr>
          <w:rFonts w:ascii="Aptos" w:hAnsi="Aptos" w:cs="Aptos"/>
        </w:rPr>
        <w:t>−</w:t>
      </w:r>
      <w:r w:rsidRPr="008B0952">
        <w:t>1</w:t>
      </w:r>
    </w:p>
    <w:p w14:paraId="5F063975" w14:textId="3968BCD7" w:rsidR="008B0952" w:rsidRPr="008B0952" w:rsidRDefault="008B0952" w:rsidP="008B0952">
      <w:pPr>
        <w:numPr>
          <w:ilvl w:val="0"/>
          <w:numId w:val="1"/>
        </w:numPr>
      </w:pPr>
      <w:r w:rsidRPr="008B0952">
        <w:rPr>
          <w:b/>
          <w:bCs/>
        </w:rPr>
        <w:t>Predicted</w:t>
      </w:r>
      <w:r w:rsidRPr="008B0952">
        <w:t>: E</w:t>
      </w:r>
      <w:r w:rsidRPr="008B0952">
        <w:rPr>
          <w:rFonts w:ascii="Cambria Math" w:hAnsi="Cambria Math" w:cs="Cambria Math"/>
        </w:rPr>
        <w:t>∗</w:t>
      </w:r>
      <w:r w:rsidRPr="008B0952">
        <w:rPr>
          <w:rFonts w:ascii="Aptos" w:hAnsi="Aptos" w:cs="Aptos"/>
        </w:rPr>
        <w:t>≈</w:t>
      </w:r>
      <w:r w:rsidRPr="008B0952">
        <w:t>1.87</w:t>
      </w:r>
    </w:p>
    <w:p w14:paraId="0CD718C5" w14:textId="77777777" w:rsidR="008B0952" w:rsidRPr="008B0952" w:rsidRDefault="008B0952" w:rsidP="008B0952">
      <w:r w:rsidRPr="008B0952">
        <w:rPr>
          <w:b/>
          <w:bCs/>
        </w:rPr>
        <w:t xml:space="preserve">For </w:t>
      </w:r>
      <w:proofErr w:type="spellStart"/>
      <w:r w:rsidRPr="008B0952">
        <w:rPr>
          <w:b/>
          <w:bCs/>
        </w:rPr>
        <w:t>FeZr</w:t>
      </w:r>
      <w:proofErr w:type="spellEnd"/>
      <w:r w:rsidRPr="008B0952">
        <w:rPr>
          <w:b/>
          <w:bCs/>
        </w:rPr>
        <w:t>₂</w:t>
      </w:r>
      <w:r w:rsidRPr="008B0952">
        <w:t xml:space="preserve"> (Giant NTE):</w:t>
      </w:r>
    </w:p>
    <w:p w14:paraId="32DDFA2F" w14:textId="352933DF" w:rsidR="008B0952" w:rsidRPr="008B0952" w:rsidRDefault="008B0952" w:rsidP="008B0952">
      <w:pPr>
        <w:numPr>
          <w:ilvl w:val="0"/>
          <w:numId w:val="2"/>
        </w:numPr>
      </w:pPr>
      <w:r w:rsidRPr="008B0952">
        <w:t>A=(24+25)/2=24.5</w:t>
      </w:r>
      <w:r w:rsidRPr="008B0952">
        <w:rPr>
          <w:rFonts w:ascii="Arial" w:hAnsi="Arial" w:cs="Arial"/>
        </w:rPr>
        <w:t> </w:t>
      </w:r>
      <w:r w:rsidRPr="008B0952">
        <w:rPr>
          <w:rFonts w:ascii="Aptos" w:hAnsi="Aptos" w:cs="Aptos"/>
        </w:rPr>
        <w:t>μ</w:t>
      </w:r>
      <w:r w:rsidRPr="008B0952">
        <w:t>K</w:t>
      </w:r>
      <w:r w:rsidRPr="008B0952">
        <w:rPr>
          <w:rFonts w:ascii="Aptos" w:hAnsi="Aptos" w:cs="Aptos"/>
        </w:rPr>
        <w:t>−</w:t>
      </w:r>
      <w:r w:rsidRPr="008B0952">
        <w:t>1</w:t>
      </w:r>
    </w:p>
    <w:p w14:paraId="08D3B4E5" w14:textId="65615000" w:rsidR="008B0952" w:rsidRPr="008B0952" w:rsidRDefault="008B0952" w:rsidP="008B0952">
      <w:pPr>
        <w:numPr>
          <w:ilvl w:val="0"/>
          <w:numId w:val="2"/>
        </w:numPr>
      </w:pPr>
      <w:r w:rsidRPr="008B0952">
        <w:rPr>
          <w:b/>
          <w:bCs/>
        </w:rPr>
        <w:t>Predicted</w:t>
      </w:r>
      <w:r w:rsidRPr="008B0952">
        <w:t>: E</w:t>
      </w:r>
      <w:r w:rsidRPr="008B0952">
        <w:rPr>
          <w:rFonts w:ascii="Cambria Math" w:hAnsi="Cambria Math" w:cs="Cambria Math"/>
        </w:rPr>
        <w:t>∗</w:t>
      </w:r>
      <w:r w:rsidRPr="008B0952">
        <w:rPr>
          <w:rFonts w:ascii="Aptos" w:hAnsi="Aptos" w:cs="Aptos"/>
        </w:rPr>
        <w:t>≈</w:t>
      </w:r>
      <w:r w:rsidRPr="008B0952">
        <w:t>0.92</w:t>
      </w:r>
    </w:p>
    <w:p w14:paraId="3CCF642C" w14:textId="77777777" w:rsidR="008B0952" w:rsidRPr="008B0952" w:rsidRDefault="008B0952" w:rsidP="008B0952">
      <w:pPr>
        <w:rPr>
          <w:b/>
          <w:bCs/>
        </w:rPr>
      </w:pPr>
      <w:r w:rsidRPr="008B0952">
        <w:rPr>
          <w:b/>
          <w:bCs/>
        </w:rPr>
        <w:t>2.2 Crystallographic Model Using Anisotropy Coefficients</w:t>
      </w:r>
    </w:p>
    <w:p w14:paraId="7B42C18D" w14:textId="15501A8F" w:rsidR="008B0952" w:rsidRPr="008B0952" w:rsidRDefault="008B0952" w:rsidP="008B0952">
      <w:r w:rsidRPr="008B0952">
        <w:t xml:space="preserve">From </w:t>
      </w:r>
      <w:proofErr w:type="spellStart"/>
      <w:r w:rsidRPr="008B0952">
        <w:t>magnetocrystalline</w:t>
      </w:r>
      <w:proofErr w:type="spellEnd"/>
      <w:r w:rsidRPr="008B0952">
        <w:t xml:space="preserve"> anisotropy constants K1 and K2, an unnormalized form of </w:t>
      </w:r>
      <w:proofErr w:type="spellStart"/>
      <w:r w:rsidRPr="008B0952">
        <w:t>E</w:t>
      </w:r>
      <w:r w:rsidRPr="008B0952">
        <w:rPr>
          <w:rFonts w:ascii="Cambria Math" w:hAnsi="Cambria Math" w:cs="Cambria Math"/>
        </w:rPr>
        <w:t>∗</w:t>
      </w:r>
      <w:r w:rsidRPr="008B0952">
        <w:t>is</w:t>
      </w:r>
      <w:proofErr w:type="spellEnd"/>
      <w:r w:rsidRPr="008B0952">
        <w:t xml:space="preserve"> obtained:</w:t>
      </w:r>
    </w:p>
    <w:p w14:paraId="4B0828B2" w14:textId="77777777" w:rsidR="008B0952" w:rsidRPr="008B0952" w:rsidRDefault="008B0952" w:rsidP="008B0952">
      <w:r w:rsidRPr="008B0952">
        <w:rPr>
          <w:b/>
          <w:bCs/>
        </w:rPr>
        <w:t xml:space="preserve">For </w:t>
      </w:r>
      <w:proofErr w:type="spellStart"/>
      <w:r w:rsidRPr="008B0952">
        <w:rPr>
          <w:b/>
          <w:bCs/>
        </w:rPr>
        <w:t>CoZr</w:t>
      </w:r>
      <w:proofErr w:type="spellEnd"/>
      <w:r w:rsidRPr="008B0952">
        <w:rPr>
          <w:b/>
          <w:bCs/>
        </w:rPr>
        <w:t>₂</w:t>
      </w:r>
      <w:r w:rsidRPr="008B0952">
        <w:t>:</w:t>
      </w:r>
    </w:p>
    <w:p w14:paraId="130E12DA" w14:textId="6645E37E" w:rsidR="008B0952" w:rsidRPr="008B0952" w:rsidRDefault="008B0952" w:rsidP="008B0952">
      <w:pPr>
        <w:numPr>
          <w:ilvl w:val="0"/>
          <w:numId w:val="3"/>
        </w:numPr>
      </w:pPr>
      <w:r w:rsidRPr="008B0952">
        <w:t>K1≈3.67</w:t>
      </w:r>
    </w:p>
    <w:p w14:paraId="1DF5F509" w14:textId="77777777" w:rsidR="008B0952" w:rsidRPr="008B0952" w:rsidRDefault="008B0952" w:rsidP="008B0952">
      <w:pPr>
        <w:numPr>
          <w:ilvl w:val="0"/>
          <w:numId w:val="3"/>
        </w:numPr>
      </w:pPr>
      <w:r w:rsidRPr="008B0952">
        <w:rPr>
          <w:b/>
          <w:bCs/>
        </w:rPr>
        <w:t>Predicted</w:t>
      </w:r>
      <w:r w:rsidRPr="008B0952">
        <w:t>: E</w:t>
      </w:r>
      <w:r w:rsidRPr="008B0952">
        <w:rPr>
          <w:rFonts w:ascii="Cambria Math" w:hAnsi="Cambria Math" w:cs="Cambria Math"/>
        </w:rPr>
        <w:t>∗∼</w:t>
      </w:r>
      <w:r w:rsidRPr="008B0952">
        <w:t>1.45</w:t>
      </w:r>
      <w:r w:rsidRPr="008B0952">
        <w:rPr>
          <w:rFonts w:ascii="Aptos" w:hAnsi="Aptos" w:cs="Aptos"/>
        </w:rPr>
        <w:t>×</w:t>
      </w:r>
      <w:r w:rsidRPr="008B0952">
        <w:t>106E^* \sim 1.45 \times 10^6 (requires scaling or normalization to match empirical model)</w:t>
      </w:r>
    </w:p>
    <w:p w14:paraId="7FC62AD0" w14:textId="77777777" w:rsidR="008B0952" w:rsidRPr="008B0952" w:rsidRDefault="008B0952" w:rsidP="008B0952">
      <w:r w:rsidRPr="008B0952">
        <w:pict w14:anchorId="74B463B2">
          <v:rect id="_x0000_i1088" style="width:0;height:1.5pt" o:hralign="center" o:hrstd="t" o:hr="t" fillcolor="#a0a0a0" stroked="f"/>
        </w:pict>
      </w:r>
    </w:p>
    <w:p w14:paraId="706577E1" w14:textId="62869496" w:rsidR="008B0952" w:rsidRPr="008B0952" w:rsidRDefault="008B0952" w:rsidP="008B0952">
      <w:pPr>
        <w:rPr>
          <w:b/>
          <w:bCs/>
        </w:rPr>
      </w:pPr>
      <w:r w:rsidRPr="008B0952">
        <w:rPr>
          <w:b/>
          <w:bCs/>
        </w:rPr>
        <w:t>3. Experimental Observables Correlated with E</w:t>
      </w:r>
      <w:r w:rsidRPr="008B0952">
        <w:rPr>
          <w:rFonts w:ascii="Cambria Math" w:hAnsi="Cambria Math" w:cs="Cambria Math"/>
          <w:b/>
          <w:bCs/>
        </w:rPr>
        <w:t>∗</w:t>
      </w:r>
    </w:p>
    <w:p w14:paraId="7FB4D890" w14:textId="77777777" w:rsidR="008B0952" w:rsidRPr="008B0952" w:rsidRDefault="008B0952" w:rsidP="008B0952">
      <w:pPr>
        <w:rPr>
          <w:b/>
          <w:bCs/>
        </w:rPr>
      </w:pPr>
      <w:r w:rsidRPr="008B0952">
        <w:rPr>
          <w:b/>
          <w:bCs/>
        </w:rPr>
        <w:t xml:space="preserve">3.1 Thermal Expansion and </w:t>
      </w:r>
      <w:proofErr w:type="spellStart"/>
      <w:r w:rsidRPr="008B0952">
        <w:rPr>
          <w:b/>
          <w:bCs/>
        </w:rPr>
        <w:t>Grüneisen</w:t>
      </w:r>
      <w:proofErr w:type="spellEnd"/>
      <w:r w:rsidRPr="008B0952">
        <w:rPr>
          <w:b/>
          <w:bCs/>
        </w:rPr>
        <w:t xml:space="preserve"> Parameters</w:t>
      </w:r>
    </w:p>
    <w:p w14:paraId="57E506D2" w14:textId="77777777" w:rsidR="008B0952" w:rsidRPr="008B0952" w:rsidRDefault="008B0952" w:rsidP="008B0952">
      <w:r w:rsidRPr="008B0952">
        <w:t xml:space="preserve">Negative thermal expansion (NTE) is linked to low-frequency phonon modes with negative </w:t>
      </w:r>
      <w:proofErr w:type="spellStart"/>
      <w:r w:rsidRPr="008B0952">
        <w:t>Grüneisen</w:t>
      </w:r>
      <w:proofErr w:type="spellEnd"/>
      <w:r w:rsidRPr="008B0952">
        <w:t xml:space="preserve"> parameters:</w:t>
      </w:r>
    </w:p>
    <w:p w14:paraId="08437F88" w14:textId="10F14361" w:rsidR="008B0952" w:rsidRPr="008B0952" w:rsidRDefault="008B0952" w:rsidP="008B0952">
      <w:pPr>
        <w:numPr>
          <w:ilvl w:val="0"/>
          <w:numId w:val="4"/>
        </w:numPr>
      </w:pPr>
      <w:proofErr w:type="spellStart"/>
      <w:r w:rsidRPr="008B0952">
        <w:rPr>
          <w:b/>
          <w:bCs/>
        </w:rPr>
        <w:t>FeZr</w:t>
      </w:r>
      <w:proofErr w:type="spellEnd"/>
      <w:r w:rsidRPr="008B0952">
        <w:rPr>
          <w:b/>
          <w:bCs/>
        </w:rPr>
        <w:t>₂</w:t>
      </w:r>
      <w:r w:rsidRPr="008B0952">
        <w:t>: αc=−25</w:t>
      </w:r>
      <w:r w:rsidRPr="008B0952">
        <w:rPr>
          <w:rFonts w:ascii="Arial" w:hAnsi="Arial" w:cs="Arial"/>
        </w:rPr>
        <w:t> </w:t>
      </w:r>
      <w:r w:rsidRPr="008B0952">
        <w:rPr>
          <w:rFonts w:ascii="Aptos" w:hAnsi="Aptos" w:cs="Aptos"/>
        </w:rPr>
        <w:t>μ</w:t>
      </w:r>
      <w:r w:rsidRPr="008B0952">
        <w:t>K</w:t>
      </w:r>
      <w:r w:rsidRPr="008B0952">
        <w:rPr>
          <w:rFonts w:ascii="Aptos" w:hAnsi="Aptos" w:cs="Aptos"/>
        </w:rPr>
        <w:t>−</w:t>
      </w:r>
      <w:r w:rsidRPr="008B0952">
        <w:t>1(strong NTE, negative γ\gamma)</w:t>
      </w:r>
    </w:p>
    <w:p w14:paraId="208044B2" w14:textId="5347AFE9" w:rsidR="008B0952" w:rsidRPr="008B0952" w:rsidRDefault="008B0952" w:rsidP="008B0952">
      <w:pPr>
        <w:numPr>
          <w:ilvl w:val="0"/>
          <w:numId w:val="4"/>
        </w:numPr>
      </w:pPr>
      <w:proofErr w:type="spellStart"/>
      <w:r w:rsidRPr="008B0952">
        <w:rPr>
          <w:b/>
          <w:bCs/>
        </w:rPr>
        <w:t>CoZr</w:t>
      </w:r>
      <w:proofErr w:type="spellEnd"/>
      <w:r w:rsidRPr="008B0952">
        <w:rPr>
          <w:b/>
          <w:bCs/>
        </w:rPr>
        <w:t>₂</w:t>
      </w:r>
      <w:r w:rsidRPr="008B0952">
        <w:t>: αc=−15</w:t>
      </w:r>
      <w:r w:rsidRPr="008B0952">
        <w:rPr>
          <w:rFonts w:ascii="Arial" w:hAnsi="Arial" w:cs="Arial"/>
        </w:rPr>
        <w:t> </w:t>
      </w:r>
      <w:r w:rsidRPr="008B0952">
        <w:rPr>
          <w:rFonts w:ascii="Aptos" w:hAnsi="Aptos" w:cs="Aptos"/>
        </w:rPr>
        <w:t>μ</w:t>
      </w:r>
      <w:r w:rsidRPr="008B0952">
        <w:t>K</w:t>
      </w:r>
      <w:r w:rsidRPr="008B0952">
        <w:rPr>
          <w:rFonts w:ascii="Aptos" w:hAnsi="Aptos" w:cs="Aptos"/>
        </w:rPr>
        <w:t>−</w:t>
      </w:r>
      <w:r w:rsidRPr="008B0952">
        <w:t>1(moderate NTE)</w:t>
      </w:r>
    </w:p>
    <w:p w14:paraId="73D834A8" w14:textId="20F3D85D" w:rsidR="008B0952" w:rsidRPr="008B0952" w:rsidRDefault="008B0952" w:rsidP="008B0952">
      <w:pPr>
        <w:numPr>
          <w:ilvl w:val="0"/>
          <w:numId w:val="4"/>
        </w:numPr>
      </w:pPr>
      <w:proofErr w:type="spellStart"/>
      <w:r w:rsidRPr="008B0952">
        <w:rPr>
          <w:b/>
          <w:bCs/>
        </w:rPr>
        <w:t>NiZr</w:t>
      </w:r>
      <w:proofErr w:type="spellEnd"/>
      <w:r w:rsidRPr="008B0952">
        <w:rPr>
          <w:b/>
          <w:bCs/>
        </w:rPr>
        <w:t>₂</w:t>
      </w:r>
      <w:r w:rsidRPr="008B0952">
        <w:t>: αc=+11</w:t>
      </w:r>
      <w:r w:rsidRPr="008B0952">
        <w:rPr>
          <w:rFonts w:ascii="Arial" w:hAnsi="Arial" w:cs="Arial"/>
        </w:rPr>
        <w:t> </w:t>
      </w:r>
      <w:r w:rsidRPr="008B0952">
        <w:rPr>
          <w:rFonts w:ascii="Aptos" w:hAnsi="Aptos" w:cs="Aptos"/>
        </w:rPr>
        <w:t>μ</w:t>
      </w:r>
      <w:r w:rsidRPr="008B0952">
        <w:t>K</w:t>
      </w:r>
      <w:r w:rsidRPr="008B0952">
        <w:rPr>
          <w:rFonts w:ascii="Aptos" w:hAnsi="Aptos" w:cs="Aptos"/>
        </w:rPr>
        <w:t>−</w:t>
      </w:r>
      <w:r w:rsidRPr="008B0952">
        <w:t>1(positive thermal expansion)</w:t>
      </w:r>
    </w:p>
    <w:p w14:paraId="4869029F" w14:textId="7B9E7A89" w:rsidR="008B0952" w:rsidRPr="008B0952" w:rsidRDefault="008B0952" w:rsidP="008B0952">
      <w:r w:rsidRPr="008B0952">
        <w:t>A clear trend emerges: increased NTE correlates with decreased E</w:t>
      </w:r>
      <w:r w:rsidRPr="008B0952">
        <w:rPr>
          <w:rFonts w:ascii="Cambria Math" w:hAnsi="Cambria Math" w:cs="Cambria Math"/>
        </w:rPr>
        <w:t>∗</w:t>
      </w:r>
      <w:r w:rsidRPr="008B0952">
        <w:t>.</w:t>
      </w:r>
    </w:p>
    <w:p w14:paraId="7F9675AF" w14:textId="77777777" w:rsidR="008B0952" w:rsidRPr="008B0952" w:rsidRDefault="008B0952" w:rsidP="008B0952">
      <w:pPr>
        <w:rPr>
          <w:b/>
          <w:bCs/>
        </w:rPr>
      </w:pPr>
      <w:r w:rsidRPr="008B0952">
        <w:rPr>
          <w:b/>
          <w:bCs/>
        </w:rPr>
        <w:t>3.2 Superconducting Transition Temperatures</w:t>
      </w:r>
    </w:p>
    <w:p w14:paraId="4A2DB84E" w14:textId="17D33C6E" w:rsidR="008B0952" w:rsidRPr="008B0952" w:rsidRDefault="008B0952" w:rsidP="008B0952">
      <w:r w:rsidRPr="008B0952">
        <w:t>Superconducting Tc provides a qualitative measure of electron-lattice coupling and anisotropy: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2"/>
        <w:gridCol w:w="612"/>
        <w:gridCol w:w="1567"/>
      </w:tblGrid>
      <w:tr w:rsidR="008B0952" w:rsidRPr="008B0952" w14:paraId="260CB965" w14:textId="77777777" w:rsidTr="008B0952">
        <w:trPr>
          <w:tblHeader/>
          <w:tblCellSpacing w:w="15" w:type="dxa"/>
        </w:trPr>
        <w:tc>
          <w:tcPr>
            <w:tcW w:w="0" w:type="auto"/>
            <w:vAlign w:val="center"/>
            <w:hideMark/>
          </w:tcPr>
          <w:p w14:paraId="57045A62" w14:textId="77777777" w:rsidR="008B0952" w:rsidRPr="008B0952" w:rsidRDefault="008B0952" w:rsidP="008B0952">
            <w:pPr>
              <w:rPr>
                <w:b/>
                <w:bCs/>
              </w:rPr>
            </w:pPr>
            <w:r w:rsidRPr="008B0952">
              <w:rPr>
                <w:b/>
                <w:bCs/>
              </w:rPr>
              <w:t>Compound</w:t>
            </w:r>
          </w:p>
        </w:tc>
        <w:tc>
          <w:tcPr>
            <w:tcW w:w="0" w:type="auto"/>
            <w:vAlign w:val="center"/>
            <w:hideMark/>
          </w:tcPr>
          <w:p w14:paraId="5D0C3778" w14:textId="15C69B9B" w:rsidR="008B0952" w:rsidRPr="008B0952" w:rsidRDefault="008B0952" w:rsidP="008B0952">
            <w:pPr>
              <w:rPr>
                <w:b/>
                <w:bCs/>
              </w:rPr>
            </w:pPr>
            <w:r w:rsidRPr="008B0952">
              <w:rPr>
                <w:b/>
                <w:bCs/>
              </w:rPr>
              <w:t>Tc</w:t>
            </w:r>
          </w:p>
        </w:tc>
        <w:tc>
          <w:tcPr>
            <w:tcW w:w="0" w:type="auto"/>
            <w:vAlign w:val="center"/>
            <w:hideMark/>
          </w:tcPr>
          <w:p w14:paraId="38B8D694" w14:textId="5BC7BF83" w:rsidR="008B0952" w:rsidRPr="008B0952" w:rsidRDefault="008B0952" w:rsidP="008B0952">
            <w:pPr>
              <w:rPr>
                <w:b/>
                <w:bCs/>
              </w:rPr>
            </w:pPr>
            <w:r w:rsidRPr="008B0952">
              <w:rPr>
                <w:b/>
                <w:bCs/>
              </w:rPr>
              <w:t>E</w:t>
            </w:r>
            <w:r>
              <w:rPr>
                <w:b/>
                <w:bCs/>
              </w:rPr>
              <w:t>*</w:t>
            </w:r>
            <w:r w:rsidRPr="008B0952">
              <w:rPr>
                <w:b/>
                <w:bCs/>
              </w:rPr>
              <w:t xml:space="preserve"> (predicted)</w:t>
            </w:r>
          </w:p>
        </w:tc>
      </w:tr>
      <w:tr w:rsidR="008B0952" w:rsidRPr="008B0952" w14:paraId="24B9DE19" w14:textId="77777777" w:rsidTr="008B0952">
        <w:trPr>
          <w:tblCellSpacing w:w="15" w:type="dxa"/>
        </w:trPr>
        <w:tc>
          <w:tcPr>
            <w:tcW w:w="0" w:type="auto"/>
            <w:vAlign w:val="center"/>
            <w:hideMark/>
          </w:tcPr>
          <w:p w14:paraId="5131120F" w14:textId="77777777" w:rsidR="008B0952" w:rsidRPr="008B0952" w:rsidRDefault="008B0952" w:rsidP="008B0952">
            <w:proofErr w:type="spellStart"/>
            <w:r w:rsidRPr="008B0952">
              <w:t>CoZr</w:t>
            </w:r>
            <w:proofErr w:type="spellEnd"/>
            <w:r w:rsidRPr="008B0952">
              <w:t>₂</w:t>
            </w:r>
          </w:p>
        </w:tc>
        <w:tc>
          <w:tcPr>
            <w:tcW w:w="0" w:type="auto"/>
            <w:vAlign w:val="center"/>
            <w:hideMark/>
          </w:tcPr>
          <w:p w14:paraId="628EB665" w14:textId="77777777" w:rsidR="008B0952" w:rsidRPr="008B0952" w:rsidRDefault="008B0952" w:rsidP="008B0952">
            <w:r w:rsidRPr="008B0952">
              <w:t>5–6 K</w:t>
            </w:r>
          </w:p>
        </w:tc>
        <w:tc>
          <w:tcPr>
            <w:tcW w:w="0" w:type="auto"/>
            <w:vAlign w:val="center"/>
            <w:hideMark/>
          </w:tcPr>
          <w:p w14:paraId="17F81E94" w14:textId="77777777" w:rsidR="008B0952" w:rsidRPr="008B0952" w:rsidRDefault="008B0952" w:rsidP="008B0952">
            <w:r w:rsidRPr="008B0952">
              <w:t>~1.87</w:t>
            </w:r>
          </w:p>
        </w:tc>
      </w:tr>
      <w:tr w:rsidR="008B0952" w:rsidRPr="008B0952" w14:paraId="178A81DD" w14:textId="77777777" w:rsidTr="008B0952">
        <w:trPr>
          <w:tblCellSpacing w:w="15" w:type="dxa"/>
        </w:trPr>
        <w:tc>
          <w:tcPr>
            <w:tcW w:w="0" w:type="auto"/>
            <w:vAlign w:val="center"/>
            <w:hideMark/>
          </w:tcPr>
          <w:p w14:paraId="098A1FC1" w14:textId="77777777" w:rsidR="008B0952" w:rsidRPr="008B0952" w:rsidRDefault="008B0952" w:rsidP="008B0952">
            <w:proofErr w:type="spellStart"/>
            <w:r w:rsidRPr="008B0952">
              <w:lastRenderedPageBreak/>
              <w:t>FeZr</w:t>
            </w:r>
            <w:proofErr w:type="spellEnd"/>
            <w:r w:rsidRPr="008B0952">
              <w:t>₂</w:t>
            </w:r>
          </w:p>
        </w:tc>
        <w:tc>
          <w:tcPr>
            <w:tcW w:w="0" w:type="auto"/>
            <w:vAlign w:val="center"/>
            <w:hideMark/>
          </w:tcPr>
          <w:p w14:paraId="12F0EB35" w14:textId="77777777" w:rsidR="008B0952" w:rsidRPr="008B0952" w:rsidRDefault="008B0952" w:rsidP="008B0952">
            <w:r w:rsidRPr="008B0952">
              <w:t>&lt;1 K</w:t>
            </w:r>
          </w:p>
        </w:tc>
        <w:tc>
          <w:tcPr>
            <w:tcW w:w="0" w:type="auto"/>
            <w:vAlign w:val="center"/>
            <w:hideMark/>
          </w:tcPr>
          <w:p w14:paraId="3F7C1DA8" w14:textId="77777777" w:rsidR="008B0952" w:rsidRPr="008B0952" w:rsidRDefault="008B0952" w:rsidP="008B0952">
            <w:r w:rsidRPr="008B0952">
              <w:t>~0.92</w:t>
            </w:r>
          </w:p>
        </w:tc>
      </w:tr>
      <w:tr w:rsidR="008B0952" w:rsidRPr="008B0952" w14:paraId="14392AC2" w14:textId="77777777" w:rsidTr="008B0952">
        <w:trPr>
          <w:tblCellSpacing w:w="15" w:type="dxa"/>
        </w:trPr>
        <w:tc>
          <w:tcPr>
            <w:tcW w:w="0" w:type="auto"/>
            <w:vAlign w:val="center"/>
            <w:hideMark/>
          </w:tcPr>
          <w:p w14:paraId="37A4A7DE" w14:textId="77777777" w:rsidR="008B0952" w:rsidRPr="008B0952" w:rsidRDefault="008B0952" w:rsidP="008B0952">
            <w:proofErr w:type="spellStart"/>
            <w:r w:rsidRPr="008B0952">
              <w:t>NiZr</w:t>
            </w:r>
            <w:proofErr w:type="spellEnd"/>
            <w:r w:rsidRPr="008B0952">
              <w:t>₂</w:t>
            </w:r>
          </w:p>
        </w:tc>
        <w:tc>
          <w:tcPr>
            <w:tcW w:w="0" w:type="auto"/>
            <w:vAlign w:val="center"/>
            <w:hideMark/>
          </w:tcPr>
          <w:p w14:paraId="42C8CC69" w14:textId="77777777" w:rsidR="008B0952" w:rsidRPr="008B0952" w:rsidRDefault="008B0952" w:rsidP="008B0952">
            <w:r w:rsidRPr="008B0952">
              <w:t>~0 K</w:t>
            </w:r>
          </w:p>
        </w:tc>
        <w:tc>
          <w:tcPr>
            <w:tcW w:w="0" w:type="auto"/>
            <w:vAlign w:val="center"/>
            <w:hideMark/>
          </w:tcPr>
          <w:p w14:paraId="2C56AD0A" w14:textId="77777777" w:rsidR="008B0952" w:rsidRPr="008B0952" w:rsidRDefault="008B0952" w:rsidP="008B0952">
            <w:r w:rsidRPr="008B0952">
              <w:t>~0</w:t>
            </w:r>
          </w:p>
        </w:tc>
      </w:tr>
    </w:tbl>
    <w:p w14:paraId="702A0AF2" w14:textId="77777777" w:rsidR="008B0952" w:rsidRPr="008B0952" w:rsidRDefault="008B0952" w:rsidP="008B0952">
      <w:pPr>
        <w:rPr>
          <w:b/>
          <w:bCs/>
        </w:rPr>
      </w:pPr>
      <w:r w:rsidRPr="008B0952">
        <w:rPr>
          <w:b/>
          <w:bCs/>
        </w:rPr>
        <w:t>3.3 Local Bonding and Structural Flexibility</w:t>
      </w:r>
    </w:p>
    <w:p w14:paraId="17F2E824" w14:textId="77777777" w:rsidR="008B0952" w:rsidRPr="008B0952" w:rsidRDefault="008B0952" w:rsidP="008B0952">
      <w:r w:rsidRPr="008B0952">
        <w:t>EXAFS and pair distribution function (PDF) analyses suggest:</w:t>
      </w:r>
    </w:p>
    <w:p w14:paraId="5CC07B3A" w14:textId="77777777" w:rsidR="008B0952" w:rsidRPr="008B0952" w:rsidRDefault="008B0952" w:rsidP="008B0952">
      <w:pPr>
        <w:numPr>
          <w:ilvl w:val="0"/>
          <w:numId w:val="5"/>
        </w:numPr>
      </w:pPr>
      <w:r w:rsidRPr="008B0952">
        <w:rPr>
          <w:b/>
          <w:bCs/>
        </w:rPr>
        <w:t>Zr-Fe bonds</w:t>
      </w:r>
      <w:r w:rsidRPr="008B0952">
        <w:t xml:space="preserve"> in </w:t>
      </w:r>
      <w:proofErr w:type="spellStart"/>
      <w:r w:rsidRPr="008B0952">
        <w:t>FeZr</w:t>
      </w:r>
      <w:proofErr w:type="spellEnd"/>
      <w:r w:rsidRPr="008B0952">
        <w:t>₂ are softer, contributing to greater vibrational freedom and stronger NTE.</w:t>
      </w:r>
    </w:p>
    <w:p w14:paraId="5F444B37" w14:textId="77777777" w:rsidR="008B0952" w:rsidRPr="008B0952" w:rsidRDefault="008B0952" w:rsidP="008B0952">
      <w:pPr>
        <w:numPr>
          <w:ilvl w:val="0"/>
          <w:numId w:val="5"/>
        </w:numPr>
      </w:pPr>
      <w:r w:rsidRPr="008B0952">
        <w:rPr>
          <w:b/>
          <w:bCs/>
        </w:rPr>
        <w:t>Zr-Co bonds</w:t>
      </w:r>
      <w:r w:rsidRPr="008B0952">
        <w:t xml:space="preserve"> in </w:t>
      </w:r>
      <w:proofErr w:type="spellStart"/>
      <w:r w:rsidRPr="008B0952">
        <w:t>CoZr</w:t>
      </w:r>
      <w:proofErr w:type="spellEnd"/>
      <w:r w:rsidRPr="008B0952">
        <w:t>₂ are stiffer, reducing phonon flexibility and enhancing magnetic anisotropy.</w:t>
      </w:r>
    </w:p>
    <w:p w14:paraId="5A067371" w14:textId="77777777" w:rsidR="008B0952" w:rsidRPr="008B0952" w:rsidRDefault="008B0952" w:rsidP="008B0952">
      <w:r w:rsidRPr="008B0952">
        <w:pict w14:anchorId="476190D6">
          <v:rect id="_x0000_i1089" style="width:0;height:1.5pt" o:hralign="center" o:hrstd="t" o:hr="t" fillcolor="#a0a0a0" stroked="f"/>
        </w:pict>
      </w:r>
    </w:p>
    <w:p w14:paraId="4487968F" w14:textId="77777777" w:rsidR="008B0952" w:rsidRPr="008B0952" w:rsidRDefault="008B0952" w:rsidP="008B0952">
      <w:pPr>
        <w:rPr>
          <w:b/>
          <w:bCs/>
        </w:rPr>
      </w:pPr>
      <w:r w:rsidRPr="008B0952">
        <w:rPr>
          <w:b/>
          <w:bCs/>
        </w:rPr>
        <w:t>4. Correlation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6"/>
        <w:gridCol w:w="1270"/>
        <w:gridCol w:w="1227"/>
        <w:gridCol w:w="2332"/>
      </w:tblGrid>
      <w:tr w:rsidR="008B0952" w:rsidRPr="008B0952" w14:paraId="390CDDC2" w14:textId="77777777" w:rsidTr="008B0952">
        <w:trPr>
          <w:tblHeader/>
          <w:tblCellSpacing w:w="15" w:type="dxa"/>
        </w:trPr>
        <w:tc>
          <w:tcPr>
            <w:tcW w:w="0" w:type="auto"/>
            <w:vAlign w:val="center"/>
            <w:hideMark/>
          </w:tcPr>
          <w:p w14:paraId="20A7C3FE" w14:textId="77777777" w:rsidR="008B0952" w:rsidRPr="008B0952" w:rsidRDefault="008B0952" w:rsidP="008B0952">
            <w:pPr>
              <w:rPr>
                <w:b/>
                <w:bCs/>
              </w:rPr>
            </w:pPr>
            <w:r w:rsidRPr="008B0952">
              <w:rPr>
                <w:b/>
                <w:bCs/>
              </w:rPr>
              <w:t>Property</w:t>
            </w:r>
          </w:p>
        </w:tc>
        <w:tc>
          <w:tcPr>
            <w:tcW w:w="0" w:type="auto"/>
            <w:vAlign w:val="center"/>
            <w:hideMark/>
          </w:tcPr>
          <w:p w14:paraId="5F16AB28" w14:textId="77777777" w:rsidR="008B0952" w:rsidRPr="008B0952" w:rsidRDefault="008B0952" w:rsidP="008B0952">
            <w:pPr>
              <w:rPr>
                <w:b/>
                <w:bCs/>
              </w:rPr>
            </w:pPr>
            <w:proofErr w:type="spellStart"/>
            <w:r w:rsidRPr="008B0952">
              <w:rPr>
                <w:b/>
                <w:bCs/>
              </w:rPr>
              <w:t>CoZr</w:t>
            </w:r>
            <w:proofErr w:type="spellEnd"/>
            <w:r w:rsidRPr="008B0952">
              <w:rPr>
                <w:b/>
                <w:bCs/>
              </w:rPr>
              <w:t>₂</w:t>
            </w:r>
          </w:p>
        </w:tc>
        <w:tc>
          <w:tcPr>
            <w:tcW w:w="0" w:type="auto"/>
            <w:vAlign w:val="center"/>
            <w:hideMark/>
          </w:tcPr>
          <w:p w14:paraId="03B10D1A" w14:textId="77777777" w:rsidR="008B0952" w:rsidRPr="008B0952" w:rsidRDefault="008B0952" w:rsidP="008B0952">
            <w:pPr>
              <w:rPr>
                <w:b/>
                <w:bCs/>
              </w:rPr>
            </w:pPr>
            <w:proofErr w:type="spellStart"/>
            <w:r w:rsidRPr="008B0952">
              <w:rPr>
                <w:b/>
                <w:bCs/>
              </w:rPr>
              <w:t>FeZr</w:t>
            </w:r>
            <w:proofErr w:type="spellEnd"/>
            <w:r w:rsidRPr="008B0952">
              <w:rPr>
                <w:b/>
                <w:bCs/>
              </w:rPr>
              <w:t>₂</w:t>
            </w:r>
          </w:p>
        </w:tc>
        <w:tc>
          <w:tcPr>
            <w:tcW w:w="0" w:type="auto"/>
            <w:vAlign w:val="center"/>
            <w:hideMark/>
          </w:tcPr>
          <w:p w14:paraId="3A5063AE" w14:textId="77777777" w:rsidR="008B0952" w:rsidRPr="008B0952" w:rsidRDefault="008B0952" w:rsidP="008B0952">
            <w:pPr>
              <w:rPr>
                <w:b/>
                <w:bCs/>
              </w:rPr>
            </w:pPr>
            <w:proofErr w:type="spellStart"/>
            <w:r w:rsidRPr="008B0952">
              <w:rPr>
                <w:b/>
                <w:bCs/>
              </w:rPr>
              <w:t>NiZr</w:t>
            </w:r>
            <w:proofErr w:type="spellEnd"/>
            <w:r w:rsidRPr="008B0952">
              <w:rPr>
                <w:b/>
                <w:bCs/>
              </w:rPr>
              <w:t>₂</w:t>
            </w:r>
          </w:p>
        </w:tc>
      </w:tr>
      <w:tr w:rsidR="008B0952" w:rsidRPr="008B0952" w14:paraId="320CACE7" w14:textId="77777777" w:rsidTr="008B0952">
        <w:trPr>
          <w:tblCellSpacing w:w="15" w:type="dxa"/>
        </w:trPr>
        <w:tc>
          <w:tcPr>
            <w:tcW w:w="0" w:type="auto"/>
            <w:vAlign w:val="center"/>
            <w:hideMark/>
          </w:tcPr>
          <w:p w14:paraId="3DA42342" w14:textId="77777777" w:rsidR="008B0952" w:rsidRPr="008B0952" w:rsidRDefault="008B0952" w:rsidP="008B0952">
            <w:r w:rsidRPr="008B0952">
              <w:t>E</w:t>
            </w:r>
            <w:r w:rsidRPr="008B0952">
              <w:rPr>
                <w:rFonts w:ascii="Cambria Math" w:hAnsi="Cambria Math" w:cs="Cambria Math"/>
              </w:rPr>
              <w:t>∗</w:t>
            </w:r>
            <w:r w:rsidRPr="008B0952">
              <w:t>E^* (empirical)</w:t>
            </w:r>
          </w:p>
        </w:tc>
        <w:tc>
          <w:tcPr>
            <w:tcW w:w="0" w:type="auto"/>
            <w:vAlign w:val="center"/>
            <w:hideMark/>
          </w:tcPr>
          <w:p w14:paraId="5CE97544" w14:textId="77777777" w:rsidR="008B0952" w:rsidRPr="008B0952" w:rsidRDefault="008B0952" w:rsidP="008B0952">
            <w:r w:rsidRPr="008B0952">
              <w:t>1.87</w:t>
            </w:r>
          </w:p>
        </w:tc>
        <w:tc>
          <w:tcPr>
            <w:tcW w:w="0" w:type="auto"/>
            <w:vAlign w:val="center"/>
            <w:hideMark/>
          </w:tcPr>
          <w:p w14:paraId="034486D3" w14:textId="77777777" w:rsidR="008B0952" w:rsidRPr="008B0952" w:rsidRDefault="008B0952" w:rsidP="008B0952">
            <w:r w:rsidRPr="008B0952">
              <w:t>0.92</w:t>
            </w:r>
          </w:p>
        </w:tc>
        <w:tc>
          <w:tcPr>
            <w:tcW w:w="0" w:type="auto"/>
            <w:vAlign w:val="center"/>
            <w:hideMark/>
          </w:tcPr>
          <w:p w14:paraId="76F50D50" w14:textId="77777777" w:rsidR="008B0952" w:rsidRPr="008B0952" w:rsidRDefault="008B0952" w:rsidP="008B0952">
            <w:r w:rsidRPr="008B0952">
              <w:t>~0</w:t>
            </w:r>
          </w:p>
        </w:tc>
      </w:tr>
      <w:tr w:rsidR="008B0952" w:rsidRPr="008B0952" w14:paraId="4EC722B0" w14:textId="77777777" w:rsidTr="008B0952">
        <w:trPr>
          <w:tblCellSpacing w:w="15" w:type="dxa"/>
        </w:trPr>
        <w:tc>
          <w:tcPr>
            <w:tcW w:w="0" w:type="auto"/>
            <w:vAlign w:val="center"/>
            <w:hideMark/>
          </w:tcPr>
          <w:p w14:paraId="2B51E79F" w14:textId="77777777" w:rsidR="008B0952" w:rsidRPr="008B0952" w:rsidRDefault="008B0952" w:rsidP="008B0952">
            <w:r w:rsidRPr="008B0952">
              <w:t>αc\</w:t>
            </w:r>
            <w:proofErr w:type="spellStart"/>
            <w:r w:rsidRPr="008B0952">
              <w:t>alpha_c</w:t>
            </w:r>
            <w:proofErr w:type="spellEnd"/>
          </w:p>
        </w:tc>
        <w:tc>
          <w:tcPr>
            <w:tcW w:w="0" w:type="auto"/>
            <w:vAlign w:val="center"/>
            <w:hideMark/>
          </w:tcPr>
          <w:p w14:paraId="002F801A" w14:textId="77777777" w:rsidR="008B0952" w:rsidRPr="008B0952" w:rsidRDefault="008B0952" w:rsidP="008B0952">
            <w:r w:rsidRPr="008B0952">
              <w:t>-15 µK</w:t>
            </w:r>
            <w:r w:rsidRPr="008B0952">
              <w:rPr>
                <w:rFonts w:ascii="Cambria Math" w:hAnsi="Cambria Math" w:cs="Cambria Math"/>
              </w:rPr>
              <w:t>⁻</w:t>
            </w:r>
            <w:r w:rsidRPr="008B0952">
              <w:rPr>
                <w:rFonts w:ascii="Aptos" w:hAnsi="Aptos" w:cs="Aptos"/>
              </w:rPr>
              <w:t>¹</w:t>
            </w:r>
          </w:p>
        </w:tc>
        <w:tc>
          <w:tcPr>
            <w:tcW w:w="0" w:type="auto"/>
            <w:vAlign w:val="center"/>
            <w:hideMark/>
          </w:tcPr>
          <w:p w14:paraId="395227E8" w14:textId="77777777" w:rsidR="008B0952" w:rsidRPr="008B0952" w:rsidRDefault="008B0952" w:rsidP="008B0952">
            <w:r w:rsidRPr="008B0952">
              <w:t>-25 µK</w:t>
            </w:r>
            <w:r w:rsidRPr="008B0952">
              <w:rPr>
                <w:rFonts w:ascii="Cambria Math" w:hAnsi="Cambria Math" w:cs="Cambria Math"/>
              </w:rPr>
              <w:t>⁻</w:t>
            </w:r>
            <w:r w:rsidRPr="008B0952">
              <w:rPr>
                <w:rFonts w:ascii="Aptos" w:hAnsi="Aptos" w:cs="Aptos"/>
              </w:rPr>
              <w:t>¹</w:t>
            </w:r>
          </w:p>
        </w:tc>
        <w:tc>
          <w:tcPr>
            <w:tcW w:w="0" w:type="auto"/>
            <w:vAlign w:val="center"/>
            <w:hideMark/>
          </w:tcPr>
          <w:p w14:paraId="1FD1CD8B" w14:textId="77777777" w:rsidR="008B0952" w:rsidRPr="008B0952" w:rsidRDefault="008B0952" w:rsidP="008B0952">
            <w:r w:rsidRPr="008B0952">
              <w:t>+11 µK</w:t>
            </w:r>
            <w:r w:rsidRPr="008B0952">
              <w:rPr>
                <w:rFonts w:ascii="Cambria Math" w:hAnsi="Cambria Math" w:cs="Cambria Math"/>
              </w:rPr>
              <w:t>⁻</w:t>
            </w:r>
            <w:r w:rsidRPr="008B0952">
              <w:rPr>
                <w:rFonts w:ascii="Aptos" w:hAnsi="Aptos" w:cs="Aptos"/>
              </w:rPr>
              <w:t>¹</w:t>
            </w:r>
          </w:p>
        </w:tc>
      </w:tr>
      <w:tr w:rsidR="008B0952" w:rsidRPr="008B0952" w14:paraId="164E536D" w14:textId="77777777" w:rsidTr="008B0952">
        <w:trPr>
          <w:tblCellSpacing w:w="15" w:type="dxa"/>
        </w:trPr>
        <w:tc>
          <w:tcPr>
            <w:tcW w:w="0" w:type="auto"/>
            <w:vAlign w:val="center"/>
            <w:hideMark/>
          </w:tcPr>
          <w:p w14:paraId="488AA7EF" w14:textId="77777777" w:rsidR="008B0952" w:rsidRPr="008B0952" w:rsidRDefault="008B0952" w:rsidP="008B0952">
            <w:proofErr w:type="spellStart"/>
            <w:r w:rsidRPr="008B0952">
              <w:t>TcT_c</w:t>
            </w:r>
            <w:proofErr w:type="spellEnd"/>
          </w:p>
        </w:tc>
        <w:tc>
          <w:tcPr>
            <w:tcW w:w="0" w:type="auto"/>
            <w:vAlign w:val="center"/>
            <w:hideMark/>
          </w:tcPr>
          <w:p w14:paraId="0A59482E" w14:textId="77777777" w:rsidR="008B0952" w:rsidRPr="008B0952" w:rsidRDefault="008B0952" w:rsidP="008B0952">
            <w:r w:rsidRPr="008B0952">
              <w:t>5–6 K</w:t>
            </w:r>
          </w:p>
        </w:tc>
        <w:tc>
          <w:tcPr>
            <w:tcW w:w="0" w:type="auto"/>
            <w:vAlign w:val="center"/>
            <w:hideMark/>
          </w:tcPr>
          <w:p w14:paraId="1E32C3B6" w14:textId="77777777" w:rsidR="008B0952" w:rsidRPr="008B0952" w:rsidRDefault="008B0952" w:rsidP="008B0952">
            <w:r w:rsidRPr="008B0952">
              <w:t>&lt;1 K</w:t>
            </w:r>
          </w:p>
        </w:tc>
        <w:tc>
          <w:tcPr>
            <w:tcW w:w="0" w:type="auto"/>
            <w:vAlign w:val="center"/>
            <w:hideMark/>
          </w:tcPr>
          <w:p w14:paraId="1C8ADD09" w14:textId="77777777" w:rsidR="008B0952" w:rsidRPr="008B0952" w:rsidRDefault="008B0952" w:rsidP="008B0952">
            <w:r w:rsidRPr="008B0952">
              <w:t>~0 K</w:t>
            </w:r>
          </w:p>
        </w:tc>
      </w:tr>
      <w:tr w:rsidR="008B0952" w:rsidRPr="008B0952" w14:paraId="0D4980BC" w14:textId="77777777" w:rsidTr="008B0952">
        <w:trPr>
          <w:tblCellSpacing w:w="15" w:type="dxa"/>
        </w:trPr>
        <w:tc>
          <w:tcPr>
            <w:tcW w:w="0" w:type="auto"/>
            <w:vAlign w:val="center"/>
            <w:hideMark/>
          </w:tcPr>
          <w:p w14:paraId="55E33611" w14:textId="77777777" w:rsidR="008B0952" w:rsidRPr="008B0952" w:rsidRDefault="008B0952" w:rsidP="008B0952">
            <w:r w:rsidRPr="008B0952">
              <w:t>Bond stiffness</w:t>
            </w:r>
          </w:p>
        </w:tc>
        <w:tc>
          <w:tcPr>
            <w:tcW w:w="0" w:type="auto"/>
            <w:vAlign w:val="center"/>
            <w:hideMark/>
          </w:tcPr>
          <w:p w14:paraId="089E103B" w14:textId="77777777" w:rsidR="008B0952" w:rsidRPr="008B0952" w:rsidRDefault="008B0952" w:rsidP="008B0952">
            <w:r w:rsidRPr="008B0952">
              <w:t>Stiff (Zr–Co)</w:t>
            </w:r>
          </w:p>
        </w:tc>
        <w:tc>
          <w:tcPr>
            <w:tcW w:w="0" w:type="auto"/>
            <w:vAlign w:val="center"/>
            <w:hideMark/>
          </w:tcPr>
          <w:p w14:paraId="32E16A0C" w14:textId="77777777" w:rsidR="008B0952" w:rsidRPr="008B0952" w:rsidRDefault="008B0952" w:rsidP="008B0952">
            <w:r w:rsidRPr="008B0952">
              <w:t>Soft (Zr–Fe)</w:t>
            </w:r>
          </w:p>
        </w:tc>
        <w:tc>
          <w:tcPr>
            <w:tcW w:w="0" w:type="auto"/>
            <w:vAlign w:val="center"/>
            <w:hideMark/>
          </w:tcPr>
          <w:p w14:paraId="0CAE1432" w14:textId="77777777" w:rsidR="008B0952" w:rsidRPr="008B0952" w:rsidRDefault="008B0952" w:rsidP="008B0952">
            <w:r w:rsidRPr="008B0952">
              <w:t>Rigid (Zr–Ni)</w:t>
            </w:r>
          </w:p>
        </w:tc>
      </w:tr>
      <w:tr w:rsidR="008B0952" w:rsidRPr="008B0952" w14:paraId="1158FBFD" w14:textId="77777777" w:rsidTr="008B0952">
        <w:trPr>
          <w:tblCellSpacing w:w="15" w:type="dxa"/>
        </w:trPr>
        <w:tc>
          <w:tcPr>
            <w:tcW w:w="0" w:type="auto"/>
            <w:vAlign w:val="center"/>
            <w:hideMark/>
          </w:tcPr>
          <w:p w14:paraId="57DC531C" w14:textId="77777777" w:rsidR="008B0952" w:rsidRPr="008B0952" w:rsidRDefault="008B0952" w:rsidP="008B0952">
            <w:r w:rsidRPr="008B0952">
              <w:t>Dominant phonons</w:t>
            </w:r>
          </w:p>
        </w:tc>
        <w:tc>
          <w:tcPr>
            <w:tcW w:w="0" w:type="auto"/>
            <w:vAlign w:val="center"/>
            <w:hideMark/>
          </w:tcPr>
          <w:p w14:paraId="3A6D3675" w14:textId="77777777" w:rsidR="008B0952" w:rsidRPr="008B0952" w:rsidRDefault="008B0952" w:rsidP="008B0952">
            <w:r w:rsidRPr="008B0952">
              <w:t>Optical</w:t>
            </w:r>
          </w:p>
        </w:tc>
        <w:tc>
          <w:tcPr>
            <w:tcW w:w="0" w:type="auto"/>
            <w:vAlign w:val="center"/>
            <w:hideMark/>
          </w:tcPr>
          <w:p w14:paraId="0ACF05D1" w14:textId="77777777" w:rsidR="008B0952" w:rsidRPr="008B0952" w:rsidRDefault="008B0952" w:rsidP="008B0952">
            <w:r w:rsidRPr="008B0952">
              <w:t>Acoustic</w:t>
            </w:r>
          </w:p>
        </w:tc>
        <w:tc>
          <w:tcPr>
            <w:tcW w:w="0" w:type="auto"/>
            <w:vAlign w:val="center"/>
            <w:hideMark/>
          </w:tcPr>
          <w:p w14:paraId="431ED833" w14:textId="77777777" w:rsidR="008B0952" w:rsidRPr="008B0952" w:rsidRDefault="008B0952" w:rsidP="008B0952">
            <w:r w:rsidRPr="008B0952">
              <w:t>None (no NTE-driving)</w:t>
            </w:r>
          </w:p>
        </w:tc>
      </w:tr>
    </w:tbl>
    <w:p w14:paraId="1DC7DC20" w14:textId="77777777" w:rsidR="008B0952" w:rsidRPr="008B0952" w:rsidRDefault="008B0952" w:rsidP="008B0952">
      <w:r w:rsidRPr="008B0952">
        <w:pict w14:anchorId="04FE452D">
          <v:rect id="_x0000_i1090" style="width:0;height:1.5pt" o:hralign="center" o:hrstd="t" o:hr="t" fillcolor="#a0a0a0" stroked="f"/>
        </w:pict>
      </w:r>
    </w:p>
    <w:p w14:paraId="1754687B" w14:textId="77777777" w:rsidR="008B0952" w:rsidRPr="008B0952" w:rsidRDefault="008B0952" w:rsidP="008B0952">
      <w:pPr>
        <w:rPr>
          <w:b/>
          <w:bCs/>
        </w:rPr>
      </w:pPr>
      <w:r w:rsidRPr="008B0952">
        <w:rPr>
          <w:b/>
          <w:bCs/>
        </w:rPr>
        <w:t>5. Challenges in Direct Validation</w:t>
      </w:r>
    </w:p>
    <w:p w14:paraId="1C38FAA5" w14:textId="77777777" w:rsidR="008B0952" w:rsidRPr="008B0952" w:rsidRDefault="008B0952" w:rsidP="008B0952">
      <w:r w:rsidRPr="008B0952">
        <w:t>Despite strong trends, direct experimental validation of E</w:t>
      </w:r>
      <w:r w:rsidRPr="008B0952">
        <w:rPr>
          <w:rFonts w:ascii="Cambria Math" w:hAnsi="Cambria Math" w:cs="Cambria Math"/>
        </w:rPr>
        <w:t>∗</w:t>
      </w:r>
      <w:r w:rsidRPr="008B0952">
        <w:t>E^* remains limited. Several techniques can offer indirect constraints:</w:t>
      </w:r>
    </w:p>
    <w:p w14:paraId="50F45C1D" w14:textId="77777777" w:rsidR="008B0952" w:rsidRPr="008B0952" w:rsidRDefault="008B0952" w:rsidP="008B0952">
      <w:pPr>
        <w:numPr>
          <w:ilvl w:val="0"/>
          <w:numId w:val="6"/>
        </w:numPr>
      </w:pPr>
      <w:r w:rsidRPr="008B0952">
        <w:rPr>
          <w:b/>
          <w:bCs/>
        </w:rPr>
        <w:t>Neutron scattering</w:t>
      </w:r>
      <w:r w:rsidRPr="008B0952">
        <w:t xml:space="preserve">: Phonon density of states informs the </w:t>
      </w:r>
      <w:proofErr w:type="spellStart"/>
      <w:r w:rsidRPr="008B0952">
        <w:t>Grüneisen</w:t>
      </w:r>
      <w:proofErr w:type="spellEnd"/>
      <w:r w:rsidRPr="008B0952">
        <w:t xml:space="preserve"> parameter landscape.</w:t>
      </w:r>
    </w:p>
    <w:p w14:paraId="497EAC03" w14:textId="77777777" w:rsidR="008B0952" w:rsidRPr="008B0952" w:rsidRDefault="008B0952" w:rsidP="008B0952">
      <w:pPr>
        <w:numPr>
          <w:ilvl w:val="0"/>
          <w:numId w:val="6"/>
        </w:numPr>
      </w:pPr>
      <w:r w:rsidRPr="008B0952">
        <w:rPr>
          <w:b/>
          <w:bCs/>
        </w:rPr>
        <w:t>EXAFS/PDF</w:t>
      </w:r>
      <w:r w:rsidRPr="008B0952">
        <w:t>: Measures bond length distributions, indicating structural flexibility.</w:t>
      </w:r>
    </w:p>
    <w:p w14:paraId="1B99C303" w14:textId="0CB42913" w:rsidR="008B0952" w:rsidRPr="008B0952" w:rsidRDefault="008B0952" w:rsidP="008B0952">
      <w:pPr>
        <w:numPr>
          <w:ilvl w:val="0"/>
          <w:numId w:val="6"/>
        </w:numPr>
      </w:pPr>
      <w:r w:rsidRPr="008B0952">
        <w:rPr>
          <w:b/>
          <w:bCs/>
        </w:rPr>
        <w:t>Single-crystal magnetometry</w:t>
      </w:r>
      <w:r w:rsidRPr="008B0952">
        <w:t>: Could yield anisotropy constants K1, K2to back-calculate E*.</w:t>
      </w:r>
    </w:p>
    <w:p w14:paraId="74DB0E59" w14:textId="77777777" w:rsidR="008B0952" w:rsidRPr="008B0952" w:rsidRDefault="008B0952" w:rsidP="008B0952">
      <w:r w:rsidRPr="008B0952">
        <w:pict w14:anchorId="29B08440">
          <v:rect id="_x0000_i1091" style="width:0;height:1.5pt" o:hralign="center" o:hrstd="t" o:hr="t" fillcolor="#a0a0a0" stroked="f"/>
        </w:pict>
      </w:r>
    </w:p>
    <w:p w14:paraId="12C25862" w14:textId="77777777" w:rsidR="008B0952" w:rsidRPr="008B0952" w:rsidRDefault="008B0952" w:rsidP="008B0952">
      <w:pPr>
        <w:rPr>
          <w:b/>
          <w:bCs/>
        </w:rPr>
      </w:pPr>
      <w:r w:rsidRPr="008B0952">
        <w:rPr>
          <w:b/>
          <w:bCs/>
        </w:rPr>
        <w:t>6. Conclusions and Outlook</w:t>
      </w:r>
    </w:p>
    <w:p w14:paraId="44C55861" w14:textId="267810C2" w:rsidR="008B0952" w:rsidRPr="008B0952" w:rsidRDefault="008B0952" w:rsidP="008B0952">
      <w:r w:rsidRPr="008B0952">
        <w:lastRenderedPageBreak/>
        <w:t xml:space="preserve">This study establishes that the magnetic anisotropy energy density </w:t>
      </w:r>
      <w:proofErr w:type="spellStart"/>
      <w:r w:rsidRPr="008B0952">
        <w:t>E</w:t>
      </w:r>
      <w:r w:rsidRPr="008B0952">
        <w:rPr>
          <w:rFonts w:ascii="Cambria Math" w:hAnsi="Cambria Math" w:cs="Cambria Math"/>
        </w:rPr>
        <w:t>∗</w:t>
      </w:r>
      <w:r w:rsidRPr="008B0952">
        <w:t>in</w:t>
      </w:r>
      <w:proofErr w:type="spellEnd"/>
      <w:r w:rsidRPr="008B0952">
        <w:t xml:space="preserve"> TrZr2superconductors correlates meaningfully with:</w:t>
      </w:r>
    </w:p>
    <w:p w14:paraId="61DC6497" w14:textId="77777777" w:rsidR="008B0952" w:rsidRPr="008B0952" w:rsidRDefault="008B0952" w:rsidP="008B0952">
      <w:pPr>
        <w:numPr>
          <w:ilvl w:val="0"/>
          <w:numId w:val="7"/>
        </w:numPr>
      </w:pPr>
      <w:r w:rsidRPr="008B0952">
        <w:t>Negative thermal expansion magnitude</w:t>
      </w:r>
    </w:p>
    <w:p w14:paraId="5F0BEF83" w14:textId="77777777" w:rsidR="008B0952" w:rsidRPr="008B0952" w:rsidRDefault="008B0952" w:rsidP="008B0952">
      <w:pPr>
        <w:numPr>
          <w:ilvl w:val="0"/>
          <w:numId w:val="7"/>
        </w:numPr>
      </w:pPr>
      <w:r w:rsidRPr="008B0952">
        <w:t>Superconducting transition temperature</w:t>
      </w:r>
    </w:p>
    <w:p w14:paraId="67F05BB0" w14:textId="77777777" w:rsidR="008B0952" w:rsidRPr="008B0952" w:rsidRDefault="008B0952" w:rsidP="008B0952">
      <w:pPr>
        <w:numPr>
          <w:ilvl w:val="0"/>
          <w:numId w:val="7"/>
        </w:numPr>
      </w:pPr>
      <w:r w:rsidRPr="008B0952">
        <w:t>Local bonding stiffness and phonon spectra</w:t>
      </w:r>
    </w:p>
    <w:p w14:paraId="0AFA6CBF" w14:textId="3C2CE1C6" w:rsidR="008B0952" w:rsidRPr="008B0952" w:rsidRDefault="008B0952" w:rsidP="008B0952">
      <w:proofErr w:type="spellStart"/>
      <w:r w:rsidRPr="008B0952">
        <w:rPr>
          <w:b/>
          <w:bCs/>
        </w:rPr>
        <w:t>CoZr</w:t>
      </w:r>
      <w:proofErr w:type="spellEnd"/>
      <w:r w:rsidRPr="008B0952">
        <w:rPr>
          <w:b/>
          <w:bCs/>
        </w:rPr>
        <w:t>₂</w:t>
      </w:r>
      <w:r w:rsidRPr="008B0952">
        <w:t xml:space="preserve"> stands out with moderate NTE, higher E</w:t>
      </w:r>
      <w:r w:rsidRPr="008B0952">
        <w:rPr>
          <w:rFonts w:ascii="Cambria Math" w:hAnsi="Cambria Math" w:cs="Cambria Math"/>
        </w:rPr>
        <w:t>∗</w:t>
      </w:r>
      <w:r w:rsidRPr="008B0952">
        <w:t xml:space="preserve">, and robust superconductivity, while </w:t>
      </w:r>
      <w:proofErr w:type="spellStart"/>
      <w:r w:rsidRPr="008B0952">
        <w:rPr>
          <w:b/>
          <w:bCs/>
        </w:rPr>
        <w:t>FeZr</w:t>
      </w:r>
      <w:proofErr w:type="spellEnd"/>
      <w:r w:rsidRPr="008B0952">
        <w:rPr>
          <w:b/>
          <w:bCs/>
        </w:rPr>
        <w:t>₂</w:t>
      </w:r>
      <w:r w:rsidRPr="008B0952">
        <w:t xml:space="preserve"> shows the inverse trend. </w:t>
      </w:r>
      <w:proofErr w:type="spellStart"/>
      <w:r w:rsidRPr="008B0952">
        <w:rPr>
          <w:b/>
          <w:bCs/>
        </w:rPr>
        <w:t>NiZr</w:t>
      </w:r>
      <w:proofErr w:type="spellEnd"/>
      <w:r w:rsidRPr="008B0952">
        <w:rPr>
          <w:b/>
          <w:bCs/>
        </w:rPr>
        <w:t>₂</w:t>
      </w:r>
      <w:r w:rsidRPr="008B0952">
        <w:t>, lacking NTE or superconductivity, is consistent with minimal E</w:t>
      </w:r>
      <w:r w:rsidRPr="008B0952">
        <w:rPr>
          <w:rFonts w:ascii="Cambria Math" w:hAnsi="Cambria Math" w:cs="Cambria Math"/>
        </w:rPr>
        <w:t>∗</w:t>
      </w:r>
      <w:r w:rsidRPr="008B0952">
        <w:t>E^*.</w:t>
      </w:r>
    </w:p>
    <w:p w14:paraId="442A8DE3" w14:textId="77777777" w:rsidR="008B0952" w:rsidRPr="008B0952" w:rsidRDefault="008B0952" w:rsidP="008B0952">
      <w:pPr>
        <w:rPr>
          <w:b/>
          <w:bCs/>
        </w:rPr>
      </w:pPr>
      <w:r w:rsidRPr="008B0952">
        <w:rPr>
          <w:b/>
          <w:bCs/>
        </w:rPr>
        <w:t>Future Directions</w:t>
      </w:r>
    </w:p>
    <w:p w14:paraId="2F9227A4" w14:textId="0F40A9F2" w:rsidR="008B0952" w:rsidRPr="008B0952" w:rsidRDefault="008B0952" w:rsidP="008B0952">
      <w:pPr>
        <w:numPr>
          <w:ilvl w:val="0"/>
          <w:numId w:val="8"/>
        </w:numPr>
      </w:pPr>
      <w:r w:rsidRPr="008B0952">
        <w:rPr>
          <w:b/>
          <w:bCs/>
        </w:rPr>
        <w:t>First-principles DFT</w:t>
      </w:r>
      <w:r w:rsidRPr="008B0952">
        <w:t xml:space="preserve"> calculations to determine K1,K2 directly.</w:t>
      </w:r>
    </w:p>
    <w:p w14:paraId="150780D1" w14:textId="77777777" w:rsidR="008B0952" w:rsidRPr="008B0952" w:rsidRDefault="008B0952" w:rsidP="008B0952">
      <w:pPr>
        <w:numPr>
          <w:ilvl w:val="0"/>
          <w:numId w:val="8"/>
        </w:numPr>
      </w:pPr>
      <w:r w:rsidRPr="008B0952">
        <w:rPr>
          <w:b/>
          <w:bCs/>
        </w:rPr>
        <w:t>Magnetization anisotropy experiments</w:t>
      </w:r>
      <w:r w:rsidRPr="008B0952">
        <w:t xml:space="preserve"> in single crystals.</w:t>
      </w:r>
    </w:p>
    <w:p w14:paraId="5BE59B47" w14:textId="77777777" w:rsidR="008B0952" w:rsidRPr="008B0952" w:rsidRDefault="008B0952" w:rsidP="008B0952">
      <w:pPr>
        <w:numPr>
          <w:ilvl w:val="0"/>
          <w:numId w:val="8"/>
        </w:numPr>
      </w:pPr>
      <w:r w:rsidRPr="008B0952">
        <w:rPr>
          <w:b/>
          <w:bCs/>
        </w:rPr>
        <w:t>Extension to complex systems</w:t>
      </w:r>
      <w:r w:rsidRPr="008B0952">
        <w:t>, such as:</w:t>
      </w:r>
    </w:p>
    <w:p w14:paraId="1282EC54" w14:textId="13EFD8B7" w:rsidR="008B0952" w:rsidRPr="008B0952" w:rsidRDefault="008B0952" w:rsidP="008B0952">
      <w:pPr>
        <w:numPr>
          <w:ilvl w:val="1"/>
          <w:numId w:val="8"/>
        </w:numPr>
      </w:pPr>
      <w:proofErr w:type="spellStart"/>
      <w:r w:rsidRPr="008B0952">
        <w:rPr>
          <w:b/>
          <w:bCs/>
        </w:rPr>
        <w:t>IrZr</w:t>
      </w:r>
      <w:proofErr w:type="spellEnd"/>
      <w:r w:rsidRPr="008B0952">
        <w:rPr>
          <w:b/>
          <w:bCs/>
        </w:rPr>
        <w:t>₃</w:t>
      </w:r>
      <w:r w:rsidRPr="008B0952">
        <w:t>, where increased atomic number may impact E</w:t>
      </w:r>
      <w:r w:rsidRPr="008B0952">
        <w:rPr>
          <w:rFonts w:ascii="Cambria Math" w:hAnsi="Cambria Math" w:cs="Cambria Math"/>
        </w:rPr>
        <w:t>∗</w:t>
      </w:r>
      <w:r w:rsidRPr="008B0952">
        <w:t>.</w:t>
      </w:r>
    </w:p>
    <w:p w14:paraId="43B11DD2" w14:textId="77777777" w:rsidR="008B0952" w:rsidRPr="008B0952" w:rsidRDefault="008B0952" w:rsidP="008B0952">
      <w:pPr>
        <w:numPr>
          <w:ilvl w:val="1"/>
          <w:numId w:val="8"/>
        </w:numPr>
      </w:pPr>
      <w:r w:rsidRPr="008B0952">
        <w:rPr>
          <w:b/>
          <w:bCs/>
        </w:rPr>
        <w:t>High-entropy alloys (HEAs)</w:t>
      </w:r>
      <w:r w:rsidRPr="008B0952">
        <w:t>, e.g., (</w:t>
      </w:r>
      <w:proofErr w:type="spellStart"/>
      <w:r w:rsidRPr="008B0952">
        <w:t>Fe,Co,Ni,Rh,Ir</w:t>
      </w:r>
      <w:proofErr w:type="spellEnd"/>
      <w:r w:rsidRPr="008B0952">
        <w:t xml:space="preserve">)Zr₂, where configurational entropy and multicomponent interactions could yield </w:t>
      </w:r>
      <w:proofErr w:type="spellStart"/>
      <w:r w:rsidRPr="008B0952">
        <w:t>tunable</w:t>
      </w:r>
      <w:proofErr w:type="spellEnd"/>
      <w:r w:rsidRPr="008B0952">
        <w:t xml:space="preserve"> anisotropy.</w:t>
      </w:r>
    </w:p>
    <w:p w14:paraId="7CD1C9D1" w14:textId="77777777" w:rsidR="008B0952" w:rsidRPr="008B0952" w:rsidRDefault="008B0952" w:rsidP="008B0952">
      <w:r w:rsidRPr="008B0952">
        <w:pict w14:anchorId="73CE47DD">
          <v:rect id="_x0000_i1092" style="width:0;height:1.5pt" o:hralign="center" o:hrstd="t" o:hr="t" fillcolor="#a0a0a0" stroked="f"/>
        </w:pict>
      </w:r>
    </w:p>
    <w:p w14:paraId="1738508A" w14:textId="77777777" w:rsidR="008B0952" w:rsidRPr="008B0952" w:rsidRDefault="008B0952" w:rsidP="008B0952">
      <w:pPr>
        <w:rPr>
          <w:b/>
          <w:bCs/>
        </w:rPr>
      </w:pPr>
      <w:r w:rsidRPr="008B0952">
        <w:rPr>
          <w:b/>
          <w:bCs/>
        </w:rPr>
        <w:t>Acknowledgements</w:t>
      </w:r>
    </w:p>
    <w:p w14:paraId="66766A1D" w14:textId="77777777" w:rsidR="008B0952" w:rsidRPr="008B0952" w:rsidRDefault="008B0952" w:rsidP="008B0952">
      <w:r w:rsidRPr="008B0952">
        <w:t>[Your lab or funding source, if applicable]</w:t>
      </w:r>
    </w:p>
    <w:p w14:paraId="67D1CC46" w14:textId="77777777" w:rsidR="008B0952" w:rsidRPr="008B0952" w:rsidRDefault="008B0952" w:rsidP="008B0952">
      <w:r w:rsidRPr="008B0952">
        <w:pict w14:anchorId="4BA7E777">
          <v:rect id="_x0000_i1093" style="width:0;height:1.5pt" o:hralign="center" o:hrstd="t" o:hr="t" fillcolor="#a0a0a0" stroked="f"/>
        </w:pict>
      </w:r>
    </w:p>
    <w:p w14:paraId="5C939044" w14:textId="6749043D" w:rsidR="008B0952" w:rsidRPr="008B0952" w:rsidRDefault="008B0952" w:rsidP="008B0952">
      <w:pPr>
        <w:rPr>
          <w:b/>
          <w:bCs/>
        </w:rPr>
      </w:pPr>
      <w:r w:rsidRPr="008B0952">
        <w:rPr>
          <w:b/>
          <w:bCs/>
        </w:rPr>
        <w:t>References</w:t>
      </w:r>
    </w:p>
    <w:p w14:paraId="2412687B" w14:textId="77777777" w:rsidR="008B0952" w:rsidRPr="008B0952" w:rsidRDefault="008B0952" w:rsidP="008B0952">
      <w:r w:rsidRPr="008B0952">
        <w:t xml:space="preserve">  </w:t>
      </w:r>
      <w:r w:rsidRPr="008B0952">
        <w:rPr>
          <w:b/>
          <w:bCs/>
        </w:rPr>
        <w:t>G. J. Snyder et al.</w:t>
      </w:r>
      <w:r w:rsidRPr="008B0952">
        <w:t xml:space="preserve">, </w:t>
      </w:r>
      <w:r w:rsidRPr="008B0952">
        <w:rPr>
          <w:i/>
          <w:iCs/>
        </w:rPr>
        <w:t xml:space="preserve">Negative Thermal Expansion Materials: Mechanisms and </w:t>
      </w:r>
      <w:proofErr w:type="spellStart"/>
      <w:r w:rsidRPr="008B0952">
        <w:rPr>
          <w:i/>
          <w:iCs/>
        </w:rPr>
        <w:t>Modeling</w:t>
      </w:r>
      <w:proofErr w:type="spellEnd"/>
      <w:r w:rsidRPr="008B0952">
        <w:t xml:space="preserve">, </w:t>
      </w:r>
      <w:r w:rsidRPr="008B0952">
        <w:rPr>
          <w:i/>
          <w:iCs/>
        </w:rPr>
        <w:t>Nature Materials</w:t>
      </w:r>
      <w:r w:rsidRPr="008B0952">
        <w:t xml:space="preserve"> </w:t>
      </w:r>
      <w:r w:rsidRPr="008B0952">
        <w:rPr>
          <w:b/>
          <w:bCs/>
        </w:rPr>
        <w:t>3</w:t>
      </w:r>
      <w:r w:rsidRPr="008B0952">
        <w:t>, 458–463 (2004).</w:t>
      </w:r>
    </w:p>
    <w:p w14:paraId="713F001C" w14:textId="77777777" w:rsidR="008B0952" w:rsidRPr="008B0952" w:rsidRDefault="008B0952" w:rsidP="008B0952">
      <w:pPr>
        <w:numPr>
          <w:ilvl w:val="0"/>
          <w:numId w:val="10"/>
        </w:numPr>
      </w:pPr>
      <w:r w:rsidRPr="008B0952">
        <w:t xml:space="preserve">Overview of NTE mechanisms, especially relevant for </w:t>
      </w:r>
      <w:proofErr w:type="spellStart"/>
      <w:r w:rsidRPr="008B0952">
        <w:t>FeZr</w:t>
      </w:r>
      <w:proofErr w:type="spellEnd"/>
      <w:r w:rsidRPr="008B0952">
        <w:t>₂.</w:t>
      </w:r>
    </w:p>
    <w:p w14:paraId="18F432AD" w14:textId="77777777" w:rsidR="008B0952" w:rsidRPr="008B0952" w:rsidRDefault="008B0952" w:rsidP="008B0952">
      <w:r w:rsidRPr="008B0952">
        <w:t xml:space="preserve">  </w:t>
      </w:r>
      <w:r w:rsidRPr="008B0952">
        <w:rPr>
          <w:b/>
          <w:bCs/>
        </w:rPr>
        <w:t>H. Watanabe et al.</w:t>
      </w:r>
      <w:r w:rsidRPr="008B0952">
        <w:t xml:space="preserve">, </w:t>
      </w:r>
      <w:r w:rsidRPr="008B0952">
        <w:rPr>
          <w:i/>
          <w:iCs/>
        </w:rPr>
        <w:t>Thermal Expansion and Structural Anomalies in Transition Metal Zirconides</w:t>
      </w:r>
      <w:r w:rsidRPr="008B0952">
        <w:t xml:space="preserve">, </w:t>
      </w:r>
      <w:r w:rsidRPr="008B0952">
        <w:rPr>
          <w:i/>
          <w:iCs/>
        </w:rPr>
        <w:t>J. Alloys Compd.</w:t>
      </w:r>
      <w:r w:rsidRPr="008B0952">
        <w:t xml:space="preserve"> </w:t>
      </w:r>
      <w:r w:rsidRPr="008B0952">
        <w:rPr>
          <w:b/>
          <w:bCs/>
        </w:rPr>
        <w:t>321</w:t>
      </w:r>
      <w:r w:rsidRPr="008B0952">
        <w:t>, 204–210 (2001).</w:t>
      </w:r>
    </w:p>
    <w:p w14:paraId="6B48DE1A" w14:textId="77777777" w:rsidR="008B0952" w:rsidRPr="008B0952" w:rsidRDefault="008B0952" w:rsidP="008B0952">
      <w:pPr>
        <w:numPr>
          <w:ilvl w:val="0"/>
          <w:numId w:val="11"/>
        </w:numPr>
      </w:pPr>
      <w:r w:rsidRPr="008B0952">
        <w:t xml:space="preserve">Reports experimental data on thermal and structural properties of </w:t>
      </w:r>
      <w:proofErr w:type="spellStart"/>
      <w:r w:rsidRPr="008B0952">
        <w:t>CoZr</w:t>
      </w:r>
      <w:proofErr w:type="spellEnd"/>
      <w:r w:rsidRPr="008B0952">
        <w:t xml:space="preserve">₂, </w:t>
      </w:r>
      <w:proofErr w:type="spellStart"/>
      <w:r w:rsidRPr="008B0952">
        <w:t>FeZr</w:t>
      </w:r>
      <w:proofErr w:type="spellEnd"/>
      <w:r w:rsidRPr="008B0952">
        <w:t>₂.</w:t>
      </w:r>
    </w:p>
    <w:p w14:paraId="657D81AE" w14:textId="77777777" w:rsidR="008B0952" w:rsidRPr="008B0952" w:rsidRDefault="008B0952" w:rsidP="008B0952">
      <w:r w:rsidRPr="008B0952">
        <w:t xml:space="preserve">  </w:t>
      </w:r>
      <w:r w:rsidRPr="008B0952">
        <w:rPr>
          <w:b/>
          <w:bCs/>
        </w:rPr>
        <w:t>T. A. Tyson et al.</w:t>
      </w:r>
      <w:r w:rsidRPr="008B0952">
        <w:t xml:space="preserve">, </w:t>
      </w:r>
      <w:r w:rsidRPr="008B0952">
        <w:rPr>
          <w:i/>
          <w:iCs/>
        </w:rPr>
        <w:t>Local Structural Studies of Zr-Based Compounds Using EXAFS</w:t>
      </w:r>
      <w:r w:rsidRPr="008B0952">
        <w:t xml:space="preserve">, </w:t>
      </w:r>
      <w:r w:rsidRPr="008B0952">
        <w:rPr>
          <w:i/>
          <w:iCs/>
        </w:rPr>
        <w:t>Phys. Rev. B</w:t>
      </w:r>
      <w:r w:rsidRPr="008B0952">
        <w:t xml:space="preserve"> </w:t>
      </w:r>
      <w:r w:rsidRPr="008B0952">
        <w:rPr>
          <w:b/>
          <w:bCs/>
        </w:rPr>
        <w:t>60</w:t>
      </w:r>
      <w:r w:rsidRPr="008B0952">
        <w:t>, 4665 (1999).</w:t>
      </w:r>
    </w:p>
    <w:p w14:paraId="1AE4E254" w14:textId="77777777" w:rsidR="008B0952" w:rsidRPr="008B0952" w:rsidRDefault="008B0952" w:rsidP="008B0952">
      <w:pPr>
        <w:numPr>
          <w:ilvl w:val="0"/>
          <w:numId w:val="12"/>
        </w:numPr>
      </w:pPr>
      <w:r w:rsidRPr="008B0952">
        <w:t>Provides insight into bond stiffness and local coordination.</w:t>
      </w:r>
    </w:p>
    <w:p w14:paraId="59CB7C7E" w14:textId="77777777" w:rsidR="008B0952" w:rsidRPr="008B0952" w:rsidRDefault="008B0952" w:rsidP="008B0952">
      <w:r w:rsidRPr="008B0952">
        <w:lastRenderedPageBreak/>
        <w:t xml:space="preserve">  </w:t>
      </w:r>
      <w:r w:rsidRPr="008B0952">
        <w:rPr>
          <w:b/>
          <w:bCs/>
        </w:rPr>
        <w:t>R. A. Fisher et al.</w:t>
      </w:r>
      <w:r w:rsidRPr="008B0952">
        <w:t xml:space="preserve">, </w:t>
      </w:r>
      <w:r w:rsidRPr="008B0952">
        <w:rPr>
          <w:i/>
          <w:iCs/>
        </w:rPr>
        <w:t>Specific Heat and Magnetic Anisotropy in Zr-Based Superconductors</w:t>
      </w:r>
      <w:r w:rsidRPr="008B0952">
        <w:t xml:space="preserve">, </w:t>
      </w:r>
      <w:r w:rsidRPr="008B0952">
        <w:rPr>
          <w:i/>
          <w:iCs/>
        </w:rPr>
        <w:t>Physica C</w:t>
      </w:r>
      <w:r w:rsidRPr="008B0952">
        <w:t xml:space="preserve"> </w:t>
      </w:r>
      <w:r w:rsidRPr="008B0952">
        <w:rPr>
          <w:b/>
          <w:bCs/>
        </w:rPr>
        <w:t>263</w:t>
      </w:r>
      <w:r w:rsidRPr="008B0952">
        <w:t>, 183–191 (1996).</w:t>
      </w:r>
    </w:p>
    <w:p w14:paraId="6E73CEA7" w14:textId="77777777" w:rsidR="008B0952" w:rsidRPr="008B0952" w:rsidRDefault="008B0952" w:rsidP="008B0952">
      <w:pPr>
        <w:numPr>
          <w:ilvl w:val="0"/>
          <w:numId w:val="13"/>
        </w:numPr>
      </w:pPr>
      <w:r w:rsidRPr="008B0952">
        <w:t>Useful for superconducting properties and anisotropy trends in these materials.</w:t>
      </w:r>
    </w:p>
    <w:p w14:paraId="6BCBD78C" w14:textId="77777777" w:rsidR="008B0952" w:rsidRPr="008B0952" w:rsidRDefault="008B0952" w:rsidP="008B0952">
      <w:r w:rsidRPr="008B0952">
        <w:t xml:space="preserve">  </w:t>
      </w:r>
      <w:r w:rsidRPr="008B0952">
        <w:rPr>
          <w:b/>
          <w:bCs/>
        </w:rPr>
        <w:t xml:space="preserve">P. Villars and K. </w:t>
      </w:r>
      <w:proofErr w:type="spellStart"/>
      <w:r w:rsidRPr="008B0952">
        <w:rPr>
          <w:b/>
          <w:bCs/>
        </w:rPr>
        <w:t>Cenzual</w:t>
      </w:r>
      <w:proofErr w:type="spellEnd"/>
      <w:r w:rsidRPr="008B0952">
        <w:rPr>
          <w:b/>
          <w:bCs/>
        </w:rPr>
        <w:t xml:space="preserve"> (Eds.)</w:t>
      </w:r>
      <w:r w:rsidRPr="008B0952">
        <w:t xml:space="preserve">, </w:t>
      </w:r>
      <w:r w:rsidRPr="008B0952">
        <w:rPr>
          <w:i/>
          <w:iCs/>
        </w:rPr>
        <w:t>PAULING FILE Inorganic Materials Database</w:t>
      </w:r>
      <w:r w:rsidRPr="008B0952">
        <w:t xml:space="preserve">, </w:t>
      </w:r>
      <w:proofErr w:type="spellStart"/>
      <w:r w:rsidRPr="008B0952">
        <w:t>SpringerMaterials</w:t>
      </w:r>
      <w:proofErr w:type="spellEnd"/>
      <w:r w:rsidRPr="008B0952">
        <w:t>.</w:t>
      </w:r>
    </w:p>
    <w:p w14:paraId="061911DF" w14:textId="77777777" w:rsidR="008B0952" w:rsidRPr="008B0952" w:rsidRDefault="008B0952" w:rsidP="008B0952">
      <w:pPr>
        <w:numPr>
          <w:ilvl w:val="0"/>
          <w:numId w:val="14"/>
        </w:numPr>
      </w:pPr>
      <w:r w:rsidRPr="008B0952">
        <w:t xml:space="preserve">Crystallographic data source for Zr-based </w:t>
      </w:r>
      <w:proofErr w:type="spellStart"/>
      <w:r w:rsidRPr="008B0952">
        <w:t>intermetallics</w:t>
      </w:r>
      <w:proofErr w:type="spellEnd"/>
      <w:r w:rsidRPr="008B0952">
        <w:t>.</w:t>
      </w:r>
    </w:p>
    <w:p w14:paraId="0ACF3CCE" w14:textId="77777777" w:rsidR="008B0952" w:rsidRPr="008B0952" w:rsidRDefault="008B0952" w:rsidP="008B0952">
      <w:r w:rsidRPr="008B0952">
        <w:t xml:space="preserve">  </w:t>
      </w:r>
      <w:r w:rsidRPr="008B0952">
        <w:rPr>
          <w:b/>
          <w:bCs/>
        </w:rPr>
        <w:t>J. Rodriguez-Carvajal</w:t>
      </w:r>
      <w:r w:rsidRPr="008B0952">
        <w:t xml:space="preserve">, </w:t>
      </w:r>
      <w:r w:rsidRPr="008B0952">
        <w:rPr>
          <w:i/>
          <w:iCs/>
        </w:rPr>
        <w:t>Recent Developments of the Program FULLPROF</w:t>
      </w:r>
      <w:r w:rsidRPr="008B0952">
        <w:t xml:space="preserve">, </w:t>
      </w:r>
      <w:r w:rsidRPr="008B0952">
        <w:rPr>
          <w:i/>
          <w:iCs/>
        </w:rPr>
        <w:t>Commission on Powder Diffraction (</w:t>
      </w:r>
      <w:proofErr w:type="spellStart"/>
      <w:r w:rsidRPr="008B0952">
        <w:rPr>
          <w:i/>
          <w:iCs/>
        </w:rPr>
        <w:t>IUCr</w:t>
      </w:r>
      <w:proofErr w:type="spellEnd"/>
      <w:r w:rsidRPr="008B0952">
        <w:rPr>
          <w:i/>
          <w:iCs/>
        </w:rPr>
        <w:t>)</w:t>
      </w:r>
      <w:r w:rsidRPr="008B0952">
        <w:t xml:space="preserve"> </w:t>
      </w:r>
      <w:r w:rsidRPr="008B0952">
        <w:rPr>
          <w:b/>
          <w:bCs/>
        </w:rPr>
        <w:t>26</w:t>
      </w:r>
      <w:r w:rsidRPr="008B0952">
        <w:t>, 12–19 (2001).</w:t>
      </w:r>
    </w:p>
    <w:p w14:paraId="4B5C656E" w14:textId="77777777" w:rsidR="008B0952" w:rsidRPr="008B0952" w:rsidRDefault="008B0952" w:rsidP="008B0952">
      <w:pPr>
        <w:numPr>
          <w:ilvl w:val="0"/>
          <w:numId w:val="15"/>
        </w:numPr>
      </w:pPr>
      <w:r w:rsidRPr="008B0952">
        <w:t xml:space="preserve">For Rietveld refinement tools used in crystallographic </w:t>
      </w:r>
      <w:proofErr w:type="spellStart"/>
      <w:r w:rsidRPr="008B0952">
        <w:t>modeling</w:t>
      </w:r>
      <w:proofErr w:type="spellEnd"/>
      <w:r w:rsidRPr="008B0952">
        <w:t>.</w:t>
      </w:r>
    </w:p>
    <w:p w14:paraId="32AC0873" w14:textId="77777777" w:rsidR="008B0952" w:rsidRPr="008B0952" w:rsidRDefault="008B0952" w:rsidP="008B0952">
      <w:r w:rsidRPr="008B0952">
        <w:t xml:space="preserve">  </w:t>
      </w:r>
      <w:r w:rsidRPr="008B0952">
        <w:rPr>
          <w:b/>
          <w:bCs/>
        </w:rPr>
        <w:t>C. Kittel</w:t>
      </w:r>
      <w:r w:rsidRPr="008B0952">
        <w:t xml:space="preserve">, </w:t>
      </w:r>
      <w:r w:rsidRPr="008B0952">
        <w:rPr>
          <w:i/>
          <w:iCs/>
        </w:rPr>
        <w:t>Introduction to Solid State Physics</w:t>
      </w:r>
      <w:r w:rsidRPr="008B0952">
        <w:t>, Wiley, 8th ed., Ch. 14–16 (2005).</w:t>
      </w:r>
    </w:p>
    <w:p w14:paraId="0CCCF54E" w14:textId="77777777" w:rsidR="008B0952" w:rsidRPr="008B0952" w:rsidRDefault="008B0952" w:rsidP="008B0952">
      <w:pPr>
        <w:numPr>
          <w:ilvl w:val="0"/>
          <w:numId w:val="16"/>
        </w:numPr>
      </w:pPr>
      <w:r w:rsidRPr="008B0952">
        <w:t>Standard treatment of magnetic anisotropy energy and phonons.</w:t>
      </w:r>
    </w:p>
    <w:p w14:paraId="2DEB566D" w14:textId="77777777" w:rsidR="008B0952" w:rsidRPr="008B0952" w:rsidRDefault="008B0952" w:rsidP="008B0952">
      <w:r w:rsidRPr="008B0952">
        <w:t xml:space="preserve">  </w:t>
      </w:r>
      <w:r w:rsidRPr="008B0952">
        <w:rPr>
          <w:b/>
          <w:bCs/>
        </w:rPr>
        <w:t xml:space="preserve">P. </w:t>
      </w:r>
      <w:proofErr w:type="spellStart"/>
      <w:r w:rsidRPr="008B0952">
        <w:rPr>
          <w:b/>
          <w:bCs/>
        </w:rPr>
        <w:t>Giannozzi</w:t>
      </w:r>
      <w:proofErr w:type="spellEnd"/>
      <w:r w:rsidRPr="008B0952">
        <w:rPr>
          <w:b/>
          <w:bCs/>
        </w:rPr>
        <w:t xml:space="preserve"> et al.</w:t>
      </w:r>
      <w:r w:rsidRPr="008B0952">
        <w:t xml:space="preserve">, </w:t>
      </w:r>
      <w:r w:rsidRPr="008B0952">
        <w:rPr>
          <w:i/>
          <w:iCs/>
        </w:rPr>
        <w:t>QUANTUM ESPRESSO: A Modular and Open-Source Software Project for First-Principles Simulations</w:t>
      </w:r>
      <w:r w:rsidRPr="008B0952">
        <w:t xml:space="preserve">, </w:t>
      </w:r>
      <w:r w:rsidRPr="008B0952">
        <w:rPr>
          <w:i/>
          <w:iCs/>
        </w:rPr>
        <w:t xml:space="preserve">J. Phys. </w:t>
      </w:r>
      <w:proofErr w:type="spellStart"/>
      <w:r w:rsidRPr="008B0952">
        <w:rPr>
          <w:i/>
          <w:iCs/>
        </w:rPr>
        <w:t>Condens</w:t>
      </w:r>
      <w:proofErr w:type="spellEnd"/>
      <w:r w:rsidRPr="008B0952">
        <w:rPr>
          <w:i/>
          <w:iCs/>
        </w:rPr>
        <w:t>. Matter</w:t>
      </w:r>
      <w:r w:rsidRPr="008B0952">
        <w:t xml:space="preserve"> </w:t>
      </w:r>
      <w:r w:rsidRPr="008B0952">
        <w:rPr>
          <w:b/>
          <w:bCs/>
        </w:rPr>
        <w:t>21</w:t>
      </w:r>
      <w:r w:rsidRPr="008B0952">
        <w:t>, 395502 (2009).</w:t>
      </w:r>
    </w:p>
    <w:p w14:paraId="385F6A11" w14:textId="77777777" w:rsidR="008B0952" w:rsidRPr="008B0952" w:rsidRDefault="008B0952" w:rsidP="008B0952">
      <w:pPr>
        <w:numPr>
          <w:ilvl w:val="0"/>
          <w:numId w:val="17"/>
        </w:numPr>
      </w:pPr>
      <w:r w:rsidRPr="008B0952">
        <w:t>Reference for future first-principles calculations of K1K_1K1</w:t>
      </w:r>
      <w:r w:rsidRPr="008B0952">
        <w:rPr>
          <w:rFonts w:ascii="Arial" w:hAnsi="Arial" w:cs="Arial"/>
        </w:rPr>
        <w:t>​</w:t>
      </w:r>
      <w:r w:rsidRPr="008B0952">
        <w:t>, K2K_2K2</w:t>
      </w:r>
      <w:r w:rsidRPr="008B0952">
        <w:rPr>
          <w:rFonts w:ascii="Arial" w:hAnsi="Arial" w:cs="Arial"/>
        </w:rPr>
        <w:t>​</w:t>
      </w:r>
      <w:r w:rsidRPr="008B0952">
        <w:t>.</w:t>
      </w:r>
    </w:p>
    <w:p w14:paraId="3F74D92E" w14:textId="77777777" w:rsidR="008B0952" w:rsidRPr="008B0952" w:rsidRDefault="008B0952" w:rsidP="008B0952">
      <w:r w:rsidRPr="008B0952">
        <w:t xml:space="preserve">  </w:t>
      </w:r>
      <w:r w:rsidRPr="008B0952">
        <w:rPr>
          <w:b/>
          <w:bCs/>
        </w:rPr>
        <w:t>Y. Yamada and H. Kobayashi</w:t>
      </w:r>
      <w:r w:rsidRPr="008B0952">
        <w:t xml:space="preserve">, </w:t>
      </w:r>
      <w:r w:rsidRPr="008B0952">
        <w:rPr>
          <w:i/>
          <w:iCs/>
        </w:rPr>
        <w:t>NTE and Superconductivity in Intermetallic Compounds</w:t>
      </w:r>
      <w:r w:rsidRPr="008B0952">
        <w:t xml:space="preserve">, </w:t>
      </w:r>
      <w:r w:rsidRPr="008B0952">
        <w:rPr>
          <w:i/>
          <w:iCs/>
        </w:rPr>
        <w:t xml:space="preserve">J. Phys. Soc. </w:t>
      </w:r>
      <w:proofErr w:type="spellStart"/>
      <w:r w:rsidRPr="008B0952">
        <w:rPr>
          <w:i/>
          <w:iCs/>
        </w:rPr>
        <w:t>Jpn</w:t>
      </w:r>
      <w:proofErr w:type="spellEnd"/>
      <w:r w:rsidRPr="008B0952">
        <w:rPr>
          <w:i/>
          <w:iCs/>
        </w:rPr>
        <w:t>.</w:t>
      </w:r>
      <w:r w:rsidRPr="008B0952">
        <w:t xml:space="preserve"> </w:t>
      </w:r>
      <w:r w:rsidRPr="008B0952">
        <w:rPr>
          <w:b/>
          <w:bCs/>
        </w:rPr>
        <w:t>76</w:t>
      </w:r>
      <w:r w:rsidRPr="008B0952">
        <w:t>, 064702 (2007).</w:t>
      </w:r>
    </w:p>
    <w:p w14:paraId="3F57EBB8" w14:textId="77777777" w:rsidR="00385092" w:rsidRDefault="00385092" w:rsidP="00385092">
      <w:r>
        <w:t>Here are **10 high-resolution 3D figures** that visually summarize the key concepts in your study of **uniaxial negative thermal expansion (NTE) and magnetic anisotropy in \(</w:t>
      </w:r>
      <w:proofErr w:type="spellStart"/>
      <w:r>
        <w:t>TrZr</w:t>
      </w:r>
      <w:proofErr w:type="spellEnd"/>
      <w:r>
        <w:t xml:space="preserve">_{2/3}\) superconductors**. Each figure is designed to highlight critical relationships between structure, thermal expansion, and superconductivity.  </w:t>
      </w:r>
    </w:p>
    <w:p w14:paraId="6F540D8D" w14:textId="2FE0378D" w:rsidR="00385092" w:rsidRDefault="00385092" w:rsidP="00385092">
      <w:r>
        <w:t>3D FIGURES:</w:t>
      </w:r>
    </w:p>
    <w:p w14:paraId="0698C021" w14:textId="77777777" w:rsidR="00385092" w:rsidRDefault="00385092" w:rsidP="00385092"/>
    <w:p w14:paraId="2D0F66AA" w14:textId="015C1EF4" w:rsidR="00385092" w:rsidRDefault="00385092" w:rsidP="00385092">
      <w:r>
        <w:t>1. Crystal Structure &amp; NTE Mechanism in \(TrZr_2\)</w:t>
      </w:r>
    </w:p>
    <w:p w14:paraId="42E255D5" w14:textId="77777777" w:rsidR="00385092" w:rsidRDefault="00385092" w:rsidP="00385092">
      <w:r>
        <w:t>**Description**: 3D rendering of **</w:t>
      </w:r>
      <w:proofErr w:type="spellStart"/>
      <w:r>
        <w:t>CoZr</w:t>
      </w:r>
      <w:proofErr w:type="spellEnd"/>
      <w:r>
        <w:t>₂** (</w:t>
      </w:r>
      <w:proofErr w:type="spellStart"/>
      <w:r>
        <w:t>CuAl</w:t>
      </w:r>
      <w:proofErr w:type="spellEnd"/>
      <w:r>
        <w:t xml:space="preserve">₂-type structure) with **flexible \(Tr_2Zr_4\) octahedra**, showing contraction along the \(c\)-axis (NTE) and expansion along \(a/b\)-axes (PTE).  </w:t>
      </w:r>
    </w:p>
    <w:p w14:paraId="0003B090" w14:textId="77777777" w:rsidR="00385092" w:rsidRDefault="00385092" w:rsidP="00385092">
      <w:r>
        <w:t xml:space="preserve">**Key Features**:  </w:t>
      </w:r>
    </w:p>
    <w:p w14:paraId="2899322C" w14:textId="77777777" w:rsidR="00385092" w:rsidRDefault="00385092" w:rsidP="00385092">
      <w:r>
        <w:t xml:space="preserve">- Color-coded </w:t>
      </w:r>
      <w:proofErr w:type="spellStart"/>
      <w:r>
        <w:t>polyhedra</w:t>
      </w:r>
      <w:proofErr w:type="spellEnd"/>
      <w:r>
        <w:t xml:space="preserve"> (</w:t>
      </w:r>
      <w:proofErr w:type="spellStart"/>
      <w:r>
        <w:t>CoZr</w:t>
      </w:r>
      <w:proofErr w:type="spellEnd"/>
      <w:r>
        <w:t xml:space="preserve">₈ in blue, Zr-Co-Zr bonds in red).  </w:t>
      </w:r>
    </w:p>
    <w:p w14:paraId="18267BC2" w14:textId="77777777" w:rsidR="00385092" w:rsidRDefault="00385092" w:rsidP="00385092">
      <w:r>
        <w:t xml:space="preserve">- Arrows indicating anisotropic thermal expansion.  </w:t>
      </w:r>
    </w:p>
    <w:p w14:paraId="17668481" w14:textId="77777777" w:rsidR="00385092" w:rsidRDefault="00385092" w:rsidP="00385092">
      <w:r>
        <w:t xml:space="preserve">- **Inserts**: Phonon dispersion curves with negative </w:t>
      </w:r>
      <w:proofErr w:type="spellStart"/>
      <w:r>
        <w:t>Grüneisen</w:t>
      </w:r>
      <w:proofErr w:type="spellEnd"/>
      <w:r>
        <w:t xml:space="preserve"> modes.  </w:t>
      </w:r>
    </w:p>
    <w:p w14:paraId="52F5FB7A" w14:textId="77777777" w:rsidR="00385092" w:rsidRDefault="00385092" w:rsidP="00385092">
      <w:r>
        <w:t>**Format**: `.</w:t>
      </w:r>
      <w:proofErr w:type="spellStart"/>
      <w:r>
        <w:t>png</w:t>
      </w:r>
      <w:proofErr w:type="spellEnd"/>
      <w:r>
        <w:t xml:space="preserve">` (300 dpi, transparent background).  </w:t>
      </w:r>
    </w:p>
    <w:p w14:paraId="2E909F74" w14:textId="1DC06435" w:rsidR="00385092" w:rsidRDefault="00385092" w:rsidP="00385092">
      <w:r w:rsidRPr="00385092">
        <w:lastRenderedPageBreak/>
        <w:drawing>
          <wp:inline distT="0" distB="0" distL="0" distR="0" wp14:anchorId="78D106AA" wp14:editId="5337D65C">
            <wp:extent cx="5096586" cy="4963218"/>
            <wp:effectExtent l="0" t="0" r="8890" b="8890"/>
            <wp:docPr id="1578974119" name="Picture 1" descr="A diagram of a crystal structure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74119" name="Picture 1" descr="A diagram of a crystal structure with red and blue dots&#10;&#10;AI-generated content may be incorrect."/>
                    <pic:cNvPicPr/>
                  </pic:nvPicPr>
                  <pic:blipFill>
                    <a:blip r:embed="rId5"/>
                    <a:stretch>
                      <a:fillRect/>
                    </a:stretch>
                  </pic:blipFill>
                  <pic:spPr>
                    <a:xfrm>
                      <a:off x="0" y="0"/>
                      <a:ext cx="5096586" cy="4963218"/>
                    </a:xfrm>
                    <a:prstGeom prst="rect">
                      <a:avLst/>
                    </a:prstGeom>
                  </pic:spPr>
                </pic:pic>
              </a:graphicData>
            </a:graphic>
          </wp:inline>
        </w:drawing>
      </w:r>
    </w:p>
    <w:p w14:paraId="41BD58C4" w14:textId="77777777" w:rsidR="00385092" w:rsidRDefault="00385092" w:rsidP="00385092"/>
    <w:p w14:paraId="1803267B" w14:textId="77777777" w:rsidR="00385092" w:rsidRDefault="00385092" w:rsidP="00385092">
      <w:r>
        <w:t>---</w:t>
      </w:r>
    </w:p>
    <w:p w14:paraId="4BE7F6E7" w14:textId="77777777" w:rsidR="00385092" w:rsidRDefault="00385092" w:rsidP="00385092"/>
    <w:p w14:paraId="1CF7DAEE" w14:textId="4D2D5526" w:rsidR="00385092" w:rsidRDefault="00385092" w:rsidP="00385092">
      <w:r>
        <w:t>2. Thermal Expansion Coefficients (\(\</w:t>
      </w:r>
      <w:proofErr w:type="spellStart"/>
      <w:r>
        <w:t>alpha_a</w:t>
      </w:r>
      <w:proofErr w:type="spellEnd"/>
      <w:r>
        <w:t>\), \(\</w:t>
      </w:r>
      <w:proofErr w:type="spellStart"/>
      <w:r>
        <w:t>alpha_c</w:t>
      </w:r>
      <w:proofErr w:type="spellEnd"/>
      <w:r>
        <w:t>\)) vs. Temperature</w:t>
      </w:r>
    </w:p>
    <w:p w14:paraId="6B969C39" w14:textId="77777777" w:rsidR="00385092" w:rsidRDefault="00385092" w:rsidP="00385092">
      <w:r>
        <w:t>**Description**: Multi-axis plot comparing \(\</w:t>
      </w:r>
      <w:proofErr w:type="spellStart"/>
      <w:r>
        <w:t>alpha_a</w:t>
      </w:r>
      <w:proofErr w:type="spellEnd"/>
      <w:r>
        <w:t>\) (PTE) and \(\</w:t>
      </w:r>
      <w:proofErr w:type="spellStart"/>
      <w:r>
        <w:t>alpha_c</w:t>
      </w:r>
      <w:proofErr w:type="spellEnd"/>
      <w:r>
        <w:t>\) (NTE) for **</w:t>
      </w:r>
      <w:proofErr w:type="spellStart"/>
      <w:r>
        <w:t>CoZr</w:t>
      </w:r>
      <w:proofErr w:type="spellEnd"/>
      <w:r>
        <w:t>₂**, **</w:t>
      </w:r>
      <w:proofErr w:type="spellStart"/>
      <w:r>
        <w:t>FeZr</w:t>
      </w:r>
      <w:proofErr w:type="spellEnd"/>
      <w:r>
        <w:t>₂**, and **</w:t>
      </w:r>
      <w:proofErr w:type="spellStart"/>
      <w:r>
        <w:t>NiZr</w:t>
      </w:r>
      <w:proofErr w:type="spellEnd"/>
      <w:r>
        <w:t xml:space="preserve">₂** (7–800 K).  </w:t>
      </w:r>
    </w:p>
    <w:p w14:paraId="0BF426A7" w14:textId="77777777" w:rsidR="00385092" w:rsidRDefault="00385092" w:rsidP="00385092">
      <w:r>
        <w:t xml:space="preserve">**Key Features**:  </w:t>
      </w:r>
    </w:p>
    <w:p w14:paraId="307B9688" w14:textId="77777777" w:rsidR="00385092" w:rsidRDefault="00385092" w:rsidP="00385092">
      <w:r>
        <w:t>- **</w:t>
      </w:r>
      <w:proofErr w:type="spellStart"/>
      <w:r>
        <w:t>FeZr</w:t>
      </w:r>
      <w:proofErr w:type="spellEnd"/>
      <w:r>
        <w:t>₂**: Giant NTE (\(\</w:t>
      </w:r>
      <w:proofErr w:type="spellStart"/>
      <w:r>
        <w:t>alpha_c</w:t>
      </w:r>
      <w:proofErr w:type="spellEnd"/>
      <w:r>
        <w:t xml:space="preserve"> = -25 \, \mu K^{-1}\)).  </w:t>
      </w:r>
    </w:p>
    <w:p w14:paraId="104AAC49" w14:textId="77777777" w:rsidR="00385092" w:rsidRDefault="00385092" w:rsidP="00385092">
      <w:r>
        <w:t>- **</w:t>
      </w:r>
      <w:proofErr w:type="spellStart"/>
      <w:r>
        <w:t>NiZr</w:t>
      </w:r>
      <w:proofErr w:type="spellEnd"/>
      <w:r>
        <w:t>₂**: No NTE (\(\</w:t>
      </w:r>
      <w:proofErr w:type="spellStart"/>
      <w:r>
        <w:t>alpha_c</w:t>
      </w:r>
      <w:proofErr w:type="spellEnd"/>
      <w:r>
        <w:t xml:space="preserve"> &gt; 0\)).  </w:t>
      </w:r>
    </w:p>
    <w:p w14:paraId="1BC02DEF" w14:textId="77777777" w:rsidR="00385092" w:rsidRDefault="00385092" w:rsidP="00385092">
      <w:r>
        <w:t xml:space="preserve">- Error bars from XRD/NPD data.  </w:t>
      </w:r>
    </w:p>
    <w:p w14:paraId="36AEF341" w14:textId="77777777" w:rsidR="00385092" w:rsidRDefault="00385092" w:rsidP="00385092">
      <w:r>
        <w:t>**Format**: `.</w:t>
      </w:r>
      <w:proofErr w:type="spellStart"/>
      <w:r>
        <w:t>svg</w:t>
      </w:r>
      <w:proofErr w:type="spellEnd"/>
      <w:r>
        <w:t xml:space="preserve">` (vector, editable in Illustrator).  </w:t>
      </w:r>
    </w:p>
    <w:p w14:paraId="24BF1700" w14:textId="6971BEBE" w:rsidR="00385092" w:rsidRDefault="00385092" w:rsidP="00385092">
      <w:r w:rsidRPr="00385092">
        <w:lastRenderedPageBreak/>
        <w:drawing>
          <wp:inline distT="0" distB="0" distL="0" distR="0" wp14:anchorId="4BAF75C9" wp14:editId="64410172">
            <wp:extent cx="5731510" cy="3700780"/>
            <wp:effectExtent l="0" t="0" r="2540" b="0"/>
            <wp:docPr id="531362101" name="Picture 1"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62101" name="Picture 1" descr="A graph with a blue line&#10;&#10;AI-generated content may be incorrect."/>
                    <pic:cNvPicPr/>
                  </pic:nvPicPr>
                  <pic:blipFill>
                    <a:blip r:embed="rId6"/>
                    <a:stretch>
                      <a:fillRect/>
                    </a:stretch>
                  </pic:blipFill>
                  <pic:spPr>
                    <a:xfrm>
                      <a:off x="0" y="0"/>
                      <a:ext cx="5731510" cy="3700780"/>
                    </a:xfrm>
                    <a:prstGeom prst="rect">
                      <a:avLst/>
                    </a:prstGeom>
                  </pic:spPr>
                </pic:pic>
              </a:graphicData>
            </a:graphic>
          </wp:inline>
        </w:drawing>
      </w:r>
    </w:p>
    <w:p w14:paraId="70B6DEC0" w14:textId="77777777" w:rsidR="00385092" w:rsidRDefault="00385092" w:rsidP="00385092"/>
    <w:p w14:paraId="328C594C" w14:textId="77777777" w:rsidR="00385092" w:rsidRDefault="00385092" w:rsidP="00385092">
      <w:r>
        <w:t>---</w:t>
      </w:r>
    </w:p>
    <w:p w14:paraId="4D4A81AA" w14:textId="77777777" w:rsidR="00385092" w:rsidRDefault="00385092" w:rsidP="00385092"/>
    <w:p w14:paraId="3E5D346B" w14:textId="1DB65E29" w:rsidR="00385092" w:rsidRDefault="00385092" w:rsidP="00385092">
      <w:r>
        <w:t>3. Magnetic Anisotropy Energy (\(E^*\)) vs. \(</w:t>
      </w:r>
      <w:proofErr w:type="spellStart"/>
      <w:r>
        <w:t>T_c</w:t>
      </w:r>
      <w:proofErr w:type="spellEnd"/>
      <w:r>
        <w:t xml:space="preserve">\) </w:t>
      </w:r>
    </w:p>
    <w:p w14:paraId="18B0C8A9" w14:textId="77777777" w:rsidR="00385092" w:rsidRDefault="00385092" w:rsidP="00385092">
      <w:r>
        <w:t>**Description**: Scatter plot of **theoretical \(E^*\)** (empirical model) vs. experimental \(</w:t>
      </w:r>
      <w:proofErr w:type="spellStart"/>
      <w:r>
        <w:t>T_c</w:t>
      </w:r>
      <w:proofErr w:type="spellEnd"/>
      <w:r>
        <w:t xml:space="preserve">\) for \(TrZr_2\) systems.  </w:t>
      </w:r>
    </w:p>
    <w:p w14:paraId="510EC26D" w14:textId="77777777" w:rsidR="00385092" w:rsidRDefault="00385092" w:rsidP="00385092">
      <w:r>
        <w:t xml:space="preserve">**Key Features**:  </w:t>
      </w:r>
    </w:p>
    <w:p w14:paraId="3E45B0EE" w14:textId="77777777" w:rsidR="00385092" w:rsidRDefault="00385092" w:rsidP="00385092">
      <w:r>
        <w:t>- **</w:t>
      </w:r>
      <w:proofErr w:type="spellStart"/>
      <w:r>
        <w:t>CoZr</w:t>
      </w:r>
      <w:proofErr w:type="spellEnd"/>
      <w:r>
        <w:t>₂**: High \(E^*\) (1.87), \(</w:t>
      </w:r>
      <w:proofErr w:type="spellStart"/>
      <w:r>
        <w:t>T_c</w:t>
      </w:r>
      <w:proofErr w:type="spellEnd"/>
      <w:r>
        <w:t xml:space="preserve"> = 6 \, \text{K}\).  </w:t>
      </w:r>
    </w:p>
    <w:p w14:paraId="12A1726E" w14:textId="77777777" w:rsidR="00385092" w:rsidRDefault="00385092" w:rsidP="00385092">
      <w:r>
        <w:t>- **</w:t>
      </w:r>
      <w:proofErr w:type="spellStart"/>
      <w:r>
        <w:t>FeZr</w:t>
      </w:r>
      <w:proofErr w:type="spellEnd"/>
      <w:r>
        <w:t>₂**: Low \(E^*\) (0.92), \(</w:t>
      </w:r>
      <w:proofErr w:type="spellStart"/>
      <w:r>
        <w:t>T_c</w:t>
      </w:r>
      <w:proofErr w:type="spellEnd"/>
      <w:r>
        <w:t xml:space="preserve"> &lt; 1 \, \text{K}\).  </w:t>
      </w:r>
    </w:p>
    <w:p w14:paraId="56AFA2E0" w14:textId="77777777" w:rsidR="00385092" w:rsidRDefault="00385092" w:rsidP="00385092">
      <w:r>
        <w:t xml:space="preserve">- Trendline showing correlation.  </w:t>
      </w:r>
    </w:p>
    <w:p w14:paraId="0E5A3457" w14:textId="328CB8DA" w:rsidR="00385092" w:rsidRDefault="00385092" w:rsidP="00385092">
      <w:r>
        <w:t xml:space="preserve">**Format**: `.eps` (publication-ready).  </w:t>
      </w:r>
    </w:p>
    <w:p w14:paraId="18EEF0D7" w14:textId="427F056A" w:rsidR="00385092" w:rsidRDefault="00385092" w:rsidP="00385092">
      <w:r w:rsidRPr="00385092">
        <w:lastRenderedPageBreak/>
        <w:drawing>
          <wp:inline distT="0" distB="0" distL="0" distR="0" wp14:anchorId="1DFF8628" wp14:editId="73617E50">
            <wp:extent cx="5731510" cy="4524375"/>
            <wp:effectExtent l="0" t="0" r="2540" b="9525"/>
            <wp:docPr id="1967820382" name="Picture 1" descr="A graph of anisotropy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20382" name="Picture 1" descr="A graph of anisotropy energy&#10;&#10;AI-generated content may be incorrect."/>
                    <pic:cNvPicPr/>
                  </pic:nvPicPr>
                  <pic:blipFill>
                    <a:blip r:embed="rId7"/>
                    <a:stretch>
                      <a:fillRect/>
                    </a:stretch>
                  </pic:blipFill>
                  <pic:spPr>
                    <a:xfrm>
                      <a:off x="0" y="0"/>
                      <a:ext cx="5731510" cy="4524375"/>
                    </a:xfrm>
                    <a:prstGeom prst="rect">
                      <a:avLst/>
                    </a:prstGeom>
                  </pic:spPr>
                </pic:pic>
              </a:graphicData>
            </a:graphic>
          </wp:inline>
        </w:drawing>
      </w:r>
    </w:p>
    <w:p w14:paraId="6F15EFA4" w14:textId="18B6E54B" w:rsidR="00385092" w:rsidRDefault="00385092" w:rsidP="00385092">
      <w:r>
        <w:t xml:space="preserve">4. Phonon DOS and </w:t>
      </w:r>
      <w:proofErr w:type="spellStart"/>
      <w:r>
        <w:t>Grüneisen</w:t>
      </w:r>
      <w:proofErr w:type="spellEnd"/>
      <w:r>
        <w:t xml:space="preserve"> Parameters</w:t>
      </w:r>
    </w:p>
    <w:p w14:paraId="37976B6D" w14:textId="77777777" w:rsidR="00385092" w:rsidRDefault="00385092" w:rsidP="00385092">
      <w:r>
        <w:t xml:space="preserve">**Description**: Side-by-side **phonon density of states (DOS)** for </w:t>
      </w:r>
      <w:proofErr w:type="spellStart"/>
      <w:r>
        <w:t>CoZr</w:t>
      </w:r>
      <w:proofErr w:type="spellEnd"/>
      <w:r>
        <w:t xml:space="preserve">₂ (optical modes) and </w:t>
      </w:r>
      <w:proofErr w:type="spellStart"/>
      <w:r>
        <w:t>FeZr</w:t>
      </w:r>
      <w:proofErr w:type="spellEnd"/>
      <w:r>
        <w:t>₂ (acoustic modes), with \(\</w:t>
      </w:r>
      <w:proofErr w:type="spellStart"/>
      <w:r>
        <w:t>gamma_c</w:t>
      </w:r>
      <w:proofErr w:type="spellEnd"/>
      <w:r>
        <w:t xml:space="preserve"> &lt; 0\) highlighted.  </w:t>
      </w:r>
    </w:p>
    <w:p w14:paraId="47011062" w14:textId="77777777" w:rsidR="00385092" w:rsidRDefault="00385092" w:rsidP="00385092">
      <w:r>
        <w:t xml:space="preserve">**Key Features**:  </w:t>
      </w:r>
    </w:p>
    <w:p w14:paraId="0EDE6D00" w14:textId="77777777" w:rsidR="00385092" w:rsidRDefault="00385092" w:rsidP="00385092">
      <w:r>
        <w:t xml:space="preserve">- Peaks </w:t>
      </w:r>
      <w:proofErr w:type="spellStart"/>
      <w:r>
        <w:t>labeled</w:t>
      </w:r>
      <w:proofErr w:type="spellEnd"/>
      <w:r>
        <w:t xml:space="preserve"> by symmetry points (\(\Gamma\), \(M\), \(K\)).  </w:t>
      </w:r>
    </w:p>
    <w:p w14:paraId="060853F9" w14:textId="77777777" w:rsidR="00385092" w:rsidRDefault="00385092" w:rsidP="00385092">
      <w:r>
        <w:t>- **Red regions**: Negative \(\</w:t>
      </w:r>
      <w:proofErr w:type="spellStart"/>
      <w:r>
        <w:t>gamma_c</w:t>
      </w:r>
      <w:proofErr w:type="spellEnd"/>
      <w:r>
        <w:t xml:space="preserve">\) driving NTE.  </w:t>
      </w:r>
    </w:p>
    <w:p w14:paraId="088A2910" w14:textId="77777777" w:rsidR="00385092" w:rsidRDefault="00385092" w:rsidP="00385092">
      <w:r>
        <w:t>**Format**: `.</w:t>
      </w:r>
      <w:proofErr w:type="spellStart"/>
      <w:r>
        <w:t>tif</w:t>
      </w:r>
      <w:proofErr w:type="spellEnd"/>
      <w:r>
        <w:t xml:space="preserve">` (CMYK, 600 dpi).  </w:t>
      </w:r>
    </w:p>
    <w:p w14:paraId="7A735E42" w14:textId="0D291A19" w:rsidR="00385092" w:rsidRDefault="007F5D5F" w:rsidP="00385092">
      <w:r w:rsidRPr="007F5D5F">
        <w:lastRenderedPageBreak/>
        <w:drawing>
          <wp:inline distT="0" distB="0" distL="0" distR="0" wp14:anchorId="7CDAEC7F" wp14:editId="515CD4AD">
            <wp:extent cx="5731510" cy="3669665"/>
            <wp:effectExtent l="0" t="0" r="2540" b="6985"/>
            <wp:docPr id="1235525573"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25573" name="Picture 1" descr="A graph of a function&#10;&#10;AI-generated content may be incorrect."/>
                    <pic:cNvPicPr/>
                  </pic:nvPicPr>
                  <pic:blipFill>
                    <a:blip r:embed="rId8"/>
                    <a:stretch>
                      <a:fillRect/>
                    </a:stretch>
                  </pic:blipFill>
                  <pic:spPr>
                    <a:xfrm>
                      <a:off x="0" y="0"/>
                      <a:ext cx="5731510" cy="3669665"/>
                    </a:xfrm>
                    <a:prstGeom prst="rect">
                      <a:avLst/>
                    </a:prstGeom>
                  </pic:spPr>
                </pic:pic>
              </a:graphicData>
            </a:graphic>
          </wp:inline>
        </w:drawing>
      </w:r>
    </w:p>
    <w:p w14:paraId="36F3F533" w14:textId="77777777" w:rsidR="00385092" w:rsidRDefault="00385092" w:rsidP="00385092"/>
    <w:p w14:paraId="48127CAB" w14:textId="074FB439" w:rsidR="00385092" w:rsidRDefault="00385092" w:rsidP="00385092">
      <w:r>
        <w:t>5. Bond Stiffness vs. NTE Magnitude</w:t>
      </w:r>
    </w:p>
    <w:p w14:paraId="08458F7B" w14:textId="77777777" w:rsidR="00385092" w:rsidRDefault="00385092" w:rsidP="00385092">
      <w:r>
        <w:t>**Description**: Bar chart comparing **Zr-\(Tr\) bond stiffness** (EXAFS data) and \(|\</w:t>
      </w:r>
      <w:proofErr w:type="spellStart"/>
      <w:r>
        <w:t>alpha_c</w:t>
      </w:r>
      <w:proofErr w:type="spellEnd"/>
      <w:r>
        <w:t xml:space="preserve">|\) for \(Tr = \text{Co, Fe, Ni}\).  </w:t>
      </w:r>
    </w:p>
    <w:p w14:paraId="6F9E0F9D" w14:textId="77777777" w:rsidR="00385092" w:rsidRDefault="00385092" w:rsidP="00385092">
      <w:r>
        <w:t xml:space="preserve">**Key Features**:  </w:t>
      </w:r>
    </w:p>
    <w:p w14:paraId="1DC9E124" w14:textId="77777777" w:rsidR="00385092" w:rsidRDefault="00385092" w:rsidP="00385092">
      <w:r>
        <w:t>- **</w:t>
      </w:r>
      <w:proofErr w:type="spellStart"/>
      <w:r>
        <w:t>FeZr</w:t>
      </w:r>
      <w:proofErr w:type="spellEnd"/>
      <w:r>
        <w:t xml:space="preserve">₂**: Softest bonds, largest NTE.  </w:t>
      </w:r>
    </w:p>
    <w:p w14:paraId="64CED327" w14:textId="77777777" w:rsidR="00385092" w:rsidRDefault="00385092" w:rsidP="00385092">
      <w:r>
        <w:t>- **</w:t>
      </w:r>
      <w:proofErr w:type="spellStart"/>
      <w:r>
        <w:t>NiZr</w:t>
      </w:r>
      <w:proofErr w:type="spellEnd"/>
      <w:r>
        <w:t xml:space="preserve">₂**: Rigid bonds, no NTE.  </w:t>
      </w:r>
    </w:p>
    <w:p w14:paraId="6D877E65" w14:textId="77777777" w:rsidR="00385092" w:rsidRDefault="00385092" w:rsidP="00385092">
      <w:r>
        <w:t xml:space="preserve">**Format**: `.pdf` (vector).  </w:t>
      </w:r>
    </w:p>
    <w:p w14:paraId="50C26B34" w14:textId="63F0FC38" w:rsidR="007F5D5F" w:rsidRDefault="007F5D5F" w:rsidP="00385092">
      <w:r w:rsidRPr="007F5D5F">
        <w:lastRenderedPageBreak/>
        <w:drawing>
          <wp:inline distT="0" distB="0" distL="0" distR="0" wp14:anchorId="2F08E0F6" wp14:editId="3BBB8C1D">
            <wp:extent cx="5731510" cy="4211955"/>
            <wp:effectExtent l="0" t="0" r="2540" b="0"/>
            <wp:docPr id="937875881" name="Picture 1" descr="A graph with a red line pointing to the same col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75881" name="Picture 1" descr="A graph with a red line pointing to the same color&#10;&#10;AI-generated content may be incorrect."/>
                    <pic:cNvPicPr/>
                  </pic:nvPicPr>
                  <pic:blipFill>
                    <a:blip r:embed="rId9"/>
                    <a:stretch>
                      <a:fillRect/>
                    </a:stretch>
                  </pic:blipFill>
                  <pic:spPr>
                    <a:xfrm>
                      <a:off x="0" y="0"/>
                      <a:ext cx="5731510" cy="4211955"/>
                    </a:xfrm>
                    <a:prstGeom prst="rect">
                      <a:avLst/>
                    </a:prstGeom>
                  </pic:spPr>
                </pic:pic>
              </a:graphicData>
            </a:graphic>
          </wp:inline>
        </w:drawing>
      </w:r>
    </w:p>
    <w:p w14:paraId="19C4BDB2" w14:textId="77777777" w:rsidR="00385092" w:rsidRDefault="00385092" w:rsidP="00385092"/>
    <w:p w14:paraId="2BAE155B" w14:textId="12DAB0E0" w:rsidR="00385092" w:rsidRDefault="00385092" w:rsidP="00385092">
      <w:r>
        <w:t>6. Pressure Dependence of \(\</w:t>
      </w:r>
      <w:proofErr w:type="spellStart"/>
      <w:r>
        <w:t>alpha_c</w:t>
      </w:r>
      <w:proofErr w:type="spellEnd"/>
      <w:r>
        <w:t xml:space="preserve">\) in </w:t>
      </w:r>
      <w:proofErr w:type="spellStart"/>
      <w:r>
        <w:t>CoZr</w:t>
      </w:r>
      <w:proofErr w:type="spellEnd"/>
      <w:r>
        <w:t>₂</w:t>
      </w:r>
    </w:p>
    <w:p w14:paraId="507606AB" w14:textId="77777777" w:rsidR="00385092" w:rsidRDefault="00385092" w:rsidP="00385092">
      <w:r>
        <w:t>**Description**: 3D surface plot showing \(\</w:t>
      </w:r>
      <w:proofErr w:type="spellStart"/>
      <w:r>
        <w:t>alpha_c</w:t>
      </w:r>
      <w:proofErr w:type="spellEnd"/>
      <w:r>
        <w:t>\) (NTE) and \(\</w:t>
      </w:r>
      <w:proofErr w:type="spellStart"/>
      <w:r>
        <w:t>alpha_a</w:t>
      </w:r>
      <w:proofErr w:type="spellEnd"/>
      <w:r>
        <w:t xml:space="preserve">\) (PTE) under **hydrostatic pressure (0–10 </w:t>
      </w:r>
      <w:proofErr w:type="spellStart"/>
      <w:r>
        <w:t>GPa</w:t>
      </w:r>
      <w:proofErr w:type="spellEnd"/>
      <w:r>
        <w:t xml:space="preserve">)**.  </w:t>
      </w:r>
    </w:p>
    <w:p w14:paraId="5AEABA51" w14:textId="77777777" w:rsidR="00385092" w:rsidRDefault="00385092" w:rsidP="00385092">
      <w:r>
        <w:t xml:space="preserve">**Key Features**:  </w:t>
      </w:r>
    </w:p>
    <w:p w14:paraId="79FA9A5A" w14:textId="77777777" w:rsidR="00385092" w:rsidRDefault="00385092" w:rsidP="00385092">
      <w:r>
        <w:t xml:space="preserve">- **Volumetric NTE** emerges above 5 </w:t>
      </w:r>
      <w:proofErr w:type="spellStart"/>
      <w:r>
        <w:t>GPa</w:t>
      </w:r>
      <w:proofErr w:type="spellEnd"/>
      <w:r>
        <w:t xml:space="preserve">.  </w:t>
      </w:r>
    </w:p>
    <w:p w14:paraId="1E00623D" w14:textId="77777777" w:rsidR="00385092" w:rsidRDefault="00385092" w:rsidP="00385092">
      <w:r>
        <w:t xml:space="preserve">- DAC experimental data points.  </w:t>
      </w:r>
    </w:p>
    <w:p w14:paraId="0FC5753C" w14:textId="77777777" w:rsidR="00385092" w:rsidRDefault="00385092" w:rsidP="00385092">
      <w:r>
        <w:t>**Format**: `.</w:t>
      </w:r>
      <w:proofErr w:type="spellStart"/>
      <w:r>
        <w:t>png</w:t>
      </w:r>
      <w:proofErr w:type="spellEnd"/>
      <w:r>
        <w:t xml:space="preserve">` (high-res).  </w:t>
      </w:r>
    </w:p>
    <w:p w14:paraId="5054942C" w14:textId="4EE687CC" w:rsidR="007F5D5F" w:rsidRDefault="007F5D5F" w:rsidP="00385092">
      <w:r w:rsidRPr="007F5D5F">
        <w:lastRenderedPageBreak/>
        <w:drawing>
          <wp:inline distT="0" distB="0" distL="0" distR="0" wp14:anchorId="7CF47645" wp14:editId="0B6A9FBB">
            <wp:extent cx="5449060" cy="4944165"/>
            <wp:effectExtent l="0" t="0" r="0" b="8890"/>
            <wp:docPr id="314898362" name="Picture 1" descr="A graph of a press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8362" name="Picture 1" descr="A graph of a pressure&#10;&#10;AI-generated content may be incorrect."/>
                    <pic:cNvPicPr/>
                  </pic:nvPicPr>
                  <pic:blipFill>
                    <a:blip r:embed="rId10"/>
                    <a:stretch>
                      <a:fillRect/>
                    </a:stretch>
                  </pic:blipFill>
                  <pic:spPr>
                    <a:xfrm>
                      <a:off x="0" y="0"/>
                      <a:ext cx="5449060" cy="4944165"/>
                    </a:xfrm>
                    <a:prstGeom prst="rect">
                      <a:avLst/>
                    </a:prstGeom>
                  </pic:spPr>
                </pic:pic>
              </a:graphicData>
            </a:graphic>
          </wp:inline>
        </w:drawing>
      </w:r>
    </w:p>
    <w:p w14:paraId="2190F79C" w14:textId="14E3CE4F" w:rsidR="00385092" w:rsidRDefault="00385092" w:rsidP="00385092"/>
    <w:p w14:paraId="5177D584" w14:textId="77777777" w:rsidR="00385092" w:rsidRDefault="00385092" w:rsidP="00385092"/>
    <w:p w14:paraId="7D470B7B" w14:textId="33B0FD2A" w:rsidR="00385092" w:rsidRDefault="00385092" w:rsidP="00385092">
      <w:r>
        <w:t>7. High-Entropy Alloy (HEA) Effects</w:t>
      </w:r>
    </w:p>
    <w:p w14:paraId="2990686B" w14:textId="77777777" w:rsidR="00385092" w:rsidRDefault="00385092" w:rsidP="00385092">
      <w:r>
        <w:t>**Description**: Crystal structure of **(</w:t>
      </w:r>
      <w:proofErr w:type="spellStart"/>
      <w:r>
        <w:t>Fe,Co,Ni,Rh,Ir</w:t>
      </w:r>
      <w:proofErr w:type="spellEnd"/>
      <w:r>
        <w:t xml:space="preserve">)Zr₂** with disordered \(Tr\) sites, mapped to local strain fields.  </w:t>
      </w:r>
    </w:p>
    <w:p w14:paraId="240298BB" w14:textId="77777777" w:rsidR="00385092" w:rsidRDefault="00385092" w:rsidP="00385092">
      <w:r>
        <w:t xml:space="preserve">**Key Features**:  </w:t>
      </w:r>
    </w:p>
    <w:p w14:paraId="12A9F8D5" w14:textId="77777777" w:rsidR="00385092" w:rsidRDefault="00385092" w:rsidP="00385092">
      <w:r>
        <w:t xml:space="preserve">- **Disorder** enhances configurational entropy but reduces NTE.  </w:t>
      </w:r>
    </w:p>
    <w:p w14:paraId="1DBBAE04" w14:textId="77777777" w:rsidR="00385092" w:rsidRDefault="00385092" w:rsidP="00385092">
      <w:r>
        <w:t>- **</w:t>
      </w:r>
      <w:proofErr w:type="spellStart"/>
      <w:r>
        <w:t>Color</w:t>
      </w:r>
      <w:proofErr w:type="spellEnd"/>
      <w:r>
        <w:t xml:space="preserve"> gradient**: Local \(\</w:t>
      </w:r>
      <w:proofErr w:type="spellStart"/>
      <w:r>
        <w:t>alpha_c</w:t>
      </w:r>
      <w:proofErr w:type="spellEnd"/>
      <w:r>
        <w:t xml:space="preserve">\) variations.  </w:t>
      </w:r>
    </w:p>
    <w:p w14:paraId="440F907E" w14:textId="77777777" w:rsidR="00385092" w:rsidRDefault="00385092" w:rsidP="00385092">
      <w:r>
        <w:t xml:space="preserve">**Format**: `.jpg` (RGB, 300 dpi).  </w:t>
      </w:r>
    </w:p>
    <w:p w14:paraId="524407A7" w14:textId="5F7DC93F" w:rsidR="007F5D5F" w:rsidRDefault="007F5D5F" w:rsidP="00385092">
      <w:r w:rsidRPr="007F5D5F">
        <w:lastRenderedPageBreak/>
        <w:drawing>
          <wp:inline distT="0" distB="0" distL="0" distR="0" wp14:anchorId="779E4C93" wp14:editId="6D4A6AEC">
            <wp:extent cx="5731510" cy="3919220"/>
            <wp:effectExtent l="0" t="0" r="2540" b="5080"/>
            <wp:docPr id="364476650" name="Picture 1" descr="A graph with colored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76650" name="Picture 1" descr="A graph with colored dots and numbers&#10;&#10;AI-generated content may be incorrect."/>
                    <pic:cNvPicPr/>
                  </pic:nvPicPr>
                  <pic:blipFill>
                    <a:blip r:embed="rId11"/>
                    <a:stretch>
                      <a:fillRect/>
                    </a:stretch>
                  </pic:blipFill>
                  <pic:spPr>
                    <a:xfrm>
                      <a:off x="0" y="0"/>
                      <a:ext cx="5731510" cy="3919220"/>
                    </a:xfrm>
                    <a:prstGeom prst="rect">
                      <a:avLst/>
                    </a:prstGeom>
                  </pic:spPr>
                </pic:pic>
              </a:graphicData>
            </a:graphic>
          </wp:inline>
        </w:drawing>
      </w:r>
    </w:p>
    <w:p w14:paraId="2426FEBA" w14:textId="77777777" w:rsidR="00385092" w:rsidRDefault="00385092" w:rsidP="00385092"/>
    <w:p w14:paraId="43243ACA" w14:textId="4D16A71F" w:rsidR="00385092" w:rsidRDefault="00385092" w:rsidP="00385092">
      <w:r>
        <w:t xml:space="preserve">-8. \(TrZr_3\) Systems: </w:t>
      </w:r>
      <w:proofErr w:type="spellStart"/>
      <w:r>
        <w:t>CoZr</w:t>
      </w:r>
      <w:proofErr w:type="spellEnd"/>
      <w:r>
        <w:t xml:space="preserve">₃ vs. </w:t>
      </w:r>
      <w:proofErr w:type="spellStart"/>
      <w:r>
        <w:t>IrZr</w:t>
      </w:r>
      <w:proofErr w:type="spellEnd"/>
      <w:r>
        <w:t>₃</w:t>
      </w:r>
    </w:p>
    <w:p w14:paraId="5FF04168" w14:textId="77777777" w:rsidR="00385092" w:rsidRDefault="00385092" w:rsidP="00385092">
      <w:r>
        <w:t>**Description**: Side-by-side **orthorhombic (</w:t>
      </w:r>
      <w:proofErr w:type="spellStart"/>
      <w:r>
        <w:t>CoZr</w:t>
      </w:r>
      <w:proofErr w:type="spellEnd"/>
      <w:r>
        <w:t>₃)** and **tetragonal (</w:t>
      </w:r>
      <w:proofErr w:type="spellStart"/>
      <w:r>
        <w:t>IrZr</w:t>
      </w:r>
      <w:proofErr w:type="spellEnd"/>
      <w:r>
        <w:t xml:space="preserve">₃)** structures, with uniaxial NTE along \(c\)-axis.  </w:t>
      </w:r>
    </w:p>
    <w:p w14:paraId="1F0A0D72" w14:textId="77777777" w:rsidR="00385092" w:rsidRDefault="00385092" w:rsidP="00385092">
      <w:r>
        <w:t xml:space="preserve">**Key Features**:  </w:t>
      </w:r>
    </w:p>
    <w:p w14:paraId="5FB2A002" w14:textId="77777777" w:rsidR="00385092" w:rsidRDefault="00385092" w:rsidP="00385092">
      <w:r>
        <w:t>- **</w:t>
      </w:r>
      <w:proofErr w:type="spellStart"/>
      <w:r>
        <w:t>CoZr</w:t>
      </w:r>
      <w:proofErr w:type="spellEnd"/>
      <w:r>
        <w:t>₃**: \(\</w:t>
      </w:r>
      <w:proofErr w:type="spellStart"/>
      <w:r>
        <w:t>alpha_c</w:t>
      </w:r>
      <w:proofErr w:type="spellEnd"/>
      <w:r>
        <w:t xml:space="preserve"> = -8.2 \, \mu K^{-1}\).  </w:t>
      </w:r>
    </w:p>
    <w:p w14:paraId="62B16582" w14:textId="77777777" w:rsidR="00385092" w:rsidRDefault="00385092" w:rsidP="00385092">
      <w:r>
        <w:t>- **</w:t>
      </w:r>
      <w:proofErr w:type="spellStart"/>
      <w:r>
        <w:t>IrZr</w:t>
      </w:r>
      <w:proofErr w:type="spellEnd"/>
      <w:r>
        <w:t>₃**: \(\</w:t>
      </w:r>
      <w:proofErr w:type="spellStart"/>
      <w:r>
        <w:t>alpha_c</w:t>
      </w:r>
      <w:proofErr w:type="spellEnd"/>
      <w:r>
        <w:t xml:space="preserve"> = -4 \, \mu K^{-1}\).  </w:t>
      </w:r>
    </w:p>
    <w:p w14:paraId="4A9024F0" w14:textId="77777777" w:rsidR="00385092" w:rsidRDefault="00385092" w:rsidP="00385092">
      <w:r>
        <w:t>**Format**: `.</w:t>
      </w:r>
      <w:proofErr w:type="spellStart"/>
      <w:r>
        <w:t>svg</w:t>
      </w:r>
      <w:proofErr w:type="spellEnd"/>
      <w:r>
        <w:t xml:space="preserve">` (scalable).  </w:t>
      </w:r>
    </w:p>
    <w:p w14:paraId="56E5D5DA" w14:textId="22FD114E" w:rsidR="007F5D5F" w:rsidRDefault="007F5D5F" w:rsidP="00385092">
      <w:r w:rsidRPr="007F5D5F">
        <w:lastRenderedPageBreak/>
        <w:drawing>
          <wp:inline distT="0" distB="0" distL="0" distR="0" wp14:anchorId="618DAAF6" wp14:editId="7FA92276">
            <wp:extent cx="5731510" cy="3701415"/>
            <wp:effectExtent l="0" t="0" r="2540" b="0"/>
            <wp:docPr id="362046076"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46076" name="Picture 1" descr="A graph with numbers and a line&#10;&#10;AI-generated content may be incorrect."/>
                    <pic:cNvPicPr/>
                  </pic:nvPicPr>
                  <pic:blipFill>
                    <a:blip r:embed="rId12"/>
                    <a:stretch>
                      <a:fillRect/>
                    </a:stretch>
                  </pic:blipFill>
                  <pic:spPr>
                    <a:xfrm>
                      <a:off x="0" y="0"/>
                      <a:ext cx="5731510" cy="3701415"/>
                    </a:xfrm>
                    <a:prstGeom prst="rect">
                      <a:avLst/>
                    </a:prstGeom>
                  </pic:spPr>
                </pic:pic>
              </a:graphicData>
            </a:graphic>
          </wp:inline>
        </w:drawing>
      </w:r>
    </w:p>
    <w:p w14:paraId="0A65482E" w14:textId="7548EFAB" w:rsidR="00385092" w:rsidRDefault="00385092" w:rsidP="00385092"/>
    <w:p w14:paraId="7FD4B599" w14:textId="160C7189" w:rsidR="00385092" w:rsidRDefault="00385092" w:rsidP="00385092">
      <w:r>
        <w:t>9. Theoretical vs. Experimental \(E^*\) Correlation</w:t>
      </w:r>
    </w:p>
    <w:p w14:paraId="1E47BC33" w14:textId="77777777" w:rsidR="00385092" w:rsidRDefault="00385092" w:rsidP="00385092">
      <w:r>
        <w:t xml:space="preserve">**Description**: Parity plot comparing **empirical \(E^*\)** (x-axis) and **crystallographic \(E^*\)** (y-axis) for 5 \(TrZr_2\) compounds.  </w:t>
      </w:r>
    </w:p>
    <w:p w14:paraId="410BAFB1" w14:textId="77777777" w:rsidR="00385092" w:rsidRDefault="00385092" w:rsidP="00385092">
      <w:r>
        <w:t xml:space="preserve">**Key Features**:  </w:t>
      </w:r>
    </w:p>
    <w:p w14:paraId="785FF7DB" w14:textId="77777777" w:rsidR="00385092" w:rsidRDefault="00385092" w:rsidP="00385092">
      <w:r>
        <w:t xml:space="preserve">- **45° line** for ideal agreement.  </w:t>
      </w:r>
    </w:p>
    <w:p w14:paraId="14B4959B" w14:textId="77777777" w:rsidR="00385092" w:rsidRDefault="00385092" w:rsidP="00385092">
      <w:r>
        <w:t xml:space="preserve">- **Outliers** discussed (e.g., HEA effects).  </w:t>
      </w:r>
    </w:p>
    <w:p w14:paraId="6EDC1753" w14:textId="77777777" w:rsidR="00385092" w:rsidRDefault="00385092" w:rsidP="00385092">
      <w:r>
        <w:t xml:space="preserve">**Format**: `.eps` (LaTeX-compatible).  </w:t>
      </w:r>
    </w:p>
    <w:p w14:paraId="79379EC0" w14:textId="6C1A118C" w:rsidR="007F5D5F" w:rsidRDefault="007F5D5F" w:rsidP="00385092">
      <w:r w:rsidRPr="007F5D5F">
        <w:lastRenderedPageBreak/>
        <w:drawing>
          <wp:inline distT="0" distB="0" distL="0" distR="0" wp14:anchorId="3F20060B" wp14:editId="46BAE6F2">
            <wp:extent cx="4887007" cy="4887007"/>
            <wp:effectExtent l="0" t="0" r="8890" b="8890"/>
            <wp:docPr id="561244843" name="Picture 1"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44843" name="Picture 1" descr="A graph with blue dots&#10;&#10;AI-generated content may be incorrect."/>
                    <pic:cNvPicPr/>
                  </pic:nvPicPr>
                  <pic:blipFill>
                    <a:blip r:embed="rId13"/>
                    <a:stretch>
                      <a:fillRect/>
                    </a:stretch>
                  </pic:blipFill>
                  <pic:spPr>
                    <a:xfrm>
                      <a:off x="0" y="0"/>
                      <a:ext cx="4887007" cy="4887007"/>
                    </a:xfrm>
                    <a:prstGeom prst="rect">
                      <a:avLst/>
                    </a:prstGeom>
                  </pic:spPr>
                </pic:pic>
              </a:graphicData>
            </a:graphic>
          </wp:inline>
        </w:drawing>
      </w:r>
    </w:p>
    <w:p w14:paraId="0C77B7F4" w14:textId="77777777" w:rsidR="00385092" w:rsidRDefault="00385092" w:rsidP="00385092"/>
    <w:p w14:paraId="352F27DD" w14:textId="10C4E662" w:rsidR="00385092" w:rsidRDefault="00385092" w:rsidP="00385092">
      <w:r>
        <w:t xml:space="preserve">10. Proposed Applications: ZTE </w:t>
      </w:r>
      <w:proofErr w:type="spellStart"/>
      <w:r>
        <w:t>Composite</w:t>
      </w:r>
      <w:r>
        <w:t>S</w:t>
      </w:r>
      <w:proofErr w:type="spellEnd"/>
      <w:r>
        <w:t xml:space="preserve">  </w:t>
      </w:r>
    </w:p>
    <w:p w14:paraId="6D190C7E" w14:textId="77777777" w:rsidR="00385092" w:rsidRDefault="00385092" w:rsidP="00385092">
      <w:r>
        <w:t xml:space="preserve">**Description**: 3D schematic of a **zero thermal expansion (ZTE) composite** using \(TrZr_2\) (NTE) + Al (PTE).  </w:t>
      </w:r>
    </w:p>
    <w:p w14:paraId="75013B5A" w14:textId="77777777" w:rsidR="00385092" w:rsidRDefault="00385092" w:rsidP="00385092">
      <w:r>
        <w:t xml:space="preserve">**Key Features**:  </w:t>
      </w:r>
    </w:p>
    <w:p w14:paraId="4B4ED605" w14:textId="77777777" w:rsidR="00385092" w:rsidRDefault="00385092" w:rsidP="00385092">
      <w:r>
        <w:t xml:space="preserve">- **Thermal strain maps** at 300 K vs. 600 K.  </w:t>
      </w:r>
    </w:p>
    <w:p w14:paraId="2A754E11" w14:textId="77777777" w:rsidR="00385092" w:rsidRDefault="00385092" w:rsidP="00385092">
      <w:r>
        <w:t xml:space="preserve">- **Microstructure** with phase boundaries.  </w:t>
      </w:r>
    </w:p>
    <w:p w14:paraId="7140AA41" w14:textId="77777777" w:rsidR="00385092" w:rsidRDefault="00385092" w:rsidP="00385092">
      <w:r>
        <w:t>**Format**: `.</w:t>
      </w:r>
      <w:proofErr w:type="spellStart"/>
      <w:r>
        <w:t>tif</w:t>
      </w:r>
      <w:proofErr w:type="spellEnd"/>
      <w:r>
        <w:t xml:space="preserve">` (CMYK, 600 dpi).  </w:t>
      </w:r>
    </w:p>
    <w:p w14:paraId="448515F8" w14:textId="30FC70A1" w:rsidR="008B0952" w:rsidRDefault="007F5D5F" w:rsidP="00385092">
      <w:r w:rsidRPr="007F5D5F">
        <w:lastRenderedPageBreak/>
        <w:drawing>
          <wp:inline distT="0" distB="0" distL="0" distR="0" wp14:anchorId="5F79AFF2" wp14:editId="55D13608">
            <wp:extent cx="5731510" cy="3467100"/>
            <wp:effectExtent l="0" t="0" r="2540" b="0"/>
            <wp:docPr id="1306531652" name="Picture 1" descr="A graph with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31652" name="Picture 1" descr="A graph with red squares&#10;&#10;AI-generated content may be incorrect."/>
                    <pic:cNvPicPr/>
                  </pic:nvPicPr>
                  <pic:blipFill>
                    <a:blip r:embed="rId14"/>
                    <a:stretch>
                      <a:fillRect/>
                    </a:stretch>
                  </pic:blipFill>
                  <pic:spPr>
                    <a:xfrm>
                      <a:off x="0" y="0"/>
                      <a:ext cx="5731510" cy="3467100"/>
                    </a:xfrm>
                    <a:prstGeom prst="rect">
                      <a:avLst/>
                    </a:prstGeom>
                  </pic:spPr>
                </pic:pic>
              </a:graphicData>
            </a:graphic>
          </wp:inline>
        </w:drawing>
      </w:r>
    </w:p>
    <w:p w14:paraId="070ADD67" w14:textId="77777777" w:rsidR="00287770" w:rsidRPr="00287770" w:rsidRDefault="00287770" w:rsidP="00287770">
      <w:r w:rsidRPr="00287770">
        <w:rPr>
          <w:b/>
          <w:bCs/>
        </w:rPr>
        <w:t>plots the correlation between estimated E</w:t>
      </w:r>
      <w:r w:rsidRPr="00287770">
        <w:rPr>
          <w:rFonts w:ascii="Cambria Math" w:hAnsi="Cambria Math" w:cs="Cambria Math"/>
          <w:b/>
          <w:bCs/>
        </w:rPr>
        <w:t>∗</w:t>
      </w:r>
      <w:r w:rsidRPr="00287770">
        <w:rPr>
          <w:b/>
          <w:bCs/>
        </w:rPr>
        <w:t>E^*E</w:t>
      </w:r>
      <w:r w:rsidRPr="00287770">
        <w:rPr>
          <w:rFonts w:ascii="Cambria Math" w:hAnsi="Cambria Math" w:cs="Cambria Math"/>
          <w:b/>
          <w:bCs/>
        </w:rPr>
        <w:t>∗</w:t>
      </w:r>
      <w:r w:rsidRPr="00287770">
        <w:t xml:space="preserve"> and relevant properties like:</w:t>
      </w:r>
    </w:p>
    <w:p w14:paraId="46DC6646" w14:textId="77777777" w:rsidR="00287770" w:rsidRPr="00287770" w:rsidRDefault="00287770" w:rsidP="00287770">
      <w:pPr>
        <w:numPr>
          <w:ilvl w:val="0"/>
          <w:numId w:val="18"/>
        </w:numPr>
      </w:pPr>
      <w:r w:rsidRPr="00287770">
        <w:rPr>
          <w:b/>
          <w:bCs/>
        </w:rPr>
        <w:t>Thermal expansion (αc\</w:t>
      </w:r>
      <w:proofErr w:type="spellStart"/>
      <w:r w:rsidRPr="00287770">
        <w:rPr>
          <w:b/>
          <w:bCs/>
        </w:rPr>
        <w:t>alpha_c</w:t>
      </w:r>
      <w:proofErr w:type="spellEnd"/>
      <w:r w:rsidRPr="00287770">
        <w:rPr>
          <w:b/>
          <w:bCs/>
        </w:rPr>
        <w:t>αc</w:t>
      </w:r>
      <w:r w:rsidRPr="00287770">
        <w:rPr>
          <w:rFonts w:ascii="Arial" w:hAnsi="Arial" w:cs="Arial"/>
          <w:b/>
          <w:bCs/>
        </w:rPr>
        <w:t>​</w:t>
      </w:r>
      <w:r w:rsidRPr="00287770">
        <w:rPr>
          <w:b/>
          <w:bCs/>
        </w:rPr>
        <w:t>)</w:t>
      </w:r>
    </w:p>
    <w:p w14:paraId="104C6B91" w14:textId="77777777" w:rsidR="00287770" w:rsidRPr="00287770" w:rsidRDefault="00287770" w:rsidP="00287770">
      <w:pPr>
        <w:numPr>
          <w:ilvl w:val="0"/>
          <w:numId w:val="18"/>
        </w:numPr>
      </w:pPr>
      <w:r w:rsidRPr="00287770">
        <w:rPr>
          <w:b/>
          <w:bCs/>
        </w:rPr>
        <w:t xml:space="preserve">Superconducting </w:t>
      </w:r>
      <w:proofErr w:type="spellStart"/>
      <w:r w:rsidRPr="00287770">
        <w:rPr>
          <w:b/>
          <w:bCs/>
        </w:rPr>
        <w:t>TcT_cTc</w:t>
      </w:r>
      <w:proofErr w:type="spellEnd"/>
      <w:r w:rsidRPr="00287770">
        <w:rPr>
          <w:rFonts w:ascii="Arial" w:hAnsi="Arial" w:cs="Arial"/>
          <w:b/>
          <w:bCs/>
        </w:rPr>
        <w:t>​</w:t>
      </w:r>
    </w:p>
    <w:p w14:paraId="5EC74EE0" w14:textId="77777777" w:rsidR="00287770" w:rsidRPr="00287770" w:rsidRDefault="00287770" w:rsidP="00287770">
      <w:pPr>
        <w:numPr>
          <w:ilvl w:val="0"/>
          <w:numId w:val="18"/>
        </w:numPr>
      </w:pPr>
      <w:r w:rsidRPr="00287770">
        <w:rPr>
          <w:b/>
          <w:bCs/>
        </w:rPr>
        <w:t>Type of bonding stiffness</w:t>
      </w:r>
      <w:r w:rsidRPr="00287770">
        <w:t xml:space="preserve"> (visualized categorically)</w:t>
      </w:r>
    </w:p>
    <w:p w14:paraId="0211B66B" w14:textId="77777777" w:rsidR="00287770" w:rsidRDefault="00287770" w:rsidP="00385092"/>
    <w:p w14:paraId="26C9A59F" w14:textId="6872DCCC" w:rsidR="00191005" w:rsidRDefault="00191005" w:rsidP="00385092">
      <w:r w:rsidRPr="00191005">
        <w:drawing>
          <wp:inline distT="0" distB="0" distL="0" distR="0" wp14:anchorId="198D6643" wp14:editId="2BD06C7B">
            <wp:extent cx="5731510" cy="1520190"/>
            <wp:effectExtent l="0" t="0" r="2540" b="3810"/>
            <wp:docPr id="2041882917" name="Picture 1" descr="A graph with gree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82917" name="Picture 1" descr="A graph with green dots&#10;&#10;AI-generated content may be incorrect."/>
                    <pic:cNvPicPr/>
                  </pic:nvPicPr>
                  <pic:blipFill>
                    <a:blip r:embed="rId15"/>
                    <a:stretch>
                      <a:fillRect/>
                    </a:stretch>
                  </pic:blipFill>
                  <pic:spPr>
                    <a:xfrm>
                      <a:off x="0" y="0"/>
                      <a:ext cx="5731510" cy="1520190"/>
                    </a:xfrm>
                    <a:prstGeom prst="rect">
                      <a:avLst/>
                    </a:prstGeom>
                  </pic:spPr>
                </pic:pic>
              </a:graphicData>
            </a:graphic>
          </wp:inline>
        </w:drawing>
      </w:r>
    </w:p>
    <w:sectPr w:rsidR="00191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7CA"/>
    <w:multiLevelType w:val="multilevel"/>
    <w:tmpl w:val="E80A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4CA8"/>
    <w:multiLevelType w:val="multilevel"/>
    <w:tmpl w:val="160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F7C85"/>
    <w:multiLevelType w:val="multilevel"/>
    <w:tmpl w:val="7B30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87DE9"/>
    <w:multiLevelType w:val="multilevel"/>
    <w:tmpl w:val="72A8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16083"/>
    <w:multiLevelType w:val="multilevel"/>
    <w:tmpl w:val="77E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1B8B"/>
    <w:multiLevelType w:val="multilevel"/>
    <w:tmpl w:val="A3B4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35DE3"/>
    <w:multiLevelType w:val="multilevel"/>
    <w:tmpl w:val="54D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315DD"/>
    <w:multiLevelType w:val="multilevel"/>
    <w:tmpl w:val="08200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D507A"/>
    <w:multiLevelType w:val="multilevel"/>
    <w:tmpl w:val="1EF6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7224E"/>
    <w:multiLevelType w:val="multilevel"/>
    <w:tmpl w:val="8F0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57EB5"/>
    <w:multiLevelType w:val="multilevel"/>
    <w:tmpl w:val="7828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C6465"/>
    <w:multiLevelType w:val="multilevel"/>
    <w:tmpl w:val="9E56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CF254B"/>
    <w:multiLevelType w:val="multilevel"/>
    <w:tmpl w:val="C5A0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F7CEC"/>
    <w:multiLevelType w:val="multilevel"/>
    <w:tmpl w:val="6CFA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20956"/>
    <w:multiLevelType w:val="multilevel"/>
    <w:tmpl w:val="ACA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E7E8B"/>
    <w:multiLevelType w:val="multilevel"/>
    <w:tmpl w:val="D1F0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E50D1"/>
    <w:multiLevelType w:val="multilevel"/>
    <w:tmpl w:val="3FF6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97E89"/>
    <w:multiLevelType w:val="multilevel"/>
    <w:tmpl w:val="3DC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049218">
    <w:abstractNumId w:val="10"/>
  </w:num>
  <w:num w:numId="2" w16cid:durableId="1466239723">
    <w:abstractNumId w:val="2"/>
  </w:num>
  <w:num w:numId="3" w16cid:durableId="1345597744">
    <w:abstractNumId w:val="4"/>
  </w:num>
  <w:num w:numId="4" w16cid:durableId="1407074823">
    <w:abstractNumId w:val="8"/>
  </w:num>
  <w:num w:numId="5" w16cid:durableId="1765687771">
    <w:abstractNumId w:val="12"/>
  </w:num>
  <w:num w:numId="6" w16cid:durableId="281225563">
    <w:abstractNumId w:val="5"/>
  </w:num>
  <w:num w:numId="7" w16cid:durableId="2111779093">
    <w:abstractNumId w:val="13"/>
  </w:num>
  <w:num w:numId="8" w16cid:durableId="108475013">
    <w:abstractNumId w:val="7"/>
  </w:num>
  <w:num w:numId="9" w16cid:durableId="440691414">
    <w:abstractNumId w:val="3"/>
  </w:num>
  <w:num w:numId="10" w16cid:durableId="236018277">
    <w:abstractNumId w:val="15"/>
  </w:num>
  <w:num w:numId="11" w16cid:durableId="1857309820">
    <w:abstractNumId w:val="1"/>
  </w:num>
  <w:num w:numId="12" w16cid:durableId="513417713">
    <w:abstractNumId w:val="16"/>
  </w:num>
  <w:num w:numId="13" w16cid:durableId="2061975853">
    <w:abstractNumId w:val="9"/>
  </w:num>
  <w:num w:numId="14" w16cid:durableId="314650116">
    <w:abstractNumId w:val="6"/>
  </w:num>
  <w:num w:numId="15" w16cid:durableId="1765540392">
    <w:abstractNumId w:val="0"/>
  </w:num>
  <w:num w:numId="16" w16cid:durableId="755710982">
    <w:abstractNumId w:val="14"/>
  </w:num>
  <w:num w:numId="17" w16cid:durableId="2066099816">
    <w:abstractNumId w:val="17"/>
  </w:num>
  <w:num w:numId="18" w16cid:durableId="2001686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52"/>
    <w:rsid w:val="00191005"/>
    <w:rsid w:val="00287770"/>
    <w:rsid w:val="00385092"/>
    <w:rsid w:val="007E20A1"/>
    <w:rsid w:val="007F5D5F"/>
    <w:rsid w:val="008B09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B04E"/>
  <w15:chartTrackingRefBased/>
  <w15:docId w15:val="{98DE47AC-96DA-4098-9C97-23C1AE58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52"/>
    <w:rPr>
      <w:rFonts w:eastAsiaTheme="majorEastAsia" w:cstheme="majorBidi"/>
      <w:color w:val="272727" w:themeColor="text1" w:themeTint="D8"/>
    </w:rPr>
  </w:style>
  <w:style w:type="paragraph" w:styleId="Title">
    <w:name w:val="Title"/>
    <w:basedOn w:val="Normal"/>
    <w:next w:val="Normal"/>
    <w:link w:val="TitleChar"/>
    <w:uiPriority w:val="10"/>
    <w:qFormat/>
    <w:rsid w:val="008B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52"/>
    <w:pPr>
      <w:spacing w:before="160"/>
      <w:jc w:val="center"/>
    </w:pPr>
    <w:rPr>
      <w:i/>
      <w:iCs/>
      <w:color w:val="404040" w:themeColor="text1" w:themeTint="BF"/>
    </w:rPr>
  </w:style>
  <w:style w:type="character" w:customStyle="1" w:styleId="QuoteChar">
    <w:name w:val="Quote Char"/>
    <w:basedOn w:val="DefaultParagraphFont"/>
    <w:link w:val="Quote"/>
    <w:uiPriority w:val="29"/>
    <w:rsid w:val="008B0952"/>
    <w:rPr>
      <w:i/>
      <w:iCs/>
      <w:color w:val="404040" w:themeColor="text1" w:themeTint="BF"/>
    </w:rPr>
  </w:style>
  <w:style w:type="paragraph" w:styleId="ListParagraph">
    <w:name w:val="List Paragraph"/>
    <w:basedOn w:val="Normal"/>
    <w:uiPriority w:val="34"/>
    <w:qFormat/>
    <w:rsid w:val="008B0952"/>
    <w:pPr>
      <w:ind w:left="720"/>
      <w:contextualSpacing/>
    </w:pPr>
  </w:style>
  <w:style w:type="character" w:styleId="IntenseEmphasis">
    <w:name w:val="Intense Emphasis"/>
    <w:basedOn w:val="DefaultParagraphFont"/>
    <w:uiPriority w:val="21"/>
    <w:qFormat/>
    <w:rsid w:val="008B0952"/>
    <w:rPr>
      <w:i/>
      <w:iCs/>
      <w:color w:val="0F4761" w:themeColor="accent1" w:themeShade="BF"/>
    </w:rPr>
  </w:style>
  <w:style w:type="paragraph" w:styleId="IntenseQuote">
    <w:name w:val="Intense Quote"/>
    <w:basedOn w:val="Normal"/>
    <w:next w:val="Normal"/>
    <w:link w:val="IntenseQuoteChar"/>
    <w:uiPriority w:val="30"/>
    <w:qFormat/>
    <w:rsid w:val="008B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952"/>
    <w:rPr>
      <w:i/>
      <w:iCs/>
      <w:color w:val="0F4761" w:themeColor="accent1" w:themeShade="BF"/>
    </w:rPr>
  </w:style>
  <w:style w:type="character" w:styleId="IntenseReference">
    <w:name w:val="Intense Reference"/>
    <w:basedOn w:val="DefaultParagraphFont"/>
    <w:uiPriority w:val="32"/>
    <w:qFormat/>
    <w:rsid w:val="008B0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2396">
      <w:bodyDiv w:val="1"/>
      <w:marLeft w:val="0"/>
      <w:marRight w:val="0"/>
      <w:marTop w:val="0"/>
      <w:marBottom w:val="0"/>
      <w:divBdr>
        <w:top w:val="none" w:sz="0" w:space="0" w:color="auto"/>
        <w:left w:val="none" w:sz="0" w:space="0" w:color="auto"/>
        <w:bottom w:val="none" w:sz="0" w:space="0" w:color="auto"/>
        <w:right w:val="none" w:sz="0" w:space="0" w:color="auto"/>
      </w:divBdr>
    </w:div>
    <w:div w:id="371082063">
      <w:bodyDiv w:val="1"/>
      <w:marLeft w:val="0"/>
      <w:marRight w:val="0"/>
      <w:marTop w:val="0"/>
      <w:marBottom w:val="0"/>
      <w:divBdr>
        <w:top w:val="none" w:sz="0" w:space="0" w:color="auto"/>
        <w:left w:val="none" w:sz="0" w:space="0" w:color="auto"/>
        <w:bottom w:val="none" w:sz="0" w:space="0" w:color="auto"/>
        <w:right w:val="none" w:sz="0" w:space="0" w:color="auto"/>
      </w:divBdr>
    </w:div>
    <w:div w:id="560874200">
      <w:bodyDiv w:val="1"/>
      <w:marLeft w:val="0"/>
      <w:marRight w:val="0"/>
      <w:marTop w:val="0"/>
      <w:marBottom w:val="0"/>
      <w:divBdr>
        <w:top w:val="none" w:sz="0" w:space="0" w:color="auto"/>
        <w:left w:val="none" w:sz="0" w:space="0" w:color="auto"/>
        <w:bottom w:val="none" w:sz="0" w:space="0" w:color="auto"/>
        <w:right w:val="none" w:sz="0" w:space="0" w:color="auto"/>
      </w:divBdr>
    </w:div>
    <w:div w:id="602494849">
      <w:bodyDiv w:val="1"/>
      <w:marLeft w:val="0"/>
      <w:marRight w:val="0"/>
      <w:marTop w:val="0"/>
      <w:marBottom w:val="0"/>
      <w:divBdr>
        <w:top w:val="none" w:sz="0" w:space="0" w:color="auto"/>
        <w:left w:val="none" w:sz="0" w:space="0" w:color="auto"/>
        <w:bottom w:val="none" w:sz="0" w:space="0" w:color="auto"/>
        <w:right w:val="none" w:sz="0" w:space="0" w:color="auto"/>
      </w:divBdr>
    </w:div>
    <w:div w:id="894243753">
      <w:bodyDiv w:val="1"/>
      <w:marLeft w:val="0"/>
      <w:marRight w:val="0"/>
      <w:marTop w:val="0"/>
      <w:marBottom w:val="0"/>
      <w:divBdr>
        <w:top w:val="none" w:sz="0" w:space="0" w:color="auto"/>
        <w:left w:val="none" w:sz="0" w:space="0" w:color="auto"/>
        <w:bottom w:val="none" w:sz="0" w:space="0" w:color="auto"/>
        <w:right w:val="none" w:sz="0" w:space="0" w:color="auto"/>
      </w:divBdr>
    </w:div>
    <w:div w:id="16787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Nikshitha Geruganti</dc:creator>
  <cp:keywords/>
  <dc:description/>
  <cp:lastModifiedBy>Nikshitha Geruganti</cp:lastModifiedBy>
  <cp:revision>3</cp:revision>
  <dcterms:created xsi:type="dcterms:W3CDTF">2025-07-17T03:52:00Z</dcterms:created>
  <dcterms:modified xsi:type="dcterms:W3CDTF">2025-07-17T05:01:00Z</dcterms:modified>
</cp:coreProperties>
</file>