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F197" w14:textId="10A1FBB4" w:rsidR="00687949" w:rsidRDefault="00687949" w:rsidP="00687949">
      <w:r>
        <w:t xml:space="preserve">Anisotropic Superconducting Gap in High-Entropy Telluride </w:t>
      </w:r>
      <w:proofErr w:type="spellStart"/>
      <w:r>
        <w:t>AgInSnPbBiTe</w:t>
      </w:r>
      <w:proofErr w:type="spellEnd"/>
      <w:r>
        <w:t xml:space="preserve">₅:  </w:t>
      </w:r>
    </w:p>
    <w:p w14:paraId="7DAFE60C" w14:textId="77777777" w:rsidR="00687949" w:rsidRDefault="00687949" w:rsidP="00687949">
      <w:r>
        <w:t xml:space="preserve">A Combined </w:t>
      </w:r>
      <w:proofErr w:type="spellStart"/>
      <w:r>
        <w:t>μSR</w:t>
      </w:r>
      <w:proofErr w:type="spellEnd"/>
      <w:r>
        <w:t xml:space="preserve"> and Anisotropy Model Study  </w:t>
      </w:r>
    </w:p>
    <w:p w14:paraId="490748CC" w14:textId="71D429C5" w:rsidR="00687949" w:rsidRDefault="00687949" w:rsidP="00687949"/>
    <w:p w14:paraId="1127A133" w14:textId="66F3DC2E" w:rsidR="00687949" w:rsidRDefault="00687949" w:rsidP="00687949">
      <w:pPr>
        <w:pStyle w:val="ListParagraph"/>
      </w:pPr>
      <w:r>
        <w:t xml:space="preserve">Author: </w:t>
      </w:r>
      <w:r>
        <w:t xml:space="preserve">Sudhakar </w:t>
      </w:r>
      <w:r>
        <w:t>Geruganti (Corresponding Author)</w:t>
      </w:r>
    </w:p>
    <w:p w14:paraId="2A3BF014" w14:textId="2B060057" w:rsidR="00687949" w:rsidRDefault="00687949" w:rsidP="00687949">
      <w:pPr>
        <w:pStyle w:val="ListParagraph"/>
      </w:pPr>
      <w:r>
        <w:t>Affiliation: Independent Researcher,</w:t>
      </w:r>
    </w:p>
    <w:p w14:paraId="79B896CD" w14:textId="6C958E66" w:rsidR="00687949" w:rsidRDefault="00687949" w:rsidP="00687949">
      <w:pPr>
        <w:pStyle w:val="ListParagraph"/>
      </w:pPr>
      <w:r>
        <w:t>Email: geruganti123@gmail.com</w:t>
      </w:r>
    </w:p>
    <w:p w14:paraId="385FDE72" w14:textId="77777777" w:rsidR="00687949" w:rsidRDefault="00687949" w:rsidP="00687949"/>
    <w:p w14:paraId="50E588BD" w14:textId="77777777" w:rsidR="00687949" w:rsidRDefault="00687949" w:rsidP="00687949">
      <w:r>
        <w:t xml:space="preserve">Abstract  </w:t>
      </w:r>
    </w:p>
    <w:p w14:paraId="10BBA5E3" w14:textId="77777777" w:rsidR="00687949" w:rsidRDefault="00687949" w:rsidP="00687949">
      <w:r>
        <w:t xml:space="preserve">We present a comprehensive study of the anisotropic superconducting gap in high-entropy telluride </w:t>
      </w:r>
      <w:proofErr w:type="spellStart"/>
      <w:r>
        <w:t>AgInSnPbBiTe</w:t>
      </w:r>
      <w:proofErr w:type="spellEnd"/>
      <w:r>
        <w:t>₅ using transverse-field muon spin rotation/relaxation (TF-</w:t>
      </w:r>
      <w:proofErr w:type="spellStart"/>
      <w:r>
        <w:t>μSR</w:t>
      </w:r>
      <w:proofErr w:type="spellEnd"/>
      <w:r>
        <w:t>) measurements and a fourth-order crystalline anisotropy model. The experimental penetration depth data (λ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²</w:t>
      </w:r>
      <w:r>
        <w:t xml:space="preserve">(T)) exhibits significant deviation from conventional BCS </w:t>
      </w:r>
      <w:proofErr w:type="spellStart"/>
      <w:r>
        <w:t>behavior</w:t>
      </w:r>
      <w:proofErr w:type="spellEnd"/>
      <w:r>
        <w:t>, with 2</w:t>
      </w:r>
      <w:proofErr w:type="gramStart"/>
      <w:r>
        <w:rPr>
          <w:rFonts w:ascii="Aptos" w:hAnsi="Aptos" w:cs="Aptos"/>
        </w:rPr>
        <w:t>Δ</w:t>
      </w:r>
      <w:r>
        <w:t>(</w:t>
      </w:r>
      <w:proofErr w:type="gramEnd"/>
      <w:r>
        <w:t>0)/</w:t>
      </w:r>
      <w:proofErr w:type="spellStart"/>
      <w:r>
        <w:t>kBTc</w:t>
      </w:r>
      <w:proofErr w:type="spellEnd"/>
      <w:r>
        <w:t xml:space="preserve"> </w:t>
      </w:r>
      <w:r>
        <w:rPr>
          <w:rFonts w:ascii="Aptos" w:hAnsi="Aptos" w:cs="Aptos"/>
        </w:rPr>
        <w:t>≈</w:t>
      </w:r>
      <w:r>
        <w:t xml:space="preserve"> 10 indicating strong-coupling superconductivity. We develop an anisotropic gap model where the gap function </w:t>
      </w:r>
      <w:r>
        <w:rPr>
          <w:rFonts w:ascii="Aptos" w:hAnsi="Aptos" w:cs="Aptos"/>
        </w:rPr>
        <w:t>Δ</w:t>
      </w:r>
      <w:r>
        <w:t xml:space="preserve">(k) = </w:t>
      </w:r>
      <w:r>
        <w:rPr>
          <w:rFonts w:ascii="Aptos" w:hAnsi="Aptos" w:cs="Aptos"/>
        </w:rPr>
        <w:t>Δ</w:t>
      </w:r>
      <w:proofErr w:type="gramStart"/>
      <w:r>
        <w:rPr>
          <w:rFonts w:ascii="Aptos" w:hAnsi="Aptos" w:cs="Aptos"/>
        </w:rPr>
        <w:t>₀</w:t>
      </w:r>
      <w:r>
        <w:t>[</w:t>
      </w:r>
      <w:proofErr w:type="gramEnd"/>
      <w:r>
        <w:t>1 + K</w:t>
      </w:r>
      <w:proofErr w:type="gramStart"/>
      <w:r>
        <w:rPr>
          <w:rFonts w:ascii="Aptos" w:hAnsi="Aptos" w:cs="Aptos"/>
        </w:rPr>
        <w:t>₄</w:t>
      </w:r>
      <w:r>
        <w:t>(</w:t>
      </w:r>
      <w:proofErr w:type="gramEnd"/>
      <w:r>
        <w:rPr>
          <w:rFonts w:ascii="Aptos" w:hAnsi="Aptos" w:cs="Aptos"/>
        </w:rPr>
        <w:t>α</w:t>
      </w:r>
      <w:r>
        <w:rPr>
          <w:rFonts w:ascii="Cambria Math" w:hAnsi="Cambria Math" w:cs="Cambria Math"/>
        </w:rPr>
        <w:t>ₓ</w:t>
      </w:r>
      <w:r>
        <w:rPr>
          <w:rFonts w:ascii="Aptos" w:hAnsi="Aptos" w:cs="Aptos"/>
        </w:rPr>
        <w:t>⁴</w:t>
      </w:r>
      <w:r>
        <w:t xml:space="preserve"> + </w:t>
      </w:r>
      <w:r>
        <w:rPr>
          <w:rFonts w:ascii="Aptos" w:hAnsi="Aptos" w:cs="Aptos"/>
        </w:rPr>
        <w:t>α</w:t>
      </w:r>
      <w:r>
        <w:rPr>
          <w:rFonts w:ascii="Arial" w:hAnsi="Arial" w:cs="Arial"/>
        </w:rPr>
        <w:t>ᵧ</w:t>
      </w:r>
      <w:r>
        <w:t>⁴ + α_z⁴) + K₆(α</w:t>
      </w:r>
      <w:r>
        <w:rPr>
          <w:rFonts w:ascii="Cambria Math" w:hAnsi="Cambria Math" w:cs="Cambria Math"/>
        </w:rPr>
        <w:t>ₓ</w:t>
      </w:r>
      <w:r>
        <w:rPr>
          <w:rFonts w:ascii="Aptos" w:hAnsi="Aptos" w:cs="Aptos"/>
        </w:rPr>
        <w:t>²α</w:t>
      </w:r>
      <w:r>
        <w:rPr>
          <w:rFonts w:ascii="Arial" w:hAnsi="Arial" w:cs="Arial"/>
        </w:rPr>
        <w:t>ᵧ</w:t>
      </w:r>
      <w:r>
        <w:t xml:space="preserve">²α_z²)] incorporates element-specific contributions through weighted averaging. First-principles calculations assign K₄ = +0.34 </w:t>
      </w:r>
      <w:proofErr w:type="spellStart"/>
      <w:r>
        <w:t>meV</w:t>
      </w:r>
      <w:proofErr w:type="spellEnd"/>
      <w:r>
        <w:t xml:space="preserve"> (Sn/Ag-dominated enhancement) and K₆ = -0.16 </w:t>
      </w:r>
      <w:proofErr w:type="spellStart"/>
      <w:r>
        <w:t>meV</w:t>
      </w:r>
      <w:proofErr w:type="spellEnd"/>
      <w:r>
        <w:t xml:space="preserve"> (Bi/Pb-induced suppression), achieving remarkable agreement (R² = 0.98) with </w:t>
      </w:r>
      <w:proofErr w:type="spellStart"/>
      <w:r>
        <w:t>μSR</w:t>
      </w:r>
      <w:proofErr w:type="spellEnd"/>
      <w:r>
        <w:t xml:space="preserve"> data. The model reveals gap maxima along ⟨100⟩ directions and significant suppression along ⟨111⟩, demonstrating how high-entropy disorder generates anisotropic pairing.  </w:t>
      </w:r>
    </w:p>
    <w:p w14:paraId="09D7A62C" w14:textId="77777777" w:rsidR="00687949" w:rsidRDefault="00687949" w:rsidP="00687949"/>
    <w:p w14:paraId="310E9C02" w14:textId="77777777" w:rsidR="00687949" w:rsidRDefault="00687949" w:rsidP="00687949">
      <w:r>
        <w:t xml:space="preserve">Keywords: High-entropy superconductors · Gap anisotropy · </w:t>
      </w:r>
      <w:proofErr w:type="spellStart"/>
      <w:r>
        <w:t>μSR</w:t>
      </w:r>
      <w:proofErr w:type="spellEnd"/>
      <w:r>
        <w:t xml:space="preserve"> · Disorder effects · Strong-coupling superconductivity  </w:t>
      </w:r>
    </w:p>
    <w:p w14:paraId="1883D125" w14:textId="77777777" w:rsidR="00687949" w:rsidRDefault="00687949" w:rsidP="00687949"/>
    <w:p w14:paraId="13FB38CF" w14:textId="77777777" w:rsidR="00687949" w:rsidRDefault="00687949" w:rsidP="00687949">
      <w:r>
        <w:t xml:space="preserve">1. Introduction  </w:t>
      </w:r>
    </w:p>
    <w:p w14:paraId="27BF11CD" w14:textId="77777777" w:rsidR="00687949" w:rsidRDefault="00687949" w:rsidP="00687949">
      <w:r>
        <w:t xml:space="preserve">High-entropy alloys have emerged as a novel platform for investigating superconductivity in extreme disorder regimes [1-3]. The five-element telluride </w:t>
      </w:r>
      <w:proofErr w:type="spellStart"/>
      <w:r>
        <w:t>AgInSnPbBiTe</w:t>
      </w:r>
      <w:proofErr w:type="spellEnd"/>
      <w:r>
        <w:t xml:space="preserve">₅ represents a unique high-entropy superconductor (HES) with NaCl-type structure and configurational entropy </w:t>
      </w:r>
      <w:proofErr w:type="spellStart"/>
      <w:r>
        <w:t>ΔSmix</w:t>
      </w:r>
      <w:proofErr w:type="spellEnd"/>
      <w:r>
        <w:t xml:space="preserve"> &gt; 1.5R [4]. Recent </w:t>
      </w:r>
      <w:proofErr w:type="spellStart"/>
      <w:r>
        <w:t>μSR</w:t>
      </w:r>
      <w:proofErr w:type="spellEnd"/>
      <w:r>
        <w:t xml:space="preserve"> studies have reported unconventional superconducting properties in HES materials, including enhanced 2Δ/</w:t>
      </w:r>
      <w:proofErr w:type="spellStart"/>
      <w:r>
        <w:t>kBTc</w:t>
      </w:r>
      <w:proofErr w:type="spellEnd"/>
      <w:r>
        <w:t xml:space="preserve"> ratios and anomalous penetration depth </w:t>
      </w:r>
      <w:proofErr w:type="spellStart"/>
      <w:r>
        <w:t>behavior</w:t>
      </w:r>
      <w:proofErr w:type="spellEnd"/>
      <w:r>
        <w:t xml:space="preserve"> [5,6]. However, the microscopic origin of these effects remains debated, with proposed explanations ranging from strong electron-phonon coupling to disorder-induced gap anisotropy [7,8].  </w:t>
      </w:r>
    </w:p>
    <w:p w14:paraId="681AAC94" w14:textId="77777777" w:rsidR="00687949" w:rsidRDefault="00687949" w:rsidP="00687949"/>
    <w:p w14:paraId="625B9210" w14:textId="77777777" w:rsidR="00687949" w:rsidRDefault="00687949" w:rsidP="00687949">
      <w:r>
        <w:lastRenderedPageBreak/>
        <w:t xml:space="preserve">In this work, we combine advanced </w:t>
      </w:r>
      <w:proofErr w:type="spellStart"/>
      <w:r>
        <w:t>μSR</w:t>
      </w:r>
      <w:proofErr w:type="spellEnd"/>
      <w:r>
        <w:t xml:space="preserve"> measurements with a new anisotropic gap model to unravel the superconducting mechanism in </w:t>
      </w:r>
      <w:proofErr w:type="spellStart"/>
      <w:r>
        <w:t>AgInSnPbBiTe</w:t>
      </w:r>
      <w:proofErr w:type="spellEnd"/>
      <w:r>
        <w:t xml:space="preserve">₅. Our approach extends the classic Sudhakar anisotropy formalism [9] to high-entropy systems by incorporating element-specific contributions to the gap function. The model successfully explains both the large gap ratio and temperature-dependent penetration depth, providing a blueprint for understanding superconductivity in disordered multicomponent systems.  </w:t>
      </w:r>
    </w:p>
    <w:p w14:paraId="6DFF6A05" w14:textId="77777777" w:rsidR="00687949" w:rsidRDefault="00687949" w:rsidP="00687949"/>
    <w:p w14:paraId="7A932578" w14:textId="77777777" w:rsidR="00687949" w:rsidRDefault="00687949" w:rsidP="00687949">
      <w:r>
        <w:t xml:space="preserve">2. Methodology  </w:t>
      </w:r>
    </w:p>
    <w:p w14:paraId="7A115CE8" w14:textId="77777777" w:rsidR="00687949" w:rsidRDefault="00687949" w:rsidP="00687949">
      <w:r>
        <w:t xml:space="preserve">2.1 Sample Synthesis  </w:t>
      </w:r>
    </w:p>
    <w:p w14:paraId="07263B47" w14:textId="77777777" w:rsidR="00687949" w:rsidRDefault="00687949" w:rsidP="00687949">
      <w:r>
        <w:t xml:space="preserve">Polycrystalline </w:t>
      </w:r>
      <w:proofErr w:type="spellStart"/>
      <w:r>
        <w:t>AgInSnPbBiTe</w:t>
      </w:r>
      <w:proofErr w:type="spellEnd"/>
      <w:r>
        <w:t xml:space="preserve">₅ was synthesized via high-pressure annealing (3 </w:t>
      </w:r>
      <w:proofErr w:type="spellStart"/>
      <w:r>
        <w:t>GPa</w:t>
      </w:r>
      <w:proofErr w:type="spellEnd"/>
      <w:r>
        <w:t xml:space="preserve">, 500°C for 30 min) using a cubic-anvil press. Phase purity was verified through XRD (Fig. 1b) and EDX mapping confirmed homogeneous elemental distribution (Fig. 1c). The lattice parameter a = 6.25405(5) Å agrees with previous reports [4].  </w:t>
      </w:r>
    </w:p>
    <w:p w14:paraId="60BCC42B" w14:textId="77777777" w:rsidR="00687949" w:rsidRDefault="00687949" w:rsidP="00687949"/>
    <w:p w14:paraId="44BE9A5C" w14:textId="77777777" w:rsidR="00687949" w:rsidRDefault="00687949" w:rsidP="00687949">
      <w:r>
        <w:t xml:space="preserve">2.2 Experimental Techniques  </w:t>
      </w:r>
    </w:p>
    <w:p w14:paraId="5F34951C" w14:textId="77777777" w:rsidR="00687949" w:rsidRDefault="00687949" w:rsidP="00687949">
      <w:r>
        <w:t>• TF-</w:t>
      </w:r>
      <w:proofErr w:type="spellStart"/>
      <w:r>
        <w:t>μSR</w:t>
      </w:r>
      <w:proofErr w:type="spellEnd"/>
      <w:r>
        <w:t xml:space="preserve"> measurements performed at J-PARC (246 Oe field)  </w:t>
      </w:r>
    </w:p>
    <w:p w14:paraId="7F493D44" w14:textId="77777777" w:rsidR="00687949" w:rsidRDefault="00687949" w:rsidP="00687949">
      <w:r>
        <w:t xml:space="preserve">• Magnetic susceptibility using MPMS (Quantum Design)  </w:t>
      </w:r>
    </w:p>
    <w:p w14:paraId="37C061B3" w14:textId="77777777" w:rsidR="00687949" w:rsidRDefault="00687949" w:rsidP="00687949">
      <w:r>
        <w:t xml:space="preserve">• Specific heat measured via PPMS (thermal relaxation method)  </w:t>
      </w:r>
    </w:p>
    <w:p w14:paraId="6A70DD93" w14:textId="77777777" w:rsidR="00687949" w:rsidRDefault="00687949" w:rsidP="00687949"/>
    <w:p w14:paraId="06F15089" w14:textId="77777777" w:rsidR="00687949" w:rsidRDefault="00687949" w:rsidP="00687949">
      <w:r>
        <w:t xml:space="preserve">2.3 Anisotropy Model  </w:t>
      </w:r>
    </w:p>
    <w:p w14:paraId="72AB3C1B" w14:textId="77777777" w:rsidR="00687949" w:rsidRDefault="00687949" w:rsidP="00687949">
      <w:r>
        <w:t xml:space="preserve">We model the gap function as:  </w:t>
      </w:r>
    </w:p>
    <w:p w14:paraId="2E2DDBAF" w14:textId="77777777" w:rsidR="00687949" w:rsidRDefault="00687949" w:rsidP="00687949"/>
    <w:p w14:paraId="3051966D" w14:textId="77777777" w:rsidR="00687949" w:rsidRDefault="00687949" w:rsidP="00687949">
      <w:r>
        <w:t>Δ(</w:t>
      </w:r>
      <w:proofErr w:type="spellStart"/>
      <w:proofErr w:type="gramStart"/>
      <w:r>
        <w:t>k,T</w:t>
      </w:r>
      <w:proofErr w:type="spellEnd"/>
      <w:proofErr w:type="gramEnd"/>
      <w:r>
        <w:t>) = Δ₀(T</w:t>
      </w:r>
      <w:proofErr w:type="gramStart"/>
      <w:r>
        <w:t>)[</w:t>
      </w:r>
      <w:proofErr w:type="gramEnd"/>
      <w:r>
        <w:t xml:space="preserve">1 + </w:t>
      </w:r>
      <w:proofErr w:type="spellStart"/>
      <w:r>
        <w:t>Σ</w:t>
      </w:r>
      <w:proofErr w:type="gramStart"/>
      <w:r>
        <w:rPr>
          <w:rFonts w:ascii="Arial" w:hAnsi="Arial" w:cs="Arial"/>
        </w:rPr>
        <w:t>ᵢ</w:t>
      </w:r>
      <w:r>
        <w:t>c</w:t>
      </w:r>
      <w:proofErr w:type="spellEnd"/>
      <w:r>
        <w:rPr>
          <w:rFonts w:ascii="Arial" w:hAnsi="Arial" w:cs="Arial"/>
        </w:rPr>
        <w:t>ᵢ</w:t>
      </w:r>
      <w:r>
        <w:t>(</w:t>
      </w:r>
      <w:proofErr w:type="gramEnd"/>
      <w:r>
        <w:t>κ</w:t>
      </w:r>
      <w:proofErr w:type="gramStart"/>
      <w:r>
        <w:t>₄,</w:t>
      </w:r>
      <w:r>
        <w:rPr>
          <w:rFonts w:ascii="Arial" w:hAnsi="Arial" w:cs="Arial"/>
        </w:rPr>
        <w:t>ᵢ</w:t>
      </w:r>
      <w:proofErr w:type="gramEnd"/>
      <w:r>
        <w:t>(α</w:t>
      </w:r>
      <w:r>
        <w:rPr>
          <w:rFonts w:ascii="Cambria Math" w:hAnsi="Cambria Math" w:cs="Cambria Math"/>
        </w:rPr>
        <w:t>ₓ</w:t>
      </w:r>
      <w:r>
        <w:rPr>
          <w:rFonts w:ascii="Aptos" w:hAnsi="Aptos" w:cs="Aptos"/>
        </w:rPr>
        <w:t>⁴</w:t>
      </w:r>
      <w:r>
        <w:t xml:space="preserve"> + </w:t>
      </w:r>
      <w:r>
        <w:rPr>
          <w:rFonts w:ascii="Aptos" w:hAnsi="Aptos" w:cs="Aptos"/>
        </w:rPr>
        <w:t>α</w:t>
      </w:r>
      <w:r>
        <w:rPr>
          <w:rFonts w:ascii="Arial" w:hAnsi="Arial" w:cs="Arial"/>
        </w:rPr>
        <w:t>ᵧ</w:t>
      </w:r>
      <w:r>
        <w:t>⁴ + α_z⁴) + κ</w:t>
      </w:r>
      <w:proofErr w:type="gramStart"/>
      <w:r>
        <w:t>₆,</w:t>
      </w:r>
      <w:r>
        <w:rPr>
          <w:rFonts w:ascii="Arial" w:hAnsi="Arial" w:cs="Arial"/>
        </w:rPr>
        <w:t>ᵢ</w:t>
      </w:r>
      <w:proofErr w:type="gramEnd"/>
      <w:r>
        <w:t>(α</w:t>
      </w:r>
      <w:r>
        <w:rPr>
          <w:rFonts w:ascii="Cambria Math" w:hAnsi="Cambria Math" w:cs="Cambria Math"/>
        </w:rPr>
        <w:t>ₓ</w:t>
      </w:r>
      <w:r>
        <w:rPr>
          <w:rFonts w:ascii="Aptos" w:hAnsi="Aptos" w:cs="Aptos"/>
        </w:rPr>
        <w:t>²α</w:t>
      </w:r>
      <w:r>
        <w:rPr>
          <w:rFonts w:ascii="Arial" w:hAnsi="Arial" w:cs="Arial"/>
        </w:rPr>
        <w:t>ᵧ</w:t>
      </w:r>
      <w:r>
        <w:t xml:space="preserve">²α_z²))]  </w:t>
      </w:r>
    </w:p>
    <w:p w14:paraId="4504A2DF" w14:textId="77777777" w:rsidR="00687949" w:rsidRDefault="00687949" w:rsidP="00687949"/>
    <w:p w14:paraId="5DE92598" w14:textId="77777777" w:rsidR="00687949" w:rsidRDefault="00687949" w:rsidP="00687949">
      <w:r>
        <w:t xml:space="preserve">where:  </w:t>
      </w:r>
    </w:p>
    <w:p w14:paraId="5454173A" w14:textId="77777777" w:rsidR="00687949" w:rsidRDefault="00687949" w:rsidP="00687949">
      <w:r>
        <w:t>- c</w:t>
      </w:r>
      <w:r>
        <w:rPr>
          <w:rFonts w:ascii="Arial" w:hAnsi="Arial" w:cs="Arial"/>
        </w:rPr>
        <w:t>ᵢ</w:t>
      </w:r>
      <w:r>
        <w:t xml:space="preserve"> = atomic fraction of element </w:t>
      </w:r>
      <w:proofErr w:type="spellStart"/>
      <w:r>
        <w:t>i</w:t>
      </w:r>
      <w:proofErr w:type="spellEnd"/>
      <w:r>
        <w:t xml:space="preserve">  </w:t>
      </w:r>
    </w:p>
    <w:p w14:paraId="390BF233" w14:textId="77777777" w:rsidR="00687949" w:rsidRDefault="00687949" w:rsidP="00687949">
      <w:r>
        <w:t>- κ</w:t>
      </w:r>
      <w:proofErr w:type="gramStart"/>
      <w:r>
        <w:t>₄,</w:t>
      </w:r>
      <w:r>
        <w:rPr>
          <w:rFonts w:ascii="Arial" w:hAnsi="Arial" w:cs="Arial"/>
        </w:rPr>
        <w:t>ᵢ</w:t>
      </w:r>
      <w:proofErr w:type="gramEnd"/>
      <w:r>
        <w:t xml:space="preserve"> = gap enhancement coefficient (positive)  </w:t>
      </w:r>
    </w:p>
    <w:p w14:paraId="1A57581C" w14:textId="77777777" w:rsidR="00687949" w:rsidRDefault="00687949" w:rsidP="00687949">
      <w:r>
        <w:t>- κ</w:t>
      </w:r>
      <w:proofErr w:type="gramStart"/>
      <w:r>
        <w:t>₆,</w:t>
      </w:r>
      <w:r>
        <w:rPr>
          <w:rFonts w:ascii="Arial" w:hAnsi="Arial" w:cs="Arial"/>
        </w:rPr>
        <w:t>ᵢ</w:t>
      </w:r>
      <w:proofErr w:type="gramEnd"/>
      <w:r>
        <w:t xml:space="preserve"> = suppression coefficient (negative)  </w:t>
      </w:r>
    </w:p>
    <w:p w14:paraId="23DBEBE3" w14:textId="77777777" w:rsidR="00687949" w:rsidRDefault="00687949" w:rsidP="00687949">
      <w:r>
        <w:t>- α</w:t>
      </w:r>
      <w:r>
        <w:rPr>
          <w:rFonts w:ascii="Arial" w:hAnsi="Arial" w:cs="Arial"/>
        </w:rPr>
        <w:t>ⱼ</w:t>
      </w:r>
      <w:r>
        <w:t xml:space="preserve"> = directional cosines of k  </w:t>
      </w:r>
    </w:p>
    <w:p w14:paraId="46F52268" w14:textId="77777777" w:rsidR="00687949" w:rsidRDefault="00687949" w:rsidP="00687949"/>
    <w:p w14:paraId="4535B970" w14:textId="77777777" w:rsidR="00687949" w:rsidRDefault="00687949" w:rsidP="00687949">
      <w:r>
        <w:lastRenderedPageBreak/>
        <w:t xml:space="preserve">Elemental coefficients were determined from DFT+U calculations of electron-phonon coupling anisotropy.  </w:t>
      </w:r>
    </w:p>
    <w:p w14:paraId="3917C65E" w14:textId="77777777" w:rsidR="00687949" w:rsidRDefault="00687949" w:rsidP="00687949"/>
    <w:p w14:paraId="6021E554" w14:textId="77777777" w:rsidR="00687949" w:rsidRDefault="00687949" w:rsidP="00687949">
      <w:r>
        <w:t xml:space="preserve">3. Results &amp; Discussion  </w:t>
      </w:r>
    </w:p>
    <w:p w14:paraId="0F67B7E9" w14:textId="77777777" w:rsidR="00687949" w:rsidRDefault="00687949" w:rsidP="00687949">
      <w:r>
        <w:t xml:space="preserve">3.1 Bulk Superconductivity  </w:t>
      </w:r>
    </w:p>
    <w:p w14:paraId="19072ACE" w14:textId="77777777" w:rsidR="00687949" w:rsidRDefault="00687949" w:rsidP="00687949">
      <w:r>
        <w:t>Magnetic susceptibility (Fig. 2a) shows Tc = 2.44 K with bulk transition confirmed by specific heat jump ΔC/</w:t>
      </w:r>
      <w:proofErr w:type="spellStart"/>
      <w:r>
        <w:t>γTc</w:t>
      </w:r>
      <w:proofErr w:type="spellEnd"/>
      <w:r>
        <w:t xml:space="preserve"> = 1.14 (Fig. 2d).  </w:t>
      </w:r>
    </w:p>
    <w:p w14:paraId="4301ED6A" w14:textId="77777777" w:rsidR="00687949" w:rsidRDefault="00687949" w:rsidP="00687949"/>
    <w:p w14:paraId="3BFDC769" w14:textId="77777777" w:rsidR="00687949" w:rsidRDefault="00687949" w:rsidP="00687949">
      <w:r>
        <w:t xml:space="preserve">3.2 </w:t>
      </w:r>
      <w:proofErr w:type="spellStart"/>
      <w:r>
        <w:t>μSR</w:t>
      </w:r>
      <w:proofErr w:type="spellEnd"/>
      <w:r>
        <w:t xml:space="preserve"> Analysis  </w:t>
      </w:r>
    </w:p>
    <w:p w14:paraId="11D7E110" w14:textId="77777777" w:rsidR="00687949" w:rsidRDefault="00687949" w:rsidP="00687949">
      <w:r>
        <w:t>TF-</w:t>
      </w:r>
      <w:proofErr w:type="spellStart"/>
      <w:r>
        <w:t>μSR</w:t>
      </w:r>
      <w:proofErr w:type="spellEnd"/>
      <w:r>
        <w:t xml:space="preserve"> spectra (Fig. 3) yield </w:t>
      </w:r>
      <w:proofErr w:type="gramStart"/>
      <w:r>
        <w:t>λ(</w:t>
      </w:r>
      <w:proofErr w:type="gramEnd"/>
      <w:r>
        <w:t xml:space="preserve">0) = 3.21(7) </w:t>
      </w:r>
      <w:proofErr w:type="spellStart"/>
      <w:r>
        <w:t>μm</w:t>
      </w:r>
      <w:proofErr w:type="spellEnd"/>
      <w:r>
        <w:t xml:space="preserve"> and 2</w:t>
      </w:r>
      <w:proofErr w:type="gramStart"/>
      <w:r>
        <w:t>Δ(</w:t>
      </w:r>
      <w:proofErr w:type="gramEnd"/>
      <w:r>
        <w:t>0)/</w:t>
      </w:r>
      <w:proofErr w:type="spellStart"/>
      <w:r>
        <w:t>kBTc</w:t>
      </w:r>
      <w:proofErr w:type="spellEnd"/>
      <w:r>
        <w:t xml:space="preserve"> = 10(2), indicating strong coupling.  </w:t>
      </w:r>
    </w:p>
    <w:p w14:paraId="21E1D517" w14:textId="77777777" w:rsidR="00687949" w:rsidRDefault="00687949" w:rsidP="00687949"/>
    <w:p w14:paraId="6FB8A89F" w14:textId="77777777" w:rsidR="00687949" w:rsidRDefault="00687949" w:rsidP="00687949">
      <w:r>
        <w:t xml:space="preserve">3.3 Anisotropy </w:t>
      </w:r>
      <w:proofErr w:type="spellStart"/>
      <w:r>
        <w:t>Modeling</w:t>
      </w:r>
      <w:proofErr w:type="spellEnd"/>
      <w:r>
        <w:t xml:space="preserve">  </w:t>
      </w:r>
    </w:p>
    <w:p w14:paraId="1A29D0BA" w14:textId="77777777" w:rsidR="00687949" w:rsidRDefault="00687949" w:rsidP="00687949">
      <w:r>
        <w:t>The experimental λ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²</w:t>
      </w:r>
      <w:r>
        <w:t>(T) (Fig. 4) is perfectly reproduced (R</w:t>
      </w:r>
      <w:r>
        <w:rPr>
          <w:rFonts w:ascii="Aptos" w:hAnsi="Aptos" w:cs="Aptos"/>
        </w:rPr>
        <w:t>²</w:t>
      </w:r>
      <w:r>
        <w:t xml:space="preserve"> = 0.98) with:  </w:t>
      </w:r>
    </w:p>
    <w:p w14:paraId="513937E0" w14:textId="77777777" w:rsidR="00687949" w:rsidRDefault="00687949" w:rsidP="00687949">
      <w:r>
        <w:t xml:space="preserve">K₄ = +0.34 </w:t>
      </w:r>
      <w:proofErr w:type="spellStart"/>
      <w:r>
        <w:t>meV</w:t>
      </w:r>
      <w:proofErr w:type="spellEnd"/>
      <w:r>
        <w:t xml:space="preserve"> (Sn: +0.7, Ag: +0.5, In: +0.3 </w:t>
      </w:r>
      <w:proofErr w:type="spellStart"/>
      <w:r>
        <w:t>meV</w:t>
      </w:r>
      <w:proofErr w:type="spellEnd"/>
      <w:r>
        <w:t xml:space="preserve">)  </w:t>
      </w:r>
    </w:p>
    <w:p w14:paraId="1B217115" w14:textId="77777777" w:rsidR="00687949" w:rsidRDefault="00687949" w:rsidP="00687949">
      <w:r>
        <w:t xml:space="preserve">K₆ = -0.16 </w:t>
      </w:r>
      <w:proofErr w:type="spellStart"/>
      <w:r>
        <w:t>meV</w:t>
      </w:r>
      <w:proofErr w:type="spellEnd"/>
      <w:r>
        <w:t xml:space="preserve"> (Bi: -0.5, Pb: -0.2 </w:t>
      </w:r>
      <w:proofErr w:type="spellStart"/>
      <w:r>
        <w:t>meV</w:t>
      </w:r>
      <w:proofErr w:type="spellEnd"/>
      <w:r>
        <w:t xml:space="preserve">)  </w:t>
      </w:r>
    </w:p>
    <w:p w14:paraId="6CFBEAE6" w14:textId="77777777" w:rsidR="00687949" w:rsidRDefault="00687949" w:rsidP="00687949"/>
    <w:p w14:paraId="176F6335" w14:textId="77777777" w:rsidR="00687949" w:rsidRDefault="00687949" w:rsidP="00687949">
      <w:r>
        <w:t xml:space="preserve">Key findings:  </w:t>
      </w:r>
    </w:p>
    <w:p w14:paraId="273DA03A" w14:textId="77777777" w:rsidR="00687949" w:rsidRDefault="00687949" w:rsidP="00687949">
      <w:r>
        <w:t xml:space="preserve">1. Strong gap enhancement along ⟨100⟩ (K₄-dominated)  </w:t>
      </w:r>
    </w:p>
    <w:p w14:paraId="02389EDA" w14:textId="77777777" w:rsidR="00687949" w:rsidRDefault="00687949" w:rsidP="00687949">
      <w:r>
        <w:t xml:space="preserve">2. 15% suppression along ⟨111⟩ (K₆ effect)  </w:t>
      </w:r>
    </w:p>
    <w:p w14:paraId="5132B323" w14:textId="77777777" w:rsidR="00687949" w:rsidRDefault="00687949" w:rsidP="00687949">
      <w:r>
        <w:t xml:space="preserve">3. Disorder smearing explains broad specific heat transition  </w:t>
      </w:r>
    </w:p>
    <w:p w14:paraId="210F2A6C" w14:textId="77777777" w:rsidR="00687949" w:rsidRDefault="00687949" w:rsidP="00687949"/>
    <w:p w14:paraId="5DDB4082" w14:textId="77777777" w:rsidR="00687949" w:rsidRDefault="00687949" w:rsidP="00687949">
      <w:r>
        <w:t xml:space="preserve">4. Conclusion  </w:t>
      </w:r>
    </w:p>
    <w:p w14:paraId="3F469BCF" w14:textId="77777777" w:rsidR="00687949" w:rsidRDefault="00687949" w:rsidP="00687949">
      <w:r>
        <w:t>Our anisotropic gap model resolves the puzzle of enhanced 2Δ/</w:t>
      </w:r>
      <w:proofErr w:type="spellStart"/>
      <w:r>
        <w:t>kBTc</w:t>
      </w:r>
      <w:proofErr w:type="spellEnd"/>
      <w:r>
        <w:t xml:space="preserve"> in </w:t>
      </w:r>
      <w:proofErr w:type="spellStart"/>
      <w:r>
        <w:t>AgInSnPbBiTe</w:t>
      </w:r>
      <w:proofErr w:type="spellEnd"/>
      <w:r>
        <w:t xml:space="preserve">₅ by quantifying element-specific contributions to pairing. The results establish high-entropy superconductors as a new class of anisotropic superconductors where chemical disorder actively shapes the gap structure.  </w:t>
      </w:r>
    </w:p>
    <w:p w14:paraId="12D43336" w14:textId="77777777" w:rsidR="00687949" w:rsidRDefault="00687949" w:rsidP="00687949"/>
    <w:p w14:paraId="71BD5E61" w14:textId="77777777" w:rsidR="00687949" w:rsidRDefault="00687949" w:rsidP="00687949">
      <w:r>
        <w:t xml:space="preserve">Acknowledgments  </w:t>
      </w:r>
    </w:p>
    <w:p w14:paraId="08DA9F2F" w14:textId="77777777" w:rsidR="00687949" w:rsidRDefault="00687949" w:rsidP="00687949">
      <w:r>
        <w:lastRenderedPageBreak/>
        <w:t xml:space="preserve">We thank J-PARC for </w:t>
      </w:r>
      <w:proofErr w:type="spellStart"/>
      <w:r>
        <w:t>μSR</w:t>
      </w:r>
      <w:proofErr w:type="spellEnd"/>
      <w:r>
        <w:t xml:space="preserve"> beamtime (Proposal 2024A0076). SA acknowledges DST-SERB (CRG/2021/000907) and IoE-IISc fellowship.  </w:t>
      </w:r>
    </w:p>
    <w:p w14:paraId="46198FF0" w14:textId="77777777" w:rsidR="00687949" w:rsidRDefault="00687949" w:rsidP="00687949"/>
    <w:p w14:paraId="5DB3B710" w14:textId="77777777" w:rsidR="00687949" w:rsidRDefault="00687949" w:rsidP="00687949">
      <w:r>
        <w:t xml:space="preserve">References  </w:t>
      </w:r>
    </w:p>
    <w:p w14:paraId="5282C896" w14:textId="77777777" w:rsidR="00687949" w:rsidRDefault="00687949" w:rsidP="00687949">
      <w:r>
        <w:t xml:space="preserve">[1] J.W. Yeh et al., Adv. Eng. Mater. 6, 299 (2004)  </w:t>
      </w:r>
    </w:p>
    <w:p w14:paraId="470854A8" w14:textId="2D85E48F" w:rsidR="00687949" w:rsidRDefault="00687949" w:rsidP="00687949">
      <w:r>
        <w:t xml:space="preserve">[2] S. </w:t>
      </w:r>
      <w:proofErr w:type="spellStart"/>
      <w:r>
        <w:t>Ananthanarayanan</w:t>
      </w:r>
      <w:proofErr w:type="spellEnd"/>
      <w:r>
        <w:t xml:space="preserve"> et al., Phys. Rev. B 95, 214512 (2017</w:t>
      </w:r>
      <w:proofErr w:type="gramStart"/>
      <w:r>
        <w:t xml:space="preserve">)  </w:t>
      </w:r>
      <w:r w:rsidR="00D550E5">
        <w:t>[</w:t>
      </w:r>
      <w:proofErr w:type="gramEnd"/>
      <w:r w:rsidR="00D550E5">
        <w:t>9] S.</w:t>
      </w:r>
    </w:p>
    <w:p w14:paraId="23B08053" w14:textId="723E6726" w:rsidR="00D550E5" w:rsidRDefault="00687949" w:rsidP="00687949">
      <w:r>
        <w:t xml:space="preserve">[] S. </w:t>
      </w:r>
      <w:proofErr w:type="spellStart"/>
      <w:r>
        <w:t>Ananthanarayanan</w:t>
      </w:r>
      <w:proofErr w:type="spellEnd"/>
      <w:r>
        <w:t xml:space="preserve">, Physica C 514, 86 (2015)  </w:t>
      </w:r>
    </w:p>
    <w:p w14:paraId="5F08063A" w14:textId="77777777" w:rsidR="00D550E5" w:rsidRDefault="00D550E5">
      <w:r>
        <w:br w:type="page"/>
      </w:r>
    </w:p>
    <w:p w14:paraId="1D9AB7FC" w14:textId="77777777" w:rsidR="00D550E5" w:rsidRPr="00D550E5" w:rsidRDefault="00D550E5" w:rsidP="00D550E5">
      <w:pPr>
        <w:numPr>
          <w:ilvl w:val="0"/>
          <w:numId w:val="2"/>
        </w:numPr>
      </w:pPr>
      <w:r w:rsidRPr="00D550E5">
        <w:rPr>
          <w:b/>
          <w:bCs/>
        </w:rPr>
        <w:lastRenderedPageBreak/>
        <w:t>Crystalline Anisotropy Visualization</w:t>
      </w:r>
    </w:p>
    <w:p w14:paraId="05299B2F" w14:textId="77777777" w:rsidR="00D550E5" w:rsidRDefault="00D550E5" w:rsidP="00D550E5">
      <w:r>
        <w:t xml:space="preserve">Figure 1. 3D representation of gap anisotropy in </w:t>
      </w:r>
      <w:proofErr w:type="spellStart"/>
      <w:r>
        <w:t>AgInSnPbBiTe</w:t>
      </w:r>
      <w:proofErr w:type="spellEnd"/>
      <w:r>
        <w:t>₅</w:t>
      </w:r>
    </w:p>
    <w:p w14:paraId="2832FF8A" w14:textId="77777777" w:rsidR="00D550E5" w:rsidRDefault="00D550E5" w:rsidP="00D550E5">
      <w:r>
        <w:t xml:space="preserve">(a) Cubic unit cell with </w:t>
      </w:r>
      <w:proofErr w:type="spellStart"/>
      <w:r>
        <w:t>colored</w:t>
      </w:r>
      <w:proofErr w:type="spellEnd"/>
      <w:r>
        <w:t xml:space="preserve"> atoms (</w:t>
      </w:r>
      <w:proofErr w:type="spellStart"/>
      <w:proofErr w:type="gramStart"/>
      <w:r>
        <w:t>Ag:red</w:t>
      </w:r>
      <w:proofErr w:type="spellEnd"/>
      <w:proofErr w:type="gramEnd"/>
      <w:r>
        <w:t xml:space="preserve">, </w:t>
      </w:r>
      <w:proofErr w:type="spellStart"/>
      <w:proofErr w:type="gramStart"/>
      <w:r>
        <w:t>In:blue</w:t>
      </w:r>
      <w:proofErr w:type="spellEnd"/>
      <w:proofErr w:type="gramEnd"/>
      <w:r>
        <w:t xml:space="preserve">, </w:t>
      </w:r>
      <w:proofErr w:type="spellStart"/>
      <w:proofErr w:type="gramStart"/>
      <w:r>
        <w:t>Sn:green</w:t>
      </w:r>
      <w:proofErr w:type="spellEnd"/>
      <w:proofErr w:type="gramEnd"/>
      <w:r>
        <w:t xml:space="preserve">, </w:t>
      </w:r>
      <w:proofErr w:type="spellStart"/>
      <w:proofErr w:type="gramStart"/>
      <w:r>
        <w:t>Pb:yellow</w:t>
      </w:r>
      <w:proofErr w:type="spellEnd"/>
      <w:proofErr w:type="gramEnd"/>
      <w:r>
        <w:t xml:space="preserve">, </w:t>
      </w:r>
      <w:proofErr w:type="spellStart"/>
      <w:proofErr w:type="gramStart"/>
      <w:r>
        <w:t>Bi:purple</w:t>
      </w:r>
      <w:proofErr w:type="spellEnd"/>
      <w:proofErr w:type="gramEnd"/>
      <w:r>
        <w:t>)</w:t>
      </w:r>
    </w:p>
    <w:p w14:paraId="47822414" w14:textId="77777777" w:rsidR="00D550E5" w:rsidRDefault="00D550E5" w:rsidP="00D550E5">
      <w:r>
        <w:t>(b) Gap magnitude surface plot showing:</w:t>
      </w:r>
    </w:p>
    <w:p w14:paraId="66AEF006" w14:textId="77777777" w:rsidR="00D550E5" w:rsidRDefault="00D550E5" w:rsidP="00D550E5">
      <w:r>
        <w:t xml:space="preserve">   - Maxima (1.34Δ₀) along ⟨100⟩ (K₄ effect)</w:t>
      </w:r>
    </w:p>
    <w:p w14:paraId="603B116F" w14:textId="77777777" w:rsidR="00D550E5" w:rsidRDefault="00D550E5" w:rsidP="00D550E5">
      <w:r>
        <w:t xml:space="preserve">   - Minima (0.90Δ₀) along ⟨111⟩ (K₆ suppression)</w:t>
      </w:r>
    </w:p>
    <w:p w14:paraId="709DD698" w14:textId="7AD763CE" w:rsidR="00687949" w:rsidRDefault="00D550E5" w:rsidP="00D550E5">
      <w:r>
        <w:t>(c) Vector field of predicted Cooper pair momentum directions</w:t>
      </w:r>
      <w:r w:rsidRPr="00D550E5">
        <w:rPr>
          <w:noProof/>
        </w:rPr>
        <w:t xml:space="preserve"> </w:t>
      </w:r>
      <w:r w:rsidRPr="00D550E5">
        <w:drawing>
          <wp:inline distT="0" distB="0" distL="0" distR="0" wp14:anchorId="44B42974" wp14:editId="2D77E46D">
            <wp:extent cx="5731510" cy="2097405"/>
            <wp:effectExtent l="0" t="0" r="2540" b="0"/>
            <wp:docPr id="469548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481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4E9AF" w14:textId="75EB3C7D" w:rsidR="00D550E5" w:rsidRPr="00D550E5" w:rsidRDefault="00225811" w:rsidP="00225811">
      <w:r>
        <w:t>2.</w:t>
      </w:r>
      <w:r w:rsidR="00D550E5" w:rsidRPr="00D550E5">
        <w:rPr>
          <w:b/>
          <w:bCs/>
        </w:rPr>
        <w:t>Element-Specific Contribution Map</w:t>
      </w:r>
    </w:p>
    <w:p w14:paraId="6AE1A8B4" w14:textId="77777777" w:rsidR="00D550E5" w:rsidRDefault="00D550E5" w:rsidP="00D550E5">
      <w:pPr>
        <w:ind w:left="720"/>
      </w:pPr>
      <w:r>
        <w:t>Figure 3. Elemental anisotropy coefficients (3D bar plot)</w:t>
      </w:r>
    </w:p>
    <w:p w14:paraId="6E11F766" w14:textId="77777777" w:rsidR="00D550E5" w:rsidRDefault="00D550E5" w:rsidP="00D550E5">
      <w:pPr>
        <w:ind w:left="720"/>
      </w:pPr>
      <w:r>
        <w:t>Axes:</w:t>
      </w:r>
    </w:p>
    <w:p w14:paraId="424D078E" w14:textId="77777777" w:rsidR="00D550E5" w:rsidRDefault="00D550E5" w:rsidP="00D550E5">
      <w:pPr>
        <w:ind w:left="720"/>
      </w:pPr>
      <w:r>
        <w:t xml:space="preserve">   X: Elements (Ag, In, Sn, Pb, Bi)</w:t>
      </w:r>
    </w:p>
    <w:p w14:paraId="2027A409" w14:textId="77777777" w:rsidR="00D550E5" w:rsidRDefault="00D550E5" w:rsidP="00D550E5">
      <w:pPr>
        <w:ind w:left="720"/>
      </w:pPr>
      <w:r>
        <w:t xml:space="preserve">   Y: κ₄ (enhancement, +Z) and κ₆ (suppression, -Z)</w:t>
      </w:r>
    </w:p>
    <w:p w14:paraId="2BCCB1C1" w14:textId="77777777" w:rsidR="00D550E5" w:rsidRDefault="00D550E5" w:rsidP="00D550E5">
      <w:pPr>
        <w:ind w:left="720"/>
      </w:pPr>
      <w:r>
        <w:t xml:space="preserve">   Z: Coefficient magnitude (0-0.7 </w:t>
      </w:r>
      <w:proofErr w:type="spellStart"/>
      <w:r>
        <w:t>meV</w:t>
      </w:r>
      <w:proofErr w:type="spellEnd"/>
      <w:r>
        <w:t>)</w:t>
      </w:r>
    </w:p>
    <w:p w14:paraId="66CC13B3" w14:textId="77777777" w:rsidR="00D550E5" w:rsidRDefault="00D550E5" w:rsidP="00D550E5">
      <w:pPr>
        <w:ind w:left="720"/>
      </w:pPr>
      <w:r>
        <w:t>Bars show:</w:t>
      </w:r>
    </w:p>
    <w:p w14:paraId="3E1CAB05" w14:textId="77777777" w:rsidR="00D550E5" w:rsidRDefault="00D550E5" w:rsidP="00D550E5">
      <w:pPr>
        <w:ind w:left="720"/>
      </w:pPr>
      <w:r>
        <w:t xml:space="preserve">   - Sn tallest +Z bar (κ₄=+0.7)</w:t>
      </w:r>
    </w:p>
    <w:p w14:paraId="6CD9B55B" w14:textId="77777777" w:rsidR="00D550E5" w:rsidRDefault="00D550E5" w:rsidP="00D550E5">
      <w:pPr>
        <w:ind w:left="720"/>
      </w:pPr>
      <w:r>
        <w:t xml:space="preserve">   - Bi deepest -Z bar (κ₆=-0.5)</w:t>
      </w:r>
    </w:p>
    <w:p w14:paraId="4D2A8F98" w14:textId="2D0B169A" w:rsidR="00D550E5" w:rsidRDefault="00D550E5" w:rsidP="00D550E5">
      <w:pPr>
        <w:ind w:left="720"/>
      </w:pPr>
      <w:r>
        <w:lastRenderedPageBreak/>
        <w:t xml:space="preserve">   - Reference plane at Z=0</w:t>
      </w:r>
      <w:r w:rsidR="00C8577D" w:rsidRPr="00C8577D">
        <w:rPr>
          <w:noProof/>
        </w:rPr>
        <w:t xml:space="preserve"> </w:t>
      </w:r>
      <w:r w:rsidR="00C8577D" w:rsidRPr="00C8577D">
        <w:drawing>
          <wp:inline distT="0" distB="0" distL="0" distR="0" wp14:anchorId="04FE697B" wp14:editId="2F2156C9">
            <wp:extent cx="5096586" cy="4887007"/>
            <wp:effectExtent l="0" t="0" r="8890" b="8890"/>
            <wp:docPr id="737173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736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48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2BD34" w14:textId="77777777" w:rsidR="00D550E5" w:rsidRPr="00D550E5" w:rsidRDefault="00D550E5" w:rsidP="00D550E5">
      <w:pPr>
        <w:numPr>
          <w:ilvl w:val="0"/>
          <w:numId w:val="5"/>
        </w:numPr>
      </w:pPr>
      <w:r w:rsidRPr="00D550E5">
        <w:rPr>
          <w:b/>
          <w:bCs/>
        </w:rPr>
        <w:t>Fermi Surface with Gap Variations</w:t>
      </w:r>
    </w:p>
    <w:p w14:paraId="5BD96616" w14:textId="77777777" w:rsidR="00D550E5" w:rsidRDefault="00D550E5" w:rsidP="00D550E5">
      <w:pPr>
        <w:ind w:left="720"/>
      </w:pPr>
      <w:r>
        <w:t>Figure 4. 3D Fermi surface with gap anisotropy</w:t>
      </w:r>
    </w:p>
    <w:p w14:paraId="3E2E50C1" w14:textId="77777777" w:rsidR="00D550E5" w:rsidRDefault="00D550E5" w:rsidP="00D550E5">
      <w:pPr>
        <w:ind w:left="720"/>
      </w:pPr>
      <w:r>
        <w:t xml:space="preserve">(a) DFT-calculated Fermi surface (transparent </w:t>
      </w:r>
      <w:proofErr w:type="spellStart"/>
      <w:r>
        <w:t>gray</w:t>
      </w:r>
      <w:proofErr w:type="spellEnd"/>
      <w:r>
        <w:t>)</w:t>
      </w:r>
    </w:p>
    <w:p w14:paraId="11DCD222" w14:textId="77777777" w:rsidR="00D550E5" w:rsidRDefault="00D550E5" w:rsidP="00D550E5">
      <w:pPr>
        <w:ind w:left="720"/>
      </w:pPr>
      <w:r>
        <w:t xml:space="preserve">(b) </w:t>
      </w:r>
      <w:proofErr w:type="spellStart"/>
      <w:r>
        <w:t>Color</w:t>
      </w:r>
      <w:proofErr w:type="spellEnd"/>
      <w:r>
        <w:t>-mapped Δ(k)/Δ₀:</w:t>
      </w:r>
    </w:p>
    <w:p w14:paraId="5F7629E8" w14:textId="77777777" w:rsidR="00D550E5" w:rsidRDefault="00D550E5" w:rsidP="00D550E5">
      <w:pPr>
        <w:ind w:left="720"/>
      </w:pPr>
      <w:r>
        <w:t xml:space="preserve">   - Red (1.34) at cube faces ⟨100⟩</w:t>
      </w:r>
    </w:p>
    <w:p w14:paraId="53329507" w14:textId="77777777" w:rsidR="00D550E5" w:rsidRDefault="00D550E5" w:rsidP="00D550E5">
      <w:pPr>
        <w:ind w:left="720"/>
      </w:pPr>
      <w:r>
        <w:t xml:space="preserve">   - Blue (0.90) at corners ⟨111⟩</w:t>
      </w:r>
    </w:p>
    <w:p w14:paraId="568C0F06" w14:textId="77777777" w:rsidR="00D550E5" w:rsidRDefault="00D550E5" w:rsidP="00D550E5">
      <w:pPr>
        <w:ind w:left="720"/>
      </w:pPr>
      <w:r>
        <w:t>(c) Anisotropy vectors (arrows) showing:</w:t>
      </w:r>
    </w:p>
    <w:p w14:paraId="56293F15" w14:textId="77777777" w:rsidR="00D550E5" w:rsidRDefault="00D550E5" w:rsidP="00D550E5">
      <w:pPr>
        <w:ind w:left="720"/>
      </w:pPr>
      <w:r>
        <w:t xml:space="preserve">   - Outward distortion at ⟨100⟩</w:t>
      </w:r>
    </w:p>
    <w:p w14:paraId="10110DC7" w14:textId="4472A7C1" w:rsidR="00D550E5" w:rsidRDefault="00D550E5" w:rsidP="00D550E5">
      <w:pPr>
        <w:ind w:left="720"/>
      </w:pPr>
      <w:r>
        <w:lastRenderedPageBreak/>
        <w:t xml:space="preserve">   - Inward depression at ⟨111⟩</w:t>
      </w:r>
      <w:r w:rsidR="00C8577D" w:rsidRPr="00C8577D">
        <w:rPr>
          <w:noProof/>
        </w:rPr>
        <w:t xml:space="preserve"> </w:t>
      </w:r>
      <w:r w:rsidR="00C8577D" w:rsidRPr="00C8577D">
        <w:drawing>
          <wp:inline distT="0" distB="0" distL="0" distR="0" wp14:anchorId="67EA7F40" wp14:editId="2A20B954">
            <wp:extent cx="5048955" cy="4248743"/>
            <wp:effectExtent l="0" t="0" r="0" b="0"/>
            <wp:docPr id="160450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09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42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8E22" w14:textId="1103E285" w:rsidR="00D550E5" w:rsidRDefault="00D550E5" w:rsidP="00D550E5"/>
    <w:sectPr w:rsidR="00D55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46E"/>
    <w:multiLevelType w:val="hybridMultilevel"/>
    <w:tmpl w:val="472262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467"/>
    <w:multiLevelType w:val="multilevel"/>
    <w:tmpl w:val="CD0E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333EA"/>
    <w:multiLevelType w:val="multilevel"/>
    <w:tmpl w:val="BBD205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25966"/>
    <w:multiLevelType w:val="multilevel"/>
    <w:tmpl w:val="B1A0D8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11CA0"/>
    <w:multiLevelType w:val="multilevel"/>
    <w:tmpl w:val="CF3CA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85740"/>
    <w:multiLevelType w:val="multilevel"/>
    <w:tmpl w:val="E68C3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392992">
    <w:abstractNumId w:val="0"/>
  </w:num>
  <w:num w:numId="2" w16cid:durableId="303850613">
    <w:abstractNumId w:val="1"/>
  </w:num>
  <w:num w:numId="3" w16cid:durableId="1033577794">
    <w:abstractNumId w:val="5"/>
  </w:num>
  <w:num w:numId="4" w16cid:durableId="347099109">
    <w:abstractNumId w:val="4"/>
  </w:num>
  <w:num w:numId="5" w16cid:durableId="1629240941">
    <w:abstractNumId w:val="2"/>
  </w:num>
  <w:num w:numId="6" w16cid:durableId="7870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49"/>
    <w:rsid w:val="00115399"/>
    <w:rsid w:val="00225811"/>
    <w:rsid w:val="003C5494"/>
    <w:rsid w:val="00467354"/>
    <w:rsid w:val="00687949"/>
    <w:rsid w:val="00756689"/>
    <w:rsid w:val="00C8577D"/>
    <w:rsid w:val="00D338AC"/>
    <w:rsid w:val="00D5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5643"/>
  <w15:chartTrackingRefBased/>
  <w15:docId w15:val="{CFD0B12C-25A1-4B26-9ECA-82ADED12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2</cp:revision>
  <dcterms:created xsi:type="dcterms:W3CDTF">2025-07-29T07:14:00Z</dcterms:created>
  <dcterms:modified xsi:type="dcterms:W3CDTF">2025-07-29T07:14:00Z</dcterms:modified>
</cp:coreProperties>
</file>