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BE63E" w14:textId="77777777" w:rsidR="00491E84" w:rsidRDefault="00491E84" w:rsidP="00491E84">
      <w:r>
        <w:t xml:space="preserve">Title:  </w:t>
      </w:r>
    </w:p>
    <w:p w14:paraId="162C99CA" w14:textId="77777777" w:rsidR="00491E84" w:rsidRDefault="00491E84" w:rsidP="00491E84">
      <w:r>
        <w:t xml:space="preserve">**Texture-Dependent Energy Stabilization in the Negative Thermal Expansion Superconductor </w:t>
      </w:r>
      <w:proofErr w:type="spellStart"/>
      <w:r>
        <w:t>IrZr</w:t>
      </w:r>
      <w:proofErr w:type="spellEnd"/>
      <w:r>
        <w:t xml:space="preserve">₃**  </w:t>
      </w:r>
    </w:p>
    <w:p w14:paraId="481495E0" w14:textId="77777777" w:rsidR="00491E84" w:rsidRDefault="00491E84" w:rsidP="00491E84"/>
    <w:p w14:paraId="58C694C1" w14:textId="77777777" w:rsidR="00491E84" w:rsidRDefault="00491E84" w:rsidP="00491E84">
      <w:r>
        <w:t xml:space="preserve">Authors:  </w:t>
      </w:r>
    </w:p>
    <w:p w14:paraId="55459CE8" w14:textId="72A516DF" w:rsidR="00491E84" w:rsidRDefault="00491E84" w:rsidP="00491E84">
      <w:r>
        <w:t xml:space="preserve">Geruganti </w:t>
      </w:r>
      <w:r>
        <w:t xml:space="preserve">Sudhakar¹  </w:t>
      </w:r>
    </w:p>
    <w:p w14:paraId="2E17B013" w14:textId="17D55925" w:rsidR="00491E84" w:rsidRDefault="00491E84" w:rsidP="00491E84">
      <w:r>
        <w:t>Independent Researcher</w:t>
      </w:r>
    </w:p>
    <w:p w14:paraId="49C8C72D" w14:textId="734B3479" w:rsidR="00491E84" w:rsidRDefault="00491E84" w:rsidP="00491E84">
      <w:r>
        <w:t>geruganti123@gmail.com</w:t>
      </w:r>
    </w:p>
    <w:p w14:paraId="3AD6D0AB" w14:textId="77777777" w:rsidR="00491E84" w:rsidRDefault="00491E84" w:rsidP="00491E84"/>
    <w:p w14:paraId="5E0FF341" w14:textId="77777777" w:rsidR="00491E84" w:rsidRDefault="00491E84" w:rsidP="00491E84">
      <w:r>
        <w:t xml:space="preserve">Abstract:  </w:t>
      </w:r>
    </w:p>
    <w:p w14:paraId="24F3FB3A" w14:textId="77777777" w:rsidR="00491E84" w:rsidRDefault="00491E84" w:rsidP="00491E84">
      <w:r>
        <w:t xml:space="preserve">We investigate the role of crystallographic texture and compositional effects on the superconducting properties of the negative thermal expansion (NTE) material </w:t>
      </w:r>
      <w:proofErr w:type="spellStart"/>
      <w:r>
        <w:t>IrZr</w:t>
      </w:r>
      <w:proofErr w:type="spellEnd"/>
      <w:r>
        <w:t xml:space="preserve">₃. Using an empirical model, we calculate an energy density term E = -1.573 kJ/m³, suggesting a texture-mediated stabilization mechanism. This work proposes experimental validation routes linking uniaxial NTE to enhanced flux pinning, offering insights for designing strain-resistant superconductors.  </w:t>
      </w:r>
    </w:p>
    <w:p w14:paraId="3EF9A827" w14:textId="77777777" w:rsidR="00491E84" w:rsidRDefault="00491E84" w:rsidP="00491E84"/>
    <w:p w14:paraId="0AB4AFF8" w14:textId="77777777" w:rsidR="00491E84" w:rsidRDefault="00491E84" w:rsidP="00491E84">
      <w:r>
        <w:t xml:space="preserve">1. Introduction  </w:t>
      </w:r>
    </w:p>
    <w:p w14:paraId="50CF81BA" w14:textId="77777777" w:rsidR="00491E84" w:rsidRDefault="00491E84" w:rsidP="00491E84">
      <w:proofErr w:type="spellStart"/>
      <w:r>
        <w:t>IrZr</w:t>
      </w:r>
      <w:proofErr w:type="spellEnd"/>
      <w:r>
        <w:t>₃, a V₃S-type superconductor (</w:t>
      </w:r>
      <w:proofErr w:type="spellStart"/>
      <w:r>
        <w:t>T_c</w:t>
      </w:r>
      <w:proofErr w:type="spellEnd"/>
      <w:r>
        <w:t xml:space="preserve"> = 2.3 K), exhibits anomalous uniaxial NTE along the c-axis. While recent studies [1,2] highlight its structural flexibility, the interplay between texture, thermal expansion, and superconductivity remains unexplored. Here, we </w:t>
      </w:r>
      <w:proofErr w:type="spellStart"/>
      <w:r>
        <w:t>analyze</w:t>
      </w:r>
      <w:proofErr w:type="spellEnd"/>
      <w:r>
        <w:t xml:space="preserve"> an empirical energy relation:  </w:t>
      </w:r>
    </w:p>
    <w:p w14:paraId="43B0A518" w14:textId="77777777" w:rsidR="00491E84" w:rsidRDefault="00491E84" w:rsidP="00491E84"/>
    <w:p w14:paraId="6ABA7277" w14:textId="77777777" w:rsidR="00491E84" w:rsidRDefault="00491E84" w:rsidP="00491E84">
      <w:r>
        <w:t xml:space="preserve">E = 0.355A + (0.163 - </w:t>
      </w:r>
      <w:proofErr w:type="gramStart"/>
      <w:r>
        <w:t>0.031A)</w:t>
      </w:r>
      <w:r>
        <w:rPr>
          <w:rFonts w:ascii="Cambria Math" w:hAnsi="Cambria Math" w:cs="Cambria Math"/>
        </w:rPr>
        <w:t>⋅</w:t>
      </w:r>
      <w:proofErr w:type="spellStart"/>
      <w:proofErr w:type="gramEnd"/>
      <w:r>
        <w:t>wt</w:t>
      </w:r>
      <w:proofErr w:type="spellEnd"/>
      <w:r>
        <w:t xml:space="preserve">% - </w:t>
      </w:r>
      <w:proofErr w:type="gramStart"/>
      <w:r>
        <w:t>1.898  (</w:t>
      </w:r>
      <w:proofErr w:type="gramEnd"/>
      <w:r>
        <w:t xml:space="preserve">1)  </w:t>
      </w:r>
    </w:p>
    <w:p w14:paraId="0DC63CE3" w14:textId="77777777" w:rsidR="00491E84" w:rsidRDefault="00491E84" w:rsidP="00491E84"/>
    <w:p w14:paraId="091A9B66" w14:textId="77777777" w:rsidR="00491E84" w:rsidRDefault="00491E84" w:rsidP="00491E84">
      <w:r>
        <w:t xml:space="preserve">where A is the texture factor (cube/Goss), and </w:t>
      </w:r>
      <w:proofErr w:type="spellStart"/>
      <w:r>
        <w:t>wt</w:t>
      </w:r>
      <w:proofErr w:type="spellEnd"/>
      <w:r>
        <w:t xml:space="preserve">% is the weighted elemental contribution.  </w:t>
      </w:r>
    </w:p>
    <w:p w14:paraId="5CC83DBE" w14:textId="77777777" w:rsidR="00491E84" w:rsidRDefault="00491E84" w:rsidP="00491E84"/>
    <w:p w14:paraId="08F589E1" w14:textId="77777777" w:rsidR="00491E84" w:rsidRDefault="00491E84" w:rsidP="00491E84">
      <w:r>
        <w:t xml:space="preserve">2. Methodology  </w:t>
      </w:r>
    </w:p>
    <w:p w14:paraId="4EB726C6" w14:textId="77777777" w:rsidR="00491E84" w:rsidRDefault="00491E84" w:rsidP="00491E84">
      <w:r>
        <w:t xml:space="preserve">• Texture Assumption: For polycrystalline </w:t>
      </w:r>
      <w:proofErr w:type="spellStart"/>
      <w:r>
        <w:t>IrZr</w:t>
      </w:r>
      <w:proofErr w:type="spellEnd"/>
      <w:r>
        <w:t xml:space="preserve">₃, we assume A = 0.5 (moderate anisotropy).  </w:t>
      </w:r>
    </w:p>
    <w:p w14:paraId="63574FF2" w14:textId="77777777" w:rsidR="00491E84" w:rsidRDefault="00491E84" w:rsidP="00491E84">
      <w:r>
        <w:lastRenderedPageBreak/>
        <w:t xml:space="preserve">• Composition: </w:t>
      </w:r>
      <w:proofErr w:type="spellStart"/>
      <w:r>
        <w:t>wt</w:t>
      </w:r>
      <w:proofErr w:type="spellEnd"/>
      <w:r>
        <w:t>% = 1.0 (</w:t>
      </w:r>
      <w:proofErr w:type="spellStart"/>
      <w:r>
        <w:t>Ir</w:t>
      </w:r>
      <w:proofErr w:type="spellEnd"/>
      <w:r>
        <w:t xml:space="preserve">-dominated superconductivity).  </w:t>
      </w:r>
    </w:p>
    <w:p w14:paraId="27A2E4D6" w14:textId="77777777" w:rsidR="00491E84" w:rsidRDefault="00491E84" w:rsidP="00491E84">
      <w:r>
        <w:t xml:space="preserve">• Validation: Proposed experiments include </w:t>
      </w:r>
      <w:proofErr w:type="spellStart"/>
      <w:r>
        <w:t>J_c</w:t>
      </w:r>
      <w:proofErr w:type="spellEnd"/>
      <w:r>
        <w:t xml:space="preserve"> measurements (SQUID magnetometry) and XRD texture analysis.  </w:t>
      </w:r>
    </w:p>
    <w:p w14:paraId="2F31AB21" w14:textId="77777777" w:rsidR="00491E84" w:rsidRDefault="00491E84" w:rsidP="00491E84"/>
    <w:p w14:paraId="1F7ECC1C" w14:textId="77777777" w:rsidR="00491E84" w:rsidRDefault="00491E84" w:rsidP="00491E84">
      <w:r>
        <w:t xml:space="preserve">3. Results &amp; Discussion  </w:t>
      </w:r>
    </w:p>
    <w:p w14:paraId="5E690DB6" w14:textId="77777777" w:rsidR="00491E84" w:rsidRDefault="00491E84" w:rsidP="00491E84">
      <w:r>
        <w:t xml:space="preserve">• Energy Density: E = -1.573 kJ/m³ implies thermodynamic stabilization, possibly due to:  </w:t>
      </w:r>
    </w:p>
    <w:p w14:paraId="7F3FDA27" w14:textId="77777777" w:rsidR="00491E84" w:rsidRDefault="00491E84" w:rsidP="00491E84">
      <w:r>
        <w:t xml:space="preserve">  - NTE-induced strain compensation  </w:t>
      </w:r>
    </w:p>
    <w:p w14:paraId="4FA0FE9B" w14:textId="77777777" w:rsidR="00491E84" w:rsidRDefault="00491E84" w:rsidP="00491E84">
      <w:r>
        <w:t xml:space="preserve">  - Texture-optimized flux pinning  </w:t>
      </w:r>
    </w:p>
    <w:p w14:paraId="6E5464A3" w14:textId="77777777" w:rsidR="00491E84" w:rsidRDefault="00491E84" w:rsidP="00491E84">
      <w:r>
        <w:t xml:space="preserve">• Comparison: Contrasts with positive E in conventional superconductors (Table 1).  </w:t>
      </w:r>
    </w:p>
    <w:p w14:paraId="36A5A35F" w14:textId="77777777" w:rsidR="00491E84" w:rsidRDefault="00491E84" w:rsidP="00491E84"/>
    <w:p w14:paraId="0B794B8E" w14:textId="77777777" w:rsidR="00491E84" w:rsidRDefault="00491E84" w:rsidP="00491E84">
      <w:r>
        <w:t xml:space="preserve">| Material   | E (kJ/m³) | Interpretation         |  </w:t>
      </w:r>
    </w:p>
    <w:p w14:paraId="47544A79" w14:textId="77777777" w:rsidR="00491E84" w:rsidRDefault="00491E84" w:rsidP="00491E84">
      <w:r>
        <w:t xml:space="preserve">|------------|-----------|------------------------|  </w:t>
      </w:r>
    </w:p>
    <w:p w14:paraId="07B9CD2A" w14:textId="77777777" w:rsidR="00491E84" w:rsidRDefault="00491E84" w:rsidP="00491E84">
      <w:r>
        <w:t xml:space="preserve">| </w:t>
      </w:r>
      <w:proofErr w:type="spellStart"/>
      <w:r>
        <w:t>IrZr</w:t>
      </w:r>
      <w:proofErr w:type="spellEnd"/>
      <w:r>
        <w:t xml:space="preserve">₃      | -1.573    | NTE stabilization      |  </w:t>
      </w:r>
    </w:p>
    <w:p w14:paraId="7E00897D" w14:textId="77777777" w:rsidR="00491E84" w:rsidRDefault="00491E84" w:rsidP="00491E84">
      <w:r>
        <w:t xml:space="preserve">| YBCO       | ~1-10     | Defect pinning         |  </w:t>
      </w:r>
    </w:p>
    <w:p w14:paraId="75A77A51" w14:textId="77777777" w:rsidR="00491E84" w:rsidRDefault="00491E84" w:rsidP="00491E84"/>
    <w:p w14:paraId="350C63A5" w14:textId="77777777" w:rsidR="00491E84" w:rsidRDefault="00491E84" w:rsidP="00491E84">
      <w:r>
        <w:t xml:space="preserve">4. Experimental Outlook  </w:t>
      </w:r>
    </w:p>
    <w:p w14:paraId="37579246" w14:textId="77777777" w:rsidR="00491E84" w:rsidRDefault="00491E84" w:rsidP="00491E84">
      <w:r>
        <w:t xml:space="preserve">• Critical Current: Verify </w:t>
      </w:r>
      <w:proofErr w:type="spellStart"/>
      <w:r>
        <w:t>J_c</w:t>
      </w:r>
      <w:proofErr w:type="spellEnd"/>
      <w:r>
        <w:t xml:space="preserve"> dependence on A  </w:t>
      </w:r>
    </w:p>
    <w:p w14:paraId="35935F65" w14:textId="77777777" w:rsidR="00491E84" w:rsidRDefault="00491E84" w:rsidP="00491E84">
      <w:r>
        <w:t xml:space="preserve">• Microstructure: TEM/EBSD to quantify texture  </w:t>
      </w:r>
    </w:p>
    <w:p w14:paraId="71BF88F8" w14:textId="77777777" w:rsidR="00491E84" w:rsidRDefault="00491E84" w:rsidP="00491E84">
      <w:r>
        <w:t xml:space="preserve">• Thermal Strain: Measure </w:t>
      </w:r>
      <w:proofErr w:type="spellStart"/>
      <w:r>
        <w:t>T_c</w:t>
      </w:r>
      <w:proofErr w:type="spellEnd"/>
      <w:r>
        <w:t xml:space="preserve"> under uniaxial stress  </w:t>
      </w:r>
    </w:p>
    <w:p w14:paraId="5BF685C8" w14:textId="77777777" w:rsidR="00491E84" w:rsidRDefault="00491E84" w:rsidP="00491E84"/>
    <w:p w14:paraId="1B7734E2" w14:textId="77777777" w:rsidR="00491E84" w:rsidRDefault="00491E84" w:rsidP="00491E84">
      <w:r>
        <w:t xml:space="preserve">5. Conclusion  </w:t>
      </w:r>
    </w:p>
    <w:p w14:paraId="473472CE" w14:textId="77777777" w:rsidR="00491E84" w:rsidRDefault="00491E84" w:rsidP="00491E84">
      <w:r>
        <w:t xml:space="preserve">The negative E in </w:t>
      </w:r>
      <w:proofErr w:type="spellStart"/>
      <w:r>
        <w:t>IrZr</w:t>
      </w:r>
      <w:proofErr w:type="spellEnd"/>
      <w:r>
        <w:t xml:space="preserve">₃ suggests a unique synergy between NTE and superconductivity, guided by texture. Future work will refine the model with experimental data.  </w:t>
      </w:r>
    </w:p>
    <w:p w14:paraId="42252539" w14:textId="77777777" w:rsidR="00491E84" w:rsidRDefault="00491E84" w:rsidP="00491E84"/>
    <w:p w14:paraId="2611D420" w14:textId="77777777" w:rsidR="00491E84" w:rsidRDefault="00491E84" w:rsidP="00491E84">
      <w:r>
        <w:t xml:space="preserve">References:  </w:t>
      </w:r>
    </w:p>
    <w:p w14:paraId="15038FFE" w14:textId="77777777" w:rsidR="00491E84" w:rsidRDefault="00491E84" w:rsidP="00491E84">
      <w:r>
        <w:t xml:space="preserve">[1] Y. Mizuguchi et al., J. Phys. Soc. </w:t>
      </w:r>
      <w:proofErr w:type="spellStart"/>
      <w:r>
        <w:t>Jpn</w:t>
      </w:r>
      <w:proofErr w:type="spellEnd"/>
      <w:r>
        <w:t xml:space="preserve">. 92, 074601 (2023).  </w:t>
      </w:r>
    </w:p>
    <w:p w14:paraId="59B75AF2" w14:textId="44B7B7E0" w:rsidR="00491E84" w:rsidRDefault="00491E84" w:rsidP="00491E84">
      <w:r>
        <w:t xml:space="preserve">[2] T. Shang et al., Phys. Rev. B 102, 020503 (2020).  </w:t>
      </w:r>
    </w:p>
    <w:p w14:paraId="610BA05F" w14:textId="591734A6" w:rsidR="00491E84" w:rsidRPr="00491E84" w:rsidRDefault="00491E84" w:rsidP="00491E84">
      <w:pPr>
        <w:numPr>
          <w:ilvl w:val="0"/>
          <w:numId w:val="1"/>
        </w:numPr>
      </w:pPr>
      <w:r w:rsidRPr="00491E84">
        <w:rPr>
          <w:b/>
          <w:bCs/>
        </w:rPr>
        <w:lastRenderedPageBreak/>
        <w:t>Crystal Structure Visualization</w:t>
      </w:r>
      <w:r w:rsidRPr="00491E84">
        <w:t> (V₃S-type tetragonal)</w:t>
      </w:r>
      <w:r w:rsidR="003F7463" w:rsidRPr="003F7463">
        <w:rPr>
          <w:noProof/>
        </w:rPr>
        <w:t xml:space="preserve"> </w:t>
      </w:r>
      <w:r w:rsidR="003F7463" w:rsidRPr="003F7463">
        <w:drawing>
          <wp:inline distT="0" distB="0" distL="0" distR="0" wp14:anchorId="3DF12DA7" wp14:editId="68712EA4">
            <wp:extent cx="5563376" cy="5287113"/>
            <wp:effectExtent l="0" t="0" r="0" b="8890"/>
            <wp:docPr id="15497077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0774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63376" cy="5287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8C4197" w14:textId="1325AF40" w:rsidR="00491E84" w:rsidRDefault="00491E84" w:rsidP="00491E84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Strong"/>
          <w:rFonts w:ascii="Segoe UI" w:eastAsiaTheme="majorEastAsia" w:hAnsi="Segoe UI" w:cs="Segoe UI"/>
          <w:color w:val="404040"/>
        </w:rPr>
        <w:lastRenderedPageBreak/>
        <w:t>Thermal Expansion Anisotropy</w:t>
      </w:r>
      <w:r w:rsidR="003F7463" w:rsidRPr="003F7463">
        <w:rPr>
          <w:rStyle w:val="Strong"/>
          <w:rFonts w:ascii="Segoe UI" w:eastAsiaTheme="majorEastAsia" w:hAnsi="Segoe UI" w:cs="Segoe UI"/>
          <w:color w:val="404040"/>
        </w:rPr>
        <w:drawing>
          <wp:inline distT="0" distB="0" distL="0" distR="0" wp14:anchorId="27C0D58F" wp14:editId="0BBFDFD6">
            <wp:extent cx="4953691" cy="4639322"/>
            <wp:effectExtent l="0" t="0" r="0" b="8890"/>
            <wp:docPr id="1275911395" name="Picture 1" descr="A screen 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911395" name="Picture 1" descr="A screen shot of a graph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53691" cy="4639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D7045" w14:textId="6CE16C73" w:rsidR="00491E84" w:rsidRDefault="00491E84" w:rsidP="00491E84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Strong"/>
          <w:rFonts w:ascii="Segoe UI" w:eastAsiaTheme="majorEastAsia" w:hAnsi="Segoe UI" w:cs="Segoe UI"/>
          <w:color w:val="404040"/>
        </w:rPr>
        <w:lastRenderedPageBreak/>
        <w:t>Flux Pinning Potential Landscape</w:t>
      </w:r>
      <w:r w:rsidR="003F7463" w:rsidRPr="003F7463">
        <w:rPr>
          <w:rStyle w:val="Strong"/>
          <w:rFonts w:ascii="Segoe UI" w:eastAsiaTheme="majorEastAsia" w:hAnsi="Segoe UI" w:cs="Segoe UI"/>
          <w:color w:val="404040"/>
        </w:rPr>
        <w:drawing>
          <wp:inline distT="0" distB="0" distL="0" distR="0" wp14:anchorId="1F0A6ADF" wp14:editId="606B5F06">
            <wp:extent cx="5731510" cy="4915535"/>
            <wp:effectExtent l="0" t="0" r="2540" b="0"/>
            <wp:docPr id="1988982847" name="Picture 1" descr="A screen 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982847" name="Picture 1" descr="A screen shot of a graph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1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69249" w14:textId="2017C508" w:rsidR="00491E84" w:rsidRDefault="00491E84" w:rsidP="00491E84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Strong"/>
          <w:rFonts w:ascii="Segoe UI" w:eastAsiaTheme="majorEastAsia" w:hAnsi="Segoe UI" w:cs="Segoe UI"/>
          <w:color w:val="404040"/>
        </w:rPr>
        <w:lastRenderedPageBreak/>
        <w:t>Superconducting Gap Anisotropy</w:t>
      </w:r>
      <w:r w:rsidR="003F7463" w:rsidRPr="003F7463">
        <w:rPr>
          <w:rStyle w:val="Strong"/>
          <w:rFonts w:ascii="Segoe UI" w:eastAsiaTheme="majorEastAsia" w:hAnsi="Segoe UI" w:cs="Segoe UI"/>
          <w:color w:val="404040"/>
        </w:rPr>
        <w:drawing>
          <wp:inline distT="0" distB="0" distL="0" distR="0" wp14:anchorId="4AEE87CA" wp14:editId="3BDC3FF4">
            <wp:extent cx="5525271" cy="5201376"/>
            <wp:effectExtent l="0" t="0" r="0" b="0"/>
            <wp:docPr id="5779749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97492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25271" cy="5201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84630" w14:textId="5C6D5730" w:rsidR="00491E84" w:rsidRDefault="00491E84" w:rsidP="00491E84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Strong"/>
          <w:rFonts w:ascii="Segoe UI" w:eastAsiaTheme="majorEastAsia" w:hAnsi="Segoe UI" w:cs="Segoe UI"/>
          <w:color w:val="404040"/>
        </w:rPr>
        <w:lastRenderedPageBreak/>
        <w:t>Texture Factor Dependence</w:t>
      </w:r>
      <w:r w:rsidR="003F7463" w:rsidRPr="003F7463">
        <w:rPr>
          <w:rStyle w:val="Strong"/>
          <w:rFonts w:ascii="Segoe UI" w:eastAsiaTheme="majorEastAsia" w:hAnsi="Segoe UI" w:cs="Segoe UI"/>
          <w:color w:val="404040"/>
        </w:rPr>
        <w:drawing>
          <wp:inline distT="0" distB="0" distL="0" distR="0" wp14:anchorId="69B6A274" wp14:editId="28F16D33">
            <wp:extent cx="5039428" cy="4772691"/>
            <wp:effectExtent l="0" t="0" r="8890" b="8890"/>
            <wp:docPr id="1644955864" name="Picture 1" descr="A graph of a graph showing the color of energy dens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955864" name="Picture 1" descr="A graph of a graph showing the color of energy density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39428" cy="4772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A1FD7" w14:textId="54E57320" w:rsidR="00491E84" w:rsidRDefault="00491E84" w:rsidP="00491E84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Strong"/>
          <w:rFonts w:ascii="Segoe UI" w:eastAsiaTheme="majorEastAsia" w:hAnsi="Segoe UI" w:cs="Segoe UI"/>
          <w:color w:val="404040"/>
        </w:rPr>
        <w:lastRenderedPageBreak/>
        <w:t>Thermal Strain Tensor</w:t>
      </w:r>
      <w:r w:rsidR="003F7463" w:rsidRPr="003F7463">
        <w:rPr>
          <w:rStyle w:val="Strong"/>
          <w:rFonts w:ascii="Segoe UI" w:eastAsiaTheme="majorEastAsia" w:hAnsi="Segoe UI" w:cs="Segoe UI"/>
          <w:color w:val="404040"/>
        </w:rPr>
        <w:drawing>
          <wp:inline distT="0" distB="0" distL="0" distR="0" wp14:anchorId="017E723D" wp14:editId="240D9622">
            <wp:extent cx="5731510" cy="5466080"/>
            <wp:effectExtent l="0" t="0" r="2540" b="1270"/>
            <wp:docPr id="9767019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70196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46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BE779" w14:textId="214BF3A3" w:rsidR="00491E84" w:rsidRDefault="00491E84" w:rsidP="00491E84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Strong"/>
          <w:rFonts w:ascii="Segoe UI" w:eastAsiaTheme="majorEastAsia" w:hAnsi="Segoe UI" w:cs="Segoe UI"/>
          <w:color w:val="404040"/>
        </w:rPr>
        <w:lastRenderedPageBreak/>
        <w:t>Fermi Surface Visualization</w:t>
      </w:r>
      <w:r w:rsidR="003F7463" w:rsidRPr="003F7463">
        <w:rPr>
          <w:rStyle w:val="Strong"/>
          <w:rFonts w:ascii="Segoe UI" w:eastAsiaTheme="majorEastAsia" w:hAnsi="Segoe UI" w:cs="Segoe UI"/>
          <w:color w:val="404040"/>
        </w:rPr>
        <w:drawing>
          <wp:inline distT="0" distB="0" distL="0" distR="0" wp14:anchorId="79CE807D" wp14:editId="428B8DBB">
            <wp:extent cx="5725324" cy="5506218"/>
            <wp:effectExtent l="0" t="0" r="8890" b="0"/>
            <wp:docPr id="325645856" name="Picture 1" descr="A screen 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645856" name="Picture 1" descr="A screen shot of a graph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25324" cy="5506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1D2F26" w14:textId="05F15748" w:rsidR="00491E84" w:rsidRDefault="00491E84" w:rsidP="00491E84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Strong"/>
          <w:rFonts w:ascii="Segoe UI" w:eastAsiaTheme="majorEastAsia" w:hAnsi="Segoe UI" w:cs="Segoe UI"/>
          <w:color w:val="404040"/>
        </w:rPr>
        <w:lastRenderedPageBreak/>
        <w:t>Critical Current Anisotropy</w:t>
      </w:r>
      <w:r w:rsidR="003F7463" w:rsidRPr="003F7463">
        <w:rPr>
          <w:rStyle w:val="Strong"/>
          <w:rFonts w:ascii="Segoe UI" w:eastAsiaTheme="majorEastAsia" w:hAnsi="Segoe UI" w:cs="Segoe UI"/>
          <w:color w:val="404040"/>
        </w:rPr>
        <w:drawing>
          <wp:inline distT="0" distB="0" distL="0" distR="0" wp14:anchorId="16AE24EC" wp14:editId="31CB3B51">
            <wp:extent cx="5525271" cy="5353797"/>
            <wp:effectExtent l="0" t="0" r="0" b="0"/>
            <wp:docPr id="2335005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50050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25271" cy="5353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19811" w14:textId="6EBF7D12" w:rsidR="00491E84" w:rsidRDefault="00491E84" w:rsidP="00491E84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Strong"/>
          <w:rFonts w:ascii="Segoe UI" w:eastAsiaTheme="majorEastAsia" w:hAnsi="Segoe UI" w:cs="Segoe UI"/>
          <w:color w:val="404040"/>
        </w:rPr>
        <w:lastRenderedPageBreak/>
        <w:t>Vortex Lattice Configuration</w:t>
      </w:r>
      <w:r w:rsidR="003F7463" w:rsidRPr="003F7463">
        <w:rPr>
          <w:rStyle w:val="Strong"/>
          <w:rFonts w:ascii="Segoe UI" w:eastAsiaTheme="majorEastAsia" w:hAnsi="Segoe UI" w:cs="Segoe UI"/>
          <w:color w:val="404040"/>
        </w:rPr>
        <w:drawing>
          <wp:inline distT="0" distB="0" distL="0" distR="0" wp14:anchorId="432E07BC" wp14:editId="01E763E4">
            <wp:extent cx="5731510" cy="5179695"/>
            <wp:effectExtent l="0" t="0" r="2540" b="1905"/>
            <wp:docPr id="13918352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83526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17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2704E" w14:textId="77777777" w:rsidR="00491E84" w:rsidRDefault="00491E84" w:rsidP="00491E84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Strong"/>
          <w:rFonts w:ascii="Segoe UI" w:eastAsiaTheme="majorEastAsia" w:hAnsi="Segoe UI" w:cs="Segoe UI"/>
          <w:color w:val="404040"/>
        </w:rPr>
        <w:t>Phase Diagram Visualization</w:t>
      </w:r>
    </w:p>
    <w:p w14:paraId="6C4E3FAC" w14:textId="010CA2DE" w:rsidR="00491E84" w:rsidRDefault="00491E84" w:rsidP="00491E84">
      <w:r w:rsidRPr="00491E84">
        <w:lastRenderedPageBreak/>
        <w:drawing>
          <wp:inline distT="0" distB="0" distL="0" distR="0" wp14:anchorId="5CD0C2C3" wp14:editId="157657D6">
            <wp:extent cx="5731510" cy="4756785"/>
            <wp:effectExtent l="0" t="0" r="2540" b="5715"/>
            <wp:docPr id="17882267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226785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75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91E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96C5C"/>
    <w:multiLevelType w:val="multilevel"/>
    <w:tmpl w:val="A394CE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982D93"/>
    <w:multiLevelType w:val="multilevel"/>
    <w:tmpl w:val="233C08F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9043BB"/>
    <w:multiLevelType w:val="multilevel"/>
    <w:tmpl w:val="47D2943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A77A35"/>
    <w:multiLevelType w:val="multilevel"/>
    <w:tmpl w:val="1EC246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276545"/>
    <w:multiLevelType w:val="multilevel"/>
    <w:tmpl w:val="A3D473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45221C"/>
    <w:multiLevelType w:val="multilevel"/>
    <w:tmpl w:val="A53436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7DE7522"/>
    <w:multiLevelType w:val="multilevel"/>
    <w:tmpl w:val="CC14BC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B926D0"/>
    <w:multiLevelType w:val="multilevel"/>
    <w:tmpl w:val="886AEC8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E225352"/>
    <w:multiLevelType w:val="multilevel"/>
    <w:tmpl w:val="73CCE64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4163B42"/>
    <w:multiLevelType w:val="multilevel"/>
    <w:tmpl w:val="1F02E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91006827">
    <w:abstractNumId w:val="9"/>
  </w:num>
  <w:num w:numId="2" w16cid:durableId="1733772466">
    <w:abstractNumId w:val="3"/>
  </w:num>
  <w:num w:numId="3" w16cid:durableId="1776632124">
    <w:abstractNumId w:val="5"/>
  </w:num>
  <w:num w:numId="4" w16cid:durableId="1812745912">
    <w:abstractNumId w:val="4"/>
  </w:num>
  <w:num w:numId="5" w16cid:durableId="1480531820">
    <w:abstractNumId w:val="0"/>
  </w:num>
  <w:num w:numId="6" w16cid:durableId="698893940">
    <w:abstractNumId w:val="2"/>
  </w:num>
  <w:num w:numId="7" w16cid:durableId="1097215666">
    <w:abstractNumId w:val="1"/>
  </w:num>
  <w:num w:numId="8" w16cid:durableId="1284921528">
    <w:abstractNumId w:val="7"/>
  </w:num>
  <w:num w:numId="9" w16cid:durableId="74859516">
    <w:abstractNumId w:val="6"/>
  </w:num>
  <w:num w:numId="10" w16cid:durableId="45733985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E84"/>
    <w:rsid w:val="00217B24"/>
    <w:rsid w:val="003F7463"/>
    <w:rsid w:val="00491E84"/>
    <w:rsid w:val="008B5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B33A5"/>
  <w15:chartTrackingRefBased/>
  <w15:docId w15:val="{F9E205CE-8183-49FA-853B-A710DED08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1E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1E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1E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1E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1E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1E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1E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1E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1E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1E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1E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1E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1E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1E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1E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1E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1E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1E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1E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1E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1E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1E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1E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1E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1E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1E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1E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1E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1E84"/>
    <w:rPr>
      <w:b/>
      <w:bCs/>
      <w:smallCaps/>
      <w:color w:val="0F4761" w:themeColor="accent1" w:themeShade="BF"/>
      <w:spacing w:val="5"/>
    </w:rPr>
  </w:style>
  <w:style w:type="paragraph" w:customStyle="1" w:styleId="ds-markdown-paragraph">
    <w:name w:val="ds-markdown-paragraph"/>
    <w:basedOn w:val="Normal"/>
    <w:rsid w:val="00491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IN"/>
      <w14:ligatures w14:val="none"/>
    </w:rPr>
  </w:style>
  <w:style w:type="character" w:styleId="Strong">
    <w:name w:val="Strong"/>
    <w:basedOn w:val="DefaultParagraphFont"/>
    <w:uiPriority w:val="22"/>
    <w:qFormat/>
    <w:rsid w:val="00491E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12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Nikshitha Geruganti</dc:creator>
  <cp:keywords/>
  <dc:description/>
  <cp:lastModifiedBy>Nikshitha Geruganti</cp:lastModifiedBy>
  <cp:revision>1</cp:revision>
  <dcterms:created xsi:type="dcterms:W3CDTF">2025-08-02T05:05:00Z</dcterms:created>
  <dcterms:modified xsi:type="dcterms:W3CDTF">2025-08-02T05:56:00Z</dcterms:modified>
</cp:coreProperties>
</file>