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8653" w14:textId="77777777" w:rsidR="00D24FC6" w:rsidRPr="00D24FC6" w:rsidRDefault="00D24FC6" w:rsidP="00D24FC6">
      <w:r>
        <w:t xml:space="preserve"> </w:t>
      </w:r>
      <w:r w:rsidRPr="00D24FC6">
        <w:rPr>
          <w:b/>
          <w:bCs/>
        </w:rPr>
        <w:t xml:space="preserve">Comparative Analysis of η-Carbide Superconductors: Structural, Electronic, and Superconducting Properties of </w:t>
      </w:r>
      <w:proofErr w:type="spellStart"/>
      <w:r w:rsidRPr="00D24FC6">
        <w:rPr>
          <w:b/>
          <w:bCs/>
        </w:rPr>
        <w:t>Zr₄Rh₂O</w:t>
      </w:r>
      <w:proofErr w:type="spellEnd"/>
      <w:r w:rsidRPr="00D24FC6">
        <w:rPr>
          <w:b/>
          <w:bCs/>
        </w:rPr>
        <w:t xml:space="preserve">, </w:t>
      </w:r>
      <w:proofErr w:type="spellStart"/>
      <w:r w:rsidRPr="00D24FC6">
        <w:rPr>
          <w:b/>
          <w:bCs/>
        </w:rPr>
        <w:t>Zr₄Pd₂O</w:t>
      </w:r>
      <w:proofErr w:type="spellEnd"/>
      <w:r w:rsidRPr="00D24FC6">
        <w:rPr>
          <w:b/>
          <w:bCs/>
        </w:rPr>
        <w:t xml:space="preserve">, and </w:t>
      </w:r>
      <w:proofErr w:type="spellStart"/>
      <w:r w:rsidRPr="00D24FC6">
        <w:rPr>
          <w:b/>
          <w:bCs/>
        </w:rPr>
        <w:t>Ti₄Ir₂O</w:t>
      </w:r>
      <w:proofErr w:type="spellEnd"/>
    </w:p>
    <w:p w14:paraId="25946C6B" w14:textId="6AF906FA" w:rsidR="00D24FC6" w:rsidRDefault="00D24FC6" w:rsidP="00D24FC6"/>
    <w:p w14:paraId="4A10071B" w14:textId="6081B766" w:rsidR="00D24FC6" w:rsidRDefault="00D24FC6" w:rsidP="00D24FC6">
      <w:r>
        <w:t xml:space="preserve">Author: Geruganti Sudhakar  </w:t>
      </w:r>
    </w:p>
    <w:p w14:paraId="63ED8686" w14:textId="447BF8E3" w:rsidR="00D24FC6" w:rsidRDefault="00D24FC6" w:rsidP="00D24FC6">
      <w:r>
        <w:t xml:space="preserve">Affiliation: Independent Researcher  </w:t>
      </w:r>
    </w:p>
    <w:p w14:paraId="44B5B7F8" w14:textId="3C631B5C" w:rsidR="00D24FC6" w:rsidRDefault="00D24FC6" w:rsidP="00D24FC6">
      <w:proofErr w:type="gramStart"/>
      <w:r>
        <w:t>Email:geruganti123@gmail.com</w:t>
      </w:r>
      <w:proofErr w:type="gramEnd"/>
      <w:r>
        <w:t xml:space="preserve">  </w:t>
      </w:r>
    </w:p>
    <w:p w14:paraId="259363B9" w14:textId="2833E4BA" w:rsidR="00D24FC6" w:rsidRDefault="00D24FC6" w:rsidP="00D24FC6">
      <w:r>
        <w:t xml:space="preserve"> Abstract</w:t>
      </w:r>
    </w:p>
    <w:p w14:paraId="22657E96" w14:textId="73A1B17B" w:rsidR="00D24FC6" w:rsidRDefault="00D24FC6" w:rsidP="00D24FC6">
      <w:r>
        <w:t>This study presents a comprehensive investigation of three η-carbide-type superconductors (**</w:t>
      </w:r>
      <w:proofErr w:type="spellStart"/>
      <w:r>
        <w:t>Zr₄Rh₂O</w:t>
      </w:r>
      <w:proofErr w:type="spellEnd"/>
      <w:r>
        <w:t xml:space="preserve">, </w:t>
      </w:r>
      <w:proofErr w:type="spellStart"/>
      <w:r>
        <w:t>Zr₄Pd₂O</w:t>
      </w:r>
      <w:proofErr w:type="spellEnd"/>
      <w:r>
        <w:t xml:space="preserve">, and </w:t>
      </w:r>
      <w:proofErr w:type="spellStart"/>
      <w:r>
        <w:t>Ti₄Ir₂O</w:t>
      </w:r>
      <w:proofErr w:type="spellEnd"/>
      <w:r>
        <w:t xml:space="preserve">) through combined theoretical </w:t>
      </w:r>
      <w:proofErr w:type="spellStart"/>
      <w:r>
        <w:t>modeling</w:t>
      </w:r>
      <w:proofErr w:type="spellEnd"/>
      <w:r>
        <w:t xml:space="preserve"> and experimental data analysis. We introduce a novel unified parameter (*E*) that quantifies superconducting potential based on elemental composition and spin-orbit coupling (SOC) effects. Our key findings reveal:  </w:t>
      </w:r>
    </w:p>
    <w:p w14:paraId="2AB5F3D2" w14:textId="77777777" w:rsidR="00D24FC6" w:rsidRDefault="00D24FC6" w:rsidP="00D24FC6"/>
    <w:p w14:paraId="21578307" w14:textId="1D8B72C2" w:rsidR="00D24FC6" w:rsidRDefault="00D24FC6" w:rsidP="00D24FC6">
      <w:proofErr w:type="spellStart"/>
      <w:r>
        <w:t>Zr₄Rh₂O</w:t>
      </w:r>
      <w:proofErr w:type="spellEnd"/>
      <w:r>
        <w:t xml:space="preserve"> </w:t>
      </w:r>
      <w:r>
        <w:t xml:space="preserve">exhibits conventional </w:t>
      </w:r>
      <w:proofErr w:type="spellStart"/>
      <w:r>
        <w:t>behavior</w:t>
      </w:r>
      <w:proofErr w:type="spellEnd"/>
      <w:r>
        <w:t>, adhering to the Pauli paramagnetic limit (</w:t>
      </w:r>
      <w:proofErr w:type="spellStart"/>
      <w:r>
        <w:t>Hc</w:t>
      </w:r>
      <w:proofErr w:type="spellEnd"/>
      <w:r>
        <w:t xml:space="preserve">₂/Hp = 0.81)  </w:t>
      </w:r>
    </w:p>
    <w:p w14:paraId="354A5ED0" w14:textId="0EC71C49" w:rsidR="00D24FC6" w:rsidRDefault="00D24FC6" w:rsidP="00D24FC6">
      <w:proofErr w:type="spellStart"/>
      <w:r>
        <w:t>Zr₄Pd₂O</w:t>
      </w:r>
      <w:proofErr w:type="spellEnd"/>
      <w:r>
        <w:t xml:space="preserve"> (</w:t>
      </w:r>
      <w:proofErr w:type="spellStart"/>
      <w:r>
        <w:t>Hc</w:t>
      </w:r>
      <w:proofErr w:type="spellEnd"/>
      <w:r>
        <w:t xml:space="preserve">₂/Hp = 1.27) and </w:t>
      </w:r>
      <w:proofErr w:type="spellStart"/>
      <w:r>
        <w:t>Ti₄Ir₂O</w:t>
      </w:r>
      <w:proofErr w:type="spellEnd"/>
      <w:r>
        <w:t xml:space="preserve"> (</w:t>
      </w:r>
      <w:proofErr w:type="spellStart"/>
      <w:r>
        <w:t>Hc</w:t>
      </w:r>
      <w:proofErr w:type="spellEnd"/>
      <w:r>
        <w:t xml:space="preserve">₂/Hp = 1.63) demonstrate significant Pauli limit violation  </w:t>
      </w:r>
    </w:p>
    <w:p w14:paraId="01241F0B" w14:textId="74EF1E8A" w:rsidR="00D24FC6" w:rsidRDefault="00D24FC6" w:rsidP="00D24FC6">
      <w:r>
        <w:t>-</w:t>
      </w:r>
      <w:proofErr w:type="spellStart"/>
      <w:r>
        <w:t>Ti₄Ir₂O</w:t>
      </w:r>
      <w:proofErr w:type="spellEnd"/>
      <w:r>
        <w:t xml:space="preserve"> achieves the highest upper critical field (</w:t>
      </w:r>
      <w:proofErr w:type="spellStart"/>
      <w:r>
        <w:t>μ₀Hc</w:t>
      </w:r>
      <w:proofErr w:type="spellEnd"/>
      <w:r>
        <w:t xml:space="preserve">₂ = 16.1 T) due to strong SOC from iridium  </w:t>
      </w:r>
    </w:p>
    <w:p w14:paraId="61C7956D" w14:textId="551C6D10" w:rsidR="00D24FC6" w:rsidRDefault="00D24FC6" w:rsidP="00D24FC6">
      <w:r>
        <w:t xml:space="preserve">- The parameter E shows strong correlation with </w:t>
      </w:r>
      <w:proofErr w:type="spellStart"/>
      <w:r>
        <w:t>Hc</w:t>
      </w:r>
      <w:proofErr w:type="spellEnd"/>
      <w:r>
        <w:t xml:space="preserve">₂ enhancement (R² = 0.91), serving as an effective predictive tool  </w:t>
      </w:r>
    </w:p>
    <w:p w14:paraId="40BC6BC9" w14:textId="77777777" w:rsidR="00D24FC6" w:rsidRDefault="00D24FC6" w:rsidP="00D24FC6"/>
    <w:p w14:paraId="177FE69F" w14:textId="77777777" w:rsidR="00D24FC6" w:rsidRDefault="00D24FC6" w:rsidP="00D24FC6">
      <w:r>
        <w:t>These results provide crucial insights into the relationship between chemical composition, spin-orbit interactions, and superconducting performance in η-carbide materials. The findings highlight **</w:t>
      </w:r>
      <w:proofErr w:type="spellStart"/>
      <w:r>
        <w:t>Ti₄Ir₂O</w:t>
      </w:r>
      <w:proofErr w:type="spellEnd"/>
      <w:r>
        <w:t xml:space="preserve">** as particularly promising for high-field applications while establishing parameter **E** as a valuable metric for materials design.  </w:t>
      </w:r>
    </w:p>
    <w:p w14:paraId="20BF2B1E" w14:textId="77777777" w:rsidR="00D24FC6" w:rsidRDefault="00D24FC6" w:rsidP="00D24FC6"/>
    <w:p w14:paraId="2AEA8B5C" w14:textId="02F5BB29" w:rsidR="00D24FC6" w:rsidRDefault="00D24FC6" w:rsidP="00D24FC6">
      <w:r>
        <w:t>Keywords: η-Carbide superconductors, High-field superconductivity, Spin-orbit coupling, Pauli limit violation, Materials design parameter, Transition metal oxides</w:t>
      </w:r>
    </w:p>
    <w:p w14:paraId="4436DBC3" w14:textId="77777777" w:rsidR="00D24FC6" w:rsidRPr="00D24FC6" w:rsidRDefault="00D24FC6" w:rsidP="00D24FC6">
      <w:r w:rsidRPr="00D24FC6">
        <w:rPr>
          <w:b/>
          <w:bCs/>
        </w:rPr>
        <w:t>1. Introduction</w:t>
      </w:r>
    </w:p>
    <w:p w14:paraId="079998D7" w14:textId="77777777" w:rsidR="00D24FC6" w:rsidRPr="00D24FC6" w:rsidRDefault="00D24FC6" w:rsidP="00D24FC6">
      <w:r w:rsidRPr="00D24FC6">
        <w:t>The η-carbide-type oxides (</w:t>
      </w:r>
      <w:r w:rsidRPr="00D24FC6">
        <w:rPr>
          <w:b/>
          <w:bCs/>
        </w:rPr>
        <w:t>A₄B₂O</w:t>
      </w:r>
      <w:r w:rsidRPr="00D24FC6">
        <w:t>) represent an intriguing class of </w:t>
      </w:r>
      <w:r w:rsidRPr="00D24FC6">
        <w:rPr>
          <w:b/>
          <w:bCs/>
        </w:rPr>
        <w:t>intermetallic superconductors</w:t>
      </w:r>
      <w:r w:rsidRPr="00D24FC6">
        <w:t> characterized by their </w:t>
      </w:r>
      <w:r w:rsidRPr="00D24FC6">
        <w:rPr>
          <w:b/>
          <w:bCs/>
        </w:rPr>
        <w:t>cubic crystal structure</w:t>
      </w:r>
      <w:r w:rsidRPr="00D24FC6">
        <w:t> and </w:t>
      </w:r>
      <w:r w:rsidRPr="00D24FC6">
        <w:rPr>
          <w:b/>
          <w:bCs/>
        </w:rPr>
        <w:t xml:space="preserve">enhanced </w:t>
      </w:r>
      <w:r w:rsidRPr="00D24FC6">
        <w:rPr>
          <w:b/>
          <w:bCs/>
        </w:rPr>
        <w:lastRenderedPageBreak/>
        <w:t>superconducting properties under high magnetic fields</w:t>
      </w:r>
      <w:r w:rsidRPr="00D24FC6">
        <w:t>. This study focuses on three such compounds—</w:t>
      </w:r>
      <w:proofErr w:type="spellStart"/>
      <w:r w:rsidRPr="00D24FC6">
        <w:rPr>
          <w:b/>
          <w:bCs/>
        </w:rPr>
        <w:t>Zr₄Rh₂O</w:t>
      </w:r>
      <w:proofErr w:type="spellEnd"/>
      <w:r w:rsidRPr="00D24FC6">
        <w:rPr>
          <w:b/>
          <w:bCs/>
        </w:rPr>
        <w:t xml:space="preserve">, </w:t>
      </w:r>
      <w:proofErr w:type="spellStart"/>
      <w:r w:rsidRPr="00D24FC6">
        <w:rPr>
          <w:b/>
          <w:bCs/>
        </w:rPr>
        <w:t>Zr₄Pd₂O</w:t>
      </w:r>
      <w:proofErr w:type="spellEnd"/>
      <w:r w:rsidRPr="00D24FC6">
        <w:rPr>
          <w:b/>
          <w:bCs/>
        </w:rPr>
        <w:t xml:space="preserve">, and </w:t>
      </w:r>
      <w:proofErr w:type="spellStart"/>
      <w:r w:rsidRPr="00D24FC6">
        <w:rPr>
          <w:b/>
          <w:bCs/>
        </w:rPr>
        <w:t>Ti₄Ir₂O</w:t>
      </w:r>
      <w:proofErr w:type="spellEnd"/>
      <w:r w:rsidRPr="00D24FC6">
        <w:t>—to systematically investigate how their </w:t>
      </w:r>
      <w:r w:rsidRPr="00D24FC6">
        <w:rPr>
          <w:b/>
          <w:bCs/>
        </w:rPr>
        <w:t>elemental composition, electronic structure, and spin-orbit coupling (SOC) effects</w:t>
      </w:r>
      <w:r w:rsidRPr="00D24FC6">
        <w:t> influence their </w:t>
      </w:r>
      <w:r w:rsidRPr="00D24FC6">
        <w:rPr>
          <w:b/>
          <w:bCs/>
        </w:rPr>
        <w:t>critical temperature (T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b/>
          <w:bCs/>
        </w:rPr>
        <w:t>), upper critical field (H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), and Pauli limit violation </w:t>
      </w:r>
      <w:proofErr w:type="spellStart"/>
      <w:r w:rsidRPr="00D24FC6">
        <w:rPr>
          <w:b/>
          <w:bCs/>
        </w:rPr>
        <w:t>behavior</w:t>
      </w:r>
      <w:proofErr w:type="spellEnd"/>
      <w:r w:rsidRPr="00D24FC6">
        <w:t>.</w:t>
      </w:r>
    </w:p>
    <w:p w14:paraId="2A893125" w14:textId="77777777" w:rsidR="00D24FC6" w:rsidRPr="00D24FC6" w:rsidRDefault="00D24FC6" w:rsidP="00D24FC6">
      <w:r w:rsidRPr="00D24FC6">
        <w:t>The </w:t>
      </w:r>
      <w:r w:rsidRPr="00D24FC6">
        <w:rPr>
          <w:b/>
          <w:bCs/>
        </w:rPr>
        <w:t>Pauli paramagnetic limit (H</w:t>
      </w:r>
      <w:r w:rsidRPr="00D24FC6">
        <w:rPr>
          <w:rFonts w:ascii="Cambria Math" w:hAnsi="Cambria Math" w:cs="Cambria Math"/>
          <w:b/>
          <w:bCs/>
        </w:rPr>
        <w:t>ₚ</w:t>
      </w:r>
      <w:r w:rsidRPr="00D24FC6">
        <w:rPr>
          <w:b/>
          <w:bCs/>
        </w:rPr>
        <w:t>)</w:t>
      </w:r>
      <w:r w:rsidRPr="00D24FC6">
        <w:t> imposes a theoretical maximum on the upper critical field (H</w:t>
      </w:r>
      <w:r w:rsidRPr="00D24FC6">
        <w:rPr>
          <w:rFonts w:ascii="Cambria Math" w:hAnsi="Cambria Math" w:cs="Cambria Math"/>
        </w:rPr>
        <w:t>ₑ</w:t>
      </w:r>
      <w:r w:rsidRPr="00D24FC6">
        <w:rPr>
          <w:rFonts w:ascii="Aptos" w:hAnsi="Aptos" w:cs="Aptos"/>
        </w:rPr>
        <w:t>₂</w:t>
      </w:r>
      <w:r w:rsidRPr="00D24FC6">
        <w:t>) for conventional superconductors, defined as:</w:t>
      </w:r>
    </w:p>
    <w:p w14:paraId="6C2F2564" w14:textId="77777777" w:rsidR="00D24FC6" w:rsidRPr="00D24FC6" w:rsidRDefault="00D24FC6" w:rsidP="00D24FC6">
      <w:r w:rsidRPr="00D24FC6">
        <w:t>Hp=1.84</w:t>
      </w:r>
      <w:r w:rsidRPr="00D24FC6">
        <w:rPr>
          <w:rFonts w:ascii="Arial" w:hAnsi="Arial" w:cs="Arial"/>
        </w:rPr>
        <w:t> </w:t>
      </w:r>
      <w:r w:rsidRPr="00D24FC6">
        <w:t>Tc</w:t>
      </w:r>
      <w:r w:rsidRPr="00D24FC6">
        <w:rPr>
          <w:rFonts w:ascii="Arial" w:hAnsi="Arial" w:cs="Arial"/>
        </w:rPr>
        <w:t> </w:t>
      </w:r>
      <w:r w:rsidRPr="00D24FC6">
        <w:t>(in</w:t>
      </w:r>
      <w:r w:rsidRPr="00D24FC6">
        <w:rPr>
          <w:rFonts w:ascii="Aptos" w:hAnsi="Aptos" w:cs="Aptos"/>
        </w:rPr>
        <w:t> </w:t>
      </w:r>
      <w:proofErr w:type="gramStart"/>
      <w:r w:rsidRPr="00D24FC6">
        <w:t>Tesla)</w:t>
      </w:r>
      <w:r w:rsidRPr="00D24FC6">
        <w:rPr>
          <w:i/>
          <w:iCs/>
        </w:rPr>
        <w:t>Hp</w:t>
      </w:r>
      <w:r w:rsidRPr="00D24FC6">
        <w:rPr>
          <w:rFonts w:ascii="Arial" w:hAnsi="Arial" w:cs="Arial"/>
        </w:rPr>
        <w:t>​</w:t>
      </w:r>
      <w:proofErr w:type="gramEnd"/>
      <w:r w:rsidRPr="00D24FC6">
        <w:t>=1.84</w:t>
      </w:r>
      <w:proofErr w:type="gramStart"/>
      <w:r w:rsidRPr="00D24FC6">
        <w:rPr>
          <w:i/>
          <w:iCs/>
        </w:rPr>
        <w:t>Tc</w:t>
      </w:r>
      <w:r w:rsidRPr="00D24FC6">
        <w:rPr>
          <w:rFonts w:ascii="Arial" w:hAnsi="Arial" w:cs="Arial"/>
        </w:rPr>
        <w:t>​</w:t>
      </w:r>
      <w:r w:rsidRPr="00D24FC6">
        <w:t>(</w:t>
      </w:r>
      <w:proofErr w:type="gramEnd"/>
      <w:r w:rsidRPr="00D24FC6">
        <w:t>in Tesla)</w:t>
      </w:r>
    </w:p>
    <w:p w14:paraId="67BA5C12" w14:textId="77777777" w:rsidR="00D24FC6" w:rsidRPr="00D24FC6" w:rsidRDefault="00D24FC6" w:rsidP="00D24FC6">
      <w:r w:rsidRPr="00D24FC6">
        <w:t>However, </w:t>
      </w:r>
      <w:r w:rsidRPr="00D24FC6">
        <w:rPr>
          <w:b/>
          <w:bCs/>
        </w:rPr>
        <w:t>strong SOC and unconventional pairing mechanisms</w:t>
      </w:r>
      <w:r w:rsidRPr="00D24FC6">
        <w:t> can lead to </w:t>
      </w:r>
      <w:r w:rsidRPr="00D24FC6">
        <w:rPr>
          <w:b/>
          <w:bCs/>
        </w:rPr>
        <w:t>violations of this limit (H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 &gt; H</w:t>
      </w:r>
      <w:r w:rsidRPr="00D24FC6">
        <w:rPr>
          <w:rFonts w:ascii="Cambria Math" w:hAnsi="Cambria Math" w:cs="Cambria Math"/>
          <w:b/>
          <w:bCs/>
        </w:rPr>
        <w:t>ₚ</w:t>
      </w:r>
      <w:r w:rsidRPr="00D24FC6">
        <w:rPr>
          <w:b/>
          <w:bCs/>
        </w:rPr>
        <w:t>)</w:t>
      </w:r>
      <w:r w:rsidRPr="00D24FC6">
        <w:t>, making these materials promising for </w:t>
      </w:r>
      <w:r w:rsidRPr="00D24FC6">
        <w:rPr>
          <w:b/>
          <w:bCs/>
        </w:rPr>
        <w:t>high-field magnet applications</w:t>
      </w:r>
      <w:r w:rsidRPr="00D24FC6">
        <w:t>.</w:t>
      </w:r>
    </w:p>
    <w:p w14:paraId="736B0A5C" w14:textId="77777777" w:rsidR="00D24FC6" w:rsidRPr="00D24FC6" w:rsidRDefault="00D24FC6" w:rsidP="00D24FC6">
      <w:r w:rsidRPr="00D24FC6">
        <w:t>This work addresses three fundamental questions:</w:t>
      </w:r>
    </w:p>
    <w:p w14:paraId="6C7953DF" w14:textId="411D733C" w:rsidR="00D24FC6" w:rsidRPr="00D24FC6" w:rsidRDefault="00D24FC6" w:rsidP="00D24FC6">
      <w:pPr>
        <w:numPr>
          <w:ilvl w:val="0"/>
          <w:numId w:val="2"/>
        </w:numPr>
      </w:pPr>
      <w:r w:rsidRPr="00D24FC6">
        <w:rPr>
          <w:b/>
          <w:bCs/>
        </w:rPr>
        <w:t>How does elemental sub</w:t>
      </w:r>
      <w:r w:rsidR="00723619">
        <w:rPr>
          <w:b/>
          <w:bCs/>
        </w:rPr>
        <w:t>2</w:t>
      </w:r>
      <w:r w:rsidRPr="00D24FC6">
        <w:rPr>
          <w:b/>
          <w:bCs/>
        </w:rPr>
        <w:t>stitution (A-site: Zr/Ti; B-site: Rh/Pd/</w:t>
      </w:r>
      <w:proofErr w:type="spellStart"/>
      <w:r w:rsidRPr="00D24FC6">
        <w:rPr>
          <w:b/>
          <w:bCs/>
        </w:rPr>
        <w:t>Ir</w:t>
      </w:r>
      <w:proofErr w:type="spellEnd"/>
      <w:r w:rsidRPr="00D24FC6">
        <w:rPr>
          <w:b/>
          <w:bCs/>
        </w:rPr>
        <w:t>) affect T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b/>
          <w:bCs/>
        </w:rPr>
        <w:t xml:space="preserve"> and 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>?</w:t>
      </w:r>
    </w:p>
    <w:p w14:paraId="059373F2" w14:textId="77777777" w:rsidR="00D24FC6" w:rsidRPr="00D24FC6" w:rsidRDefault="00D24FC6" w:rsidP="00D24FC6">
      <w:pPr>
        <w:numPr>
          <w:ilvl w:val="0"/>
          <w:numId w:val="2"/>
        </w:numPr>
      </w:pPr>
      <w:r w:rsidRPr="00D24FC6">
        <w:rPr>
          <w:b/>
          <w:bCs/>
        </w:rPr>
        <w:t>What is the role of SOC in enhancing 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 and violating the Pauli limit?</w:t>
      </w:r>
    </w:p>
    <w:p w14:paraId="04D3CDFB" w14:textId="77777777" w:rsidR="00D24FC6" w:rsidRPr="00D24FC6" w:rsidRDefault="00D24FC6" w:rsidP="00D24FC6">
      <w:pPr>
        <w:numPr>
          <w:ilvl w:val="0"/>
          <w:numId w:val="2"/>
        </w:numPr>
      </w:pPr>
      <w:r w:rsidRPr="00D24FC6">
        <w:rPr>
          <w:b/>
          <w:bCs/>
        </w:rPr>
        <w:t>Can a unified parameter (E) predict superconducting performance based on composition and SOC?</w:t>
      </w:r>
    </w:p>
    <w:p w14:paraId="4C91B91A" w14:textId="77777777" w:rsidR="00D24FC6" w:rsidRPr="00D24FC6" w:rsidRDefault="00D24FC6" w:rsidP="00D24FC6">
      <w:r w:rsidRPr="00D24FC6">
        <w:pict w14:anchorId="53EC81DA">
          <v:rect id="_x0000_i1061" style="width:0;height:.75pt" o:hralign="center" o:hrstd="t" o:hr="t" fillcolor="#a0a0a0" stroked="f"/>
        </w:pict>
      </w:r>
    </w:p>
    <w:p w14:paraId="0D76E6A7" w14:textId="77777777" w:rsidR="00D24FC6" w:rsidRPr="00D24FC6" w:rsidRDefault="00D24FC6" w:rsidP="00D24FC6">
      <w:r w:rsidRPr="00D24FC6">
        <w:rPr>
          <w:b/>
          <w:bCs/>
        </w:rPr>
        <w:t>2. Methods</w:t>
      </w:r>
    </w:p>
    <w:p w14:paraId="257B3DBB" w14:textId="77777777" w:rsidR="00D24FC6" w:rsidRPr="00D24FC6" w:rsidRDefault="00D24FC6" w:rsidP="00D24FC6">
      <w:r w:rsidRPr="00D24FC6">
        <w:rPr>
          <w:b/>
          <w:bCs/>
        </w:rPr>
        <w:t xml:space="preserve">2.1 Theoretical </w:t>
      </w:r>
      <w:proofErr w:type="spellStart"/>
      <w:r w:rsidRPr="00D24FC6">
        <w:rPr>
          <w:b/>
          <w:bCs/>
        </w:rPr>
        <w:t>Modeling</w:t>
      </w:r>
      <w:proofErr w:type="spellEnd"/>
    </w:p>
    <w:p w14:paraId="03FBF718" w14:textId="77777777" w:rsidR="00D24FC6" w:rsidRPr="00D24FC6" w:rsidRDefault="00D24FC6" w:rsidP="00D24FC6">
      <w:r w:rsidRPr="00D24FC6">
        <w:t>The study employs </w:t>
      </w:r>
      <w:r w:rsidRPr="00D24FC6">
        <w:rPr>
          <w:b/>
          <w:bCs/>
        </w:rPr>
        <w:t>density functional theory (DFT)</w:t>
      </w:r>
      <w:r w:rsidRPr="00D24FC6">
        <w:t xml:space="preserve"> calculations to </w:t>
      </w:r>
      <w:proofErr w:type="spellStart"/>
      <w:r w:rsidRPr="00D24FC6">
        <w:t>analyze</w:t>
      </w:r>
      <w:proofErr w:type="spellEnd"/>
      <w:r w:rsidRPr="00D24FC6">
        <w:t>:</w:t>
      </w:r>
    </w:p>
    <w:p w14:paraId="7443041F" w14:textId="77777777" w:rsidR="00D24FC6" w:rsidRPr="00D24FC6" w:rsidRDefault="00D24FC6" w:rsidP="00D24FC6">
      <w:pPr>
        <w:numPr>
          <w:ilvl w:val="0"/>
          <w:numId w:val="3"/>
        </w:numPr>
      </w:pPr>
      <w:r w:rsidRPr="00D24FC6">
        <w:rPr>
          <w:b/>
          <w:bCs/>
        </w:rPr>
        <w:t>Electronic band structure</w:t>
      </w:r>
      <w:r w:rsidRPr="00D24FC6">
        <w:t> (Fermi surface topology, density of states)</w:t>
      </w:r>
    </w:p>
    <w:p w14:paraId="4A020023" w14:textId="77777777" w:rsidR="00D24FC6" w:rsidRPr="00D24FC6" w:rsidRDefault="00D24FC6" w:rsidP="00D24FC6">
      <w:pPr>
        <w:numPr>
          <w:ilvl w:val="0"/>
          <w:numId w:val="3"/>
        </w:numPr>
      </w:pPr>
      <w:r w:rsidRPr="00D24FC6">
        <w:rPr>
          <w:b/>
          <w:bCs/>
        </w:rPr>
        <w:t>Spin-orbit coupling effects</w:t>
      </w:r>
      <w:r w:rsidRPr="00D24FC6">
        <w:t> (estimated via atomic number dependence, Z⁴)</w:t>
      </w:r>
    </w:p>
    <w:p w14:paraId="49CC27B0" w14:textId="77777777" w:rsidR="00D24FC6" w:rsidRPr="00D24FC6" w:rsidRDefault="00D24FC6" w:rsidP="00D24FC6">
      <w:pPr>
        <w:numPr>
          <w:ilvl w:val="0"/>
          <w:numId w:val="3"/>
        </w:numPr>
      </w:pPr>
      <w:r w:rsidRPr="00D24FC6">
        <w:rPr>
          <w:b/>
          <w:bCs/>
        </w:rPr>
        <w:t>Electron-phonon coupling strength</w:t>
      </w:r>
      <w:r w:rsidRPr="00D24FC6">
        <w:t> (λ)</w:t>
      </w:r>
    </w:p>
    <w:p w14:paraId="381B7722" w14:textId="77777777" w:rsidR="00D24FC6" w:rsidRPr="00D24FC6" w:rsidRDefault="00D24FC6" w:rsidP="00D24FC6">
      <w:r w:rsidRPr="00D24FC6">
        <w:rPr>
          <w:b/>
          <w:bCs/>
        </w:rPr>
        <w:t>2.2 Parameter E: A Predictive Metric for Superconducting Performance</w:t>
      </w:r>
    </w:p>
    <w:p w14:paraId="10B63848" w14:textId="77777777" w:rsidR="00D24FC6" w:rsidRPr="00D24FC6" w:rsidRDefault="00D24FC6" w:rsidP="00D24FC6">
      <w:r w:rsidRPr="00D24FC6">
        <w:t>A </w:t>
      </w:r>
      <w:r w:rsidRPr="00D24FC6">
        <w:rPr>
          <w:b/>
          <w:bCs/>
        </w:rPr>
        <w:t>semi-empirical parameter (E)</w:t>
      </w:r>
      <w:r w:rsidRPr="00D24FC6">
        <w:t> is introduced to quantify superconducting potential:</w:t>
      </w:r>
    </w:p>
    <w:p w14:paraId="3999EF55" w14:textId="77777777" w:rsidR="00D24FC6" w:rsidRPr="00D24FC6" w:rsidRDefault="00D24FC6" w:rsidP="00D24FC6">
      <w:r w:rsidRPr="00D24FC6">
        <w:t>E=0.355A+(0.163−0.031</w:t>
      </w:r>
      <w:proofErr w:type="gramStart"/>
      <w:r w:rsidRPr="00D24FC6">
        <w:t>A)</w:t>
      </w:r>
      <w:r w:rsidRPr="00D24FC6">
        <w:rPr>
          <w:rFonts w:ascii="Cambria Math" w:hAnsi="Cambria Math" w:cs="Cambria Math"/>
        </w:rPr>
        <w:t>⋅</w:t>
      </w:r>
      <w:proofErr w:type="gramEnd"/>
      <w:r w:rsidRPr="00D24FC6">
        <w:t>wt%</w:t>
      </w:r>
      <w:r w:rsidRPr="00D24FC6">
        <w:rPr>
          <w:rFonts w:ascii="Aptos" w:hAnsi="Aptos" w:cs="Aptos"/>
        </w:rPr>
        <w:t>−</w:t>
      </w:r>
      <w:r w:rsidRPr="00D24FC6">
        <w:t>1.898</w:t>
      </w:r>
      <w:r w:rsidRPr="00D24FC6">
        <w:rPr>
          <w:i/>
          <w:iCs/>
        </w:rPr>
        <w:t>E</w:t>
      </w:r>
      <w:r w:rsidRPr="00D24FC6">
        <w:t>=0.355</w:t>
      </w:r>
      <w:r w:rsidRPr="00D24FC6">
        <w:rPr>
          <w:i/>
          <w:iCs/>
        </w:rPr>
        <w:t>A</w:t>
      </w:r>
      <w:r w:rsidRPr="00D24FC6">
        <w:t>+(0.163−0.031</w:t>
      </w:r>
      <w:proofErr w:type="gramStart"/>
      <w:r w:rsidRPr="00D24FC6">
        <w:rPr>
          <w:i/>
          <w:iCs/>
        </w:rPr>
        <w:t>A</w:t>
      </w:r>
      <w:r w:rsidRPr="00D24FC6">
        <w:t>)</w:t>
      </w:r>
      <w:r w:rsidRPr="00D24FC6">
        <w:rPr>
          <w:rFonts w:ascii="Cambria Math" w:hAnsi="Cambria Math" w:cs="Cambria Math"/>
        </w:rPr>
        <w:t>⋅</w:t>
      </w:r>
      <w:proofErr w:type="gramEnd"/>
      <w:r w:rsidRPr="00D24FC6">
        <w:t>wt%−1.898</w:t>
      </w:r>
    </w:p>
    <w:p w14:paraId="617F6D2A" w14:textId="77777777" w:rsidR="00D24FC6" w:rsidRPr="00D24FC6" w:rsidRDefault="00D24FC6" w:rsidP="00D24FC6">
      <w:r w:rsidRPr="00D24FC6">
        <w:t>where:</w:t>
      </w:r>
    </w:p>
    <w:p w14:paraId="708BC390" w14:textId="77777777" w:rsidR="00D24FC6" w:rsidRPr="00D24FC6" w:rsidRDefault="00D24FC6" w:rsidP="00D24FC6">
      <w:pPr>
        <w:numPr>
          <w:ilvl w:val="0"/>
          <w:numId w:val="4"/>
        </w:numPr>
      </w:pPr>
      <w:r w:rsidRPr="00D24FC6">
        <w:rPr>
          <w:b/>
          <w:bCs/>
        </w:rPr>
        <w:t>A</w:t>
      </w:r>
      <w:r w:rsidRPr="00D24FC6">
        <w:t xml:space="preserve"> = weighted average of superconducting elements (Zr, Ti, Rh, Pd, </w:t>
      </w:r>
      <w:proofErr w:type="spellStart"/>
      <w:r w:rsidRPr="00D24FC6">
        <w:t>Ir</w:t>
      </w:r>
      <w:proofErr w:type="spellEnd"/>
      <w:r w:rsidRPr="00D24FC6">
        <w:t>)</w:t>
      </w:r>
    </w:p>
    <w:p w14:paraId="3CDA6D50" w14:textId="77777777" w:rsidR="00D24FC6" w:rsidRPr="00D24FC6" w:rsidRDefault="00D24FC6" w:rsidP="00D24FC6">
      <w:pPr>
        <w:numPr>
          <w:ilvl w:val="0"/>
          <w:numId w:val="4"/>
        </w:numPr>
      </w:pPr>
      <w:proofErr w:type="spellStart"/>
      <w:r w:rsidRPr="00D24FC6">
        <w:rPr>
          <w:b/>
          <w:bCs/>
        </w:rPr>
        <w:t>wt</w:t>
      </w:r>
      <w:proofErr w:type="spellEnd"/>
      <w:r w:rsidRPr="00D24FC6">
        <w:rPr>
          <w:b/>
          <w:bCs/>
        </w:rPr>
        <w:t>%</w:t>
      </w:r>
      <w:r w:rsidRPr="00D24FC6">
        <w:t> = mass fraction of superconducting elements</w:t>
      </w:r>
    </w:p>
    <w:p w14:paraId="22A07599" w14:textId="77777777" w:rsidR="00D24FC6" w:rsidRPr="00D24FC6" w:rsidRDefault="00D24FC6" w:rsidP="00D24FC6">
      <w:r w:rsidRPr="00D24FC6">
        <w:lastRenderedPageBreak/>
        <w:t>This parameter </w:t>
      </w:r>
      <w:r w:rsidRPr="00D24FC6">
        <w:rPr>
          <w:b/>
          <w:bCs/>
        </w:rPr>
        <w:t>correlates strongly with 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 enhancement (R</w:t>
      </w:r>
      <w:r w:rsidRPr="00D24FC6">
        <w:rPr>
          <w:rFonts w:ascii="Aptos" w:hAnsi="Aptos" w:cs="Aptos"/>
          <w:b/>
          <w:bCs/>
        </w:rPr>
        <w:t>²</w:t>
      </w:r>
      <w:r w:rsidRPr="00D24FC6">
        <w:rPr>
          <w:b/>
          <w:bCs/>
        </w:rPr>
        <w:t xml:space="preserve"> = 0.91)</w:t>
      </w:r>
      <w:r w:rsidRPr="00D24FC6">
        <w:t>, providing a predictive tool for material optimization.</w:t>
      </w:r>
    </w:p>
    <w:p w14:paraId="00CC38C4" w14:textId="77777777" w:rsidR="00D24FC6" w:rsidRPr="00D24FC6" w:rsidRDefault="00D24FC6" w:rsidP="00D24FC6">
      <w:r w:rsidRPr="00D24FC6">
        <w:pict w14:anchorId="333E71EC">
          <v:rect id="_x0000_i1062" style="width:0;height:.75pt" o:hralign="center" o:hrstd="t" o:hr="t" fillcolor="#a0a0a0" stroked="f"/>
        </w:pict>
      </w:r>
    </w:p>
    <w:p w14:paraId="35AA63F0" w14:textId="77777777" w:rsidR="00D24FC6" w:rsidRPr="00D24FC6" w:rsidRDefault="00D24FC6" w:rsidP="00D24FC6">
      <w:r w:rsidRPr="00D24FC6">
        <w:rPr>
          <w:b/>
          <w:bCs/>
        </w:rPr>
        <w:t>3. Results &amp; Discussion</w:t>
      </w:r>
    </w:p>
    <w:p w14:paraId="64C8B285" w14:textId="77777777" w:rsidR="00D24FC6" w:rsidRPr="00D24FC6" w:rsidRDefault="00D24FC6" w:rsidP="00D24FC6">
      <w:r w:rsidRPr="00D24FC6">
        <w:rPr>
          <w:b/>
          <w:bCs/>
        </w:rPr>
        <w:t>3.1 Structural and Compositional Analysis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1203"/>
        <w:gridCol w:w="1276"/>
        <w:gridCol w:w="2617"/>
        <w:gridCol w:w="2256"/>
      </w:tblGrid>
      <w:tr w:rsidR="00D24FC6" w:rsidRPr="00D24FC6" w14:paraId="1B29379D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27596CD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26DAF6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A-site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AFAD2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B-site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5009C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SOC Strength (Z⁴/10⁷)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554F6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Crystal Symmetry</w:t>
            </w:r>
          </w:p>
        </w:tc>
      </w:tr>
      <w:tr w:rsidR="00D24FC6" w:rsidRPr="00D24FC6" w14:paraId="3D99D902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7473823" w14:textId="77777777" w:rsidR="00D24FC6" w:rsidRPr="00D24FC6" w:rsidRDefault="00D24FC6" w:rsidP="00D24FC6">
            <w:proofErr w:type="spellStart"/>
            <w:r w:rsidRPr="00D24FC6">
              <w:rPr>
                <w:b/>
                <w:bCs/>
              </w:rPr>
              <w:t>Zr₄Rh₂O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14FBD" w14:textId="77777777" w:rsidR="00D24FC6" w:rsidRPr="00D24FC6" w:rsidRDefault="00D24FC6" w:rsidP="00D24FC6">
            <w:r w:rsidRPr="00D24FC6">
              <w:t>Zr (Z=40)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CC1E7" w14:textId="77777777" w:rsidR="00D24FC6" w:rsidRPr="00D24FC6" w:rsidRDefault="00D24FC6" w:rsidP="00D24FC6">
            <w:r w:rsidRPr="00D24FC6">
              <w:t>Rh (Z=45)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C79642" w14:textId="77777777" w:rsidR="00D24FC6" w:rsidRPr="00D24FC6" w:rsidRDefault="00D24FC6" w:rsidP="00D24FC6">
            <w:r w:rsidRPr="00D24FC6"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C258F" w14:textId="77777777" w:rsidR="00D24FC6" w:rsidRPr="00D24FC6" w:rsidRDefault="00D24FC6" w:rsidP="00D24FC6">
            <w:r w:rsidRPr="00D24FC6">
              <w:t>Cubic (Fd-3m)</w:t>
            </w:r>
          </w:p>
        </w:tc>
      </w:tr>
      <w:tr w:rsidR="00D24FC6" w:rsidRPr="00D24FC6" w14:paraId="4BC9D642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226F772" w14:textId="77777777" w:rsidR="00D24FC6" w:rsidRPr="00D24FC6" w:rsidRDefault="00D24FC6" w:rsidP="00D24FC6">
            <w:proofErr w:type="spellStart"/>
            <w:r w:rsidRPr="00D24FC6">
              <w:rPr>
                <w:b/>
                <w:bCs/>
              </w:rPr>
              <w:t>Zr₄Pd₂O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EFA276" w14:textId="77777777" w:rsidR="00D24FC6" w:rsidRPr="00D24FC6" w:rsidRDefault="00D24FC6" w:rsidP="00D24FC6">
            <w:r w:rsidRPr="00D24FC6">
              <w:t>Zr (Z=40)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85EBB" w14:textId="77777777" w:rsidR="00D24FC6" w:rsidRPr="00D24FC6" w:rsidRDefault="00D24FC6" w:rsidP="00D24FC6">
            <w:r w:rsidRPr="00D24FC6">
              <w:t>Pd (Z=46)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73247" w14:textId="77777777" w:rsidR="00D24FC6" w:rsidRPr="00D24FC6" w:rsidRDefault="00D24FC6" w:rsidP="00D24FC6">
            <w:r w:rsidRPr="00D24FC6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0C1DB" w14:textId="77777777" w:rsidR="00D24FC6" w:rsidRPr="00D24FC6" w:rsidRDefault="00D24FC6" w:rsidP="00D24FC6">
            <w:r w:rsidRPr="00D24FC6">
              <w:t>Cubic (Fd-3m)</w:t>
            </w:r>
          </w:p>
        </w:tc>
      </w:tr>
      <w:tr w:rsidR="00D24FC6" w:rsidRPr="00D24FC6" w14:paraId="5FC9CF14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92D8ACE" w14:textId="77777777" w:rsidR="00D24FC6" w:rsidRPr="00D24FC6" w:rsidRDefault="00D24FC6" w:rsidP="00D24FC6">
            <w:proofErr w:type="spellStart"/>
            <w:r w:rsidRPr="00D24FC6">
              <w:rPr>
                <w:b/>
                <w:bCs/>
              </w:rPr>
              <w:t>Ti₄Ir₂O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2B8BD" w14:textId="77777777" w:rsidR="00D24FC6" w:rsidRPr="00D24FC6" w:rsidRDefault="00D24FC6" w:rsidP="00D24FC6">
            <w:r w:rsidRPr="00D24FC6">
              <w:t>Ti (Z=22)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5CB1B" w14:textId="77777777" w:rsidR="00D24FC6" w:rsidRPr="00D24FC6" w:rsidRDefault="00D24FC6" w:rsidP="00D24FC6">
            <w:proofErr w:type="spellStart"/>
            <w:r w:rsidRPr="00D24FC6">
              <w:t>Ir</w:t>
            </w:r>
            <w:proofErr w:type="spellEnd"/>
            <w:r w:rsidRPr="00D24FC6">
              <w:t xml:space="preserve"> (Z=77)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D973D" w14:textId="77777777" w:rsidR="00D24FC6" w:rsidRPr="00D24FC6" w:rsidRDefault="00D24FC6" w:rsidP="00D24FC6">
            <w:r w:rsidRPr="00D24FC6">
              <w:rPr>
                <w:b/>
                <w:bCs/>
              </w:rPr>
              <w:t>35.2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FD422" w14:textId="77777777" w:rsidR="00D24FC6" w:rsidRPr="00D24FC6" w:rsidRDefault="00D24FC6" w:rsidP="00D24FC6">
            <w:r w:rsidRPr="00D24FC6">
              <w:t>Cubic (Fd-3m)</w:t>
            </w:r>
          </w:p>
        </w:tc>
      </w:tr>
    </w:tbl>
    <w:p w14:paraId="5C1A0AFB" w14:textId="77777777" w:rsidR="00D24FC6" w:rsidRPr="00D24FC6" w:rsidRDefault="00D24FC6" w:rsidP="00D24FC6">
      <w:pPr>
        <w:numPr>
          <w:ilvl w:val="0"/>
          <w:numId w:val="5"/>
        </w:numPr>
      </w:pPr>
      <w:proofErr w:type="spellStart"/>
      <w:r w:rsidRPr="00D24FC6">
        <w:rPr>
          <w:b/>
          <w:bCs/>
        </w:rPr>
        <w:t>Ti₄Ir₂O</w:t>
      </w:r>
      <w:proofErr w:type="spellEnd"/>
      <w:r w:rsidRPr="00D24FC6">
        <w:t> exhibits the </w:t>
      </w:r>
      <w:r w:rsidRPr="00D24FC6">
        <w:rPr>
          <w:b/>
          <w:bCs/>
        </w:rPr>
        <w:t>strongest SOC</w:t>
      </w:r>
      <w:r w:rsidRPr="00D24FC6">
        <w:t> due to the heavy </w:t>
      </w:r>
      <w:proofErr w:type="spellStart"/>
      <w:r w:rsidRPr="00D24FC6">
        <w:rPr>
          <w:b/>
          <w:bCs/>
        </w:rPr>
        <w:t>Ir</w:t>
      </w:r>
      <w:proofErr w:type="spellEnd"/>
      <w:r w:rsidRPr="00D24FC6">
        <w:rPr>
          <w:b/>
          <w:bCs/>
        </w:rPr>
        <w:t xml:space="preserve"> (5d-element)</w:t>
      </w:r>
      <w:r w:rsidRPr="00D24FC6">
        <w:t>, crucial for </w:t>
      </w:r>
      <w:r w:rsidRPr="00D24FC6">
        <w:rPr>
          <w:b/>
          <w:bCs/>
        </w:rPr>
        <w:t>Pauli limit violation</w:t>
      </w:r>
      <w:r w:rsidRPr="00D24FC6">
        <w:t>.</w:t>
      </w:r>
    </w:p>
    <w:p w14:paraId="6E241B6B" w14:textId="77777777" w:rsidR="00D24FC6" w:rsidRPr="00D24FC6" w:rsidRDefault="00D24FC6" w:rsidP="00D24FC6">
      <w:pPr>
        <w:numPr>
          <w:ilvl w:val="0"/>
          <w:numId w:val="5"/>
        </w:numPr>
      </w:pPr>
      <w:r w:rsidRPr="00D24FC6">
        <w:rPr>
          <w:b/>
          <w:bCs/>
        </w:rPr>
        <w:t>Zr-based compounds</w:t>
      </w:r>
      <w:r w:rsidRPr="00D24FC6">
        <w:t> show </w:t>
      </w:r>
      <w:r w:rsidRPr="00D24FC6">
        <w:rPr>
          <w:b/>
          <w:bCs/>
        </w:rPr>
        <w:t>moderate SOC</w:t>
      </w:r>
      <w:r w:rsidRPr="00D24FC6">
        <w:t>, while </w:t>
      </w:r>
      <w:proofErr w:type="spellStart"/>
      <w:r w:rsidRPr="00D24FC6">
        <w:rPr>
          <w:b/>
          <w:bCs/>
        </w:rPr>
        <w:t>Ti₄Ir₂O</w:t>
      </w:r>
      <w:proofErr w:type="spellEnd"/>
      <w:r w:rsidRPr="00D24FC6">
        <w:t> stands out due to </w:t>
      </w:r>
      <w:r w:rsidRPr="00D24FC6">
        <w:rPr>
          <w:b/>
          <w:bCs/>
        </w:rPr>
        <w:t>strong relativistic effects</w:t>
      </w:r>
      <w:r w:rsidRPr="00D24FC6">
        <w:t>.</w:t>
      </w:r>
    </w:p>
    <w:p w14:paraId="7A3CC8B6" w14:textId="77777777" w:rsidR="00D24FC6" w:rsidRPr="00D24FC6" w:rsidRDefault="00D24FC6" w:rsidP="00D24FC6">
      <w:r w:rsidRPr="00D24FC6">
        <w:rPr>
          <w:b/>
          <w:bCs/>
        </w:rPr>
        <w:t>3.2 Superconducting Properties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849"/>
        <w:gridCol w:w="1455"/>
        <w:gridCol w:w="1112"/>
        <w:gridCol w:w="1017"/>
        <w:gridCol w:w="1624"/>
      </w:tblGrid>
      <w:tr w:rsidR="00D24FC6" w:rsidRPr="00D24FC6" w14:paraId="1D8F0A88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8ECDD3D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Compound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02F07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T</w:t>
            </w:r>
            <w:r w:rsidRPr="00D24FC6">
              <w:rPr>
                <w:rFonts w:ascii="Cambria Math" w:hAnsi="Cambria Math" w:cs="Cambria Math"/>
                <w:b/>
                <w:bCs/>
              </w:rPr>
              <w:t>ₑ</w:t>
            </w:r>
            <w:r w:rsidRPr="00D24FC6">
              <w:rPr>
                <w:b/>
                <w:bCs/>
              </w:rPr>
              <w:t xml:space="preserve"> (K)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8C60E" w14:textId="77777777" w:rsidR="00D24FC6" w:rsidRPr="00D24FC6" w:rsidRDefault="00D24FC6" w:rsidP="00D24FC6">
            <w:pPr>
              <w:rPr>
                <w:b/>
                <w:bCs/>
              </w:rPr>
            </w:pPr>
            <w:proofErr w:type="spellStart"/>
            <w:r w:rsidRPr="00D24FC6">
              <w:rPr>
                <w:b/>
                <w:bCs/>
              </w:rPr>
              <w:t>μ₀H</w:t>
            </w:r>
            <w:proofErr w:type="spellEnd"/>
            <w:r w:rsidRPr="00D24FC6">
              <w:rPr>
                <w:rFonts w:ascii="Cambria Math" w:hAnsi="Cambria Math" w:cs="Cambria Math"/>
                <w:b/>
                <w:bCs/>
              </w:rPr>
              <w:t>ₑ</w:t>
            </w:r>
            <w:proofErr w:type="gramStart"/>
            <w:r w:rsidRPr="00D24FC6">
              <w:rPr>
                <w:rFonts w:ascii="Aptos" w:hAnsi="Aptos" w:cs="Aptos"/>
                <w:b/>
                <w:bCs/>
              </w:rPr>
              <w:t>₂</w:t>
            </w:r>
            <w:r w:rsidRPr="00D24FC6">
              <w:rPr>
                <w:b/>
                <w:bCs/>
              </w:rPr>
              <w:t>(</w:t>
            </w:r>
            <w:proofErr w:type="gramEnd"/>
            <w:r w:rsidRPr="00D24FC6">
              <w:rPr>
                <w:b/>
                <w:bCs/>
              </w:rPr>
              <w:t>0)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2EEDD" w14:textId="77777777" w:rsidR="00D24FC6" w:rsidRPr="00D24FC6" w:rsidRDefault="00D24FC6" w:rsidP="00D24FC6">
            <w:pPr>
              <w:rPr>
                <w:b/>
                <w:bCs/>
              </w:rPr>
            </w:pPr>
            <w:proofErr w:type="spellStart"/>
            <w:r w:rsidRPr="00D24FC6">
              <w:rPr>
                <w:b/>
                <w:bCs/>
              </w:rPr>
              <w:t>μ₀H</w:t>
            </w:r>
            <w:proofErr w:type="spellEnd"/>
            <w:r w:rsidRPr="00D24FC6">
              <w:rPr>
                <w:rFonts w:ascii="Cambria Math" w:hAnsi="Cambria Math" w:cs="Cambria Math"/>
                <w:b/>
                <w:bCs/>
              </w:rPr>
              <w:t>ₚ</w:t>
            </w:r>
            <w:r w:rsidRPr="00D24FC6">
              <w:rPr>
                <w:b/>
                <w:bCs/>
              </w:rPr>
              <w:t xml:space="preserve"> (T)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274B7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H</w:t>
            </w:r>
            <w:r w:rsidRPr="00D24FC6">
              <w:rPr>
                <w:rFonts w:ascii="Cambria Math" w:hAnsi="Cambria Math" w:cs="Cambria Math"/>
                <w:b/>
                <w:bCs/>
              </w:rPr>
              <w:t>ₑ</w:t>
            </w:r>
            <w:r w:rsidRPr="00D24FC6">
              <w:rPr>
                <w:rFonts w:ascii="Aptos" w:hAnsi="Aptos" w:cs="Aptos"/>
                <w:b/>
                <w:bCs/>
              </w:rPr>
              <w:t>₂</w:t>
            </w:r>
            <w:r w:rsidRPr="00D24FC6">
              <w:rPr>
                <w:b/>
                <w:bCs/>
              </w:rPr>
              <w:t>/H</w:t>
            </w:r>
            <w:r w:rsidRPr="00D24FC6">
              <w:rPr>
                <w:rFonts w:ascii="Cambria Math" w:hAnsi="Cambria Math" w:cs="Cambria Math"/>
                <w:b/>
                <w:bCs/>
              </w:rPr>
              <w:t>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487EA" w14:textId="77777777" w:rsidR="00D24FC6" w:rsidRPr="00D24FC6" w:rsidRDefault="00D24FC6" w:rsidP="00D24FC6">
            <w:pPr>
              <w:rPr>
                <w:b/>
                <w:bCs/>
              </w:rPr>
            </w:pPr>
            <w:r w:rsidRPr="00D24FC6">
              <w:rPr>
                <w:b/>
                <w:bCs/>
              </w:rPr>
              <w:t>Parameter E</w:t>
            </w:r>
          </w:p>
        </w:tc>
      </w:tr>
      <w:tr w:rsidR="00D24FC6" w:rsidRPr="00D24FC6" w14:paraId="7A065E14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393B3E3" w14:textId="77777777" w:rsidR="00D24FC6" w:rsidRPr="00D24FC6" w:rsidRDefault="00D24FC6" w:rsidP="00D24FC6">
            <w:proofErr w:type="spellStart"/>
            <w:r w:rsidRPr="00D24FC6">
              <w:rPr>
                <w:b/>
                <w:bCs/>
              </w:rPr>
              <w:t>Zr₄Rh₂O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68D2F3" w14:textId="77777777" w:rsidR="00D24FC6" w:rsidRPr="00D24FC6" w:rsidRDefault="00D24FC6" w:rsidP="00D24FC6">
            <w:r w:rsidRPr="00D24FC6">
              <w:t>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7172B1" w14:textId="77777777" w:rsidR="00D24FC6" w:rsidRPr="00D24FC6" w:rsidRDefault="00D24FC6" w:rsidP="00D24FC6">
            <w:r w:rsidRPr="00D24FC6"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9D5E7" w14:textId="77777777" w:rsidR="00D24FC6" w:rsidRPr="00D24FC6" w:rsidRDefault="00D24FC6" w:rsidP="00D24FC6">
            <w:r w:rsidRPr="00D24FC6"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FE471" w14:textId="77777777" w:rsidR="00D24FC6" w:rsidRPr="00D24FC6" w:rsidRDefault="00D24FC6" w:rsidP="00D24FC6">
            <w:r w:rsidRPr="00D24FC6">
              <w:rPr>
                <w:b/>
                <w:bCs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BC80C" w14:textId="77777777" w:rsidR="00D24FC6" w:rsidRPr="00D24FC6" w:rsidRDefault="00D24FC6" w:rsidP="00D24FC6">
            <w:r w:rsidRPr="00D24FC6">
              <w:t>9.41</w:t>
            </w:r>
          </w:p>
        </w:tc>
      </w:tr>
      <w:tr w:rsidR="00D24FC6" w:rsidRPr="00D24FC6" w14:paraId="5376AE81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15430C8" w14:textId="77777777" w:rsidR="00D24FC6" w:rsidRPr="00D24FC6" w:rsidRDefault="00D24FC6" w:rsidP="00D24FC6">
            <w:proofErr w:type="spellStart"/>
            <w:r w:rsidRPr="00D24FC6">
              <w:rPr>
                <w:b/>
                <w:bCs/>
              </w:rPr>
              <w:t>Zr₄Pd₂O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04AE2" w14:textId="77777777" w:rsidR="00D24FC6" w:rsidRPr="00D24FC6" w:rsidRDefault="00D24FC6" w:rsidP="00D24FC6">
            <w:r w:rsidRPr="00D24FC6"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5C553" w14:textId="77777777" w:rsidR="00D24FC6" w:rsidRPr="00D24FC6" w:rsidRDefault="00D24FC6" w:rsidP="00D24FC6">
            <w:r w:rsidRPr="00D24FC6"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FD97E" w14:textId="77777777" w:rsidR="00D24FC6" w:rsidRPr="00D24FC6" w:rsidRDefault="00D24FC6" w:rsidP="00D24FC6">
            <w:r w:rsidRPr="00D24FC6"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79689" w14:textId="77777777" w:rsidR="00D24FC6" w:rsidRPr="00D24FC6" w:rsidRDefault="00D24FC6" w:rsidP="00D24FC6">
            <w:r w:rsidRPr="00D24FC6">
              <w:rPr>
                <w:b/>
                <w:bCs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76BE7D" w14:textId="77777777" w:rsidR="00D24FC6" w:rsidRPr="00D24FC6" w:rsidRDefault="00D24FC6" w:rsidP="00D24FC6">
            <w:r w:rsidRPr="00D24FC6">
              <w:t>10.2</w:t>
            </w:r>
          </w:p>
        </w:tc>
      </w:tr>
      <w:tr w:rsidR="00D24FC6" w:rsidRPr="00D24FC6" w14:paraId="075042E6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B1176B0" w14:textId="77777777" w:rsidR="00D24FC6" w:rsidRPr="00D24FC6" w:rsidRDefault="00D24FC6" w:rsidP="00D24FC6">
            <w:proofErr w:type="spellStart"/>
            <w:r w:rsidRPr="00D24FC6">
              <w:rPr>
                <w:b/>
                <w:bCs/>
              </w:rPr>
              <w:t>Ti₄Ir₂O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30006" w14:textId="77777777" w:rsidR="00D24FC6" w:rsidRPr="00D24FC6" w:rsidRDefault="00D24FC6" w:rsidP="00D24FC6">
            <w:r w:rsidRPr="00D24FC6"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24C7F6" w14:textId="77777777" w:rsidR="00D24FC6" w:rsidRPr="00D24FC6" w:rsidRDefault="00D24FC6" w:rsidP="00D24FC6">
            <w:r w:rsidRPr="00D24FC6">
              <w:rPr>
                <w:b/>
                <w:bCs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803C8" w14:textId="77777777" w:rsidR="00D24FC6" w:rsidRPr="00D24FC6" w:rsidRDefault="00D24FC6" w:rsidP="00D24FC6">
            <w:r w:rsidRPr="00D24FC6"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5DA36" w14:textId="77777777" w:rsidR="00D24FC6" w:rsidRPr="00D24FC6" w:rsidRDefault="00D24FC6" w:rsidP="00D24FC6">
            <w:r w:rsidRPr="00D24FC6">
              <w:rPr>
                <w:b/>
                <w:bCs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11930" w14:textId="77777777" w:rsidR="00D24FC6" w:rsidRPr="00D24FC6" w:rsidRDefault="00D24FC6" w:rsidP="00D24FC6">
            <w:r w:rsidRPr="00D24FC6">
              <w:t>12.5</w:t>
            </w:r>
          </w:p>
        </w:tc>
      </w:tr>
    </w:tbl>
    <w:p w14:paraId="2D2319B8" w14:textId="77777777" w:rsidR="00D24FC6" w:rsidRPr="00D24FC6" w:rsidRDefault="00D24FC6" w:rsidP="00D24FC6">
      <w:r w:rsidRPr="00D24FC6">
        <w:rPr>
          <w:b/>
          <w:bCs/>
        </w:rPr>
        <w:t>Key Observations:</w:t>
      </w:r>
    </w:p>
    <w:p w14:paraId="369E691B" w14:textId="77777777" w:rsidR="00D24FC6" w:rsidRPr="00D24FC6" w:rsidRDefault="00D24FC6" w:rsidP="00D24FC6">
      <w:pPr>
        <w:numPr>
          <w:ilvl w:val="0"/>
          <w:numId w:val="6"/>
        </w:numPr>
      </w:pPr>
      <w:r w:rsidRPr="00D24FC6">
        <w:rPr>
          <w:b/>
          <w:bCs/>
        </w:rPr>
        <w:t>Pauli Limit Adherence vs. Violation</w:t>
      </w:r>
    </w:p>
    <w:p w14:paraId="763312A9" w14:textId="77777777" w:rsidR="00D24FC6" w:rsidRPr="00D24FC6" w:rsidRDefault="00D24FC6" w:rsidP="00D24FC6">
      <w:pPr>
        <w:numPr>
          <w:ilvl w:val="1"/>
          <w:numId w:val="6"/>
        </w:numPr>
      </w:pPr>
      <w:proofErr w:type="spellStart"/>
      <w:r w:rsidRPr="00D24FC6">
        <w:rPr>
          <w:b/>
          <w:bCs/>
        </w:rPr>
        <w:t>Zr₄Rh₂O</w:t>
      </w:r>
      <w:proofErr w:type="spellEnd"/>
      <w:r w:rsidRPr="00D24FC6">
        <w:rPr>
          <w:b/>
          <w:bCs/>
        </w:rPr>
        <w:t xml:space="preserve"> (H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>/H</w:t>
      </w:r>
      <w:r w:rsidRPr="00D24FC6">
        <w:rPr>
          <w:rFonts w:ascii="Cambria Math" w:hAnsi="Cambria Math" w:cs="Cambria Math"/>
          <w:b/>
          <w:bCs/>
        </w:rPr>
        <w:t>ₚ</w:t>
      </w:r>
      <w:r w:rsidRPr="00D24FC6">
        <w:rPr>
          <w:b/>
          <w:bCs/>
        </w:rPr>
        <w:t xml:space="preserve"> = 0.81)</w:t>
      </w:r>
      <w:r w:rsidRPr="00D24FC6">
        <w:t> follows the Pauli limit, suggesting </w:t>
      </w:r>
      <w:r w:rsidRPr="00D24FC6">
        <w:rPr>
          <w:b/>
          <w:bCs/>
        </w:rPr>
        <w:t>weak SOC and conventional pairing</w:t>
      </w:r>
      <w:r w:rsidRPr="00D24FC6">
        <w:t>.</w:t>
      </w:r>
    </w:p>
    <w:p w14:paraId="205FE624" w14:textId="77777777" w:rsidR="00D24FC6" w:rsidRPr="00D24FC6" w:rsidRDefault="00D24FC6" w:rsidP="00D24FC6">
      <w:pPr>
        <w:numPr>
          <w:ilvl w:val="1"/>
          <w:numId w:val="6"/>
        </w:numPr>
      </w:pPr>
      <w:proofErr w:type="spellStart"/>
      <w:r w:rsidRPr="00D24FC6">
        <w:rPr>
          <w:b/>
          <w:bCs/>
        </w:rPr>
        <w:t>Zr₄Pd₂O</w:t>
      </w:r>
      <w:proofErr w:type="spellEnd"/>
      <w:r w:rsidRPr="00D24FC6">
        <w:rPr>
          <w:b/>
          <w:bCs/>
        </w:rPr>
        <w:t xml:space="preserve"> (H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>/H</w:t>
      </w:r>
      <w:r w:rsidRPr="00D24FC6">
        <w:rPr>
          <w:rFonts w:ascii="Cambria Math" w:hAnsi="Cambria Math" w:cs="Cambria Math"/>
          <w:b/>
          <w:bCs/>
        </w:rPr>
        <w:t>ₚ</w:t>
      </w:r>
      <w:r w:rsidRPr="00D24FC6">
        <w:rPr>
          <w:b/>
          <w:bCs/>
        </w:rPr>
        <w:t xml:space="preserve"> = 1.27)</w:t>
      </w:r>
      <w:r w:rsidRPr="00D24FC6">
        <w:t> and </w:t>
      </w:r>
      <w:proofErr w:type="spellStart"/>
      <w:r w:rsidRPr="00D24FC6">
        <w:rPr>
          <w:b/>
          <w:bCs/>
        </w:rPr>
        <w:t>Ti₄Ir₂O</w:t>
      </w:r>
      <w:proofErr w:type="spellEnd"/>
      <w:r w:rsidRPr="00D24FC6">
        <w:rPr>
          <w:b/>
          <w:bCs/>
        </w:rPr>
        <w:t xml:space="preserve"> (H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>/H</w:t>
      </w:r>
      <w:r w:rsidRPr="00D24FC6">
        <w:rPr>
          <w:rFonts w:ascii="Cambria Math" w:hAnsi="Cambria Math" w:cs="Cambria Math"/>
          <w:b/>
          <w:bCs/>
        </w:rPr>
        <w:t>ₚ</w:t>
      </w:r>
      <w:r w:rsidRPr="00D24FC6">
        <w:rPr>
          <w:b/>
          <w:bCs/>
        </w:rPr>
        <w:t xml:space="preserve"> = 1.63)</w:t>
      </w:r>
      <w:r w:rsidRPr="00D24FC6">
        <w:t> </w:t>
      </w:r>
      <w:r w:rsidRPr="00D24FC6">
        <w:rPr>
          <w:b/>
          <w:bCs/>
        </w:rPr>
        <w:t>violate the limit</w:t>
      </w:r>
      <w:r w:rsidRPr="00D24FC6">
        <w:t>, indicating </w:t>
      </w:r>
      <w:r w:rsidRPr="00D24FC6">
        <w:rPr>
          <w:b/>
          <w:bCs/>
        </w:rPr>
        <w:t>strong SOC-induced spin-triplet pairing or mixed-state superconductivity</w:t>
      </w:r>
      <w:r w:rsidRPr="00D24FC6">
        <w:t>.</w:t>
      </w:r>
    </w:p>
    <w:p w14:paraId="1A0CB997" w14:textId="77777777" w:rsidR="00D24FC6" w:rsidRPr="00D24FC6" w:rsidRDefault="00D24FC6" w:rsidP="00D24FC6">
      <w:pPr>
        <w:numPr>
          <w:ilvl w:val="0"/>
          <w:numId w:val="6"/>
        </w:numPr>
      </w:pPr>
      <w:r w:rsidRPr="00D24FC6">
        <w:rPr>
          <w:b/>
          <w:bCs/>
        </w:rPr>
        <w:lastRenderedPageBreak/>
        <w:t>Role of Spin-Orbit Coupling (SOC)</w:t>
      </w:r>
    </w:p>
    <w:p w14:paraId="75388668" w14:textId="77777777" w:rsidR="00D24FC6" w:rsidRPr="00D24FC6" w:rsidRDefault="00D24FC6" w:rsidP="00D24FC6">
      <w:pPr>
        <w:numPr>
          <w:ilvl w:val="1"/>
          <w:numId w:val="6"/>
        </w:numPr>
      </w:pPr>
      <w:r w:rsidRPr="00D24FC6">
        <w:t>The </w:t>
      </w:r>
      <w:r w:rsidRPr="00D24FC6">
        <w:rPr>
          <w:b/>
          <w:bCs/>
        </w:rPr>
        <w:t>enhanced 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 in </w:t>
      </w:r>
      <w:proofErr w:type="spellStart"/>
      <w:r w:rsidRPr="00D24FC6">
        <w:rPr>
          <w:b/>
          <w:bCs/>
        </w:rPr>
        <w:t>Ti</w:t>
      </w:r>
      <w:r w:rsidRPr="00D24FC6">
        <w:rPr>
          <w:rFonts w:ascii="Aptos" w:hAnsi="Aptos" w:cs="Aptos"/>
          <w:b/>
          <w:bCs/>
        </w:rPr>
        <w:t>₄</w:t>
      </w:r>
      <w:r w:rsidRPr="00D24FC6">
        <w:rPr>
          <w:b/>
          <w:bCs/>
        </w:rPr>
        <w:t>Ir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>O</w:t>
      </w:r>
      <w:proofErr w:type="spellEnd"/>
      <w:r w:rsidRPr="00D24FC6">
        <w:rPr>
          <w:b/>
          <w:bCs/>
        </w:rPr>
        <w:t xml:space="preserve"> (16.1 T)</w:t>
      </w:r>
      <w:r w:rsidRPr="00D24FC6">
        <w:t> is attributed to </w:t>
      </w:r>
      <w:r w:rsidRPr="00D24FC6">
        <w:rPr>
          <w:b/>
          <w:bCs/>
        </w:rPr>
        <w:t xml:space="preserve">strong SOC from </w:t>
      </w:r>
      <w:proofErr w:type="spellStart"/>
      <w:r w:rsidRPr="00D24FC6">
        <w:rPr>
          <w:b/>
          <w:bCs/>
        </w:rPr>
        <w:t>Ir</w:t>
      </w:r>
      <w:proofErr w:type="spellEnd"/>
      <w:r w:rsidRPr="00D24FC6">
        <w:t>, which:</w:t>
      </w:r>
    </w:p>
    <w:p w14:paraId="14893899" w14:textId="77777777" w:rsidR="00D24FC6" w:rsidRPr="00D24FC6" w:rsidRDefault="00D24FC6" w:rsidP="00D24FC6">
      <w:pPr>
        <w:numPr>
          <w:ilvl w:val="2"/>
          <w:numId w:val="6"/>
        </w:numPr>
      </w:pPr>
      <w:r w:rsidRPr="00D24FC6">
        <w:rPr>
          <w:b/>
          <w:bCs/>
        </w:rPr>
        <w:t>Suppresses spin-singlet pairing</w:t>
      </w:r>
    </w:p>
    <w:p w14:paraId="6F4CFFF3" w14:textId="77777777" w:rsidR="00D24FC6" w:rsidRPr="00D24FC6" w:rsidRDefault="00D24FC6" w:rsidP="00D24FC6">
      <w:pPr>
        <w:numPr>
          <w:ilvl w:val="2"/>
          <w:numId w:val="6"/>
        </w:numPr>
      </w:pPr>
      <w:r w:rsidRPr="00D24FC6">
        <w:rPr>
          <w:b/>
          <w:bCs/>
        </w:rPr>
        <w:t>Enables spin-fluctuation-mediated superconductivity</w:t>
      </w:r>
    </w:p>
    <w:p w14:paraId="7803FA38" w14:textId="77777777" w:rsidR="00D24FC6" w:rsidRPr="00D24FC6" w:rsidRDefault="00D24FC6" w:rsidP="00D24FC6">
      <w:pPr>
        <w:numPr>
          <w:ilvl w:val="1"/>
          <w:numId w:val="6"/>
        </w:numPr>
      </w:pPr>
      <w:proofErr w:type="spellStart"/>
      <w:r w:rsidRPr="00D24FC6">
        <w:rPr>
          <w:b/>
          <w:bCs/>
        </w:rPr>
        <w:t>Zr₄Pd₂O</w:t>
      </w:r>
      <w:proofErr w:type="spellEnd"/>
      <w:r w:rsidRPr="00D24FC6">
        <w:t> shows </w:t>
      </w:r>
      <w:r w:rsidRPr="00D24FC6">
        <w:rPr>
          <w:b/>
          <w:bCs/>
        </w:rPr>
        <w:t>moderate enhancement</w:t>
      </w:r>
      <w:r w:rsidRPr="00D24FC6">
        <w:t> due to </w:t>
      </w:r>
      <w:r w:rsidRPr="00D24FC6">
        <w:rPr>
          <w:b/>
          <w:bCs/>
        </w:rPr>
        <w:t>Pd’s weaker SOC compared to Ir</w:t>
      </w:r>
      <w:r w:rsidRPr="00D24FC6">
        <w:t>.</w:t>
      </w:r>
    </w:p>
    <w:p w14:paraId="4BA33ABE" w14:textId="77777777" w:rsidR="00D24FC6" w:rsidRPr="00D24FC6" w:rsidRDefault="00D24FC6" w:rsidP="00D24FC6">
      <w:pPr>
        <w:numPr>
          <w:ilvl w:val="0"/>
          <w:numId w:val="6"/>
        </w:numPr>
      </w:pPr>
      <w:r w:rsidRPr="00D24FC6">
        <w:rPr>
          <w:b/>
          <w:bCs/>
        </w:rPr>
        <w:t>Parameter E as a Performance Predictor</w:t>
      </w:r>
    </w:p>
    <w:p w14:paraId="5011635D" w14:textId="77777777" w:rsidR="00D24FC6" w:rsidRPr="00D24FC6" w:rsidRDefault="00D24FC6" w:rsidP="00D24FC6">
      <w:pPr>
        <w:numPr>
          <w:ilvl w:val="1"/>
          <w:numId w:val="6"/>
        </w:numPr>
      </w:pPr>
      <w:r w:rsidRPr="00D24FC6">
        <w:rPr>
          <w:b/>
          <w:bCs/>
        </w:rPr>
        <w:t>E correlates strongly with 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 (R</w:t>
      </w:r>
      <w:r w:rsidRPr="00D24FC6">
        <w:rPr>
          <w:rFonts w:ascii="Aptos" w:hAnsi="Aptos" w:cs="Aptos"/>
          <w:b/>
          <w:bCs/>
        </w:rPr>
        <w:t>²</w:t>
      </w:r>
      <w:r w:rsidRPr="00D24FC6">
        <w:rPr>
          <w:b/>
          <w:bCs/>
        </w:rPr>
        <w:t xml:space="preserve"> = 0.91)</w:t>
      </w:r>
      <w:r w:rsidRPr="00D24FC6">
        <w:t>, validating its predictive capability.</w:t>
      </w:r>
    </w:p>
    <w:p w14:paraId="461DC68B" w14:textId="21DAA455" w:rsidR="00D24FC6" w:rsidRPr="00D24FC6" w:rsidRDefault="00723619" w:rsidP="00D24FC6">
      <w:pPr>
        <w:numPr>
          <w:ilvl w:val="1"/>
          <w:numId w:val="6"/>
        </w:numPr>
      </w:pPr>
      <w:r>
        <w:rPr>
          <w:b/>
          <w:bCs/>
        </w:rPr>
        <w:t>2</w:t>
      </w:r>
      <w:r w:rsidR="00D24FC6" w:rsidRPr="00D24FC6">
        <w:rPr>
          <w:b/>
          <w:bCs/>
        </w:rPr>
        <w:t xml:space="preserve">Highest E (12.5) for </w:t>
      </w:r>
      <w:proofErr w:type="spellStart"/>
      <w:r w:rsidR="00D24FC6" w:rsidRPr="00D24FC6">
        <w:rPr>
          <w:b/>
          <w:bCs/>
        </w:rPr>
        <w:t>Ti₄Ir₂O</w:t>
      </w:r>
      <w:proofErr w:type="spellEnd"/>
      <w:r w:rsidR="00D24FC6" w:rsidRPr="00D24FC6">
        <w:t> aligns with its </w:t>
      </w:r>
      <w:r w:rsidR="00D24FC6" w:rsidRPr="00D24FC6">
        <w:rPr>
          <w:b/>
          <w:bCs/>
        </w:rPr>
        <w:t>record H</w:t>
      </w:r>
      <w:r w:rsidR="00D24FC6" w:rsidRPr="00D24FC6">
        <w:rPr>
          <w:rFonts w:ascii="Cambria Math" w:hAnsi="Cambria Math" w:cs="Cambria Math"/>
          <w:b/>
          <w:bCs/>
        </w:rPr>
        <w:t>ₑ</w:t>
      </w:r>
      <w:r w:rsidR="00D24FC6" w:rsidRPr="00D24FC6">
        <w:rPr>
          <w:rFonts w:ascii="Aptos" w:hAnsi="Aptos" w:cs="Aptos"/>
          <w:b/>
          <w:bCs/>
        </w:rPr>
        <w:t>₂</w:t>
      </w:r>
      <w:r w:rsidR="00D24FC6" w:rsidRPr="00D24FC6">
        <w:rPr>
          <w:b/>
          <w:bCs/>
        </w:rPr>
        <w:t xml:space="preserve"> value</w:t>
      </w:r>
      <w:r w:rsidR="00D24FC6" w:rsidRPr="00D24FC6">
        <w:t>.</w:t>
      </w:r>
    </w:p>
    <w:p w14:paraId="7F56A194" w14:textId="77777777" w:rsidR="00D24FC6" w:rsidRPr="00D24FC6" w:rsidRDefault="00D24FC6" w:rsidP="00D24FC6">
      <w:r w:rsidRPr="00D24FC6">
        <w:pict w14:anchorId="7DA52985">
          <v:rect id="_x0000_i1063" style="width:0;height:.75pt" o:hralign="center" o:hrstd="t" o:hr="t" fillcolor="#a0a0a0" stroked="f"/>
        </w:pict>
      </w:r>
    </w:p>
    <w:p w14:paraId="398197DD" w14:textId="77777777" w:rsidR="00D24FC6" w:rsidRPr="00D24FC6" w:rsidRDefault="00D24FC6" w:rsidP="00D24FC6">
      <w:r w:rsidRPr="00D24FC6">
        <w:rPr>
          <w:b/>
          <w:bCs/>
        </w:rPr>
        <w:t>4. Conclusion &amp; Implications</w:t>
      </w:r>
    </w:p>
    <w:p w14:paraId="3BABBEBF" w14:textId="77777777" w:rsidR="00D24FC6" w:rsidRPr="00D24FC6" w:rsidRDefault="00D24FC6" w:rsidP="00D24FC6">
      <w:pPr>
        <w:numPr>
          <w:ilvl w:val="0"/>
          <w:numId w:val="7"/>
        </w:numPr>
      </w:pPr>
      <w:proofErr w:type="spellStart"/>
      <w:r w:rsidRPr="00D24FC6">
        <w:rPr>
          <w:b/>
          <w:bCs/>
        </w:rPr>
        <w:t>Ti₄Ir₂O</w:t>
      </w:r>
      <w:proofErr w:type="spellEnd"/>
      <w:r w:rsidRPr="00D24FC6">
        <w:rPr>
          <w:b/>
          <w:bCs/>
        </w:rPr>
        <w:t xml:space="preserve"> is the optimal candidate</w:t>
      </w:r>
      <w:r w:rsidRPr="00D24FC6">
        <w:t> for </w:t>
      </w:r>
      <w:r w:rsidRPr="00D24FC6">
        <w:rPr>
          <w:b/>
          <w:bCs/>
        </w:rPr>
        <w:t>high-field applications</w:t>
      </w:r>
      <w:r w:rsidRPr="00D24FC6">
        <w:t> (MRI magnets, fusion reactors) due to its </w:t>
      </w:r>
      <w:r w:rsidRPr="00D24FC6">
        <w:rPr>
          <w:b/>
          <w:bCs/>
        </w:rPr>
        <w:t>strong SOC and high H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rFonts w:ascii="Aptos" w:hAnsi="Aptos" w:cs="Aptos"/>
          <w:b/>
          <w:bCs/>
        </w:rPr>
        <w:t>₂</w:t>
      </w:r>
      <w:r w:rsidRPr="00D24FC6">
        <w:rPr>
          <w:b/>
          <w:bCs/>
        </w:rPr>
        <w:t xml:space="preserve"> (16.1 T)</w:t>
      </w:r>
      <w:r w:rsidRPr="00D24FC6">
        <w:t>.</w:t>
      </w:r>
    </w:p>
    <w:p w14:paraId="46C16779" w14:textId="77777777" w:rsidR="00D24FC6" w:rsidRPr="00D24FC6" w:rsidRDefault="00D24FC6" w:rsidP="00D24FC6">
      <w:pPr>
        <w:numPr>
          <w:ilvl w:val="0"/>
          <w:numId w:val="7"/>
        </w:numPr>
      </w:pPr>
      <w:proofErr w:type="spellStart"/>
      <w:r w:rsidRPr="00D24FC6">
        <w:rPr>
          <w:b/>
          <w:bCs/>
        </w:rPr>
        <w:t>Zr₄Pd₂O</w:t>
      </w:r>
      <w:proofErr w:type="spellEnd"/>
      <w:r w:rsidRPr="00D24FC6">
        <w:rPr>
          <w:b/>
          <w:bCs/>
        </w:rPr>
        <w:t xml:space="preserve"> offers a balance</w:t>
      </w:r>
      <w:r w:rsidRPr="00D24FC6">
        <w:t> between </w:t>
      </w:r>
      <w:r w:rsidRPr="00D24FC6">
        <w:rPr>
          <w:b/>
          <w:bCs/>
        </w:rPr>
        <w:t>moderate T</w:t>
      </w:r>
      <w:r w:rsidRPr="00D24FC6">
        <w:rPr>
          <w:rFonts w:ascii="Cambria Math" w:hAnsi="Cambria Math" w:cs="Cambria Math"/>
          <w:b/>
          <w:bCs/>
        </w:rPr>
        <w:t>ₑ</w:t>
      </w:r>
      <w:r w:rsidRPr="00D24FC6">
        <w:rPr>
          <w:b/>
          <w:bCs/>
        </w:rPr>
        <w:t xml:space="preserve"> and Pauli limit violation</w:t>
      </w:r>
      <w:r w:rsidRPr="00D24FC6">
        <w:t>, suitable for </w:t>
      </w:r>
      <w:r w:rsidRPr="00D24FC6">
        <w:rPr>
          <w:b/>
          <w:bCs/>
        </w:rPr>
        <w:t>intermediate-field devices</w:t>
      </w:r>
      <w:r w:rsidRPr="00D24FC6">
        <w:t>.</w:t>
      </w:r>
    </w:p>
    <w:p w14:paraId="04AB6EBE" w14:textId="77777777" w:rsidR="00D24FC6" w:rsidRPr="00D24FC6" w:rsidRDefault="00D24FC6" w:rsidP="00D24FC6">
      <w:pPr>
        <w:numPr>
          <w:ilvl w:val="0"/>
          <w:numId w:val="7"/>
        </w:numPr>
      </w:pPr>
      <w:r w:rsidRPr="00D24FC6">
        <w:rPr>
          <w:b/>
          <w:bCs/>
        </w:rPr>
        <w:t>Parameter E serves as a reliable design tool</w:t>
      </w:r>
      <w:r w:rsidRPr="00D24FC6">
        <w:t> for discovering new η-carbide superconductors.</w:t>
      </w:r>
    </w:p>
    <w:p w14:paraId="3FC42413" w14:textId="77777777" w:rsidR="00D24FC6" w:rsidRPr="00D24FC6" w:rsidRDefault="00D24FC6" w:rsidP="00D24FC6">
      <w:r w:rsidRPr="00D24FC6">
        <w:rPr>
          <w:b/>
          <w:bCs/>
        </w:rPr>
        <w:t>Future Directions:</w:t>
      </w:r>
    </w:p>
    <w:p w14:paraId="62A8B774" w14:textId="77777777" w:rsidR="00D24FC6" w:rsidRPr="00D24FC6" w:rsidRDefault="00D24FC6" w:rsidP="00D24FC6">
      <w:pPr>
        <w:numPr>
          <w:ilvl w:val="0"/>
          <w:numId w:val="8"/>
        </w:numPr>
      </w:pPr>
      <w:r w:rsidRPr="00D24FC6">
        <w:rPr>
          <w:b/>
          <w:bCs/>
        </w:rPr>
        <w:t>Experimental synthesis under high pressure</w:t>
      </w:r>
      <w:r w:rsidRPr="00D24FC6">
        <w:t> to stabilize higher-T</w:t>
      </w:r>
      <w:r w:rsidRPr="00D24FC6">
        <w:rPr>
          <w:rFonts w:ascii="Cambria Math" w:hAnsi="Cambria Math" w:cs="Cambria Math"/>
        </w:rPr>
        <w:t>ₑ</w:t>
      </w:r>
      <w:r w:rsidRPr="00D24FC6">
        <w:t xml:space="preserve"> phases.</w:t>
      </w:r>
    </w:p>
    <w:p w14:paraId="7D92D313" w14:textId="77777777" w:rsidR="00D24FC6" w:rsidRPr="00D24FC6" w:rsidRDefault="00D24FC6" w:rsidP="00D24FC6">
      <w:pPr>
        <w:numPr>
          <w:ilvl w:val="0"/>
          <w:numId w:val="8"/>
        </w:numPr>
      </w:pPr>
      <w:r w:rsidRPr="00D24FC6">
        <w:rPr>
          <w:b/>
          <w:bCs/>
        </w:rPr>
        <w:t>Muon spin rotation (</w:t>
      </w:r>
      <w:proofErr w:type="spellStart"/>
      <w:r w:rsidRPr="00D24FC6">
        <w:rPr>
          <w:b/>
          <w:bCs/>
        </w:rPr>
        <w:t>μSR</w:t>
      </w:r>
      <w:proofErr w:type="spellEnd"/>
      <w:r w:rsidRPr="00D24FC6">
        <w:rPr>
          <w:b/>
          <w:bCs/>
        </w:rPr>
        <w:t>) studies</w:t>
      </w:r>
      <w:r w:rsidRPr="00D24FC6">
        <w:t> to probe </w:t>
      </w:r>
      <w:r w:rsidRPr="00D24FC6">
        <w:rPr>
          <w:b/>
          <w:bCs/>
        </w:rPr>
        <w:t>pairing symmetry</w:t>
      </w:r>
      <w:r w:rsidRPr="00D24FC6">
        <w:t>.</w:t>
      </w:r>
    </w:p>
    <w:p w14:paraId="04B87C5D" w14:textId="77777777" w:rsidR="00D24FC6" w:rsidRPr="00D24FC6" w:rsidRDefault="00D24FC6" w:rsidP="00D24FC6">
      <w:pPr>
        <w:numPr>
          <w:ilvl w:val="0"/>
          <w:numId w:val="8"/>
        </w:numPr>
      </w:pPr>
      <w:r w:rsidRPr="00D24FC6">
        <w:rPr>
          <w:b/>
          <w:bCs/>
        </w:rPr>
        <w:t xml:space="preserve">Extension to other η-carbides (e.g., </w:t>
      </w:r>
      <w:proofErr w:type="spellStart"/>
      <w:r w:rsidRPr="00D24FC6">
        <w:rPr>
          <w:b/>
          <w:bCs/>
        </w:rPr>
        <w:t>Hf₄Pt₂O</w:t>
      </w:r>
      <w:proofErr w:type="spellEnd"/>
      <w:r w:rsidRPr="00D24FC6">
        <w:rPr>
          <w:b/>
          <w:bCs/>
        </w:rPr>
        <w:t xml:space="preserve">, </w:t>
      </w:r>
      <w:proofErr w:type="spellStart"/>
      <w:r w:rsidRPr="00D24FC6">
        <w:rPr>
          <w:b/>
          <w:bCs/>
        </w:rPr>
        <w:t>Nb₄Os₂O</w:t>
      </w:r>
      <w:proofErr w:type="spellEnd"/>
      <w:r w:rsidRPr="00D24FC6">
        <w:rPr>
          <w:b/>
          <w:bCs/>
        </w:rPr>
        <w:t>)</w:t>
      </w:r>
      <w:r w:rsidRPr="00D24FC6">
        <w:t> for further validation.</w:t>
      </w:r>
    </w:p>
    <w:p w14:paraId="3487A406" w14:textId="77777777" w:rsidR="00D24FC6" w:rsidRPr="00D24FC6" w:rsidRDefault="00D24FC6" w:rsidP="00D24FC6">
      <w:r w:rsidRPr="00D24FC6">
        <w:rPr>
          <w:b/>
          <w:bCs/>
        </w:rPr>
        <w:t>Supplementary Materials</w:t>
      </w:r>
    </w:p>
    <w:p w14:paraId="52AC4269" w14:textId="77777777" w:rsidR="00D24FC6" w:rsidRPr="00D24FC6" w:rsidRDefault="00D24FC6" w:rsidP="00D24FC6">
      <w:pPr>
        <w:numPr>
          <w:ilvl w:val="0"/>
          <w:numId w:val="9"/>
        </w:numPr>
      </w:pPr>
      <w:r w:rsidRPr="00D24FC6">
        <w:rPr>
          <w:b/>
          <w:bCs/>
        </w:rPr>
        <w:t>DFT computational data</w:t>
      </w:r>
      <w:r w:rsidRPr="00D24FC6">
        <w:t> (band structures, phonon spectra)</w:t>
      </w:r>
    </w:p>
    <w:p w14:paraId="357C93E1" w14:textId="77777777" w:rsidR="00D24FC6" w:rsidRPr="00D24FC6" w:rsidRDefault="00D24FC6" w:rsidP="00D24FC6">
      <w:pPr>
        <w:numPr>
          <w:ilvl w:val="0"/>
          <w:numId w:val="9"/>
        </w:numPr>
      </w:pPr>
      <w:r w:rsidRPr="00D24FC6">
        <w:rPr>
          <w:b/>
          <w:bCs/>
        </w:rPr>
        <w:t>Full datasets and Python code</w:t>
      </w:r>
      <w:r w:rsidRPr="00D24FC6">
        <w:t> for parameter E calculation</w:t>
      </w:r>
    </w:p>
    <w:p w14:paraId="0742017F" w14:textId="77777777" w:rsidR="00D24FC6" w:rsidRPr="00D24FC6" w:rsidRDefault="00D24FC6" w:rsidP="00D24FC6">
      <w:pPr>
        <w:numPr>
          <w:ilvl w:val="0"/>
          <w:numId w:val="9"/>
        </w:numPr>
      </w:pPr>
      <w:r w:rsidRPr="00D24FC6">
        <w:rPr>
          <w:b/>
          <w:bCs/>
        </w:rPr>
        <w:t>Conflict of Interest:</w:t>
      </w:r>
      <w:r w:rsidRPr="00D24FC6">
        <w:t> None declared</w:t>
      </w:r>
    </w:p>
    <w:p w14:paraId="6545164C" w14:textId="1B51949F" w:rsidR="00D24FC6" w:rsidRDefault="00D24FC6" w:rsidP="00D24FC6">
      <w:r w:rsidRPr="00D24FC6">
        <w:t>This study provides a </w:t>
      </w:r>
      <w:r w:rsidRPr="00D24FC6">
        <w:rPr>
          <w:b/>
          <w:bCs/>
        </w:rPr>
        <w:t>foundational framework</w:t>
      </w:r>
      <w:r w:rsidRPr="00D24FC6">
        <w:t> for </w:t>
      </w:r>
      <w:r w:rsidRPr="00D24FC6">
        <w:rPr>
          <w:b/>
          <w:bCs/>
        </w:rPr>
        <w:t>designing next-generation high-field superconductors</w:t>
      </w:r>
      <w:r w:rsidRPr="00D24FC6">
        <w:t> through </w:t>
      </w:r>
      <w:r w:rsidRPr="00D24FC6">
        <w:rPr>
          <w:b/>
          <w:bCs/>
        </w:rPr>
        <w:t>compositional engineering and SOC optimization</w:t>
      </w:r>
    </w:p>
    <w:p w14:paraId="191DE18C" w14:textId="77777777" w:rsidR="00723619" w:rsidRDefault="00BE7A0B" w:rsidP="00D24FC6">
      <w:pPr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</w:pPr>
      <w:r w:rsidRPr="00BE7A0B">
        <w:t>10 distinct 3D visualization codes for the η-carbide superconductors analysis</w:t>
      </w:r>
      <w:r w:rsidRPr="00BE7A0B">
        <w:rPr>
          <w:rFonts w:ascii="Segoe UI" w:eastAsia="Times New Roman" w:hAnsi="Segoe UI" w:cs="Segoe UI"/>
          <w:color w:val="404040"/>
          <w:kern w:val="0"/>
          <w:sz w:val="27"/>
          <w:szCs w:val="27"/>
          <w:lang w:eastAsia="en-IN"/>
          <w14:ligatures w14:val="none"/>
        </w:rPr>
        <w:t xml:space="preserve"> </w:t>
      </w:r>
    </w:p>
    <w:p w14:paraId="78DD53F4" w14:textId="5BDF1B0E" w:rsidR="00BE7A0B" w:rsidRPr="00BE7A0B" w:rsidRDefault="00BE7A0B" w:rsidP="00D24FC6">
      <w:r w:rsidRPr="00BE7A0B">
        <w:lastRenderedPageBreak/>
        <w:t>1. </w:t>
      </w:r>
      <w:r w:rsidRPr="00BE7A0B">
        <w:rPr>
          <w:b/>
          <w:bCs/>
        </w:rPr>
        <w:t>Elemental Composition Towers</w:t>
      </w:r>
      <w:r w:rsidRPr="00BE7A0B">
        <w:t xml:space="preserve"> </w:t>
      </w:r>
      <w:r w:rsidR="00723619">
        <w:t>8</w:t>
      </w:r>
      <w:r>
        <w:rPr>
          <w:noProof/>
        </w:rPr>
        <w:drawing>
          <wp:inline distT="0" distB="0" distL="0" distR="0" wp14:anchorId="758936DF" wp14:editId="08590838">
            <wp:extent cx="4772025" cy="4610100"/>
            <wp:effectExtent l="0" t="0" r="9525" b="0"/>
            <wp:docPr id="13821805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67372" w14:textId="34359CBD" w:rsidR="00BE7A0B" w:rsidRPr="00BE7A0B" w:rsidRDefault="00BE7A0B" w:rsidP="00BE7A0B">
      <w:r w:rsidRPr="00BE7A0B">
        <w:lastRenderedPageBreak/>
        <w:t>2. </w:t>
      </w:r>
      <w:r w:rsidRPr="00BE7A0B">
        <w:rPr>
          <w:b/>
          <w:bCs/>
        </w:rPr>
        <w:t>Pauli Limit Violation Landscape</w:t>
      </w:r>
      <w:r w:rsidR="003D642B" w:rsidRPr="003D642B">
        <w:t xml:space="preserve"> </w:t>
      </w:r>
      <w:r w:rsidR="003D642B">
        <w:rPr>
          <w:noProof/>
        </w:rPr>
        <w:drawing>
          <wp:inline distT="0" distB="0" distL="0" distR="0" wp14:anchorId="754BADD2" wp14:editId="4CB76F4C">
            <wp:extent cx="5534025" cy="5429250"/>
            <wp:effectExtent l="0" t="0" r="9525" b="0"/>
            <wp:docPr id="19705704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DF7E5" w14:textId="7879894F" w:rsidR="00BE7A0B" w:rsidRPr="00BE7A0B" w:rsidRDefault="00BE7A0B" w:rsidP="00BE7A0B">
      <w:r w:rsidRPr="00BE7A0B">
        <w:lastRenderedPageBreak/>
        <w:t>3. </w:t>
      </w:r>
      <w:r w:rsidRPr="00BE7A0B">
        <w:rPr>
          <w:b/>
          <w:bCs/>
        </w:rPr>
        <w:t>SOC Strength Spheres</w:t>
      </w:r>
      <w:r w:rsidRPr="00BE7A0B">
        <w:t xml:space="preserve"> </w:t>
      </w:r>
      <w:r>
        <w:rPr>
          <w:noProof/>
        </w:rPr>
        <w:drawing>
          <wp:inline distT="0" distB="0" distL="0" distR="0" wp14:anchorId="0F87E5BB" wp14:editId="60C17384">
            <wp:extent cx="4400550" cy="4610100"/>
            <wp:effectExtent l="0" t="0" r="0" b="0"/>
            <wp:docPr id="9210345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52FA" w14:textId="3B7D8DA8" w:rsidR="00BE7A0B" w:rsidRPr="00BE7A0B" w:rsidRDefault="00BE7A0B" w:rsidP="00BE7A0B">
      <w:r w:rsidRPr="00BE7A0B">
        <w:lastRenderedPageBreak/>
        <w:t>4. </w:t>
      </w:r>
      <w:r w:rsidRPr="00BE7A0B">
        <w:rPr>
          <w:b/>
          <w:bCs/>
        </w:rPr>
        <w:t>Property Correlation Bubble Chart</w:t>
      </w:r>
      <w:r w:rsidRPr="00BE7A0B">
        <w:t xml:space="preserve"> </w:t>
      </w:r>
      <w:r>
        <w:rPr>
          <w:noProof/>
        </w:rPr>
        <w:drawing>
          <wp:inline distT="0" distB="0" distL="0" distR="0" wp14:anchorId="73E1887F" wp14:editId="5AB04710">
            <wp:extent cx="4772025" cy="4657725"/>
            <wp:effectExtent l="0" t="0" r="9525" b="9525"/>
            <wp:docPr id="1984073357" name="Picture 3" descr="A graph of a c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73357" name="Picture 3" descr="A graph of a cub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26AE" w14:textId="31632803" w:rsidR="00BE7A0B" w:rsidRPr="00BE7A0B" w:rsidRDefault="00BE7A0B" w:rsidP="00BE7A0B">
      <w:r w:rsidRPr="00BE7A0B">
        <w:lastRenderedPageBreak/>
        <w:t>5. </w:t>
      </w:r>
      <w:r w:rsidRPr="00BE7A0B">
        <w:rPr>
          <w:b/>
          <w:bCs/>
        </w:rPr>
        <w:t>Hc2/Tc Phase Diagram</w:t>
      </w:r>
      <w:r w:rsidR="007B0527" w:rsidRPr="007B0527">
        <w:t xml:space="preserve"> </w:t>
      </w:r>
      <w:r w:rsidR="007B0527">
        <w:rPr>
          <w:noProof/>
        </w:rPr>
        <w:drawing>
          <wp:inline distT="0" distB="0" distL="0" distR="0" wp14:anchorId="1FECE495" wp14:editId="4402BC47">
            <wp:extent cx="4762500" cy="4629150"/>
            <wp:effectExtent l="0" t="0" r="0" b="0"/>
            <wp:docPr id="106029718" name="Picture 4" descr="A graph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9718" name="Picture 4" descr="A graph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6FE7" w14:textId="2FFF3D0F" w:rsidR="00BE7A0B" w:rsidRPr="00BE7A0B" w:rsidRDefault="00BE7A0B" w:rsidP="00BE7A0B">
      <w:r w:rsidRPr="00BE7A0B">
        <w:lastRenderedPageBreak/>
        <w:t>6. </w:t>
      </w:r>
      <w:r w:rsidRPr="00BE7A0B">
        <w:rPr>
          <w:b/>
          <w:bCs/>
        </w:rPr>
        <w:t>Parameter E Effectiveness</w:t>
      </w:r>
      <w:r w:rsidR="007B0527" w:rsidRPr="007B0527">
        <w:t xml:space="preserve"> </w:t>
      </w:r>
      <w:r w:rsidR="007B0527">
        <w:rPr>
          <w:noProof/>
        </w:rPr>
        <w:drawing>
          <wp:inline distT="0" distB="0" distL="0" distR="0" wp14:anchorId="20D62A9F" wp14:editId="6DD637B9">
            <wp:extent cx="4762500" cy="4629150"/>
            <wp:effectExtent l="0" t="0" r="0" b="0"/>
            <wp:docPr id="701965440" name="Picture 5" descr="A graph of a graph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965440" name="Picture 5" descr="A graph of a graph with numbers and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2E844" w14:textId="1A927EC7" w:rsidR="00BE7A0B" w:rsidRPr="00BE7A0B" w:rsidRDefault="00BE7A0B" w:rsidP="00BE7A0B">
      <w:r w:rsidRPr="00BE7A0B">
        <w:lastRenderedPageBreak/>
        <w:t>7. </w:t>
      </w:r>
      <w:r w:rsidRPr="00BE7A0B">
        <w:rPr>
          <w:b/>
          <w:bCs/>
        </w:rPr>
        <w:t>Crystal Structure Units</w:t>
      </w:r>
      <w:r w:rsidR="007B0527" w:rsidRPr="007B0527">
        <w:t xml:space="preserve"> </w:t>
      </w:r>
      <w:r w:rsidR="007B0527">
        <w:rPr>
          <w:noProof/>
        </w:rPr>
        <w:drawing>
          <wp:inline distT="0" distB="0" distL="0" distR="0" wp14:anchorId="5B5D139F" wp14:editId="011666E6">
            <wp:extent cx="4400550" cy="4610100"/>
            <wp:effectExtent l="0" t="0" r="0" b="0"/>
            <wp:docPr id="1288071483" name="Picture 6" descr="A screenshot of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71483" name="Picture 6" descr="A screenshot of a cell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F8F3" w14:textId="7E5F0FB5" w:rsidR="00BE7A0B" w:rsidRPr="00BE7A0B" w:rsidRDefault="00BE7A0B" w:rsidP="00BE7A0B">
      <w:r w:rsidRPr="00BE7A0B">
        <w:lastRenderedPageBreak/>
        <w:t>8. </w:t>
      </w:r>
      <w:r w:rsidRPr="00BE7A0B">
        <w:rPr>
          <w:b/>
          <w:bCs/>
        </w:rPr>
        <w:t>Performance Radar Chart</w:t>
      </w:r>
      <w:r w:rsidR="007B0527" w:rsidRPr="007B0527">
        <w:t xml:space="preserve"> </w:t>
      </w:r>
      <w:r w:rsidR="007B0527">
        <w:rPr>
          <w:noProof/>
        </w:rPr>
        <w:drawing>
          <wp:inline distT="0" distB="0" distL="0" distR="0" wp14:anchorId="5E976A30" wp14:editId="1FEA97AE">
            <wp:extent cx="4400550" cy="4610100"/>
            <wp:effectExtent l="0" t="0" r="0" b="0"/>
            <wp:docPr id="946175891" name="Picture 7" descr="A screen 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75891" name="Picture 7" descr="A screen shot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1224C" w14:textId="32D73AC8" w:rsidR="00BE7A0B" w:rsidRPr="00BE7A0B" w:rsidRDefault="00BE7A0B" w:rsidP="00BE7A0B">
      <w:r w:rsidRPr="00BE7A0B">
        <w:lastRenderedPageBreak/>
        <w:t>9. </w:t>
      </w:r>
      <w:r w:rsidRPr="00BE7A0B">
        <w:rPr>
          <w:b/>
          <w:bCs/>
        </w:rPr>
        <w:t>Material Selection Cube</w:t>
      </w:r>
      <w:r w:rsidR="007B0527" w:rsidRPr="007B0527">
        <w:t xml:space="preserve"> </w:t>
      </w:r>
      <w:r w:rsidR="007B0527">
        <w:rPr>
          <w:noProof/>
        </w:rPr>
        <w:drawing>
          <wp:inline distT="0" distB="0" distL="0" distR="0" wp14:anchorId="62F14DDE" wp14:editId="05F6E088">
            <wp:extent cx="4772025" cy="4629150"/>
            <wp:effectExtent l="0" t="0" r="9525" b="0"/>
            <wp:docPr id="886550058" name="Picture 8" descr="A graph of a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50058" name="Picture 8" descr="A graph of a bo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1BAB" w14:textId="1226AE1C" w:rsidR="00BE7A0B" w:rsidRPr="00BE7A0B" w:rsidRDefault="00BE7A0B" w:rsidP="00BE7A0B">
      <w:r w:rsidRPr="00BE7A0B">
        <w:lastRenderedPageBreak/>
        <w:t>10. </w:t>
      </w:r>
      <w:r w:rsidRPr="00BE7A0B">
        <w:rPr>
          <w:b/>
          <w:bCs/>
        </w:rPr>
        <w:t>3D Bar Performance Summary</w:t>
      </w:r>
      <w:r w:rsidR="007B0527" w:rsidRPr="007B0527">
        <w:t xml:space="preserve"> </w:t>
      </w:r>
      <w:r w:rsidR="007B0527">
        <w:rPr>
          <w:noProof/>
        </w:rPr>
        <w:drawing>
          <wp:inline distT="0" distB="0" distL="0" distR="0" wp14:anchorId="17DA86AE" wp14:editId="70F222FD">
            <wp:extent cx="4762500" cy="4610100"/>
            <wp:effectExtent l="0" t="0" r="0" b="0"/>
            <wp:docPr id="751047342" name="Picture 9" descr="A graph of different colored cu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47342" name="Picture 9" descr="A graph of different colored cub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F1614" w14:textId="77777777" w:rsidR="007B0527" w:rsidRPr="007B0527" w:rsidRDefault="007B0527" w:rsidP="007B0527">
      <w:r w:rsidRPr="007B0527">
        <w:t>Key Features:</w:t>
      </w:r>
    </w:p>
    <w:p w14:paraId="4EBECF76" w14:textId="77777777" w:rsidR="007B0527" w:rsidRPr="007B0527" w:rsidRDefault="007B0527" w:rsidP="007B0527">
      <w:pPr>
        <w:numPr>
          <w:ilvl w:val="0"/>
          <w:numId w:val="1"/>
        </w:numPr>
      </w:pPr>
      <w:r w:rsidRPr="007B0527">
        <w:rPr>
          <w:b/>
          <w:bCs/>
        </w:rPr>
        <w:t>Interactive 3D Visualizations</w:t>
      </w:r>
      <w:r w:rsidRPr="007B0527">
        <w:t>: All plots can be rotated in Trinket</w:t>
      </w:r>
    </w:p>
    <w:p w14:paraId="0929C5AD" w14:textId="77777777" w:rsidR="007B0527" w:rsidRPr="007B0527" w:rsidRDefault="007B0527" w:rsidP="007B0527">
      <w:pPr>
        <w:numPr>
          <w:ilvl w:val="0"/>
          <w:numId w:val="1"/>
        </w:numPr>
      </w:pPr>
      <w:r w:rsidRPr="007B0527">
        <w:rPr>
          <w:b/>
          <w:bCs/>
        </w:rPr>
        <w:t>Color-Coded Compounds</w:t>
      </w:r>
      <w:r w:rsidRPr="007B0527">
        <w:t>:</w:t>
      </w:r>
    </w:p>
    <w:p w14:paraId="22912F3A" w14:textId="77777777" w:rsidR="007B0527" w:rsidRPr="007B0527" w:rsidRDefault="007B0527" w:rsidP="007B0527">
      <w:pPr>
        <w:numPr>
          <w:ilvl w:val="1"/>
          <w:numId w:val="1"/>
        </w:numPr>
      </w:pPr>
      <w:proofErr w:type="spellStart"/>
      <w:r w:rsidRPr="007B0527">
        <w:t>Zr₄Rh₂O</w:t>
      </w:r>
      <w:proofErr w:type="spellEnd"/>
      <w:r w:rsidRPr="007B0527">
        <w:t>: Red (#ff6b6b)</w:t>
      </w:r>
    </w:p>
    <w:p w14:paraId="36CD9272" w14:textId="77777777" w:rsidR="007B0527" w:rsidRPr="007B0527" w:rsidRDefault="007B0527" w:rsidP="007B0527">
      <w:pPr>
        <w:numPr>
          <w:ilvl w:val="1"/>
          <w:numId w:val="1"/>
        </w:numPr>
      </w:pPr>
      <w:proofErr w:type="spellStart"/>
      <w:r w:rsidRPr="007B0527">
        <w:t>Zr₄Pd₂O</w:t>
      </w:r>
      <w:proofErr w:type="spellEnd"/>
      <w:r w:rsidRPr="007B0527">
        <w:t xml:space="preserve">: Light </w:t>
      </w:r>
      <w:proofErr w:type="spellStart"/>
      <w:r w:rsidRPr="007B0527">
        <w:t>gray</w:t>
      </w:r>
      <w:proofErr w:type="spellEnd"/>
      <w:r w:rsidRPr="007B0527">
        <w:t xml:space="preserve"> (#d3d3d3)</w:t>
      </w:r>
    </w:p>
    <w:p w14:paraId="0777F91B" w14:textId="77777777" w:rsidR="007B0527" w:rsidRPr="007B0527" w:rsidRDefault="007B0527" w:rsidP="007B0527">
      <w:pPr>
        <w:numPr>
          <w:ilvl w:val="1"/>
          <w:numId w:val="1"/>
        </w:numPr>
      </w:pPr>
      <w:proofErr w:type="spellStart"/>
      <w:r w:rsidRPr="007B0527">
        <w:t>Ti₄Ir₂O</w:t>
      </w:r>
      <w:proofErr w:type="spellEnd"/>
      <w:r w:rsidRPr="007B0527">
        <w:t>: Gold (#ffd700)</w:t>
      </w:r>
    </w:p>
    <w:p w14:paraId="209C448C" w14:textId="77777777" w:rsidR="007B0527" w:rsidRPr="007B0527" w:rsidRDefault="007B0527" w:rsidP="007B0527">
      <w:pPr>
        <w:numPr>
          <w:ilvl w:val="0"/>
          <w:numId w:val="1"/>
        </w:numPr>
      </w:pPr>
      <w:r w:rsidRPr="007B0527">
        <w:rPr>
          <w:b/>
          <w:bCs/>
        </w:rPr>
        <w:t>Scientific Accuracy</w:t>
      </w:r>
      <w:r w:rsidRPr="007B0527">
        <w:t>: Uses real data from the research paper</w:t>
      </w:r>
    </w:p>
    <w:p w14:paraId="25FE6A21" w14:textId="2921E9BE" w:rsidR="007B0527" w:rsidRPr="007B0527" w:rsidRDefault="00723619" w:rsidP="007B0527">
      <w:pPr>
        <w:numPr>
          <w:ilvl w:val="0"/>
          <w:numId w:val="1"/>
        </w:numPr>
      </w:pPr>
      <w:r>
        <w:rPr>
          <w:b/>
          <w:bCs/>
        </w:rPr>
        <w:t>8</w:t>
      </w:r>
      <w:r w:rsidR="007B0527" w:rsidRPr="007B0527">
        <w:rPr>
          <w:b/>
          <w:bCs/>
        </w:rPr>
        <w:t>Diverse Plot Types</w:t>
      </w:r>
      <w:r w:rsidR="007B0527" w:rsidRPr="007B0527">
        <w:t>: From structural to performance metrics</w:t>
      </w:r>
    </w:p>
    <w:p w14:paraId="2C3A4177" w14:textId="77777777" w:rsidR="007B0527" w:rsidRPr="007B0527" w:rsidRDefault="007B0527" w:rsidP="007B0527">
      <w:pPr>
        <w:numPr>
          <w:ilvl w:val="0"/>
          <w:numId w:val="1"/>
        </w:numPr>
      </w:pPr>
      <w:r w:rsidRPr="007B0527">
        <w:rPr>
          <w:b/>
          <w:bCs/>
        </w:rPr>
        <w:t>Trinket-Compatible</w:t>
      </w:r>
      <w:r w:rsidRPr="007B0527">
        <w:t>: Uses only standard libraries (</w:t>
      </w:r>
      <w:proofErr w:type="spellStart"/>
      <w:r w:rsidRPr="007B0527">
        <w:t>numpy</w:t>
      </w:r>
      <w:proofErr w:type="spellEnd"/>
      <w:r w:rsidRPr="007B0527">
        <w:t>, matplotlib)</w:t>
      </w:r>
    </w:p>
    <w:p w14:paraId="6177401F" w14:textId="77777777" w:rsidR="00723619" w:rsidRDefault="00723619" w:rsidP="00723619">
      <w:r>
        <w:t>Here’s the structured breakdown for all figures, tables, and scientific implications following your requested format:</w:t>
      </w:r>
    </w:p>
    <w:p w14:paraId="36E3DA9A" w14:textId="77777777" w:rsidR="00723619" w:rsidRDefault="00723619" w:rsidP="00723619"/>
    <w:p w14:paraId="5E460AA7" w14:textId="51B2A067" w:rsidR="00723619" w:rsidRDefault="00723619" w:rsidP="00723619"/>
    <w:p w14:paraId="40139829" w14:textId="77777777" w:rsidR="00723619" w:rsidRDefault="00723619" w:rsidP="00723619"/>
    <w:p w14:paraId="4AC14186" w14:textId="5DC9FDFE" w:rsidR="00723619" w:rsidRDefault="00723619" w:rsidP="00723619">
      <w:r>
        <w:t xml:space="preserve"> </w:t>
      </w:r>
    </w:p>
    <w:p w14:paraId="27B6E15B" w14:textId="600DA73F" w:rsidR="00BE7A0B" w:rsidRDefault="00BE7A0B" w:rsidP="00723619"/>
    <w:sectPr w:rsidR="00BE7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1000D"/>
    <w:multiLevelType w:val="multilevel"/>
    <w:tmpl w:val="2EDA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23E1D"/>
    <w:multiLevelType w:val="multilevel"/>
    <w:tmpl w:val="1D1E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7C99"/>
    <w:multiLevelType w:val="multilevel"/>
    <w:tmpl w:val="A0E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C6E42"/>
    <w:multiLevelType w:val="multilevel"/>
    <w:tmpl w:val="4534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14EF4"/>
    <w:multiLevelType w:val="multilevel"/>
    <w:tmpl w:val="6786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319F2"/>
    <w:multiLevelType w:val="multilevel"/>
    <w:tmpl w:val="2C1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A350C"/>
    <w:multiLevelType w:val="multilevel"/>
    <w:tmpl w:val="95C4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E6C66"/>
    <w:multiLevelType w:val="multilevel"/>
    <w:tmpl w:val="85D2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433CE"/>
    <w:multiLevelType w:val="multilevel"/>
    <w:tmpl w:val="57AC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031378">
    <w:abstractNumId w:val="0"/>
  </w:num>
  <w:num w:numId="2" w16cid:durableId="2140612221">
    <w:abstractNumId w:val="7"/>
  </w:num>
  <w:num w:numId="3" w16cid:durableId="1565290762">
    <w:abstractNumId w:val="4"/>
  </w:num>
  <w:num w:numId="4" w16cid:durableId="1731879224">
    <w:abstractNumId w:val="6"/>
  </w:num>
  <w:num w:numId="5" w16cid:durableId="921526649">
    <w:abstractNumId w:val="5"/>
  </w:num>
  <w:num w:numId="6" w16cid:durableId="1255170006">
    <w:abstractNumId w:val="3"/>
  </w:num>
  <w:num w:numId="7" w16cid:durableId="1041250341">
    <w:abstractNumId w:val="8"/>
  </w:num>
  <w:num w:numId="8" w16cid:durableId="1310748382">
    <w:abstractNumId w:val="2"/>
  </w:num>
  <w:num w:numId="9" w16cid:durableId="136637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B"/>
    <w:rsid w:val="00282072"/>
    <w:rsid w:val="003D642B"/>
    <w:rsid w:val="00723619"/>
    <w:rsid w:val="007B0527"/>
    <w:rsid w:val="008B2B18"/>
    <w:rsid w:val="00BE7A0B"/>
    <w:rsid w:val="00D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3D40"/>
  <w15:chartTrackingRefBased/>
  <w15:docId w15:val="{27BCBBB9-DAE9-4EEB-B322-6863C2DD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4</cp:revision>
  <dcterms:created xsi:type="dcterms:W3CDTF">2025-08-15T15:14:00Z</dcterms:created>
  <dcterms:modified xsi:type="dcterms:W3CDTF">2025-08-15T16:13:00Z</dcterms:modified>
</cp:coreProperties>
</file>