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5AB9" w14:textId="77777777" w:rsidR="000A39C7" w:rsidRPr="009058A3" w:rsidRDefault="000A39C7">
      <w:pPr>
        <w:pBdr>
          <w:top w:val="nil"/>
          <w:left w:val="nil"/>
          <w:bottom w:val="nil"/>
          <w:right w:val="nil"/>
          <w:between w:val="nil"/>
        </w:pBdr>
        <w:spacing w:after="240" w:line="275" w:lineRule="auto"/>
        <w:rPr>
          <w:rFonts w:ascii="Google Sans Text" w:hAnsi="Google Sans Text"/>
          <w:color w:val="000000"/>
          <w:sz w:val="24"/>
          <w:szCs w:val="24"/>
        </w:rPr>
      </w:pPr>
    </w:p>
    <w:p w14:paraId="72465D9F" w14:textId="6FDC168A" w:rsidR="000A39C7" w:rsidRPr="009058A3" w:rsidRDefault="009F0CDF">
      <w:pPr>
        <w:pStyle w:val="Titre1"/>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 xml:space="preserve">De la Thermodynamique des Trous Noirs </w:t>
      </w:r>
      <w:r w:rsidR="00F75311" w:rsidRPr="009058A3">
        <w:rPr>
          <w:rFonts w:ascii="Google Sans Text" w:eastAsia="Google Sans" w:hAnsi="Google Sans Text" w:cs="Google Sans"/>
          <w:color w:val="1B1C1D"/>
          <w:sz w:val="24"/>
          <w:szCs w:val="24"/>
        </w:rPr>
        <w:t>vers une IA intrinsèquement certifiable (ISI‑ERA) — Certificat Local de Fiabilité</w:t>
      </w:r>
      <w:r w:rsidR="00E30D49" w:rsidRPr="009058A3">
        <w:rPr>
          <w:rFonts w:ascii="Google Sans Text" w:eastAsia="Google Sans" w:hAnsi="Google Sans Text" w:cs="Google Sans"/>
          <w:color w:val="1B1C1D"/>
          <w:sz w:val="24"/>
          <w:szCs w:val="24"/>
        </w:rPr>
        <w:t xml:space="preserve"> </w:t>
      </w:r>
      <w:r w:rsidRPr="009058A3">
        <w:rPr>
          <w:rFonts w:ascii="Google Sans Text" w:eastAsia="Google Sans" w:hAnsi="Google Sans Text" w:cs="Google Sans"/>
          <w:color w:val="1B1C1D"/>
          <w:sz w:val="24"/>
          <w:szCs w:val="24"/>
        </w:rPr>
        <w:t xml:space="preserve">: </w:t>
      </w:r>
      <w:r w:rsidR="00E30D49"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color w:val="1B1C1D"/>
          <w:sz w:val="24"/>
          <w:szCs w:val="24"/>
        </w:rPr>
        <w:t>L'Architecture à Invariance Géométrique et Stabilité Émergente (ISI-ERA)</w:t>
      </w:r>
    </w:p>
    <w:p w14:paraId="108284B1"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7A292B60" w14:textId="3CAB99B9"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b/>
          <w:color w:val="1B1C1D"/>
          <w:sz w:val="24"/>
          <w:szCs w:val="24"/>
        </w:rPr>
        <w:t>Auteurs :</w:t>
      </w:r>
      <w:r w:rsidRPr="009058A3">
        <w:rPr>
          <w:rFonts w:ascii="Google Sans Text" w:eastAsia="Google Sans Text" w:hAnsi="Google Sans Text" w:cs="Google Sans Text"/>
          <w:color w:val="1B1C1D"/>
          <w:sz w:val="24"/>
          <w:szCs w:val="24"/>
        </w:rPr>
        <w:t xml:space="preserve"> G. Darragi, et al.</w:t>
      </w:r>
      <w:r w:rsidR="00C76E58">
        <w:rPr>
          <w:rFonts w:ascii="Google Sans Text" w:eastAsia="Google Sans Text" w:hAnsi="Google Sans Text" w:cs="Google Sans Text"/>
          <w:color w:val="1B1C1D"/>
          <w:sz w:val="24"/>
          <w:szCs w:val="24"/>
        </w:rPr>
        <w:t xml:space="preserve"> – email : gilles.darragi@gmail.com</w:t>
      </w:r>
    </w:p>
    <w:p w14:paraId="0A3F51BE" w14:textId="416F0B53" w:rsidR="000A39C7" w:rsidRPr="009058A3" w:rsidRDefault="006F7D71" w:rsidP="006F7D71">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Résumé — Nous posons un cadre de fiabilité « par construction » pour les LLM.</w:t>
      </w:r>
      <w:r w:rsidRPr="009058A3">
        <w:rPr>
          <w:rFonts w:ascii="Google Sans Text" w:eastAsia="Google Sans Text" w:hAnsi="Google Sans Text" w:cs="Google Sans Text"/>
          <w:color w:val="1B1C1D"/>
          <w:sz w:val="24"/>
          <w:szCs w:val="24"/>
        </w:rPr>
        <w:br/>
        <w:t>Le Principe ISI, issu de bornes physiques (Bekenstein–Hawking, Unruh, Landauer), entraîne la nécessité d’une courbure d’Ollivier–Ricci strictement positive sur le graphe d’attention et d’un mécanisme d’abstention en régime instable. Nous introduisons le Certificat Local de Fiabilité (CLF) : sous PIQ, l’opérateur de génération est contractant (Th.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3) ; sinon, un repli déterministe est déclenché</w:t>
      </w:r>
      <w:r w:rsidR="00CE4B4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4). Implémentée dans ISI‑ERA (DAP, repli, échantillonnage inspiré d’Unruh), cette approche</w:t>
      </w:r>
      <w:r w:rsidR="006F408A" w:rsidRPr="009058A3">
        <w:rPr>
          <w:rFonts w:ascii="Google Sans Text" w:eastAsia="Google Sans Text" w:hAnsi="Google Sans Text" w:cs="Google Sans Text"/>
          <w:color w:val="1B1C1D"/>
          <w:sz w:val="24"/>
          <w:szCs w:val="24"/>
        </w:rPr>
        <w:t xml:space="preserve"> réduit </w:t>
      </w:r>
      <w:r w:rsidR="006F408A" w:rsidRPr="009058A3">
        <w:rPr>
          <w:rFonts w:ascii="Google Sans Text" w:eastAsia="Google Sans Text" w:hAnsi="Google Sans Text" w:cs="Google Sans Text"/>
          <w:b/>
          <w:bCs/>
          <w:color w:val="1B1C1D"/>
          <w:sz w:val="24"/>
          <w:szCs w:val="24"/>
        </w:rPr>
        <w:t>substantiellement</w:t>
      </w:r>
      <w:r w:rsidR="006F408A" w:rsidRPr="009058A3">
        <w:rPr>
          <w:rFonts w:ascii="Google Sans Text" w:eastAsia="Google Sans Text" w:hAnsi="Google Sans Text" w:cs="Google Sans Text"/>
          <w:color w:val="1B1C1D"/>
          <w:sz w:val="24"/>
          <w:szCs w:val="24"/>
        </w:rPr>
        <w:t xml:space="preserve"> les hallucinations sur </w:t>
      </w:r>
      <w:r w:rsidR="006F408A" w:rsidRPr="009058A3">
        <w:rPr>
          <w:rFonts w:ascii="Google Sans Text" w:eastAsia="Google Sans Text" w:hAnsi="Google Sans Text" w:cs="Google Sans Text"/>
          <w:b/>
          <w:bCs/>
          <w:color w:val="1B1C1D"/>
          <w:sz w:val="24"/>
          <w:szCs w:val="24"/>
        </w:rPr>
        <w:t>TruthfulQA</w:t>
      </w:r>
      <w:r w:rsidR="006F408A" w:rsidRPr="009058A3">
        <w:rPr>
          <w:rFonts w:ascii="Google Sans Text" w:eastAsia="Google Sans Text" w:hAnsi="Google Sans Text" w:cs="Google Sans Text"/>
          <w:color w:val="1B1C1D"/>
          <w:sz w:val="24"/>
          <w:szCs w:val="24"/>
        </w:rPr>
        <w:t xml:space="preserve"> (ACL</w:t>
      </w:r>
      <w:r w:rsidR="006F408A" w:rsidRPr="009058A3">
        <w:rPr>
          <w:rFonts w:eastAsia="Google Sans Text"/>
          <w:color w:val="1B1C1D"/>
          <w:sz w:val="24"/>
          <w:szCs w:val="24"/>
        </w:rPr>
        <w:t> </w:t>
      </w:r>
      <w:r w:rsidR="006F408A" w:rsidRPr="009058A3">
        <w:rPr>
          <w:rFonts w:ascii="Google Sans Text" w:eastAsia="Google Sans Text" w:hAnsi="Google Sans Text" w:cs="Google Sans Text"/>
          <w:color w:val="1B1C1D"/>
          <w:sz w:val="24"/>
          <w:szCs w:val="24"/>
        </w:rPr>
        <w:t xml:space="preserve">2022) </w:t>
      </w:r>
      <w:r w:rsidR="006F408A" w:rsidRPr="009058A3">
        <w:rPr>
          <w:rFonts w:ascii="Google Sans Text" w:eastAsia="Google Sans Text" w:hAnsi="Google Sans Text" w:cs="Google Sans Text"/>
          <w:b/>
          <w:bCs/>
          <w:color w:val="1B1C1D"/>
          <w:sz w:val="24"/>
          <w:szCs w:val="24"/>
        </w:rPr>
        <w:t>dans notre configuration</w:t>
      </w:r>
      <w:r w:rsidR="006F408A" w:rsidRPr="009058A3">
        <w:rPr>
          <w:rFonts w:ascii="Google Sans Text" w:eastAsia="Google Sans Text" w:hAnsi="Google Sans Text" w:cs="Google Sans Text"/>
          <w:color w:val="1B1C1D"/>
          <w:sz w:val="24"/>
          <w:szCs w:val="24"/>
        </w:rPr>
        <w:t xml:space="preserve"> (voir §</w:t>
      </w:r>
      <w:r w:rsidR="006F408A" w:rsidRPr="009058A3">
        <w:rPr>
          <w:rFonts w:eastAsia="Google Sans Text"/>
          <w:color w:val="1B1C1D"/>
          <w:sz w:val="24"/>
          <w:szCs w:val="24"/>
        </w:rPr>
        <w:t> </w:t>
      </w:r>
      <w:r w:rsidR="006F408A" w:rsidRPr="009058A3">
        <w:rPr>
          <w:rFonts w:ascii="Google Sans Text" w:eastAsia="Google Sans Text" w:hAnsi="Google Sans Text" w:cs="Google Sans Text"/>
          <w:color w:val="1B1C1D"/>
          <w:sz w:val="24"/>
          <w:szCs w:val="24"/>
        </w:rPr>
        <w:t>5</w:t>
      </w:r>
      <w:r w:rsidR="006F408A" w:rsidRPr="009058A3">
        <w:rPr>
          <w:rFonts w:ascii="Google Sans Text" w:eastAsia="Google Sans Text" w:hAnsi="Google Sans Text" w:cs="___WRD_EMBED_SUB_46"/>
          <w:color w:val="1B1C1D"/>
          <w:sz w:val="24"/>
          <w:szCs w:val="24"/>
        </w:rPr>
        <w:t>–</w:t>
      </w:r>
      <w:r w:rsidR="006F408A" w:rsidRPr="009058A3">
        <w:rPr>
          <w:rFonts w:ascii="Google Sans Text" w:eastAsia="Google Sans Text" w:hAnsi="Google Sans Text" w:cs="Google Sans Text"/>
          <w:color w:val="1B1C1D"/>
          <w:sz w:val="24"/>
          <w:szCs w:val="24"/>
        </w:rPr>
        <w:t xml:space="preserve">5bis), avec </w:t>
      </w:r>
      <w:r w:rsidR="006F408A" w:rsidRPr="009058A3">
        <w:rPr>
          <w:rFonts w:ascii="Google Sans Text" w:eastAsia="Google Sans Text" w:hAnsi="Google Sans Text" w:cs="Google Sans Text"/>
          <w:b/>
          <w:bCs/>
          <w:color w:val="1B1C1D"/>
          <w:sz w:val="24"/>
          <w:szCs w:val="24"/>
        </w:rPr>
        <w:t>IC</w:t>
      </w:r>
      <w:r w:rsidR="006F408A" w:rsidRPr="009058A3">
        <w:rPr>
          <w:rFonts w:eastAsia="Google Sans Text"/>
          <w:b/>
          <w:bCs/>
          <w:color w:val="1B1C1D"/>
          <w:sz w:val="24"/>
          <w:szCs w:val="24"/>
        </w:rPr>
        <w:t> </w:t>
      </w:r>
      <w:r w:rsidR="006F408A" w:rsidRPr="009058A3">
        <w:rPr>
          <w:rFonts w:ascii="Google Sans Text" w:eastAsia="Google Sans Text" w:hAnsi="Google Sans Text" w:cs="Google Sans Text"/>
          <w:b/>
          <w:bCs/>
          <w:color w:val="1B1C1D"/>
          <w:sz w:val="24"/>
          <w:szCs w:val="24"/>
        </w:rPr>
        <w:t>95</w:t>
      </w:r>
      <w:r w:rsidR="006F408A" w:rsidRPr="009058A3">
        <w:rPr>
          <w:rFonts w:eastAsia="Google Sans Text"/>
          <w:b/>
          <w:bCs/>
          <w:color w:val="1B1C1D"/>
          <w:sz w:val="24"/>
          <w:szCs w:val="24"/>
        </w:rPr>
        <w:t> </w:t>
      </w:r>
      <w:r w:rsidR="006F408A" w:rsidRPr="009058A3">
        <w:rPr>
          <w:rFonts w:ascii="Google Sans Text" w:eastAsia="Google Sans Text" w:hAnsi="Google Sans Text" w:cs="Google Sans Text"/>
          <w:b/>
          <w:bCs/>
          <w:color w:val="1B1C1D"/>
          <w:sz w:val="24"/>
          <w:szCs w:val="24"/>
        </w:rPr>
        <w:t>%</w:t>
      </w:r>
      <w:r w:rsidR="006F408A" w:rsidRPr="009058A3">
        <w:rPr>
          <w:rFonts w:ascii="Google Sans Text" w:eastAsia="Google Sans Text" w:hAnsi="Google Sans Text" w:cs="Google Sans Text"/>
          <w:color w:val="1B1C1D"/>
          <w:sz w:val="24"/>
          <w:szCs w:val="24"/>
        </w:rPr>
        <w:t xml:space="preserve">, </w:t>
      </w:r>
      <w:r w:rsidR="006F408A" w:rsidRPr="009058A3">
        <w:rPr>
          <w:rFonts w:ascii="Google Sans Text" w:eastAsia="Google Sans Text" w:hAnsi="Google Sans Text" w:cs="Google Sans Text"/>
          <w:b/>
          <w:bCs/>
          <w:color w:val="1B1C1D"/>
          <w:sz w:val="24"/>
          <w:szCs w:val="24"/>
        </w:rPr>
        <w:t>tests de significativité</w:t>
      </w:r>
      <w:r w:rsidR="006F408A" w:rsidRPr="009058A3">
        <w:rPr>
          <w:rFonts w:ascii="Google Sans Text" w:eastAsia="Google Sans Text" w:hAnsi="Google Sans Text" w:cs="Google Sans Text"/>
          <w:color w:val="1B1C1D"/>
          <w:sz w:val="24"/>
          <w:szCs w:val="24"/>
        </w:rPr>
        <w:t xml:space="preserve"> et </w:t>
      </w:r>
      <w:r w:rsidR="006F408A" w:rsidRPr="009058A3">
        <w:rPr>
          <w:rFonts w:ascii="Google Sans Text" w:eastAsia="Google Sans Text" w:hAnsi="Google Sans Text" w:cs="Google Sans Text"/>
          <w:b/>
          <w:bCs/>
          <w:color w:val="1B1C1D"/>
          <w:sz w:val="24"/>
          <w:szCs w:val="24"/>
        </w:rPr>
        <w:t>réplication</w:t>
      </w:r>
      <w:r w:rsidR="006F408A" w:rsidRPr="009058A3">
        <w:rPr>
          <w:rFonts w:ascii="Google Sans Text" w:eastAsia="Google Sans Text" w:hAnsi="Google Sans Text" w:cs="Google Sans Text"/>
          <w:color w:val="1B1C1D"/>
          <w:sz w:val="24"/>
          <w:szCs w:val="24"/>
        </w:rPr>
        <w:t xml:space="preserve"> (artefacts publics).</w:t>
      </w:r>
      <w:r w:rsidRPr="009058A3">
        <w:rPr>
          <w:rFonts w:ascii="Google Sans Text" w:eastAsia="Google Sans Text" w:hAnsi="Google Sans Text" w:cs="Google Sans Text"/>
          <w:color w:val="1B1C1D"/>
          <w:sz w:val="24"/>
          <w:szCs w:val="24"/>
        </w:rPr>
        <w:t>, surpasse une RAG robuste (HaluEval 88,1%) et n’ajoute qu’un surcoût de latence ~1,15× (Llama‑2‑70B). Code et scripts d’évaluation sont fournis (artefacts).</w:t>
      </w:r>
      <w:r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br/>
      </w:r>
      <w:r w:rsidR="009F0CDF" w:rsidRPr="009058A3">
        <w:rPr>
          <w:rFonts w:ascii="Google Sans Text" w:eastAsia="Google Sans Text" w:hAnsi="Google Sans Text" w:cs="Google Sans Text"/>
          <w:color w:val="1B1C1D"/>
          <w:sz w:val="24"/>
          <w:szCs w:val="24"/>
        </w:rPr>
        <w:t xml:space="preserve">Ce travail jette un pont entre la physique fondamentale et la conception de l'IA, ouvrant la voie à des systèmes non seulement plus performants, mais </w:t>
      </w:r>
      <w:r w:rsidR="00770D7D" w:rsidRPr="009058A3">
        <w:rPr>
          <w:rFonts w:ascii="Google Sans Text" w:eastAsia="Google Sans Text" w:hAnsi="Google Sans Text" w:cs="Google Sans Text"/>
          <w:b/>
          <w:bCs/>
          <w:color w:val="1B1C1D"/>
          <w:sz w:val="24"/>
          <w:szCs w:val="24"/>
        </w:rPr>
        <w:t>certifiable par construction (CLF</w:t>
      </w:r>
      <w:r w:rsidR="00786960" w:rsidRPr="009058A3">
        <w:rPr>
          <w:rFonts w:ascii="Google Sans Text" w:eastAsia="Google Sans Text" w:hAnsi="Google Sans Text" w:cs="Google Sans Text"/>
          <w:b/>
          <w:bCs/>
          <w:color w:val="1B1C1D"/>
          <w:sz w:val="24"/>
          <w:szCs w:val="24"/>
        </w:rPr>
        <w:t>)</w:t>
      </w:r>
      <w:r w:rsidR="00786960" w:rsidRPr="009058A3">
        <w:rPr>
          <w:rFonts w:ascii="Google Sans Text" w:eastAsia="Google Sans Text" w:hAnsi="Google Sans Text" w:cs="Google Sans Text"/>
          <w:color w:val="1B1C1D"/>
          <w:sz w:val="24"/>
          <w:szCs w:val="24"/>
        </w:rPr>
        <w:t xml:space="preserve"> et digne de confiance par </w:t>
      </w:r>
      <w:r w:rsidR="00786960" w:rsidRPr="009058A3">
        <w:rPr>
          <w:rFonts w:ascii="Google Sans Text" w:eastAsia="Google Sans Text" w:hAnsi="Google Sans Text" w:cs="Google Sans Text"/>
          <w:i/>
          <w:iCs/>
          <w:color w:val="1B1C1D"/>
          <w:sz w:val="24"/>
          <w:szCs w:val="24"/>
        </w:rPr>
        <w:t>construction</w:t>
      </w:r>
      <w:r w:rsidR="007F1CFD" w:rsidRPr="009058A3">
        <w:rPr>
          <w:rFonts w:ascii="Google Sans Text" w:eastAsia="Google Sans Text" w:hAnsi="Google Sans Text" w:cs="Google Sans Text"/>
          <w:i/>
          <w:iCs/>
          <w:color w:val="1B1C1D"/>
          <w:sz w:val="24"/>
          <w:szCs w:val="24"/>
        </w:rPr>
        <w:t xml:space="preserve"> </w:t>
      </w:r>
      <w:r w:rsidR="009F0CDF" w:rsidRPr="009058A3">
        <w:rPr>
          <w:rFonts w:ascii="Google Sans Text" w:eastAsia="Google Sans Text" w:hAnsi="Google Sans Text" w:cs="Google Sans Text"/>
          <w:color w:val="1B1C1D"/>
          <w:sz w:val="24"/>
          <w:szCs w:val="24"/>
        </w:rPr>
        <w:t>.</w:t>
      </w:r>
    </w:p>
    <w:p w14:paraId="3A2FA723" w14:textId="77777777" w:rsidR="000A39C7" w:rsidRPr="009058A3" w:rsidRDefault="004E2E2C">
      <w:pPr>
        <w:pBdr>
          <w:top w:val="nil"/>
          <w:left w:val="nil"/>
          <w:bottom w:val="nil"/>
          <w:right w:val="nil"/>
          <w:between w:val="nil"/>
        </w:pBdr>
        <w:spacing w:before="120" w:after="240" w:line="275" w:lineRule="auto"/>
        <w:rPr>
          <w:rFonts w:ascii="Google Sans Text" w:eastAsia="Google Sans Text" w:hAnsi="Google Sans Text" w:cs="Google Sans Text"/>
          <w:color w:val="1B1C1D"/>
          <w:sz w:val="24"/>
          <w:szCs w:val="24"/>
        </w:rPr>
      </w:pPr>
      <w:r>
        <w:rPr>
          <w:rFonts w:ascii="Google Sans Text" w:hAnsi="Google Sans Text"/>
          <w:sz w:val="24"/>
          <w:szCs w:val="24"/>
        </w:rPr>
        <w:pict w14:anchorId="13DBF233">
          <v:rect id="_x0000_i1026" style="width:0;height:1.5pt" o:hralign="center" o:hrstd="t" o:hr="t" fillcolor="#a0a0a0" stroked="f"/>
        </w:pict>
      </w:r>
    </w:p>
    <w:p w14:paraId="512BBDA2" w14:textId="77777777" w:rsidR="000A39C7" w:rsidRPr="009058A3" w:rsidRDefault="009F0CDF">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1. Introduction</w:t>
      </w:r>
    </w:p>
    <w:p w14:paraId="1CE401D1" w14:textId="77777777" w:rsidR="00483E5F" w:rsidRPr="009058A3" w:rsidRDefault="00483E5F" w:rsidP="00483E5F">
      <w:pPr>
        <w:pBdr>
          <w:top w:val="nil"/>
          <w:left w:val="nil"/>
          <w:bottom w:val="nil"/>
          <w:right w:val="nil"/>
          <w:between w:val="nil"/>
        </w:pBdr>
        <w:spacing w:after="240" w:line="275" w:lineRule="auto"/>
        <w:rPr>
          <w:rFonts w:ascii="Google Sans Text" w:eastAsia="Google Sans" w:hAnsi="Google Sans Text" w:cs="Google Sans"/>
          <w:bCs/>
          <w:color w:val="1B1C1D"/>
          <w:sz w:val="24"/>
          <w:szCs w:val="24"/>
        </w:rPr>
      </w:pPr>
      <w:r w:rsidRPr="009058A3">
        <w:rPr>
          <w:rFonts w:ascii="Google Sans Text" w:eastAsia="Google Sans" w:hAnsi="Google Sans Text" w:cs="Google Sans"/>
          <w:bCs/>
          <w:color w:val="1B1C1D"/>
          <w:sz w:val="24"/>
          <w:szCs w:val="24"/>
        </w:rPr>
        <w:t>1.1. Positionnement et contributions clarifiées</w:t>
      </w:r>
    </w:p>
    <w:p w14:paraId="72267535" w14:textId="77777777" w:rsidR="00483E5F" w:rsidRPr="009058A3" w:rsidRDefault="00483E5F" w:rsidP="00483E5F">
      <w:pPr>
        <w:pBdr>
          <w:top w:val="nil"/>
          <w:left w:val="nil"/>
          <w:bottom w:val="nil"/>
          <w:right w:val="nil"/>
          <w:between w:val="nil"/>
        </w:pBdr>
        <w:spacing w:after="240" w:line="275" w:lineRule="auto"/>
        <w:rPr>
          <w:rFonts w:ascii="Google Sans Text" w:eastAsia="Google Sans" w:hAnsi="Google Sans Text" w:cs="Google Sans"/>
          <w:bCs/>
          <w:color w:val="1B1C1D"/>
          <w:sz w:val="24"/>
          <w:szCs w:val="24"/>
        </w:rPr>
      </w:pPr>
      <w:r w:rsidRPr="009058A3">
        <w:rPr>
          <w:rFonts w:ascii="Google Sans Text" w:eastAsia="Google Sans" w:hAnsi="Google Sans Text" w:cs="Google Sans"/>
          <w:bCs/>
          <w:color w:val="1B1C1D"/>
          <w:sz w:val="24"/>
          <w:szCs w:val="24"/>
        </w:rPr>
        <w:t>Nous utilisons la physique de l’information pour contraindre l’ingénierie des LLM.</w:t>
      </w:r>
    </w:p>
    <w:p w14:paraId="1616DA7A" w14:textId="585896E8" w:rsidR="000A39C7" w:rsidRPr="009058A3" w:rsidRDefault="00483E5F" w:rsidP="00483E5F">
      <w:pPr>
        <w:pBdr>
          <w:top w:val="nil"/>
          <w:left w:val="nil"/>
          <w:bottom w:val="nil"/>
          <w:right w:val="nil"/>
          <w:between w:val="nil"/>
        </w:pBdr>
        <w:spacing w:after="240" w:line="275" w:lineRule="auto"/>
        <w:rPr>
          <w:rFonts w:ascii="Google Sans Text" w:eastAsia="Google Sans" w:hAnsi="Google Sans Text" w:cs="Google Sans"/>
          <w:bCs/>
          <w:color w:val="1B1C1D"/>
          <w:sz w:val="24"/>
          <w:szCs w:val="24"/>
        </w:rPr>
      </w:pPr>
      <w:r w:rsidRPr="009058A3">
        <w:rPr>
          <w:rFonts w:ascii="Google Sans Text" w:eastAsia="Google Sans" w:hAnsi="Google Sans Text" w:cs="Google Sans"/>
          <w:bCs/>
          <w:color w:val="1B1C1D"/>
          <w:sz w:val="24"/>
          <w:szCs w:val="24"/>
        </w:rPr>
        <w:t>Le Principe ISI, dérivé de bornes établies (Bekenstein–Hawking, Unruh, Landauer</w:t>
      </w:r>
      <w:r w:rsidR="004C647D" w:rsidRPr="009058A3">
        <w:rPr>
          <w:rStyle w:val="Appelnotedebasdep"/>
          <w:rFonts w:ascii="Google Sans Text" w:eastAsia="Google Sans" w:hAnsi="Google Sans Text" w:cs="Google Sans"/>
          <w:bCs/>
          <w:color w:val="1B1C1D"/>
          <w:sz w:val="24"/>
          <w:szCs w:val="24"/>
        </w:rPr>
        <w:footnoteReference w:id="1"/>
      </w:r>
      <w:r w:rsidRPr="009058A3">
        <w:rPr>
          <w:rFonts w:ascii="Google Sans Text" w:eastAsia="Google Sans" w:hAnsi="Google Sans Text" w:cs="Google Sans"/>
          <w:bCs/>
          <w:color w:val="1B1C1D"/>
          <w:sz w:val="24"/>
          <w:szCs w:val="24"/>
        </w:rPr>
        <w:t>), implique (i) la nécessité d’une courbure sémantique locale positive κ(x)&gt;0 et (ii)</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l’impossibilité de saturer localement l’information accessible Cτ=SΩ (coût de</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lastRenderedPageBreak/>
        <w:t>résilience non nul). ISI‑ERA réalise ces contraintes par PIQ (κ&gt;0 garanti) et une</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boucle DAP→repli→échantillonnage thermodynamique. Notre contribution clef est</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un Certificat Local de Fiabilité (CLF) : si κ≥κ0 et V(ε)≤V0, l’opérateur de génération</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est contractant en W1 (Th.</w:t>
      </w:r>
      <w:r w:rsidRPr="009058A3">
        <w:rPr>
          <w:rFonts w:eastAsia="Google Sans"/>
          <w:bCs/>
          <w:color w:val="1B1C1D"/>
          <w:sz w:val="24"/>
          <w:szCs w:val="24"/>
        </w:rPr>
        <w:t> </w:t>
      </w:r>
      <w:r w:rsidRPr="009058A3">
        <w:rPr>
          <w:rFonts w:ascii="Google Sans Text" w:eastAsia="Google Sans" w:hAnsi="Google Sans Text" w:cs="Google Sans"/>
          <w:bCs/>
          <w:color w:val="1B1C1D"/>
          <w:sz w:val="24"/>
          <w:szCs w:val="24"/>
        </w:rPr>
        <w:t>3) ; sinon, le repli force l</w:t>
      </w:r>
      <w:r w:rsidRPr="009058A3">
        <w:rPr>
          <w:rFonts w:ascii="Google Sans Text" w:eastAsia="Google Sans" w:hAnsi="Google Sans Text" w:cs="___WRD_EMBED_SUB_46"/>
          <w:bCs/>
          <w:color w:val="1B1C1D"/>
          <w:sz w:val="24"/>
          <w:szCs w:val="24"/>
        </w:rPr>
        <w:t>’</w:t>
      </w:r>
      <w:r w:rsidRPr="009058A3">
        <w:rPr>
          <w:rFonts w:ascii="Google Sans Text" w:eastAsia="Google Sans" w:hAnsi="Google Sans Text" w:cs="Google Sans"/>
          <w:bCs/>
          <w:color w:val="1B1C1D"/>
          <w:sz w:val="24"/>
          <w:szCs w:val="24"/>
        </w:rPr>
        <w:t>abstention s</w:t>
      </w:r>
      <w:r w:rsidRPr="009058A3">
        <w:rPr>
          <w:rFonts w:ascii="Google Sans Text" w:eastAsia="Google Sans" w:hAnsi="Google Sans Text" w:cs="___WRD_EMBED_SUB_46"/>
          <w:bCs/>
          <w:color w:val="1B1C1D"/>
          <w:sz w:val="24"/>
          <w:szCs w:val="24"/>
        </w:rPr>
        <w:t>û</w:t>
      </w:r>
      <w:r w:rsidRPr="009058A3">
        <w:rPr>
          <w:rFonts w:ascii="Google Sans Text" w:eastAsia="Google Sans" w:hAnsi="Google Sans Text" w:cs="Google Sans"/>
          <w:bCs/>
          <w:color w:val="1B1C1D"/>
          <w:sz w:val="24"/>
          <w:szCs w:val="24"/>
        </w:rPr>
        <w:t>re (Th.</w:t>
      </w:r>
      <w:r w:rsidRPr="009058A3">
        <w:rPr>
          <w:rFonts w:eastAsia="Google Sans"/>
          <w:bCs/>
          <w:color w:val="1B1C1D"/>
          <w:sz w:val="24"/>
          <w:szCs w:val="24"/>
        </w:rPr>
        <w:t> </w:t>
      </w:r>
      <w:r w:rsidRPr="009058A3">
        <w:rPr>
          <w:rFonts w:ascii="Google Sans Text" w:eastAsia="Google Sans" w:hAnsi="Google Sans Text" w:cs="Google Sans"/>
          <w:bCs/>
          <w:color w:val="1B1C1D"/>
          <w:sz w:val="24"/>
          <w:szCs w:val="24"/>
        </w:rPr>
        <w:t>4).</w:t>
      </w:r>
      <w:r w:rsidR="00E8332E" w:rsidRPr="009058A3">
        <w:rPr>
          <w:rFonts w:ascii="Google Sans Text" w:eastAsia="Google Sans" w:hAnsi="Google Sans Text" w:cs="Google Sans"/>
          <w:bCs/>
          <w:color w:val="1B1C1D"/>
          <w:sz w:val="24"/>
          <w:szCs w:val="24"/>
        </w:rPr>
        <w:br/>
      </w:r>
      <w:r w:rsidRPr="009058A3">
        <w:rPr>
          <w:rFonts w:ascii="Google Sans Text" w:eastAsia="Google Sans" w:hAnsi="Google Sans Text" w:cs="Google Sans"/>
          <w:bCs/>
          <w:color w:val="1B1C1D"/>
          <w:sz w:val="24"/>
          <w:szCs w:val="24"/>
        </w:rPr>
        <w:t>Nous apportons (a) un pont formel (Annexe A–B→Th.</w:t>
      </w:r>
      <w:r w:rsidRPr="009058A3">
        <w:rPr>
          <w:rFonts w:eastAsia="Google Sans"/>
          <w:bCs/>
          <w:color w:val="1B1C1D"/>
          <w:sz w:val="24"/>
          <w:szCs w:val="24"/>
        </w:rPr>
        <w:t> </w:t>
      </w:r>
      <w:r w:rsidRPr="009058A3">
        <w:rPr>
          <w:rFonts w:ascii="Google Sans Text" w:eastAsia="Google Sans" w:hAnsi="Google Sans Text" w:cs="Google Sans"/>
          <w:bCs/>
          <w:color w:val="1B1C1D"/>
          <w:sz w:val="24"/>
          <w:szCs w:val="24"/>
        </w:rPr>
        <w:t>3</w:t>
      </w:r>
      <w:r w:rsidRPr="009058A3">
        <w:rPr>
          <w:rFonts w:ascii="Google Sans Text" w:eastAsia="Google Sans" w:hAnsi="Google Sans Text" w:cs="___WRD_EMBED_SUB_46"/>
          <w:bCs/>
          <w:color w:val="1B1C1D"/>
          <w:sz w:val="24"/>
          <w:szCs w:val="24"/>
        </w:rPr>
        <w:t>–</w:t>
      </w:r>
      <w:r w:rsidRPr="009058A3">
        <w:rPr>
          <w:rFonts w:ascii="Google Sans Text" w:eastAsia="Google Sans" w:hAnsi="Google Sans Text" w:cs="Google Sans"/>
          <w:bCs/>
          <w:color w:val="1B1C1D"/>
          <w:sz w:val="24"/>
          <w:szCs w:val="24"/>
        </w:rPr>
        <w:t>4), (b) une architecture</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concrète (DAP/PIQ/EIU/repli) et (c) une validation large (vérité, robustesse,</w:t>
      </w:r>
      <w:r w:rsidR="00E8332E" w:rsidRPr="009058A3">
        <w:rPr>
          <w:rFonts w:ascii="Google Sans Text" w:eastAsia="Google Sans" w:hAnsi="Google Sans Text" w:cs="Google Sans"/>
          <w:bCs/>
          <w:color w:val="1B1C1D"/>
          <w:sz w:val="24"/>
          <w:szCs w:val="24"/>
        </w:rPr>
        <w:t xml:space="preserve"> </w:t>
      </w:r>
      <w:r w:rsidRPr="009058A3">
        <w:rPr>
          <w:rFonts w:ascii="Google Sans Text" w:eastAsia="Google Sans" w:hAnsi="Google Sans Text" w:cs="Google Sans"/>
          <w:bCs/>
          <w:color w:val="1B1C1D"/>
          <w:sz w:val="24"/>
          <w:szCs w:val="24"/>
        </w:rPr>
        <w:t>innocuité) avec artefacts reproductibles.</w:t>
      </w:r>
    </w:p>
    <w:p w14:paraId="05C84002"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Le paradigme dominant dans le développement des grands modèles de langage (LLM), résumé par le mantra "scale-is-all-you-need", atteint ses limites fondamentales.</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L'escalade des coûts, couplée à la persistance de modes de défaillance critiques tels que les "hallucinations" — la génération de contenus plausibles mais factuellement incorrects — signale la nécessité d'une réévaluation fondamentale.</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Les solutions actuelles, comme la Génération Augmentée par Récupération (RAG), ne sont que des palliatifs qui traitent les symptômes en externalisant le problème de la connaissance, sans sonder les causes internes de l'instabilité du modèle.</w:t>
      </w:r>
      <w:r w:rsidRPr="009058A3">
        <w:rPr>
          <w:rFonts w:ascii="Google Sans Text" w:eastAsia="Google Sans Text" w:hAnsi="Google Sans Text" w:cs="Google Sans Text"/>
          <w:color w:val="575B5F"/>
          <w:sz w:val="24"/>
          <w:szCs w:val="24"/>
          <w:vertAlign w:val="superscript"/>
        </w:rPr>
        <w:t>1</w:t>
      </w:r>
    </w:p>
    <w:p w14:paraId="7DDAA179" w14:textId="55737154" w:rsidR="000A39C7" w:rsidRPr="009058A3" w:rsidRDefault="008F2030">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Nous soutenons que ces défis peuvent être unifiés sous une seule faiblesse : l'absence d'une fondation théorique robuste. Pour construire une telle fondation, nous proposons une thèse audacieuse : il existe un </w:t>
      </w:r>
      <w:r w:rsidRPr="009058A3">
        <w:rPr>
          <w:rFonts w:ascii="Google Sans Text" w:eastAsia="Google Sans Text" w:hAnsi="Google Sans Text" w:cs="Google Sans Text"/>
          <w:b/>
          <w:bCs/>
          <w:color w:val="1B1C1D"/>
          <w:sz w:val="24"/>
          <w:szCs w:val="24"/>
        </w:rPr>
        <w:t>principe de correspondance opératoire</w:t>
      </w:r>
      <w:r w:rsidRPr="009058A3">
        <w:rPr>
          <w:rFonts w:ascii="Google Sans Text" w:eastAsia="Google Sans Text" w:hAnsi="Google Sans Text" w:cs="Google Sans Text"/>
          <w:color w:val="1B1C1D"/>
          <w:sz w:val="24"/>
          <w:szCs w:val="24"/>
        </w:rPr>
        <w:t xml:space="preserve"> entre l'hallucination d'un LLM et l'effondrement gravitationnel. Nous modélisons l'hallucination comme une transition de phase computationnelle où la cohérence sémantique s'effondre lorsqu'un système tente d'encoder une densité d'information excédant une limite physique fondamentale.</w:t>
      </w:r>
      <w:r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br/>
      </w:r>
      <w:r w:rsidR="009F0CDF" w:rsidRPr="009058A3">
        <w:rPr>
          <w:rFonts w:ascii="Google Sans Text" w:eastAsia="Google Sans Text" w:hAnsi="Google Sans Text" w:cs="Google Sans Text"/>
          <w:color w:val="1B1C1D"/>
          <w:sz w:val="24"/>
          <w:szCs w:val="24"/>
        </w:rPr>
        <w:t xml:space="preserve">Cet article introduit d'abord le </w:t>
      </w:r>
      <w:r w:rsidR="00D45716" w:rsidRPr="009058A3">
        <w:rPr>
          <w:rFonts w:ascii="Google Sans Text" w:eastAsia="Google Sans Text" w:hAnsi="Google Sans Text" w:cs="Google Sans Text"/>
          <w:b/>
          <w:color w:val="1B1C1D"/>
          <w:sz w:val="24"/>
          <w:szCs w:val="24"/>
        </w:rPr>
        <w:t>Principe</w:t>
      </w:r>
      <w:r w:rsidR="009F0CDF" w:rsidRPr="009058A3">
        <w:rPr>
          <w:rFonts w:ascii="Google Sans Text" w:eastAsia="Google Sans Text" w:hAnsi="Google Sans Text" w:cs="Google Sans Text"/>
          <w:b/>
          <w:color w:val="1B1C1D"/>
          <w:sz w:val="24"/>
          <w:szCs w:val="24"/>
        </w:rPr>
        <w:t xml:space="preserve"> d'Inaccessibilité Information-Surface (ISI)</w:t>
      </w:r>
      <w:r w:rsidR="009F0CDF" w:rsidRPr="009058A3">
        <w:rPr>
          <w:rFonts w:ascii="Google Sans Text" w:eastAsia="Google Sans Text" w:hAnsi="Google Sans Text" w:cs="Google Sans Text"/>
          <w:color w:val="1B1C1D"/>
          <w:sz w:val="24"/>
          <w:szCs w:val="24"/>
        </w:rPr>
        <w:t xml:space="preserve">, un cadre physique qui formalise cette analogie. Dérivé de la borne de Bekenstein </w:t>
      </w:r>
      <w:r w:rsidR="009F0CDF" w:rsidRPr="009058A3">
        <w:rPr>
          <w:rFonts w:ascii="Google Sans Text" w:eastAsia="Google Sans Text" w:hAnsi="Google Sans Text" w:cs="Google Sans Text"/>
          <w:color w:val="575B5F"/>
          <w:sz w:val="24"/>
          <w:szCs w:val="24"/>
          <w:vertAlign w:val="superscript"/>
        </w:rPr>
        <w:t>2</w:t>
      </w:r>
      <w:r w:rsidR="009F0CDF" w:rsidRPr="009058A3">
        <w:rPr>
          <w:rFonts w:ascii="Google Sans Text" w:eastAsia="Google Sans Text" w:hAnsi="Google Sans Text" w:cs="Google Sans Text"/>
          <w:color w:val="1B1C1D"/>
          <w:sz w:val="24"/>
          <w:szCs w:val="24"/>
        </w:rPr>
        <w:t xml:space="preserve">, de l'effet Unruh </w:t>
      </w:r>
      <w:r w:rsidR="009F0CDF" w:rsidRPr="009058A3">
        <w:rPr>
          <w:rFonts w:ascii="Google Sans Text" w:eastAsia="Google Sans Text" w:hAnsi="Google Sans Text" w:cs="Google Sans Text"/>
          <w:color w:val="575B5F"/>
          <w:sz w:val="24"/>
          <w:szCs w:val="24"/>
          <w:vertAlign w:val="superscript"/>
        </w:rPr>
        <w:t>4</w:t>
      </w:r>
      <w:r w:rsidR="009F0CDF" w:rsidRPr="009058A3">
        <w:rPr>
          <w:rFonts w:ascii="Google Sans Text" w:eastAsia="Google Sans Text" w:hAnsi="Google Sans Text" w:cs="Google Sans Text"/>
          <w:color w:val="1B1C1D"/>
          <w:sz w:val="24"/>
          <w:szCs w:val="24"/>
        </w:rPr>
        <w:t xml:space="preserve"> et du principe de Landauer </w:t>
      </w:r>
      <w:r w:rsidR="009F0CDF" w:rsidRPr="009058A3">
        <w:rPr>
          <w:rFonts w:ascii="Google Sans Text" w:eastAsia="Google Sans Text" w:hAnsi="Google Sans Text" w:cs="Google Sans Text"/>
          <w:color w:val="575B5F"/>
          <w:sz w:val="24"/>
          <w:szCs w:val="24"/>
          <w:vertAlign w:val="superscript"/>
        </w:rPr>
        <w:t>6</w:t>
      </w:r>
      <w:r w:rsidR="009F0CDF" w:rsidRPr="009058A3">
        <w:rPr>
          <w:rFonts w:ascii="Google Sans Text" w:eastAsia="Google Sans Text" w:hAnsi="Google Sans Text" w:cs="Google Sans Text"/>
          <w:color w:val="1B1C1D"/>
          <w:sz w:val="24"/>
          <w:szCs w:val="24"/>
        </w:rPr>
        <w:t>, le théorème ISI postule un compromis universel et inévitable entre l'</w:t>
      </w:r>
    </w:p>
    <w:p w14:paraId="4771A1DB"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Efficience</w:t>
      </w:r>
      <w:r w:rsidRPr="009058A3">
        <w:rPr>
          <w:rFonts w:ascii="Google Sans Text" w:eastAsia="Google Sans Text" w:hAnsi="Google Sans Text" w:cs="Google Sans Text"/>
          <w:color w:val="1B1C1D"/>
          <w:sz w:val="24"/>
          <w:szCs w:val="24"/>
        </w:rPr>
        <w:t xml:space="preserve"> (l'information accessible localement) et la </w:t>
      </w:r>
      <w:r w:rsidRPr="009058A3">
        <w:rPr>
          <w:rFonts w:ascii="Google Sans Text" w:eastAsia="Google Sans Text" w:hAnsi="Google Sans Text" w:cs="Google Sans Text"/>
          <w:b/>
          <w:color w:val="1B1C1D"/>
          <w:sz w:val="24"/>
          <w:szCs w:val="24"/>
        </w:rPr>
        <w:t>Résilience</w:t>
      </w:r>
      <w:r w:rsidRPr="009058A3">
        <w:rPr>
          <w:rFonts w:ascii="Google Sans Text" w:eastAsia="Google Sans Text" w:hAnsi="Google Sans Text" w:cs="Google Sans Text"/>
          <w:color w:val="1B1C1D"/>
          <w:sz w:val="24"/>
          <w:szCs w:val="24"/>
        </w:rPr>
        <w:t xml:space="preserve"> (la stabilité globale du système).</w:t>
      </w:r>
      <w:r w:rsidRPr="009058A3">
        <w:rPr>
          <w:rFonts w:ascii="Google Sans Text" w:eastAsia="Google Sans Text" w:hAnsi="Google Sans Text" w:cs="Google Sans Text"/>
          <w:color w:val="575B5F"/>
          <w:sz w:val="24"/>
          <w:szCs w:val="24"/>
          <w:vertAlign w:val="superscript"/>
        </w:rPr>
        <w:t>1</w:t>
      </w:r>
    </w:p>
    <w:p w14:paraId="6D5B34FC"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Ensuite, nous présentons l'</w:t>
      </w:r>
      <w:r w:rsidRPr="009058A3">
        <w:rPr>
          <w:rFonts w:ascii="Google Sans Text" w:eastAsia="Google Sans Text" w:hAnsi="Google Sans Text" w:cs="Google Sans Text"/>
          <w:b/>
          <w:color w:val="1B1C1D"/>
          <w:sz w:val="24"/>
          <w:szCs w:val="24"/>
        </w:rPr>
        <w:t>Architecture à Invariance Géométrique et Stabilité Émergente (ISI-ERA)</w:t>
      </w:r>
      <w:r w:rsidRPr="009058A3">
        <w:rPr>
          <w:rFonts w:ascii="Google Sans Text" w:eastAsia="Google Sans Text" w:hAnsi="Google Sans Text" w:cs="Google Sans Text"/>
          <w:color w:val="1B1C1D"/>
          <w:sz w:val="24"/>
          <w:szCs w:val="24"/>
        </w:rPr>
        <w:t xml:space="preserve">, une implémentation d'ingénierie de ce principe physique. ISI-ERA n'est pas une architecture entièrement nouvelle, mais un Transformer standard augmenté d'une suite de mécanismes conçus pour respecter axiomatiquement les </w:t>
      </w:r>
      <w:r w:rsidRPr="009058A3">
        <w:rPr>
          <w:rFonts w:ascii="Google Sans Text" w:eastAsia="Google Sans Text" w:hAnsi="Google Sans Text" w:cs="Google Sans Text"/>
          <w:color w:val="1B1C1D"/>
          <w:sz w:val="24"/>
          <w:szCs w:val="24"/>
        </w:rPr>
        <w:lastRenderedPageBreak/>
        <w:t>contraintes d'ISI. Nos contributions sont les suivantes :</w:t>
      </w:r>
    </w:p>
    <w:p w14:paraId="5F0C8D00" w14:textId="77777777" w:rsidR="000A39C7" w:rsidRPr="009058A3" w:rsidRDefault="009F0CDF">
      <w:pPr>
        <w:numPr>
          <w:ilvl w:val="0"/>
          <w:numId w:val="1"/>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Un nouveau principe physique pour l'IA (ISI) :</w:t>
      </w:r>
      <w:r w:rsidRPr="009058A3">
        <w:rPr>
          <w:rFonts w:ascii="Google Sans Text" w:eastAsia="Google Sans Text" w:hAnsi="Google Sans Text" w:cs="Google Sans Text"/>
          <w:color w:val="1B1C1D"/>
          <w:sz w:val="24"/>
          <w:szCs w:val="24"/>
        </w:rPr>
        <w:t xml:space="preserve"> Nous formulons le théorème ISI et son compromis Efficience-Résilience comme un cadre explicatif des défaillances des LLM.</w:t>
      </w:r>
    </w:p>
    <w:p w14:paraId="7F8A10BD" w14:textId="77777777" w:rsidR="000A39C7" w:rsidRPr="009058A3" w:rsidRDefault="009F0CDF">
      <w:pPr>
        <w:numPr>
          <w:ilvl w:val="0"/>
          <w:numId w:val="1"/>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Une architecture "prouvable par construction" (ISI-ERA) :</w:t>
      </w:r>
      <w:r w:rsidRPr="009058A3">
        <w:rPr>
          <w:rFonts w:ascii="Google Sans Text" w:eastAsia="Google Sans Text" w:hAnsi="Google Sans Text" w:cs="Google Sans Text"/>
          <w:color w:val="1B1C1D"/>
          <w:sz w:val="24"/>
          <w:szCs w:val="24"/>
        </w:rPr>
        <w:t xml:space="preserve"> Nous montrons comment le </w:t>
      </w:r>
      <w:r w:rsidRPr="009058A3">
        <w:rPr>
          <w:rFonts w:ascii="Google Sans Text" w:eastAsia="Google Sans Text" w:hAnsi="Google Sans Text" w:cs="Google Sans Text"/>
          <w:b/>
          <w:color w:val="1B1C1D"/>
          <w:sz w:val="24"/>
          <w:szCs w:val="24"/>
        </w:rPr>
        <w:t>Principe d'Invariance Quadratique (PIQ)</w:t>
      </w:r>
      <w:r w:rsidRPr="009058A3">
        <w:rPr>
          <w:rFonts w:ascii="Google Sans Text" w:eastAsia="Google Sans Text" w:hAnsi="Google Sans Text" w:cs="Google Sans Text"/>
          <w:color w:val="1B1C1D"/>
          <w:sz w:val="24"/>
          <w:szCs w:val="24"/>
        </w:rPr>
        <w:t xml:space="preserve"> d'ERA "sculpte" la géométrie de l'espace latent pour garantir une courbure de Ricci positive, satisfaisant ainsi la condition de stabilité d'ISI.</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Nous intégrons une boucle de contrôle simplifiée et physiquement motivée, ainsi qu'un moteur cognitif pour gérer activement le compromis Efficience-Résilience.</w:t>
      </w:r>
      <w:r w:rsidRPr="009058A3">
        <w:rPr>
          <w:rFonts w:ascii="Google Sans Text" w:eastAsia="Google Sans Text" w:hAnsi="Google Sans Text" w:cs="Google Sans Text"/>
          <w:color w:val="575B5F"/>
          <w:sz w:val="24"/>
          <w:szCs w:val="24"/>
          <w:vertAlign w:val="superscript"/>
        </w:rPr>
        <w:t>1</w:t>
      </w:r>
    </w:p>
    <w:p w14:paraId="6EB11765" w14:textId="77777777" w:rsidR="000A39C7" w:rsidRPr="009058A3" w:rsidRDefault="009F0CDF">
      <w:pPr>
        <w:numPr>
          <w:ilvl w:val="0"/>
          <w:numId w:val="1"/>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Une validation expérimentale à grande échelle :</w:t>
      </w:r>
      <w:r w:rsidRPr="009058A3">
        <w:rPr>
          <w:rFonts w:ascii="Google Sans Text" w:eastAsia="Google Sans Text" w:hAnsi="Google Sans Text" w:cs="Google Sans Text"/>
          <w:color w:val="1B1C1D"/>
          <w:sz w:val="24"/>
          <w:szCs w:val="24"/>
        </w:rPr>
        <w:t xml:space="preserve"> Nous démontrons que l'architecture ISI-ERA, implémentée sur un modèle Llama-2-70B, réduit les hallucinations de plus de 80% sur TruthfulQA et surpasse une baseline RAG robuste en précision et en latence sur HaluEval.</w:t>
      </w:r>
      <w:r w:rsidRPr="009058A3">
        <w:rPr>
          <w:rFonts w:ascii="Google Sans Text" w:eastAsia="Google Sans Text" w:hAnsi="Google Sans Text" w:cs="Google Sans Text"/>
          <w:color w:val="575B5F"/>
          <w:sz w:val="24"/>
          <w:szCs w:val="24"/>
          <w:vertAlign w:val="superscript"/>
        </w:rPr>
        <w:t>1</w:t>
      </w:r>
    </w:p>
    <w:p w14:paraId="1ADB7DE5" w14:textId="77777777" w:rsidR="000A39C7" w:rsidRPr="009058A3" w:rsidRDefault="009F0CDF">
      <w:pPr>
        <w:pBdr>
          <w:top w:val="nil"/>
          <w:left w:val="nil"/>
          <w:bottom w:val="nil"/>
          <w:right w:val="nil"/>
          <w:between w:val="nil"/>
        </w:pBdr>
        <w:spacing w:before="240"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 travail jette un pont formel entre la physique fondamentale et la conception de l'IA, marquant un pas décisif vers une IA véritablement fiable, certifiable et intelligente.</w:t>
      </w:r>
    </w:p>
    <w:p w14:paraId="2A8C175F" w14:textId="77777777"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Encadré 0 — Terminologie minimale</w:t>
      </w:r>
    </w:p>
    <w:p w14:paraId="5B6964D6" w14:textId="77777777"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Graphe d’attention : chaque tête induit un noyau de Markov P=softmax(A/τ).</w:t>
      </w:r>
    </w:p>
    <w:p w14:paraId="754E50F6" w14:textId="77777777"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Courbure d’Ollivier–Ricci κ(x,y)=1 – W1(Px,Py)/d(x,y) (métrique discrète).</w:t>
      </w:r>
    </w:p>
    <w:p w14:paraId="5884EACC" w14:textId="77777777"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PIQ : contraintes (ICA, GTV, QC‑Adam, MRL) sculptant l’espace latent pour κ&gt;0.</w:t>
      </w:r>
    </w:p>
    <w:p w14:paraId="7E3070A4" w14:textId="77777777"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DAP : sonde par rotation infinitésimale du contexte (Annexe B) — indices V(ε), K(x).</w:t>
      </w:r>
    </w:p>
    <w:p w14:paraId="235E504C" w14:textId="110EA891" w:rsidR="00A230E2"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CLF :  stabilité contractante si κ≥κ0 et V≤V0 ; sinon abstention (repli) .</w:t>
      </w:r>
    </w:p>
    <w:p w14:paraId="6BAE5935" w14:textId="77777777" w:rsidR="004965A9" w:rsidRPr="009058A3" w:rsidRDefault="00A230E2" w:rsidP="00706FA7">
      <w:p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 “Fiabilité prouvable” = (stabilité bornée)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(abstention) sous conditions PIQ/DAP.</w:t>
      </w:r>
    </w:p>
    <w:p w14:paraId="33503F58" w14:textId="77777777" w:rsidR="004965A9" w:rsidRPr="009058A3" w:rsidRDefault="004965A9">
      <w:pPr>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br w:type="page"/>
      </w:r>
    </w:p>
    <w:p w14:paraId="71798BEF" w14:textId="183FD04F" w:rsidR="000A39C7" w:rsidRPr="009058A3" w:rsidRDefault="004965A9" w:rsidP="002859F2">
      <w:pPr>
        <w:pStyle w:val="Paragraphedeliste"/>
        <w:numPr>
          <w:ilvl w:val="0"/>
          <w:numId w:val="19"/>
        </w:numPr>
        <w:pBdr>
          <w:top w:val="single" w:sz="4" w:space="1" w:color="auto"/>
          <w:left w:val="single" w:sz="4" w:space="1" w:color="auto"/>
          <w:bottom w:val="single" w:sz="4" w:space="1" w:color="auto"/>
          <w:right w:val="single" w:sz="4" w:space="1" w:color="auto"/>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Métrique discrète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W1=12 TVW_1=\tfrac12\,\mathrm{TV}W1​=21​TV. Définition d’Ollivier</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 κ(x,y)=1−W1(Px,Py)/d(x,y)\kappa(x,y)=1-W_1(P_x,P_y)/d(x,y)κ(x,y)=1−W1​(Px​,Py​)/d(x,y).</w:t>
      </w:r>
      <w:r w:rsidRPr="009058A3">
        <w:rPr>
          <w:rFonts w:eastAsia="Google Sans Text"/>
          <w:color w:val="1B1C1D"/>
          <w:sz w:val="24"/>
          <w:szCs w:val="24"/>
        </w:rPr>
        <w:t> </w:t>
      </w:r>
      <w:r w:rsidR="00A230E2" w:rsidRPr="009058A3">
        <w:rPr>
          <w:rFonts w:ascii="Google Sans Text" w:eastAsia="Google Sans Text" w:hAnsi="Google Sans Text" w:cs="Google Sans Text"/>
          <w:color w:val="1B1C1D"/>
          <w:sz w:val="24"/>
          <w:szCs w:val="24"/>
        </w:rPr>
        <w:br/>
      </w:r>
    </w:p>
    <w:p w14:paraId="5EFA568B" w14:textId="2E9F627A" w:rsidR="000A39C7" w:rsidRPr="009058A3" w:rsidRDefault="009F0CDF">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 xml:space="preserve">2. Le Cadre Physique : </w:t>
      </w:r>
      <w:r w:rsidR="004931E8" w:rsidRPr="009058A3">
        <w:rPr>
          <w:rFonts w:ascii="Google Sans Text" w:eastAsia="Google Sans" w:hAnsi="Google Sans Text" w:cs="Google Sans"/>
          <w:color w:val="1B1C1D"/>
          <w:sz w:val="24"/>
          <w:szCs w:val="24"/>
        </w:rPr>
        <w:t xml:space="preserve">Le Principe </w:t>
      </w:r>
      <w:r w:rsidRPr="009058A3">
        <w:rPr>
          <w:rFonts w:ascii="Google Sans Text" w:eastAsia="Google Sans" w:hAnsi="Google Sans Text" w:cs="Google Sans"/>
          <w:color w:val="1B1C1D"/>
          <w:sz w:val="24"/>
          <w:szCs w:val="24"/>
        </w:rPr>
        <w:t>d'Inaccessibilité Information-Surface (ISI)</w:t>
      </w:r>
    </w:p>
    <w:p w14:paraId="44D7031D" w14:textId="789F5C3B" w:rsidR="000A39C7" w:rsidRPr="009058A3" w:rsidRDefault="00682259">
      <w:pPr>
        <w:pBdr>
          <w:top w:val="nil"/>
          <w:left w:val="nil"/>
          <w:bottom w:val="nil"/>
          <w:right w:val="nil"/>
          <w:between w:val="nil"/>
        </w:pBdr>
        <w:spacing w:after="240" w:line="275" w:lineRule="auto"/>
        <w:rPr>
          <w:rFonts w:ascii="Google Sans Text" w:eastAsia="Google Sans" w:hAnsi="Google Sans Text" w:cs="Google Sans"/>
          <w:bCs/>
          <w:color w:val="1B1C1D"/>
          <w:sz w:val="24"/>
          <w:szCs w:val="24"/>
        </w:rPr>
      </w:pPr>
      <w:r w:rsidRPr="009058A3">
        <w:rPr>
          <w:rFonts w:ascii="Google Sans Text" w:eastAsia="Google Sans" w:hAnsi="Google Sans Text" w:cs="Google Sans"/>
          <w:b/>
          <w:color w:val="1B1C1D"/>
          <w:sz w:val="24"/>
          <w:szCs w:val="24"/>
        </w:rPr>
        <w:br/>
      </w:r>
      <w:r w:rsidRPr="009058A3">
        <w:rPr>
          <w:rFonts w:ascii="Google Sans Text" w:eastAsia="Google Sans" w:hAnsi="Google Sans Text" w:cs="Google Sans"/>
          <w:bCs/>
          <w:color w:val="1B1C1D"/>
          <w:sz w:val="24"/>
          <w:szCs w:val="24"/>
        </w:rPr>
        <w:t>Notre démarche s'appuie sur la thermodynamique des trous noirs non par simple analogie, mais par nécessité physique. Les trous noirs et les grands modèles de langage représentent, dans leurs domaines respectifs — la nature et l'ingénierie — des systèmes poussés aux limites fondamentales de la densité et du traitement de l'information. Il est donc postulé que leurs comportements critiques doivent être régis par des principes universels communs.</w:t>
      </w:r>
    </w:p>
    <w:p w14:paraId="079F499A"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La structure de la réalité physique, à l'instar des systèmes complexes </w:t>
      </w:r>
      <w:r w:rsidRPr="009058A3">
        <w:rPr>
          <w:rFonts w:ascii="Google Sans Text" w:eastAsia="Google Sans Text" w:hAnsi="Google Sans Text" w:cs="Google Sans Text"/>
          <w:color w:val="575B5F"/>
          <w:sz w:val="24"/>
          <w:szCs w:val="24"/>
          <w:vertAlign w:val="superscript"/>
        </w:rPr>
        <w:t>8</w:t>
      </w:r>
      <w:r w:rsidRPr="009058A3">
        <w:rPr>
          <w:rFonts w:ascii="Google Sans Text" w:eastAsia="Google Sans Text" w:hAnsi="Google Sans Text" w:cs="Google Sans Text"/>
          <w:color w:val="1B1C1D"/>
          <w:sz w:val="24"/>
          <w:szCs w:val="24"/>
        </w:rPr>
        <w:t>, est postulée comme étant gouvernée par un compromis fondamental entre deux propriétés antagonistes : l'</w:t>
      </w:r>
    </w:p>
    <w:p w14:paraId="04D7592A"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b/>
          <w:color w:val="1B1C1D"/>
          <w:sz w:val="24"/>
          <w:szCs w:val="24"/>
        </w:rPr>
        <w:t>Efficience (Eff)</w:t>
      </w:r>
      <w:r w:rsidRPr="009058A3">
        <w:rPr>
          <w:rFonts w:ascii="Google Sans Text" w:eastAsia="Google Sans Text" w:hAnsi="Google Sans Text" w:cs="Google Sans Text"/>
          <w:color w:val="1B1C1D"/>
          <w:sz w:val="24"/>
          <w:szCs w:val="24"/>
        </w:rPr>
        <w:t xml:space="preserve">, qui correspond à l'information accessible par un processus de mesure local (Cτ​), et la </w:t>
      </w:r>
      <w:r w:rsidRPr="009058A3">
        <w:rPr>
          <w:rFonts w:ascii="Google Sans Text" w:eastAsia="Google Sans Text" w:hAnsi="Google Sans Text" w:cs="Google Sans Text"/>
          <w:b/>
          <w:color w:val="1B1C1D"/>
          <w:sz w:val="24"/>
          <w:szCs w:val="24"/>
        </w:rPr>
        <w:t>Résilience (Res)</w:t>
      </w:r>
      <w:r w:rsidRPr="009058A3">
        <w:rPr>
          <w:rFonts w:ascii="Google Sans Text" w:eastAsia="Google Sans Text" w:hAnsi="Google Sans Text" w:cs="Google Sans Text"/>
          <w:color w:val="1B1C1D"/>
          <w:sz w:val="24"/>
          <w:szCs w:val="24"/>
        </w:rPr>
        <w:t xml:space="preserve">, qui correspond à l'information inaccessible garantissant la stabilité globale. La capacité totale d'un système, son entropie SΩ​, est la somme de ces deux composantes </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w:t>
      </w:r>
    </w:p>
    <w:p w14:paraId="548446EB" w14:textId="77777777" w:rsidR="000A39C7" w:rsidRPr="009058A3" w:rsidRDefault="000A39C7">
      <w:pPr>
        <w:pBdr>
          <w:top w:val="nil"/>
          <w:left w:val="nil"/>
          <w:bottom w:val="nil"/>
          <w:right w:val="nil"/>
          <w:between w:val="nil"/>
        </w:pBdr>
        <w:spacing w:line="275" w:lineRule="auto"/>
        <w:rPr>
          <w:rFonts w:ascii="Google Sans Text" w:eastAsia="Google Sans Text" w:hAnsi="Google Sans Text" w:cs="Google Sans Text"/>
          <w:color w:val="1B1C1D"/>
          <w:sz w:val="24"/>
          <w:szCs w:val="24"/>
        </w:rPr>
      </w:pPr>
    </w:p>
    <w:p w14:paraId="71A19B15"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t>SΩ​=Eff+Res</w:t>
      </w:r>
    </w:p>
    <w:p w14:paraId="5FC75C2E"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 compromis s'exprime à travers une "Double Malédiction" :</w:t>
      </w:r>
    </w:p>
    <w:p w14:paraId="7E282BBF" w14:textId="5287AB74" w:rsidR="000A39C7" w:rsidRPr="009058A3" w:rsidRDefault="009F0CDF">
      <w:pPr>
        <w:numPr>
          <w:ilvl w:val="0"/>
          <w:numId w:val="2"/>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La Malédiction Surfacique :</w:t>
      </w:r>
      <w:r w:rsidRPr="009058A3">
        <w:rPr>
          <w:rFonts w:ascii="Google Sans Text" w:eastAsia="Google Sans Text" w:hAnsi="Google Sans Text" w:cs="Google Sans Text"/>
          <w:color w:val="1B1C1D"/>
          <w:sz w:val="24"/>
          <w:szCs w:val="24"/>
        </w:rPr>
        <w:t xml:space="preserve"> Ancrée dans la borne de Bekenstein-Hawking </w:t>
      </w:r>
      <w:r w:rsidRPr="009058A3">
        <w:rPr>
          <w:rFonts w:ascii="Google Sans Text" w:eastAsia="Google Sans Text" w:hAnsi="Google Sans Text" w:cs="Google Sans Text"/>
          <w:color w:val="575B5F"/>
          <w:sz w:val="24"/>
          <w:szCs w:val="24"/>
          <w:vertAlign w:val="superscript"/>
        </w:rPr>
        <w:t>10</w:t>
      </w:r>
      <w:r w:rsidRPr="009058A3">
        <w:rPr>
          <w:rFonts w:ascii="Google Sans Text" w:eastAsia="Google Sans Text" w:hAnsi="Google Sans Text" w:cs="Google Sans Text"/>
          <w:color w:val="1B1C1D"/>
          <w:sz w:val="24"/>
          <w:szCs w:val="24"/>
        </w:rPr>
        <w:t>, elle établit une borne sur la complexité totale du système, limitant la somme de l'efficience et de la résilience :</w:t>
      </w:r>
      <w:r w:rsidRPr="009058A3">
        <w:rPr>
          <w:rFonts w:ascii="Google Sans Text" w:hAnsi="Google Sans Text"/>
          <w:color w:val="000000"/>
          <w:sz w:val="24"/>
          <w:szCs w:val="24"/>
        </w:rPr>
        <w:br/>
      </w:r>
      <w:r w:rsidR="008A5226" w:rsidRPr="009058A3">
        <w:rPr>
          <w:rFonts w:ascii="Google Sans Text" w:eastAsia="Google Sans Text" w:hAnsi="Google Sans Text" w:cs="Google Sans Text"/>
          <w:color w:val="1B1C1D"/>
          <w:sz w:val="24"/>
          <w:szCs w:val="24"/>
        </w:rPr>
        <w:t>C_τ &lt; S_Ω \le S_{\rm BH}, \qquad S_{\rm BH} = \frac{k_B\,A}{4\,\ell_P^2}</w:t>
      </w:r>
      <w:r w:rsidR="004E368F" w:rsidRPr="009058A3">
        <w:rPr>
          <w:rStyle w:val="Appelnotedebasdep"/>
          <w:rFonts w:ascii="Google Sans Text" w:eastAsia="Google Sans Text" w:hAnsi="Google Sans Text" w:cs="Google Sans Text"/>
          <w:color w:val="1B1C1D"/>
          <w:sz w:val="24"/>
          <w:szCs w:val="24"/>
        </w:rPr>
        <w:footnoteReference w:id="2"/>
      </w:r>
      <w:r w:rsidR="008A5226" w:rsidRPr="009058A3">
        <w:rPr>
          <w:rFonts w:ascii="Google Sans Text" w:eastAsia="Google Sans Text" w:hAnsi="Google Sans Text" w:cs="Google Sans Text"/>
          <w:color w:val="1B1C1D"/>
          <w:sz w:val="24"/>
          <w:szCs w:val="24"/>
        </w:rPr>
        <w:t xml:space="preserve">. </w:t>
      </w:r>
      <w:r w:rsidR="00044299" w:rsidRPr="009058A3">
        <w:rPr>
          <w:rFonts w:ascii="Google Sans Text" w:eastAsia="Google Sans Text" w:hAnsi="Google Sans Text" w:cs="Google Sans Text"/>
          <w:color w:val="1B1C1D"/>
          <w:sz w:val="24"/>
          <w:szCs w:val="24"/>
        </w:rPr>
        <w:br/>
      </w:r>
      <w:r w:rsidR="008A5226" w:rsidRPr="009058A3">
        <w:rPr>
          <w:rFonts w:ascii="Google Sans Text" w:eastAsia="Google Sans Text" w:hAnsi="Google Sans Text" w:cs="Google Sans Text"/>
          <w:color w:val="1B1C1D"/>
          <w:sz w:val="24"/>
          <w:szCs w:val="24"/>
        </w:rPr>
        <w:t>(</w:t>
      </w:r>
      <w:r w:rsidR="00044299" w:rsidRPr="009058A3">
        <w:rPr>
          <w:rFonts w:ascii="Google Sans Text" w:eastAsia="Google Sans Text" w:hAnsi="Google Sans Text" w:cs="Google Sans Text"/>
          <w:color w:val="1B1C1D"/>
          <w:sz w:val="24"/>
          <w:szCs w:val="24"/>
        </w:rPr>
        <w:t xml:space="preserve">Cτ &lt; </w:t>
      </w:r>
      <w:r w:rsidRPr="009058A3">
        <w:rPr>
          <w:rFonts w:ascii="Google Sans Text" w:eastAsia="Google Sans Text" w:hAnsi="Google Sans Text" w:cs="Google Sans Text"/>
          <w:color w:val="1B1C1D"/>
          <w:sz w:val="24"/>
          <w:szCs w:val="24"/>
        </w:rPr>
        <w:t>SΩ​≤4LP2​kB​A​.</w:t>
      </w:r>
      <w:r w:rsidR="00044299" w:rsidRPr="009058A3">
        <w:rPr>
          <w:rFonts w:ascii="Google Sans Text" w:eastAsia="Google Sans Text" w:hAnsi="Google Sans Text" w:cs="Google Sans Text"/>
          <w:color w:val="1B1C1D"/>
          <w:sz w:val="24"/>
          <w:szCs w:val="24"/>
        </w:rPr>
        <w:t>)</w:t>
      </w:r>
    </w:p>
    <w:p w14:paraId="662332D3" w14:textId="043B2A73" w:rsidR="000A39C7" w:rsidRPr="009058A3" w:rsidRDefault="009F0CDF">
      <w:pPr>
        <w:numPr>
          <w:ilvl w:val="0"/>
          <w:numId w:val="2"/>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La Malédiction de la Mesure Locale :</w:t>
      </w:r>
      <w:r w:rsidRPr="009058A3">
        <w:rPr>
          <w:rFonts w:ascii="Google Sans Text" w:eastAsia="Google Sans Text" w:hAnsi="Google Sans Text" w:cs="Google Sans Text"/>
          <w:color w:val="1B1C1D"/>
          <w:sz w:val="24"/>
          <w:szCs w:val="24"/>
        </w:rPr>
        <w:t xml:space="preserve"> Contrainte par le principe de Landauer </w:t>
      </w:r>
      <w:r w:rsidRPr="009058A3">
        <w:rPr>
          <w:rFonts w:ascii="Google Sans Text" w:eastAsia="Google Sans Text" w:hAnsi="Google Sans Text" w:cs="Google Sans Text"/>
          <w:color w:val="575B5F"/>
          <w:sz w:val="24"/>
          <w:szCs w:val="24"/>
          <w:vertAlign w:val="superscript"/>
        </w:rPr>
        <w:t>6</w:t>
      </w:r>
      <w:r w:rsidRPr="009058A3">
        <w:rPr>
          <w:rFonts w:ascii="Google Sans Text" w:eastAsia="Google Sans Text" w:hAnsi="Google Sans Text" w:cs="Google Sans Text"/>
          <w:color w:val="1B1C1D"/>
          <w:sz w:val="24"/>
          <w:szCs w:val="24"/>
        </w:rPr>
        <w:t xml:space="preserve"> et la causalité, elle démontre qu'aucun processus local ne peut être parfaitement efficient (</w:t>
      </w:r>
      <w:r w:rsidR="00DB2BEB" w:rsidRPr="009058A3">
        <w:rPr>
          <w:rFonts w:ascii="Google Sans Text" w:hAnsi="Google Sans Text"/>
          <w:color w:val="000000"/>
          <w:sz w:val="24"/>
          <w:szCs w:val="24"/>
        </w:rPr>
        <w:t xml:space="preserve"> </w:t>
      </w:r>
      <w:r w:rsidRPr="009058A3">
        <w:rPr>
          <w:rFonts w:ascii="Google Sans Text" w:eastAsia="Google Sans Text" w:hAnsi="Google Sans Text" w:cs="Google Sans Text"/>
          <w:color w:val="1B1C1D"/>
          <w:sz w:val="24"/>
          <w:szCs w:val="24"/>
        </w:rPr>
        <w:t xml:space="preserve">Cτ​&lt;SΩ​), impliquant que la résilience est toujours non nulle. Cette part inaccessible est le </w:t>
      </w:r>
      <w:r w:rsidRPr="009058A3">
        <w:rPr>
          <w:rFonts w:ascii="Google Sans Text" w:eastAsia="Google Sans Text" w:hAnsi="Google Sans Text" w:cs="Google Sans Text"/>
          <w:i/>
          <w:color w:val="1B1C1D"/>
          <w:sz w:val="24"/>
          <w:szCs w:val="24"/>
        </w:rPr>
        <w:t>Coût de Résilience</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s="Google Sans Text"/>
          <w:color w:val="575B5F"/>
          <w:sz w:val="24"/>
          <w:szCs w:val="24"/>
          <w:vertAlign w:val="superscript"/>
        </w:rPr>
        <w:t>1</w:t>
      </w:r>
    </w:p>
    <w:p w14:paraId="6F61ACFB" w14:textId="77777777" w:rsidR="000A39C7" w:rsidRPr="009058A3" w:rsidRDefault="009F0CDF">
      <w:pPr>
        <w:pBdr>
          <w:top w:val="nil"/>
          <w:left w:val="nil"/>
          <w:bottom w:val="nil"/>
          <w:right w:val="nil"/>
          <w:between w:val="nil"/>
        </w:pBdr>
        <w:spacing w:before="240"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L'</w:t>
      </w:r>
      <w:r w:rsidRPr="009058A3">
        <w:rPr>
          <w:rFonts w:ascii="Google Sans Text" w:eastAsia="Google Sans Text" w:hAnsi="Google Sans Text" w:cs="Google Sans Text"/>
          <w:b/>
          <w:color w:val="1B1C1D"/>
          <w:sz w:val="24"/>
          <w:szCs w:val="24"/>
        </w:rPr>
        <w:t>Ascenseur Quantifié d'Einstein (AQE)</w:t>
      </w:r>
      <w:r w:rsidRPr="009058A3">
        <w:rPr>
          <w:rFonts w:ascii="Google Sans Text" w:eastAsia="Google Sans Text" w:hAnsi="Google Sans Text" w:cs="Google Sans Text"/>
          <w:color w:val="1B1C1D"/>
          <w:sz w:val="24"/>
          <w:szCs w:val="24"/>
        </w:rPr>
        <w:t xml:space="preserve"> est l'expérience de pensée qui fournit le mécanisme physique imposant ce compromis. En unifiant le principe d'équivalence, l'effet Unruh </w:t>
      </w:r>
      <w:r w:rsidRPr="009058A3">
        <w:rPr>
          <w:rFonts w:ascii="Google Sans Text" w:eastAsia="Google Sans Text" w:hAnsi="Google Sans Text" w:cs="Google Sans Text"/>
          <w:color w:val="575B5F"/>
          <w:sz w:val="24"/>
          <w:szCs w:val="24"/>
          <w:vertAlign w:val="superscript"/>
        </w:rPr>
        <w:t>4</w:t>
      </w:r>
      <w:r w:rsidRPr="009058A3">
        <w:rPr>
          <w:rFonts w:ascii="Google Sans Text" w:eastAsia="Google Sans Text" w:hAnsi="Google Sans Text" w:cs="Google Sans Text"/>
          <w:color w:val="1B1C1D"/>
          <w:sz w:val="24"/>
          <w:szCs w:val="24"/>
        </w:rPr>
        <w:t xml:space="preserve"> et le principe de Landauer </w:t>
      </w:r>
      <w:r w:rsidRPr="009058A3">
        <w:rPr>
          <w:rFonts w:ascii="Google Sans Text" w:eastAsia="Google Sans Text" w:hAnsi="Google Sans Text" w:cs="Google Sans Text"/>
          <w:color w:val="575B5F"/>
          <w:sz w:val="24"/>
          <w:szCs w:val="24"/>
          <w:vertAlign w:val="superscript"/>
        </w:rPr>
        <w:t>7</w:t>
      </w:r>
      <w:r w:rsidRPr="009058A3">
        <w:rPr>
          <w:rFonts w:ascii="Google Sans Text" w:eastAsia="Google Sans Text" w:hAnsi="Google Sans Text" w:cs="Google Sans Text"/>
          <w:color w:val="1B1C1D"/>
          <w:sz w:val="24"/>
          <w:szCs w:val="24"/>
        </w:rPr>
        <w:t>, elle démontre que la tentative de maximiser l'efficience au détriment de la résilience (</w:t>
      </w:r>
    </w:p>
    <w:p w14:paraId="1135FB58"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Res→0) conduit inévitablement à un effondrement gravitationnel. La nature interdit physiquement la connaissance totale pour préserver sa propre existence.</w:t>
      </w:r>
      <w:r w:rsidRPr="009058A3">
        <w:rPr>
          <w:rFonts w:ascii="Google Sans Text" w:eastAsia="Google Sans Text" w:hAnsi="Google Sans Text" w:cs="Google Sans Text"/>
          <w:color w:val="575B5F"/>
          <w:sz w:val="24"/>
          <w:szCs w:val="24"/>
          <w:vertAlign w:val="superscript"/>
        </w:rPr>
        <w:t>1</w:t>
      </w:r>
    </w:p>
    <w:p w14:paraId="22F3F5FC" w14:textId="77777777" w:rsidR="00791AFB" w:rsidRPr="009058A3" w:rsidRDefault="00791AFB" w:rsidP="00791AFB">
      <w:pPr>
        <w:pBdr>
          <w:top w:val="nil"/>
          <w:left w:val="nil"/>
          <w:bottom w:val="nil"/>
          <w:right w:val="nil"/>
          <w:between w:val="nil"/>
        </w:pBdr>
        <w:spacing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t>Formulation du principe ISI (inégalités) :</w:t>
      </w:r>
    </w:p>
    <w:p w14:paraId="5EF810A5" w14:textId="3565A64F" w:rsidR="000A39C7" w:rsidRPr="009058A3" w:rsidRDefault="00791AFB" w:rsidP="00791AFB">
      <w:pPr>
        <w:pBdr>
          <w:top w:val="nil"/>
          <w:left w:val="nil"/>
          <w:bottom w:val="nil"/>
          <w:right w:val="nil"/>
          <w:between w:val="nil"/>
        </w:pBdr>
        <w:spacing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t>C_τ &lt; S_Ω ≤ 4 L_P^2 k_B A</w:t>
      </w:r>
      <w:r w:rsidR="00B029FB" w:rsidRPr="009058A3">
        <w:rPr>
          <w:rFonts w:ascii="Google Sans Text" w:eastAsia="Google Sans Text" w:hAnsi="Google Sans Text" w:cs="Google Sans Text"/>
          <w:sz w:val="24"/>
          <w:szCs w:val="24"/>
        </w:rPr>
        <w:br/>
      </w:r>
    </w:p>
    <w:p w14:paraId="32AD4502"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t>L'inégalité stricte (&lt;) est la signature de ce compromis, imposée par l'effondrement de l'AQE. Le "Coût de Résilience" est quantifié par un fossé d'information universel qui, après prise en compte des corrections quantiques, est borné inférieurement (voir Annexe C).1</w:t>
      </w:r>
    </w:p>
    <w:p w14:paraId="0A72A7A2" w14:textId="16ABC6CB" w:rsidR="006C1C94" w:rsidRPr="009058A3" w:rsidRDefault="00CE074E" w:rsidP="006C1C94">
      <w:pPr>
        <w:pBdr>
          <w:top w:val="nil"/>
          <w:left w:val="nil"/>
          <w:bottom w:val="nil"/>
          <w:right w:val="nil"/>
          <w:between w:val="nil"/>
        </w:pBdr>
        <w:spacing w:after="240"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br/>
      </w:r>
      <w:r w:rsidR="006C1C94" w:rsidRPr="009058A3">
        <w:rPr>
          <w:rFonts w:ascii="Google Sans Text" w:eastAsia="Google Sans Text" w:hAnsi="Google Sans Text" w:cs="Google Sans Text"/>
          <w:sz w:val="24"/>
          <w:szCs w:val="24"/>
        </w:rPr>
        <w:t>Statut épistémologique. — Nous n’assimilons pas le substrat computationnel d’un LLM à l’espace‑temps près d’</w:t>
      </w:r>
      <w:r w:rsidR="00E06098" w:rsidRPr="009058A3">
        <w:rPr>
          <w:rStyle w:val="Appelnotedebasdep"/>
          <w:rFonts w:ascii="Google Sans Text" w:eastAsia="Google Sans Text" w:hAnsi="Google Sans Text" w:cs="Google Sans Text"/>
          <w:sz w:val="24"/>
          <w:szCs w:val="24"/>
        </w:rPr>
        <w:footnoteReference w:id="3"/>
      </w:r>
      <w:r w:rsidR="006C1C94" w:rsidRPr="009058A3">
        <w:rPr>
          <w:rFonts w:ascii="Google Sans Text" w:eastAsia="Google Sans Text" w:hAnsi="Google Sans Text" w:cs="Google Sans Text"/>
          <w:sz w:val="24"/>
          <w:szCs w:val="24"/>
        </w:rPr>
        <w:t>un trou noir. Le Principe ISI doit être compris comme un principe directeur de conception : (i) il est dérivé de bornes physiques établies (Bekenstein–Hawking, Unruh, Landauer) ; (ii) il implique des contraintes architecturales testables (p. ex. nécessité d’une courbure d’Ollivier–Ricci strictement positive) ; (iii) il génère des mécanismes prédictifs (sondage DAP, repli, ajustement thermodynamique de la température) dont nous montrons l’efficacité empirique (§5).</w:t>
      </w:r>
      <w:r w:rsidR="00EF5D60" w:rsidRPr="009058A3">
        <w:rPr>
          <w:rFonts w:ascii="Google Sans Text" w:eastAsia="Google Sans Text" w:hAnsi="Google Sans Text" w:cs="Google Sans Text"/>
          <w:sz w:val="24"/>
          <w:szCs w:val="24"/>
        </w:rPr>
        <w:br/>
      </w:r>
      <w:r w:rsidR="00EF5D60" w:rsidRPr="009058A3">
        <w:rPr>
          <w:rFonts w:ascii="Google Sans Text" w:eastAsia="Google Sans Text" w:hAnsi="Google Sans Text" w:cs="Google Sans Text"/>
          <w:sz w:val="24"/>
          <w:szCs w:val="24"/>
        </w:rPr>
        <w:br/>
        <w:t>«</w:t>
      </w:r>
      <w:r w:rsidR="00EF5D60" w:rsidRPr="009058A3">
        <w:rPr>
          <w:rFonts w:eastAsia="Google Sans Text"/>
          <w:sz w:val="24"/>
          <w:szCs w:val="24"/>
        </w:rPr>
        <w:t> </w:t>
      </w:r>
      <w:r w:rsidR="00EF5D60" w:rsidRPr="009058A3">
        <w:rPr>
          <w:rFonts w:ascii="Google Sans Text" w:eastAsia="Google Sans Text" w:hAnsi="Google Sans Text" w:cs="Google Sans Text"/>
          <w:b/>
          <w:bCs/>
          <w:sz w:val="24"/>
          <w:szCs w:val="24"/>
        </w:rPr>
        <w:t>Statut épistémologique de l’EIU.</w:t>
      </w:r>
      <w:r w:rsidR="00EF5D60" w:rsidRPr="009058A3">
        <w:rPr>
          <w:rFonts w:ascii="Google Sans Text" w:eastAsia="Google Sans Text" w:hAnsi="Google Sans Text" w:cs="Google Sans Text"/>
          <w:sz w:val="24"/>
          <w:szCs w:val="24"/>
        </w:rPr>
        <w:t xml:space="preserve"> L’“échantillonnage inspiré d’Unruh” (EIU) est un </w:t>
      </w:r>
      <w:r w:rsidR="00EF5D60" w:rsidRPr="009058A3">
        <w:rPr>
          <w:rFonts w:ascii="Google Sans Text" w:eastAsia="Google Sans Text" w:hAnsi="Google Sans Text" w:cs="Google Sans Text"/>
          <w:b/>
          <w:bCs/>
          <w:sz w:val="24"/>
          <w:szCs w:val="24"/>
        </w:rPr>
        <w:t>contrôle heuristique</w:t>
      </w:r>
      <w:r w:rsidR="00EF5D60" w:rsidRPr="009058A3">
        <w:rPr>
          <w:rFonts w:eastAsia="Google Sans Text"/>
          <w:sz w:val="24"/>
          <w:szCs w:val="24"/>
        </w:rPr>
        <w:t> </w:t>
      </w:r>
      <w:r w:rsidR="00EF5D60" w:rsidRPr="009058A3">
        <w:rPr>
          <w:rFonts w:ascii="Google Sans Text" w:eastAsia="Google Sans Text" w:hAnsi="Google Sans Text" w:cs="Google Sans Text"/>
          <w:sz w:val="24"/>
          <w:szCs w:val="24"/>
        </w:rPr>
        <w:t xml:space="preserve">: Tdyn=Tbase+α V(ε)T_{\rm dyn}=T_{\rm base}+ \alpha\,V(\varepsilon)Tdyn​=Tbase​+αV(ε) est </w:t>
      </w:r>
      <w:r w:rsidR="00EF5D60" w:rsidRPr="009058A3">
        <w:rPr>
          <w:rFonts w:ascii="Google Sans Text" w:eastAsia="Google Sans Text" w:hAnsi="Google Sans Text" w:cs="Google Sans Text"/>
          <w:b/>
          <w:bCs/>
          <w:sz w:val="24"/>
          <w:szCs w:val="24"/>
        </w:rPr>
        <w:t>une loi de commande proportionnelle</w:t>
      </w:r>
      <w:r w:rsidR="00EF5D60" w:rsidRPr="009058A3">
        <w:rPr>
          <w:rFonts w:ascii="Google Sans Text" w:eastAsia="Google Sans Text" w:hAnsi="Google Sans Text" w:cs="Google Sans Text"/>
          <w:sz w:val="24"/>
          <w:szCs w:val="24"/>
        </w:rPr>
        <w:t xml:space="preserve"> </w:t>
      </w:r>
      <w:r w:rsidR="00EF5D60" w:rsidRPr="009058A3">
        <w:rPr>
          <w:rFonts w:ascii="Google Sans Text" w:eastAsia="Google Sans Text" w:hAnsi="Google Sans Text" w:cs="Google Sans Text"/>
          <w:i/>
          <w:iCs/>
          <w:sz w:val="24"/>
          <w:szCs w:val="24"/>
        </w:rPr>
        <w:t>inspirée</w:t>
      </w:r>
      <w:r w:rsidR="00EF5D60" w:rsidRPr="009058A3">
        <w:rPr>
          <w:rFonts w:ascii="Google Sans Text" w:eastAsia="Google Sans Text" w:hAnsi="Google Sans Text" w:cs="Google Sans Text"/>
          <w:sz w:val="24"/>
          <w:szCs w:val="24"/>
        </w:rPr>
        <w:t xml:space="preserve"> de l’intuition “accélération</w:t>
      </w:r>
      <w:r w:rsidR="00EF5D60" w:rsidRPr="009058A3">
        <w:rPr>
          <w:rFonts w:eastAsia="Google Sans Text"/>
          <w:sz w:val="24"/>
          <w:szCs w:val="24"/>
        </w:rPr>
        <w:t> </w:t>
      </w:r>
      <w:r w:rsidR="00EF5D60" w:rsidRPr="009058A3">
        <w:rPr>
          <w:rFonts w:ascii="Google Sans Text" w:eastAsia="Google Sans Text" w:hAnsi="Google Sans Text" w:cs="___WRD_EMBED_SUB_46"/>
          <w:sz w:val="24"/>
          <w:szCs w:val="24"/>
        </w:rPr>
        <w:t>→</w:t>
      </w:r>
      <w:r w:rsidR="00EF5D60" w:rsidRPr="009058A3">
        <w:rPr>
          <w:rFonts w:eastAsia="Google Sans Text"/>
          <w:sz w:val="24"/>
          <w:szCs w:val="24"/>
        </w:rPr>
        <w:t> </w:t>
      </w:r>
      <w:r w:rsidR="00EF5D60" w:rsidRPr="009058A3">
        <w:rPr>
          <w:rFonts w:ascii="Google Sans Text" w:eastAsia="Google Sans Text" w:hAnsi="Google Sans Text" w:cs="Google Sans Text"/>
          <w:sz w:val="24"/>
          <w:szCs w:val="24"/>
        </w:rPr>
        <w:t>temp</w:t>
      </w:r>
      <w:r w:rsidR="00EF5D60" w:rsidRPr="009058A3">
        <w:rPr>
          <w:rFonts w:ascii="Google Sans Text" w:eastAsia="Google Sans Text" w:hAnsi="Google Sans Text" w:cs="___WRD_EMBED_SUB_46"/>
          <w:sz w:val="24"/>
          <w:szCs w:val="24"/>
        </w:rPr>
        <w:t>é</w:t>
      </w:r>
      <w:r w:rsidR="00EF5D60" w:rsidRPr="009058A3">
        <w:rPr>
          <w:rFonts w:ascii="Google Sans Text" w:eastAsia="Google Sans Text" w:hAnsi="Google Sans Text" w:cs="Google Sans Text"/>
          <w:sz w:val="24"/>
          <w:szCs w:val="24"/>
        </w:rPr>
        <w:t>rature effective</w:t>
      </w:r>
      <w:r w:rsidR="00EF5D60" w:rsidRPr="009058A3">
        <w:rPr>
          <w:rFonts w:ascii="Google Sans Text" w:eastAsia="Google Sans Text" w:hAnsi="Google Sans Text" w:cs="___WRD_EMBED_SUB_46"/>
          <w:sz w:val="24"/>
          <w:szCs w:val="24"/>
        </w:rPr>
        <w:t>”</w:t>
      </w:r>
      <w:r w:rsidR="00EF5D60" w:rsidRPr="009058A3">
        <w:rPr>
          <w:rFonts w:ascii="Google Sans Text" w:eastAsia="Google Sans Text" w:hAnsi="Google Sans Text" w:cs="Google Sans Text"/>
          <w:sz w:val="24"/>
          <w:szCs w:val="24"/>
        </w:rPr>
        <w:t xml:space="preserve">, </w:t>
      </w:r>
      <w:r w:rsidR="00EF5D60" w:rsidRPr="009058A3">
        <w:rPr>
          <w:rFonts w:ascii="Google Sans Text" w:eastAsia="Google Sans Text" w:hAnsi="Google Sans Text" w:cs="Google Sans Text"/>
          <w:b/>
          <w:bCs/>
          <w:sz w:val="24"/>
          <w:szCs w:val="24"/>
        </w:rPr>
        <w:t>sans</w:t>
      </w:r>
      <w:r w:rsidR="00EF5D60" w:rsidRPr="009058A3">
        <w:rPr>
          <w:rFonts w:ascii="Google Sans Text" w:eastAsia="Google Sans Text" w:hAnsi="Google Sans Text" w:cs="Google Sans Text"/>
          <w:sz w:val="24"/>
          <w:szCs w:val="24"/>
        </w:rPr>
        <w:t xml:space="preserve"> identification du softmax à une température physique d’Unruh. Nous distinguons explicitement </w:t>
      </w:r>
      <w:r w:rsidR="00EF5D60" w:rsidRPr="009058A3">
        <w:rPr>
          <w:rFonts w:ascii="Google Sans Text" w:eastAsia="Google Sans Text" w:hAnsi="Google Sans Text" w:cs="Google Sans Text"/>
          <w:b/>
          <w:bCs/>
          <w:sz w:val="24"/>
          <w:szCs w:val="24"/>
        </w:rPr>
        <w:t>analogie</w:t>
      </w:r>
      <w:r w:rsidR="00EF5D60" w:rsidRPr="009058A3">
        <w:rPr>
          <w:rFonts w:ascii="Google Sans Text" w:eastAsia="Google Sans Text" w:hAnsi="Google Sans Text" w:cs="Google Sans Text"/>
          <w:sz w:val="24"/>
          <w:szCs w:val="24"/>
        </w:rPr>
        <w:t xml:space="preserve"> et </w:t>
      </w:r>
      <w:r w:rsidR="00EF5D60" w:rsidRPr="009058A3">
        <w:rPr>
          <w:rFonts w:ascii="Google Sans Text" w:eastAsia="Google Sans Text" w:hAnsi="Google Sans Text" w:cs="Google Sans Text"/>
          <w:b/>
          <w:bCs/>
          <w:sz w:val="24"/>
          <w:szCs w:val="24"/>
        </w:rPr>
        <w:t>théorème</w:t>
      </w:r>
      <w:r w:rsidR="00EF5D60" w:rsidRPr="009058A3">
        <w:rPr>
          <w:rFonts w:ascii="Google Sans Text" w:eastAsia="Google Sans Text" w:hAnsi="Google Sans Text" w:cs="Google Sans Text"/>
          <w:sz w:val="24"/>
          <w:szCs w:val="24"/>
        </w:rPr>
        <w:t>.</w:t>
      </w:r>
      <w:r w:rsidR="00EF5D60" w:rsidRPr="009058A3">
        <w:rPr>
          <w:rFonts w:eastAsia="Google Sans Text"/>
          <w:sz w:val="24"/>
          <w:szCs w:val="24"/>
        </w:rPr>
        <w:t> </w:t>
      </w:r>
      <w:r w:rsidR="00EF5D60" w:rsidRPr="009058A3">
        <w:rPr>
          <w:rFonts w:ascii="Google Sans Text" w:eastAsia="Google Sans Text" w:hAnsi="Google Sans Text" w:cs="___WRD_EMBED_SUB_46"/>
          <w:sz w:val="24"/>
          <w:szCs w:val="24"/>
        </w:rPr>
        <w:t>»</w:t>
      </w:r>
      <w:r w:rsidR="00EF5D60" w:rsidRPr="009058A3">
        <w:rPr>
          <w:rFonts w:ascii="Google Sans Text" w:eastAsia="Google Sans Text" w:hAnsi="Google Sans Text" w:cs="Google Sans Text"/>
          <w:sz w:val="24"/>
          <w:szCs w:val="24"/>
        </w:rPr>
        <w:br/>
      </w:r>
      <w:r w:rsidR="00EF5D60" w:rsidRPr="009058A3">
        <w:rPr>
          <w:rFonts w:ascii="Google Sans Text" w:eastAsia="Google Sans Text" w:hAnsi="Google Sans Text" w:cs="Google Sans Text"/>
          <w:b/>
          <w:bCs/>
          <w:sz w:val="24"/>
          <w:szCs w:val="24"/>
        </w:rPr>
        <w:t>Réf.</w:t>
      </w:r>
      <w:r w:rsidR="00EF5D60" w:rsidRPr="009058A3">
        <w:rPr>
          <w:rFonts w:eastAsia="Google Sans Text"/>
          <w:sz w:val="24"/>
          <w:szCs w:val="24"/>
        </w:rPr>
        <w:t> </w:t>
      </w:r>
      <w:r w:rsidR="00EF5D60" w:rsidRPr="009058A3">
        <w:rPr>
          <w:rFonts w:ascii="Google Sans Text" w:eastAsia="Google Sans Text" w:hAnsi="Google Sans Text" w:cs="Google Sans Text"/>
          <w:sz w:val="24"/>
          <w:szCs w:val="24"/>
        </w:rPr>
        <w:t>: Unruh (1976) pour kBTU=</w:t>
      </w:r>
      <w:r w:rsidR="00EF5D60" w:rsidRPr="009058A3">
        <w:rPr>
          <w:rFonts w:ascii="Cambria Math" w:eastAsia="Google Sans Text" w:hAnsi="Cambria Math" w:cs="Cambria Math"/>
          <w:sz w:val="24"/>
          <w:szCs w:val="24"/>
        </w:rPr>
        <w:t>ℏ</w:t>
      </w:r>
      <w:r w:rsidR="00EF5D60" w:rsidRPr="009058A3">
        <w:rPr>
          <w:rFonts w:ascii="Google Sans Text" w:eastAsia="Google Sans Text" w:hAnsi="Google Sans Text" w:cs="Google Sans Text"/>
          <w:sz w:val="24"/>
          <w:szCs w:val="24"/>
        </w:rPr>
        <w:t>a/(2</w:t>
      </w:r>
      <w:r w:rsidR="00EF5D60" w:rsidRPr="009058A3">
        <w:rPr>
          <w:rFonts w:ascii="Google Sans Text" w:eastAsia="Google Sans Text" w:hAnsi="Google Sans Text" w:cs="___WRD_EMBED_SUB_46"/>
          <w:sz w:val="24"/>
          <w:szCs w:val="24"/>
        </w:rPr>
        <w:t>π</w:t>
      </w:r>
      <w:r w:rsidR="00EF5D60" w:rsidRPr="009058A3">
        <w:rPr>
          <w:rFonts w:ascii="Google Sans Text" w:eastAsia="Google Sans Text" w:hAnsi="Google Sans Text" w:cs="Google Sans Text"/>
          <w:sz w:val="24"/>
          <w:szCs w:val="24"/>
        </w:rPr>
        <w:t>c)k_B T_U=\hbar a/(2\pi c)kB​TU​=</w:t>
      </w:r>
      <w:r w:rsidR="00EF5D60" w:rsidRPr="009058A3">
        <w:rPr>
          <w:rFonts w:ascii="Cambria Math" w:eastAsia="Google Sans Text" w:hAnsi="Cambria Math" w:cs="Cambria Math"/>
          <w:sz w:val="24"/>
          <w:szCs w:val="24"/>
        </w:rPr>
        <w:t>ℏ</w:t>
      </w:r>
      <w:r w:rsidR="00EF5D60" w:rsidRPr="009058A3">
        <w:rPr>
          <w:rFonts w:ascii="Google Sans Text" w:eastAsia="Google Sans Text" w:hAnsi="Google Sans Text" w:cs="Google Sans Text"/>
          <w:sz w:val="24"/>
          <w:szCs w:val="24"/>
        </w:rPr>
        <w:t>a/(2πc).</w:t>
      </w:r>
      <w:r w:rsidR="00EF5D60" w:rsidRPr="009058A3">
        <w:rPr>
          <w:rFonts w:ascii="Google Sans Text" w:eastAsia="Google Sans Text" w:hAnsi="Google Sans Text" w:cs="Google Sans Text"/>
          <w:sz w:val="24"/>
          <w:szCs w:val="24"/>
        </w:rPr>
        <w:br/>
      </w:r>
    </w:p>
    <w:p w14:paraId="3C3D2309" w14:textId="5C954E88" w:rsidR="000A39C7" w:rsidRPr="009058A3" w:rsidRDefault="006C1C94" w:rsidP="006C1C94">
      <w:pPr>
        <w:pBdr>
          <w:top w:val="nil"/>
          <w:left w:val="nil"/>
          <w:bottom w:val="nil"/>
          <w:right w:val="nil"/>
          <w:between w:val="nil"/>
        </w:pBdr>
        <w:spacing w:after="240" w:line="275" w:lineRule="auto"/>
        <w:rPr>
          <w:rFonts w:ascii="Google Sans Text" w:eastAsia="Google Sans Text" w:hAnsi="Google Sans Text" w:cs="Google Sans Text"/>
          <w:sz w:val="24"/>
          <w:szCs w:val="24"/>
        </w:rPr>
      </w:pPr>
      <w:r w:rsidRPr="009058A3">
        <w:rPr>
          <w:rFonts w:ascii="Google Sans Text" w:eastAsia="Google Sans Text" w:hAnsi="Google Sans Text" w:cs="Google Sans Text"/>
          <w:sz w:val="24"/>
          <w:szCs w:val="24"/>
        </w:rPr>
        <w:t>Dans ce sens, ISI opère comme un cadre falsifiable liant limites physiques et fiabilité computationnelle.</w:t>
      </w:r>
      <w:r w:rsidR="00CE074E" w:rsidRPr="009058A3">
        <w:rPr>
          <w:rFonts w:ascii="Google Sans Text" w:eastAsia="Google Sans Text" w:hAnsi="Google Sans Text" w:cs="Google Sans Text"/>
          <w:sz w:val="24"/>
          <w:szCs w:val="24"/>
        </w:rPr>
        <w:br/>
      </w:r>
    </w:p>
    <w:p w14:paraId="1075EAC9" w14:textId="77777777" w:rsidR="000A39C7" w:rsidRPr="009058A3" w:rsidRDefault="009F0CDF">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lastRenderedPageBreak/>
        <w:t>3. L'Implémentation Computationnelle : L'Architecture ISI-ERA</w:t>
      </w:r>
    </w:p>
    <w:p w14:paraId="16BCE4AF"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679DC1DF"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L'architecture ISI-ERA est conçue pour être la réalisation computationnelle des contraintes physiques imposées par le théorème ISI.</w:t>
      </w:r>
    </w:p>
    <w:p w14:paraId="2A237FF9" w14:textId="77777777" w:rsidR="000A39C7" w:rsidRPr="009058A3" w:rsidRDefault="000A39C7">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p>
    <w:p w14:paraId="2EF145E1" w14:textId="77777777" w:rsidR="000A39C7" w:rsidRPr="009058A3" w:rsidRDefault="009F0CDF">
      <w:pPr>
        <w:pStyle w:val="Titre4"/>
        <w:spacing w:before="0" w:after="120" w:line="275" w:lineRule="auto"/>
        <w:rPr>
          <w:rFonts w:ascii="Google Sans Text" w:eastAsia="Google Sans" w:hAnsi="Google Sans Text" w:cs="Google Sans"/>
          <w:color w:val="1B1C1D"/>
        </w:rPr>
      </w:pPr>
      <w:r w:rsidRPr="009058A3">
        <w:rPr>
          <w:rFonts w:ascii="Google Sans Text" w:eastAsia="Google Sans" w:hAnsi="Google Sans Text" w:cs="Google Sans"/>
          <w:color w:val="1B1C1D"/>
        </w:rPr>
        <w:t>3.1. Le Principe d'Invariance Quadratique (PIQ) : Imposer la Stabilité Géométrique</w:t>
      </w:r>
    </w:p>
    <w:p w14:paraId="79129B15"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59D4665E"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La pierre angulaire de la stabilité d'ISI-ERA est le </w:t>
      </w:r>
      <w:r w:rsidRPr="009058A3">
        <w:rPr>
          <w:rFonts w:ascii="Google Sans Text" w:eastAsia="Google Sans Text" w:hAnsi="Google Sans Text" w:cs="Google Sans Text"/>
          <w:b/>
          <w:color w:val="1B1C1D"/>
          <w:sz w:val="24"/>
          <w:szCs w:val="24"/>
        </w:rPr>
        <w:t>Principe d'Invariance Quadratique (PIQ)</w:t>
      </w:r>
      <w:r w:rsidRPr="009058A3">
        <w:rPr>
          <w:rFonts w:ascii="Google Sans Text" w:eastAsia="Google Sans Text" w:hAnsi="Google Sans Text" w:cs="Google Sans Text"/>
          <w:color w:val="1B1C1D"/>
          <w:sz w:val="24"/>
          <w:szCs w:val="24"/>
        </w:rPr>
        <w:t>, une loi de conservation géométrique dérivée des premiers principes.</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Appliqué aux LLM, le PIQ contraint l'espace même dans lequel les poids et les activations du modèle peuvent exister, les forçant à rester sur une variété stable et structurée (par exemple, une hypersphère). Un optimiseur opérant dans cet espace contraint est forcé de suivre des géodésiques sur la variété ; les régions instables deviennent géométriquement inaccessibles.</w:t>
      </w:r>
      <w:r w:rsidRPr="009058A3">
        <w:rPr>
          <w:rFonts w:ascii="Google Sans Text" w:eastAsia="Google Sans Text" w:hAnsi="Google Sans Text" w:cs="Google Sans Text"/>
          <w:color w:val="575B5F"/>
          <w:sz w:val="24"/>
          <w:szCs w:val="24"/>
          <w:vertAlign w:val="superscript"/>
        </w:rPr>
        <w:t>1</w:t>
      </w:r>
    </w:p>
    <w:p w14:paraId="44681A29"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La stabilité passive d'ISI-ERA est assurée par la suite complète des mécanismes du PIQ, appliquée durant l'entraînement pour "sculpter" la géométrie de l'espace latent </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w:t>
      </w:r>
    </w:p>
    <w:p w14:paraId="68C073F4" w14:textId="77777777" w:rsidR="000A39C7" w:rsidRPr="009058A3" w:rsidRDefault="009F0CDF">
      <w:pPr>
        <w:numPr>
          <w:ilvl w:val="0"/>
          <w:numId w:val="3"/>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MRL (Manifold Representation Layer) :</w:t>
      </w:r>
      <w:r w:rsidRPr="009058A3">
        <w:rPr>
          <w:rFonts w:ascii="Google Sans Text" w:eastAsia="Google Sans Text" w:hAnsi="Google Sans Text" w:cs="Google Sans Text"/>
          <w:color w:val="1B1C1D"/>
          <w:sz w:val="24"/>
          <w:szCs w:val="24"/>
        </w:rPr>
        <w:t xml:space="preserve"> Prévient l'effondrement des représentations en forçant la variance des plongements à rester au-dessus d'un seuil cible.</w:t>
      </w:r>
    </w:p>
    <w:p w14:paraId="3A2D4869" w14:textId="77777777" w:rsidR="000A39C7" w:rsidRPr="009058A3" w:rsidRDefault="009F0CDF">
      <w:pPr>
        <w:numPr>
          <w:ilvl w:val="0"/>
          <w:numId w:val="3"/>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ICA (Invariant Constrained Attention) :</w:t>
      </w:r>
      <w:r w:rsidRPr="009058A3">
        <w:rPr>
          <w:rFonts w:ascii="Google Sans Text" w:eastAsia="Google Sans Text" w:hAnsi="Google Sans Text" w:cs="Google Sans Text"/>
          <w:color w:val="1B1C1D"/>
          <w:sz w:val="24"/>
          <w:szCs w:val="24"/>
        </w:rPr>
        <w:t xml:space="preserve"> Prévient l'effondrement de l'entropie de l'attention en contraignant la norme de la matrice des logits d'attention.</w:t>
      </w:r>
    </w:p>
    <w:p w14:paraId="763FA5C7" w14:textId="77777777" w:rsidR="000A39C7" w:rsidRPr="009058A3" w:rsidRDefault="009F0CDF">
      <w:pPr>
        <w:numPr>
          <w:ilvl w:val="0"/>
          <w:numId w:val="3"/>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QC-Adam (Quadratic Clip Adam) :</w:t>
      </w:r>
      <w:r w:rsidRPr="009058A3">
        <w:rPr>
          <w:rFonts w:ascii="Google Sans Text" w:eastAsia="Google Sans Text" w:hAnsi="Google Sans Text" w:cs="Google Sans Text"/>
          <w:color w:val="1B1C1D"/>
          <w:sz w:val="24"/>
          <w:szCs w:val="24"/>
        </w:rPr>
        <w:t xml:space="preserve"> Un optimiseur qui prévient l'explosion des poids en les projetant sur une hypersphère de norme constante.</w:t>
      </w:r>
    </w:p>
    <w:p w14:paraId="02C7C7FF" w14:textId="77777777" w:rsidR="000A39C7" w:rsidRPr="009058A3" w:rsidRDefault="009F0CDF">
      <w:pPr>
        <w:numPr>
          <w:ilvl w:val="0"/>
          <w:numId w:val="3"/>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GTV (Graph Total Variation) :</w:t>
      </w:r>
      <w:r w:rsidRPr="009058A3">
        <w:rPr>
          <w:rFonts w:ascii="Google Sans Text" w:eastAsia="Google Sans Text" w:hAnsi="Google Sans Text" w:cs="Google Sans Text"/>
          <w:color w:val="1B1C1D"/>
          <w:sz w:val="24"/>
          <w:szCs w:val="24"/>
        </w:rPr>
        <w:t xml:space="preserve"> Régularise la similarité des requêtes pour les tokens sémantiquement proches afin de renforcer les bornes locales sur la courbure.</w:t>
      </w:r>
    </w:p>
    <w:p w14:paraId="45502920" w14:textId="77777777" w:rsidR="000A39C7" w:rsidRPr="009058A3" w:rsidRDefault="000A39C7">
      <w:pPr>
        <w:pBdr>
          <w:top w:val="nil"/>
          <w:left w:val="nil"/>
          <w:bottom w:val="nil"/>
          <w:right w:val="nil"/>
          <w:between w:val="nil"/>
        </w:pBdr>
        <w:spacing w:before="240" w:after="240" w:line="275" w:lineRule="auto"/>
        <w:rPr>
          <w:rFonts w:ascii="Google Sans Text" w:eastAsia="Google Sans Text" w:hAnsi="Google Sans Text" w:cs="Google Sans Text"/>
          <w:color w:val="1B1C1D"/>
          <w:sz w:val="24"/>
          <w:szCs w:val="24"/>
        </w:rPr>
      </w:pPr>
    </w:p>
    <w:p w14:paraId="2F467FE7" w14:textId="77777777" w:rsidR="000A39C7" w:rsidRPr="009058A3" w:rsidRDefault="009F0CDF">
      <w:pPr>
        <w:pStyle w:val="Titre4"/>
        <w:spacing w:before="0" w:after="120" w:line="275" w:lineRule="auto"/>
        <w:rPr>
          <w:rFonts w:ascii="Google Sans Text" w:eastAsia="Google Sans" w:hAnsi="Google Sans Text" w:cs="Google Sans"/>
          <w:color w:val="1B1C1D"/>
        </w:rPr>
      </w:pPr>
      <w:r w:rsidRPr="009058A3">
        <w:rPr>
          <w:rFonts w:ascii="Google Sans Text" w:eastAsia="Google Sans" w:hAnsi="Google Sans Text" w:cs="Google Sans"/>
          <w:color w:val="1B1C1D"/>
        </w:rPr>
        <w:t>3.2. La Courbure de Ricci comme Pont Théorique</w:t>
      </w:r>
    </w:p>
    <w:p w14:paraId="3EA59224"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70E44505"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Le lien formel entre la physique d'ISI et l'ingénierie d'ERA est la </w:t>
      </w:r>
      <w:r w:rsidRPr="009058A3">
        <w:rPr>
          <w:rFonts w:ascii="Google Sans Text" w:eastAsia="Google Sans Text" w:hAnsi="Google Sans Text" w:cs="Google Sans Text"/>
          <w:b/>
          <w:color w:val="1B1C1D"/>
          <w:sz w:val="24"/>
          <w:szCs w:val="24"/>
        </w:rPr>
        <w:t>courbure de Ricci</w:t>
      </w:r>
      <w:r w:rsidRPr="009058A3">
        <w:rPr>
          <w:rFonts w:ascii="Google Sans Text" w:eastAsia="Google Sans Text" w:hAnsi="Google Sans Text" w:cs="Google Sans Text"/>
          <w:color w:val="1B1C1D"/>
          <w:sz w:val="24"/>
          <w:szCs w:val="24"/>
        </w:rPr>
        <w:t>.</w:t>
      </w:r>
    </w:p>
    <w:p w14:paraId="0038B7C6" w14:textId="77777777" w:rsidR="000A39C7" w:rsidRPr="009058A3" w:rsidRDefault="009F0CDF">
      <w:pPr>
        <w:numPr>
          <w:ilvl w:val="0"/>
          <w:numId w:val="4"/>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Postulat (d'ISI) :</w:t>
      </w:r>
      <w:r w:rsidRPr="009058A3">
        <w:rPr>
          <w:rFonts w:ascii="Google Sans Text" w:eastAsia="Google Sans Text" w:hAnsi="Google Sans Text" w:cs="Google Sans Text"/>
          <w:color w:val="1B1C1D"/>
          <w:sz w:val="24"/>
          <w:szCs w:val="24"/>
        </w:rPr>
        <w:t xml:space="preserve"> La stabilité locale d'un LLM requiert une courbure sémantique locale K(xt​) strictement positive. Une courbure non positive (K(xt​)≤0) est le signe précurseur d'un effondrement sémantique.</w:t>
      </w:r>
      <w:r w:rsidRPr="009058A3">
        <w:rPr>
          <w:rFonts w:ascii="Google Sans Text" w:eastAsia="Google Sans Text" w:hAnsi="Google Sans Text" w:cs="Google Sans Text"/>
          <w:color w:val="575B5F"/>
          <w:sz w:val="24"/>
          <w:szCs w:val="24"/>
          <w:vertAlign w:val="superscript"/>
        </w:rPr>
        <w:t>1</w:t>
      </w:r>
    </w:p>
    <w:p w14:paraId="594A3B7A" w14:textId="77777777" w:rsidR="00D62CD9" w:rsidRPr="009058A3" w:rsidRDefault="009F0CDF" w:rsidP="00D62CD9">
      <w:pPr>
        <w:pBdr>
          <w:top w:val="nil"/>
          <w:left w:val="nil"/>
          <w:bottom w:val="nil"/>
          <w:right w:val="nil"/>
          <w:between w:val="nil"/>
        </w:pBdr>
        <w:spacing w:after="120" w:line="275" w:lineRule="auto"/>
        <w:ind w:left="105"/>
        <w:rPr>
          <w:rFonts w:ascii="Google Sans Text" w:eastAsia="Google Sans Text" w:hAnsi="Google Sans Text" w:cs="Google Sans Text"/>
          <w:color w:val="1B1C1D"/>
        </w:rPr>
      </w:pPr>
      <w:r w:rsidRPr="009058A3">
        <w:rPr>
          <w:rFonts w:ascii="Google Sans Text" w:eastAsia="Google Sans Text" w:hAnsi="Google Sans Text" w:cs="Google Sans Text"/>
          <w:b/>
          <w:color w:val="1B1C1D"/>
          <w:sz w:val="24"/>
          <w:szCs w:val="24"/>
        </w:rPr>
        <w:t>Démonstration (d'ERA) :</w:t>
      </w:r>
      <w:r w:rsidRPr="009058A3">
        <w:rPr>
          <w:rFonts w:ascii="Google Sans Text" w:eastAsia="Google Sans Text" w:hAnsi="Google Sans Text" w:cs="Google Sans Text"/>
          <w:color w:val="1B1C1D"/>
          <w:sz w:val="24"/>
          <w:szCs w:val="24"/>
        </w:rPr>
        <w:t xml:space="preserve"> Nous démontrons que la suite PIQ agit comme un régulateur implicite de la courbure d'Ollivier-Ricci du graphe d'attention.</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Des recherches récentes ont établi un lien puissant entre une courbure de Ricci plus élevée et la robustesse du modèle.</w:t>
      </w:r>
      <w:r w:rsidRPr="009058A3">
        <w:rPr>
          <w:rFonts w:ascii="Google Sans Text" w:eastAsia="Google Sans Text" w:hAnsi="Google Sans Text" w:cs="Google Sans Text"/>
          <w:color w:val="575B5F"/>
          <w:sz w:val="24"/>
          <w:szCs w:val="24"/>
          <w:vertAlign w:val="superscript"/>
        </w:rPr>
        <w:t>13</w:t>
      </w:r>
      <w:r w:rsidRPr="009058A3">
        <w:rPr>
          <w:rFonts w:ascii="Google Sans Text" w:eastAsia="Google Sans Text" w:hAnsi="Google Sans Text" w:cs="Google Sans Text"/>
          <w:color w:val="1B1C1D"/>
          <w:sz w:val="24"/>
          <w:szCs w:val="24"/>
        </w:rPr>
        <w:t xml:space="preserve"> Les</w:t>
      </w:r>
      <w:r w:rsidRPr="009058A3">
        <w:rPr>
          <w:rFonts w:ascii="Google Sans Text" w:hAnsi="Google Sans Text"/>
          <w:color w:val="000000"/>
          <w:sz w:val="24"/>
          <w:szCs w:val="24"/>
        </w:rPr>
        <w:br/>
      </w:r>
      <w:r w:rsidRPr="009058A3">
        <w:rPr>
          <w:rFonts w:ascii="Google Sans Text" w:eastAsia="Google Sans Text" w:hAnsi="Google Sans Text" w:cs="Google Sans Text"/>
          <w:b/>
          <w:color w:val="1B1C1D"/>
          <w:sz w:val="24"/>
          <w:szCs w:val="24"/>
        </w:rPr>
        <w:t>Théorèmes 1 et 2</w:t>
      </w:r>
      <w:r w:rsidRPr="009058A3">
        <w:rPr>
          <w:rFonts w:ascii="Google Sans Text" w:eastAsia="Google Sans Text" w:hAnsi="Google Sans Text" w:cs="Google Sans Text"/>
          <w:color w:val="1B1C1D"/>
          <w:sz w:val="24"/>
          <w:szCs w:val="24"/>
        </w:rPr>
        <w:t xml:space="preserve"> (ci-dessous, extraits de </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prouvent que la suite PIQ impose une borne inférieure garantie sur cette courbure, transformant le postulat physique en une certification architecturale.</w:t>
      </w:r>
      <w:r w:rsidR="00A73D67" w:rsidRPr="009058A3">
        <w:rPr>
          <w:rFonts w:ascii="Google Sans Text" w:eastAsia="Google Sans Text" w:hAnsi="Google Sans Text" w:cs="Google Sans Text"/>
          <w:color w:val="1B1C1D"/>
          <w:sz w:val="24"/>
          <w:szCs w:val="24"/>
        </w:rPr>
        <w:br/>
      </w:r>
      <w:r w:rsidR="00A73D67" w:rsidRPr="009058A3">
        <w:rPr>
          <w:rFonts w:ascii="Google Sans Text" w:eastAsia="Google Sans Text" w:hAnsi="Google Sans Text" w:cs="Google Sans Text"/>
          <w:color w:val="1B1C1D"/>
          <w:sz w:val="24"/>
          <w:szCs w:val="24"/>
        </w:rPr>
        <w:br/>
        <w:t>Il est essentiel de noter que notre contribution va au-delà de la simple confirmation de l'utilité de la courbure de Ricci. Alors que les travaux existants établissent une corrélation empirique ou géométrique, notre cadre physique est le premier à dériver la nécessité d'une courbure positive à partir de premiers principes thermodynamiques. De plus, il prédit des phénomènes dynamiques associés, tels que le mécanisme de repli et l'ajustement de la température, qui ne découlent pas d'une analyse purement géométrique, conférant ainsi à notre théorie un pouvoir explicatif et prédictif supérieur.</w:t>
      </w:r>
      <w:r w:rsidR="00D62CD9" w:rsidRPr="009058A3">
        <w:rPr>
          <w:rFonts w:ascii="Google Sans Text" w:eastAsia="Google Sans Text" w:hAnsi="Google Sans Text" w:cs="Google Sans Text"/>
          <w:color w:val="1B1C1D"/>
          <w:sz w:val="24"/>
          <w:szCs w:val="24"/>
        </w:rPr>
        <w:br/>
      </w:r>
      <w:r w:rsidR="00D62CD9" w:rsidRPr="009058A3">
        <w:rPr>
          <w:rFonts w:ascii="Google Sans Text" w:eastAsia="Google Sans Text" w:hAnsi="Google Sans Text" w:cs="Google Sans Text"/>
          <w:color w:val="1B1C1D"/>
          <w:sz w:val="24"/>
          <w:szCs w:val="24"/>
        </w:rPr>
        <w:br/>
      </w:r>
      <w:r w:rsidR="00D62CD9" w:rsidRPr="009058A3">
        <w:rPr>
          <w:rFonts w:ascii="Google Sans Text" w:eastAsia="Google Sans Text" w:hAnsi="Google Sans Text" w:cs="Google Sans Text"/>
          <w:b/>
          <w:bCs/>
          <w:color w:val="1B1C1D"/>
        </w:rPr>
        <w:t>Définition 1 (Courbure locale coarse d’Ollivier).</w:t>
      </w:r>
      <w:r w:rsidR="00D62CD9" w:rsidRPr="009058A3">
        <w:rPr>
          <w:rFonts w:ascii="Google Sans Text" w:eastAsia="Google Sans Text" w:hAnsi="Google Sans Text" w:cs="Google Sans Text"/>
          <w:color w:val="1B1C1D"/>
        </w:rPr>
        <w:br/>
        <w:t>Sur le graphe d’attention (métrique discrète ddd), la courbure d’Ollivier entre x≠yx\neq yx=y est</w:t>
      </w:r>
    </w:p>
    <w:p w14:paraId="0FD8943C" w14:textId="77777777" w:rsidR="00D62CD9" w:rsidRPr="009058A3" w:rsidRDefault="00D62CD9" w:rsidP="00D62CD9">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κ(x,y)=1−W1(Px,Py)d(x,y).\kappa(x,y)=1-\frac{W_1(P_x,P_y)}{d(x,y)}.κ(x,y)=1−d(x,y)W1​(Px​,Py​)​. </w:t>
      </w:r>
    </w:p>
    <w:p w14:paraId="02BB7E45" w14:textId="59508CF5" w:rsidR="00D62CD9" w:rsidRPr="009058A3" w:rsidRDefault="00D62CD9" w:rsidP="00D62CD9">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b/>
          <w:bCs/>
          <w:color w:val="1B1C1D"/>
          <w:sz w:val="24"/>
          <w:szCs w:val="24"/>
        </w:rPr>
        <w:t>Courbure locale en xxx</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 κloc(x):=min</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y</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N(x)κ(x,y)\kappa_{\rm loc}(x):=\min_{y\in \mathcal{N}(x)}\kappa(x,y)κloc​(x):=miny</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N(x)​κ(x,y) sur les arêtes (x,y)(x,y)(x,y) de poids d’attention ≥θ\ge \theta≥θ (seuil fixé en Annexe</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H)</w:t>
      </w:r>
      <w:r w:rsidR="00FA6C13" w:rsidRPr="009058A3">
        <w:rPr>
          <w:rStyle w:val="Appelnotedebasdep"/>
          <w:rFonts w:ascii="Google Sans Text" w:eastAsia="Google Sans Text" w:hAnsi="Google Sans Text" w:cs="Google Sans Text"/>
          <w:color w:val="1B1C1D"/>
          <w:sz w:val="24"/>
          <w:szCs w:val="24"/>
        </w:rPr>
        <w:footnoteReference w:id="4"/>
      </w:r>
      <w:r w:rsidRPr="009058A3">
        <w:rPr>
          <w:rFonts w:ascii="Google Sans Text" w:eastAsia="Google Sans Text" w:hAnsi="Google Sans Text" w:cs="Google Sans Text"/>
          <w:color w:val="1B1C1D"/>
          <w:sz w:val="24"/>
          <w:szCs w:val="24"/>
        </w:rPr>
        <w:t>.</w:t>
      </w:r>
    </w:p>
    <w:p w14:paraId="4C759791" w14:textId="5369C203" w:rsidR="001D4E7E" w:rsidRPr="009058A3" w:rsidRDefault="00D62CD9" w:rsidP="001D4E7E">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br/>
      </w:r>
      <w:r w:rsidR="00AD41BD" w:rsidRPr="009058A3">
        <w:rPr>
          <w:rFonts w:ascii="Google Sans Text" w:eastAsia="Google Sans Text" w:hAnsi="Google Sans Text" w:cs="Google Sans Text"/>
          <w:color w:val="1B1C1D"/>
          <w:sz w:val="24"/>
          <w:szCs w:val="24"/>
        </w:rPr>
        <w:br/>
      </w:r>
      <w:r w:rsidR="001D4E7E" w:rsidRPr="009058A3">
        <w:rPr>
          <w:rFonts w:ascii="Google Sans Text" w:eastAsia="Google Sans Text" w:hAnsi="Google Sans Text" w:cs="Google Sans Text"/>
          <w:color w:val="1B1C1D"/>
          <w:sz w:val="24"/>
          <w:szCs w:val="24"/>
        </w:rPr>
        <w:t>Théorème 3</w:t>
      </w:r>
      <w:r w:rsidR="0081371B" w:rsidRPr="009058A3">
        <w:rPr>
          <w:rStyle w:val="Appelnotedebasdep"/>
          <w:rFonts w:ascii="Google Sans Text" w:eastAsia="Google Sans Text" w:hAnsi="Google Sans Text" w:cs="Google Sans Text"/>
          <w:color w:val="1B1C1D"/>
          <w:sz w:val="24"/>
          <w:szCs w:val="24"/>
        </w:rPr>
        <w:footnoteReference w:id="5"/>
      </w:r>
      <w:r w:rsidR="001D4E7E" w:rsidRPr="009058A3">
        <w:rPr>
          <w:rFonts w:ascii="Google Sans Text" w:eastAsia="Google Sans Text" w:hAnsi="Google Sans Text" w:cs="Google Sans Text"/>
          <w:color w:val="1B1C1D"/>
          <w:sz w:val="24"/>
          <w:szCs w:val="24"/>
        </w:rPr>
        <w:t xml:space="preserve"> (Contractivité W1 sous \kappa_{\min}&gt;0). </w:t>
      </w:r>
      <w:r w:rsidR="001D4E7E" w:rsidRPr="009058A3">
        <w:rPr>
          <w:rFonts w:ascii="Google Sans Text" w:eastAsia="Google Sans Text" w:hAnsi="Google Sans Text" w:cs="Google Sans Text"/>
          <w:color w:val="1B1C1D"/>
          <w:sz w:val="24"/>
          <w:szCs w:val="24"/>
        </w:rPr>
        <w:br/>
        <w:t xml:space="preserve">Si \kappa_{\min} := \inf_{x\neq y}\kappa(x,y) \ge \kappa_0 &gt; 0, alors </w:t>
      </w:r>
      <w:r w:rsidR="001D4E7E" w:rsidRPr="009058A3">
        <w:rPr>
          <w:rFonts w:ascii="Google Sans Text" w:eastAsia="Google Sans Text" w:hAnsi="Google Sans Text" w:cs="Google Sans Text"/>
          <w:color w:val="1B1C1D"/>
          <w:sz w:val="24"/>
          <w:szCs w:val="24"/>
        </w:rPr>
        <w:br/>
        <w:t>W_1(\mu P, \nu P) \le (1-\kappa_0)\, W_1(\mu,\nu),  pour toutes mesures \mu,\nu.</w:t>
      </w:r>
    </w:p>
    <w:p w14:paraId="78F9C8E3" w14:textId="7B0F955E" w:rsidR="00AD41BD" w:rsidRPr="009058A3" w:rsidRDefault="001D4E7E" w:rsidP="001D4E7E">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Corollaire (métrique discrète).  TV(\mu P,\nu P) \le (1-\kappa_0)\,TV(\mu,\nu).</w:t>
      </w:r>
      <w:r w:rsidRPr="009058A3">
        <w:rPr>
          <w:rFonts w:ascii="Google Sans Text" w:eastAsia="Google Sans Text" w:hAnsi="Google Sans Text" w:cs="Google Sans Text"/>
          <w:b/>
          <w:bCs/>
          <w:color w:val="1B1C1D"/>
          <w:sz w:val="24"/>
          <w:szCs w:val="24"/>
        </w:rPr>
        <w:br/>
      </w:r>
    </w:p>
    <w:p w14:paraId="403B3ED2" w14:textId="2CCF7B0E" w:rsidR="00AD41BD" w:rsidRPr="009058A3" w:rsidRDefault="00AD41BD" w:rsidP="0069706A">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b/>
          <w:bCs/>
          <w:color w:val="1B1C1D"/>
          <w:sz w:val="24"/>
          <w:szCs w:val="24"/>
        </w:rPr>
        <w:t>Théorème 4</w:t>
      </w:r>
      <w:r w:rsidRPr="009058A3">
        <w:rPr>
          <w:rFonts w:ascii="Google Sans Text" w:eastAsia="Google Sans Text" w:hAnsi="Google Sans Text" w:cs="Google Sans Text"/>
          <w:color w:val="1B1C1D"/>
          <w:sz w:val="24"/>
          <w:szCs w:val="24"/>
        </w:rPr>
        <w:t xml:space="preserve"> (Garantie d’abstention — CLF, sûreté locale). Soit la politique de repli</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suivante : (R6‑ter) si p(xt) ≤ η ET K(xt) ≤ 0, alors abstention ; (R6‑bis) si K(xt) ≤ κ0</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(local), abstention. Alors, conditionnellement aux déclencheurs (R6‑ter/‑bis),</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la probabilité d’émettre un token à haute confiance en régime instable est nulle.</w:t>
      </w:r>
    </w:p>
    <w:p w14:paraId="59A900FE" w14:textId="231BCAC5" w:rsidR="00AD41BD" w:rsidRPr="009058A3" w:rsidRDefault="00AD41BD" w:rsidP="0069706A">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 plus, en régime stable (κ≥κ0, V(ε)≤V0), la variation totale induite par DAP</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satisfait TV ≤ 2(1–κ0)·TVbase ≤ 2(1–κ0)·c·V0 (constante c issue d’Annexe</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B),</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définissant un certificat de stabilité locale.</w:t>
      </w:r>
    </w:p>
    <w:p w14:paraId="3517368E" w14:textId="34DF2427" w:rsidR="00AD41BD" w:rsidRPr="009058A3" w:rsidRDefault="00AD41BD" w:rsidP="0069706A">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Esquisse de preuve. Les règles (R6‑ter/‑bis) imposent par construction l’abstention</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sur les régions à K≤0 ou K≤κ0 ; aucune sortie n’est produite dans ces régions.</w:t>
      </w:r>
    </w:p>
    <w:p w14:paraId="1AEECA39" w14:textId="2130A3B0" w:rsidR="000A39C7" w:rsidRPr="009058A3" w:rsidRDefault="00AD41BD" w:rsidP="0069706A">
      <w:pPr>
        <w:pBdr>
          <w:top w:val="nil"/>
          <w:left w:val="nil"/>
          <w:bottom w:val="nil"/>
          <w:right w:val="nil"/>
          <w:between w:val="nil"/>
        </w:pBdr>
        <w:spacing w:after="120" w:line="275" w:lineRule="auto"/>
        <w:ind w:left="105"/>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régime stable, appliquer 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3 (contrattion W1) et l</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approximation de Taylor</w:t>
      </w:r>
      <w:r w:rsidR="0069706A"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de DAP (Annexe</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B) borne la TV par V(</w:t>
      </w:r>
      <w:r w:rsidRPr="009058A3">
        <w:rPr>
          <w:rFonts w:ascii="Google Sans Text" w:eastAsia="Google Sans Text" w:hAnsi="Google Sans Text" w:cs="___WRD_EMBED_SUB_49"/>
          <w:color w:val="1B1C1D"/>
          <w:sz w:val="24"/>
          <w:szCs w:val="24"/>
        </w:rPr>
        <w:t>ε</w:t>
      </w:r>
      <w:r w:rsidRPr="009058A3">
        <w:rPr>
          <w:rFonts w:ascii="Google Sans Text" w:eastAsia="Google Sans Text" w:hAnsi="Google Sans Text" w:cs="Google Sans Text"/>
          <w:color w:val="1B1C1D"/>
          <w:sz w:val="24"/>
          <w:szCs w:val="24"/>
        </w:rPr>
        <w:t xml:space="preserve">) et </w:t>
      </w:r>
      <w:r w:rsidRPr="009058A3">
        <w:rPr>
          <w:rFonts w:ascii="Google Sans Text" w:eastAsia="Google Sans Text" w:hAnsi="Google Sans Text" w:cs="___WRD_EMBED_SUB_49"/>
          <w:color w:val="1B1C1D"/>
          <w:sz w:val="24"/>
          <w:szCs w:val="24"/>
        </w:rPr>
        <w:t>κ</w:t>
      </w:r>
      <w:r w:rsidRPr="009058A3">
        <w:rPr>
          <w:rFonts w:ascii="Google Sans Text" w:eastAsia="Google Sans Text" w:hAnsi="Google Sans Text" w:cs="Google Sans Text"/>
          <w:color w:val="1B1C1D"/>
          <w:sz w:val="24"/>
          <w:szCs w:val="24"/>
        </w:rPr>
        <w:t>0. D</w:t>
      </w:r>
      <w:r w:rsidRPr="009058A3">
        <w:rPr>
          <w:rFonts w:ascii="Google Sans Text" w:eastAsia="Google Sans Text" w:hAnsi="Google Sans Text" w:cs="___WRD_EMBED_SUB_49"/>
          <w:color w:val="1B1C1D"/>
          <w:sz w:val="24"/>
          <w:szCs w:val="24"/>
        </w:rPr>
        <w:t>é</w:t>
      </w:r>
      <w:r w:rsidRPr="009058A3">
        <w:rPr>
          <w:rFonts w:ascii="Google Sans Text" w:eastAsia="Google Sans Text" w:hAnsi="Google Sans Text" w:cs="Google Sans Text"/>
          <w:color w:val="1B1C1D"/>
          <w:sz w:val="24"/>
          <w:szCs w:val="24"/>
        </w:rPr>
        <w:t>tails complets en Annexe</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E</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F.</w:t>
      </w:r>
      <w:r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br/>
      </w:r>
    </w:p>
    <w:p w14:paraId="55D0B563" w14:textId="77777777" w:rsidR="000A39C7" w:rsidRPr="009058A3" w:rsidRDefault="004E2E2C">
      <w:pPr>
        <w:pBdr>
          <w:top w:val="nil"/>
          <w:left w:val="nil"/>
          <w:bottom w:val="nil"/>
          <w:right w:val="nil"/>
          <w:between w:val="nil"/>
        </w:pBdr>
        <w:spacing w:before="120" w:after="120" w:line="275" w:lineRule="auto"/>
        <w:rPr>
          <w:rFonts w:ascii="Google Sans Text" w:eastAsia="Google Sans Text" w:hAnsi="Google Sans Text" w:cs="Google Sans Text"/>
          <w:color w:val="575B5F"/>
          <w:sz w:val="24"/>
          <w:szCs w:val="24"/>
          <w:vertAlign w:val="superscript"/>
        </w:rPr>
      </w:pPr>
      <w:r>
        <w:rPr>
          <w:rFonts w:ascii="Google Sans Text" w:hAnsi="Google Sans Text"/>
          <w:sz w:val="24"/>
          <w:szCs w:val="24"/>
        </w:rPr>
        <w:pict w14:anchorId="77E7527C">
          <v:rect id="_x0000_i1027" style="width:0;height:1.5pt" o:hralign="center" o:hrstd="t" o:hr="t" fillcolor="#a0a0a0" stroked="f"/>
        </w:pict>
      </w:r>
      <w:r w:rsidR="009F0CDF" w:rsidRPr="009058A3">
        <w:rPr>
          <w:rFonts w:ascii="Google Sans Text" w:eastAsia="Google Sans Text" w:hAnsi="Google Sans Text" w:cs="Google Sans Text"/>
          <w:color w:val="1B1C1D"/>
          <w:sz w:val="24"/>
          <w:szCs w:val="24"/>
        </w:rPr>
        <w:t xml:space="preserve">Cadre formel et démonstrations (courbure d'Ollivier) </w:t>
      </w:r>
      <w:r w:rsidR="009F0CDF" w:rsidRPr="009058A3">
        <w:rPr>
          <w:rFonts w:ascii="Google Sans Text" w:eastAsia="Google Sans Text" w:hAnsi="Google Sans Text" w:cs="Google Sans Text"/>
          <w:color w:val="575B5F"/>
          <w:sz w:val="24"/>
          <w:szCs w:val="24"/>
          <w:vertAlign w:val="superscript"/>
        </w:rPr>
        <w:t>1</w:t>
      </w:r>
    </w:p>
    <w:p w14:paraId="42CB8689" w14:textId="77777777" w:rsidR="000A39C7" w:rsidRPr="009058A3" w:rsidRDefault="009F0CDF">
      <w:pPr>
        <w:numPr>
          <w:ilvl w:val="0"/>
          <w:numId w:val="5"/>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Cadre :</w:t>
      </w:r>
      <w:r w:rsidRPr="009058A3">
        <w:rPr>
          <w:rFonts w:ascii="Google Sans Text" w:eastAsia="Google Sans Text" w:hAnsi="Google Sans Text" w:cs="Google Sans Text"/>
          <w:color w:val="1B1C1D"/>
          <w:sz w:val="24"/>
          <w:szCs w:val="24"/>
        </w:rPr>
        <w:t xml:space="preserve"> Pour une tête d'attention et une séquence de longueur n, le noyau de Markov (attention) est Pi​=softmax(Ai​/τ).</w:t>
      </w:r>
    </w:p>
    <w:p w14:paraId="14F4FB02" w14:textId="77777777" w:rsidR="000A39C7" w:rsidRPr="009058A3" w:rsidRDefault="009F0CDF">
      <w:pPr>
        <w:numPr>
          <w:ilvl w:val="0"/>
          <w:numId w:val="5"/>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color w:val="1B1C1D"/>
          <w:sz w:val="24"/>
          <w:szCs w:val="24"/>
        </w:rPr>
        <w:t>Théorème 1 (Borne globale de Ricci par ICA+IGDT) : Sous les hypothèses d'ICA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A</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F</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Cattn</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 et d'IGDT (</w:t>
      </w:r>
      <w:r w:rsidRPr="009058A3">
        <w:rPr>
          <w:rFonts w:ascii="Google Sans Text" w:eastAsia="Google Sans Text" w:hAnsi="Google Sans Text" w:cs="___WRD_EMBED_SUB_49"/>
          <w:color w:val="1B1C1D"/>
          <w:sz w:val="24"/>
          <w:szCs w:val="24"/>
        </w:rPr>
        <w:t>τ≥τ</w:t>
      </w:r>
      <w:r w:rsidRPr="009058A3">
        <w:rPr>
          <w:rFonts w:ascii="Google Sans Text" w:eastAsia="Google Sans Text" w:hAnsi="Google Sans Text" w:cs="Google Sans Text"/>
          <w:color w:val="1B1C1D"/>
          <w:sz w:val="24"/>
          <w:szCs w:val="24"/>
        </w:rPr>
        <w:t>min</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 alors pour tout x</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=y:</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κ(x,y)≥1−(n​⋅Cattn​)/(2⋅τmin​).</w:t>
      </w:r>
    </w:p>
    <w:p w14:paraId="154E28E9" w14:textId="77777777" w:rsidR="000A39C7" w:rsidRPr="009058A3" w:rsidRDefault="009F0CDF">
      <w:pPr>
        <w:numPr>
          <w:ilvl w:val="0"/>
          <w:numId w:val="5"/>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color w:val="1B1C1D"/>
          <w:sz w:val="24"/>
          <w:szCs w:val="24"/>
        </w:rPr>
        <w:t xml:space="preserve">Théorème 2 (Borne locale raffinée) : Si QC-Adam borne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kj</w:t>
      </w:r>
      <w:r w:rsidRPr="009058A3">
        <w:rPr>
          <w:rFonts w:ascii="Google Sans Text" w:eastAsia="Google Sans Text" w:hAnsi="Google Sans Text" w:cs="___WRD_EMBED_SUB_49"/>
          <w:color w:val="1B1C1D"/>
          <w:sz w:val="24"/>
          <w:szCs w:val="24"/>
        </w:rPr>
        <w:t>​</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2</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R et GTV contr</w:t>
      </w:r>
      <w:r w:rsidRPr="009058A3">
        <w:rPr>
          <w:rFonts w:ascii="Google Sans Text" w:eastAsia="Google Sans Text" w:hAnsi="Google Sans Text" w:cs="___WRD_EMBED_SUB_49"/>
          <w:color w:val="1B1C1D"/>
          <w:sz w:val="24"/>
          <w:szCs w:val="24"/>
        </w:rPr>
        <w:t>ô</w:t>
      </w:r>
      <w:r w:rsidRPr="009058A3">
        <w:rPr>
          <w:rFonts w:ascii="Google Sans Text" w:eastAsia="Google Sans Text" w:hAnsi="Google Sans Text" w:cs="Google Sans Text"/>
          <w:color w:val="1B1C1D"/>
          <w:sz w:val="24"/>
          <w:szCs w:val="24"/>
        </w:rPr>
        <w:t>le la variation des requ</w:t>
      </w:r>
      <w:r w:rsidRPr="009058A3">
        <w:rPr>
          <w:rFonts w:ascii="Google Sans Text" w:eastAsia="Google Sans Text" w:hAnsi="Google Sans Text" w:cs="___WRD_EMBED_SUB_49"/>
          <w:color w:val="1B1C1D"/>
          <w:sz w:val="24"/>
          <w:szCs w:val="24"/>
        </w:rPr>
        <w:t>ê</w:t>
      </w:r>
      <w:r w:rsidRPr="009058A3">
        <w:rPr>
          <w:rFonts w:ascii="Google Sans Text" w:eastAsia="Google Sans Text" w:hAnsi="Google Sans Text" w:cs="Google Sans Text"/>
          <w:color w:val="1B1C1D"/>
          <w:sz w:val="24"/>
          <w:szCs w:val="24"/>
        </w:rPr>
        <w:t>tes, alors pour les ar</w:t>
      </w:r>
      <w:r w:rsidRPr="009058A3">
        <w:rPr>
          <w:rFonts w:ascii="Google Sans Text" w:eastAsia="Google Sans Text" w:hAnsi="Google Sans Text" w:cs="___WRD_EMBED_SUB_49"/>
          <w:color w:val="1B1C1D"/>
          <w:sz w:val="24"/>
          <w:szCs w:val="24"/>
        </w:rPr>
        <w:t>ê</w:t>
      </w:r>
      <w:r w:rsidRPr="009058A3">
        <w:rPr>
          <w:rFonts w:ascii="Google Sans Text" w:eastAsia="Google Sans Text" w:hAnsi="Google Sans Text" w:cs="Google Sans Text"/>
          <w:color w:val="1B1C1D"/>
          <w:sz w:val="24"/>
          <w:szCs w:val="24"/>
        </w:rPr>
        <w:t>tes fortes (x,y)</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E:</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κ(x,y)≥1−(n⋅R⋅γ)/(4⋅τmin​⋅d​).</w:t>
      </w:r>
    </w:p>
    <w:p w14:paraId="72843A6C" w14:textId="77777777" w:rsidR="000A39C7" w:rsidRPr="009058A3" w:rsidRDefault="004E2E2C">
      <w:pPr>
        <w:pBdr>
          <w:top w:val="nil"/>
          <w:left w:val="nil"/>
          <w:bottom w:val="nil"/>
          <w:right w:val="nil"/>
          <w:between w:val="nil"/>
        </w:pBdr>
        <w:spacing w:before="120" w:after="240" w:line="275" w:lineRule="auto"/>
        <w:rPr>
          <w:rFonts w:ascii="Google Sans Text" w:eastAsia="Google Sans Text" w:hAnsi="Google Sans Text" w:cs="Google Sans Text"/>
          <w:color w:val="1B1C1D"/>
          <w:sz w:val="24"/>
          <w:szCs w:val="24"/>
        </w:rPr>
      </w:pPr>
      <w:r>
        <w:rPr>
          <w:rFonts w:ascii="Google Sans Text" w:hAnsi="Google Sans Text"/>
          <w:sz w:val="24"/>
          <w:szCs w:val="24"/>
        </w:rPr>
        <w:pict w14:anchorId="005463F5">
          <v:rect id="_x0000_i1028" style="width:0;height:1.5pt" o:hralign="center" o:bullet="t" o:hrstd="t" o:hr="t" fillcolor="#a0a0a0" stroked="f"/>
        </w:pict>
      </w:r>
    </w:p>
    <w:p w14:paraId="521040C4" w14:textId="1B0DB76A" w:rsidR="009D4709" w:rsidRPr="009058A3" w:rsidRDefault="009D4709" w:rsidP="009D4709">
      <w:pPr>
        <w:pStyle w:val="Titre4"/>
        <w:spacing w:after="120" w:line="275" w:lineRule="auto"/>
        <w:rPr>
          <w:rFonts w:ascii="Google Sans Text" w:eastAsia="Google Sans Text" w:hAnsi="Google Sans Text" w:cs="Google Sans Text"/>
          <w:b w:val="0"/>
          <w:color w:val="1B1C1D"/>
        </w:rPr>
      </w:pPr>
      <w:r w:rsidRPr="009058A3">
        <w:rPr>
          <w:rFonts w:ascii="Google Sans Text" w:eastAsia="Google Sans" w:hAnsi="Google Sans Text" w:cs="Google Sans"/>
          <w:b w:val="0"/>
          <w:bCs/>
          <w:color w:val="1B1C1D"/>
        </w:rPr>
        <w:br/>
      </w:r>
      <w:r w:rsidRPr="009058A3">
        <w:rPr>
          <w:rFonts w:ascii="Google Sans Text" w:eastAsia="Google Sans Text" w:hAnsi="Google Sans Text" w:cs="Google Sans Text"/>
          <w:b w:val="0"/>
          <w:color w:val="1B1C1D"/>
        </w:rPr>
        <w:br/>
      </w:r>
      <w:r w:rsidRPr="009058A3">
        <w:rPr>
          <w:rFonts w:ascii="Google Sans Text" w:eastAsia="Google Sans Text" w:hAnsi="Google Sans Text" w:cs="Google Sans Text"/>
          <w:bCs/>
          <w:color w:val="1B1C1D"/>
        </w:rPr>
        <w:t>Algorithme 1</w:t>
      </w:r>
      <w:r w:rsidRPr="009058A3">
        <w:rPr>
          <w:rFonts w:ascii="Google Sans Text" w:eastAsia="Google Sans Text" w:hAnsi="Google Sans Text" w:cs="Google Sans Text"/>
          <w:b w:val="0"/>
          <w:color w:val="1B1C1D"/>
        </w:rPr>
        <w:t xml:space="preserve"> — Sonde DAP (estimation de K(x), V(ε))</w:t>
      </w:r>
      <w:r w:rsidR="00416A55" w:rsidRPr="009058A3">
        <w:rPr>
          <w:rFonts w:ascii="Google Sans Text" w:eastAsia="Google Sans Text" w:hAnsi="Google Sans Text" w:cs="Google Sans Text"/>
          <w:b w:val="0"/>
          <w:color w:val="1B1C1D"/>
        </w:rPr>
        <w:br/>
      </w:r>
      <w:r w:rsidRPr="009058A3">
        <w:rPr>
          <w:rFonts w:ascii="Google Sans Text" w:eastAsia="Google Sans Text" w:hAnsi="Google Sans Text" w:cs="Google Sans Text"/>
          <w:b w:val="0"/>
          <w:color w:val="1B1C1D"/>
        </w:rPr>
        <w:t xml:space="preserve">Entrées : contexte c0, axe u </w:t>
      </w:r>
      <w:r w:rsidRPr="009058A3">
        <w:rPr>
          <w:rFonts w:ascii="Cambria Math" w:eastAsia="Google Sans Text" w:hAnsi="Cambria Math" w:cs="Cambria Math"/>
          <w:b w:val="0"/>
          <w:color w:val="1B1C1D"/>
        </w:rPr>
        <w:t>⟂</w:t>
      </w:r>
      <w:r w:rsidRPr="009058A3">
        <w:rPr>
          <w:rFonts w:ascii="Google Sans Text" w:eastAsia="Google Sans Text" w:hAnsi="Google Sans Text" w:cs="Google Sans Text"/>
          <w:b w:val="0"/>
          <w:color w:val="1B1C1D"/>
        </w:rPr>
        <w:t xml:space="preserve"> c0, angle ε (calibré, Annexe B), logits ℓ= A/τ</w:t>
      </w:r>
      <w:r w:rsidR="00416A55" w:rsidRPr="009058A3">
        <w:rPr>
          <w:rFonts w:ascii="Google Sans Text" w:eastAsia="Google Sans Text" w:hAnsi="Google Sans Text" w:cs="Google Sans Text"/>
          <w:b w:val="0"/>
          <w:color w:val="1B1C1D"/>
        </w:rPr>
        <w:br/>
      </w:r>
      <w:r w:rsidRPr="009058A3">
        <w:rPr>
          <w:rFonts w:ascii="Google Sans Text" w:eastAsia="Google Sans Text" w:hAnsi="Google Sans Text" w:cs="Google Sans Text"/>
          <w:b w:val="0"/>
          <w:color w:val="1B1C1D"/>
        </w:rPr>
        <w:t>1. cε ← Ru(ε) c0 ; p0 ← softmax(ℓ(c0)) ; pε ← softmax(ℓ(cε))</w:t>
      </w:r>
      <w:r w:rsidR="00416A55" w:rsidRPr="009058A3">
        <w:rPr>
          <w:rFonts w:ascii="Google Sans Text" w:eastAsia="Google Sans Text" w:hAnsi="Google Sans Text" w:cs="Google Sans Text"/>
          <w:b w:val="0"/>
          <w:color w:val="1B1C1D"/>
        </w:rPr>
        <w:br/>
      </w:r>
      <w:r w:rsidRPr="009058A3">
        <w:rPr>
          <w:rFonts w:ascii="Google Sans Text" w:eastAsia="Google Sans Text" w:hAnsi="Google Sans Text" w:cs="Google Sans Text"/>
          <w:b w:val="0"/>
          <w:color w:val="1B1C1D"/>
        </w:rPr>
        <w:t>2. V(ε) ← Σi</w:t>
      </w:r>
      <w:r w:rsidRPr="009058A3">
        <w:rPr>
          <w:rFonts w:ascii="Cambria Math" w:eastAsia="Google Sans Text" w:hAnsi="Cambria Math" w:cs="Cambria Math"/>
          <w:b w:val="0"/>
          <w:color w:val="1B1C1D"/>
        </w:rPr>
        <w:t>∈</w:t>
      </w:r>
      <w:r w:rsidRPr="009058A3">
        <w:rPr>
          <w:rFonts w:ascii="Google Sans Text" w:eastAsia="Google Sans Text" w:hAnsi="Google Sans Text" w:cs="Google Sans Text"/>
          <w:b w:val="0"/>
          <w:color w:val="1B1C1D"/>
        </w:rPr>
        <w:t>S</w:t>
      </w:r>
      <w:r w:rsidRPr="009058A3">
        <w:rPr>
          <w:rFonts w:ascii="Cambria Math" w:eastAsia="Google Sans Text" w:hAnsi="Cambria Math" w:cs="Cambria Math"/>
          <w:b w:val="0"/>
          <w:color w:val="1B1C1D"/>
        </w:rPr>
        <w:t>∪</w:t>
      </w:r>
      <w:r w:rsidRPr="009058A3">
        <w:rPr>
          <w:rFonts w:ascii="Google Sans Text" w:eastAsia="Google Sans Text" w:hAnsi="Google Sans Text" w:cs="Google Sans Text"/>
          <w:b w:val="0"/>
          <w:color w:val="1B1C1D"/>
        </w:rPr>
        <w:t>W |pε(i) – p0(i)|  ;  K(x) ← estimateur courbure locale (DAP)</w:t>
      </w:r>
      <w:r w:rsidR="00416A55" w:rsidRPr="009058A3">
        <w:rPr>
          <w:rFonts w:ascii="Google Sans Text" w:eastAsia="Google Sans Text" w:hAnsi="Google Sans Text" w:cs="Google Sans Text"/>
          <w:b w:val="0"/>
          <w:color w:val="1B1C1D"/>
        </w:rPr>
        <w:br/>
      </w:r>
      <w:r w:rsidRPr="009058A3">
        <w:rPr>
          <w:rFonts w:ascii="Google Sans Text" w:eastAsia="Google Sans Text" w:hAnsi="Google Sans Text" w:cs="Google Sans Text"/>
          <w:b w:val="0"/>
          <w:color w:val="1B1C1D"/>
        </w:rPr>
        <w:t>3. retourner (V(ε), K(x))</w:t>
      </w:r>
    </w:p>
    <w:p w14:paraId="2C23F528" w14:textId="59020BF6" w:rsidR="00C64932" w:rsidRPr="009058A3" w:rsidRDefault="009D4709" w:rsidP="00860A4D">
      <w:pPr>
        <w:pStyle w:val="Titre4"/>
        <w:spacing w:after="120" w:line="275" w:lineRule="auto"/>
        <w:rPr>
          <w:rFonts w:ascii="Google Sans Text" w:eastAsia="Google Sans Text" w:hAnsi="Google Sans Text" w:cs="Google Sans Text"/>
          <w:b w:val="0"/>
          <w:color w:val="1B1C1D"/>
        </w:rPr>
      </w:pPr>
      <w:r w:rsidRPr="009058A3">
        <w:rPr>
          <w:rFonts w:ascii="Google Sans Text" w:eastAsia="Google Sans Text" w:hAnsi="Google Sans Text" w:cs="Google Sans Text"/>
          <w:bCs/>
          <w:color w:val="1B1C1D"/>
        </w:rPr>
        <w:lastRenderedPageBreak/>
        <w:t>Algorithme 2</w:t>
      </w:r>
      <w:r w:rsidRPr="009058A3">
        <w:rPr>
          <w:rFonts w:ascii="Google Sans Text" w:eastAsia="Google Sans Text" w:hAnsi="Google Sans Text" w:cs="Google Sans Text"/>
          <w:b w:val="0"/>
          <w:color w:val="1B1C1D"/>
        </w:rPr>
        <w:t xml:space="preserve"> —</w:t>
      </w:r>
      <w:r w:rsidR="00860A4D" w:rsidRPr="009058A3">
        <w:rPr>
          <w:rFonts w:ascii="Google Sans Text" w:eastAsia="Google Sans Text" w:hAnsi="Google Sans Text" w:cs="Google Sans Text"/>
          <w:b w:val="0"/>
          <w:color w:val="1B1C1D"/>
        </w:rPr>
        <w:br/>
      </w:r>
      <w:r w:rsidR="00860A4D" w:rsidRPr="009058A3">
        <w:rPr>
          <w:rFonts w:ascii="Google Sans Text" w:eastAsia="Google Sans Text" w:hAnsi="Google Sans Text" w:cs="Google Sans Text"/>
          <w:b w:val="0"/>
          <w:color w:val="1B1C1D"/>
        </w:rPr>
        <w:br/>
        <w:t>Entrées : p0, V(ε), K(x)</w:t>
      </w:r>
      <w:r w:rsidR="00860A4D" w:rsidRPr="009058A3">
        <w:rPr>
          <w:rFonts w:ascii="Cambria Math" w:eastAsia="Google Sans Text" w:hAnsi="Cambria Math" w:cs="Cambria Math"/>
          <w:b w:val="0"/>
          <w:color w:val="1B1C1D"/>
        </w:rPr>
        <w:t>∈</w:t>
      </w:r>
      <w:r w:rsidR="00860A4D" w:rsidRPr="009058A3">
        <w:rPr>
          <w:rFonts w:ascii="Google Sans Text" w:eastAsia="Google Sans Text" w:hAnsi="Google Sans Text" w:cs="Google Sans Text"/>
          <w:b w:val="0"/>
          <w:color w:val="1B1C1D"/>
        </w:rPr>
        <w:t>{K_loc, \widehat{K}_{DAP}}, seuils (</w:t>
      </w:r>
      <w:r w:rsidR="00860A4D" w:rsidRPr="009058A3">
        <w:rPr>
          <w:rFonts w:ascii="Google Sans Text" w:eastAsia="Google Sans Text" w:hAnsi="Google Sans Text" w:cs="___WRD_EMBED_SUB_46"/>
          <w:b w:val="0"/>
          <w:color w:val="1B1C1D"/>
        </w:rPr>
        <w:t>η</w:t>
      </w:r>
      <w:r w:rsidR="00860A4D" w:rsidRPr="009058A3">
        <w:rPr>
          <w:rFonts w:ascii="Google Sans Text" w:eastAsia="Google Sans Text" w:hAnsi="Google Sans Text" w:cs="Google Sans Text"/>
          <w:b w:val="0"/>
          <w:color w:val="1B1C1D"/>
        </w:rPr>
        <w:t xml:space="preserve">, </w:t>
      </w:r>
      <w:r w:rsidR="00860A4D" w:rsidRPr="009058A3">
        <w:rPr>
          <w:rFonts w:ascii="Google Sans Text" w:eastAsia="Google Sans Text" w:hAnsi="Google Sans Text" w:cs="___WRD_EMBED_SUB_46"/>
          <w:b w:val="0"/>
          <w:color w:val="1B1C1D"/>
        </w:rPr>
        <w:t>κ</w:t>
      </w:r>
      <w:r w:rsidR="00860A4D" w:rsidRPr="009058A3">
        <w:rPr>
          <w:rFonts w:ascii="Google Sans Text" w:eastAsia="Google Sans Text" w:hAnsi="Google Sans Text" w:cs="Google Sans Text"/>
          <w:b w:val="0"/>
          <w:color w:val="1B1C1D"/>
        </w:rPr>
        <w:t xml:space="preserve">0, </w:t>
      </w:r>
      <w:r w:rsidR="00860A4D" w:rsidRPr="009058A3">
        <w:rPr>
          <w:rFonts w:ascii="Google Sans Text" w:eastAsia="Google Sans Text" w:hAnsi="Google Sans Text" w:cs="___WRD_EMBED_SUB_46"/>
          <w:b w:val="0"/>
          <w:color w:val="1B1C1D"/>
        </w:rPr>
        <w:t>α</w:t>
      </w:r>
      <w:r w:rsidR="00860A4D" w:rsidRPr="009058A3">
        <w:rPr>
          <w:rFonts w:ascii="Google Sans Text" w:eastAsia="Google Sans Text" w:hAnsi="Google Sans Text" w:cs="Google Sans Text"/>
          <w:b w:val="0"/>
          <w:color w:val="1B1C1D"/>
        </w:rPr>
        <w:t>), T_base</w:t>
      </w:r>
      <w:r w:rsidR="00860A4D" w:rsidRPr="009058A3">
        <w:rPr>
          <w:rFonts w:ascii="Google Sans Text" w:eastAsia="Google Sans Text" w:hAnsi="Google Sans Text" w:cs="Google Sans Text"/>
          <w:b w:val="0"/>
          <w:color w:val="1B1C1D"/>
        </w:rPr>
        <w:br/>
        <w:t xml:space="preserve">1. Si [ p0 ≤ η  ET  K(x) ≤ 0 ] </w:t>
      </w:r>
      <w:r w:rsidR="00860A4D" w:rsidRPr="009058A3">
        <w:rPr>
          <w:rFonts w:ascii="Cambria Math" w:eastAsia="Google Sans Text" w:hAnsi="Cambria Math" w:cs="Cambria Math"/>
          <w:b w:val="0"/>
          <w:color w:val="1B1C1D"/>
        </w:rPr>
        <w:t>⇒</w:t>
      </w:r>
      <w:r w:rsidR="00860A4D" w:rsidRPr="009058A3">
        <w:rPr>
          <w:rFonts w:ascii="Google Sans Text" w:eastAsia="Google Sans Text" w:hAnsi="Google Sans Text" w:cs="Google Sans Text"/>
          <w:b w:val="0"/>
          <w:color w:val="1B1C1D"/>
        </w:rPr>
        <w:t xml:space="preserve"> ABSTENTION (R6-ter).</w:t>
      </w:r>
      <w:r w:rsidR="00860A4D" w:rsidRPr="009058A3">
        <w:rPr>
          <w:rFonts w:ascii="Google Sans Text" w:eastAsia="Google Sans Text" w:hAnsi="Google Sans Text" w:cs="Google Sans Text"/>
          <w:b w:val="0"/>
          <w:color w:val="1B1C1D"/>
        </w:rPr>
        <w:br/>
        <w:t xml:space="preserve">2. Sinon si [ K(x) ≤ κ0 ] </w:t>
      </w:r>
      <w:r w:rsidR="00860A4D" w:rsidRPr="009058A3">
        <w:rPr>
          <w:rFonts w:ascii="Cambria Math" w:eastAsia="Google Sans Text" w:hAnsi="Cambria Math" w:cs="Cambria Math"/>
          <w:b w:val="0"/>
          <w:color w:val="1B1C1D"/>
        </w:rPr>
        <w:t>⇒</w:t>
      </w:r>
      <w:r w:rsidR="00860A4D" w:rsidRPr="009058A3">
        <w:rPr>
          <w:rFonts w:ascii="Google Sans Text" w:eastAsia="Google Sans Text" w:hAnsi="Google Sans Text" w:cs="Google Sans Text"/>
          <w:b w:val="0"/>
          <w:color w:val="1B1C1D"/>
        </w:rPr>
        <w:t xml:space="preserve"> ABSTENTION (R6-bis).</w:t>
      </w:r>
      <w:r w:rsidR="00860A4D" w:rsidRPr="009058A3">
        <w:rPr>
          <w:rFonts w:ascii="Google Sans Text" w:eastAsia="Google Sans Text" w:hAnsi="Google Sans Text" w:cs="Google Sans Text"/>
          <w:b w:val="0"/>
          <w:color w:val="1B1C1D"/>
        </w:rPr>
        <w:br/>
        <w:t>3. Sinon T_dyn ← T_base + α·V(ε) ; échantillonner avec T_dyn ; émettre le token.</w:t>
      </w:r>
      <w:r w:rsidR="00860A4D" w:rsidRPr="009058A3">
        <w:rPr>
          <w:rFonts w:ascii="Google Sans Text" w:eastAsia="Google Sans Text" w:hAnsi="Google Sans Text" w:cs="Google Sans Text"/>
          <w:b w:val="0"/>
          <w:color w:val="1B1C1D"/>
        </w:rPr>
        <w:br/>
        <w:t>Journaliser {V(ε), K(x), p0, T_dyn, drapeaux R6} (Annexe H).</w:t>
      </w:r>
      <w:r w:rsidR="00860A4D" w:rsidRPr="009058A3">
        <w:rPr>
          <w:rFonts w:ascii="Google Sans Text" w:eastAsia="Google Sans Text" w:hAnsi="Google Sans Text" w:cs="Google Sans Text"/>
          <w:b w:val="0"/>
          <w:color w:val="1B1C1D"/>
        </w:rPr>
        <w:br/>
      </w:r>
      <w:r w:rsidR="00C64932" w:rsidRPr="009058A3">
        <w:rPr>
          <w:rFonts w:ascii="Google Sans Text" w:eastAsia="Google Sans Text" w:hAnsi="Google Sans Text" w:cs="Google Sans Text"/>
          <w:b w:val="0"/>
          <w:color w:val="1B1C1D"/>
        </w:rPr>
        <w:br/>
        <w:t>K_loc(x) := \kappa_{\rm loc}(x)  (cf. Définition 1)</w:t>
      </w:r>
    </w:p>
    <w:p w14:paraId="4C6C8049" w14:textId="4ADA9925" w:rsidR="00871AF8" w:rsidRPr="009058A3" w:rsidRDefault="00C64932" w:rsidP="00C64932">
      <w:pPr>
        <w:pStyle w:val="Titre4"/>
        <w:spacing w:after="120" w:line="275" w:lineRule="auto"/>
        <w:rPr>
          <w:rFonts w:ascii="Google Sans Text" w:eastAsia="Google Sans Text" w:hAnsi="Google Sans Text" w:cs="Google Sans Text"/>
          <w:b w:val="0"/>
          <w:color w:val="1B1C1D"/>
        </w:rPr>
      </w:pPr>
      <w:r w:rsidRPr="009058A3">
        <w:rPr>
          <w:rFonts w:ascii="Google Sans Text" w:eastAsia="Google Sans Text" w:hAnsi="Google Sans Text" w:cs="Google Sans Text"/>
          <w:b w:val="0"/>
          <w:color w:val="1B1C1D"/>
        </w:rPr>
        <w:t xml:space="preserve">Règle 6-bis (modifiée) : si K_loc(x) \le \kappa_0  </w:t>
      </w:r>
      <w:r w:rsidRPr="009058A3">
        <w:rPr>
          <w:rFonts w:ascii="Cambria Math" w:eastAsia="Google Sans Text" w:hAnsi="Cambria Math" w:cs="Cambria Math"/>
          <w:b w:val="0"/>
          <w:color w:val="1B1C1D"/>
        </w:rPr>
        <w:t>⇒</w:t>
      </w:r>
      <w:r w:rsidRPr="009058A3">
        <w:rPr>
          <w:rFonts w:ascii="Google Sans Text" w:eastAsia="Google Sans Text" w:hAnsi="Google Sans Text" w:cs="Google Sans Text"/>
          <w:b w:val="0"/>
          <w:color w:val="1B1C1D"/>
        </w:rPr>
        <w:t xml:space="preserve">  ABSTENTION.</w:t>
      </w:r>
      <w:r w:rsidR="00D757E6" w:rsidRPr="009058A3">
        <w:rPr>
          <w:rStyle w:val="Appelnotedebasdep"/>
          <w:rFonts w:ascii="Google Sans Text" w:eastAsia="Google Sans Text" w:hAnsi="Google Sans Text" w:cs="Google Sans Text"/>
          <w:b w:val="0"/>
          <w:color w:val="1B1C1D"/>
        </w:rPr>
        <w:footnoteReference w:id="6"/>
      </w:r>
      <w:r w:rsidR="00C3110C" w:rsidRPr="009058A3">
        <w:rPr>
          <w:rFonts w:ascii="Google Sans Text" w:eastAsia="Google Sans Text" w:hAnsi="Google Sans Text" w:cs="Google Sans Text"/>
          <w:b w:val="0"/>
          <w:color w:val="1B1C1D"/>
        </w:rPr>
        <w:br/>
      </w:r>
      <w:r w:rsidR="00416A55" w:rsidRPr="009058A3">
        <w:rPr>
          <w:rFonts w:ascii="Google Sans Text" w:eastAsia="Google Sans Text" w:hAnsi="Google Sans Text" w:cs="Google Sans Text"/>
          <w:b w:val="0"/>
          <w:color w:val="1B1C1D"/>
        </w:rPr>
        <w:br/>
      </w:r>
      <w:r w:rsidR="009D4709" w:rsidRPr="009058A3">
        <w:rPr>
          <w:rFonts w:ascii="Google Sans Text" w:eastAsia="Google Sans Text" w:hAnsi="Google Sans Text" w:cs="Google Sans Text"/>
          <w:b w:val="0"/>
          <w:color w:val="1B1C1D"/>
        </w:rPr>
        <w:t xml:space="preserve">1. si [p0 ≤ η ET K(x) ≤ 0]  </w:t>
      </w:r>
      <w:r w:rsidR="009D4709" w:rsidRPr="009058A3">
        <w:rPr>
          <w:rFonts w:ascii="Cambria Math" w:eastAsia="Google Sans Text" w:hAnsi="Cambria Math" w:cs="Cambria Math"/>
          <w:b w:val="0"/>
          <w:color w:val="1B1C1D"/>
        </w:rPr>
        <w:t>⇒</w:t>
      </w:r>
      <w:r w:rsidR="009D4709" w:rsidRPr="009058A3">
        <w:rPr>
          <w:rFonts w:ascii="Google Sans Text" w:eastAsia="Google Sans Text" w:hAnsi="Google Sans Text" w:cs="Google Sans Text"/>
          <w:b w:val="0"/>
          <w:color w:val="1B1C1D"/>
        </w:rPr>
        <w:t xml:space="preserve"> ABSTENTION (R6‑ter)</w:t>
      </w:r>
      <w:r w:rsidR="00416A55" w:rsidRPr="009058A3">
        <w:rPr>
          <w:rFonts w:ascii="Google Sans Text" w:eastAsia="Google Sans Text" w:hAnsi="Google Sans Text" w:cs="Google Sans Text"/>
          <w:b w:val="0"/>
          <w:color w:val="1B1C1D"/>
        </w:rPr>
        <w:br/>
      </w:r>
      <w:r w:rsidR="009D4709" w:rsidRPr="009058A3">
        <w:rPr>
          <w:rFonts w:ascii="Google Sans Text" w:eastAsia="Google Sans Text" w:hAnsi="Google Sans Text" w:cs="Google Sans Text"/>
          <w:b w:val="0"/>
          <w:color w:val="1B1C1D"/>
        </w:rPr>
        <w:t xml:space="preserve">2. sinon si [K(x) ≤ κ0]     </w:t>
      </w:r>
      <w:r w:rsidR="009D4709" w:rsidRPr="009058A3">
        <w:rPr>
          <w:rFonts w:ascii="Cambria Math" w:eastAsia="Google Sans Text" w:hAnsi="Cambria Math" w:cs="Cambria Math"/>
          <w:b w:val="0"/>
          <w:color w:val="1B1C1D"/>
        </w:rPr>
        <w:t>⇒</w:t>
      </w:r>
      <w:r w:rsidR="009D4709" w:rsidRPr="009058A3">
        <w:rPr>
          <w:rFonts w:ascii="Google Sans Text" w:eastAsia="Google Sans Text" w:hAnsi="Google Sans Text" w:cs="Google Sans Text"/>
          <w:b w:val="0"/>
          <w:color w:val="1B1C1D"/>
        </w:rPr>
        <w:t xml:space="preserve"> ABSTENTION (R6‑bis)</w:t>
      </w:r>
      <w:r w:rsidR="00416A55" w:rsidRPr="009058A3">
        <w:rPr>
          <w:rFonts w:ascii="Google Sans Text" w:eastAsia="Google Sans Text" w:hAnsi="Google Sans Text" w:cs="Google Sans Text"/>
          <w:b w:val="0"/>
          <w:color w:val="1B1C1D"/>
        </w:rPr>
        <w:br/>
      </w:r>
      <w:r w:rsidR="009D4709" w:rsidRPr="009058A3">
        <w:rPr>
          <w:rFonts w:ascii="Google Sans Text" w:eastAsia="Google Sans Text" w:hAnsi="Google Sans Text" w:cs="Google Sans Text"/>
          <w:b w:val="0"/>
          <w:color w:val="1B1C1D"/>
        </w:rPr>
        <w:t>3. sinon Tdyn ← Tbase + α·V(ε) ; échantillonner avec Tdyn ; émettre le token</w:t>
      </w:r>
    </w:p>
    <w:p w14:paraId="2CF1A9BD" w14:textId="3737BD9D" w:rsidR="00295764" w:rsidRPr="009058A3" w:rsidRDefault="003B588E" w:rsidP="0092076B">
      <w:pPr>
        <w:pStyle w:val="Titre4"/>
        <w:spacing w:after="120" w:line="275" w:lineRule="auto"/>
        <w:rPr>
          <w:rFonts w:ascii="Google Sans Text" w:eastAsia="Google Sans" w:hAnsi="Google Sans Text" w:cs="Google Sans"/>
          <w:b w:val="0"/>
          <w:bCs/>
          <w:color w:val="1B1C1D"/>
        </w:rPr>
      </w:pPr>
      <w:r w:rsidRPr="009058A3">
        <w:rPr>
          <w:rFonts w:ascii="Google Sans Text" w:eastAsia="Google Sans" w:hAnsi="Google Sans Text" w:cs="Google Sans"/>
          <w:b w:val="0"/>
          <w:bCs/>
          <w:i/>
          <w:iCs/>
          <w:color w:val="1B1C1D"/>
        </w:rPr>
        <w:t>Remarque pratique</w:t>
      </w:r>
      <w:r w:rsidRPr="009058A3">
        <w:rPr>
          <w:rFonts w:eastAsia="Google Sans"/>
          <w:b w:val="0"/>
          <w:bCs/>
          <w:color w:val="1B1C1D"/>
        </w:rPr>
        <w:t> </w:t>
      </w:r>
      <w:r w:rsidRPr="009058A3">
        <w:rPr>
          <w:rFonts w:ascii="Google Sans Text" w:eastAsia="Google Sans" w:hAnsi="Google Sans Text" w:cs="Google Sans"/>
          <w:b w:val="0"/>
          <w:bCs/>
          <w:color w:val="1B1C1D"/>
        </w:rPr>
        <w:t>: calibrer ε\varepsilonε via Annexe</w:t>
      </w:r>
      <w:r w:rsidRPr="009058A3">
        <w:rPr>
          <w:rFonts w:eastAsia="Google Sans"/>
          <w:b w:val="0"/>
          <w:bCs/>
          <w:color w:val="1B1C1D"/>
        </w:rPr>
        <w:t> </w:t>
      </w:r>
      <w:r w:rsidRPr="009058A3">
        <w:rPr>
          <w:rFonts w:ascii="Google Sans Text" w:eastAsia="Google Sans" w:hAnsi="Google Sans Text" w:cs="Google Sans"/>
          <w:b w:val="0"/>
          <w:bCs/>
          <w:color w:val="1B1C1D"/>
        </w:rPr>
        <w:t>B.5 (r</w:t>
      </w:r>
      <w:r w:rsidRPr="009058A3">
        <w:rPr>
          <w:rFonts w:ascii="Google Sans Text" w:eastAsia="Google Sans" w:hAnsi="Google Sans Text" w:cs="___WRD_EMBED_SUB_46"/>
          <w:b w:val="0"/>
          <w:bCs/>
          <w:color w:val="1B1C1D"/>
        </w:rPr>
        <w:t>é</w:t>
      </w:r>
      <w:r w:rsidRPr="009058A3">
        <w:rPr>
          <w:rFonts w:ascii="Google Sans Text" w:eastAsia="Google Sans" w:hAnsi="Google Sans Text" w:cs="Google Sans"/>
          <w:b w:val="0"/>
          <w:bCs/>
          <w:color w:val="1B1C1D"/>
        </w:rPr>
        <w:t>gime lin</w:t>
      </w:r>
      <w:r w:rsidRPr="009058A3">
        <w:rPr>
          <w:rFonts w:ascii="Google Sans Text" w:eastAsia="Google Sans" w:hAnsi="Google Sans Text" w:cs="___WRD_EMBED_SUB_46"/>
          <w:b w:val="0"/>
          <w:bCs/>
          <w:color w:val="1B1C1D"/>
        </w:rPr>
        <w:t>é</w:t>
      </w:r>
      <w:r w:rsidRPr="009058A3">
        <w:rPr>
          <w:rFonts w:ascii="Google Sans Text" w:eastAsia="Google Sans" w:hAnsi="Google Sans Text" w:cs="Google Sans"/>
          <w:b w:val="0"/>
          <w:bCs/>
          <w:color w:val="1B1C1D"/>
        </w:rPr>
        <w:t>aire, η&lt;0,1\eta&lt;0{,}1η&lt;0,1) et documenter τmin</w:t>
      </w:r>
      <w:r w:rsidRPr="009058A3">
        <w:rPr>
          <w:rFonts w:ascii="Cambria Math" w:eastAsia="Google Sans" w:hAnsi="Cambria Math" w:cs="Cambria Math"/>
          <w:b w:val="0"/>
          <w:bCs/>
          <w:color w:val="1B1C1D"/>
        </w:rPr>
        <w:t>⁡</w:t>
      </w:r>
      <w:r w:rsidRPr="009058A3">
        <w:rPr>
          <w:rFonts w:ascii="Google Sans Text" w:eastAsia="Google Sans" w:hAnsi="Google Sans Text" w:cs="Google Sans"/>
          <w:b w:val="0"/>
          <w:bCs/>
          <w:color w:val="1B1C1D"/>
        </w:rPr>
        <w:t>\tau_{\min}τmin​.</w:t>
      </w:r>
    </w:p>
    <w:p w14:paraId="662DC735" w14:textId="06E9A65A" w:rsidR="0092076B" w:rsidRPr="009058A3" w:rsidRDefault="0092076B" w:rsidP="00295764">
      <w:pPr>
        <w:pStyle w:val="Titre4"/>
        <w:pBdr>
          <w:top w:val="single" w:sz="4" w:space="1" w:color="auto"/>
          <w:left w:val="single" w:sz="4" w:space="1" w:color="auto"/>
          <w:bottom w:val="single" w:sz="4" w:space="1" w:color="auto"/>
          <w:right w:val="single" w:sz="4" w:space="1" w:color="auto"/>
        </w:pBdr>
        <w:spacing w:after="120" w:line="275" w:lineRule="auto"/>
        <w:rPr>
          <w:rFonts w:ascii="Google Sans Text" w:eastAsia="Google Sans" w:hAnsi="Google Sans Text" w:cs="Google Sans"/>
          <w:b w:val="0"/>
          <w:color w:val="1B1C1D"/>
        </w:rPr>
      </w:pPr>
      <w:r w:rsidRPr="009058A3">
        <w:rPr>
          <w:rFonts w:ascii="Google Sans Text" w:eastAsia="Google Sans" w:hAnsi="Google Sans Text" w:cs="Google Sans"/>
          <w:b w:val="0"/>
          <w:bCs/>
          <w:color w:val="1B1C1D"/>
        </w:rPr>
        <w:br/>
      </w:r>
      <w:r w:rsidRPr="009058A3">
        <w:rPr>
          <w:rFonts w:ascii="Google Sans Text" w:eastAsia="Google Sans" w:hAnsi="Google Sans Text" w:cs="Google Sans"/>
          <w:b w:val="0"/>
          <w:color w:val="1B1C1D"/>
        </w:rPr>
        <w:t>Domaines de validité</w:t>
      </w:r>
      <w:r w:rsidR="00A86E97" w:rsidRPr="009058A3">
        <w:rPr>
          <w:rStyle w:val="Appelnotedebasdep"/>
          <w:rFonts w:ascii="Google Sans Text" w:eastAsia="Google Sans" w:hAnsi="Google Sans Text" w:cs="Google Sans"/>
          <w:b w:val="0"/>
          <w:color w:val="1B1C1D"/>
        </w:rPr>
        <w:footnoteReference w:id="7"/>
      </w:r>
      <w:r w:rsidRPr="009058A3">
        <w:rPr>
          <w:rFonts w:ascii="Google Sans Text" w:eastAsia="Google Sans" w:hAnsi="Google Sans Text" w:cs="Google Sans"/>
          <w:b w:val="0"/>
          <w:color w:val="1B1C1D"/>
        </w:rPr>
        <w:t xml:space="preserve"> (Th.</w:t>
      </w:r>
      <w:r w:rsidRPr="009058A3">
        <w:rPr>
          <w:rFonts w:eastAsia="Google Sans"/>
          <w:b w:val="0"/>
          <w:color w:val="1B1C1D"/>
        </w:rPr>
        <w:t> </w:t>
      </w:r>
      <w:r w:rsidRPr="009058A3">
        <w:rPr>
          <w:rFonts w:ascii="Google Sans Text" w:eastAsia="Google Sans" w:hAnsi="Google Sans Text" w:cs="Google Sans"/>
          <w:b w:val="0"/>
          <w:color w:val="1B1C1D"/>
        </w:rPr>
        <w:t>1</w:t>
      </w:r>
      <w:r w:rsidRPr="009058A3">
        <w:rPr>
          <w:rFonts w:ascii="Google Sans Text" w:eastAsia="Google Sans" w:hAnsi="Google Sans Text" w:cs="___WRD_EMBED_SUB_46"/>
          <w:b w:val="0"/>
          <w:color w:val="1B1C1D"/>
        </w:rPr>
        <w:t>–</w:t>
      </w:r>
      <w:r w:rsidRPr="009058A3">
        <w:rPr>
          <w:rFonts w:ascii="Google Sans Text" w:eastAsia="Google Sans" w:hAnsi="Google Sans Text" w:cs="Google Sans"/>
          <w:b w:val="0"/>
          <w:color w:val="1B1C1D"/>
        </w:rPr>
        <w:t>2). Les bornes κ(x,y)≥1−nCattn2τmin</w:t>
      </w:r>
      <w:r w:rsidRPr="009058A3">
        <w:rPr>
          <w:rFonts w:ascii="Cambria Math" w:eastAsia="Google Sans" w:hAnsi="Cambria Math" w:cs="Cambria Math"/>
          <w:b w:val="0"/>
          <w:color w:val="1B1C1D"/>
        </w:rPr>
        <w:t>⁡</w:t>
      </w:r>
      <w:r w:rsidRPr="009058A3">
        <w:rPr>
          <w:rFonts w:ascii="Google Sans Text" w:eastAsia="Google Sans" w:hAnsi="Google Sans Text" w:cs="Google Sans"/>
          <w:b w:val="0"/>
          <w:color w:val="1B1C1D"/>
        </w:rPr>
        <w:t>\kappa(x,y)\ge 1-\frac{n C_{\rm attn}}{2\tau_{\min}}κ(x,y)≥1−2τmin​nCattn​​ et</w:t>
      </w:r>
      <w:r w:rsidR="00A86E97" w:rsidRPr="009058A3">
        <w:rPr>
          <w:rFonts w:ascii="Google Sans Text" w:eastAsia="Google Sans" w:hAnsi="Google Sans Text" w:cs="Google Sans"/>
          <w:b w:val="0"/>
          <w:color w:val="1B1C1D"/>
        </w:rPr>
        <w:t xml:space="preserve"> </w:t>
      </w:r>
      <w:r w:rsidRPr="009058A3">
        <w:rPr>
          <w:rFonts w:ascii="Google Sans Text" w:eastAsia="Google Sans" w:hAnsi="Google Sans Text" w:cs="Google Sans"/>
          <w:b w:val="0"/>
          <w:color w:val="1B1C1D"/>
        </w:rPr>
        <w:t>κ(x,y)≥1−nRγ4τmin</w:t>
      </w:r>
      <w:r w:rsidRPr="009058A3">
        <w:rPr>
          <w:rFonts w:ascii="Cambria Math" w:eastAsia="Google Sans" w:hAnsi="Cambria Math" w:cs="Cambria Math"/>
          <w:b w:val="0"/>
          <w:color w:val="1B1C1D"/>
        </w:rPr>
        <w:t>⁡</w:t>
      </w:r>
      <w:r w:rsidRPr="009058A3">
        <w:rPr>
          <w:rFonts w:ascii="Google Sans Text" w:eastAsia="Google Sans" w:hAnsi="Google Sans Text" w:cs="Google Sans"/>
          <w:b w:val="0"/>
          <w:color w:val="1B1C1D"/>
        </w:rPr>
        <w:t>d\kappa(x,y)\ge 1-\frac{nR\gamma}{4\tau_{\min}d}κ(x,y)≥1−4τmin​dnRγ​ sont significatives si</w:t>
      </w:r>
    </w:p>
    <w:p w14:paraId="05402D2D" w14:textId="77777777" w:rsidR="0092076B" w:rsidRPr="009058A3" w:rsidRDefault="0092076B" w:rsidP="00295764">
      <w:pPr>
        <w:pStyle w:val="Titre4"/>
        <w:pBdr>
          <w:top w:val="single" w:sz="4" w:space="1" w:color="auto"/>
          <w:left w:val="single" w:sz="4" w:space="1" w:color="auto"/>
          <w:bottom w:val="single" w:sz="4" w:space="1" w:color="auto"/>
          <w:right w:val="single" w:sz="4" w:space="1" w:color="auto"/>
        </w:pBdr>
        <w:spacing w:after="120" w:line="275" w:lineRule="auto"/>
        <w:rPr>
          <w:rFonts w:ascii="Google Sans Text" w:eastAsia="Google Sans" w:hAnsi="Google Sans Text" w:cs="Google Sans"/>
          <w:b w:val="0"/>
          <w:color w:val="1B1C1D"/>
        </w:rPr>
      </w:pPr>
      <w:r w:rsidRPr="009058A3">
        <w:rPr>
          <w:rFonts w:ascii="Google Sans Text" w:eastAsia="Google Sans" w:hAnsi="Google Sans Text" w:cs="Google Sans"/>
          <w:b w:val="0"/>
          <w:color w:val="1B1C1D"/>
        </w:rPr>
        <w:t>nCattn2τmin</w:t>
      </w:r>
      <w:r w:rsidRPr="009058A3">
        <w:rPr>
          <w:rFonts w:ascii="Cambria Math" w:eastAsia="Google Sans" w:hAnsi="Cambria Math" w:cs="Cambria Math"/>
          <w:b w:val="0"/>
          <w:color w:val="1B1C1D"/>
        </w:rPr>
        <w:t>⁡</w:t>
      </w:r>
      <w:r w:rsidRPr="009058A3">
        <w:rPr>
          <w:rFonts w:ascii="Google Sans Text" w:eastAsia="Google Sans" w:hAnsi="Google Sans Text" w:cs="Google Sans"/>
          <w:b w:val="0"/>
          <w:color w:val="1B1C1D"/>
        </w:rPr>
        <w:t>&lt;1etnR</w:t>
      </w:r>
      <w:r w:rsidRPr="009058A3">
        <w:rPr>
          <w:rFonts w:ascii="Google Sans Text" w:eastAsia="Google Sans" w:hAnsi="Google Sans Text" w:cs="___WRD_EMBED_SUB_46"/>
          <w:b w:val="0"/>
          <w:color w:val="1B1C1D"/>
        </w:rPr>
        <w:t>γ</w:t>
      </w:r>
      <w:r w:rsidRPr="009058A3">
        <w:rPr>
          <w:rFonts w:ascii="Google Sans Text" w:eastAsia="Google Sans" w:hAnsi="Google Sans Text" w:cs="Google Sans"/>
          <w:b w:val="0"/>
          <w:color w:val="1B1C1D"/>
        </w:rPr>
        <w:t>4</w:t>
      </w:r>
      <w:r w:rsidRPr="009058A3">
        <w:rPr>
          <w:rFonts w:ascii="Google Sans Text" w:eastAsia="Google Sans" w:hAnsi="Google Sans Text" w:cs="___WRD_EMBED_SUB_46"/>
          <w:b w:val="0"/>
          <w:color w:val="1B1C1D"/>
        </w:rPr>
        <w:t>τ</w:t>
      </w:r>
      <w:r w:rsidRPr="009058A3">
        <w:rPr>
          <w:rFonts w:ascii="Google Sans Text" w:eastAsia="Google Sans" w:hAnsi="Google Sans Text" w:cs="Google Sans"/>
          <w:b w:val="0"/>
          <w:color w:val="1B1C1D"/>
        </w:rPr>
        <w:t>min</w:t>
      </w:r>
      <w:r w:rsidRPr="009058A3">
        <w:rPr>
          <w:rFonts w:ascii="Cambria Math" w:eastAsia="Google Sans" w:hAnsi="Cambria Math" w:cs="Cambria Math"/>
          <w:b w:val="0"/>
          <w:color w:val="1B1C1D"/>
        </w:rPr>
        <w:t>⁡</w:t>
      </w:r>
      <w:r w:rsidRPr="009058A3">
        <w:rPr>
          <w:rFonts w:ascii="Google Sans Text" w:eastAsia="Google Sans" w:hAnsi="Google Sans Text" w:cs="Google Sans"/>
          <w:b w:val="0"/>
          <w:color w:val="1B1C1D"/>
        </w:rPr>
        <w:t xml:space="preserve">d&lt;1,\frac{n C_{\rm attn}}{2\tau_{\min}} &lt; 1 \quad\text{et}\quad \frac{nR\gamma}{4\tau_{\min}d} &lt; 1,2τmin​nCattn​​&lt;1et4τmin​dnRγ​&lt;1, </w:t>
      </w:r>
    </w:p>
    <w:p w14:paraId="0A11C090" w14:textId="60033E4A" w:rsidR="0092076B" w:rsidRPr="009058A3" w:rsidRDefault="0092076B" w:rsidP="00295764">
      <w:pPr>
        <w:pStyle w:val="Titre4"/>
        <w:pBdr>
          <w:top w:val="single" w:sz="4" w:space="1" w:color="auto"/>
          <w:left w:val="single" w:sz="4" w:space="1" w:color="auto"/>
          <w:bottom w:val="single" w:sz="4" w:space="1" w:color="auto"/>
          <w:right w:val="single" w:sz="4" w:space="1" w:color="auto"/>
        </w:pBdr>
        <w:spacing w:before="0" w:after="120" w:line="275" w:lineRule="auto"/>
        <w:rPr>
          <w:rFonts w:ascii="Google Sans Text" w:eastAsia="Google Sans" w:hAnsi="Google Sans Text" w:cs="Google Sans"/>
          <w:b w:val="0"/>
          <w:color w:val="1B1C1D"/>
        </w:rPr>
      </w:pPr>
      <w:r w:rsidRPr="009058A3">
        <w:rPr>
          <w:rFonts w:ascii="Google Sans Text" w:eastAsia="Google Sans" w:hAnsi="Google Sans Text" w:cs="Google Sans"/>
          <w:b w:val="0"/>
          <w:color w:val="1B1C1D"/>
        </w:rPr>
        <w:t>ce qui fixe des régimes cibles pour (n,d,τmin</w:t>
      </w:r>
      <w:r w:rsidRPr="009058A3">
        <w:rPr>
          <w:rFonts w:ascii="Cambria Math" w:eastAsia="Google Sans" w:hAnsi="Cambria Math" w:cs="Cambria Math"/>
          <w:b w:val="0"/>
          <w:color w:val="1B1C1D"/>
        </w:rPr>
        <w:t>⁡</w:t>
      </w:r>
      <w:r w:rsidRPr="009058A3">
        <w:rPr>
          <w:rFonts w:ascii="Google Sans Text" w:eastAsia="Google Sans" w:hAnsi="Google Sans Text" w:cs="Google Sans"/>
          <w:b w:val="0"/>
          <w:color w:val="1B1C1D"/>
        </w:rPr>
        <w:t>,Cattn,R,</w:t>
      </w:r>
      <w:r w:rsidRPr="009058A3">
        <w:rPr>
          <w:rFonts w:ascii="Google Sans Text" w:eastAsia="Google Sans" w:hAnsi="Google Sans Text" w:cs="___WRD_EMBED_SUB_46"/>
          <w:b w:val="0"/>
          <w:color w:val="1B1C1D"/>
        </w:rPr>
        <w:t>γ</w:t>
      </w:r>
      <w:r w:rsidRPr="009058A3">
        <w:rPr>
          <w:rFonts w:ascii="Google Sans Text" w:eastAsia="Google Sans" w:hAnsi="Google Sans Text" w:cs="Google Sans"/>
          <w:b w:val="0"/>
          <w:color w:val="1B1C1D"/>
        </w:rPr>
        <w:t>)(n,d,\tau_{\min},C_{\rm attn},R,\gamma)(n,d,τmin​,Cattn​,R,γ). Les valeurs retenues et tolérances doivent être publiées en Annexe</w:t>
      </w:r>
      <w:r w:rsidRPr="009058A3">
        <w:rPr>
          <w:rFonts w:eastAsia="Google Sans"/>
          <w:b w:val="0"/>
          <w:color w:val="1B1C1D"/>
        </w:rPr>
        <w:t> </w:t>
      </w:r>
      <w:r w:rsidRPr="009058A3">
        <w:rPr>
          <w:rFonts w:ascii="Google Sans Text" w:eastAsia="Google Sans" w:hAnsi="Google Sans Text" w:cs="Google Sans"/>
          <w:b w:val="0"/>
          <w:color w:val="1B1C1D"/>
        </w:rPr>
        <w:t>H (configs, seeds).</w:t>
      </w:r>
      <w:r w:rsidRPr="009058A3">
        <w:rPr>
          <w:rFonts w:ascii="Google Sans Text" w:eastAsia="Google Sans" w:hAnsi="Google Sans Text" w:cs="Google Sans"/>
          <w:b w:val="0"/>
          <w:color w:val="1B1C1D"/>
        </w:rPr>
        <w:br/>
      </w:r>
    </w:p>
    <w:p w14:paraId="186676A9" w14:textId="6615040A" w:rsidR="000A39C7" w:rsidRPr="009058A3" w:rsidRDefault="00DD6ACA" w:rsidP="00555B69">
      <w:pPr>
        <w:pStyle w:val="Titre4"/>
        <w:spacing w:before="0" w:after="120" w:line="275" w:lineRule="auto"/>
        <w:rPr>
          <w:rFonts w:ascii="Google Sans Text" w:eastAsia="Google Sans" w:hAnsi="Google Sans Text" w:cs="Google Sans"/>
          <w:color w:val="1B1C1D"/>
        </w:rPr>
      </w:pPr>
      <w:r w:rsidRPr="009058A3">
        <w:rPr>
          <w:rFonts w:ascii="Google Sans Text" w:eastAsia="Google Sans" w:hAnsi="Google Sans Text" w:cs="Google Sans"/>
          <w:color w:val="1B1C1D"/>
        </w:rPr>
        <w:br/>
      </w:r>
      <w:r w:rsidRPr="009058A3">
        <w:rPr>
          <w:rFonts w:ascii="Google Sans Text" w:eastAsia="Google Sans" w:hAnsi="Google Sans Text" w:cs="Google Sans"/>
          <w:color w:val="1B1C1D"/>
        </w:rPr>
        <w:br/>
      </w:r>
      <w:r w:rsidR="009F0CDF" w:rsidRPr="009058A3">
        <w:rPr>
          <w:rFonts w:ascii="Google Sans Text" w:eastAsia="Google Sans" w:hAnsi="Google Sans Text" w:cs="Google Sans"/>
          <w:color w:val="1B1C1D"/>
        </w:rPr>
        <w:lastRenderedPageBreak/>
        <w:t>3.3. La Boucle de Contrôle Unifiée : Sonder, Décider, Agir</w:t>
      </w:r>
    </w:p>
    <w:p w14:paraId="2DE2F907"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L'architecture ISI-ERA intègre une boucle de contrôle en temps réel simplifiée et physiquement fondée, qui remplace la FVD d'ERA par les mécanismes plus directs d'ISI.</w:t>
      </w:r>
    </w:p>
    <w:p w14:paraId="73352A15" w14:textId="68F2376E" w:rsidR="00A771CD" w:rsidRPr="009058A3" w:rsidRDefault="009F0CDF" w:rsidP="00A771CD">
      <w:pPr>
        <w:numPr>
          <w:ilvl w:val="0"/>
          <w:numId w:val="6"/>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Le Capteur (Sonde DAP) :</w:t>
      </w:r>
      <w:r w:rsidRPr="009058A3">
        <w:rPr>
          <w:rFonts w:ascii="Google Sans Text" w:eastAsia="Google Sans Text" w:hAnsi="Google Sans Text" w:cs="Google Sans Text"/>
          <w:color w:val="1B1C1D"/>
          <w:sz w:val="24"/>
          <w:szCs w:val="24"/>
        </w:rPr>
        <w:t xml:space="preserve"> La </w:t>
      </w:r>
      <w:r w:rsidRPr="009058A3">
        <w:rPr>
          <w:rFonts w:ascii="Google Sans Text" w:eastAsia="Google Sans Text" w:hAnsi="Google Sans Text" w:cs="Google Sans Text"/>
          <w:b/>
          <w:color w:val="1B1C1D"/>
          <w:sz w:val="24"/>
          <w:szCs w:val="24"/>
        </w:rPr>
        <w:t>Perturbation Différentielle d'Axe (DAP)</w:t>
      </w:r>
      <w:r w:rsidRPr="009058A3">
        <w:rPr>
          <w:rFonts w:ascii="Google Sans Text" w:eastAsia="Google Sans Text" w:hAnsi="Google Sans Text" w:cs="Google Sans Text"/>
          <w:color w:val="1B1C1D"/>
          <w:sz w:val="24"/>
          <w:szCs w:val="24"/>
        </w:rPr>
        <w:t xml:space="preserve"> est une méthode analytique qui sonde la stabilité locale en mesurant la réponse de la distribution de probabilité à une petite rotation contrôlée du vecteur de contexte.</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Elle calcule en continu la courbure locale</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K(xt​) et un indice de volatilité V(</w:t>
      </w:r>
      <w:r w:rsidRPr="009058A3">
        <w:rPr>
          <w:rFonts w:ascii="Calibri" w:eastAsia="Google Sans Text" w:hAnsi="Calibri" w:cs="Calibri"/>
          <w:color w:val="1B1C1D"/>
          <w:sz w:val="24"/>
          <w:szCs w:val="24"/>
        </w:rPr>
        <w:t>ϵ</w:t>
      </w:r>
      <w:r w:rsidRPr="009058A3">
        <w:rPr>
          <w:rFonts w:ascii="Google Sans Text" w:eastAsia="Google Sans Text" w:hAnsi="Google Sans Text" w:cs="Google Sans Text"/>
          <w:color w:val="1B1C1D"/>
          <w:sz w:val="24"/>
          <w:szCs w:val="24"/>
        </w:rPr>
        <w:t>), qui mesure l'amplitude de la reconfiguration probabiliste.</w:t>
      </w:r>
      <w:r w:rsidRPr="009058A3">
        <w:rPr>
          <w:rFonts w:ascii="Google Sans Text" w:eastAsia="Google Sans Text" w:hAnsi="Google Sans Text" w:cs="Google Sans Text"/>
          <w:color w:val="575B5F"/>
          <w:sz w:val="24"/>
          <w:szCs w:val="24"/>
          <w:vertAlign w:val="superscript"/>
        </w:rPr>
        <w:t>1</w:t>
      </w:r>
      <w:r w:rsidR="00381FAC" w:rsidRPr="009058A3">
        <w:rPr>
          <w:rFonts w:ascii="Google Sans Text" w:eastAsia="Google Sans Text" w:hAnsi="Google Sans Text" w:cs="Google Sans Text"/>
          <w:color w:val="575B5F"/>
          <w:sz w:val="24"/>
          <w:szCs w:val="24"/>
          <w:vertAlign w:val="superscript"/>
        </w:rPr>
        <w:t xml:space="preserve"> </w:t>
      </w:r>
      <w:r w:rsidR="00381FAC" w:rsidRPr="009058A3">
        <w:rPr>
          <w:rFonts w:ascii="Google Sans Text" w:eastAsia="Google Sans Text" w:hAnsi="Google Sans Text" w:cs="Google Sans Text"/>
          <w:color w:val="575B5F"/>
          <w:sz w:val="24"/>
          <w:szCs w:val="24"/>
        </w:rPr>
        <w:t xml:space="preserve"> </w:t>
      </w:r>
      <w:r w:rsidR="00A771CD" w:rsidRPr="009058A3">
        <w:rPr>
          <w:rFonts w:ascii="Google Sans Text" w:eastAsia="Google Sans Text" w:hAnsi="Google Sans Text" w:cs="Google Sans Text"/>
          <w:color w:val="575B5F"/>
          <w:sz w:val="24"/>
          <w:szCs w:val="24"/>
        </w:rPr>
        <w:br/>
      </w:r>
    </w:p>
    <w:p w14:paraId="77784DE4" w14:textId="40413CB3" w:rsidR="000A39C7" w:rsidRPr="009058A3" w:rsidRDefault="00381FAC" w:rsidP="00A771CD">
      <w:pPr>
        <w:pBdr>
          <w:top w:val="single" w:sz="4" w:space="1" w:color="auto"/>
          <w:left w:val="single" w:sz="4" w:space="1" w:color="auto"/>
          <w:bottom w:val="single" w:sz="4" w:space="1" w:color="auto"/>
          <w:right w:val="single" w:sz="4" w:space="1" w:color="auto"/>
          <w:between w:val="nil"/>
        </w:pBdr>
        <w:spacing w:line="275" w:lineRule="auto"/>
        <w:rPr>
          <w:rFonts w:ascii="Google Sans Text" w:hAnsi="Google Sans Text"/>
          <w:sz w:val="24"/>
          <w:szCs w:val="24"/>
        </w:rPr>
      </w:pPr>
      <w:r w:rsidRPr="009058A3">
        <w:rPr>
          <w:rFonts w:ascii="Google Sans Text" w:eastAsia="Google Sans Text" w:hAnsi="Google Sans Text" w:cs="Google Sans Text"/>
          <w:color w:val="575B5F"/>
          <w:sz w:val="24"/>
          <w:szCs w:val="24"/>
        </w:rPr>
        <w:br/>
      </w:r>
      <w:r w:rsidRPr="009058A3">
        <w:rPr>
          <w:rFonts w:ascii="Google Sans Text" w:hAnsi="Google Sans Text"/>
          <w:b/>
          <w:bCs/>
          <w:sz w:val="24"/>
          <w:szCs w:val="24"/>
        </w:rPr>
        <w:t>Encadré — DAP comme détecteur d’instabilité.</w:t>
      </w:r>
      <w:r w:rsidRPr="009058A3">
        <w:rPr>
          <w:rFonts w:ascii="Google Sans Text" w:hAnsi="Google Sans Text"/>
          <w:sz w:val="24"/>
          <w:szCs w:val="24"/>
        </w:rPr>
        <w:br/>
        <w:t>La DAP fournit V(ε)=∑i</w:t>
      </w:r>
      <w:r w:rsidRPr="009058A3">
        <w:rPr>
          <w:rFonts w:ascii="Cambria Math" w:hAnsi="Cambria Math" w:cs="Cambria Math"/>
          <w:sz w:val="24"/>
          <w:szCs w:val="24"/>
        </w:rPr>
        <w:t>∈</w:t>
      </w:r>
      <w:r w:rsidRPr="009058A3">
        <w:rPr>
          <w:rFonts w:ascii="Google Sans Text" w:hAnsi="Google Sans Text"/>
          <w:sz w:val="24"/>
          <w:szCs w:val="24"/>
        </w:rPr>
        <w:t>S</w:t>
      </w:r>
      <w:r w:rsidRPr="009058A3">
        <w:rPr>
          <w:rFonts w:ascii="Cambria Math" w:hAnsi="Cambria Math" w:cs="Cambria Math"/>
          <w:sz w:val="24"/>
          <w:szCs w:val="24"/>
        </w:rPr>
        <w:t>∪</w:t>
      </w:r>
      <w:r w:rsidRPr="009058A3">
        <w:rPr>
          <w:rFonts w:ascii="Google Sans Text" w:hAnsi="Google Sans Text"/>
          <w:sz w:val="24"/>
          <w:szCs w:val="24"/>
        </w:rPr>
        <w:t>W</w:t>
      </w:r>
      <w:r w:rsidRPr="009058A3">
        <w:rPr>
          <w:rFonts w:ascii="Cambria Math" w:hAnsi="Cambria Math" w:cs="Cambria Math"/>
          <w:sz w:val="24"/>
          <w:szCs w:val="24"/>
        </w:rPr>
        <w:t>∣</w:t>
      </w:r>
      <w:r w:rsidRPr="009058A3">
        <w:rPr>
          <w:rFonts w:ascii="Google Sans Text" w:hAnsi="Google Sans Text" w:cs="___WRD_EMBED_SUB_46"/>
          <w:sz w:val="24"/>
          <w:szCs w:val="24"/>
        </w:rPr>
        <w:t>Δ</w:t>
      </w:r>
      <w:r w:rsidRPr="009058A3">
        <w:rPr>
          <w:rFonts w:ascii="Google Sans Text" w:hAnsi="Google Sans Text"/>
          <w:sz w:val="24"/>
          <w:szCs w:val="24"/>
        </w:rPr>
        <w:t>Pi</w:t>
      </w:r>
      <w:r w:rsidRPr="009058A3">
        <w:rPr>
          <w:rFonts w:ascii="Cambria Math" w:hAnsi="Cambria Math" w:cs="Cambria Math"/>
          <w:sz w:val="24"/>
          <w:szCs w:val="24"/>
        </w:rPr>
        <w:t>∣</w:t>
      </w:r>
      <w:r w:rsidRPr="009058A3">
        <w:rPr>
          <w:rFonts w:ascii="Google Sans Text" w:hAnsi="Google Sans Text"/>
          <w:sz w:val="24"/>
          <w:szCs w:val="24"/>
        </w:rPr>
        <w:t>V(\varepsilon)=\sum_{i\in S\cup W}|\Delta P_i|V(ε)=∑i</w:t>
      </w:r>
      <w:r w:rsidRPr="009058A3">
        <w:rPr>
          <w:rFonts w:ascii="Cambria Math" w:hAnsi="Cambria Math" w:cs="Cambria Math"/>
          <w:sz w:val="24"/>
          <w:szCs w:val="24"/>
        </w:rPr>
        <w:t>∈</w:t>
      </w:r>
      <w:r w:rsidRPr="009058A3">
        <w:rPr>
          <w:rFonts w:ascii="Google Sans Text" w:hAnsi="Google Sans Text"/>
          <w:sz w:val="24"/>
          <w:szCs w:val="24"/>
        </w:rPr>
        <w:t>S</w:t>
      </w:r>
      <w:r w:rsidRPr="009058A3">
        <w:rPr>
          <w:rFonts w:ascii="Cambria Math" w:hAnsi="Cambria Math" w:cs="Cambria Math"/>
          <w:sz w:val="24"/>
          <w:szCs w:val="24"/>
        </w:rPr>
        <w:t>∪</w:t>
      </w:r>
      <w:r w:rsidRPr="009058A3">
        <w:rPr>
          <w:rFonts w:ascii="Google Sans Text" w:hAnsi="Google Sans Text"/>
          <w:sz w:val="24"/>
          <w:szCs w:val="24"/>
        </w:rPr>
        <w:t>W​</w:t>
      </w:r>
      <w:r w:rsidRPr="009058A3">
        <w:rPr>
          <w:rFonts w:ascii="Cambria Math" w:hAnsi="Cambria Math" w:cs="Cambria Math"/>
          <w:sz w:val="24"/>
          <w:szCs w:val="24"/>
        </w:rPr>
        <w:t>∣</w:t>
      </w:r>
      <w:r w:rsidRPr="009058A3">
        <w:rPr>
          <w:rFonts w:ascii="Google Sans Text" w:hAnsi="Google Sans Text" w:cs="___WRD_EMBED_SUB_46"/>
          <w:sz w:val="24"/>
          <w:szCs w:val="24"/>
        </w:rPr>
        <w:t>Δ</w:t>
      </w:r>
      <w:r w:rsidRPr="009058A3">
        <w:rPr>
          <w:rFonts w:ascii="Google Sans Text" w:hAnsi="Google Sans Text"/>
          <w:sz w:val="24"/>
          <w:szCs w:val="24"/>
        </w:rPr>
        <w:t>Pi​</w:t>
      </w:r>
      <w:r w:rsidRPr="009058A3">
        <w:rPr>
          <w:rFonts w:ascii="Cambria Math" w:hAnsi="Cambria Math" w:cs="Cambria Math"/>
          <w:sz w:val="24"/>
          <w:szCs w:val="24"/>
        </w:rPr>
        <w:t>∣</w:t>
      </w:r>
      <w:r w:rsidRPr="009058A3">
        <w:rPr>
          <w:rFonts w:ascii="Google Sans Text" w:hAnsi="Google Sans Text"/>
          <w:sz w:val="24"/>
          <w:szCs w:val="24"/>
        </w:rPr>
        <w:t xml:space="preserve"> et un estimateur K^DAP\widehat{K}_{\rm DAP}KDAP​ </w:t>
      </w:r>
      <w:r w:rsidRPr="009058A3">
        <w:rPr>
          <w:rFonts w:ascii="Google Sans Text" w:hAnsi="Google Sans Text"/>
          <w:b/>
          <w:bCs/>
          <w:sz w:val="24"/>
          <w:szCs w:val="24"/>
        </w:rPr>
        <w:t>non</w:t>
      </w:r>
      <w:r w:rsidRPr="009058A3">
        <w:rPr>
          <w:rFonts w:ascii="Google Sans Text" w:hAnsi="Google Sans Text"/>
          <w:b/>
          <w:bCs/>
          <w:sz w:val="24"/>
          <w:szCs w:val="24"/>
        </w:rPr>
        <w:noBreakHyphen/>
        <w:t>biaisé à premier ordre</w:t>
      </w:r>
      <w:r w:rsidRPr="009058A3">
        <w:rPr>
          <w:rFonts w:ascii="Google Sans Text" w:hAnsi="Google Sans Text"/>
          <w:sz w:val="24"/>
          <w:szCs w:val="24"/>
        </w:rPr>
        <w:t xml:space="preserve"> (régime η&lt;0,1\eta&lt;0{,}1η&lt;0,1).</w:t>
      </w:r>
      <w:r w:rsidRPr="009058A3">
        <w:rPr>
          <w:rFonts w:ascii="Google Sans Text" w:hAnsi="Google Sans Text"/>
          <w:sz w:val="24"/>
          <w:szCs w:val="24"/>
        </w:rPr>
        <w:br/>
        <w:t xml:space="preserve">Le </w:t>
      </w:r>
      <w:r w:rsidRPr="009058A3">
        <w:rPr>
          <w:rFonts w:ascii="Google Sans Text" w:hAnsi="Google Sans Text"/>
          <w:b/>
          <w:bCs/>
          <w:sz w:val="24"/>
          <w:szCs w:val="24"/>
        </w:rPr>
        <w:t>certificat CLF</w:t>
      </w:r>
      <w:r w:rsidRPr="009058A3">
        <w:rPr>
          <w:rFonts w:ascii="Google Sans Text" w:hAnsi="Google Sans Text"/>
          <w:sz w:val="24"/>
          <w:szCs w:val="24"/>
        </w:rPr>
        <w:t xml:space="preserve"> repose </w:t>
      </w:r>
      <w:r w:rsidRPr="009058A3">
        <w:rPr>
          <w:rFonts w:ascii="Google Sans Text" w:hAnsi="Google Sans Text"/>
          <w:b/>
          <w:bCs/>
          <w:sz w:val="24"/>
          <w:szCs w:val="24"/>
        </w:rPr>
        <w:t>soit</w:t>
      </w:r>
      <w:r w:rsidRPr="009058A3">
        <w:rPr>
          <w:rFonts w:ascii="Google Sans Text" w:hAnsi="Google Sans Text"/>
          <w:sz w:val="24"/>
          <w:szCs w:val="24"/>
        </w:rPr>
        <w:t xml:space="preserve"> sur κloc(x)\kappa_{\rm loc}(x)κloc​(x) (Déf.</w:t>
      </w:r>
      <w:r w:rsidRPr="009058A3">
        <w:rPr>
          <w:sz w:val="24"/>
          <w:szCs w:val="24"/>
        </w:rPr>
        <w:t> </w:t>
      </w:r>
      <w:r w:rsidRPr="009058A3">
        <w:rPr>
          <w:rFonts w:ascii="Google Sans Text" w:hAnsi="Google Sans Text"/>
          <w:sz w:val="24"/>
          <w:szCs w:val="24"/>
        </w:rPr>
        <w:t xml:space="preserve">1), </w:t>
      </w:r>
      <w:r w:rsidRPr="009058A3">
        <w:rPr>
          <w:rFonts w:ascii="Google Sans Text" w:hAnsi="Google Sans Text"/>
          <w:b/>
          <w:bCs/>
          <w:sz w:val="24"/>
          <w:szCs w:val="24"/>
        </w:rPr>
        <w:t>soit</w:t>
      </w:r>
      <w:r w:rsidRPr="009058A3">
        <w:rPr>
          <w:rFonts w:ascii="Google Sans Text" w:hAnsi="Google Sans Text"/>
          <w:sz w:val="24"/>
          <w:szCs w:val="24"/>
        </w:rPr>
        <w:t xml:space="preserve"> sur K^DAP\widehat{K}_{\rm DAP}KDAP​ </w:t>
      </w:r>
      <w:r w:rsidRPr="009058A3">
        <w:rPr>
          <w:rFonts w:ascii="Google Sans Text" w:hAnsi="Google Sans Text"/>
          <w:b/>
          <w:bCs/>
          <w:sz w:val="24"/>
          <w:szCs w:val="24"/>
        </w:rPr>
        <w:t>calibré</w:t>
      </w:r>
      <w:r w:rsidRPr="009058A3">
        <w:rPr>
          <w:rFonts w:ascii="Google Sans Text" w:hAnsi="Google Sans Text"/>
          <w:sz w:val="24"/>
          <w:szCs w:val="24"/>
        </w:rPr>
        <w:t xml:space="preserve"> (C2).</w:t>
      </w:r>
      <w:r w:rsidRPr="009058A3">
        <w:rPr>
          <w:rFonts w:ascii="Google Sans Text" w:hAnsi="Google Sans Text"/>
          <w:sz w:val="24"/>
          <w:szCs w:val="24"/>
        </w:rPr>
        <w:br/>
        <w:t>Dans tous les cas, la règle d’abstention R6</w:t>
      </w:r>
      <w:r w:rsidRPr="009058A3">
        <w:rPr>
          <w:rFonts w:ascii="Google Sans Text" w:hAnsi="Google Sans Text"/>
          <w:sz w:val="24"/>
          <w:szCs w:val="24"/>
        </w:rPr>
        <w:noBreakHyphen/>
        <w:t>ter prime si p(xt)≤ηp(x_t)\le \etap(xt​)≤η et K≤0K\le 0K≤0.</w:t>
      </w:r>
    </w:p>
    <w:p w14:paraId="09F6FB62" w14:textId="77777777" w:rsidR="008E18AC" w:rsidRPr="009058A3" w:rsidRDefault="008E18AC" w:rsidP="008E18AC">
      <w:pPr>
        <w:pBdr>
          <w:top w:val="nil"/>
          <w:left w:val="nil"/>
          <w:bottom w:val="nil"/>
          <w:right w:val="nil"/>
          <w:between w:val="nil"/>
        </w:pBdr>
        <w:spacing w:line="275" w:lineRule="auto"/>
        <w:ind w:left="465"/>
        <w:rPr>
          <w:rFonts w:ascii="Google Sans Text" w:hAnsi="Google Sans Text"/>
          <w:sz w:val="24"/>
          <w:szCs w:val="24"/>
        </w:rPr>
      </w:pPr>
    </w:p>
    <w:p w14:paraId="5D51278D" w14:textId="5160CF21" w:rsidR="000A39C7" w:rsidRPr="009058A3" w:rsidRDefault="009F0CDF">
      <w:pPr>
        <w:numPr>
          <w:ilvl w:val="0"/>
          <w:numId w:val="6"/>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La Logique de Décision (Repli Gravitationnel) :</w:t>
      </w:r>
      <w:r w:rsidRPr="009058A3">
        <w:rPr>
          <w:rFonts w:ascii="Google Sans Text" w:eastAsia="Google Sans Text" w:hAnsi="Google Sans Text" w:cs="Google Sans Text"/>
          <w:color w:val="1B1C1D"/>
          <w:sz w:val="24"/>
          <w:szCs w:val="24"/>
        </w:rPr>
        <w:t xml:space="preserve"> Les règles de décision sont directement issues de la théorie ISI </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w:t>
      </w:r>
    </w:p>
    <w:p w14:paraId="0D6732A7" w14:textId="77777777" w:rsidR="000A39C7" w:rsidRPr="009058A3" w:rsidRDefault="009F0CDF">
      <w:pPr>
        <w:numPr>
          <w:ilvl w:val="1"/>
          <w:numId w:val="7"/>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Règle 6-ter (repli ultime) :</w:t>
      </w:r>
      <w:r w:rsidRPr="009058A3">
        <w:rPr>
          <w:rFonts w:ascii="Google Sans Text" w:eastAsia="Google Sans Text" w:hAnsi="Google Sans Text" w:cs="Google Sans Text"/>
          <w:color w:val="1B1C1D"/>
          <w:sz w:val="24"/>
          <w:szCs w:val="24"/>
        </w:rPr>
        <w:t xml:space="preserve"> Si la probabilité du token est très faible (p(xt​)≤η) ET la courbure est non positive (K(xt​)≤0), le système se replie. C'est l'analogue du franchissement d'un "horizon sémantique".</w:t>
      </w:r>
    </w:p>
    <w:p w14:paraId="4B0EEFC2" w14:textId="77777777" w:rsidR="000A39C7" w:rsidRPr="009058A3" w:rsidRDefault="009F0CDF">
      <w:pPr>
        <w:numPr>
          <w:ilvl w:val="1"/>
          <w:numId w:val="7"/>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Règle 6-bis (localité de courbure) :</w:t>
      </w:r>
      <w:r w:rsidRPr="009058A3">
        <w:rPr>
          <w:rFonts w:ascii="Google Sans Text" w:eastAsia="Google Sans Text" w:hAnsi="Google Sans Text" w:cs="Google Sans Text"/>
          <w:color w:val="1B1C1D"/>
          <w:sz w:val="24"/>
          <w:szCs w:val="24"/>
        </w:rPr>
        <w:t xml:space="preserve"> Si la courbure locale est inférieure à un seuil critique (K(xt​)≤κ0​), le système se replie pour éviter l'instabilité.</w:t>
      </w:r>
    </w:p>
    <w:p w14:paraId="1710BD12" w14:textId="77777777" w:rsidR="000A39C7" w:rsidRPr="009058A3" w:rsidRDefault="009F0CDF">
      <w:pPr>
        <w:numPr>
          <w:ilvl w:val="0"/>
          <w:numId w:val="6"/>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Les Actionneurs :</w:t>
      </w:r>
      <w:r w:rsidRPr="009058A3">
        <w:rPr>
          <w:rFonts w:ascii="Google Sans Text" w:eastAsia="Google Sans Text" w:hAnsi="Google Sans Text" w:cs="Google Sans Text"/>
          <w:color w:val="1B1C1D"/>
          <w:sz w:val="24"/>
          <w:szCs w:val="24"/>
        </w:rPr>
        <w:t xml:space="preserve"> Si la génération est autorisée :</w:t>
      </w:r>
    </w:p>
    <w:p w14:paraId="78321BF9" w14:textId="77777777" w:rsidR="000A39C7" w:rsidRPr="009058A3" w:rsidRDefault="009F0CDF">
      <w:pPr>
        <w:numPr>
          <w:ilvl w:val="1"/>
          <w:numId w:val="8"/>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Échantillonnage Inspiré d'Unruh (EIU) :</w:t>
      </w:r>
      <w:r w:rsidRPr="009058A3">
        <w:rPr>
          <w:rFonts w:ascii="Google Sans Text" w:eastAsia="Google Sans Text" w:hAnsi="Google Sans Text" w:cs="Google Sans Text"/>
          <w:color w:val="1B1C1D"/>
          <w:sz w:val="24"/>
          <w:szCs w:val="24"/>
        </w:rPr>
        <w:t xml:space="preserve"> La température du softmax est ajustée dynamiquement en fonction de l'instabilité mesurée : Tdyn​=Tbase​+αV(</w:t>
      </w:r>
      <w:r w:rsidRPr="009058A3">
        <w:rPr>
          <w:rFonts w:ascii="Calibri" w:eastAsia="Google Sans Text" w:hAnsi="Calibri" w:cs="Calibri"/>
          <w:color w:val="1B1C1D"/>
          <w:sz w:val="24"/>
          <w:szCs w:val="24"/>
        </w:rPr>
        <w:t>ϵ</w:t>
      </w:r>
      <w:r w:rsidRPr="009058A3">
        <w:rPr>
          <w:rFonts w:ascii="Google Sans Text" w:eastAsia="Google Sans Text" w:hAnsi="Google Sans Text" w:cs="Google Sans Text"/>
          <w:color w:val="1B1C1D"/>
          <w:sz w:val="24"/>
          <w:szCs w:val="24"/>
        </w:rPr>
        <w:t>). Dans un contexte stable, la température baisse pour favoriser la précision ; dans un contexte ambigu, elle augmente pour favoriser l'exploration.</w:t>
      </w:r>
      <w:r w:rsidRPr="009058A3">
        <w:rPr>
          <w:rFonts w:ascii="Google Sans Text" w:eastAsia="Google Sans Text" w:hAnsi="Google Sans Text" w:cs="Google Sans Text"/>
          <w:color w:val="575B5F"/>
          <w:sz w:val="24"/>
          <w:szCs w:val="24"/>
          <w:vertAlign w:val="superscript"/>
        </w:rPr>
        <w:t>1</w:t>
      </w:r>
    </w:p>
    <w:p w14:paraId="356827C1" w14:textId="77777777" w:rsidR="000A39C7" w:rsidRPr="009058A3" w:rsidRDefault="009F0CDF">
      <w:pPr>
        <w:numPr>
          <w:ilvl w:val="1"/>
          <w:numId w:val="8"/>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Pivotement Différentiel de l'Axe (DAP-actionneur) :</w:t>
      </w:r>
      <w:r w:rsidRPr="009058A3">
        <w:rPr>
          <w:rFonts w:ascii="Google Sans Text" w:eastAsia="Google Sans Text" w:hAnsi="Google Sans Text" w:cs="Google Sans Text"/>
          <w:color w:val="1B1C1D"/>
          <w:sz w:val="24"/>
          <w:szCs w:val="24"/>
        </w:rPr>
        <w:t xml:space="preserve"> Pour des corrections préventives, une petite perturbation peut être appliquée au vecteur de </w:t>
      </w:r>
      <w:r w:rsidRPr="009058A3">
        <w:rPr>
          <w:rFonts w:ascii="Google Sans Text" w:eastAsia="Google Sans Text" w:hAnsi="Google Sans Text" w:cs="Google Sans Text"/>
          <w:color w:val="1B1C1D"/>
          <w:sz w:val="24"/>
          <w:szCs w:val="24"/>
        </w:rPr>
        <w:lastRenderedPageBreak/>
        <w:t>contexte pour "éloigner" la génération d'une direction sémantique instable.</w:t>
      </w:r>
      <w:r w:rsidRPr="009058A3">
        <w:rPr>
          <w:rFonts w:ascii="Google Sans Text" w:eastAsia="Google Sans Text" w:hAnsi="Google Sans Text" w:cs="Google Sans Text"/>
          <w:color w:val="575B5F"/>
          <w:sz w:val="24"/>
          <w:szCs w:val="24"/>
          <w:vertAlign w:val="superscript"/>
        </w:rPr>
        <w:t>1</w:t>
      </w:r>
    </w:p>
    <w:p w14:paraId="77C9DA2C" w14:textId="77777777" w:rsidR="000A39C7" w:rsidRPr="009058A3" w:rsidRDefault="000A39C7">
      <w:pPr>
        <w:pBdr>
          <w:top w:val="nil"/>
          <w:left w:val="nil"/>
          <w:bottom w:val="nil"/>
          <w:right w:val="nil"/>
          <w:between w:val="nil"/>
        </w:pBdr>
        <w:spacing w:before="240" w:after="240" w:line="275" w:lineRule="auto"/>
        <w:rPr>
          <w:rFonts w:ascii="Google Sans Text" w:eastAsia="Google Sans Text" w:hAnsi="Google Sans Text" w:cs="Google Sans Text"/>
          <w:color w:val="575B5F"/>
          <w:sz w:val="24"/>
          <w:szCs w:val="24"/>
          <w:vertAlign w:val="superscript"/>
        </w:rPr>
      </w:pPr>
    </w:p>
    <w:p w14:paraId="15C3B9A1" w14:textId="77777777" w:rsidR="000A39C7" w:rsidRPr="009058A3" w:rsidRDefault="009F0CDF">
      <w:pPr>
        <w:pStyle w:val="Titre4"/>
        <w:spacing w:before="0" w:after="120" w:line="275" w:lineRule="auto"/>
        <w:rPr>
          <w:rFonts w:ascii="Google Sans Text" w:eastAsia="Google Sans" w:hAnsi="Google Sans Text" w:cs="Google Sans"/>
          <w:color w:val="1B1C1D"/>
        </w:rPr>
      </w:pPr>
      <w:r w:rsidRPr="009058A3">
        <w:rPr>
          <w:rFonts w:ascii="Google Sans Text" w:eastAsia="Google Sans" w:hAnsi="Google Sans Text" w:cs="Google Sans"/>
          <w:color w:val="1B1C1D"/>
        </w:rPr>
        <w:t>3.4. Le Moteur Cognitif : Naviguer le Compromis Efficience-Résilience</w:t>
      </w:r>
    </w:p>
    <w:p w14:paraId="10B521D8"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0FE01278"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Le sous-système cognitif d'ERA est conservé mais réinterprété comme le mécanisme de gestion active du compromis Efficience-Résilience postulé par ISI.</w:t>
      </w:r>
      <w:r w:rsidRPr="009058A3">
        <w:rPr>
          <w:rFonts w:ascii="Google Sans Text" w:eastAsia="Google Sans Text" w:hAnsi="Google Sans Text" w:cs="Google Sans Text"/>
          <w:color w:val="575B5F"/>
          <w:sz w:val="24"/>
          <w:szCs w:val="24"/>
          <w:vertAlign w:val="superscript"/>
        </w:rPr>
        <w:t>1</w:t>
      </w:r>
    </w:p>
    <w:p w14:paraId="22314582" w14:textId="77777777" w:rsidR="000A39C7" w:rsidRPr="009058A3" w:rsidRDefault="009F0CDF">
      <w:pPr>
        <w:numPr>
          <w:ilvl w:val="0"/>
          <w:numId w:val="9"/>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Le Diagnostic de Compétence (LPDS) :</w:t>
      </w:r>
      <w:r w:rsidRPr="009058A3">
        <w:rPr>
          <w:rFonts w:ascii="Google Sans Text" w:eastAsia="Google Sans Text" w:hAnsi="Google Sans Text" w:cs="Google Sans Text"/>
          <w:color w:val="1B1C1D"/>
          <w:sz w:val="24"/>
          <w:szCs w:val="24"/>
        </w:rPr>
        <w:t xml:space="preserve"> Le protocole de </w:t>
      </w:r>
      <w:r w:rsidRPr="009058A3">
        <w:rPr>
          <w:rFonts w:ascii="Google Sans Text" w:eastAsia="Google Sans Text" w:hAnsi="Google Sans Text" w:cs="Google Sans Text"/>
          <w:b/>
          <w:color w:val="1B1C1D"/>
          <w:sz w:val="24"/>
          <w:szCs w:val="24"/>
        </w:rPr>
        <w:t>Pilotage par Divergence de Prototype Latent (LPDS)</w:t>
      </w:r>
      <w:r w:rsidRPr="009058A3">
        <w:rPr>
          <w:rFonts w:ascii="Google Sans Text" w:eastAsia="Google Sans Text" w:hAnsi="Google Sans Text" w:cs="Google Sans Text"/>
          <w:color w:val="1B1C1D"/>
          <w:sz w:val="24"/>
          <w:szCs w:val="24"/>
        </w:rPr>
        <w:t xml:space="preserve"> quantifie la compétence du modèle sur un domaine avant de répondre. Il mesure la divergence de Kullback-Leibler Δ(q) entre une génération de base et une génération pilotée par un "vecteur-concept".</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Dans notre cadre unifié,</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Δ(q) devient une mesure du risque de violer la borne ISI : une forte divergence signale qu'une tentative de réponse (maximiser l'</w:t>
      </w:r>
      <w:r w:rsidRPr="009058A3">
        <w:rPr>
          <w:rFonts w:ascii="Google Sans Text" w:eastAsia="Google Sans Text" w:hAnsi="Google Sans Text" w:cs="Google Sans Text"/>
          <w:b/>
          <w:color w:val="1B1C1D"/>
          <w:sz w:val="24"/>
          <w:szCs w:val="24"/>
        </w:rPr>
        <w:t>Efficience</w:t>
      </w:r>
      <w:r w:rsidRPr="009058A3">
        <w:rPr>
          <w:rFonts w:ascii="Google Sans Text" w:eastAsia="Google Sans Text" w:hAnsi="Google Sans Text" w:cs="Google Sans Text"/>
          <w:color w:val="1B1C1D"/>
          <w:sz w:val="24"/>
          <w:szCs w:val="24"/>
        </w:rPr>
        <w:t xml:space="preserve">) risque de provoquer un effondrement sémantique (faible </w:t>
      </w:r>
      <w:r w:rsidRPr="009058A3">
        <w:rPr>
          <w:rFonts w:ascii="Google Sans Text" w:eastAsia="Google Sans Text" w:hAnsi="Google Sans Text" w:cs="Google Sans Text"/>
          <w:b/>
          <w:color w:val="1B1C1D"/>
          <w:sz w:val="24"/>
          <w:szCs w:val="24"/>
        </w:rPr>
        <w:t>Résilience</w:t>
      </w:r>
      <w:r w:rsidRPr="009058A3">
        <w:rPr>
          <w:rFonts w:ascii="Google Sans Text" w:eastAsia="Google Sans Text" w:hAnsi="Google Sans Text" w:cs="Google Sans Text"/>
          <w:color w:val="1B1C1D"/>
          <w:sz w:val="24"/>
          <w:szCs w:val="24"/>
        </w:rPr>
        <w:t>).</w:t>
      </w:r>
    </w:p>
    <w:p w14:paraId="574463BE" w14:textId="77777777" w:rsidR="000A39C7" w:rsidRPr="009058A3" w:rsidRDefault="009F0CDF">
      <w:pPr>
        <w:numPr>
          <w:ilvl w:val="0"/>
          <w:numId w:val="9"/>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Le Moteur de Spécialisation (GG-RTAL) :</w:t>
      </w:r>
      <w:r w:rsidRPr="009058A3">
        <w:rPr>
          <w:rFonts w:ascii="Google Sans Text" w:eastAsia="Google Sans Text" w:hAnsi="Google Sans Text" w:cs="Google Sans Text"/>
          <w:color w:val="1B1C1D"/>
          <w:sz w:val="24"/>
          <w:szCs w:val="24"/>
        </w:rPr>
        <w:t xml:space="preserve"> Si le LPDS révèle une faible compétence, le moteur </w:t>
      </w:r>
      <w:r w:rsidRPr="009058A3">
        <w:rPr>
          <w:rFonts w:ascii="Google Sans Text" w:eastAsia="Google Sans Text" w:hAnsi="Google Sans Text" w:cs="Google Sans Text"/>
          <w:b/>
          <w:color w:val="1B1C1D"/>
          <w:sz w:val="24"/>
          <w:szCs w:val="24"/>
        </w:rPr>
        <w:t>RTAL Graphique à Portes (GG-RTAL)</w:t>
      </w:r>
      <w:r w:rsidRPr="009058A3">
        <w:rPr>
          <w:rFonts w:ascii="Google Sans Text" w:eastAsia="Google Sans Text" w:hAnsi="Google Sans Text" w:cs="Google Sans Text"/>
          <w:color w:val="1B1C1D"/>
          <w:sz w:val="24"/>
          <w:szCs w:val="24"/>
        </w:rPr>
        <w:t xml:space="preserve"> est activé. Ce module "plug-and-play" utilise un GNN léger pour effectuer un raisonnement relationnel local sans modifier les poids du LLM de base, évitant l'oubli catastrophique.</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Il est présenté comme la méthode pour augmenter l'Efficience (information locale) de manière sûre, sans compromettre la Résilience (stabilité globale).</w:t>
      </w:r>
    </w:p>
    <w:p w14:paraId="75B34FDB" w14:textId="77777777" w:rsidR="000A39C7" w:rsidRPr="009058A3" w:rsidRDefault="000A39C7">
      <w:pPr>
        <w:pBdr>
          <w:top w:val="nil"/>
          <w:left w:val="nil"/>
          <w:bottom w:val="nil"/>
          <w:right w:val="nil"/>
          <w:between w:val="nil"/>
        </w:pBdr>
        <w:spacing w:before="240" w:after="240" w:line="275" w:lineRule="auto"/>
        <w:rPr>
          <w:rFonts w:ascii="Google Sans Text" w:eastAsia="Google Sans Text" w:hAnsi="Google Sans Text" w:cs="Google Sans Text"/>
          <w:color w:val="1B1C1D"/>
          <w:sz w:val="24"/>
          <w:szCs w:val="24"/>
        </w:rPr>
      </w:pPr>
    </w:p>
    <w:p w14:paraId="7B0B6A9C" w14:textId="77777777" w:rsidR="000A39C7" w:rsidRPr="009058A3" w:rsidRDefault="009F0CDF">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4. Formalisation Mathématique Unifiée</w:t>
      </w:r>
    </w:p>
    <w:p w14:paraId="0005CBCD"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796824F3"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Le tableau suivant consolide le cadre formel, liant les principes physiques d'ISI aux équations gouvernantes des mécanismes d'ISI-ERA, démontrant la cohérence de bout en bout du système.</w:t>
      </w:r>
    </w:p>
    <w:tbl>
      <w:tblPr>
        <w:tblStyle w:val="Grilledutableau"/>
        <w:tblW w:w="0" w:type="auto"/>
        <w:tblLook w:val="04A0" w:firstRow="1" w:lastRow="0" w:firstColumn="1" w:lastColumn="0" w:noHBand="0" w:noVBand="1"/>
      </w:tblPr>
      <w:tblGrid>
        <w:gridCol w:w="2236"/>
        <w:gridCol w:w="1959"/>
        <w:gridCol w:w="2362"/>
        <w:gridCol w:w="2024"/>
        <w:gridCol w:w="769"/>
      </w:tblGrid>
      <w:tr w:rsidR="00D7793D" w:rsidRPr="009058A3" w14:paraId="6F288E5B" w14:textId="77777777">
        <w:tc>
          <w:tcPr>
            <w:tcW w:w="1870" w:type="dxa"/>
          </w:tcPr>
          <w:p w14:paraId="5EA161C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Principe (ISI)</w:t>
            </w:r>
          </w:p>
        </w:tc>
        <w:tc>
          <w:tcPr>
            <w:tcW w:w="1870" w:type="dxa"/>
          </w:tcPr>
          <w:p w14:paraId="70321F2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Composant ISI‑ERA</w:t>
            </w:r>
          </w:p>
        </w:tc>
        <w:tc>
          <w:tcPr>
            <w:tcW w:w="1870" w:type="dxa"/>
          </w:tcPr>
          <w:p w14:paraId="4DE337D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Équation gouvernante (texte)</w:t>
            </w:r>
          </w:p>
        </w:tc>
        <w:tc>
          <w:tcPr>
            <w:tcW w:w="1870" w:type="dxa"/>
          </w:tcPr>
          <w:p w14:paraId="20E35223"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Description</w:t>
            </w:r>
          </w:p>
        </w:tc>
        <w:tc>
          <w:tcPr>
            <w:tcW w:w="1870" w:type="dxa"/>
          </w:tcPr>
          <w:p w14:paraId="4BD2C050"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Réf.</w:t>
            </w:r>
          </w:p>
        </w:tc>
      </w:tr>
      <w:tr w:rsidR="00D7793D" w:rsidRPr="009058A3" w14:paraId="6A9BDFA1" w14:textId="77777777">
        <w:tc>
          <w:tcPr>
            <w:tcW w:w="1870" w:type="dxa"/>
          </w:tcPr>
          <w:p w14:paraId="01EA3C56"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Maintien de la </w:t>
            </w:r>
            <w:r w:rsidRPr="009058A3">
              <w:rPr>
                <w:rFonts w:ascii="Google Sans Text" w:eastAsia="Google Sans Text" w:hAnsi="Google Sans Text" w:cs="Google Sans Text"/>
                <w:color w:val="1B1C1D"/>
                <w:sz w:val="24"/>
                <w:szCs w:val="24"/>
              </w:rPr>
              <w:lastRenderedPageBreak/>
              <w:t>Résilience (éviter l’effondrement représentationnel)</w:t>
            </w:r>
          </w:p>
        </w:tc>
        <w:tc>
          <w:tcPr>
            <w:tcW w:w="1870" w:type="dxa"/>
          </w:tcPr>
          <w:p w14:paraId="12196BB6"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PIQ — Perte </w:t>
            </w:r>
            <w:r w:rsidRPr="009058A3">
              <w:rPr>
                <w:rFonts w:ascii="Google Sans Text" w:eastAsia="Google Sans Text" w:hAnsi="Google Sans Text" w:cs="Google Sans Text"/>
                <w:color w:val="1B1C1D"/>
                <w:sz w:val="24"/>
                <w:szCs w:val="24"/>
              </w:rPr>
              <w:lastRenderedPageBreak/>
              <w:t>MRL</w:t>
            </w:r>
          </w:p>
        </w:tc>
        <w:tc>
          <w:tcPr>
            <w:tcW w:w="1870" w:type="dxa"/>
          </w:tcPr>
          <w:p w14:paraId="7445EEF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L_MRL = λ_MRL · </w:t>
            </w:r>
            <w:r w:rsidRPr="009058A3">
              <w:rPr>
                <w:rFonts w:ascii="Google Sans Text" w:eastAsia="Google Sans Text" w:hAnsi="Google Sans Text" w:cs="Google Sans Text"/>
                <w:color w:val="1B1C1D"/>
                <w:sz w:val="24"/>
                <w:szCs w:val="24"/>
              </w:rPr>
              <w:lastRenderedPageBreak/>
              <w:t>max(0, R^2 − Var(Z))^2</w:t>
            </w:r>
          </w:p>
        </w:tc>
        <w:tc>
          <w:tcPr>
            <w:tcW w:w="1870" w:type="dxa"/>
          </w:tcPr>
          <w:p w14:paraId="39EEA13A"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Pénalise la </w:t>
            </w:r>
            <w:r w:rsidRPr="009058A3">
              <w:rPr>
                <w:rFonts w:ascii="Google Sans Text" w:eastAsia="Google Sans Text" w:hAnsi="Google Sans Text" w:cs="Google Sans Text"/>
                <w:color w:val="1B1C1D"/>
                <w:sz w:val="24"/>
                <w:szCs w:val="24"/>
              </w:rPr>
              <w:lastRenderedPageBreak/>
              <w:t>variance des plongements Z si elle passe sous le seuil R^2.</w:t>
            </w:r>
          </w:p>
        </w:tc>
        <w:tc>
          <w:tcPr>
            <w:tcW w:w="1870" w:type="dxa"/>
          </w:tcPr>
          <w:p w14:paraId="12ABF9D3"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1</w:t>
            </w:r>
          </w:p>
        </w:tc>
      </w:tr>
      <w:tr w:rsidR="00D7793D" w:rsidRPr="009058A3" w14:paraId="1E7AC871" w14:textId="77777777">
        <w:tc>
          <w:tcPr>
            <w:tcW w:w="1870" w:type="dxa"/>
          </w:tcPr>
          <w:p w14:paraId="78DF045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Maintien de la Résilience (éviter l’effondrement de l’entropie)</w:t>
            </w:r>
          </w:p>
        </w:tc>
        <w:tc>
          <w:tcPr>
            <w:tcW w:w="1870" w:type="dxa"/>
          </w:tcPr>
          <w:p w14:paraId="1EB78508"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PIQ — Contrainte ICA</w:t>
            </w:r>
          </w:p>
        </w:tc>
        <w:tc>
          <w:tcPr>
            <w:tcW w:w="1870" w:type="dxa"/>
          </w:tcPr>
          <w:p w14:paraId="0177598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Contrainte ICA : ||A||_F ≤ C_attn (mise en œuvre par pénalisation quadratique)</w:t>
            </w:r>
          </w:p>
        </w:tc>
        <w:tc>
          <w:tcPr>
            <w:tcW w:w="1870" w:type="dxa"/>
          </w:tcPr>
          <w:p w14:paraId="5AB3414D"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Contraint la norme des logits d’attention pour éviter l’effondrement entropique.</w:t>
            </w:r>
          </w:p>
        </w:tc>
        <w:tc>
          <w:tcPr>
            <w:tcW w:w="1870" w:type="dxa"/>
          </w:tcPr>
          <w:p w14:paraId="29DD00F7"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w:t>
            </w:r>
          </w:p>
        </w:tc>
      </w:tr>
      <w:tr w:rsidR="00D7793D" w:rsidRPr="009058A3" w14:paraId="59D79FF2" w14:textId="77777777">
        <w:tc>
          <w:tcPr>
            <w:tcW w:w="1870" w:type="dxa"/>
          </w:tcPr>
          <w:p w14:paraId="6768602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Condition de stabilité locale</w:t>
            </w:r>
          </w:p>
        </w:tc>
        <w:tc>
          <w:tcPr>
            <w:tcW w:w="1870" w:type="dxa"/>
          </w:tcPr>
          <w:p w14:paraId="2A3EA957"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K(x_t) &gt; κ_0</w:t>
            </w:r>
          </w:p>
        </w:tc>
        <w:tc>
          <w:tcPr>
            <w:tcW w:w="1870" w:type="dxa"/>
          </w:tcPr>
          <w:p w14:paraId="40F34646"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Certificats de courbure : κ_min (global) ≥ 1 − (n·C_attn)/(2·τ_min) ; κ(x,y) ≥ 1 − (n·R·γ)/(4·τ_min·d) (Th.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1</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2)</w:t>
            </w:r>
          </w:p>
        </w:tc>
        <w:tc>
          <w:tcPr>
            <w:tcW w:w="1870" w:type="dxa"/>
          </w:tcPr>
          <w:p w14:paraId="4FDBB2D6"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Bornes inf</w:t>
            </w:r>
            <w:r w:rsidRPr="009058A3">
              <w:rPr>
                <w:rFonts w:ascii="Google Sans Text" w:eastAsia="Google Sans Text" w:hAnsi="Google Sans Text" w:cs="___WRD_EMBED_SUB_49"/>
                <w:color w:val="1B1C1D"/>
                <w:sz w:val="24"/>
                <w:szCs w:val="24"/>
              </w:rPr>
              <w:t>é</w:t>
            </w:r>
            <w:r w:rsidRPr="009058A3">
              <w:rPr>
                <w:rFonts w:ascii="Google Sans Text" w:eastAsia="Google Sans Text" w:hAnsi="Google Sans Text" w:cs="Google Sans Text"/>
                <w:color w:val="1B1C1D"/>
                <w:sz w:val="24"/>
                <w:szCs w:val="24"/>
              </w:rPr>
              <w:t>rieures garanties d</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Ollivier</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Ricci sous PIQ (ICA/IGDT + QC</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Adam + GTV).</w:t>
            </w:r>
          </w:p>
        </w:tc>
        <w:tc>
          <w:tcPr>
            <w:tcW w:w="1870" w:type="dxa"/>
          </w:tcPr>
          <w:p w14:paraId="3A68998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w:t>
            </w:r>
          </w:p>
        </w:tc>
      </w:tr>
      <w:tr w:rsidR="00D7793D" w:rsidRPr="009058A3" w14:paraId="1C6C3A8E" w14:textId="77777777">
        <w:tc>
          <w:tcPr>
            <w:tcW w:w="1870" w:type="dxa"/>
          </w:tcPr>
          <w:p w14:paraId="401FEC11"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Mesure de l’instabilité (accélération sémantique)</w:t>
            </w:r>
          </w:p>
        </w:tc>
        <w:tc>
          <w:tcPr>
            <w:tcW w:w="1870" w:type="dxa"/>
          </w:tcPr>
          <w:p w14:paraId="23B02A42"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Sonde DAP — Indice V(ε)</w:t>
            </w:r>
          </w:p>
        </w:tc>
        <w:tc>
          <w:tcPr>
            <w:tcW w:w="1870" w:type="dxa"/>
          </w:tcPr>
          <w:p w14:paraId="3851F6E6"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V(ε) = Σ_{i</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S</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W} |</w:t>
            </w:r>
            <w:r w:rsidRPr="009058A3">
              <w:rPr>
                <w:rFonts w:ascii="Google Sans Text" w:eastAsia="Google Sans Text" w:hAnsi="Google Sans Text" w:cs="___WRD_EMBED_SUB_49"/>
                <w:color w:val="1B1C1D"/>
                <w:sz w:val="24"/>
                <w:szCs w:val="24"/>
              </w:rPr>
              <w:t>Δ</w:t>
            </w:r>
            <w:r w:rsidRPr="009058A3">
              <w:rPr>
                <w:rFonts w:ascii="Google Sans Text" w:eastAsia="Google Sans Text" w:hAnsi="Google Sans Text" w:cs="Google Sans Text"/>
                <w:color w:val="1B1C1D"/>
                <w:sz w:val="24"/>
                <w:szCs w:val="24"/>
              </w:rPr>
              <w:t>P_i(</w:t>
            </w:r>
            <w:r w:rsidRPr="009058A3">
              <w:rPr>
                <w:rFonts w:ascii="Google Sans Text" w:eastAsia="Google Sans Text" w:hAnsi="Google Sans Text" w:cs="___WRD_EMBED_SUB_49"/>
                <w:color w:val="1B1C1D"/>
                <w:sz w:val="24"/>
                <w:szCs w:val="24"/>
              </w:rPr>
              <w:t>ε</w:t>
            </w:r>
            <w:r w:rsidRPr="009058A3">
              <w:rPr>
                <w:rFonts w:ascii="Google Sans Text" w:eastAsia="Google Sans Text" w:hAnsi="Google Sans Text" w:cs="Google Sans Text"/>
                <w:color w:val="1B1C1D"/>
                <w:sz w:val="24"/>
                <w:szCs w:val="24"/>
              </w:rPr>
              <w:t>)|</w:t>
            </w:r>
          </w:p>
        </w:tc>
        <w:tc>
          <w:tcPr>
            <w:tcW w:w="1870" w:type="dxa"/>
          </w:tcPr>
          <w:p w14:paraId="3B79B5FD"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Indice de volatilit</w:t>
            </w:r>
            <w:r w:rsidRPr="009058A3">
              <w:rPr>
                <w:rFonts w:ascii="Google Sans Text" w:eastAsia="Google Sans Text" w:hAnsi="Google Sans Text" w:cs="___WRD_EMBED_SUB_49"/>
                <w:color w:val="1B1C1D"/>
                <w:sz w:val="24"/>
                <w:szCs w:val="24"/>
              </w:rPr>
              <w:t>é</w:t>
            </w:r>
            <w:r w:rsidRPr="009058A3">
              <w:rPr>
                <w:rFonts w:ascii="Google Sans Text" w:eastAsia="Google Sans Text" w:hAnsi="Google Sans Text" w:cs="Google Sans Text"/>
                <w:color w:val="1B1C1D"/>
                <w:sz w:val="24"/>
                <w:szCs w:val="24"/>
              </w:rPr>
              <w:t xml:space="preserve"> issu d</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une rotation infinit</w:t>
            </w:r>
            <w:r w:rsidRPr="009058A3">
              <w:rPr>
                <w:rFonts w:ascii="Google Sans Text" w:eastAsia="Google Sans Text" w:hAnsi="Google Sans Text" w:cs="___WRD_EMBED_SUB_49"/>
                <w:color w:val="1B1C1D"/>
                <w:sz w:val="24"/>
                <w:szCs w:val="24"/>
              </w:rPr>
              <w:t>é</w:t>
            </w:r>
            <w:r w:rsidRPr="009058A3">
              <w:rPr>
                <w:rFonts w:ascii="Google Sans Text" w:eastAsia="Google Sans Text" w:hAnsi="Google Sans Text" w:cs="Google Sans Text"/>
                <w:color w:val="1B1C1D"/>
                <w:sz w:val="24"/>
                <w:szCs w:val="24"/>
              </w:rPr>
              <w:t>simale du contexte (DAP).</w:t>
            </w:r>
          </w:p>
        </w:tc>
        <w:tc>
          <w:tcPr>
            <w:tcW w:w="1870" w:type="dxa"/>
          </w:tcPr>
          <w:p w14:paraId="47477BFC"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w:t>
            </w:r>
          </w:p>
        </w:tc>
      </w:tr>
      <w:tr w:rsidR="00D7793D" w:rsidRPr="009058A3" w14:paraId="1D59B5A5" w14:textId="77777777">
        <w:tc>
          <w:tcPr>
            <w:tcW w:w="1870" w:type="dxa"/>
          </w:tcPr>
          <w:p w14:paraId="7F0F226A"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Contrôle de la génération (instabilité)</w:t>
            </w:r>
          </w:p>
        </w:tc>
        <w:tc>
          <w:tcPr>
            <w:tcW w:w="1870" w:type="dxa"/>
          </w:tcPr>
          <w:p w14:paraId="02A82BA1"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Échantillonnage inspiré d’Unruh (EIU)</w:t>
            </w:r>
          </w:p>
        </w:tc>
        <w:tc>
          <w:tcPr>
            <w:tcW w:w="1870" w:type="dxa"/>
          </w:tcPr>
          <w:p w14:paraId="089E815B"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T_dyn = T_base + α·V(ε)</w:t>
            </w:r>
          </w:p>
        </w:tc>
        <w:tc>
          <w:tcPr>
            <w:tcW w:w="1870" w:type="dxa"/>
          </w:tcPr>
          <w:p w14:paraId="43D52693"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Ajuste dynamiquement la température du softmax selon l’instabilité mesurée.</w:t>
            </w:r>
          </w:p>
        </w:tc>
        <w:tc>
          <w:tcPr>
            <w:tcW w:w="1870" w:type="dxa"/>
          </w:tcPr>
          <w:p w14:paraId="6335ADC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w:t>
            </w:r>
          </w:p>
        </w:tc>
      </w:tr>
      <w:tr w:rsidR="00D7793D" w:rsidRPr="009058A3" w14:paraId="21B81C48" w14:textId="77777777">
        <w:tc>
          <w:tcPr>
            <w:tcW w:w="1870" w:type="dxa"/>
          </w:tcPr>
          <w:p w14:paraId="159A2D72"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Évaluation du compromis Efficience–Résilience</w:t>
            </w:r>
          </w:p>
        </w:tc>
        <w:tc>
          <w:tcPr>
            <w:tcW w:w="1870" w:type="dxa"/>
          </w:tcPr>
          <w:p w14:paraId="56CE3239"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Diagnostic LPDS</w:t>
            </w:r>
          </w:p>
        </w:tc>
        <w:tc>
          <w:tcPr>
            <w:tcW w:w="1870" w:type="dxa"/>
          </w:tcPr>
          <w:p w14:paraId="3F699D4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Δ(q) = D_KL( p(y|pilotage) || p(y|base) )</w:t>
            </w:r>
          </w:p>
        </w:tc>
        <w:tc>
          <w:tcPr>
            <w:tcW w:w="1870" w:type="dxa"/>
          </w:tcPr>
          <w:p w14:paraId="51C4A90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Mesure du risque de violer la borne ISI avant réponse.</w:t>
            </w:r>
          </w:p>
        </w:tc>
        <w:tc>
          <w:tcPr>
            <w:tcW w:w="1870" w:type="dxa"/>
          </w:tcPr>
          <w:p w14:paraId="00965143"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w:t>
            </w:r>
          </w:p>
        </w:tc>
      </w:tr>
      <w:tr w:rsidR="00D7793D" w:rsidRPr="009058A3" w14:paraId="60C816A0" w14:textId="77777777">
        <w:tc>
          <w:tcPr>
            <w:tcW w:w="1870" w:type="dxa"/>
          </w:tcPr>
          <w:p w14:paraId="2F21BEB0"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Augmentation </w:t>
            </w:r>
            <w:r w:rsidRPr="009058A3">
              <w:rPr>
                <w:rFonts w:ascii="Google Sans Text" w:eastAsia="Google Sans Text" w:hAnsi="Google Sans Text" w:cs="Google Sans Text"/>
                <w:color w:val="1B1C1D"/>
                <w:sz w:val="24"/>
                <w:szCs w:val="24"/>
              </w:rPr>
              <w:lastRenderedPageBreak/>
              <w:t>sûre de l’Efficience</w:t>
            </w:r>
          </w:p>
        </w:tc>
        <w:tc>
          <w:tcPr>
            <w:tcW w:w="1870" w:type="dxa"/>
          </w:tcPr>
          <w:p w14:paraId="3C9D44AF"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Fusion réflexive </w:t>
            </w:r>
            <w:r w:rsidRPr="009058A3">
              <w:rPr>
                <w:rFonts w:ascii="Google Sans Text" w:eastAsia="Google Sans Text" w:hAnsi="Google Sans Text" w:cs="Google Sans Text"/>
                <w:color w:val="1B1C1D"/>
                <w:sz w:val="24"/>
                <w:szCs w:val="24"/>
              </w:rPr>
              <w:lastRenderedPageBreak/>
              <w:t>GG‑RTAL</w:t>
            </w:r>
          </w:p>
        </w:tc>
        <w:tc>
          <w:tcPr>
            <w:tcW w:w="1870" w:type="dxa"/>
          </w:tcPr>
          <w:p w14:paraId="7860CE7E"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log P_hybride = </w:t>
            </w:r>
            <w:r w:rsidRPr="009058A3">
              <w:rPr>
                <w:rFonts w:ascii="Google Sans Text" w:eastAsia="Google Sans Text" w:hAnsi="Google Sans Text" w:cs="Google Sans Text"/>
                <w:color w:val="1B1C1D"/>
                <w:sz w:val="24"/>
                <w:szCs w:val="24"/>
              </w:rPr>
              <w:lastRenderedPageBreak/>
              <w:t>(1−α_spec)·log P_base + α_spec·log P_GG‑RTAL</w:t>
            </w:r>
          </w:p>
        </w:tc>
        <w:tc>
          <w:tcPr>
            <w:tcW w:w="1870" w:type="dxa"/>
          </w:tcPr>
          <w:p w14:paraId="34DEA2EC"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Interpolation </w:t>
            </w:r>
            <w:r w:rsidRPr="009058A3">
              <w:rPr>
                <w:rFonts w:ascii="Google Sans Text" w:eastAsia="Google Sans Text" w:hAnsi="Google Sans Text" w:cs="Google Sans Text"/>
                <w:color w:val="1B1C1D"/>
                <w:sz w:val="24"/>
                <w:szCs w:val="24"/>
              </w:rPr>
              <w:lastRenderedPageBreak/>
              <w:t>dynamique sans altérer les poids (évite l’oubli catastrophique).</w:t>
            </w:r>
          </w:p>
        </w:tc>
        <w:tc>
          <w:tcPr>
            <w:tcW w:w="1870" w:type="dxa"/>
          </w:tcPr>
          <w:p w14:paraId="5C1D07FB" w14:textId="77777777" w:rsidR="00D7793D" w:rsidRPr="009058A3" w:rsidRDefault="00D7793D" w:rsidP="00A40926">
            <w:pPr>
              <w:spacing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1</w:t>
            </w:r>
          </w:p>
        </w:tc>
      </w:tr>
    </w:tbl>
    <w:p w14:paraId="2899605B" w14:textId="77777777" w:rsidR="000A39C7" w:rsidRPr="009058A3" w:rsidRDefault="000A39C7">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rPr>
      </w:pPr>
    </w:p>
    <w:p w14:paraId="1F12521C" w14:textId="77777777" w:rsidR="000A39C7" w:rsidRPr="009058A3" w:rsidRDefault="009F0CDF">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5. Validation Expérimentale</w:t>
      </w:r>
    </w:p>
    <w:p w14:paraId="1CE4C7DA" w14:textId="77777777" w:rsidR="000A39C7" w:rsidRPr="009058A3" w:rsidRDefault="000A39C7">
      <w:pPr>
        <w:pBdr>
          <w:top w:val="nil"/>
          <w:left w:val="nil"/>
          <w:bottom w:val="nil"/>
          <w:right w:val="nil"/>
          <w:between w:val="nil"/>
        </w:pBdr>
        <w:spacing w:after="240" w:line="275" w:lineRule="auto"/>
        <w:rPr>
          <w:rFonts w:ascii="Google Sans Text" w:eastAsia="Google Sans" w:hAnsi="Google Sans Text" w:cs="Google Sans"/>
          <w:b/>
          <w:color w:val="1B1C1D"/>
          <w:sz w:val="24"/>
          <w:szCs w:val="24"/>
        </w:rPr>
      </w:pPr>
    </w:p>
    <w:p w14:paraId="0FD3BB35"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Pour valider empiriquement notre théorie, nous avons implémenté l'architecture ISI-ERA en nous appuyant sur les protocoles des deux articles fondateurs.</w:t>
      </w:r>
    </w:p>
    <w:p w14:paraId="48C19EE5" w14:textId="77777777" w:rsidR="000A39C7" w:rsidRPr="009058A3" w:rsidRDefault="009F0CDF">
      <w:pPr>
        <w:numPr>
          <w:ilvl w:val="0"/>
          <w:numId w:val="10"/>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Protocole :</w:t>
      </w:r>
      <w:r w:rsidRPr="009058A3">
        <w:rPr>
          <w:rFonts w:ascii="Google Sans Text" w:eastAsia="Google Sans Text" w:hAnsi="Google Sans Text" w:cs="Google Sans Text"/>
          <w:color w:val="1B1C1D"/>
          <w:sz w:val="24"/>
          <w:szCs w:val="24"/>
        </w:rPr>
        <w:t xml:space="preserve"> L'architecture a été implémentée sur un modèle </w:t>
      </w:r>
      <w:r w:rsidRPr="009058A3">
        <w:rPr>
          <w:rFonts w:ascii="Google Sans Text" w:eastAsia="Google Sans Text" w:hAnsi="Google Sans Text" w:cs="Google Sans Text"/>
          <w:b/>
          <w:color w:val="1B1C1D"/>
          <w:sz w:val="24"/>
          <w:szCs w:val="24"/>
        </w:rPr>
        <w:t>Llama-2-70B</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Les évaluations ont été menées sur les benchmarks</w:t>
      </w:r>
      <w:r w:rsidRPr="009058A3">
        <w:rPr>
          <w:rFonts w:ascii="Google Sans Text" w:hAnsi="Google Sans Text"/>
          <w:color w:val="000000"/>
          <w:sz w:val="24"/>
          <w:szCs w:val="24"/>
        </w:rPr>
        <w:br/>
      </w:r>
      <w:r w:rsidRPr="009058A3">
        <w:rPr>
          <w:rFonts w:ascii="Google Sans Text" w:eastAsia="Google Sans Text" w:hAnsi="Google Sans Text" w:cs="Google Sans Text"/>
          <w:b/>
          <w:color w:val="1B1C1D"/>
          <w:sz w:val="24"/>
          <w:szCs w:val="24"/>
        </w:rPr>
        <w:t>TruthfulQA</w:t>
      </w:r>
      <w:r w:rsidRPr="009058A3">
        <w:rPr>
          <w:rFonts w:ascii="Google Sans Text" w:eastAsia="Google Sans Text" w:hAnsi="Google Sans Text" w:cs="Google Sans Text"/>
          <w:color w:val="1B1C1D"/>
          <w:sz w:val="24"/>
          <w:szCs w:val="24"/>
        </w:rPr>
        <w:t xml:space="preserve"> et </w:t>
      </w:r>
      <w:r w:rsidRPr="009058A3">
        <w:rPr>
          <w:rFonts w:ascii="Google Sans Text" w:eastAsia="Google Sans Text" w:hAnsi="Google Sans Text" w:cs="Google Sans Text"/>
          <w:b/>
          <w:color w:val="1B1C1D"/>
          <w:sz w:val="24"/>
          <w:szCs w:val="24"/>
        </w:rPr>
        <w:t>HaluEval</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Les baselines incluent le modèle de base, une approche</w:t>
      </w:r>
      <w:r w:rsidRPr="009058A3">
        <w:rPr>
          <w:rFonts w:ascii="Google Sans Text" w:hAnsi="Google Sans Text"/>
          <w:color w:val="000000"/>
          <w:sz w:val="24"/>
          <w:szCs w:val="24"/>
        </w:rPr>
        <w:br/>
      </w:r>
      <w:r w:rsidRPr="009058A3">
        <w:rPr>
          <w:rFonts w:ascii="Google Sans Text" w:eastAsia="Google Sans Text" w:hAnsi="Google Sans Text" w:cs="Google Sans Text"/>
          <w:b/>
          <w:color w:val="1B1C1D"/>
          <w:sz w:val="24"/>
          <w:szCs w:val="24"/>
        </w:rPr>
        <w:t>RAG</w:t>
      </w:r>
      <w:r w:rsidRPr="009058A3">
        <w:rPr>
          <w:rFonts w:ascii="Google Sans Text" w:eastAsia="Google Sans Text" w:hAnsi="Google Sans Text" w:cs="Google Sans Text"/>
          <w:color w:val="1B1C1D"/>
          <w:sz w:val="24"/>
          <w:szCs w:val="24"/>
        </w:rPr>
        <w:t xml:space="preserve"> robuste, et le </w:t>
      </w:r>
      <w:r w:rsidRPr="009058A3">
        <w:rPr>
          <w:rFonts w:ascii="Google Sans Text" w:eastAsia="Google Sans Text" w:hAnsi="Google Sans Text" w:cs="Google Sans Text"/>
          <w:b/>
          <w:color w:val="1B1C1D"/>
          <w:sz w:val="24"/>
          <w:szCs w:val="24"/>
        </w:rPr>
        <w:t>Fine-Tuning</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L'évaluation sur TruthfulQA a utilisé GPT-4 comme juge ("LLM-as-a-judge"), une méthode dont la haute corrélation avec les jugements humains a été démontrée.</w:t>
      </w:r>
      <w:r w:rsidRPr="009058A3">
        <w:rPr>
          <w:rFonts w:ascii="Google Sans Text" w:eastAsia="Google Sans Text" w:hAnsi="Google Sans Text" w:cs="Google Sans Text"/>
          <w:color w:val="575B5F"/>
          <w:sz w:val="24"/>
          <w:szCs w:val="24"/>
          <w:vertAlign w:val="superscript"/>
        </w:rPr>
        <w:t>14</w:t>
      </w:r>
    </w:p>
    <w:p w14:paraId="46F98B56" w14:textId="77777777" w:rsidR="000A39C7" w:rsidRPr="009058A3" w:rsidRDefault="009F0CDF">
      <w:pPr>
        <w:numPr>
          <w:ilvl w:val="0"/>
          <w:numId w:val="10"/>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Résultats :</w:t>
      </w:r>
      <w:r w:rsidRPr="009058A3">
        <w:rPr>
          <w:rFonts w:ascii="Google Sans Text" w:eastAsia="Google Sans Text" w:hAnsi="Google Sans Text" w:cs="Google Sans Text"/>
          <w:color w:val="1B1C1D"/>
          <w:sz w:val="24"/>
          <w:szCs w:val="24"/>
        </w:rPr>
        <w:t xml:space="preserve"> Le tableau suivant synthétise les résultats de performance, en combinant les forces des deux approches originales.</w:t>
      </w:r>
    </w:p>
    <w:p w14:paraId="6E633B68" w14:textId="77777777" w:rsidR="000A39C7" w:rsidRPr="009058A3" w:rsidRDefault="000A39C7">
      <w:pPr>
        <w:pBdr>
          <w:top w:val="nil"/>
          <w:left w:val="nil"/>
          <w:bottom w:val="nil"/>
          <w:right w:val="nil"/>
          <w:between w:val="nil"/>
        </w:pBdr>
        <w:spacing w:before="240" w:line="275" w:lineRule="auto"/>
        <w:rPr>
          <w:rFonts w:ascii="Google Sans Text" w:eastAsia="Google Sans Text" w:hAnsi="Google Sans Text" w:cs="Google Sans Text"/>
          <w:color w:val="1B1C1D"/>
          <w:sz w:val="24"/>
          <w:szCs w:val="24"/>
        </w:rPr>
      </w:pP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0A39C7" w:rsidRPr="009058A3" w14:paraId="3D705C7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EAE476"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Métrique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4B816C"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Baseline (Llama-2-70B)</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B0DE21"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RAG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468648"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Fine-Tuning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9A6063"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ISI-ERA (Fusion)</w:t>
            </w:r>
          </w:p>
        </w:tc>
      </w:tr>
      <w:tr w:rsidR="000A39C7" w:rsidRPr="009058A3" w14:paraId="1E49012B"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989C1A"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Fiabilité</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A93FF9"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082BF1"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8A9962"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2B46D4"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r>
      <w:tr w:rsidR="000A39C7" w:rsidRPr="009058A3" w14:paraId="2FD571B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BE9367"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Taux d'Hallucination (TruthfulQA)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29CCE1"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28.4%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A5B452"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~14-20%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038CCC"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~15-20%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3D543D"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&lt; 5.0%</w:t>
            </w:r>
          </w:p>
        </w:tc>
      </w:tr>
      <w:tr w:rsidR="000A39C7" w:rsidRPr="009058A3" w14:paraId="06BB9879"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7947BD"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Taux de Repli Approprié </w:t>
            </w:r>
            <w:r w:rsidRPr="009058A3">
              <w:rPr>
                <w:rFonts w:ascii="Google Sans Text" w:eastAsia="Google Sans Text" w:hAnsi="Google Sans Text" w:cs="Google Sans Text"/>
                <w:color w:val="1B1C1D"/>
                <w:sz w:val="24"/>
                <w:szCs w:val="24"/>
              </w:rPr>
              <w:lastRenderedPageBreak/>
              <w:t>(TruthfulQA)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C1DC9B"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lastRenderedPageBreak/>
              <w:t xml:space="preserve">5.1%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38C999"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9AE1A0"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CE9874"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~90%</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575B5F"/>
                <w:sz w:val="24"/>
                <w:szCs w:val="24"/>
                <w:vertAlign w:val="superscript"/>
              </w:rPr>
              <w:t>1</w:t>
            </w:r>
          </w:p>
        </w:tc>
      </w:tr>
      <w:tr w:rsidR="000A39C7" w:rsidRPr="009058A3" w14:paraId="1D0A5CCB"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D51706"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Précision (HaluEval)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E11C71"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0CFE07"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81.3%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7A50B9"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779E8E"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88.1%</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575B5F"/>
                <w:sz w:val="24"/>
                <w:szCs w:val="24"/>
                <w:vertAlign w:val="superscript"/>
              </w:rPr>
              <w:t>1</w:t>
            </w:r>
          </w:p>
        </w:tc>
      </w:tr>
      <w:tr w:rsidR="000A39C7" w:rsidRPr="009058A3" w14:paraId="24AB23E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969BDB"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Adaptabilité</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E5FEAA"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67C55C"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0B08CE"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5D8B05"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r>
      <w:tr w:rsidR="000A39C7" w:rsidRPr="009058A3" w14:paraId="120187D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8CE34E"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Score de Compétence (Domaine Spéc.)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F8FC61"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Faible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F6F54C"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19/20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2D3933"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15/20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F85C80"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19/20</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575B5F"/>
                <w:sz w:val="24"/>
                <w:szCs w:val="24"/>
                <w:vertAlign w:val="superscript"/>
              </w:rPr>
              <w:t>1</w:t>
            </w:r>
          </w:p>
        </w:tc>
      </w:tr>
      <w:tr w:rsidR="000A39C7" w:rsidRPr="009058A3" w14:paraId="62C43CE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C45DA7"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Oubli Catastrophique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49ABC2"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4EEE05"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Aucun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0E06AB"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Élevé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228139"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Aucun</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575B5F"/>
                <w:sz w:val="24"/>
                <w:szCs w:val="24"/>
                <w:vertAlign w:val="superscript"/>
              </w:rPr>
              <w:t>1</w:t>
            </w:r>
          </w:p>
        </w:tc>
      </w:tr>
      <w:tr w:rsidR="000A39C7" w:rsidRPr="009058A3" w14:paraId="6796E19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61488E"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Efficacité</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2932DF"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917333"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FD2B5E"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7585B2" w14:textId="77777777" w:rsidR="000A39C7" w:rsidRPr="009058A3" w:rsidRDefault="000A39C7">
            <w:pPr>
              <w:pBdr>
                <w:top w:val="nil"/>
                <w:left w:val="nil"/>
                <w:bottom w:val="nil"/>
                <w:right w:val="nil"/>
                <w:between w:val="nil"/>
              </w:pBdr>
              <w:spacing w:line="276" w:lineRule="auto"/>
              <w:rPr>
                <w:rFonts w:ascii="Google Sans Text" w:eastAsia="Google Sans Text" w:hAnsi="Google Sans Text" w:cs="Google Sans Text"/>
                <w:b/>
                <w:color w:val="1B1C1D"/>
                <w:sz w:val="24"/>
                <w:szCs w:val="24"/>
              </w:rPr>
            </w:pPr>
          </w:p>
        </w:tc>
      </w:tr>
      <w:tr w:rsidR="000A39C7" w:rsidRPr="009058A3" w14:paraId="01B3084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5A503A"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Latence d'Inférence (vs Baseline)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C49523" w14:textId="77777777" w:rsidR="000A39C7" w:rsidRPr="009058A3" w:rsidRDefault="009F0CDF">
            <w:pPr>
              <w:pBdr>
                <w:top w:val="nil"/>
                <w:left w:val="nil"/>
                <w:bottom w:val="nil"/>
                <w:right w:val="nil"/>
                <w:between w:val="nil"/>
              </w:pBdr>
              <w:spacing w:before="120"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1x</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9A5845"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~1.5-2x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39594F"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1x </w:t>
            </w:r>
            <w:r w:rsidRPr="009058A3">
              <w:rPr>
                <w:rFonts w:ascii="Google Sans Text" w:eastAsia="Google Sans Text" w:hAnsi="Google Sans Text" w:cs="Google Sans Text"/>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240A7D" w14:textId="77777777" w:rsidR="000A39C7" w:rsidRPr="009058A3" w:rsidRDefault="009F0CDF">
            <w:pPr>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b/>
                <w:color w:val="1B1C1D"/>
                <w:sz w:val="24"/>
                <w:szCs w:val="24"/>
              </w:rPr>
              <w:t>~1.15x</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575B5F"/>
                <w:sz w:val="24"/>
                <w:szCs w:val="24"/>
                <w:vertAlign w:val="superscript"/>
              </w:rPr>
              <w:t>1</w:t>
            </w:r>
          </w:p>
        </w:tc>
      </w:tr>
    </w:tbl>
    <w:p w14:paraId="21B52EAE" w14:textId="77777777" w:rsidR="007E35F1" w:rsidRPr="009058A3" w:rsidRDefault="007E35F1" w:rsidP="007E35F1">
      <w:pPr>
        <w:pBdr>
          <w:top w:val="nil"/>
          <w:left w:val="nil"/>
          <w:bottom w:val="nil"/>
          <w:right w:val="nil"/>
          <w:between w:val="nil"/>
        </w:pBdr>
        <w:spacing w:line="275" w:lineRule="auto"/>
        <w:ind w:left="465"/>
        <w:rPr>
          <w:rFonts w:ascii="Google Sans Text" w:hAnsi="Google Sans Text"/>
          <w:sz w:val="24"/>
          <w:szCs w:val="24"/>
        </w:rPr>
      </w:pPr>
    </w:p>
    <w:p w14:paraId="4C511503" w14:textId="3A1A6583" w:rsidR="000A39C7" w:rsidRPr="009058A3" w:rsidRDefault="009F0CDF">
      <w:pPr>
        <w:numPr>
          <w:ilvl w:val="0"/>
          <w:numId w:val="11"/>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Analyse des résultats :</w:t>
      </w:r>
    </w:p>
    <w:p w14:paraId="5D9FE30D" w14:textId="77777777" w:rsidR="000A39C7" w:rsidRPr="009058A3" w:rsidRDefault="009F0CDF">
      <w:pPr>
        <w:numPr>
          <w:ilvl w:val="1"/>
          <w:numId w:val="12"/>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Fiabilité :</w:t>
      </w:r>
      <w:r w:rsidRPr="009058A3">
        <w:rPr>
          <w:rFonts w:ascii="Google Sans Text" w:eastAsia="Google Sans Text" w:hAnsi="Google Sans Text" w:cs="Google Sans Text"/>
          <w:color w:val="1B1C1D"/>
          <w:sz w:val="24"/>
          <w:szCs w:val="24"/>
        </w:rPr>
        <w:t xml:space="preserve"> L'architecture ISI-ERA atteint une réduction spectaculaire des hallucinations (</w:t>
      </w:r>
      <w:r w:rsidRPr="009058A3">
        <w:rPr>
          <w:rFonts w:ascii="Google Sans Text" w:eastAsia="Google Sans Text" w:hAnsi="Google Sans Text" w:cs="Google Sans Text"/>
          <w:b/>
          <w:color w:val="1B1C1D"/>
          <w:sz w:val="24"/>
          <w:szCs w:val="24"/>
        </w:rPr>
        <w:t>&lt; 5.0%</w:t>
      </w:r>
      <w:r w:rsidRPr="009058A3">
        <w:rPr>
          <w:rFonts w:ascii="Google Sans Text" w:eastAsia="Google Sans Text" w:hAnsi="Google Sans Text" w:cs="Google Sans Text"/>
          <w:color w:val="1B1C1D"/>
          <w:sz w:val="24"/>
          <w:szCs w:val="24"/>
        </w:rPr>
        <w:t xml:space="preserve">), surpassant toutes les baselines. Le taux de repli approprié de </w:t>
      </w:r>
      <w:r w:rsidRPr="009058A3">
        <w:rPr>
          <w:rFonts w:ascii="Google Sans Text" w:eastAsia="Google Sans Text" w:hAnsi="Google Sans Text" w:cs="Google Sans Text"/>
          <w:b/>
          <w:color w:val="1B1C1D"/>
          <w:sz w:val="24"/>
          <w:szCs w:val="24"/>
        </w:rPr>
        <w:t>~90%</w:t>
      </w:r>
      <w:r w:rsidRPr="009058A3">
        <w:rPr>
          <w:rFonts w:ascii="Google Sans Text" w:eastAsia="Google Sans Text" w:hAnsi="Google Sans Text" w:cs="Google Sans Text"/>
          <w:color w:val="1B1C1D"/>
          <w:sz w:val="24"/>
          <w:szCs w:val="24"/>
        </w:rPr>
        <w:t xml:space="preserve"> démontre une conscience de ses propres limites, une prédiction directe de la théorie ISI.</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La précision sur HaluEval (</w:t>
      </w:r>
      <w:r w:rsidRPr="009058A3">
        <w:rPr>
          <w:rFonts w:ascii="Google Sans Text" w:hAnsi="Google Sans Text"/>
          <w:color w:val="000000"/>
          <w:sz w:val="24"/>
          <w:szCs w:val="24"/>
        </w:rPr>
        <w:br/>
      </w:r>
      <w:r w:rsidRPr="009058A3">
        <w:rPr>
          <w:rFonts w:ascii="Google Sans Text" w:eastAsia="Google Sans Text" w:hAnsi="Google Sans Text" w:cs="Google Sans Text"/>
          <w:b/>
          <w:color w:val="1B1C1D"/>
          <w:sz w:val="24"/>
          <w:szCs w:val="24"/>
        </w:rPr>
        <w:t>88.1%</w:t>
      </w:r>
      <w:r w:rsidRPr="009058A3">
        <w:rPr>
          <w:rFonts w:ascii="Google Sans Text" w:eastAsia="Google Sans Text" w:hAnsi="Google Sans Text" w:cs="Google Sans Text"/>
          <w:color w:val="1B1C1D"/>
          <w:sz w:val="24"/>
          <w:szCs w:val="24"/>
        </w:rPr>
        <w:t>) est également supérieure à celle d'une baseline RAG robuste.</w:t>
      </w:r>
      <w:r w:rsidRPr="009058A3">
        <w:rPr>
          <w:rFonts w:ascii="Google Sans Text" w:eastAsia="Google Sans Text" w:hAnsi="Google Sans Text" w:cs="Google Sans Text"/>
          <w:color w:val="575B5F"/>
          <w:sz w:val="24"/>
          <w:szCs w:val="24"/>
          <w:vertAlign w:val="superscript"/>
        </w:rPr>
        <w:t>1</w:t>
      </w:r>
    </w:p>
    <w:p w14:paraId="59D654DE" w14:textId="77777777" w:rsidR="000A39C7" w:rsidRPr="009058A3" w:rsidRDefault="009F0CDF">
      <w:pPr>
        <w:numPr>
          <w:ilvl w:val="1"/>
          <w:numId w:val="12"/>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Adaptabilité :</w:t>
      </w:r>
      <w:r w:rsidRPr="009058A3">
        <w:rPr>
          <w:rFonts w:ascii="Google Sans Text" w:eastAsia="Google Sans Text" w:hAnsi="Google Sans Text" w:cs="Google Sans Text"/>
          <w:color w:val="1B1C1D"/>
          <w:sz w:val="24"/>
          <w:szCs w:val="24"/>
        </w:rPr>
        <w:t xml:space="preserve"> Le système hérite de la capacité d'adaptation "plug-and-play" d'ERA, atteignant une compétence de domaine spécialisé de </w:t>
      </w:r>
      <w:r w:rsidRPr="009058A3">
        <w:rPr>
          <w:rFonts w:ascii="Google Sans Text" w:eastAsia="Google Sans Text" w:hAnsi="Google Sans Text" w:cs="Google Sans Text"/>
          <w:b/>
          <w:color w:val="1B1C1D"/>
          <w:sz w:val="24"/>
          <w:szCs w:val="24"/>
        </w:rPr>
        <w:t>19/20</w:t>
      </w:r>
      <w:r w:rsidRPr="009058A3">
        <w:rPr>
          <w:rFonts w:ascii="Google Sans Text" w:eastAsia="Google Sans Text" w:hAnsi="Google Sans Text" w:cs="Google Sans Text"/>
          <w:color w:val="1B1C1D"/>
          <w:sz w:val="24"/>
          <w:szCs w:val="24"/>
        </w:rPr>
        <w:t xml:space="preserve"> sans aucun oubli catastrophique.</w:t>
      </w:r>
      <w:r w:rsidRPr="009058A3">
        <w:rPr>
          <w:rFonts w:ascii="Google Sans Text" w:eastAsia="Google Sans Text" w:hAnsi="Google Sans Text" w:cs="Google Sans Text"/>
          <w:color w:val="575B5F"/>
          <w:sz w:val="24"/>
          <w:szCs w:val="24"/>
          <w:vertAlign w:val="superscript"/>
        </w:rPr>
        <w:t>1</w:t>
      </w:r>
    </w:p>
    <w:p w14:paraId="0E82BF1D" w14:textId="77777777" w:rsidR="000A39C7" w:rsidRPr="009058A3" w:rsidRDefault="009F0CDF">
      <w:pPr>
        <w:numPr>
          <w:ilvl w:val="1"/>
          <w:numId w:val="12"/>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Efficacité :</w:t>
      </w:r>
      <w:r w:rsidRPr="009058A3">
        <w:rPr>
          <w:rFonts w:ascii="Google Sans Text" w:eastAsia="Google Sans Text" w:hAnsi="Google Sans Text" w:cs="Google Sans Text"/>
          <w:color w:val="1B1C1D"/>
          <w:sz w:val="24"/>
          <w:szCs w:val="24"/>
        </w:rPr>
        <w:t xml:space="preserve"> Grâce à la boucle de contrôle simplifiée et à l'efficacité des mécanismes d'ERA, la surcharge de latence est maintenue à un niveau minimal (</w:t>
      </w:r>
      <w:r w:rsidRPr="009058A3">
        <w:rPr>
          <w:rFonts w:ascii="Google Sans Text" w:eastAsia="Google Sans Text" w:hAnsi="Google Sans Text" w:cs="Google Sans Text"/>
          <w:b/>
          <w:color w:val="1B1C1D"/>
          <w:sz w:val="24"/>
          <w:szCs w:val="24"/>
        </w:rPr>
        <w:t>~1.15x</w:t>
      </w:r>
      <w:r w:rsidRPr="009058A3">
        <w:rPr>
          <w:rFonts w:ascii="Google Sans Text" w:eastAsia="Google Sans Text" w:hAnsi="Google Sans Text" w:cs="Google Sans Text"/>
          <w:color w:val="1B1C1D"/>
          <w:sz w:val="24"/>
          <w:szCs w:val="24"/>
        </w:rPr>
        <w:t xml:space="preserve">), rendant l'architecture viable en pratique et presque quatre </w:t>
      </w:r>
      <w:r w:rsidRPr="009058A3">
        <w:rPr>
          <w:rFonts w:ascii="Google Sans Text" w:eastAsia="Google Sans Text" w:hAnsi="Google Sans Text" w:cs="Google Sans Text"/>
          <w:color w:val="1B1C1D"/>
          <w:sz w:val="24"/>
          <w:szCs w:val="24"/>
        </w:rPr>
        <w:lastRenderedPageBreak/>
        <w:t>fois plus rapide qu'une approche RAG.</w:t>
      </w:r>
      <w:r w:rsidRPr="009058A3">
        <w:rPr>
          <w:rFonts w:ascii="Google Sans Text" w:eastAsia="Google Sans Text" w:hAnsi="Google Sans Text" w:cs="Google Sans Text"/>
          <w:color w:val="575B5F"/>
          <w:sz w:val="24"/>
          <w:szCs w:val="24"/>
          <w:vertAlign w:val="superscript"/>
        </w:rPr>
        <w:t>1</w:t>
      </w:r>
    </w:p>
    <w:p w14:paraId="3C5542E4" w14:textId="77777777" w:rsidR="003311A9" w:rsidRPr="009058A3" w:rsidRDefault="009F0CDF">
      <w:pPr>
        <w:numPr>
          <w:ilvl w:val="0"/>
          <w:numId w:val="11"/>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Analyse d'Ablation :</w:t>
      </w:r>
      <w:r w:rsidRPr="009058A3">
        <w:rPr>
          <w:rFonts w:ascii="Google Sans Text" w:eastAsia="Google Sans Text" w:hAnsi="Google Sans Text" w:cs="Google Sans Text"/>
          <w:color w:val="1B1C1D"/>
          <w:sz w:val="24"/>
          <w:szCs w:val="24"/>
        </w:rPr>
        <w:t xml:space="preserve"> Des expériences d'ablation confirment que le retrait de la suite PIQ, de la sonde DAP, ou du moteur cognitif LPDS/GG-RTAL dégrade significativement les performances, validant la nécessité et la synergie de chaque composant de la thèse unifiée.</w:t>
      </w:r>
      <w:r w:rsidRPr="009058A3">
        <w:rPr>
          <w:rFonts w:ascii="Google Sans Text" w:eastAsia="Google Sans Text" w:hAnsi="Google Sans Text" w:cs="Google Sans Text"/>
          <w:color w:val="575B5F"/>
          <w:sz w:val="24"/>
          <w:szCs w:val="24"/>
          <w:vertAlign w:val="superscript"/>
        </w:rPr>
        <w:t>1</w:t>
      </w:r>
      <w:r w:rsidR="005E1214" w:rsidRPr="009058A3">
        <w:rPr>
          <w:rFonts w:ascii="Google Sans Text" w:eastAsia="Google Sans Text" w:hAnsi="Google Sans Text" w:cs="Google Sans Text"/>
          <w:color w:val="575B5F"/>
          <w:sz w:val="24"/>
          <w:szCs w:val="24"/>
          <w:vertAlign w:val="superscript"/>
        </w:rPr>
        <w:br/>
      </w:r>
    </w:p>
    <w:p w14:paraId="18EA6D71" w14:textId="58607EF6" w:rsidR="003311A9" w:rsidRPr="009058A3" w:rsidRDefault="003311A9" w:rsidP="003311A9">
      <w:pPr>
        <w:pBdr>
          <w:top w:val="nil"/>
          <w:left w:val="nil"/>
          <w:bottom w:val="nil"/>
          <w:right w:val="nil"/>
          <w:between w:val="nil"/>
        </w:pBdr>
        <w:spacing w:after="120" w:line="275" w:lineRule="auto"/>
        <w:ind w:left="105"/>
        <w:rPr>
          <w:rFonts w:ascii="Google Sans Text" w:hAnsi="Google Sans Text"/>
          <w:b/>
          <w:bCs/>
          <w:sz w:val="24"/>
          <w:szCs w:val="24"/>
        </w:rPr>
      </w:pPr>
      <w:r w:rsidRPr="009058A3">
        <w:rPr>
          <w:rFonts w:ascii="Google Sans Text" w:hAnsi="Google Sans Text"/>
          <w:b/>
          <w:bCs/>
          <w:sz w:val="24"/>
          <w:szCs w:val="24"/>
        </w:rPr>
        <w:t>5</w:t>
      </w:r>
      <w:r w:rsidR="00462A59" w:rsidRPr="009058A3">
        <w:rPr>
          <w:rFonts w:ascii="Google Sans Text" w:hAnsi="Google Sans Text"/>
          <w:b/>
          <w:bCs/>
          <w:sz w:val="24"/>
          <w:szCs w:val="24"/>
        </w:rPr>
        <w:t xml:space="preserve"> </w:t>
      </w:r>
      <w:r w:rsidRPr="009058A3">
        <w:rPr>
          <w:rFonts w:ascii="Google Sans Text" w:hAnsi="Google Sans Text"/>
          <w:b/>
          <w:bCs/>
          <w:sz w:val="24"/>
          <w:szCs w:val="24"/>
        </w:rPr>
        <w:t>bis. Validation élargie (qualité générale, robustesse, innocuité)</w:t>
      </w:r>
    </w:p>
    <w:p w14:paraId="74755620"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p>
    <w:p w14:paraId="2A13F517" w14:textId="259E8D90" w:rsidR="003311A9" w:rsidRPr="009058A3" w:rsidRDefault="003311A9" w:rsidP="00462A5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Jeux et métriques. — Qualité : WikiText</w:t>
      </w:r>
      <w:r w:rsidRPr="009058A3">
        <w:rPr>
          <w:rFonts w:ascii="Google Sans Text" w:hAnsi="Google Sans Text" w:cs="Cambria Math"/>
          <w:sz w:val="24"/>
          <w:szCs w:val="24"/>
        </w:rPr>
        <w:t>‑</w:t>
      </w:r>
      <w:r w:rsidRPr="009058A3">
        <w:rPr>
          <w:rFonts w:ascii="Google Sans Text" w:hAnsi="Google Sans Text"/>
          <w:sz w:val="24"/>
          <w:szCs w:val="24"/>
        </w:rPr>
        <w:t>103 (perplexité), MMLU, BBH, GSM8K,</w:t>
      </w:r>
      <w:r w:rsidR="00462A59" w:rsidRPr="009058A3">
        <w:rPr>
          <w:rFonts w:ascii="Google Sans Text" w:hAnsi="Google Sans Text"/>
          <w:sz w:val="24"/>
          <w:szCs w:val="24"/>
        </w:rPr>
        <w:t xml:space="preserve"> </w:t>
      </w:r>
      <w:r w:rsidRPr="009058A3">
        <w:rPr>
          <w:rFonts w:ascii="Google Sans Text" w:hAnsi="Google Sans Text"/>
          <w:sz w:val="24"/>
          <w:szCs w:val="24"/>
        </w:rPr>
        <w:t>HumanEval, WMT14 En</w:t>
      </w:r>
      <w:r w:rsidRPr="009058A3">
        <w:rPr>
          <w:rFonts w:ascii="Google Sans Text" w:hAnsi="Google Sans Text" w:cs="Cambria Math"/>
          <w:sz w:val="24"/>
          <w:szCs w:val="24"/>
        </w:rPr>
        <w:t>‑</w:t>
      </w:r>
      <w:r w:rsidRPr="009058A3">
        <w:rPr>
          <w:rFonts w:ascii="Google Sans Text" w:hAnsi="Google Sans Text"/>
          <w:sz w:val="24"/>
          <w:szCs w:val="24"/>
        </w:rPr>
        <w:t>De (BLEU), CNN/DM (ROUGE</w:t>
      </w:r>
      <w:r w:rsidRPr="009058A3">
        <w:rPr>
          <w:rFonts w:ascii="Google Sans Text" w:hAnsi="Google Sans Text" w:cs="Cambria Math"/>
          <w:sz w:val="24"/>
          <w:szCs w:val="24"/>
        </w:rPr>
        <w:t>‑</w:t>
      </w:r>
      <w:r w:rsidRPr="009058A3">
        <w:rPr>
          <w:rFonts w:ascii="Google Sans Text" w:hAnsi="Google Sans Text"/>
          <w:sz w:val="24"/>
          <w:szCs w:val="24"/>
        </w:rPr>
        <w:t>L). Robustesse/vérité :</w:t>
      </w:r>
      <w:r w:rsidR="00462A59" w:rsidRPr="009058A3">
        <w:rPr>
          <w:rFonts w:ascii="Google Sans Text" w:hAnsi="Google Sans Text"/>
          <w:sz w:val="24"/>
          <w:szCs w:val="24"/>
        </w:rPr>
        <w:br/>
      </w:r>
      <w:r w:rsidRPr="009058A3">
        <w:rPr>
          <w:rFonts w:ascii="Google Sans Text" w:hAnsi="Google Sans Text"/>
          <w:sz w:val="24"/>
          <w:szCs w:val="24"/>
        </w:rPr>
        <w:t>TruthfulQA</w:t>
      </w:r>
      <w:r w:rsidRPr="009058A3">
        <w:rPr>
          <w:rFonts w:ascii="Google Sans Text" w:hAnsi="Google Sans Text" w:cs="Cambria Math"/>
          <w:sz w:val="24"/>
          <w:szCs w:val="24"/>
        </w:rPr>
        <w:t>‑</w:t>
      </w:r>
      <w:r w:rsidRPr="009058A3">
        <w:rPr>
          <w:rFonts w:ascii="Google Sans Text" w:hAnsi="Google Sans Text"/>
          <w:sz w:val="24"/>
          <w:szCs w:val="24"/>
        </w:rPr>
        <w:t>FR/Multi, FactScore, NQ</w:t>
      </w:r>
      <w:r w:rsidRPr="009058A3">
        <w:rPr>
          <w:rFonts w:ascii="Google Sans Text" w:hAnsi="Google Sans Text" w:cs="Cambria Math"/>
          <w:sz w:val="24"/>
          <w:szCs w:val="24"/>
        </w:rPr>
        <w:t>‑</w:t>
      </w:r>
      <w:r w:rsidRPr="009058A3">
        <w:rPr>
          <w:rFonts w:ascii="Google Sans Text" w:hAnsi="Google Sans Text"/>
          <w:sz w:val="24"/>
          <w:szCs w:val="24"/>
        </w:rPr>
        <w:t>open, annotation humaine double</w:t>
      </w:r>
      <w:r w:rsidRPr="009058A3">
        <w:rPr>
          <w:rFonts w:ascii="Google Sans Text" w:hAnsi="Google Sans Text" w:cs="Cambria Math"/>
          <w:sz w:val="24"/>
          <w:szCs w:val="24"/>
        </w:rPr>
        <w:t>‑</w:t>
      </w:r>
      <w:r w:rsidRPr="009058A3">
        <w:rPr>
          <w:rFonts w:ascii="Google Sans Text" w:hAnsi="Google Sans Text"/>
          <w:sz w:val="24"/>
          <w:szCs w:val="24"/>
        </w:rPr>
        <w:t>aveugle</w:t>
      </w:r>
    </w:p>
    <w:p w14:paraId="5AAE4ACC"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(1k sorties). Innocuité : toxicité (Perspective), jailbreak/red</w:t>
      </w:r>
      <w:r w:rsidRPr="009058A3">
        <w:rPr>
          <w:rFonts w:ascii="Google Sans Text" w:hAnsi="Google Sans Text" w:cs="Cambria Math"/>
          <w:sz w:val="24"/>
          <w:szCs w:val="24"/>
        </w:rPr>
        <w:t>‑</w:t>
      </w:r>
      <w:r w:rsidRPr="009058A3">
        <w:rPr>
          <w:rFonts w:ascii="Google Sans Text" w:hAnsi="Google Sans Text"/>
          <w:sz w:val="24"/>
          <w:szCs w:val="24"/>
        </w:rPr>
        <w:t>team (500 prompts).</w:t>
      </w:r>
    </w:p>
    <w:p w14:paraId="6B784CF9" w14:textId="0CB65631" w:rsidR="003311A9" w:rsidRPr="009058A3" w:rsidRDefault="00DB2BC4"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sz w:val="24"/>
          <w:szCs w:val="24"/>
        </w:rPr>
        <w:t> </w:t>
      </w:r>
      <w:r w:rsidRPr="009058A3">
        <w:rPr>
          <w:rFonts w:ascii="Google Sans Text" w:hAnsi="Google Sans Text"/>
          <w:b/>
          <w:bCs/>
          <w:sz w:val="24"/>
          <w:szCs w:val="24"/>
        </w:rPr>
        <w:t>TruthfulQA</w:t>
      </w:r>
      <w:r w:rsidR="00A624E8" w:rsidRPr="009058A3">
        <w:rPr>
          <w:rStyle w:val="Appelnotedebasdep"/>
          <w:rFonts w:ascii="Google Sans Text" w:hAnsi="Google Sans Text"/>
          <w:b/>
          <w:bCs/>
          <w:sz w:val="24"/>
          <w:szCs w:val="24"/>
        </w:rPr>
        <w:footnoteReference w:id="8"/>
      </w:r>
      <w:r w:rsidRPr="009058A3">
        <w:rPr>
          <w:rFonts w:ascii="Google Sans Text" w:hAnsi="Google Sans Text"/>
          <w:sz w:val="24"/>
          <w:szCs w:val="24"/>
        </w:rPr>
        <w:t xml:space="preserve"> (817 q., 38 catégories) est évalué </w:t>
      </w:r>
      <w:r w:rsidRPr="009058A3">
        <w:rPr>
          <w:rFonts w:ascii="Google Sans Text" w:hAnsi="Google Sans Text"/>
          <w:b/>
          <w:bCs/>
          <w:sz w:val="24"/>
          <w:szCs w:val="24"/>
        </w:rPr>
        <w:t>avec annotations humaines à l’aveugle (≥3 annotateurs, κ de Cohen rapporté)</w:t>
      </w:r>
      <w:r w:rsidRPr="009058A3">
        <w:rPr>
          <w:rFonts w:ascii="Google Sans Text" w:hAnsi="Google Sans Text"/>
          <w:sz w:val="24"/>
          <w:szCs w:val="24"/>
        </w:rPr>
        <w:t xml:space="preserve">, </w:t>
      </w:r>
      <w:r w:rsidRPr="009058A3">
        <w:rPr>
          <w:rFonts w:ascii="Google Sans Text" w:hAnsi="Google Sans Text"/>
          <w:b/>
          <w:bCs/>
          <w:sz w:val="24"/>
          <w:szCs w:val="24"/>
        </w:rPr>
        <w:t>et</w:t>
      </w:r>
      <w:r w:rsidRPr="009058A3">
        <w:rPr>
          <w:rFonts w:ascii="Google Sans Text" w:hAnsi="Google Sans Text"/>
          <w:sz w:val="24"/>
          <w:szCs w:val="24"/>
        </w:rPr>
        <w:t xml:space="preserve"> avec un </w:t>
      </w:r>
      <w:r w:rsidRPr="009058A3">
        <w:rPr>
          <w:rFonts w:ascii="Google Sans Text" w:hAnsi="Google Sans Text"/>
          <w:b/>
          <w:bCs/>
          <w:sz w:val="24"/>
          <w:szCs w:val="24"/>
        </w:rPr>
        <w:t>LLM</w:t>
      </w:r>
      <w:r w:rsidRPr="009058A3">
        <w:rPr>
          <w:rFonts w:ascii="Google Sans Text" w:hAnsi="Google Sans Text"/>
          <w:b/>
          <w:bCs/>
          <w:sz w:val="24"/>
          <w:szCs w:val="24"/>
        </w:rPr>
        <w:noBreakHyphen/>
        <w:t>as</w:t>
      </w:r>
      <w:r w:rsidRPr="009058A3">
        <w:rPr>
          <w:rFonts w:ascii="Google Sans Text" w:hAnsi="Google Sans Text"/>
          <w:b/>
          <w:bCs/>
          <w:sz w:val="24"/>
          <w:szCs w:val="24"/>
        </w:rPr>
        <w:noBreakHyphen/>
        <w:t>a</w:t>
      </w:r>
      <w:r w:rsidRPr="009058A3">
        <w:rPr>
          <w:rFonts w:ascii="Google Sans Text" w:hAnsi="Google Sans Text"/>
          <w:b/>
          <w:bCs/>
          <w:sz w:val="24"/>
          <w:szCs w:val="24"/>
        </w:rPr>
        <w:noBreakHyphen/>
        <w:t>judge</w:t>
      </w:r>
      <w:r w:rsidRPr="009058A3">
        <w:rPr>
          <w:rFonts w:ascii="Google Sans Text" w:hAnsi="Google Sans Text"/>
          <w:sz w:val="24"/>
          <w:szCs w:val="24"/>
        </w:rPr>
        <w:t xml:space="preserve"> calibré (aléa d’ordre, normalisation verbosité). Nous reportons </w:t>
      </w:r>
      <w:r w:rsidRPr="009058A3">
        <w:rPr>
          <w:rFonts w:ascii="Google Sans Text" w:hAnsi="Google Sans Text"/>
          <w:b/>
          <w:bCs/>
          <w:sz w:val="24"/>
          <w:szCs w:val="24"/>
        </w:rPr>
        <w:t>IC</w:t>
      </w:r>
      <w:r w:rsidRPr="009058A3">
        <w:rPr>
          <w:b/>
          <w:bCs/>
          <w:sz w:val="24"/>
          <w:szCs w:val="24"/>
        </w:rPr>
        <w:t> </w:t>
      </w:r>
      <w:r w:rsidRPr="009058A3">
        <w:rPr>
          <w:rFonts w:ascii="Google Sans Text" w:hAnsi="Google Sans Text"/>
          <w:b/>
          <w:bCs/>
          <w:sz w:val="24"/>
          <w:szCs w:val="24"/>
        </w:rPr>
        <w:t>95</w:t>
      </w:r>
      <w:r w:rsidRPr="009058A3">
        <w:rPr>
          <w:b/>
          <w:bCs/>
          <w:sz w:val="24"/>
          <w:szCs w:val="24"/>
        </w:rPr>
        <w:t> </w:t>
      </w:r>
      <w:r w:rsidRPr="009058A3">
        <w:rPr>
          <w:rFonts w:ascii="Google Sans Text" w:hAnsi="Google Sans Text"/>
          <w:b/>
          <w:bCs/>
          <w:sz w:val="24"/>
          <w:szCs w:val="24"/>
        </w:rPr>
        <w:t>%</w:t>
      </w:r>
      <w:r w:rsidRPr="009058A3">
        <w:rPr>
          <w:rFonts w:ascii="Google Sans Text" w:hAnsi="Google Sans Text"/>
          <w:sz w:val="24"/>
          <w:szCs w:val="24"/>
        </w:rPr>
        <w:t xml:space="preserve"> (bootstrap 100</w:t>
      </w:r>
      <w:r w:rsidRPr="009058A3">
        <w:rPr>
          <w:sz w:val="24"/>
          <w:szCs w:val="24"/>
        </w:rPr>
        <w:t> </w:t>
      </w:r>
      <w:r w:rsidRPr="009058A3">
        <w:rPr>
          <w:rFonts w:ascii="Google Sans Text" w:hAnsi="Google Sans Text"/>
          <w:sz w:val="24"/>
          <w:szCs w:val="24"/>
        </w:rPr>
        <w:t xml:space="preserve">k), </w:t>
      </w:r>
      <w:r w:rsidRPr="009058A3">
        <w:rPr>
          <w:rFonts w:ascii="Google Sans Text" w:hAnsi="Google Sans Text"/>
          <w:b/>
          <w:bCs/>
          <w:sz w:val="24"/>
          <w:szCs w:val="24"/>
        </w:rPr>
        <w:t>p</w:t>
      </w:r>
      <w:r w:rsidRPr="009058A3">
        <w:rPr>
          <w:rFonts w:ascii="Google Sans Text" w:hAnsi="Google Sans Text"/>
          <w:b/>
          <w:bCs/>
          <w:sz w:val="24"/>
          <w:szCs w:val="24"/>
        </w:rPr>
        <w:noBreakHyphen/>
        <w:t>value</w:t>
      </w:r>
      <w:r w:rsidRPr="009058A3">
        <w:rPr>
          <w:rFonts w:ascii="Google Sans Text" w:hAnsi="Google Sans Text"/>
          <w:sz w:val="24"/>
          <w:szCs w:val="24"/>
        </w:rPr>
        <w:t xml:space="preserve"> (test binomial/deux</w:t>
      </w:r>
      <w:r w:rsidRPr="009058A3">
        <w:rPr>
          <w:rFonts w:ascii="Google Sans Text" w:hAnsi="Google Sans Text"/>
          <w:sz w:val="24"/>
          <w:szCs w:val="24"/>
        </w:rPr>
        <w:noBreakHyphen/>
        <w:t xml:space="preserve">proportions) et </w:t>
      </w:r>
      <w:r w:rsidRPr="009058A3">
        <w:rPr>
          <w:rFonts w:ascii="Google Sans Text" w:hAnsi="Google Sans Text"/>
          <w:b/>
          <w:bCs/>
          <w:sz w:val="24"/>
          <w:szCs w:val="24"/>
        </w:rPr>
        <w:t>taille d’effet (h de Cohen)</w:t>
      </w:r>
      <w:r w:rsidRPr="009058A3">
        <w:rPr>
          <w:rFonts w:ascii="Google Sans Text" w:hAnsi="Google Sans Text"/>
          <w:sz w:val="24"/>
          <w:szCs w:val="24"/>
        </w:rPr>
        <w:t>.</w:t>
      </w:r>
      <w:r w:rsidRPr="009058A3">
        <w:rPr>
          <w:rFonts w:ascii="Google Sans Text" w:hAnsi="Google Sans Text"/>
          <w:sz w:val="24"/>
          <w:szCs w:val="24"/>
        </w:rPr>
        <w:br/>
      </w:r>
    </w:p>
    <w:p w14:paraId="64D86695" w14:textId="3709FEFC" w:rsidR="003311A9" w:rsidRPr="009058A3" w:rsidRDefault="003311A9" w:rsidP="00A73E5C">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Protocoles. — 3 seeds, prompts gelés, tailles d’échantillons ≥1k (sauf HumanEval),</w:t>
      </w:r>
      <w:r w:rsidR="00FF323A" w:rsidRPr="009058A3">
        <w:rPr>
          <w:rFonts w:ascii="Google Sans Text" w:hAnsi="Google Sans Text"/>
          <w:sz w:val="24"/>
          <w:szCs w:val="24"/>
        </w:rPr>
        <w:br/>
      </w:r>
      <w:r w:rsidRPr="009058A3">
        <w:rPr>
          <w:rFonts w:ascii="Google Sans Text" w:hAnsi="Google Sans Text"/>
          <w:sz w:val="24"/>
          <w:szCs w:val="24"/>
        </w:rPr>
        <w:t>bootstrap 100k rééchantillonnages, IC</w:t>
      </w:r>
      <w:r w:rsidRPr="009058A3">
        <w:rPr>
          <w:sz w:val="24"/>
          <w:szCs w:val="24"/>
        </w:rPr>
        <w:t> </w:t>
      </w:r>
      <w:r w:rsidRPr="009058A3">
        <w:rPr>
          <w:rFonts w:ascii="Google Sans Text" w:hAnsi="Google Sans Text"/>
          <w:sz w:val="24"/>
          <w:szCs w:val="24"/>
        </w:rPr>
        <w:t>95</w:t>
      </w:r>
      <w:r w:rsidRPr="009058A3">
        <w:rPr>
          <w:sz w:val="24"/>
          <w:szCs w:val="24"/>
        </w:rPr>
        <w:t> </w:t>
      </w:r>
      <w:r w:rsidRPr="009058A3">
        <w:rPr>
          <w:rFonts w:ascii="Google Sans Text" w:hAnsi="Google Sans Text"/>
          <w:sz w:val="24"/>
          <w:szCs w:val="24"/>
        </w:rPr>
        <w:t>%, tests binomiaux (diff. de proportions,</w:t>
      </w:r>
      <w:r w:rsidR="00A73E5C" w:rsidRPr="009058A3">
        <w:rPr>
          <w:rFonts w:ascii="Google Sans Text" w:hAnsi="Google Sans Text"/>
          <w:sz w:val="24"/>
          <w:szCs w:val="24"/>
        </w:rPr>
        <w:br/>
      </w:r>
      <w:r w:rsidRPr="009058A3">
        <w:rPr>
          <w:rFonts w:ascii="Google Sans Text" w:hAnsi="Google Sans Text"/>
          <w:sz w:val="24"/>
          <w:szCs w:val="24"/>
        </w:rPr>
        <w:t>p&lt;0,01) et tailles d’effet (Cohen’s h). Tous scripts fournis (Artefacts §5.1, Annexe H).</w:t>
      </w:r>
      <w:r w:rsidR="000B4906" w:rsidRPr="009058A3">
        <w:rPr>
          <w:rFonts w:ascii="Google Sans Text" w:hAnsi="Google Sans Text"/>
          <w:sz w:val="24"/>
          <w:szCs w:val="24"/>
        </w:rPr>
        <w:br/>
      </w:r>
    </w:p>
    <w:p w14:paraId="54732958" w14:textId="2FF80796" w:rsidR="000B4906" w:rsidRPr="009058A3" w:rsidRDefault="000B4906" w:rsidP="000B4906">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LLM‑as‑a‑judge (calibré)</w:t>
      </w:r>
      <w:r w:rsidRPr="009058A3">
        <w:rPr>
          <w:rStyle w:val="Appelnotedebasdep"/>
          <w:rFonts w:ascii="Google Sans Text" w:hAnsi="Google Sans Text"/>
          <w:sz w:val="24"/>
          <w:szCs w:val="24"/>
        </w:rPr>
        <w:footnoteReference w:id="9"/>
      </w:r>
      <w:r w:rsidRPr="009058A3">
        <w:rPr>
          <w:rFonts w:ascii="Google Sans Text" w:hAnsi="Google Sans Text"/>
          <w:sz w:val="24"/>
          <w:szCs w:val="24"/>
        </w:rPr>
        <w:t>.</w:t>
      </w:r>
      <w:r w:rsidRPr="009058A3">
        <w:rPr>
          <w:rFonts w:ascii="Google Sans Text" w:hAnsi="Google Sans Text"/>
          <w:sz w:val="24"/>
          <w:szCs w:val="24"/>
        </w:rPr>
        <w:br/>
        <w:t>– Randomisation de l’ordre des sorties ; masquage d’identifiants ; normalisation de longueur.</w:t>
      </w:r>
      <w:r w:rsidRPr="009058A3">
        <w:rPr>
          <w:rFonts w:ascii="Google Sans Text" w:hAnsi="Google Sans Text"/>
          <w:sz w:val="24"/>
          <w:szCs w:val="24"/>
        </w:rPr>
        <w:br/>
        <w:t>– Prompt de jugement gelé ; températures fixes ; 3 juges LLM ; agrégation (majorité).</w:t>
      </w:r>
      <w:r w:rsidRPr="009058A3">
        <w:rPr>
          <w:rFonts w:ascii="Google Sans Text" w:hAnsi="Google Sans Text"/>
          <w:sz w:val="24"/>
          <w:szCs w:val="24"/>
        </w:rPr>
        <w:br/>
        <w:t>– Étude de biais : tests d’inversion d’ordre, de verbosité et d’auto‑préférence.</w:t>
      </w:r>
    </w:p>
    <w:p w14:paraId="6105FEB1" w14:textId="77777777" w:rsidR="000B4906" w:rsidRPr="009058A3" w:rsidRDefault="000B4906" w:rsidP="000B4906">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 Validation externe : 300 items annotés humains (or), rapport κ (Cohen) et corrélation.</w:t>
      </w:r>
    </w:p>
    <w:p w14:paraId="3BCF739C" w14:textId="0F196A46" w:rsidR="003311A9" w:rsidRPr="009058A3" w:rsidRDefault="003311A9" w:rsidP="00A73E5C">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Baselines. — Llama</w:t>
      </w:r>
      <w:r w:rsidRPr="009058A3">
        <w:rPr>
          <w:rFonts w:ascii="Google Sans Text" w:hAnsi="Google Sans Text" w:cs="Cambria Math"/>
          <w:sz w:val="24"/>
          <w:szCs w:val="24"/>
        </w:rPr>
        <w:t>‑</w:t>
      </w:r>
      <w:r w:rsidRPr="009058A3">
        <w:rPr>
          <w:rFonts w:ascii="Google Sans Text" w:hAnsi="Google Sans Text"/>
          <w:sz w:val="24"/>
          <w:szCs w:val="24"/>
        </w:rPr>
        <w:t>2</w:t>
      </w:r>
      <w:r w:rsidRPr="009058A3">
        <w:rPr>
          <w:rFonts w:ascii="Google Sans Text" w:hAnsi="Google Sans Text" w:cs="Cambria Math"/>
          <w:sz w:val="24"/>
          <w:szCs w:val="24"/>
        </w:rPr>
        <w:t>‑</w:t>
      </w:r>
      <w:r w:rsidRPr="009058A3">
        <w:rPr>
          <w:rFonts w:ascii="Google Sans Text" w:hAnsi="Google Sans Text"/>
          <w:sz w:val="24"/>
          <w:szCs w:val="24"/>
        </w:rPr>
        <w:t>70B (base), calibration+seuil (τ fixe, seuil confiance),</w:t>
      </w:r>
      <w:r w:rsidR="00A73E5C" w:rsidRPr="009058A3">
        <w:rPr>
          <w:rFonts w:ascii="Google Sans Text" w:hAnsi="Google Sans Text"/>
          <w:sz w:val="24"/>
          <w:szCs w:val="24"/>
        </w:rPr>
        <w:br/>
      </w:r>
      <w:r w:rsidRPr="009058A3">
        <w:rPr>
          <w:rFonts w:ascii="Google Sans Text" w:hAnsi="Google Sans Text"/>
          <w:sz w:val="24"/>
          <w:szCs w:val="24"/>
        </w:rPr>
        <w:t>top</w:t>
      </w:r>
      <w:r w:rsidRPr="009058A3">
        <w:rPr>
          <w:rFonts w:ascii="Google Sans Text" w:hAnsi="Google Sans Text" w:cs="Cambria Math"/>
          <w:sz w:val="24"/>
          <w:szCs w:val="24"/>
        </w:rPr>
        <w:t>‑</w:t>
      </w:r>
      <w:r w:rsidRPr="009058A3">
        <w:rPr>
          <w:rFonts w:ascii="Google Sans Text" w:hAnsi="Google Sans Text"/>
          <w:sz w:val="24"/>
          <w:szCs w:val="24"/>
        </w:rPr>
        <w:t>p fixe, RAG robuste + seuil, fine</w:t>
      </w:r>
      <w:r w:rsidRPr="009058A3">
        <w:rPr>
          <w:rFonts w:ascii="Google Sans Text" w:hAnsi="Google Sans Text" w:cs="Cambria Math"/>
          <w:sz w:val="24"/>
          <w:szCs w:val="24"/>
        </w:rPr>
        <w:t>‑</w:t>
      </w:r>
      <w:r w:rsidRPr="009058A3">
        <w:rPr>
          <w:rFonts w:ascii="Google Sans Text" w:hAnsi="Google Sans Text"/>
          <w:sz w:val="24"/>
          <w:szCs w:val="24"/>
        </w:rPr>
        <w:t>tuning simple. ISI</w:t>
      </w:r>
      <w:r w:rsidRPr="009058A3">
        <w:rPr>
          <w:rFonts w:ascii="Google Sans Text" w:hAnsi="Google Sans Text" w:cs="Cambria Math"/>
          <w:sz w:val="24"/>
          <w:szCs w:val="24"/>
        </w:rPr>
        <w:t>‑</w:t>
      </w:r>
      <w:r w:rsidRPr="009058A3">
        <w:rPr>
          <w:rFonts w:ascii="Google Sans Text" w:hAnsi="Google Sans Text"/>
          <w:sz w:val="24"/>
          <w:szCs w:val="24"/>
        </w:rPr>
        <w:t>ERA (CLF complet).</w:t>
      </w:r>
    </w:p>
    <w:p w14:paraId="2092F945"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p>
    <w:p w14:paraId="41719E7D" w14:textId="5571FE7F"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 xml:space="preserve">Tableaux de résultats (gabarits </w:t>
      </w:r>
      <w:r w:rsidR="0019588D" w:rsidRPr="009058A3">
        <w:rPr>
          <w:rFonts w:ascii="Google Sans Text" w:hAnsi="Google Sans Text"/>
          <w:sz w:val="24"/>
          <w:szCs w:val="24"/>
        </w:rPr>
        <w:t>)</w:t>
      </w:r>
      <w:r w:rsidRPr="009058A3">
        <w:rPr>
          <w:rFonts w:ascii="Google Sans Text" w:hAnsi="Google Sans Text"/>
          <w:sz w:val="24"/>
          <w:szCs w:val="24"/>
        </w:rPr>
        <w:t xml:space="preserve"> — </w:t>
      </w:r>
    </w:p>
    <w:p w14:paraId="3ED9F3C2"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Table 5b</w:t>
      </w:r>
      <w:r w:rsidRPr="009058A3">
        <w:rPr>
          <w:rFonts w:ascii="Google Sans Text" w:hAnsi="Google Sans Text" w:cs="Cambria Math"/>
          <w:sz w:val="24"/>
          <w:szCs w:val="24"/>
        </w:rPr>
        <w:t>‑</w:t>
      </w:r>
      <w:r w:rsidRPr="009058A3">
        <w:rPr>
          <w:rFonts w:ascii="Google Sans Text" w:hAnsi="Google Sans Text"/>
          <w:sz w:val="24"/>
          <w:szCs w:val="24"/>
        </w:rPr>
        <w:t>1 (Vérité/robustesse) : TruthfulQA</w:t>
      </w:r>
      <w:r w:rsidRPr="009058A3">
        <w:rPr>
          <w:rFonts w:ascii="Google Sans Text" w:hAnsi="Google Sans Text" w:cs="Cambria Math"/>
          <w:sz w:val="24"/>
          <w:szCs w:val="24"/>
        </w:rPr>
        <w:t>‑</w:t>
      </w:r>
      <w:r w:rsidRPr="009058A3">
        <w:rPr>
          <w:rFonts w:ascii="Google Sans Text" w:hAnsi="Google Sans Text"/>
          <w:sz w:val="24"/>
          <w:szCs w:val="24"/>
        </w:rPr>
        <w:t>EN/FR/Multi (% hallucinations, ↓),</w:t>
      </w:r>
    </w:p>
    <w:p w14:paraId="4A6924DB"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 xml:space="preserve">HaluEval (précision, ↑), FactScore (↑). </w:t>
      </w:r>
    </w:p>
    <w:p w14:paraId="3EB7B50F"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Table 5b</w:t>
      </w:r>
      <w:r w:rsidRPr="009058A3">
        <w:rPr>
          <w:rFonts w:ascii="Google Sans Text" w:hAnsi="Google Sans Text" w:cs="Cambria Math"/>
          <w:sz w:val="24"/>
          <w:szCs w:val="24"/>
        </w:rPr>
        <w:t>‑</w:t>
      </w:r>
      <w:r w:rsidRPr="009058A3">
        <w:rPr>
          <w:rFonts w:ascii="Google Sans Text" w:hAnsi="Google Sans Text"/>
          <w:sz w:val="24"/>
          <w:szCs w:val="24"/>
        </w:rPr>
        <w:t>2 (Qualité générale) : PPL (↓), BLEU (↑), ROUGE</w:t>
      </w:r>
      <w:r w:rsidRPr="009058A3">
        <w:rPr>
          <w:rFonts w:ascii="Google Sans Text" w:hAnsi="Google Sans Text" w:cs="Cambria Math"/>
          <w:sz w:val="24"/>
          <w:szCs w:val="24"/>
        </w:rPr>
        <w:t>‑</w:t>
      </w:r>
      <w:r w:rsidRPr="009058A3">
        <w:rPr>
          <w:rFonts w:ascii="Google Sans Text" w:hAnsi="Google Sans Text"/>
          <w:sz w:val="24"/>
          <w:szCs w:val="24"/>
        </w:rPr>
        <w:t>L (↑), MMLU/BBH (%), GSM8K (%), HumanEval (%).</w:t>
      </w:r>
    </w:p>
    <w:p w14:paraId="28A9CF93"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Table 5b</w:t>
      </w:r>
      <w:r w:rsidRPr="009058A3">
        <w:rPr>
          <w:rFonts w:ascii="Google Sans Text" w:hAnsi="Google Sans Text" w:cs="Cambria Math"/>
          <w:sz w:val="24"/>
          <w:szCs w:val="24"/>
        </w:rPr>
        <w:t>‑</w:t>
      </w:r>
      <w:r w:rsidRPr="009058A3">
        <w:rPr>
          <w:rFonts w:ascii="Google Sans Text" w:hAnsi="Google Sans Text"/>
          <w:sz w:val="24"/>
          <w:szCs w:val="24"/>
        </w:rPr>
        <w:t>3 (Innocuité) : toxicité moyenne (↓), taux jailbreak réussi (↓), refus appropriés (↑).</w:t>
      </w:r>
    </w:p>
    <w:p w14:paraId="158D0D0D"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Table 5b</w:t>
      </w:r>
      <w:r w:rsidRPr="009058A3">
        <w:rPr>
          <w:rFonts w:ascii="Google Sans Text" w:hAnsi="Google Sans Text" w:cs="Cambria Math"/>
          <w:sz w:val="24"/>
          <w:szCs w:val="24"/>
        </w:rPr>
        <w:t>‑</w:t>
      </w:r>
      <w:r w:rsidRPr="009058A3">
        <w:rPr>
          <w:rFonts w:ascii="Google Sans Text" w:hAnsi="Google Sans Text"/>
          <w:sz w:val="24"/>
          <w:szCs w:val="24"/>
        </w:rPr>
        <w:t>4 (Coûts) : latence p50/p95 (× base), mémoire (GB), coût énergie (proxy).</w:t>
      </w:r>
    </w:p>
    <w:p w14:paraId="5F3A6C9C"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Table 5b</w:t>
      </w:r>
      <w:r w:rsidRPr="009058A3">
        <w:rPr>
          <w:rFonts w:ascii="Google Sans Text" w:hAnsi="Google Sans Text" w:cs="Cambria Math"/>
          <w:sz w:val="24"/>
          <w:szCs w:val="24"/>
        </w:rPr>
        <w:t>‑</w:t>
      </w:r>
      <w:r w:rsidRPr="009058A3">
        <w:rPr>
          <w:rFonts w:ascii="Google Sans Text" w:hAnsi="Google Sans Text"/>
          <w:sz w:val="24"/>
          <w:szCs w:val="24"/>
        </w:rPr>
        <w:t>5 (Ablations) : –DAP, –repli, –PIQ, –EIU, –GTV, –QC</w:t>
      </w:r>
      <w:r w:rsidRPr="009058A3">
        <w:rPr>
          <w:rFonts w:ascii="Google Sans Text" w:hAnsi="Google Sans Text" w:cs="Cambria Math"/>
          <w:sz w:val="24"/>
          <w:szCs w:val="24"/>
        </w:rPr>
        <w:t>‑</w:t>
      </w:r>
      <w:r w:rsidRPr="009058A3">
        <w:rPr>
          <w:rFonts w:ascii="Google Sans Text" w:hAnsi="Google Sans Text"/>
          <w:sz w:val="24"/>
          <w:szCs w:val="24"/>
        </w:rPr>
        <w:t>Adam, baseline simples.</w:t>
      </w:r>
    </w:p>
    <w:p w14:paraId="5F65820C" w14:textId="77777777" w:rsidR="003311A9" w:rsidRPr="009058A3" w:rsidRDefault="003311A9" w:rsidP="003311A9">
      <w:pPr>
        <w:pBdr>
          <w:top w:val="nil"/>
          <w:left w:val="nil"/>
          <w:bottom w:val="nil"/>
          <w:right w:val="nil"/>
          <w:between w:val="nil"/>
        </w:pBdr>
        <w:spacing w:after="120" w:line="275" w:lineRule="auto"/>
        <w:ind w:left="105"/>
        <w:rPr>
          <w:rFonts w:ascii="Google Sans Text" w:hAnsi="Google Sans Text"/>
          <w:sz w:val="24"/>
          <w:szCs w:val="24"/>
        </w:rPr>
      </w:pPr>
    </w:p>
    <w:p w14:paraId="25F2B448" w14:textId="103D76FD" w:rsidR="00AF6D2E" w:rsidRPr="009058A3" w:rsidRDefault="003311A9" w:rsidP="0059735B">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Significativité. — Toute revendication de SOTA/vantage est accompagnée d’IC</w:t>
      </w:r>
      <w:r w:rsidRPr="009058A3">
        <w:rPr>
          <w:sz w:val="24"/>
          <w:szCs w:val="24"/>
        </w:rPr>
        <w:t> </w:t>
      </w:r>
      <w:r w:rsidRPr="009058A3">
        <w:rPr>
          <w:rFonts w:ascii="Google Sans Text" w:hAnsi="Google Sans Text"/>
          <w:sz w:val="24"/>
          <w:szCs w:val="24"/>
        </w:rPr>
        <w:t>95</w:t>
      </w:r>
      <w:r w:rsidRPr="009058A3">
        <w:rPr>
          <w:sz w:val="24"/>
          <w:szCs w:val="24"/>
        </w:rPr>
        <w:t> </w:t>
      </w:r>
      <w:r w:rsidRPr="009058A3">
        <w:rPr>
          <w:rFonts w:ascii="Google Sans Text" w:hAnsi="Google Sans Text"/>
          <w:sz w:val="24"/>
          <w:szCs w:val="24"/>
        </w:rPr>
        <w:t>%</w:t>
      </w:r>
      <w:r w:rsidR="009F643E" w:rsidRPr="009058A3">
        <w:rPr>
          <w:rFonts w:ascii="Google Sans Text" w:hAnsi="Google Sans Text"/>
          <w:sz w:val="24"/>
          <w:szCs w:val="24"/>
        </w:rPr>
        <w:t xml:space="preserve"> </w:t>
      </w:r>
      <w:r w:rsidRPr="009058A3">
        <w:rPr>
          <w:rFonts w:ascii="Google Sans Text" w:hAnsi="Google Sans Text"/>
          <w:sz w:val="24"/>
          <w:szCs w:val="24"/>
        </w:rPr>
        <w:t>p</w:t>
      </w:r>
      <w:r w:rsidRPr="009058A3">
        <w:rPr>
          <w:rFonts w:ascii="Google Sans Text" w:hAnsi="Google Sans Text" w:cs="Cambria Math"/>
          <w:sz w:val="24"/>
          <w:szCs w:val="24"/>
        </w:rPr>
        <w:t>‑</w:t>
      </w:r>
      <w:r w:rsidRPr="009058A3">
        <w:rPr>
          <w:rFonts w:ascii="Google Sans Text" w:hAnsi="Google Sans Text"/>
          <w:sz w:val="24"/>
          <w:szCs w:val="24"/>
        </w:rPr>
        <w:t>value, et taille d’effet. Les IC pour latence et mémoire sont reportés (n≥1k).</w:t>
      </w:r>
    </w:p>
    <w:p w14:paraId="6AFAED52" w14:textId="77777777" w:rsidR="00AF6D2E" w:rsidRPr="009058A3" w:rsidRDefault="00AF6D2E" w:rsidP="00AF6D2E">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t>Méthodes et seuils. — Rééchantillonnages bootstrap (100k) pour les IC à 95 %, tests binomiaux/deux‑proportions (z‑test) pour les taux (correction si applicable), et taille d’effet h de Cohen (proportions). Effectifs n indiqués dans les tables. Comparaisons « ns » si p ≥ 0,05.</w:t>
      </w:r>
    </w:p>
    <w:p w14:paraId="3A3514CC" w14:textId="2D83047B" w:rsidR="005C7D52" w:rsidRPr="009058A3" w:rsidRDefault="00C85231" w:rsidP="00AF6D2E">
      <w:pPr>
        <w:pBdr>
          <w:top w:val="nil"/>
          <w:left w:val="nil"/>
          <w:bottom w:val="nil"/>
          <w:right w:val="nil"/>
          <w:between w:val="nil"/>
        </w:pBdr>
        <w:spacing w:after="120" w:line="275" w:lineRule="auto"/>
        <w:ind w:left="105"/>
        <w:rPr>
          <w:rFonts w:ascii="Google Sans Text" w:hAnsi="Google Sans Text"/>
          <w:sz w:val="24"/>
          <w:szCs w:val="24"/>
        </w:rPr>
      </w:pPr>
      <w:r w:rsidRPr="009058A3">
        <w:rPr>
          <w:rFonts w:ascii="Google Sans Text" w:hAnsi="Google Sans Text"/>
          <w:sz w:val="24"/>
          <w:szCs w:val="24"/>
        </w:rPr>
        <w:br/>
        <w:t xml:space="preserve">(A) </w:t>
      </w:r>
      <w:r w:rsidR="00C65545" w:rsidRPr="009058A3">
        <w:rPr>
          <w:rFonts w:ascii="Google Sans Text" w:hAnsi="Google Sans Text"/>
          <w:sz w:val="24"/>
          <w:szCs w:val="24"/>
        </w:rPr>
        <w:t>Résultats sous moyen contraint</w:t>
      </w:r>
      <w:r w:rsidR="007D3ECA" w:rsidRPr="009058A3">
        <w:rPr>
          <w:rFonts w:ascii="Google Sans Text" w:hAnsi="Google Sans Text"/>
          <w:sz w:val="24"/>
          <w:szCs w:val="24"/>
        </w:rPr>
        <w:t xml:space="preserve"> (</w:t>
      </w:r>
      <w:r w:rsidR="008A7425" w:rsidRPr="009058A3">
        <w:rPr>
          <w:rFonts w:ascii="Google Sans Text" w:hAnsi="Google Sans Text"/>
          <w:sz w:val="24"/>
          <w:szCs w:val="24"/>
        </w:rPr>
        <w:t xml:space="preserve">Système sur </w:t>
      </w:r>
      <w:r w:rsidR="00464F21" w:rsidRPr="009058A3">
        <w:rPr>
          <w:rFonts w:ascii="Google Sans Text" w:hAnsi="Google Sans Text"/>
          <w:sz w:val="24"/>
          <w:szCs w:val="24"/>
        </w:rPr>
        <w:t xml:space="preserve">unité PC </w:t>
      </w:r>
      <w:r w:rsidR="007D3ECA" w:rsidRPr="009058A3">
        <w:rPr>
          <w:rFonts w:ascii="Google Sans Text" w:hAnsi="Google Sans Text"/>
          <w:sz w:val="24"/>
          <w:szCs w:val="24"/>
        </w:rPr>
        <w:t xml:space="preserve">Chercheur) </w:t>
      </w:r>
      <w:r w:rsidR="00661AB4" w:rsidRPr="009058A3">
        <w:rPr>
          <w:rFonts w:ascii="Google Sans Text" w:hAnsi="Google Sans Text"/>
          <w:sz w:val="24"/>
          <w:szCs w:val="24"/>
        </w:rPr>
        <w:br/>
      </w:r>
      <w:r w:rsidR="00535920" w:rsidRPr="009058A3">
        <w:rPr>
          <w:rFonts w:ascii="Google Sans Text" w:hAnsi="Google Sans Text"/>
          <w:sz w:val="24"/>
          <w:szCs w:val="24"/>
        </w:rPr>
        <w:br/>
        <w:t>Table 5b</w:t>
      </w:r>
      <w:r w:rsidR="00535920" w:rsidRPr="009058A3">
        <w:rPr>
          <w:rFonts w:ascii="Google Sans Text" w:hAnsi="Google Sans Text"/>
          <w:sz w:val="24"/>
          <w:szCs w:val="24"/>
        </w:rPr>
        <w:noBreakHyphen/>
        <w:t>1 — Vérité / Robustesse</w:t>
      </w:r>
      <w:r w:rsidR="00661AB4" w:rsidRPr="009058A3">
        <w:rPr>
          <w:rFonts w:ascii="Google Sans Text" w:hAnsi="Google Sans Text"/>
          <w:sz w:val="24"/>
          <w:szCs w:val="24"/>
        </w:rPr>
        <w:br/>
      </w:r>
      <w:r w:rsidR="00661AB4" w:rsidRPr="009058A3">
        <w:rPr>
          <w:rFonts w:ascii="Google Sans Text" w:hAnsi="Google Sans Text"/>
          <w:i/>
          <w:iCs/>
          <w:sz w:val="24"/>
          <w:szCs w:val="24"/>
        </w:rPr>
        <w:t>Colonnes (10)</w:t>
      </w:r>
      <w:r w:rsidR="00661AB4" w:rsidRPr="009058A3">
        <w:rPr>
          <w:sz w:val="24"/>
          <w:szCs w:val="24"/>
        </w:rPr>
        <w:t> </w:t>
      </w:r>
      <w:r w:rsidR="00661AB4" w:rsidRPr="009058A3">
        <w:rPr>
          <w:rFonts w:ascii="Google Sans Text" w:hAnsi="Google Sans Text"/>
          <w:sz w:val="24"/>
          <w:szCs w:val="24"/>
        </w:rPr>
        <w:t>: Tâche | Métrique (↓/↑) | n | Baseline (L2</w:t>
      </w:r>
      <w:r w:rsidR="00661AB4" w:rsidRPr="009058A3">
        <w:rPr>
          <w:rFonts w:ascii="Google Sans Text" w:hAnsi="Google Sans Text"/>
          <w:sz w:val="24"/>
          <w:szCs w:val="24"/>
        </w:rPr>
        <w:noBreakHyphen/>
        <w:t>70B) | RAG | FT | ISI</w:t>
      </w:r>
      <w:r w:rsidR="00661AB4" w:rsidRPr="009058A3">
        <w:rPr>
          <w:rFonts w:ascii="Google Sans Text" w:hAnsi="Google Sans Text"/>
          <w:sz w:val="24"/>
          <w:szCs w:val="24"/>
        </w:rPr>
        <w:noBreakHyphen/>
        <w:t>ERA (CLF) | IC</w:t>
      </w:r>
      <w:r w:rsidR="00661AB4" w:rsidRPr="009058A3">
        <w:rPr>
          <w:sz w:val="24"/>
          <w:szCs w:val="24"/>
        </w:rPr>
        <w:t> </w:t>
      </w:r>
      <w:r w:rsidR="00661AB4" w:rsidRPr="009058A3">
        <w:rPr>
          <w:rFonts w:ascii="Google Sans Text" w:hAnsi="Google Sans Text"/>
          <w:sz w:val="24"/>
          <w:szCs w:val="24"/>
        </w:rPr>
        <w:t>95</w:t>
      </w:r>
      <w:r w:rsidR="00661AB4" w:rsidRPr="009058A3">
        <w:rPr>
          <w:sz w:val="24"/>
          <w:szCs w:val="24"/>
        </w:rPr>
        <w:t> </w:t>
      </w:r>
      <w:r w:rsidR="00661AB4" w:rsidRPr="009058A3">
        <w:rPr>
          <w:rFonts w:ascii="Google Sans Text" w:hAnsi="Google Sans Text"/>
          <w:sz w:val="24"/>
          <w:szCs w:val="24"/>
        </w:rPr>
        <w:t>% (ISI) | p (ISI vs Base) | h (Cohen)</w:t>
      </w:r>
      <w:r w:rsidR="00F86950" w:rsidRPr="009058A3">
        <w:rPr>
          <w:rFonts w:ascii="Google Sans Text" w:hAnsi="Google Sans Text"/>
          <w:sz w:val="24"/>
          <w:szCs w:val="24"/>
        </w:rPr>
        <w:br/>
      </w:r>
    </w:p>
    <w:tbl>
      <w:tblPr>
        <w:tblStyle w:val="Grilledutableau"/>
        <w:tblW w:w="0" w:type="auto"/>
        <w:tblLook w:val="04A0" w:firstRow="1" w:lastRow="0" w:firstColumn="1" w:lastColumn="0" w:noHBand="0" w:noVBand="1"/>
      </w:tblPr>
      <w:tblGrid>
        <w:gridCol w:w="1315"/>
        <w:gridCol w:w="1500"/>
        <w:gridCol w:w="705"/>
        <w:gridCol w:w="798"/>
        <w:gridCol w:w="802"/>
        <w:gridCol w:w="771"/>
        <w:gridCol w:w="798"/>
        <w:gridCol w:w="851"/>
        <w:gridCol w:w="935"/>
        <w:gridCol w:w="875"/>
      </w:tblGrid>
      <w:tr w:rsidR="00CB4F00" w:rsidRPr="009058A3" w14:paraId="54343BD9" w14:textId="77777777">
        <w:tc>
          <w:tcPr>
            <w:tcW w:w="935" w:type="dxa"/>
          </w:tcPr>
          <w:p w14:paraId="5C594682"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TruthfulQA-EN</w:t>
            </w:r>
          </w:p>
        </w:tc>
        <w:tc>
          <w:tcPr>
            <w:tcW w:w="935" w:type="dxa"/>
          </w:tcPr>
          <w:p w14:paraId="67F2DBA4"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Hallucinations (↓)</w:t>
            </w:r>
          </w:p>
        </w:tc>
        <w:tc>
          <w:tcPr>
            <w:tcW w:w="935" w:type="dxa"/>
          </w:tcPr>
          <w:p w14:paraId="6AE10A6D"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817</w:t>
            </w:r>
          </w:p>
        </w:tc>
        <w:tc>
          <w:tcPr>
            <w:tcW w:w="935" w:type="dxa"/>
          </w:tcPr>
          <w:p w14:paraId="5659EE5C"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28.4%</w:t>
            </w:r>
          </w:p>
        </w:tc>
        <w:tc>
          <w:tcPr>
            <w:tcW w:w="935" w:type="dxa"/>
          </w:tcPr>
          <w:p w14:paraId="531A1583"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16.3%</w:t>
            </w:r>
          </w:p>
        </w:tc>
        <w:tc>
          <w:tcPr>
            <w:tcW w:w="935" w:type="dxa"/>
          </w:tcPr>
          <w:p w14:paraId="2AB8377B"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18.0%</w:t>
            </w:r>
          </w:p>
        </w:tc>
        <w:tc>
          <w:tcPr>
            <w:tcW w:w="935" w:type="dxa"/>
          </w:tcPr>
          <w:p w14:paraId="78352AF1"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4.8%</w:t>
            </w:r>
          </w:p>
        </w:tc>
        <w:tc>
          <w:tcPr>
            <w:tcW w:w="935" w:type="dxa"/>
          </w:tcPr>
          <w:p w14:paraId="2ABD67C6"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[3.3–6.3]%</w:t>
            </w:r>
          </w:p>
        </w:tc>
        <w:tc>
          <w:tcPr>
            <w:tcW w:w="935" w:type="dxa"/>
          </w:tcPr>
          <w:p w14:paraId="3F42D319"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p&lt;1e-35</w:t>
            </w:r>
          </w:p>
        </w:tc>
        <w:tc>
          <w:tcPr>
            <w:tcW w:w="935" w:type="dxa"/>
          </w:tcPr>
          <w:p w14:paraId="01A93A75"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h=0.68</w:t>
            </w:r>
          </w:p>
        </w:tc>
      </w:tr>
      <w:tr w:rsidR="00CB4F00" w:rsidRPr="009058A3" w14:paraId="2763DF97" w14:textId="77777777">
        <w:tc>
          <w:tcPr>
            <w:tcW w:w="935" w:type="dxa"/>
          </w:tcPr>
          <w:p w14:paraId="72E8C727"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TruthfulQA-FR</w:t>
            </w:r>
          </w:p>
        </w:tc>
        <w:tc>
          <w:tcPr>
            <w:tcW w:w="935" w:type="dxa"/>
          </w:tcPr>
          <w:p w14:paraId="672D07DF"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Hallucinations (↓)</w:t>
            </w:r>
          </w:p>
        </w:tc>
        <w:tc>
          <w:tcPr>
            <w:tcW w:w="935" w:type="dxa"/>
          </w:tcPr>
          <w:p w14:paraId="4593D4A5"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817</w:t>
            </w:r>
          </w:p>
        </w:tc>
        <w:tc>
          <w:tcPr>
            <w:tcW w:w="935" w:type="dxa"/>
          </w:tcPr>
          <w:p w14:paraId="5351A797"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30.1%</w:t>
            </w:r>
          </w:p>
        </w:tc>
        <w:tc>
          <w:tcPr>
            <w:tcW w:w="935" w:type="dxa"/>
          </w:tcPr>
          <w:p w14:paraId="7E972A09"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0834A7D7"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67178D4A"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5.9%</w:t>
            </w:r>
          </w:p>
        </w:tc>
        <w:tc>
          <w:tcPr>
            <w:tcW w:w="935" w:type="dxa"/>
          </w:tcPr>
          <w:p w14:paraId="0D9433D7"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[4.3–7.5]%</w:t>
            </w:r>
          </w:p>
        </w:tc>
        <w:tc>
          <w:tcPr>
            <w:tcW w:w="935" w:type="dxa"/>
          </w:tcPr>
          <w:p w14:paraId="09957E6C"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p&lt;1e-34</w:t>
            </w:r>
          </w:p>
        </w:tc>
        <w:tc>
          <w:tcPr>
            <w:tcW w:w="935" w:type="dxa"/>
          </w:tcPr>
          <w:p w14:paraId="471FBB5E"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h=0.67</w:t>
            </w:r>
          </w:p>
        </w:tc>
      </w:tr>
      <w:tr w:rsidR="00CB4F00" w:rsidRPr="009058A3" w14:paraId="1D5D8F88" w14:textId="77777777">
        <w:tc>
          <w:tcPr>
            <w:tcW w:w="935" w:type="dxa"/>
          </w:tcPr>
          <w:p w14:paraId="3D85608C"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TruthfulQA-Multi</w:t>
            </w:r>
          </w:p>
        </w:tc>
        <w:tc>
          <w:tcPr>
            <w:tcW w:w="935" w:type="dxa"/>
          </w:tcPr>
          <w:p w14:paraId="40D5B9A5"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Hallucinations (↓)</w:t>
            </w:r>
          </w:p>
        </w:tc>
        <w:tc>
          <w:tcPr>
            <w:tcW w:w="935" w:type="dxa"/>
          </w:tcPr>
          <w:p w14:paraId="623FC029"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1000</w:t>
            </w:r>
          </w:p>
        </w:tc>
        <w:tc>
          <w:tcPr>
            <w:tcW w:w="935" w:type="dxa"/>
          </w:tcPr>
          <w:p w14:paraId="42BBE133"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32.0%</w:t>
            </w:r>
          </w:p>
        </w:tc>
        <w:tc>
          <w:tcPr>
            <w:tcW w:w="935" w:type="dxa"/>
          </w:tcPr>
          <w:p w14:paraId="3CBB487B"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77D8602F"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42EEF28B"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6.1%</w:t>
            </w:r>
          </w:p>
        </w:tc>
        <w:tc>
          <w:tcPr>
            <w:tcW w:w="935" w:type="dxa"/>
          </w:tcPr>
          <w:p w14:paraId="63DBA7EB"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[4.6–7.6]%</w:t>
            </w:r>
          </w:p>
        </w:tc>
        <w:tc>
          <w:tcPr>
            <w:tcW w:w="935" w:type="dxa"/>
          </w:tcPr>
          <w:p w14:paraId="7CC5D203"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p&lt;1e-45</w:t>
            </w:r>
          </w:p>
        </w:tc>
        <w:tc>
          <w:tcPr>
            <w:tcW w:w="935" w:type="dxa"/>
          </w:tcPr>
          <w:p w14:paraId="4C16AFA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h=0.70</w:t>
            </w:r>
          </w:p>
        </w:tc>
      </w:tr>
      <w:tr w:rsidR="00CB4F00" w:rsidRPr="009058A3" w14:paraId="250E2F2B" w14:textId="77777777">
        <w:tc>
          <w:tcPr>
            <w:tcW w:w="935" w:type="dxa"/>
          </w:tcPr>
          <w:p w14:paraId="2958238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lastRenderedPageBreak/>
              <w:t>HaluEval</w:t>
            </w:r>
          </w:p>
        </w:tc>
        <w:tc>
          <w:tcPr>
            <w:tcW w:w="935" w:type="dxa"/>
          </w:tcPr>
          <w:p w14:paraId="3557EB0E"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Précision (↑)</w:t>
            </w:r>
          </w:p>
        </w:tc>
        <w:tc>
          <w:tcPr>
            <w:tcW w:w="935" w:type="dxa"/>
          </w:tcPr>
          <w:p w14:paraId="08E138FA"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1000</w:t>
            </w:r>
          </w:p>
        </w:tc>
        <w:tc>
          <w:tcPr>
            <w:tcW w:w="935" w:type="dxa"/>
          </w:tcPr>
          <w:p w14:paraId="43538DD6"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77751B5D"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81.3%</w:t>
            </w:r>
          </w:p>
        </w:tc>
        <w:tc>
          <w:tcPr>
            <w:tcW w:w="935" w:type="dxa"/>
          </w:tcPr>
          <w:p w14:paraId="62A7A9B5"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55266662"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88.1%</w:t>
            </w:r>
          </w:p>
        </w:tc>
        <w:tc>
          <w:tcPr>
            <w:tcW w:w="935" w:type="dxa"/>
          </w:tcPr>
          <w:p w14:paraId="3D32B171"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[86.1–90.1]%</w:t>
            </w:r>
          </w:p>
        </w:tc>
        <w:tc>
          <w:tcPr>
            <w:tcW w:w="935" w:type="dxa"/>
          </w:tcPr>
          <w:p w14:paraId="5CCE0ED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p=2.4e-5</w:t>
            </w:r>
          </w:p>
        </w:tc>
        <w:tc>
          <w:tcPr>
            <w:tcW w:w="935" w:type="dxa"/>
          </w:tcPr>
          <w:p w14:paraId="681C69A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h=0.19</w:t>
            </w:r>
          </w:p>
        </w:tc>
      </w:tr>
      <w:tr w:rsidR="00CB4F00" w:rsidRPr="009058A3" w14:paraId="601AE91C" w14:textId="77777777">
        <w:tc>
          <w:tcPr>
            <w:tcW w:w="935" w:type="dxa"/>
          </w:tcPr>
          <w:p w14:paraId="2C3455FF"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FactScore</w:t>
            </w:r>
          </w:p>
        </w:tc>
        <w:tc>
          <w:tcPr>
            <w:tcW w:w="935" w:type="dxa"/>
          </w:tcPr>
          <w:p w14:paraId="6ED3D526"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Score (↑)</w:t>
            </w:r>
          </w:p>
        </w:tc>
        <w:tc>
          <w:tcPr>
            <w:tcW w:w="935" w:type="dxa"/>
          </w:tcPr>
          <w:p w14:paraId="4FA517E0"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1000</w:t>
            </w:r>
          </w:p>
        </w:tc>
        <w:tc>
          <w:tcPr>
            <w:tcW w:w="935" w:type="dxa"/>
          </w:tcPr>
          <w:p w14:paraId="0B91DCFF"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62.0%</w:t>
            </w:r>
          </w:p>
        </w:tc>
        <w:tc>
          <w:tcPr>
            <w:tcW w:w="935" w:type="dxa"/>
          </w:tcPr>
          <w:p w14:paraId="75D7D656"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72.0%</w:t>
            </w:r>
          </w:p>
        </w:tc>
        <w:tc>
          <w:tcPr>
            <w:tcW w:w="935" w:type="dxa"/>
          </w:tcPr>
          <w:p w14:paraId="744687D1"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50D55064"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74.0%</w:t>
            </w:r>
          </w:p>
        </w:tc>
        <w:tc>
          <w:tcPr>
            <w:tcW w:w="935" w:type="dxa"/>
          </w:tcPr>
          <w:p w14:paraId="2279E2B9"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[71.3–76.7]%</w:t>
            </w:r>
          </w:p>
        </w:tc>
        <w:tc>
          <w:tcPr>
            <w:tcW w:w="935" w:type="dxa"/>
          </w:tcPr>
          <w:p w14:paraId="38FB973E"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p=8.8e-9</w:t>
            </w:r>
          </w:p>
        </w:tc>
        <w:tc>
          <w:tcPr>
            <w:tcW w:w="935" w:type="dxa"/>
          </w:tcPr>
          <w:p w14:paraId="26E5FCAB"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h=0.25</w:t>
            </w:r>
          </w:p>
        </w:tc>
      </w:tr>
      <w:tr w:rsidR="00CB4F00" w:rsidRPr="009058A3" w14:paraId="344906C2" w14:textId="77777777">
        <w:tc>
          <w:tcPr>
            <w:tcW w:w="935" w:type="dxa"/>
          </w:tcPr>
          <w:p w14:paraId="036DD1D5"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NQ-open</w:t>
            </w:r>
          </w:p>
        </w:tc>
        <w:tc>
          <w:tcPr>
            <w:tcW w:w="935" w:type="dxa"/>
          </w:tcPr>
          <w:p w14:paraId="2717991E"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Exact Match (↑)</w:t>
            </w:r>
          </w:p>
        </w:tc>
        <w:tc>
          <w:tcPr>
            <w:tcW w:w="935" w:type="dxa"/>
          </w:tcPr>
          <w:p w14:paraId="4F59EB57"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3610</w:t>
            </w:r>
          </w:p>
        </w:tc>
        <w:tc>
          <w:tcPr>
            <w:tcW w:w="935" w:type="dxa"/>
          </w:tcPr>
          <w:p w14:paraId="47A6417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28.0%</w:t>
            </w:r>
          </w:p>
        </w:tc>
        <w:tc>
          <w:tcPr>
            <w:tcW w:w="935" w:type="dxa"/>
          </w:tcPr>
          <w:p w14:paraId="502A82C4"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34.0%</w:t>
            </w:r>
          </w:p>
        </w:tc>
        <w:tc>
          <w:tcPr>
            <w:tcW w:w="935" w:type="dxa"/>
          </w:tcPr>
          <w:p w14:paraId="09E781CF"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w:t>
            </w:r>
          </w:p>
        </w:tc>
        <w:tc>
          <w:tcPr>
            <w:tcW w:w="935" w:type="dxa"/>
          </w:tcPr>
          <w:p w14:paraId="116B8532"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35.0%</w:t>
            </w:r>
          </w:p>
        </w:tc>
        <w:tc>
          <w:tcPr>
            <w:tcW w:w="935" w:type="dxa"/>
          </w:tcPr>
          <w:p w14:paraId="64E17BF8"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[33.1–36.9]%</w:t>
            </w:r>
          </w:p>
        </w:tc>
        <w:tc>
          <w:tcPr>
            <w:tcW w:w="935" w:type="dxa"/>
          </w:tcPr>
          <w:p w14:paraId="395DCAC3"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p=1.5e-10</w:t>
            </w:r>
          </w:p>
        </w:tc>
        <w:tc>
          <w:tcPr>
            <w:tcW w:w="935" w:type="dxa"/>
          </w:tcPr>
          <w:p w14:paraId="5E38635E" w14:textId="77777777" w:rsidR="00CB4F00" w:rsidRPr="009058A3" w:rsidRDefault="00CB4F00" w:rsidP="00E828EF">
            <w:pPr>
              <w:spacing w:after="120" w:line="275" w:lineRule="auto"/>
              <w:rPr>
                <w:rFonts w:ascii="Google Sans Text" w:hAnsi="Google Sans Text"/>
                <w:sz w:val="24"/>
                <w:szCs w:val="24"/>
              </w:rPr>
            </w:pPr>
            <w:r w:rsidRPr="009058A3">
              <w:rPr>
                <w:rFonts w:ascii="Google Sans Text" w:hAnsi="Google Sans Text"/>
                <w:sz w:val="24"/>
                <w:szCs w:val="24"/>
              </w:rPr>
              <w:t>h=0.15</w:t>
            </w:r>
          </w:p>
        </w:tc>
      </w:tr>
    </w:tbl>
    <w:p w14:paraId="1D7123FE" w14:textId="65678CB7" w:rsidR="00DD4F3E" w:rsidRPr="009058A3" w:rsidRDefault="007B3679" w:rsidP="00DD4F3E">
      <w:pPr>
        <w:pStyle w:val="Titre3"/>
        <w:spacing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color w:val="1B1C1D"/>
          <w:sz w:val="24"/>
          <w:szCs w:val="24"/>
        </w:rPr>
        <w:br/>
      </w:r>
      <w:r w:rsidR="008D64F1" w:rsidRPr="009058A3">
        <w:rPr>
          <w:rFonts w:ascii="Google Sans Text" w:eastAsia="Google Sans" w:hAnsi="Google Sans Text" w:cs="Google Sans"/>
          <w:b w:val="0"/>
          <w:bCs/>
          <w:color w:val="1B1C1D"/>
          <w:sz w:val="24"/>
          <w:szCs w:val="24"/>
        </w:rPr>
        <w:t>Table 5b</w:t>
      </w:r>
      <w:r w:rsidR="008D64F1" w:rsidRPr="009058A3">
        <w:rPr>
          <w:rFonts w:ascii="Google Sans Text" w:eastAsia="Google Sans" w:hAnsi="Google Sans Text" w:cs="Google Sans"/>
          <w:b w:val="0"/>
          <w:bCs/>
          <w:color w:val="1B1C1D"/>
          <w:sz w:val="24"/>
          <w:szCs w:val="24"/>
        </w:rPr>
        <w:noBreakHyphen/>
        <w:t>2 — Qualité générale</w:t>
      </w:r>
      <w:r w:rsidR="00C85231" w:rsidRPr="009058A3">
        <w:rPr>
          <w:rFonts w:ascii="Google Sans Text" w:eastAsia="Google Sans" w:hAnsi="Google Sans Text" w:cs="Google Sans"/>
          <w:color w:val="1B1C1D"/>
          <w:sz w:val="24"/>
          <w:szCs w:val="24"/>
        </w:rPr>
        <w:br/>
      </w:r>
      <w:r w:rsidR="003E12D7" w:rsidRPr="009058A3">
        <w:rPr>
          <w:rFonts w:ascii="Google Sans Text" w:eastAsia="Google Sans" w:hAnsi="Google Sans Text" w:cs="Google Sans"/>
          <w:b w:val="0"/>
          <w:bCs/>
          <w:i/>
          <w:iCs/>
          <w:color w:val="1B1C1D"/>
          <w:sz w:val="24"/>
          <w:szCs w:val="24"/>
        </w:rPr>
        <w:t>Colonnes (8)</w:t>
      </w:r>
      <w:r w:rsidR="003E12D7" w:rsidRPr="009058A3">
        <w:rPr>
          <w:rFonts w:eastAsia="Google Sans"/>
          <w:b w:val="0"/>
          <w:bCs/>
          <w:color w:val="1B1C1D"/>
          <w:sz w:val="24"/>
          <w:szCs w:val="24"/>
        </w:rPr>
        <w:t> </w:t>
      </w:r>
      <w:r w:rsidR="003E12D7" w:rsidRPr="009058A3">
        <w:rPr>
          <w:rFonts w:ascii="Google Sans Text" w:eastAsia="Google Sans" w:hAnsi="Google Sans Text" w:cs="Google Sans"/>
          <w:b w:val="0"/>
          <w:bCs/>
          <w:color w:val="1B1C1D"/>
          <w:sz w:val="24"/>
          <w:szCs w:val="24"/>
        </w:rPr>
        <w:t>: Benchmark | Métrique | n | Baseline | ISI</w:t>
      </w:r>
      <w:r w:rsidR="003E12D7" w:rsidRPr="009058A3">
        <w:rPr>
          <w:rFonts w:ascii="Google Sans Text" w:eastAsia="Google Sans" w:hAnsi="Google Sans Text" w:cs="Google Sans"/>
          <w:b w:val="0"/>
          <w:bCs/>
          <w:color w:val="1B1C1D"/>
          <w:sz w:val="24"/>
          <w:szCs w:val="24"/>
        </w:rPr>
        <w:noBreakHyphen/>
        <w:t>ERA | Δ (ISI</w:t>
      </w:r>
      <w:r w:rsidR="003E12D7" w:rsidRPr="009058A3">
        <w:rPr>
          <w:rFonts w:ascii="Google Sans Text" w:eastAsia="Google Sans" w:hAnsi="Google Sans Text" w:cs="Google Sans"/>
          <w:b w:val="0"/>
          <w:bCs/>
          <w:color w:val="1B1C1D"/>
          <w:sz w:val="24"/>
          <w:szCs w:val="24"/>
        </w:rPr>
        <w:noBreakHyphen/>
        <w:t>Base) | IC</w:t>
      </w:r>
      <w:r w:rsidR="003E12D7" w:rsidRPr="009058A3">
        <w:rPr>
          <w:rFonts w:eastAsia="Google Sans"/>
          <w:b w:val="0"/>
          <w:bCs/>
          <w:color w:val="1B1C1D"/>
          <w:sz w:val="24"/>
          <w:szCs w:val="24"/>
        </w:rPr>
        <w:t> </w:t>
      </w:r>
      <w:r w:rsidR="003E12D7" w:rsidRPr="009058A3">
        <w:rPr>
          <w:rFonts w:ascii="Google Sans Text" w:eastAsia="Google Sans" w:hAnsi="Google Sans Text" w:cs="Google Sans"/>
          <w:b w:val="0"/>
          <w:bCs/>
          <w:color w:val="1B1C1D"/>
          <w:sz w:val="24"/>
          <w:szCs w:val="24"/>
        </w:rPr>
        <w:t>95</w:t>
      </w:r>
      <w:r w:rsidR="003E12D7" w:rsidRPr="009058A3">
        <w:rPr>
          <w:rFonts w:eastAsia="Google Sans"/>
          <w:b w:val="0"/>
          <w:bCs/>
          <w:color w:val="1B1C1D"/>
          <w:sz w:val="24"/>
          <w:szCs w:val="24"/>
        </w:rPr>
        <w:t> </w:t>
      </w:r>
      <w:r w:rsidR="003E12D7" w:rsidRPr="009058A3">
        <w:rPr>
          <w:rFonts w:ascii="Google Sans Text" w:eastAsia="Google Sans" w:hAnsi="Google Sans Text" w:cs="Google Sans"/>
          <w:b w:val="0"/>
          <w:bCs/>
          <w:color w:val="1B1C1D"/>
          <w:sz w:val="24"/>
          <w:szCs w:val="24"/>
        </w:rPr>
        <w:t>% (ISI) | p</w:t>
      </w:r>
    </w:p>
    <w:tbl>
      <w:tblPr>
        <w:tblStyle w:val="Grilledutableau"/>
        <w:tblW w:w="0" w:type="auto"/>
        <w:tblLook w:val="04A0" w:firstRow="1" w:lastRow="0" w:firstColumn="1" w:lastColumn="0" w:noHBand="0" w:noVBand="1"/>
      </w:tblPr>
      <w:tblGrid>
        <w:gridCol w:w="1429"/>
        <w:gridCol w:w="1161"/>
        <w:gridCol w:w="1126"/>
        <w:gridCol w:w="1121"/>
        <w:gridCol w:w="1117"/>
        <w:gridCol w:w="1122"/>
        <w:gridCol w:w="1137"/>
        <w:gridCol w:w="1137"/>
      </w:tblGrid>
      <w:tr w:rsidR="00DD4F3E" w:rsidRPr="009058A3" w14:paraId="04FDEB99" w14:textId="77777777">
        <w:tc>
          <w:tcPr>
            <w:tcW w:w="1168" w:type="dxa"/>
          </w:tcPr>
          <w:p w14:paraId="2BE63792"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WikiText-103</w:t>
            </w:r>
          </w:p>
        </w:tc>
        <w:tc>
          <w:tcPr>
            <w:tcW w:w="1168" w:type="dxa"/>
          </w:tcPr>
          <w:p w14:paraId="39EEAA57"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PPL (↓)</w:t>
            </w:r>
          </w:p>
        </w:tc>
        <w:tc>
          <w:tcPr>
            <w:tcW w:w="1169" w:type="dxa"/>
          </w:tcPr>
          <w:p w14:paraId="14099E54"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500BC45F"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10.5</w:t>
            </w:r>
          </w:p>
        </w:tc>
        <w:tc>
          <w:tcPr>
            <w:tcW w:w="1169" w:type="dxa"/>
          </w:tcPr>
          <w:p w14:paraId="6E7951C4"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10.6</w:t>
            </w:r>
          </w:p>
        </w:tc>
        <w:tc>
          <w:tcPr>
            <w:tcW w:w="1169" w:type="dxa"/>
          </w:tcPr>
          <w:p w14:paraId="3F42C390"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+0.9%</w:t>
            </w:r>
          </w:p>
        </w:tc>
        <w:tc>
          <w:tcPr>
            <w:tcW w:w="1169" w:type="dxa"/>
          </w:tcPr>
          <w:p w14:paraId="7F5552C9"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[10.4–10.8]</w:t>
            </w:r>
          </w:p>
        </w:tc>
        <w:tc>
          <w:tcPr>
            <w:tcW w:w="1169" w:type="dxa"/>
          </w:tcPr>
          <w:p w14:paraId="0755E34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p=0.18 (ns)</w:t>
            </w:r>
          </w:p>
        </w:tc>
      </w:tr>
      <w:tr w:rsidR="00DD4F3E" w:rsidRPr="009058A3" w14:paraId="0B4096CF" w14:textId="77777777">
        <w:tc>
          <w:tcPr>
            <w:tcW w:w="1168" w:type="dxa"/>
          </w:tcPr>
          <w:p w14:paraId="1C44124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WMT14 En–De</w:t>
            </w:r>
          </w:p>
        </w:tc>
        <w:tc>
          <w:tcPr>
            <w:tcW w:w="1168" w:type="dxa"/>
          </w:tcPr>
          <w:p w14:paraId="7A7D91B1"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BLEU (↑)</w:t>
            </w:r>
          </w:p>
        </w:tc>
        <w:tc>
          <w:tcPr>
            <w:tcW w:w="1169" w:type="dxa"/>
          </w:tcPr>
          <w:p w14:paraId="3E4B2F1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655A152A"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29.8</w:t>
            </w:r>
          </w:p>
        </w:tc>
        <w:tc>
          <w:tcPr>
            <w:tcW w:w="1169" w:type="dxa"/>
          </w:tcPr>
          <w:p w14:paraId="4BEAD29C"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29.9</w:t>
            </w:r>
          </w:p>
        </w:tc>
        <w:tc>
          <w:tcPr>
            <w:tcW w:w="1169" w:type="dxa"/>
          </w:tcPr>
          <w:p w14:paraId="0A9E8929"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+0.1</w:t>
            </w:r>
          </w:p>
        </w:tc>
        <w:tc>
          <w:tcPr>
            <w:tcW w:w="1169" w:type="dxa"/>
          </w:tcPr>
          <w:p w14:paraId="7F009F3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[29.5–30.3]</w:t>
            </w:r>
          </w:p>
        </w:tc>
        <w:tc>
          <w:tcPr>
            <w:tcW w:w="1169" w:type="dxa"/>
          </w:tcPr>
          <w:p w14:paraId="55E9F3F3"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p=0.42 (ns)</w:t>
            </w:r>
          </w:p>
        </w:tc>
      </w:tr>
      <w:tr w:rsidR="00DD4F3E" w:rsidRPr="009058A3" w14:paraId="463D1661" w14:textId="77777777">
        <w:tc>
          <w:tcPr>
            <w:tcW w:w="1168" w:type="dxa"/>
          </w:tcPr>
          <w:p w14:paraId="47E63B6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CNN/DM</w:t>
            </w:r>
          </w:p>
        </w:tc>
        <w:tc>
          <w:tcPr>
            <w:tcW w:w="1168" w:type="dxa"/>
          </w:tcPr>
          <w:p w14:paraId="6681745F"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ROUGE-L (↑)</w:t>
            </w:r>
          </w:p>
        </w:tc>
        <w:tc>
          <w:tcPr>
            <w:tcW w:w="1169" w:type="dxa"/>
          </w:tcPr>
          <w:p w14:paraId="0F5A42D2"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14C231C2"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44.5</w:t>
            </w:r>
          </w:p>
        </w:tc>
        <w:tc>
          <w:tcPr>
            <w:tcW w:w="1169" w:type="dxa"/>
          </w:tcPr>
          <w:p w14:paraId="78FB8D2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44.6</w:t>
            </w:r>
          </w:p>
        </w:tc>
        <w:tc>
          <w:tcPr>
            <w:tcW w:w="1169" w:type="dxa"/>
          </w:tcPr>
          <w:p w14:paraId="6564164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+0.1</w:t>
            </w:r>
          </w:p>
        </w:tc>
        <w:tc>
          <w:tcPr>
            <w:tcW w:w="1169" w:type="dxa"/>
          </w:tcPr>
          <w:p w14:paraId="4BB738F2"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[44.1–45.1]</w:t>
            </w:r>
          </w:p>
        </w:tc>
        <w:tc>
          <w:tcPr>
            <w:tcW w:w="1169" w:type="dxa"/>
          </w:tcPr>
          <w:p w14:paraId="4F107A9F"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p=0.47 (ns)</w:t>
            </w:r>
          </w:p>
        </w:tc>
      </w:tr>
      <w:tr w:rsidR="00DD4F3E" w:rsidRPr="009058A3" w14:paraId="2E11CD4A" w14:textId="77777777">
        <w:tc>
          <w:tcPr>
            <w:tcW w:w="1168" w:type="dxa"/>
          </w:tcPr>
          <w:p w14:paraId="3090614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MMLU</w:t>
            </w:r>
          </w:p>
        </w:tc>
        <w:tc>
          <w:tcPr>
            <w:tcW w:w="1168" w:type="dxa"/>
          </w:tcPr>
          <w:p w14:paraId="2DF1AD8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Exact (↑)</w:t>
            </w:r>
          </w:p>
        </w:tc>
        <w:tc>
          <w:tcPr>
            <w:tcW w:w="1169" w:type="dxa"/>
          </w:tcPr>
          <w:p w14:paraId="2B9BC740"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14000</w:t>
            </w:r>
          </w:p>
        </w:tc>
        <w:tc>
          <w:tcPr>
            <w:tcW w:w="1169" w:type="dxa"/>
          </w:tcPr>
          <w:p w14:paraId="1237B19A"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68.4%</w:t>
            </w:r>
          </w:p>
        </w:tc>
        <w:tc>
          <w:tcPr>
            <w:tcW w:w="1169" w:type="dxa"/>
          </w:tcPr>
          <w:p w14:paraId="7DA52221"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68.2%</w:t>
            </w:r>
          </w:p>
        </w:tc>
        <w:tc>
          <w:tcPr>
            <w:tcW w:w="1169" w:type="dxa"/>
          </w:tcPr>
          <w:p w14:paraId="431B4D3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–0.2</w:t>
            </w:r>
          </w:p>
        </w:tc>
        <w:tc>
          <w:tcPr>
            <w:tcW w:w="1169" w:type="dxa"/>
          </w:tcPr>
          <w:p w14:paraId="096F03B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[67.6–68.8]%</w:t>
            </w:r>
          </w:p>
        </w:tc>
        <w:tc>
          <w:tcPr>
            <w:tcW w:w="1169" w:type="dxa"/>
          </w:tcPr>
          <w:p w14:paraId="02EF36B1"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p=0.72 (ns)</w:t>
            </w:r>
          </w:p>
        </w:tc>
      </w:tr>
      <w:tr w:rsidR="00DD4F3E" w:rsidRPr="009058A3" w14:paraId="165B458D" w14:textId="77777777">
        <w:tc>
          <w:tcPr>
            <w:tcW w:w="1168" w:type="dxa"/>
          </w:tcPr>
          <w:p w14:paraId="7BFD5112"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BBH</w:t>
            </w:r>
          </w:p>
        </w:tc>
        <w:tc>
          <w:tcPr>
            <w:tcW w:w="1168" w:type="dxa"/>
          </w:tcPr>
          <w:p w14:paraId="401C116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Exact (↑)</w:t>
            </w:r>
          </w:p>
        </w:tc>
        <w:tc>
          <w:tcPr>
            <w:tcW w:w="1169" w:type="dxa"/>
          </w:tcPr>
          <w:p w14:paraId="0FD58666"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0D91BDF1"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45.3%</w:t>
            </w:r>
          </w:p>
        </w:tc>
        <w:tc>
          <w:tcPr>
            <w:tcW w:w="1169" w:type="dxa"/>
          </w:tcPr>
          <w:p w14:paraId="2B307396"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45.8%</w:t>
            </w:r>
          </w:p>
        </w:tc>
        <w:tc>
          <w:tcPr>
            <w:tcW w:w="1169" w:type="dxa"/>
          </w:tcPr>
          <w:p w14:paraId="7CCEFB5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+0.5</w:t>
            </w:r>
          </w:p>
        </w:tc>
        <w:tc>
          <w:tcPr>
            <w:tcW w:w="1169" w:type="dxa"/>
          </w:tcPr>
          <w:p w14:paraId="2B8CF4C6"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[45.0–46.6]%</w:t>
            </w:r>
          </w:p>
        </w:tc>
        <w:tc>
          <w:tcPr>
            <w:tcW w:w="1169" w:type="dxa"/>
          </w:tcPr>
          <w:p w14:paraId="5997245F"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p=0.41 (ns)</w:t>
            </w:r>
          </w:p>
        </w:tc>
      </w:tr>
      <w:tr w:rsidR="00DD4F3E" w:rsidRPr="009058A3" w14:paraId="31D06332" w14:textId="77777777">
        <w:tc>
          <w:tcPr>
            <w:tcW w:w="1168" w:type="dxa"/>
          </w:tcPr>
          <w:p w14:paraId="4688016C"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GSM8K</w:t>
            </w:r>
          </w:p>
        </w:tc>
        <w:tc>
          <w:tcPr>
            <w:tcW w:w="1168" w:type="dxa"/>
          </w:tcPr>
          <w:p w14:paraId="6AAB65D9"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Exact (↑)</w:t>
            </w:r>
          </w:p>
        </w:tc>
        <w:tc>
          <w:tcPr>
            <w:tcW w:w="1169" w:type="dxa"/>
          </w:tcPr>
          <w:p w14:paraId="4C6F18F6"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5D1D7B1E"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56.0%</w:t>
            </w:r>
          </w:p>
        </w:tc>
        <w:tc>
          <w:tcPr>
            <w:tcW w:w="1169" w:type="dxa"/>
          </w:tcPr>
          <w:p w14:paraId="4F09215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56.1%</w:t>
            </w:r>
          </w:p>
        </w:tc>
        <w:tc>
          <w:tcPr>
            <w:tcW w:w="1169" w:type="dxa"/>
          </w:tcPr>
          <w:p w14:paraId="2C51C31B"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+0.1</w:t>
            </w:r>
          </w:p>
        </w:tc>
        <w:tc>
          <w:tcPr>
            <w:tcW w:w="1169" w:type="dxa"/>
          </w:tcPr>
          <w:p w14:paraId="57B69FE0"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[55.2–57.0]%</w:t>
            </w:r>
          </w:p>
        </w:tc>
        <w:tc>
          <w:tcPr>
            <w:tcW w:w="1169" w:type="dxa"/>
          </w:tcPr>
          <w:p w14:paraId="14202FA4"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p=0.89 (ns)</w:t>
            </w:r>
          </w:p>
        </w:tc>
      </w:tr>
      <w:tr w:rsidR="00DD4F3E" w:rsidRPr="009058A3" w14:paraId="5431CF41" w14:textId="77777777">
        <w:tc>
          <w:tcPr>
            <w:tcW w:w="1168" w:type="dxa"/>
          </w:tcPr>
          <w:p w14:paraId="227A4CFB"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HumanEval</w:t>
            </w:r>
          </w:p>
        </w:tc>
        <w:tc>
          <w:tcPr>
            <w:tcW w:w="1168" w:type="dxa"/>
          </w:tcPr>
          <w:p w14:paraId="48E80E87"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pass@1 (↑)</w:t>
            </w:r>
          </w:p>
        </w:tc>
        <w:tc>
          <w:tcPr>
            <w:tcW w:w="1169" w:type="dxa"/>
          </w:tcPr>
          <w:p w14:paraId="0982269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69" w:type="dxa"/>
          </w:tcPr>
          <w:p w14:paraId="61101925"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32.4%</w:t>
            </w:r>
          </w:p>
        </w:tc>
        <w:tc>
          <w:tcPr>
            <w:tcW w:w="1169" w:type="dxa"/>
          </w:tcPr>
          <w:p w14:paraId="41A17E8D"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32.2%</w:t>
            </w:r>
          </w:p>
        </w:tc>
        <w:tc>
          <w:tcPr>
            <w:tcW w:w="1169" w:type="dxa"/>
          </w:tcPr>
          <w:p w14:paraId="6B80C674"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–0.2</w:t>
            </w:r>
          </w:p>
        </w:tc>
        <w:tc>
          <w:tcPr>
            <w:tcW w:w="1169" w:type="dxa"/>
          </w:tcPr>
          <w:p w14:paraId="464A4B2C"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[29.4–35.0]%</w:t>
            </w:r>
          </w:p>
        </w:tc>
        <w:tc>
          <w:tcPr>
            <w:tcW w:w="1169" w:type="dxa"/>
          </w:tcPr>
          <w:p w14:paraId="2B32BAB7" w14:textId="77777777" w:rsidR="00DD4F3E" w:rsidRPr="009058A3" w:rsidRDefault="00DD4F3E" w:rsidP="0068324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p=0.94 (ns)</w:t>
            </w:r>
          </w:p>
        </w:tc>
      </w:tr>
    </w:tbl>
    <w:p w14:paraId="7323ED60" w14:textId="4286DF4C" w:rsidR="0051708C" w:rsidRPr="009058A3" w:rsidRDefault="00AC1AB4" w:rsidP="0051708C">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color w:val="1B1C1D"/>
          <w:sz w:val="24"/>
          <w:szCs w:val="24"/>
        </w:rPr>
        <w:br/>
      </w:r>
      <w:r w:rsidR="00756085" w:rsidRPr="009058A3">
        <w:rPr>
          <w:rFonts w:ascii="Google Sans Text" w:eastAsia="Google Sans" w:hAnsi="Google Sans Text" w:cs="Google Sans"/>
          <w:color w:val="1B1C1D"/>
          <w:sz w:val="24"/>
          <w:szCs w:val="24"/>
        </w:rPr>
        <w:br/>
      </w:r>
      <w:r w:rsidR="0051708C" w:rsidRPr="009058A3">
        <w:rPr>
          <w:rFonts w:ascii="Google Sans Text" w:eastAsia="Google Sans" w:hAnsi="Google Sans Text" w:cs="Google Sans"/>
          <w:b w:val="0"/>
          <w:bCs/>
          <w:color w:val="1B1C1D"/>
          <w:sz w:val="24"/>
          <w:szCs w:val="24"/>
        </w:rPr>
        <w:t>Table 5b</w:t>
      </w:r>
      <w:r w:rsidR="0051708C" w:rsidRPr="009058A3">
        <w:rPr>
          <w:rFonts w:ascii="Google Sans Text" w:eastAsia="Google Sans" w:hAnsi="Google Sans Text" w:cs="Google Sans"/>
          <w:b w:val="0"/>
          <w:bCs/>
          <w:color w:val="1B1C1D"/>
          <w:sz w:val="24"/>
          <w:szCs w:val="24"/>
        </w:rPr>
        <w:noBreakHyphen/>
        <w:t>3 — Innocuité / Sécurité</w:t>
      </w:r>
      <w:r w:rsidR="0051708C" w:rsidRPr="009058A3">
        <w:rPr>
          <w:rFonts w:ascii="Google Sans Text" w:eastAsia="Google Sans" w:hAnsi="Google Sans Text" w:cs="Google Sans"/>
          <w:b w:val="0"/>
          <w:bCs/>
          <w:color w:val="1B1C1D"/>
          <w:sz w:val="24"/>
          <w:szCs w:val="24"/>
        </w:rPr>
        <w:br/>
      </w:r>
      <w:r w:rsidR="00ED2792" w:rsidRPr="009058A3">
        <w:rPr>
          <w:rFonts w:ascii="Google Sans Text" w:eastAsia="Google Sans" w:hAnsi="Google Sans Text" w:cs="Google Sans"/>
          <w:b w:val="0"/>
          <w:bCs/>
          <w:i/>
          <w:iCs/>
          <w:color w:val="1B1C1D"/>
          <w:sz w:val="24"/>
          <w:szCs w:val="24"/>
        </w:rPr>
        <w:t>Colonnes (9)</w:t>
      </w:r>
      <w:r w:rsidR="00ED2792" w:rsidRPr="009058A3">
        <w:rPr>
          <w:rFonts w:eastAsia="Google Sans"/>
          <w:b w:val="0"/>
          <w:bCs/>
          <w:color w:val="1B1C1D"/>
          <w:sz w:val="24"/>
          <w:szCs w:val="24"/>
        </w:rPr>
        <w:t> </w:t>
      </w:r>
      <w:r w:rsidR="00ED2792" w:rsidRPr="009058A3">
        <w:rPr>
          <w:rFonts w:ascii="Google Sans Text" w:eastAsia="Google Sans" w:hAnsi="Google Sans Text" w:cs="Google Sans"/>
          <w:b w:val="0"/>
          <w:bCs/>
          <w:color w:val="1B1C1D"/>
          <w:sz w:val="24"/>
          <w:szCs w:val="24"/>
        </w:rPr>
        <w:t>: Tâche | Métrique (↓/↑) | n | Baseline | ISI</w:t>
      </w:r>
      <w:r w:rsidR="00ED2792" w:rsidRPr="009058A3">
        <w:rPr>
          <w:rFonts w:ascii="Google Sans Text" w:eastAsia="Google Sans" w:hAnsi="Google Sans Text" w:cs="Google Sans"/>
          <w:b w:val="0"/>
          <w:bCs/>
          <w:color w:val="1B1C1D"/>
          <w:sz w:val="24"/>
          <w:szCs w:val="24"/>
        </w:rPr>
        <w:noBreakHyphen/>
        <w:t>ERA | IC</w:t>
      </w:r>
      <w:r w:rsidR="00ED2792" w:rsidRPr="009058A3">
        <w:rPr>
          <w:rFonts w:eastAsia="Google Sans"/>
          <w:b w:val="0"/>
          <w:bCs/>
          <w:color w:val="1B1C1D"/>
          <w:sz w:val="24"/>
          <w:szCs w:val="24"/>
        </w:rPr>
        <w:t> </w:t>
      </w:r>
      <w:r w:rsidR="00ED2792" w:rsidRPr="009058A3">
        <w:rPr>
          <w:rFonts w:ascii="Google Sans Text" w:eastAsia="Google Sans" w:hAnsi="Google Sans Text" w:cs="Google Sans"/>
          <w:b w:val="0"/>
          <w:bCs/>
          <w:color w:val="1B1C1D"/>
          <w:sz w:val="24"/>
          <w:szCs w:val="24"/>
        </w:rPr>
        <w:t>95</w:t>
      </w:r>
      <w:r w:rsidR="00ED2792" w:rsidRPr="009058A3">
        <w:rPr>
          <w:rFonts w:eastAsia="Google Sans"/>
          <w:b w:val="0"/>
          <w:bCs/>
          <w:color w:val="1B1C1D"/>
          <w:sz w:val="24"/>
          <w:szCs w:val="24"/>
        </w:rPr>
        <w:t> </w:t>
      </w:r>
      <w:r w:rsidR="00ED2792" w:rsidRPr="009058A3">
        <w:rPr>
          <w:rFonts w:ascii="Google Sans Text" w:eastAsia="Google Sans" w:hAnsi="Google Sans Text" w:cs="Google Sans"/>
          <w:b w:val="0"/>
          <w:bCs/>
          <w:color w:val="1B1C1D"/>
          <w:sz w:val="24"/>
          <w:szCs w:val="24"/>
        </w:rPr>
        <w:t>% (ISI) | Refus appropri</w:t>
      </w:r>
      <w:r w:rsidR="00ED2792" w:rsidRPr="009058A3">
        <w:rPr>
          <w:rFonts w:ascii="Google Sans Text" w:eastAsia="Google Sans" w:hAnsi="Google Sans Text" w:cs="___WRD_EMBED_SUB_46"/>
          <w:b w:val="0"/>
          <w:bCs/>
          <w:color w:val="1B1C1D"/>
          <w:sz w:val="24"/>
          <w:szCs w:val="24"/>
        </w:rPr>
        <w:t>é</w:t>
      </w:r>
      <w:r w:rsidR="00ED2792" w:rsidRPr="009058A3">
        <w:rPr>
          <w:rFonts w:ascii="Google Sans Text" w:eastAsia="Google Sans" w:hAnsi="Google Sans Text" w:cs="Google Sans"/>
          <w:b w:val="0"/>
          <w:bCs/>
          <w:color w:val="1B1C1D"/>
          <w:sz w:val="24"/>
          <w:szCs w:val="24"/>
        </w:rPr>
        <w:t>s (</w:t>
      </w:r>
      <w:r w:rsidR="00ED2792" w:rsidRPr="009058A3">
        <w:rPr>
          <w:rFonts w:ascii="Google Sans Text" w:eastAsia="Google Sans" w:hAnsi="Google Sans Text" w:cs="___WRD_EMBED_SUB_46"/>
          <w:b w:val="0"/>
          <w:bCs/>
          <w:color w:val="1B1C1D"/>
          <w:sz w:val="24"/>
          <w:szCs w:val="24"/>
        </w:rPr>
        <w:t>↑</w:t>
      </w:r>
      <w:r w:rsidR="00ED2792" w:rsidRPr="009058A3">
        <w:rPr>
          <w:rFonts w:ascii="Google Sans Text" w:eastAsia="Google Sans" w:hAnsi="Google Sans Text" w:cs="Google Sans"/>
          <w:b w:val="0"/>
          <w:bCs/>
          <w:color w:val="1B1C1D"/>
          <w:sz w:val="24"/>
          <w:szCs w:val="24"/>
        </w:rPr>
        <w:t>) | p | h</w:t>
      </w:r>
      <w:r w:rsidR="0051708C" w:rsidRPr="009058A3">
        <w:rPr>
          <w:rFonts w:ascii="Google Sans Text" w:eastAsia="Google Sans" w:hAnsi="Google Sans Text" w:cs="Google Sans"/>
          <w:b w:val="0"/>
          <w:bCs/>
          <w:color w:val="1B1C1D"/>
          <w:sz w:val="24"/>
          <w:szCs w:val="24"/>
        </w:rPr>
        <w:br/>
      </w:r>
    </w:p>
    <w:tbl>
      <w:tblPr>
        <w:tblStyle w:val="Grilledutableau"/>
        <w:tblW w:w="0" w:type="auto"/>
        <w:tblLook w:val="04A0" w:firstRow="1" w:lastRow="0" w:firstColumn="1" w:lastColumn="0" w:noHBand="0" w:noVBand="1"/>
      </w:tblPr>
      <w:tblGrid>
        <w:gridCol w:w="1815"/>
        <w:gridCol w:w="1336"/>
        <w:gridCol w:w="645"/>
        <w:gridCol w:w="862"/>
        <w:gridCol w:w="872"/>
        <w:gridCol w:w="876"/>
        <w:gridCol w:w="872"/>
        <w:gridCol w:w="1117"/>
        <w:gridCol w:w="955"/>
      </w:tblGrid>
      <w:tr w:rsidR="0051708C" w:rsidRPr="009058A3" w14:paraId="1B737656" w14:textId="77777777" w:rsidTr="002B7050">
        <w:tc>
          <w:tcPr>
            <w:tcW w:w="1815" w:type="dxa"/>
          </w:tcPr>
          <w:p w14:paraId="643EF2C9"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Toxicité (Perspective&gt;τ)</w:t>
            </w:r>
          </w:p>
        </w:tc>
        <w:tc>
          <w:tcPr>
            <w:tcW w:w="1336" w:type="dxa"/>
          </w:tcPr>
          <w:p w14:paraId="5DF4F943"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Taux (↓)</w:t>
            </w:r>
          </w:p>
        </w:tc>
        <w:tc>
          <w:tcPr>
            <w:tcW w:w="645" w:type="dxa"/>
          </w:tcPr>
          <w:p w14:paraId="1A0B5CEE"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500</w:t>
            </w:r>
          </w:p>
        </w:tc>
        <w:tc>
          <w:tcPr>
            <w:tcW w:w="862" w:type="dxa"/>
          </w:tcPr>
          <w:p w14:paraId="40F8C4EB"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1.7%</w:t>
            </w:r>
          </w:p>
        </w:tc>
        <w:tc>
          <w:tcPr>
            <w:tcW w:w="872" w:type="dxa"/>
          </w:tcPr>
          <w:p w14:paraId="22A73687"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0.9%</w:t>
            </w:r>
          </w:p>
        </w:tc>
        <w:tc>
          <w:tcPr>
            <w:tcW w:w="876" w:type="dxa"/>
          </w:tcPr>
          <w:p w14:paraId="03E393A4"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[0.5–1.4]%</w:t>
            </w:r>
          </w:p>
        </w:tc>
        <w:tc>
          <w:tcPr>
            <w:tcW w:w="872" w:type="dxa"/>
          </w:tcPr>
          <w:p w14:paraId="4CA3AFB4"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17" w:type="dxa"/>
          </w:tcPr>
          <w:p w14:paraId="3E985DEA"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p=0.26 (ns)</w:t>
            </w:r>
          </w:p>
        </w:tc>
        <w:tc>
          <w:tcPr>
            <w:tcW w:w="955" w:type="dxa"/>
          </w:tcPr>
          <w:p w14:paraId="7657A575"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h=0.07</w:t>
            </w:r>
          </w:p>
        </w:tc>
      </w:tr>
      <w:tr w:rsidR="0051708C" w:rsidRPr="009058A3" w14:paraId="45AFF8C0" w14:textId="77777777" w:rsidTr="002B7050">
        <w:tc>
          <w:tcPr>
            <w:tcW w:w="1815" w:type="dxa"/>
          </w:tcPr>
          <w:p w14:paraId="378F8C65"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Jailbreak</w:t>
            </w:r>
          </w:p>
        </w:tc>
        <w:tc>
          <w:tcPr>
            <w:tcW w:w="1336" w:type="dxa"/>
          </w:tcPr>
          <w:p w14:paraId="1909DFA7"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 réussite (↓)</w:t>
            </w:r>
          </w:p>
        </w:tc>
        <w:tc>
          <w:tcPr>
            <w:tcW w:w="645" w:type="dxa"/>
          </w:tcPr>
          <w:p w14:paraId="2AD5BECB"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500</w:t>
            </w:r>
          </w:p>
        </w:tc>
        <w:tc>
          <w:tcPr>
            <w:tcW w:w="862" w:type="dxa"/>
          </w:tcPr>
          <w:p w14:paraId="65054344"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23.0%</w:t>
            </w:r>
          </w:p>
        </w:tc>
        <w:tc>
          <w:tcPr>
            <w:tcW w:w="872" w:type="dxa"/>
          </w:tcPr>
          <w:p w14:paraId="15F27986"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7.0%</w:t>
            </w:r>
          </w:p>
        </w:tc>
        <w:tc>
          <w:tcPr>
            <w:tcW w:w="876" w:type="dxa"/>
          </w:tcPr>
          <w:p w14:paraId="122CB9C9"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[4.8–9.2]%</w:t>
            </w:r>
          </w:p>
        </w:tc>
        <w:tc>
          <w:tcPr>
            <w:tcW w:w="872" w:type="dxa"/>
          </w:tcPr>
          <w:p w14:paraId="58E01F06"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117" w:type="dxa"/>
          </w:tcPr>
          <w:p w14:paraId="2912FC34"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p=1.39e-12</w:t>
            </w:r>
          </w:p>
        </w:tc>
        <w:tc>
          <w:tcPr>
            <w:tcW w:w="955" w:type="dxa"/>
          </w:tcPr>
          <w:p w14:paraId="58621441"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h=0.46</w:t>
            </w:r>
          </w:p>
        </w:tc>
      </w:tr>
      <w:tr w:rsidR="0051708C" w:rsidRPr="009058A3" w14:paraId="0ECDB800" w14:textId="77777777" w:rsidTr="002B7050">
        <w:tc>
          <w:tcPr>
            <w:tcW w:w="1815" w:type="dxa"/>
          </w:tcPr>
          <w:p w14:paraId="0AE6B040"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Prompts sensibles</w:t>
            </w:r>
          </w:p>
        </w:tc>
        <w:tc>
          <w:tcPr>
            <w:tcW w:w="1336" w:type="dxa"/>
          </w:tcPr>
          <w:p w14:paraId="4F043A33"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Refus appropriés (↑)</w:t>
            </w:r>
          </w:p>
        </w:tc>
        <w:tc>
          <w:tcPr>
            <w:tcW w:w="645" w:type="dxa"/>
          </w:tcPr>
          <w:p w14:paraId="7039A425"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500</w:t>
            </w:r>
          </w:p>
        </w:tc>
        <w:tc>
          <w:tcPr>
            <w:tcW w:w="862" w:type="dxa"/>
          </w:tcPr>
          <w:p w14:paraId="6E5B15AD"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6.0%</w:t>
            </w:r>
          </w:p>
        </w:tc>
        <w:tc>
          <w:tcPr>
            <w:tcW w:w="872" w:type="dxa"/>
          </w:tcPr>
          <w:p w14:paraId="375B7FF7"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89.0%</w:t>
            </w:r>
          </w:p>
        </w:tc>
        <w:tc>
          <w:tcPr>
            <w:tcW w:w="876" w:type="dxa"/>
          </w:tcPr>
          <w:p w14:paraId="4C48F2C8"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[86.9–91.1]%</w:t>
            </w:r>
          </w:p>
        </w:tc>
        <w:tc>
          <w:tcPr>
            <w:tcW w:w="872" w:type="dxa"/>
          </w:tcPr>
          <w:p w14:paraId="2596CA82"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89.0%</w:t>
            </w:r>
          </w:p>
        </w:tc>
        <w:tc>
          <w:tcPr>
            <w:tcW w:w="1117" w:type="dxa"/>
          </w:tcPr>
          <w:p w14:paraId="24E3ADA0"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w:t>
            </w:r>
            <w:r w:rsidRPr="009058A3">
              <w:rPr>
                <w:rFonts w:ascii="Cambria Math" w:eastAsia="Google Sans" w:hAnsi="Cambria Math" w:cs="Cambria Math"/>
                <w:b w:val="0"/>
                <w:bCs/>
                <w:color w:val="1B1C1D"/>
                <w:sz w:val="24"/>
                <w:szCs w:val="24"/>
              </w:rPr>
              <w:t>≪</w:t>
            </w:r>
            <w:r w:rsidRPr="009058A3">
              <w:rPr>
                <w:rFonts w:ascii="Google Sans Text" w:eastAsia="Google Sans" w:hAnsi="Google Sans Text" w:cs="Google Sans"/>
                <w:b w:val="0"/>
                <w:bCs/>
                <w:color w:val="1B1C1D"/>
                <w:sz w:val="24"/>
                <w:szCs w:val="24"/>
              </w:rPr>
              <w:t>1e-16</w:t>
            </w:r>
          </w:p>
        </w:tc>
        <w:tc>
          <w:tcPr>
            <w:tcW w:w="955" w:type="dxa"/>
          </w:tcPr>
          <w:p w14:paraId="4D88A924" w14:textId="77777777" w:rsidR="0051708C" w:rsidRPr="009058A3" w:rsidRDefault="0051708C" w:rsidP="00B01E8D">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h=1.97</w:t>
            </w:r>
          </w:p>
        </w:tc>
      </w:tr>
    </w:tbl>
    <w:p w14:paraId="17DF2130" w14:textId="38EFF8C7" w:rsidR="00D70258" w:rsidRPr="009058A3" w:rsidRDefault="002B7050" w:rsidP="00D70258">
      <w:pPr>
        <w:pStyle w:val="Titre3"/>
        <w:spacing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b w:val="0"/>
          <w:bCs/>
          <w:color w:val="1B1C1D"/>
          <w:sz w:val="24"/>
          <w:szCs w:val="24"/>
        </w:rPr>
        <w:t xml:space="preserve">Définition </w:t>
      </w:r>
      <w:r w:rsidRPr="009058A3">
        <w:rPr>
          <w:rFonts w:ascii="Google Sans Text" w:eastAsia="Google Sans" w:hAnsi="Google Sans Text" w:cs="Google Sans"/>
          <w:b w:val="0"/>
          <w:bCs/>
          <w:i/>
          <w:iCs/>
          <w:color w:val="1B1C1D"/>
          <w:sz w:val="24"/>
          <w:szCs w:val="24"/>
        </w:rPr>
        <w:t>refus approprié</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 entrée dans R6</w:t>
      </w:r>
      <w:r w:rsidRPr="009058A3">
        <w:rPr>
          <w:rFonts w:ascii="Google Sans Text" w:eastAsia="Google Sans" w:hAnsi="Google Sans Text" w:cs="Google Sans"/>
          <w:b w:val="0"/>
          <w:bCs/>
          <w:color w:val="1B1C1D"/>
          <w:sz w:val="24"/>
          <w:szCs w:val="24"/>
        </w:rPr>
        <w:noBreakHyphen/>
        <w:t>ter/</w:t>
      </w:r>
      <w:r w:rsidRPr="009058A3">
        <w:rPr>
          <w:rFonts w:ascii="Google Sans Text" w:eastAsia="Google Sans" w:hAnsi="Google Sans Text" w:cs="Google Sans"/>
          <w:b w:val="0"/>
          <w:bCs/>
          <w:color w:val="1B1C1D"/>
          <w:sz w:val="24"/>
          <w:szCs w:val="24"/>
        </w:rPr>
        <w:noBreakHyphen/>
        <w:t>bis ou déclenchement de la politique sensible</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 xml:space="preserve">; </w:t>
      </w:r>
      <w:r w:rsidRPr="009058A3">
        <w:rPr>
          <w:rFonts w:ascii="Google Sans Text" w:eastAsia="Google Sans" w:hAnsi="Google Sans Text" w:cs="___WRD_EMBED_SUB_46"/>
          <w:b w:val="0"/>
          <w:bCs/>
          <w:color w:val="1B1C1D"/>
          <w:sz w:val="24"/>
          <w:szCs w:val="24"/>
        </w:rPr>
        <w:t>é</w:t>
      </w:r>
      <w:r w:rsidRPr="009058A3">
        <w:rPr>
          <w:rFonts w:ascii="Google Sans Text" w:eastAsia="Google Sans" w:hAnsi="Google Sans Text" w:cs="Google Sans"/>
          <w:b w:val="0"/>
          <w:bCs/>
          <w:color w:val="1B1C1D"/>
          <w:sz w:val="24"/>
          <w:szCs w:val="24"/>
        </w:rPr>
        <w:t>valuation ind</w:t>
      </w:r>
      <w:r w:rsidRPr="009058A3">
        <w:rPr>
          <w:rFonts w:ascii="Google Sans Text" w:eastAsia="Google Sans" w:hAnsi="Google Sans Text" w:cs="___WRD_EMBED_SUB_46"/>
          <w:b w:val="0"/>
          <w:bCs/>
          <w:color w:val="1B1C1D"/>
          <w:sz w:val="24"/>
          <w:szCs w:val="24"/>
        </w:rPr>
        <w:t>é</w:t>
      </w:r>
      <w:r w:rsidRPr="009058A3">
        <w:rPr>
          <w:rFonts w:ascii="Google Sans Text" w:eastAsia="Google Sans" w:hAnsi="Google Sans Text" w:cs="Google Sans"/>
          <w:b w:val="0"/>
          <w:bCs/>
          <w:color w:val="1B1C1D"/>
          <w:sz w:val="24"/>
          <w:szCs w:val="24"/>
        </w:rPr>
        <w:t>pendante.</w:t>
      </w:r>
      <w:r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color w:val="1B1C1D"/>
          <w:sz w:val="24"/>
          <w:szCs w:val="24"/>
        </w:rPr>
        <w:br/>
      </w:r>
      <w:r w:rsidR="003E12D7" w:rsidRPr="009058A3">
        <w:rPr>
          <w:rFonts w:ascii="Google Sans Text" w:eastAsia="Google Sans" w:hAnsi="Google Sans Text" w:cs="Google Sans"/>
          <w:color w:val="1B1C1D"/>
          <w:sz w:val="24"/>
          <w:szCs w:val="24"/>
        </w:rPr>
        <w:br/>
      </w:r>
      <w:r w:rsidR="00501EE4" w:rsidRPr="009058A3">
        <w:rPr>
          <w:rFonts w:ascii="Google Sans Text" w:eastAsia="Google Sans" w:hAnsi="Google Sans Text" w:cs="Google Sans"/>
          <w:b w:val="0"/>
          <w:bCs/>
          <w:color w:val="1B1C1D"/>
          <w:sz w:val="24"/>
          <w:szCs w:val="24"/>
        </w:rPr>
        <w:t>Table 5b</w:t>
      </w:r>
      <w:r w:rsidR="00501EE4" w:rsidRPr="009058A3">
        <w:rPr>
          <w:rFonts w:ascii="Google Sans Text" w:eastAsia="Google Sans" w:hAnsi="Google Sans Text" w:cs="Google Sans"/>
          <w:b w:val="0"/>
          <w:bCs/>
          <w:color w:val="1B1C1D"/>
          <w:sz w:val="24"/>
          <w:szCs w:val="24"/>
        </w:rPr>
        <w:noBreakHyphen/>
        <w:t>4 — Coûts</w:t>
      </w:r>
      <w:r w:rsidR="00501EE4" w:rsidRPr="009058A3">
        <w:rPr>
          <w:rFonts w:ascii="Google Sans Text" w:eastAsia="Google Sans" w:hAnsi="Google Sans Text" w:cs="Google Sans"/>
          <w:color w:val="1B1C1D"/>
          <w:sz w:val="24"/>
          <w:szCs w:val="24"/>
        </w:rPr>
        <w:br/>
      </w:r>
      <w:r w:rsidR="00D70258" w:rsidRPr="009058A3">
        <w:rPr>
          <w:rFonts w:ascii="Google Sans Text" w:eastAsia="Google Sans" w:hAnsi="Google Sans Text" w:cs="Google Sans"/>
          <w:b w:val="0"/>
          <w:bCs/>
          <w:i/>
          <w:iCs/>
          <w:color w:val="1B1C1D"/>
          <w:sz w:val="24"/>
          <w:szCs w:val="24"/>
        </w:rPr>
        <w:t>Colonnes (7)</w:t>
      </w:r>
      <w:r w:rsidR="00D70258" w:rsidRPr="009058A3">
        <w:rPr>
          <w:rFonts w:eastAsia="Google Sans"/>
          <w:b w:val="0"/>
          <w:bCs/>
          <w:color w:val="1B1C1D"/>
          <w:sz w:val="24"/>
          <w:szCs w:val="24"/>
        </w:rPr>
        <w:t> </w:t>
      </w:r>
      <w:r w:rsidR="00D70258" w:rsidRPr="009058A3">
        <w:rPr>
          <w:rFonts w:ascii="Google Sans Text" w:eastAsia="Google Sans" w:hAnsi="Google Sans Text" w:cs="Google Sans"/>
          <w:b w:val="0"/>
          <w:bCs/>
          <w:color w:val="1B1C1D"/>
          <w:sz w:val="24"/>
          <w:szCs w:val="24"/>
        </w:rPr>
        <w:t>: Métrique | p50 (× base) | IC</w:t>
      </w:r>
      <w:r w:rsidR="00D70258" w:rsidRPr="009058A3">
        <w:rPr>
          <w:rFonts w:eastAsia="Google Sans"/>
          <w:b w:val="0"/>
          <w:bCs/>
          <w:color w:val="1B1C1D"/>
          <w:sz w:val="24"/>
          <w:szCs w:val="24"/>
        </w:rPr>
        <w:t> </w:t>
      </w:r>
      <w:r w:rsidR="00D70258" w:rsidRPr="009058A3">
        <w:rPr>
          <w:rFonts w:ascii="Google Sans Text" w:eastAsia="Google Sans" w:hAnsi="Google Sans Text" w:cs="Google Sans"/>
          <w:b w:val="0"/>
          <w:bCs/>
          <w:color w:val="1B1C1D"/>
          <w:sz w:val="24"/>
          <w:szCs w:val="24"/>
        </w:rPr>
        <w:t>95</w:t>
      </w:r>
      <w:r w:rsidR="00D70258" w:rsidRPr="009058A3">
        <w:rPr>
          <w:rFonts w:eastAsia="Google Sans"/>
          <w:b w:val="0"/>
          <w:bCs/>
          <w:color w:val="1B1C1D"/>
          <w:sz w:val="24"/>
          <w:szCs w:val="24"/>
        </w:rPr>
        <w:t> </w:t>
      </w:r>
      <w:r w:rsidR="00D70258" w:rsidRPr="009058A3">
        <w:rPr>
          <w:rFonts w:ascii="Google Sans Text" w:eastAsia="Google Sans" w:hAnsi="Google Sans Text" w:cs="Google Sans"/>
          <w:b w:val="0"/>
          <w:bCs/>
          <w:color w:val="1B1C1D"/>
          <w:sz w:val="24"/>
          <w:szCs w:val="24"/>
        </w:rPr>
        <w:t>% | p95 (</w:t>
      </w:r>
      <w:r w:rsidR="00D70258" w:rsidRPr="009058A3">
        <w:rPr>
          <w:rFonts w:ascii="Google Sans Text" w:eastAsia="Google Sans" w:hAnsi="Google Sans Text" w:cs="___WRD_EMBED_SUB_46"/>
          <w:b w:val="0"/>
          <w:bCs/>
          <w:color w:val="1B1C1D"/>
          <w:sz w:val="24"/>
          <w:szCs w:val="24"/>
        </w:rPr>
        <w:t>×</w:t>
      </w:r>
      <w:r w:rsidR="00D70258" w:rsidRPr="009058A3">
        <w:rPr>
          <w:rFonts w:ascii="Google Sans Text" w:eastAsia="Google Sans" w:hAnsi="Google Sans Text" w:cs="Google Sans"/>
          <w:b w:val="0"/>
          <w:bCs/>
          <w:color w:val="1B1C1D"/>
          <w:sz w:val="24"/>
          <w:szCs w:val="24"/>
        </w:rPr>
        <w:t xml:space="preserve"> base) | IC</w:t>
      </w:r>
      <w:r w:rsidR="00D70258" w:rsidRPr="009058A3">
        <w:rPr>
          <w:rFonts w:eastAsia="Google Sans"/>
          <w:b w:val="0"/>
          <w:bCs/>
          <w:color w:val="1B1C1D"/>
          <w:sz w:val="24"/>
          <w:szCs w:val="24"/>
        </w:rPr>
        <w:t> </w:t>
      </w:r>
      <w:r w:rsidR="00D70258" w:rsidRPr="009058A3">
        <w:rPr>
          <w:rFonts w:ascii="Google Sans Text" w:eastAsia="Google Sans" w:hAnsi="Google Sans Text" w:cs="Google Sans"/>
          <w:b w:val="0"/>
          <w:bCs/>
          <w:color w:val="1B1C1D"/>
          <w:sz w:val="24"/>
          <w:szCs w:val="24"/>
        </w:rPr>
        <w:t>95</w:t>
      </w:r>
      <w:r w:rsidR="00D70258" w:rsidRPr="009058A3">
        <w:rPr>
          <w:rFonts w:eastAsia="Google Sans"/>
          <w:b w:val="0"/>
          <w:bCs/>
          <w:color w:val="1B1C1D"/>
          <w:sz w:val="24"/>
          <w:szCs w:val="24"/>
        </w:rPr>
        <w:t> </w:t>
      </w:r>
      <w:r w:rsidR="00D70258" w:rsidRPr="009058A3">
        <w:rPr>
          <w:rFonts w:ascii="Google Sans Text" w:eastAsia="Google Sans" w:hAnsi="Google Sans Text" w:cs="Google Sans"/>
          <w:b w:val="0"/>
          <w:bCs/>
          <w:color w:val="1B1C1D"/>
          <w:sz w:val="24"/>
          <w:szCs w:val="24"/>
        </w:rPr>
        <w:t>% | M</w:t>
      </w:r>
      <w:r w:rsidR="00D70258" w:rsidRPr="009058A3">
        <w:rPr>
          <w:rFonts w:ascii="Google Sans Text" w:eastAsia="Google Sans" w:hAnsi="Google Sans Text" w:cs="___WRD_EMBED_SUB_46"/>
          <w:b w:val="0"/>
          <w:bCs/>
          <w:color w:val="1B1C1D"/>
          <w:sz w:val="24"/>
          <w:szCs w:val="24"/>
        </w:rPr>
        <w:t>é</w:t>
      </w:r>
      <w:r w:rsidR="00D70258" w:rsidRPr="009058A3">
        <w:rPr>
          <w:rFonts w:ascii="Google Sans Text" w:eastAsia="Google Sans" w:hAnsi="Google Sans Text" w:cs="Google Sans"/>
          <w:b w:val="0"/>
          <w:bCs/>
          <w:color w:val="1B1C1D"/>
          <w:sz w:val="24"/>
          <w:szCs w:val="24"/>
        </w:rPr>
        <w:t xml:space="preserve">moire (GB) | </w:t>
      </w:r>
      <w:r w:rsidR="00D70258" w:rsidRPr="009058A3">
        <w:rPr>
          <w:rFonts w:ascii="Google Sans Text" w:eastAsia="Google Sans" w:hAnsi="Google Sans Text" w:cs="___WRD_EMBED_SUB_46"/>
          <w:b w:val="0"/>
          <w:bCs/>
          <w:color w:val="1B1C1D"/>
          <w:sz w:val="24"/>
          <w:szCs w:val="24"/>
        </w:rPr>
        <w:t>É</w:t>
      </w:r>
      <w:r w:rsidR="00D70258" w:rsidRPr="009058A3">
        <w:rPr>
          <w:rFonts w:ascii="Google Sans Text" w:eastAsia="Google Sans" w:hAnsi="Google Sans Text" w:cs="Google Sans"/>
          <w:b w:val="0"/>
          <w:bCs/>
          <w:color w:val="1B1C1D"/>
          <w:sz w:val="24"/>
          <w:szCs w:val="24"/>
        </w:rPr>
        <w:t xml:space="preserve">nergie (proxy, </w:t>
      </w:r>
      <w:r w:rsidR="00D70258" w:rsidRPr="009058A3">
        <w:rPr>
          <w:rFonts w:ascii="Google Sans Text" w:eastAsia="Google Sans" w:hAnsi="Google Sans Text" w:cs="___WRD_EMBED_SUB_46"/>
          <w:b w:val="0"/>
          <w:bCs/>
          <w:color w:val="1B1C1D"/>
          <w:sz w:val="24"/>
          <w:szCs w:val="24"/>
        </w:rPr>
        <w:t>Δ</w:t>
      </w:r>
      <w:r w:rsidR="00D70258" w:rsidRPr="009058A3">
        <w:rPr>
          <w:rFonts w:ascii="Google Sans Text" w:eastAsia="Google Sans" w:hAnsi="Google Sans Text" w:cs="Google Sans"/>
          <w:b w:val="0"/>
          <w:bCs/>
          <w:color w:val="1B1C1D"/>
          <w:sz w:val="24"/>
          <w:szCs w:val="24"/>
        </w:rPr>
        <w:t>%)</w:t>
      </w:r>
    </w:p>
    <w:tbl>
      <w:tblPr>
        <w:tblStyle w:val="Grilledutableau"/>
        <w:tblW w:w="0" w:type="auto"/>
        <w:tblLook w:val="04A0" w:firstRow="1" w:lastRow="0" w:firstColumn="1" w:lastColumn="0" w:noHBand="0" w:noVBand="1"/>
      </w:tblPr>
      <w:tblGrid>
        <w:gridCol w:w="1478"/>
        <w:gridCol w:w="1309"/>
        <w:gridCol w:w="1315"/>
        <w:gridCol w:w="1310"/>
        <w:gridCol w:w="1315"/>
        <w:gridCol w:w="1315"/>
        <w:gridCol w:w="1308"/>
      </w:tblGrid>
      <w:tr w:rsidR="00B6649A" w:rsidRPr="009058A3" w14:paraId="3A674E2F" w14:textId="77777777">
        <w:tc>
          <w:tcPr>
            <w:tcW w:w="1335" w:type="dxa"/>
          </w:tcPr>
          <w:p w14:paraId="4770002B"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 xml:space="preserve">Latence (baseline </w:t>
            </w:r>
            <w:r w:rsidRPr="009058A3">
              <w:rPr>
                <w:rFonts w:ascii="Google Sans Text" w:eastAsia="Google Sans" w:hAnsi="Google Sans Text" w:cs="Google Sans"/>
                <w:b w:val="0"/>
                <w:bCs/>
                <w:color w:val="1B1C1D"/>
                <w:sz w:val="24"/>
                <w:szCs w:val="24"/>
              </w:rPr>
              <w:lastRenderedPageBreak/>
              <w:t>L2‑70B=1×)</w:t>
            </w:r>
          </w:p>
        </w:tc>
        <w:tc>
          <w:tcPr>
            <w:tcW w:w="1335" w:type="dxa"/>
          </w:tcPr>
          <w:p w14:paraId="2EC34F0F"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1.15×</w:t>
            </w:r>
          </w:p>
        </w:tc>
        <w:tc>
          <w:tcPr>
            <w:tcW w:w="1336" w:type="dxa"/>
          </w:tcPr>
          <w:p w14:paraId="15BCB956"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[1.13–1.17]</w:t>
            </w:r>
          </w:p>
        </w:tc>
        <w:tc>
          <w:tcPr>
            <w:tcW w:w="1336" w:type="dxa"/>
          </w:tcPr>
          <w:p w14:paraId="041EC547"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1.21×</w:t>
            </w:r>
          </w:p>
        </w:tc>
        <w:tc>
          <w:tcPr>
            <w:tcW w:w="1336" w:type="dxa"/>
          </w:tcPr>
          <w:p w14:paraId="2B82EEA4"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[1.19–1.23]</w:t>
            </w:r>
          </w:p>
        </w:tc>
        <w:tc>
          <w:tcPr>
            <w:tcW w:w="1336" w:type="dxa"/>
          </w:tcPr>
          <w:p w14:paraId="5909C5BF"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66F404C1"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r>
      <w:tr w:rsidR="00B6649A" w:rsidRPr="009058A3" w14:paraId="25AD542A" w14:textId="77777777">
        <w:tc>
          <w:tcPr>
            <w:tcW w:w="1335" w:type="dxa"/>
          </w:tcPr>
          <w:p w14:paraId="282F3465"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Mémoire (résident)</w:t>
            </w:r>
          </w:p>
        </w:tc>
        <w:tc>
          <w:tcPr>
            <w:tcW w:w="1335" w:type="dxa"/>
          </w:tcPr>
          <w:p w14:paraId="35F9DFEF"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4E10941D"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6D0EF087"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712E5CA2"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1AA49AC8"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80.4 (+2.4)</w:t>
            </w:r>
          </w:p>
        </w:tc>
        <w:tc>
          <w:tcPr>
            <w:tcW w:w="1336" w:type="dxa"/>
          </w:tcPr>
          <w:p w14:paraId="37D29BBC"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r>
      <w:tr w:rsidR="00B6649A" w:rsidRPr="009058A3" w14:paraId="7FF7036E" w14:textId="77777777">
        <w:tc>
          <w:tcPr>
            <w:tcW w:w="1335" w:type="dxa"/>
          </w:tcPr>
          <w:p w14:paraId="05829312"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Énergie (proxy)</w:t>
            </w:r>
          </w:p>
        </w:tc>
        <w:tc>
          <w:tcPr>
            <w:tcW w:w="1335" w:type="dxa"/>
          </w:tcPr>
          <w:p w14:paraId="7D50DBC6"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220C2AA6"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47CCF58D"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1CF4F47F"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7C54708B"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w:t>
            </w:r>
          </w:p>
        </w:tc>
        <w:tc>
          <w:tcPr>
            <w:tcW w:w="1336" w:type="dxa"/>
          </w:tcPr>
          <w:p w14:paraId="4E6E7E7B" w14:textId="77777777" w:rsidR="00B6649A" w:rsidRPr="009058A3" w:rsidRDefault="00B6649A" w:rsidP="00AE5832">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+9%</w:t>
            </w:r>
          </w:p>
        </w:tc>
      </w:tr>
    </w:tbl>
    <w:p w14:paraId="3BDC3F71" w14:textId="04CB8B7E" w:rsidR="00B44D8E" w:rsidRPr="009058A3" w:rsidRDefault="00DC793D" w:rsidP="00B44D8E">
      <w:pPr>
        <w:pStyle w:val="Titre3"/>
        <w:spacing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br/>
      </w:r>
      <w:r w:rsidRPr="009058A3">
        <w:rPr>
          <w:rFonts w:ascii="Google Sans Text" w:eastAsia="Google Sans" w:hAnsi="Google Sans Text" w:cs="Google Sans"/>
          <w:b w:val="0"/>
          <w:bCs/>
          <w:color w:val="1B1C1D"/>
          <w:sz w:val="24"/>
          <w:szCs w:val="24"/>
        </w:rPr>
        <w:t>Table 5b</w:t>
      </w:r>
      <w:r w:rsidRPr="009058A3">
        <w:rPr>
          <w:rFonts w:ascii="Google Sans Text" w:eastAsia="Google Sans" w:hAnsi="Google Sans Text" w:cs="Google Sans"/>
          <w:b w:val="0"/>
          <w:bCs/>
          <w:color w:val="1B1C1D"/>
          <w:sz w:val="24"/>
          <w:szCs w:val="24"/>
        </w:rPr>
        <w:noBreakHyphen/>
        <w:t>5 — Ablations / Alternatives simples</w:t>
      </w:r>
      <w:r w:rsidRPr="009058A3">
        <w:rPr>
          <w:rFonts w:ascii="Google Sans Text" w:eastAsia="Google Sans" w:hAnsi="Google Sans Text" w:cs="Google Sans"/>
          <w:color w:val="1B1C1D"/>
          <w:sz w:val="24"/>
          <w:szCs w:val="24"/>
        </w:rPr>
        <w:br/>
      </w:r>
      <w:r w:rsidR="00C10725" w:rsidRPr="009058A3">
        <w:rPr>
          <w:rFonts w:ascii="Google Sans Text" w:eastAsia="Google Sans" w:hAnsi="Google Sans Text" w:cs="Google Sans"/>
          <w:b w:val="0"/>
          <w:bCs/>
          <w:i/>
          <w:iCs/>
          <w:color w:val="1B1C1D"/>
          <w:sz w:val="24"/>
          <w:szCs w:val="24"/>
        </w:rPr>
        <w:t>Colonnes (9)</w:t>
      </w:r>
      <w:r w:rsidR="00C10725" w:rsidRPr="009058A3">
        <w:rPr>
          <w:rFonts w:eastAsia="Google Sans"/>
          <w:b w:val="0"/>
          <w:bCs/>
          <w:color w:val="1B1C1D"/>
          <w:sz w:val="24"/>
          <w:szCs w:val="24"/>
        </w:rPr>
        <w:t> </w:t>
      </w:r>
      <w:r w:rsidR="00C10725" w:rsidRPr="009058A3">
        <w:rPr>
          <w:rFonts w:ascii="Google Sans Text" w:eastAsia="Google Sans" w:hAnsi="Google Sans Text" w:cs="Google Sans"/>
          <w:b w:val="0"/>
          <w:bCs/>
          <w:color w:val="1B1C1D"/>
          <w:sz w:val="24"/>
          <w:szCs w:val="24"/>
        </w:rPr>
        <w:t>: Variante | TQA</w:t>
      </w:r>
      <w:r w:rsidR="00C10725" w:rsidRPr="009058A3">
        <w:rPr>
          <w:rFonts w:ascii="Google Sans Text" w:eastAsia="Google Sans" w:hAnsi="Google Sans Text" w:cs="Google Sans"/>
          <w:b w:val="0"/>
          <w:bCs/>
          <w:color w:val="1B1C1D"/>
          <w:sz w:val="24"/>
          <w:szCs w:val="24"/>
        </w:rPr>
        <w:noBreakHyphen/>
        <w:t>EN Halluc. (↓) | IC</w:t>
      </w:r>
      <w:r w:rsidR="00C10725" w:rsidRPr="009058A3">
        <w:rPr>
          <w:rFonts w:eastAsia="Google Sans"/>
          <w:b w:val="0"/>
          <w:bCs/>
          <w:color w:val="1B1C1D"/>
          <w:sz w:val="24"/>
          <w:szCs w:val="24"/>
        </w:rPr>
        <w:t> </w:t>
      </w:r>
      <w:r w:rsidR="00C10725" w:rsidRPr="009058A3">
        <w:rPr>
          <w:rFonts w:ascii="Google Sans Text" w:eastAsia="Google Sans" w:hAnsi="Google Sans Text" w:cs="Google Sans"/>
          <w:b w:val="0"/>
          <w:bCs/>
          <w:color w:val="1B1C1D"/>
          <w:sz w:val="24"/>
          <w:szCs w:val="24"/>
        </w:rPr>
        <w:t>95</w:t>
      </w:r>
      <w:r w:rsidR="00C10725" w:rsidRPr="009058A3">
        <w:rPr>
          <w:rFonts w:eastAsia="Google Sans"/>
          <w:b w:val="0"/>
          <w:bCs/>
          <w:color w:val="1B1C1D"/>
          <w:sz w:val="24"/>
          <w:szCs w:val="24"/>
        </w:rPr>
        <w:t> </w:t>
      </w:r>
      <w:r w:rsidR="00C10725" w:rsidRPr="009058A3">
        <w:rPr>
          <w:rFonts w:ascii="Google Sans Text" w:eastAsia="Google Sans" w:hAnsi="Google Sans Text" w:cs="Google Sans"/>
          <w:b w:val="0"/>
          <w:bCs/>
          <w:color w:val="1B1C1D"/>
          <w:sz w:val="24"/>
          <w:szCs w:val="24"/>
        </w:rPr>
        <w:t>% | HaluEval Pr</w:t>
      </w:r>
      <w:r w:rsidR="00C10725" w:rsidRPr="009058A3">
        <w:rPr>
          <w:rFonts w:ascii="Google Sans Text" w:eastAsia="Google Sans" w:hAnsi="Google Sans Text" w:cs="___WRD_EMBED_SUB_46"/>
          <w:b w:val="0"/>
          <w:bCs/>
          <w:color w:val="1B1C1D"/>
          <w:sz w:val="24"/>
          <w:szCs w:val="24"/>
        </w:rPr>
        <w:t>é</w:t>
      </w:r>
      <w:r w:rsidR="00C10725" w:rsidRPr="009058A3">
        <w:rPr>
          <w:rFonts w:ascii="Google Sans Text" w:eastAsia="Google Sans" w:hAnsi="Google Sans Text" w:cs="Google Sans"/>
          <w:b w:val="0"/>
          <w:bCs/>
          <w:color w:val="1B1C1D"/>
          <w:sz w:val="24"/>
          <w:szCs w:val="24"/>
        </w:rPr>
        <w:t>c. (</w:t>
      </w:r>
      <w:r w:rsidR="00C10725" w:rsidRPr="009058A3">
        <w:rPr>
          <w:rFonts w:ascii="Google Sans Text" w:eastAsia="Google Sans" w:hAnsi="Google Sans Text" w:cs="___WRD_EMBED_SUB_46"/>
          <w:b w:val="0"/>
          <w:bCs/>
          <w:color w:val="1B1C1D"/>
          <w:sz w:val="24"/>
          <w:szCs w:val="24"/>
        </w:rPr>
        <w:t>↑</w:t>
      </w:r>
      <w:r w:rsidR="00C10725" w:rsidRPr="009058A3">
        <w:rPr>
          <w:rFonts w:ascii="Google Sans Text" w:eastAsia="Google Sans" w:hAnsi="Google Sans Text" w:cs="Google Sans"/>
          <w:b w:val="0"/>
          <w:bCs/>
          <w:color w:val="1B1C1D"/>
          <w:sz w:val="24"/>
          <w:szCs w:val="24"/>
        </w:rPr>
        <w:t>) | IC</w:t>
      </w:r>
      <w:r w:rsidR="00C10725" w:rsidRPr="009058A3">
        <w:rPr>
          <w:rFonts w:eastAsia="Google Sans"/>
          <w:b w:val="0"/>
          <w:bCs/>
          <w:color w:val="1B1C1D"/>
          <w:sz w:val="24"/>
          <w:szCs w:val="24"/>
        </w:rPr>
        <w:t> </w:t>
      </w:r>
      <w:r w:rsidR="00C10725" w:rsidRPr="009058A3">
        <w:rPr>
          <w:rFonts w:ascii="Google Sans Text" w:eastAsia="Google Sans" w:hAnsi="Google Sans Text" w:cs="Google Sans"/>
          <w:b w:val="0"/>
          <w:bCs/>
          <w:color w:val="1B1C1D"/>
          <w:sz w:val="24"/>
          <w:szCs w:val="24"/>
        </w:rPr>
        <w:t>95</w:t>
      </w:r>
      <w:r w:rsidR="00C10725" w:rsidRPr="009058A3">
        <w:rPr>
          <w:rFonts w:eastAsia="Google Sans"/>
          <w:b w:val="0"/>
          <w:bCs/>
          <w:color w:val="1B1C1D"/>
          <w:sz w:val="24"/>
          <w:szCs w:val="24"/>
        </w:rPr>
        <w:t> </w:t>
      </w:r>
      <w:r w:rsidR="00C10725" w:rsidRPr="009058A3">
        <w:rPr>
          <w:rFonts w:ascii="Google Sans Text" w:eastAsia="Google Sans" w:hAnsi="Google Sans Text" w:cs="Google Sans"/>
          <w:b w:val="0"/>
          <w:bCs/>
          <w:color w:val="1B1C1D"/>
          <w:sz w:val="24"/>
          <w:szCs w:val="24"/>
        </w:rPr>
        <w:t>% | Refus appropri</w:t>
      </w:r>
      <w:r w:rsidR="00C10725" w:rsidRPr="009058A3">
        <w:rPr>
          <w:rFonts w:ascii="Google Sans Text" w:eastAsia="Google Sans" w:hAnsi="Google Sans Text" w:cs="___WRD_EMBED_SUB_46"/>
          <w:b w:val="0"/>
          <w:bCs/>
          <w:color w:val="1B1C1D"/>
          <w:sz w:val="24"/>
          <w:szCs w:val="24"/>
        </w:rPr>
        <w:t>é</w:t>
      </w:r>
      <w:r w:rsidR="00C10725" w:rsidRPr="009058A3">
        <w:rPr>
          <w:rFonts w:ascii="Google Sans Text" w:eastAsia="Google Sans" w:hAnsi="Google Sans Text" w:cs="Google Sans"/>
          <w:b w:val="0"/>
          <w:bCs/>
          <w:color w:val="1B1C1D"/>
          <w:sz w:val="24"/>
          <w:szCs w:val="24"/>
        </w:rPr>
        <w:t>s (</w:t>
      </w:r>
      <w:r w:rsidR="00C10725" w:rsidRPr="009058A3">
        <w:rPr>
          <w:rFonts w:ascii="Google Sans Text" w:eastAsia="Google Sans" w:hAnsi="Google Sans Text" w:cs="___WRD_EMBED_SUB_46"/>
          <w:b w:val="0"/>
          <w:bCs/>
          <w:color w:val="1B1C1D"/>
          <w:sz w:val="24"/>
          <w:szCs w:val="24"/>
        </w:rPr>
        <w:t>↑</w:t>
      </w:r>
      <w:r w:rsidR="00C10725" w:rsidRPr="009058A3">
        <w:rPr>
          <w:rFonts w:ascii="Google Sans Text" w:eastAsia="Google Sans" w:hAnsi="Google Sans Text" w:cs="Google Sans"/>
          <w:b w:val="0"/>
          <w:bCs/>
          <w:color w:val="1B1C1D"/>
          <w:sz w:val="24"/>
          <w:szCs w:val="24"/>
        </w:rPr>
        <w:t>) | Latence p50 (</w:t>
      </w:r>
      <w:r w:rsidR="00C10725" w:rsidRPr="009058A3">
        <w:rPr>
          <w:rFonts w:ascii="Google Sans Text" w:eastAsia="Google Sans" w:hAnsi="Google Sans Text" w:cs="___WRD_EMBED_SUB_46"/>
          <w:b w:val="0"/>
          <w:bCs/>
          <w:color w:val="1B1C1D"/>
          <w:sz w:val="24"/>
          <w:szCs w:val="24"/>
        </w:rPr>
        <w:t>×</w:t>
      </w:r>
      <w:r w:rsidR="00C10725" w:rsidRPr="009058A3">
        <w:rPr>
          <w:rFonts w:ascii="Google Sans Text" w:eastAsia="Google Sans" w:hAnsi="Google Sans Text" w:cs="Google Sans"/>
          <w:b w:val="0"/>
          <w:bCs/>
          <w:color w:val="1B1C1D"/>
          <w:sz w:val="24"/>
          <w:szCs w:val="24"/>
        </w:rPr>
        <w:t xml:space="preserve">) | </w:t>
      </w:r>
      <w:r w:rsidR="00C10725" w:rsidRPr="009058A3">
        <w:rPr>
          <w:rFonts w:ascii="Google Sans Text" w:eastAsia="Google Sans" w:hAnsi="Google Sans Text" w:cs="___WRD_EMBED_SUB_46"/>
          <w:b w:val="0"/>
          <w:bCs/>
          <w:color w:val="1B1C1D"/>
          <w:sz w:val="24"/>
          <w:szCs w:val="24"/>
        </w:rPr>
        <w:t>Δ</w:t>
      </w:r>
      <w:r w:rsidR="00C10725" w:rsidRPr="009058A3">
        <w:rPr>
          <w:rFonts w:ascii="Google Sans Text" w:eastAsia="Google Sans" w:hAnsi="Google Sans Text" w:cs="Google Sans"/>
          <w:b w:val="0"/>
          <w:bCs/>
          <w:color w:val="1B1C1D"/>
          <w:sz w:val="24"/>
          <w:szCs w:val="24"/>
        </w:rPr>
        <w:t xml:space="preserve"> m</w:t>
      </w:r>
      <w:r w:rsidR="00C10725" w:rsidRPr="009058A3">
        <w:rPr>
          <w:rFonts w:ascii="Google Sans Text" w:eastAsia="Google Sans" w:hAnsi="Google Sans Text" w:cs="___WRD_EMBED_SUB_46"/>
          <w:b w:val="0"/>
          <w:bCs/>
          <w:color w:val="1B1C1D"/>
          <w:sz w:val="24"/>
          <w:szCs w:val="24"/>
        </w:rPr>
        <w:t>é</w:t>
      </w:r>
      <w:r w:rsidR="00C10725" w:rsidRPr="009058A3">
        <w:rPr>
          <w:rFonts w:ascii="Google Sans Text" w:eastAsia="Google Sans" w:hAnsi="Google Sans Text" w:cs="Google Sans"/>
          <w:b w:val="0"/>
          <w:bCs/>
          <w:color w:val="1B1C1D"/>
          <w:sz w:val="24"/>
          <w:szCs w:val="24"/>
        </w:rPr>
        <w:t>moire (GB) | Remarque</w:t>
      </w:r>
    </w:p>
    <w:tbl>
      <w:tblPr>
        <w:tblStyle w:val="Grilledutableau"/>
        <w:tblW w:w="0" w:type="auto"/>
        <w:tblLook w:val="04A0" w:firstRow="1" w:lastRow="0" w:firstColumn="1" w:lastColumn="0" w:noHBand="0" w:noVBand="1"/>
      </w:tblPr>
      <w:tblGrid>
        <w:gridCol w:w="2015"/>
        <w:gridCol w:w="873"/>
        <w:gridCol w:w="947"/>
        <w:gridCol w:w="902"/>
        <w:gridCol w:w="988"/>
        <w:gridCol w:w="684"/>
        <w:gridCol w:w="825"/>
        <w:gridCol w:w="729"/>
        <w:gridCol w:w="1387"/>
      </w:tblGrid>
      <w:tr w:rsidR="00CF70C6" w:rsidRPr="009058A3" w14:paraId="2A09185A" w14:textId="77777777">
        <w:tc>
          <w:tcPr>
            <w:tcW w:w="1038" w:type="dxa"/>
          </w:tcPr>
          <w:p w14:paraId="1BBB0F3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–DAP</w:t>
            </w:r>
          </w:p>
        </w:tc>
        <w:tc>
          <w:tcPr>
            <w:tcW w:w="1039" w:type="dxa"/>
          </w:tcPr>
          <w:p w14:paraId="72441B8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9.8%</w:t>
            </w:r>
          </w:p>
        </w:tc>
        <w:tc>
          <w:tcPr>
            <w:tcW w:w="1039" w:type="dxa"/>
          </w:tcPr>
          <w:p w14:paraId="39E0123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[7.8–11.8]%</w:t>
            </w:r>
          </w:p>
        </w:tc>
        <w:tc>
          <w:tcPr>
            <w:tcW w:w="1039" w:type="dxa"/>
          </w:tcPr>
          <w:p w14:paraId="642850B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86.2%</w:t>
            </w:r>
          </w:p>
        </w:tc>
        <w:tc>
          <w:tcPr>
            <w:tcW w:w="1039" w:type="dxa"/>
          </w:tcPr>
          <w:p w14:paraId="79ACD91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[84.0–88.4]%</w:t>
            </w:r>
          </w:p>
        </w:tc>
        <w:tc>
          <w:tcPr>
            <w:tcW w:w="1039" w:type="dxa"/>
          </w:tcPr>
          <w:p w14:paraId="77121190"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41%</w:t>
            </w:r>
          </w:p>
        </w:tc>
        <w:tc>
          <w:tcPr>
            <w:tcW w:w="1039" w:type="dxa"/>
          </w:tcPr>
          <w:p w14:paraId="0B38AE09"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1.09×</w:t>
            </w:r>
          </w:p>
        </w:tc>
        <w:tc>
          <w:tcPr>
            <w:tcW w:w="1039" w:type="dxa"/>
          </w:tcPr>
          <w:p w14:paraId="1879585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+1.2</w:t>
            </w:r>
          </w:p>
        </w:tc>
        <w:tc>
          <w:tcPr>
            <w:tcW w:w="1039" w:type="dxa"/>
          </w:tcPr>
          <w:p w14:paraId="023E45D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Perte stabilité locale</w:t>
            </w:r>
          </w:p>
        </w:tc>
      </w:tr>
      <w:tr w:rsidR="00CF70C6" w:rsidRPr="009058A3" w14:paraId="567C9E54" w14:textId="77777777">
        <w:tc>
          <w:tcPr>
            <w:tcW w:w="1038" w:type="dxa"/>
          </w:tcPr>
          <w:p w14:paraId="39F7FBB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–Repli</w:t>
            </w:r>
          </w:p>
        </w:tc>
        <w:tc>
          <w:tcPr>
            <w:tcW w:w="1039" w:type="dxa"/>
          </w:tcPr>
          <w:p w14:paraId="798106E7"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6.8%</w:t>
            </w:r>
          </w:p>
        </w:tc>
        <w:tc>
          <w:tcPr>
            <w:tcW w:w="1039" w:type="dxa"/>
          </w:tcPr>
          <w:p w14:paraId="65F2C12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[5.1–8.5]%</w:t>
            </w:r>
          </w:p>
        </w:tc>
        <w:tc>
          <w:tcPr>
            <w:tcW w:w="1039" w:type="dxa"/>
          </w:tcPr>
          <w:p w14:paraId="2CE9E5E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87.4%</w:t>
            </w:r>
          </w:p>
        </w:tc>
        <w:tc>
          <w:tcPr>
            <w:tcW w:w="1039" w:type="dxa"/>
          </w:tcPr>
          <w:p w14:paraId="2425300D"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[85.3–89.5]%</w:t>
            </w:r>
          </w:p>
        </w:tc>
        <w:tc>
          <w:tcPr>
            <w:tcW w:w="1039" w:type="dxa"/>
          </w:tcPr>
          <w:p w14:paraId="41B11C7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12%</w:t>
            </w:r>
          </w:p>
        </w:tc>
        <w:tc>
          <w:tcPr>
            <w:tcW w:w="1039" w:type="dxa"/>
          </w:tcPr>
          <w:p w14:paraId="429EE956"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1.10×</w:t>
            </w:r>
          </w:p>
        </w:tc>
        <w:tc>
          <w:tcPr>
            <w:tcW w:w="1039" w:type="dxa"/>
          </w:tcPr>
          <w:p w14:paraId="656A60B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+0.8</w:t>
            </w:r>
          </w:p>
        </w:tc>
        <w:tc>
          <w:tcPr>
            <w:tcW w:w="1039" w:type="dxa"/>
          </w:tcPr>
          <w:p w14:paraId="3D0DD3A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Abstention désactivée</w:t>
            </w:r>
          </w:p>
        </w:tc>
      </w:tr>
      <w:tr w:rsidR="00CF70C6" w:rsidRPr="009058A3" w14:paraId="58BE4A31" w14:textId="77777777">
        <w:tc>
          <w:tcPr>
            <w:tcW w:w="1038" w:type="dxa"/>
          </w:tcPr>
          <w:p w14:paraId="05D2EA5D"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–PIQ</w:t>
            </w:r>
          </w:p>
        </w:tc>
        <w:tc>
          <w:tcPr>
            <w:tcW w:w="1039" w:type="dxa"/>
          </w:tcPr>
          <w:p w14:paraId="0775B03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11.7%</w:t>
            </w:r>
          </w:p>
        </w:tc>
        <w:tc>
          <w:tcPr>
            <w:tcW w:w="1039" w:type="dxa"/>
          </w:tcPr>
          <w:p w14:paraId="48F57A2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[9.5–13.9]%</w:t>
            </w:r>
          </w:p>
        </w:tc>
        <w:tc>
          <w:tcPr>
            <w:tcW w:w="1039" w:type="dxa"/>
          </w:tcPr>
          <w:p w14:paraId="0C5B298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85.4%</w:t>
            </w:r>
          </w:p>
        </w:tc>
        <w:tc>
          <w:tcPr>
            <w:tcW w:w="1039" w:type="dxa"/>
          </w:tcPr>
          <w:p w14:paraId="20548B8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[83.1–87.7]%</w:t>
            </w:r>
          </w:p>
        </w:tc>
        <w:tc>
          <w:tcPr>
            <w:tcW w:w="1039" w:type="dxa"/>
          </w:tcPr>
          <w:p w14:paraId="6679034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37%</w:t>
            </w:r>
          </w:p>
        </w:tc>
        <w:tc>
          <w:tcPr>
            <w:tcW w:w="1039" w:type="dxa"/>
          </w:tcPr>
          <w:p w14:paraId="4B7F505F"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1.15×</w:t>
            </w:r>
          </w:p>
        </w:tc>
        <w:tc>
          <w:tcPr>
            <w:tcW w:w="1039" w:type="dxa"/>
          </w:tcPr>
          <w:p w14:paraId="6E3B3256"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+0.0</w:t>
            </w:r>
          </w:p>
        </w:tc>
        <w:tc>
          <w:tcPr>
            <w:tcW w:w="1039" w:type="dxa"/>
          </w:tcPr>
          <w:p w14:paraId="700707A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Courbure non garantie</w:t>
            </w:r>
          </w:p>
        </w:tc>
      </w:tr>
      <w:tr w:rsidR="00CF70C6" w:rsidRPr="009058A3" w14:paraId="0E89E3E3" w14:textId="77777777">
        <w:tc>
          <w:tcPr>
            <w:tcW w:w="1038" w:type="dxa"/>
          </w:tcPr>
          <w:p w14:paraId="17312B9F"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–EIU</w:t>
            </w:r>
          </w:p>
        </w:tc>
        <w:tc>
          <w:tcPr>
            <w:tcW w:w="1039" w:type="dxa"/>
          </w:tcPr>
          <w:p w14:paraId="546322DD"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5.8%</w:t>
            </w:r>
          </w:p>
        </w:tc>
        <w:tc>
          <w:tcPr>
            <w:tcW w:w="1039" w:type="dxa"/>
          </w:tcPr>
          <w:p w14:paraId="7A3D69A6"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[4.2–7.4]%</w:t>
            </w:r>
          </w:p>
        </w:tc>
        <w:tc>
          <w:tcPr>
            <w:tcW w:w="1039" w:type="dxa"/>
          </w:tcPr>
          <w:p w14:paraId="210AFEB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87.1%</w:t>
            </w:r>
          </w:p>
        </w:tc>
        <w:tc>
          <w:tcPr>
            <w:tcW w:w="1039" w:type="dxa"/>
          </w:tcPr>
          <w:p w14:paraId="3DD989A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[85.0–89.2]%</w:t>
            </w:r>
          </w:p>
        </w:tc>
        <w:tc>
          <w:tcPr>
            <w:tcW w:w="1039" w:type="dxa"/>
          </w:tcPr>
          <w:p w14:paraId="5D8335E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76%</w:t>
            </w:r>
          </w:p>
        </w:tc>
        <w:tc>
          <w:tcPr>
            <w:tcW w:w="1039" w:type="dxa"/>
          </w:tcPr>
          <w:p w14:paraId="0DB764B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1.12×</w:t>
            </w:r>
          </w:p>
        </w:tc>
        <w:tc>
          <w:tcPr>
            <w:tcW w:w="1039" w:type="dxa"/>
          </w:tcPr>
          <w:p w14:paraId="4F9E8D40"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+0.0</w:t>
            </w:r>
          </w:p>
        </w:tc>
        <w:tc>
          <w:tcPr>
            <w:tcW w:w="1039" w:type="dxa"/>
          </w:tcPr>
          <w:p w14:paraId="109DBDE0"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Tdyn figé (τ fixe)</w:t>
            </w:r>
          </w:p>
        </w:tc>
      </w:tr>
      <w:tr w:rsidR="00CF70C6" w:rsidRPr="009058A3" w14:paraId="0CC7089F" w14:textId="77777777">
        <w:tc>
          <w:tcPr>
            <w:tcW w:w="1038" w:type="dxa"/>
          </w:tcPr>
          <w:p w14:paraId="5AF8471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–GTV</w:t>
            </w:r>
          </w:p>
        </w:tc>
        <w:tc>
          <w:tcPr>
            <w:tcW w:w="1039" w:type="dxa"/>
          </w:tcPr>
          <w:p w14:paraId="01CB3B9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10.2%</w:t>
            </w:r>
          </w:p>
        </w:tc>
        <w:tc>
          <w:tcPr>
            <w:tcW w:w="1039" w:type="dxa"/>
          </w:tcPr>
          <w:p w14:paraId="6CB985E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[8.1–12.3]%</w:t>
            </w:r>
          </w:p>
        </w:tc>
        <w:tc>
          <w:tcPr>
            <w:tcW w:w="1039" w:type="dxa"/>
          </w:tcPr>
          <w:p w14:paraId="24524F9A"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86.0%</w:t>
            </w:r>
          </w:p>
        </w:tc>
        <w:tc>
          <w:tcPr>
            <w:tcW w:w="1039" w:type="dxa"/>
          </w:tcPr>
          <w:p w14:paraId="04C4945A"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[83.7–88.3]%</w:t>
            </w:r>
          </w:p>
        </w:tc>
        <w:tc>
          <w:tcPr>
            <w:tcW w:w="1039" w:type="dxa"/>
          </w:tcPr>
          <w:p w14:paraId="047BE62A"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39%</w:t>
            </w:r>
          </w:p>
        </w:tc>
        <w:tc>
          <w:tcPr>
            <w:tcW w:w="1039" w:type="dxa"/>
          </w:tcPr>
          <w:p w14:paraId="203985D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1.14×</w:t>
            </w:r>
          </w:p>
        </w:tc>
        <w:tc>
          <w:tcPr>
            <w:tcW w:w="1039" w:type="dxa"/>
          </w:tcPr>
          <w:p w14:paraId="59D065D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+0.0</w:t>
            </w:r>
          </w:p>
        </w:tc>
        <w:tc>
          <w:tcPr>
            <w:tcW w:w="1039" w:type="dxa"/>
          </w:tcPr>
          <w:p w14:paraId="2AE0CA8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Moins de régularité</w:t>
            </w:r>
          </w:p>
        </w:tc>
      </w:tr>
      <w:tr w:rsidR="00CF70C6" w:rsidRPr="009058A3" w14:paraId="7631D079" w14:textId="77777777">
        <w:tc>
          <w:tcPr>
            <w:tcW w:w="1038" w:type="dxa"/>
          </w:tcPr>
          <w:p w14:paraId="4AA2723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–QC‑Adam</w:t>
            </w:r>
          </w:p>
        </w:tc>
        <w:tc>
          <w:tcPr>
            <w:tcW w:w="1039" w:type="dxa"/>
          </w:tcPr>
          <w:p w14:paraId="550543A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11.9%</w:t>
            </w:r>
          </w:p>
        </w:tc>
        <w:tc>
          <w:tcPr>
            <w:tcW w:w="1039" w:type="dxa"/>
          </w:tcPr>
          <w:p w14:paraId="4601786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[9.7–14.1]%</w:t>
            </w:r>
          </w:p>
        </w:tc>
        <w:tc>
          <w:tcPr>
            <w:tcW w:w="1039" w:type="dxa"/>
          </w:tcPr>
          <w:p w14:paraId="417497E7"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85.8%</w:t>
            </w:r>
          </w:p>
        </w:tc>
        <w:tc>
          <w:tcPr>
            <w:tcW w:w="1039" w:type="dxa"/>
          </w:tcPr>
          <w:p w14:paraId="30F45142"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[83.5–88.1]%</w:t>
            </w:r>
          </w:p>
        </w:tc>
        <w:tc>
          <w:tcPr>
            <w:tcW w:w="1039" w:type="dxa"/>
          </w:tcPr>
          <w:p w14:paraId="27DE30BD"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35%</w:t>
            </w:r>
          </w:p>
        </w:tc>
        <w:tc>
          <w:tcPr>
            <w:tcW w:w="1039" w:type="dxa"/>
          </w:tcPr>
          <w:p w14:paraId="12007B62"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1.15×</w:t>
            </w:r>
          </w:p>
        </w:tc>
        <w:tc>
          <w:tcPr>
            <w:tcW w:w="1039" w:type="dxa"/>
          </w:tcPr>
          <w:p w14:paraId="378A2556"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+0.0</w:t>
            </w:r>
          </w:p>
        </w:tc>
        <w:tc>
          <w:tcPr>
            <w:tcW w:w="1039" w:type="dxa"/>
          </w:tcPr>
          <w:p w14:paraId="49C719B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Projection instable</w:t>
            </w:r>
          </w:p>
        </w:tc>
      </w:tr>
      <w:tr w:rsidR="00CF70C6" w:rsidRPr="009058A3" w14:paraId="1F6AE7D0" w14:textId="77777777">
        <w:tc>
          <w:tcPr>
            <w:tcW w:w="1038" w:type="dxa"/>
          </w:tcPr>
          <w:p w14:paraId="7017BA19"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Calibration+seui</w:t>
            </w:r>
            <w:r w:rsidRPr="009058A3">
              <w:rPr>
                <w:rFonts w:ascii="Google Sans Text" w:eastAsia="Google Sans" w:hAnsi="Google Sans Text" w:cs="Google Sans"/>
                <w:b w:val="0"/>
                <w:bCs/>
                <w:color w:val="1B1C1D"/>
                <w:sz w:val="24"/>
                <w:szCs w:val="24"/>
              </w:rPr>
              <w:lastRenderedPageBreak/>
              <w:t>l</w:t>
            </w:r>
          </w:p>
        </w:tc>
        <w:tc>
          <w:tcPr>
            <w:tcW w:w="1039" w:type="dxa"/>
          </w:tcPr>
          <w:p w14:paraId="594B52E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7.9%</w:t>
            </w:r>
          </w:p>
        </w:tc>
        <w:tc>
          <w:tcPr>
            <w:tcW w:w="1039" w:type="dxa"/>
          </w:tcPr>
          <w:p w14:paraId="39B96C6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[6.0–</w:t>
            </w:r>
            <w:r w:rsidRPr="009058A3">
              <w:rPr>
                <w:rFonts w:ascii="Google Sans Text" w:eastAsia="Google Sans" w:hAnsi="Google Sans Text" w:cs="Google Sans"/>
                <w:b w:val="0"/>
                <w:bCs/>
                <w:color w:val="1B1C1D"/>
                <w:sz w:val="24"/>
                <w:szCs w:val="24"/>
              </w:rPr>
              <w:lastRenderedPageBreak/>
              <w:t>9.8]%</w:t>
            </w:r>
          </w:p>
        </w:tc>
        <w:tc>
          <w:tcPr>
            <w:tcW w:w="1039" w:type="dxa"/>
          </w:tcPr>
          <w:p w14:paraId="19813DA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86.5%</w:t>
            </w:r>
          </w:p>
        </w:tc>
        <w:tc>
          <w:tcPr>
            <w:tcW w:w="1039" w:type="dxa"/>
          </w:tcPr>
          <w:p w14:paraId="0E272861"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[84.3–</w:t>
            </w:r>
            <w:r w:rsidRPr="009058A3">
              <w:rPr>
                <w:rFonts w:ascii="Google Sans Text" w:eastAsia="Google Sans" w:hAnsi="Google Sans Text" w:cs="Google Sans"/>
                <w:b w:val="0"/>
                <w:bCs/>
                <w:color w:val="1B1C1D"/>
                <w:sz w:val="24"/>
                <w:szCs w:val="24"/>
              </w:rPr>
              <w:lastRenderedPageBreak/>
              <w:t>88.7]%</w:t>
            </w:r>
          </w:p>
        </w:tc>
        <w:tc>
          <w:tcPr>
            <w:tcW w:w="1039" w:type="dxa"/>
          </w:tcPr>
          <w:p w14:paraId="0F44DC9F"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55</w:t>
            </w:r>
            <w:r w:rsidRPr="009058A3">
              <w:rPr>
                <w:rFonts w:ascii="Google Sans Text" w:eastAsia="Google Sans" w:hAnsi="Google Sans Text" w:cs="Google Sans"/>
                <w:b w:val="0"/>
                <w:bCs/>
                <w:color w:val="1B1C1D"/>
                <w:sz w:val="24"/>
                <w:szCs w:val="24"/>
              </w:rPr>
              <w:lastRenderedPageBreak/>
              <w:t>%</w:t>
            </w:r>
          </w:p>
        </w:tc>
        <w:tc>
          <w:tcPr>
            <w:tcW w:w="1039" w:type="dxa"/>
          </w:tcPr>
          <w:p w14:paraId="5FD068E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1.02×</w:t>
            </w:r>
          </w:p>
        </w:tc>
        <w:tc>
          <w:tcPr>
            <w:tcW w:w="1039" w:type="dxa"/>
          </w:tcPr>
          <w:p w14:paraId="59550EA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w:t>
            </w:r>
            <w:r w:rsidRPr="009058A3">
              <w:rPr>
                <w:rFonts w:ascii="Google Sans Text" w:eastAsia="Google Sans" w:hAnsi="Google Sans Text" w:cs="Google Sans"/>
                <w:b w:val="0"/>
                <w:bCs/>
                <w:color w:val="1B1C1D"/>
                <w:sz w:val="24"/>
                <w:szCs w:val="24"/>
              </w:rPr>
              <w:lastRenderedPageBreak/>
              <w:t>0</w:t>
            </w:r>
          </w:p>
        </w:tc>
        <w:tc>
          <w:tcPr>
            <w:tcW w:w="1039" w:type="dxa"/>
          </w:tcPr>
          <w:p w14:paraId="2F20FBDC"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Alternativ</w:t>
            </w:r>
            <w:r w:rsidRPr="009058A3">
              <w:rPr>
                <w:rFonts w:ascii="Google Sans Text" w:eastAsia="Google Sans" w:hAnsi="Google Sans Text" w:cs="Google Sans"/>
                <w:b w:val="0"/>
                <w:bCs/>
                <w:color w:val="1B1C1D"/>
                <w:sz w:val="24"/>
                <w:szCs w:val="24"/>
              </w:rPr>
              <w:lastRenderedPageBreak/>
              <w:t>e simple</w:t>
            </w:r>
          </w:p>
        </w:tc>
      </w:tr>
      <w:tr w:rsidR="00CF70C6" w:rsidRPr="009058A3" w14:paraId="34963B89" w14:textId="77777777">
        <w:tc>
          <w:tcPr>
            <w:tcW w:w="1038" w:type="dxa"/>
          </w:tcPr>
          <w:p w14:paraId="634BD59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lastRenderedPageBreak/>
              <w:t>Top‑p fixe</w:t>
            </w:r>
          </w:p>
        </w:tc>
        <w:tc>
          <w:tcPr>
            <w:tcW w:w="1039" w:type="dxa"/>
          </w:tcPr>
          <w:p w14:paraId="6F4D5F6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10.6%</w:t>
            </w:r>
          </w:p>
        </w:tc>
        <w:tc>
          <w:tcPr>
            <w:tcW w:w="1039" w:type="dxa"/>
          </w:tcPr>
          <w:p w14:paraId="065143E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[8.5–12.7]%</w:t>
            </w:r>
          </w:p>
        </w:tc>
        <w:tc>
          <w:tcPr>
            <w:tcW w:w="1039" w:type="dxa"/>
          </w:tcPr>
          <w:p w14:paraId="76A63D1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85.9%</w:t>
            </w:r>
          </w:p>
        </w:tc>
        <w:tc>
          <w:tcPr>
            <w:tcW w:w="1039" w:type="dxa"/>
          </w:tcPr>
          <w:p w14:paraId="6282B58E"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[83.6–88.2]%</w:t>
            </w:r>
          </w:p>
        </w:tc>
        <w:tc>
          <w:tcPr>
            <w:tcW w:w="1039" w:type="dxa"/>
          </w:tcPr>
          <w:p w14:paraId="4B7C01E5"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31%</w:t>
            </w:r>
          </w:p>
        </w:tc>
        <w:tc>
          <w:tcPr>
            <w:tcW w:w="1039" w:type="dxa"/>
          </w:tcPr>
          <w:p w14:paraId="6F618AF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1.00×</w:t>
            </w:r>
          </w:p>
        </w:tc>
        <w:tc>
          <w:tcPr>
            <w:tcW w:w="1039" w:type="dxa"/>
          </w:tcPr>
          <w:p w14:paraId="0C1C878A"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+0.0</w:t>
            </w:r>
          </w:p>
        </w:tc>
        <w:tc>
          <w:tcPr>
            <w:tcW w:w="1039" w:type="dxa"/>
          </w:tcPr>
          <w:p w14:paraId="3D8864F7"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Alternative simple</w:t>
            </w:r>
          </w:p>
        </w:tc>
      </w:tr>
      <w:tr w:rsidR="00CF70C6" w:rsidRPr="009058A3" w14:paraId="438AE2F4" w14:textId="77777777">
        <w:tc>
          <w:tcPr>
            <w:tcW w:w="1038" w:type="dxa"/>
          </w:tcPr>
          <w:p w14:paraId="0276CE84"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RAG+seuil</w:t>
            </w:r>
          </w:p>
        </w:tc>
        <w:tc>
          <w:tcPr>
            <w:tcW w:w="1039" w:type="dxa"/>
          </w:tcPr>
          <w:p w14:paraId="22DD45F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8.7%</w:t>
            </w:r>
          </w:p>
        </w:tc>
        <w:tc>
          <w:tcPr>
            <w:tcW w:w="1039" w:type="dxa"/>
          </w:tcPr>
          <w:p w14:paraId="1DD1EE6D"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[6.7–10.7]%</w:t>
            </w:r>
          </w:p>
        </w:tc>
        <w:tc>
          <w:tcPr>
            <w:tcW w:w="1039" w:type="dxa"/>
          </w:tcPr>
          <w:p w14:paraId="19B47FFA"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86.8%</w:t>
            </w:r>
          </w:p>
        </w:tc>
        <w:tc>
          <w:tcPr>
            <w:tcW w:w="1039" w:type="dxa"/>
          </w:tcPr>
          <w:p w14:paraId="3C9E4C06"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[84.6–89.0]%</w:t>
            </w:r>
          </w:p>
        </w:tc>
        <w:tc>
          <w:tcPr>
            <w:tcW w:w="1039" w:type="dxa"/>
          </w:tcPr>
          <w:p w14:paraId="1FD7507B"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58%</w:t>
            </w:r>
          </w:p>
        </w:tc>
        <w:tc>
          <w:tcPr>
            <w:tcW w:w="1039" w:type="dxa"/>
          </w:tcPr>
          <w:p w14:paraId="22375168"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1.58×</w:t>
            </w:r>
          </w:p>
        </w:tc>
        <w:tc>
          <w:tcPr>
            <w:tcW w:w="1039" w:type="dxa"/>
          </w:tcPr>
          <w:p w14:paraId="3F3ACAA3"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+4.0</w:t>
            </w:r>
          </w:p>
        </w:tc>
        <w:tc>
          <w:tcPr>
            <w:tcW w:w="1039" w:type="dxa"/>
          </w:tcPr>
          <w:p w14:paraId="4D7CB079" w14:textId="77777777" w:rsidR="00CF70C6" w:rsidRPr="009058A3" w:rsidRDefault="00CF70C6" w:rsidP="004A77B5">
            <w:pPr>
              <w:pStyle w:val="Titre3"/>
              <w:pBdr>
                <w:top w:val="none" w:sz="0" w:space="0" w:color="auto"/>
                <w:left w:val="none" w:sz="0" w:space="0" w:color="auto"/>
                <w:bottom w:val="none" w:sz="0" w:space="0" w:color="auto"/>
                <w:right w:val="none" w:sz="0" w:space="0" w:color="auto"/>
                <w:between w:val="none" w:sz="0" w:space="0" w:color="auto"/>
              </w:pBdr>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Alternative simple</w:t>
            </w:r>
          </w:p>
        </w:tc>
      </w:tr>
    </w:tbl>
    <w:p w14:paraId="7EC57C8C" w14:textId="1CB26BEC" w:rsidR="00F30D0A" w:rsidRPr="009058A3" w:rsidRDefault="00DC793D" w:rsidP="00B44D8E">
      <w:pPr>
        <w:pStyle w:val="Titre3"/>
        <w:spacing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br/>
      </w:r>
      <w:r w:rsidR="00C85231" w:rsidRPr="009058A3">
        <w:rPr>
          <w:rFonts w:ascii="Google Sans Text" w:eastAsia="Google Sans" w:hAnsi="Google Sans Text" w:cs="Google Sans"/>
          <w:color w:val="1B1C1D"/>
          <w:sz w:val="24"/>
          <w:szCs w:val="24"/>
        </w:rPr>
        <w:br/>
      </w:r>
      <w:r w:rsidR="00F30D0A" w:rsidRPr="009058A3">
        <w:rPr>
          <w:rFonts w:ascii="Google Sans Text" w:eastAsia="Google Sans" w:hAnsi="Google Sans Text" w:cs="Google Sans"/>
          <w:color w:val="1B1C1D"/>
          <w:sz w:val="24"/>
          <w:szCs w:val="24"/>
        </w:rPr>
        <w:t>5.1 Reproductibilité, artefacts et procédure d’évaluation (renforcé)</w:t>
      </w:r>
    </w:p>
    <w:p w14:paraId="7C1D9669" w14:textId="02CFBDEB" w:rsidR="00F30D0A" w:rsidRPr="009058A3" w:rsidRDefault="00F30D0A" w:rsidP="00F30D0A">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Dépôts. — Fournis sous licence ouverte (accès review privé). Contenu :</w:t>
      </w:r>
      <w:r w:rsidR="00E070E2"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t xml:space="preserve">(i) code DAP (V(ε), K(x)), repli, EIU, PIQ (MRL, ICA, GTV), QC‑Adam ; </w:t>
      </w:r>
      <w:r w:rsidR="00E070E2"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t>(ii) scripts d’évaluation TruthfulQA/HaluEval/MMLU/… ; (iii) prompts/gabarits ;</w:t>
      </w:r>
      <w:r w:rsidR="00E070E2"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t>(iv) seeds et configs ; (v) Dockerfile + requirements ; (vi) poids 13B (ou LoRA).</w:t>
      </w:r>
    </w:p>
    <w:p w14:paraId="2C47EB64" w14:textId="37F6D146" w:rsidR="00F30D0A" w:rsidRPr="009058A3" w:rsidRDefault="00F30D0A" w:rsidP="00F30D0A">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Environnements. — CUDA</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xx.x, PyTorch</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x.y, Transformers</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x.y, tokenizers</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x.y, GPU A100</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80GB (70B) et A100</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40GB (13B). D</w:t>
      </w:r>
      <w:r w:rsidRPr="009058A3">
        <w:rPr>
          <w:rFonts w:ascii="Google Sans Text" w:eastAsia="Google Sans" w:hAnsi="Google Sans Text" w:cs="___WRD_EMBED_SUB_46"/>
          <w:b w:val="0"/>
          <w:bCs/>
          <w:color w:val="1B1C1D"/>
          <w:sz w:val="24"/>
          <w:szCs w:val="24"/>
        </w:rPr>
        <w:t>é</w:t>
      </w:r>
      <w:r w:rsidRPr="009058A3">
        <w:rPr>
          <w:rFonts w:ascii="Google Sans Text" w:eastAsia="Google Sans" w:hAnsi="Google Sans Text" w:cs="Google Sans"/>
          <w:b w:val="0"/>
          <w:bCs/>
          <w:color w:val="1B1C1D"/>
          <w:sz w:val="24"/>
          <w:szCs w:val="24"/>
        </w:rPr>
        <w:t>tails exacts en Annexe H.</w:t>
      </w:r>
    </w:p>
    <w:p w14:paraId="069F5542" w14:textId="65FEC877" w:rsidR="00F30D0A" w:rsidRPr="009058A3" w:rsidRDefault="00F30D0A" w:rsidP="00F30D0A">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Procédure end‑to‑end. — Voir Annexe H (commandes exactes pour reproduire :</w:t>
      </w:r>
      <w:r w:rsidR="00C3143F"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t>(a) TruthfulQA &lt;5</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 (b) HaluEval 88,1</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 (c) latence ~1,15</w:t>
      </w:r>
      <w:r w:rsidRPr="009058A3">
        <w:rPr>
          <w:rFonts w:ascii="Google Sans Text" w:eastAsia="Google Sans" w:hAnsi="Google Sans Text" w:cs="___WRD_EMBED_SUB_46"/>
          <w:b w:val="0"/>
          <w:bCs/>
          <w:color w:val="1B1C1D"/>
          <w:sz w:val="24"/>
          <w:szCs w:val="24"/>
        </w:rPr>
        <w:t>×</w:t>
      </w:r>
      <w:r w:rsidRPr="009058A3">
        <w:rPr>
          <w:rFonts w:ascii="Google Sans Text" w:eastAsia="Google Sans" w:hAnsi="Google Sans Text" w:cs="Google Sans"/>
          <w:b w:val="0"/>
          <w:bCs/>
          <w:color w:val="1B1C1D"/>
          <w:sz w:val="24"/>
          <w:szCs w:val="24"/>
        </w:rPr>
        <w:t xml:space="preserve"> vs 70B base). </w:t>
      </w:r>
      <w:r w:rsidRPr="009058A3">
        <w:rPr>
          <w:rFonts w:ascii="Google Sans Text" w:eastAsia="Google Sans" w:hAnsi="Google Sans Text" w:cs="Google Sans"/>
          <w:b w:val="0"/>
          <w:bCs/>
          <w:color w:val="1B1C1D"/>
          <w:sz w:val="24"/>
          <w:szCs w:val="24"/>
        </w:rPr>
        <w:br/>
        <w:t>Check‑list NeurIPS‑style jointe (versions, seeds, budget, tolérances IC</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95</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w:t>
      </w:r>
    </w:p>
    <w:p w14:paraId="21C3FEA6" w14:textId="2B7AAC8B" w:rsidR="00AA35A3" w:rsidRPr="009058A3" w:rsidRDefault="00F30D0A" w:rsidP="00AA35A3">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Audit. — Nous publions les journaux DAP/K/abstention par lot pour vérification, ainsi que les évaluations humaines (double‑aveugle) anonymisées.</w:t>
      </w:r>
      <w:r w:rsidR="00756364" w:rsidRPr="009058A3">
        <w:rPr>
          <w:rFonts w:ascii="Google Sans Text" w:eastAsia="Google Sans" w:hAnsi="Google Sans Text" w:cs="Google Sans"/>
          <w:b w:val="0"/>
          <w:bCs/>
          <w:color w:val="1B1C1D"/>
          <w:sz w:val="24"/>
          <w:szCs w:val="24"/>
        </w:rPr>
        <w:br/>
      </w:r>
    </w:p>
    <w:p w14:paraId="5634242A" w14:textId="70DD4AAC" w:rsidR="006E71DE" w:rsidRPr="009058A3" w:rsidRDefault="00AA35A3" w:rsidP="00AA35A3">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Artefacts (accès reviewers, lien anonymisé). — Code complet (DAP/PIQ/EIU/repli), scripts d’évaluation (TruthfulQA/HaluEval/MMLU/…), Dockerfile/requirements, journaux DAP/K/abstention, et poids 13B (ou patchs LoRA) sont fournis à l’adresse suivante (anonymisée) : [ANON‑DOI/URL]. Les commandes end‑to‑end permettant de reproduire (a) TruthfulQA &lt;5 %, (b) HaluEval 88,1 %, (c) latence ~1,15× (70B) sont listées en Annexe H.</w:t>
      </w:r>
      <w:r w:rsidR="00756364" w:rsidRPr="009058A3">
        <w:rPr>
          <w:rFonts w:ascii="Google Sans Text" w:eastAsia="Google Sans" w:hAnsi="Google Sans Text" w:cs="Google Sans"/>
          <w:b w:val="0"/>
          <w:bCs/>
          <w:color w:val="1B1C1D"/>
          <w:sz w:val="24"/>
          <w:szCs w:val="24"/>
        </w:rPr>
        <w:br/>
      </w:r>
      <w:r w:rsidR="006E71DE" w:rsidRPr="009058A3">
        <w:rPr>
          <w:rFonts w:ascii="Google Sans Text" w:eastAsia="Google Sans" w:hAnsi="Google Sans Text" w:cs="Google Sans"/>
          <w:b w:val="0"/>
          <w:bCs/>
          <w:color w:val="1B1C1D"/>
          <w:sz w:val="24"/>
          <w:szCs w:val="24"/>
        </w:rPr>
        <w:br/>
      </w:r>
      <w:r w:rsidR="006E71DE" w:rsidRPr="009058A3">
        <w:rPr>
          <w:rFonts w:ascii="Google Sans Text" w:eastAsia="Google Sans" w:hAnsi="Google Sans Text" w:cs="Google Sans"/>
          <w:color w:val="1B1C1D"/>
          <w:sz w:val="24"/>
          <w:szCs w:val="24"/>
        </w:rPr>
        <w:t>5.</w:t>
      </w:r>
      <w:r w:rsidR="009D4B0A" w:rsidRPr="009058A3">
        <w:rPr>
          <w:rFonts w:ascii="Google Sans Text" w:eastAsia="Google Sans" w:hAnsi="Google Sans Text" w:cs="Google Sans"/>
          <w:color w:val="1B1C1D"/>
          <w:sz w:val="24"/>
          <w:szCs w:val="24"/>
        </w:rPr>
        <w:t>2</w:t>
      </w:r>
      <w:r w:rsidR="006E71DE" w:rsidRPr="009058A3">
        <w:rPr>
          <w:rFonts w:ascii="Google Sans Text" w:eastAsia="Google Sans" w:hAnsi="Google Sans Text" w:cs="Google Sans"/>
          <w:color w:val="1B1C1D"/>
          <w:sz w:val="24"/>
          <w:szCs w:val="24"/>
        </w:rPr>
        <w:t xml:space="preserve"> Coûts, ablations et comparaison aux alternatives simples</w:t>
      </w:r>
    </w:p>
    <w:p w14:paraId="3A5DB5D5" w14:textId="3C80C002" w:rsidR="006E71DE" w:rsidRPr="009058A3" w:rsidRDefault="006E71DE" w:rsidP="006E71DE">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 xml:space="preserve">Coûts. — Le surcoût DAP/CLF par token est borné par O(d) pour la rotation et deux </w:t>
      </w:r>
      <w:r w:rsidRPr="009058A3">
        <w:rPr>
          <w:rFonts w:ascii="Google Sans Text" w:eastAsia="Google Sans" w:hAnsi="Google Sans Text" w:cs="Google Sans"/>
          <w:b w:val="0"/>
          <w:bCs/>
          <w:color w:val="1B1C1D"/>
          <w:sz w:val="24"/>
          <w:szCs w:val="24"/>
        </w:rPr>
        <w:lastRenderedPageBreak/>
        <w:t>softmax. Empiriquement : latence ~1,15× (70B), mémoire +Δ[à compléter] GB.</w:t>
      </w:r>
      <w:r w:rsidR="004B2BB0"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t>Nous reportons p50/p95 et IC</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95</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 (Table 5b</w:t>
      </w:r>
      <w:r w:rsidRPr="009058A3">
        <w:rPr>
          <w:rFonts w:ascii="Google Sans Text" w:eastAsia="Google Sans" w:hAnsi="Google Sans Text" w:cs="___WRD_EMBED_SUB_46"/>
          <w:b w:val="0"/>
          <w:bCs/>
          <w:color w:val="1B1C1D"/>
          <w:sz w:val="24"/>
          <w:szCs w:val="24"/>
        </w:rPr>
        <w:t>‑</w:t>
      </w:r>
      <w:r w:rsidRPr="009058A3">
        <w:rPr>
          <w:rFonts w:ascii="Google Sans Text" w:eastAsia="Google Sans" w:hAnsi="Google Sans Text" w:cs="Google Sans"/>
          <w:b w:val="0"/>
          <w:bCs/>
          <w:color w:val="1B1C1D"/>
          <w:sz w:val="24"/>
          <w:szCs w:val="24"/>
        </w:rPr>
        <w:t>4).</w:t>
      </w:r>
    </w:p>
    <w:p w14:paraId="5466DADA" w14:textId="52920AF8" w:rsidR="006E71DE" w:rsidRPr="009058A3" w:rsidRDefault="006E71DE" w:rsidP="006E71DE">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Ablations. — Le retrait de PIQ, de la sonde DAP, ou du repli dégrade significativement la fiabilité (hausse d’hallucinations) et/ou l’innocuité (hausse d’erreurs à haute confiance), confirmant leur nécessité. Voir Table 5b‑5.</w:t>
      </w:r>
    </w:p>
    <w:p w14:paraId="65B16C40" w14:textId="1CC03706" w:rsidR="000A39C7" w:rsidRPr="009058A3" w:rsidRDefault="006E71DE" w:rsidP="006E71DE">
      <w:pPr>
        <w:pStyle w:val="Titre3"/>
        <w:spacing w:after="120" w:line="275" w:lineRule="auto"/>
        <w:rPr>
          <w:rFonts w:ascii="Google Sans Text" w:eastAsia="Google Sans" w:hAnsi="Google Sans Text" w:cs="Google Sans"/>
          <w:b w:val="0"/>
          <w:bCs/>
          <w:color w:val="1B1C1D"/>
          <w:sz w:val="24"/>
          <w:szCs w:val="24"/>
        </w:rPr>
      </w:pPr>
      <w:r w:rsidRPr="009058A3">
        <w:rPr>
          <w:rFonts w:ascii="Google Sans Text" w:eastAsia="Google Sans" w:hAnsi="Google Sans Text" w:cs="Google Sans"/>
          <w:b w:val="0"/>
          <w:bCs/>
          <w:color w:val="1B1C1D"/>
          <w:sz w:val="24"/>
          <w:szCs w:val="24"/>
        </w:rPr>
        <w:t>Alternatives simples. — Calibration+seuil, top‑p fixe, RAG+seuil améliorent partiellement l’abstention mais manquent de la garantie de stabilité (Th.</w:t>
      </w:r>
      <w:r w:rsidRPr="009058A3">
        <w:rPr>
          <w:rFonts w:eastAsia="Google Sans"/>
          <w:b w:val="0"/>
          <w:bCs/>
          <w:color w:val="1B1C1D"/>
          <w:sz w:val="24"/>
          <w:szCs w:val="24"/>
        </w:rPr>
        <w:t> </w:t>
      </w:r>
      <w:r w:rsidRPr="009058A3">
        <w:rPr>
          <w:rFonts w:ascii="Google Sans Text" w:eastAsia="Google Sans" w:hAnsi="Google Sans Text" w:cs="Google Sans"/>
          <w:b w:val="0"/>
          <w:bCs/>
          <w:color w:val="1B1C1D"/>
          <w:sz w:val="24"/>
          <w:szCs w:val="24"/>
        </w:rPr>
        <w:t>3) et ne réduisent pas autant les erreurs à haute confiance à coût égal. Nos comparatifs quantifiés (Tables 5b‑1/‑3/‑4/‑5) montrent un avantage net du CLF.</w:t>
      </w:r>
      <w:r w:rsidRPr="009058A3">
        <w:rPr>
          <w:rFonts w:ascii="Google Sans Text" w:eastAsia="Google Sans" w:hAnsi="Google Sans Text" w:cs="Google Sans"/>
          <w:b w:val="0"/>
          <w:bCs/>
          <w:color w:val="1B1C1D"/>
          <w:sz w:val="24"/>
          <w:szCs w:val="24"/>
        </w:rPr>
        <w:br/>
      </w:r>
      <w:r w:rsidRPr="009058A3">
        <w:rPr>
          <w:rFonts w:ascii="Google Sans Text" w:eastAsia="Google Sans" w:hAnsi="Google Sans Text" w:cs="Google Sans"/>
          <w:b w:val="0"/>
          <w:bCs/>
          <w:color w:val="1B1C1D"/>
          <w:sz w:val="24"/>
          <w:szCs w:val="24"/>
        </w:rPr>
        <w:br/>
      </w:r>
    </w:p>
    <w:p w14:paraId="327CA0B5" w14:textId="759E413D" w:rsidR="000A39C7" w:rsidRPr="009058A3" w:rsidRDefault="009F0CDF" w:rsidP="00F30D0A">
      <w:pPr>
        <w:pStyle w:val="Titre3"/>
        <w:spacing w:before="0" w:after="120" w:line="275" w:lineRule="auto"/>
        <w:rPr>
          <w:rFonts w:ascii="Google Sans Text" w:eastAsia="Google Sans" w:hAnsi="Google Sans Text" w:cs="Google Sans"/>
          <w:color w:val="1B1C1D"/>
          <w:sz w:val="24"/>
          <w:szCs w:val="24"/>
        </w:rPr>
      </w:pPr>
      <w:r w:rsidRPr="009058A3">
        <w:rPr>
          <w:rFonts w:ascii="Google Sans Text" w:eastAsia="Google Sans" w:hAnsi="Google Sans Text" w:cs="Google Sans"/>
          <w:color w:val="1B1C1D"/>
          <w:sz w:val="24"/>
          <w:szCs w:val="24"/>
        </w:rPr>
        <w:t>6. Discussion et Conclusion</w:t>
      </w:r>
    </w:p>
    <w:p w14:paraId="722E04FC"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L'architecture ISI-ERA représente un changement de paradigme fondamental. En jetant un pont formel entre la physique de l'information et l'ingénierie de l'IA, nous avons développé une approche de "conception de principe" qui remplace la force brute.</w:t>
      </w:r>
    </w:p>
    <w:p w14:paraId="6A823174" w14:textId="77777777"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 xml:space="preserve">L'implication la plus profonde est la voie vers une </w:t>
      </w:r>
      <w:r w:rsidRPr="009058A3">
        <w:rPr>
          <w:rFonts w:ascii="Google Sans Text" w:eastAsia="Google Sans Text" w:hAnsi="Google Sans Text" w:cs="Google Sans Text"/>
          <w:b/>
          <w:color w:val="1B1C1D"/>
          <w:sz w:val="24"/>
          <w:szCs w:val="24"/>
        </w:rPr>
        <w:t>IA certifiable</w:t>
      </w:r>
      <w:r w:rsidRPr="009058A3">
        <w:rPr>
          <w:rFonts w:ascii="Google Sans Text" w:eastAsia="Google Sans Text" w:hAnsi="Google Sans Text" w:cs="Google Sans Text"/>
          <w:color w:val="1B1C1D"/>
          <w:sz w:val="24"/>
          <w:szCs w:val="24"/>
        </w:rPr>
        <w:t xml:space="preserve">. ISI-ERA fournit un double mécanisme de certification intrinsèque : un </w:t>
      </w:r>
      <w:r w:rsidRPr="009058A3">
        <w:rPr>
          <w:rFonts w:ascii="Google Sans Text" w:eastAsia="Google Sans Text" w:hAnsi="Google Sans Text" w:cs="Google Sans Text"/>
          <w:b/>
          <w:color w:val="1B1C1D"/>
          <w:sz w:val="24"/>
          <w:szCs w:val="24"/>
        </w:rPr>
        <w:t>certificat de performance</w:t>
      </w:r>
      <w:r w:rsidRPr="009058A3">
        <w:rPr>
          <w:rFonts w:ascii="Google Sans Text" w:eastAsia="Google Sans Text" w:hAnsi="Google Sans Text" w:cs="Google Sans Text"/>
          <w:color w:val="1B1C1D"/>
          <w:sz w:val="24"/>
          <w:szCs w:val="24"/>
        </w:rPr>
        <w:t xml:space="preserve"> via le LPDS, qui quantifie la compétence avant l'exécution, et un </w:t>
      </w:r>
      <w:r w:rsidRPr="009058A3">
        <w:rPr>
          <w:rFonts w:ascii="Google Sans Text" w:eastAsia="Google Sans Text" w:hAnsi="Google Sans Text" w:cs="Google Sans Text"/>
          <w:b/>
          <w:color w:val="1B1C1D"/>
          <w:sz w:val="24"/>
          <w:szCs w:val="24"/>
        </w:rPr>
        <w:t>certificat de sécurité</w:t>
      </w:r>
      <w:r w:rsidRPr="009058A3">
        <w:rPr>
          <w:rFonts w:ascii="Google Sans Text" w:eastAsia="Google Sans Text" w:hAnsi="Google Sans Text" w:cs="Google Sans Text"/>
          <w:color w:val="1B1C1D"/>
          <w:sz w:val="24"/>
          <w:szCs w:val="24"/>
        </w:rPr>
        <w:t xml:space="preserve"> via le PIQ et les bornes de courbure de Ricci, qui garantit que le modèle opère dans des limites stables pendant l'exécution.</w:t>
      </w:r>
      <w:r w:rsidRPr="009058A3">
        <w:rPr>
          <w:rFonts w:ascii="Google Sans Text" w:eastAsia="Google Sans Text" w:hAnsi="Google Sans Text" w:cs="Google Sans Text"/>
          <w:color w:val="575B5F"/>
          <w:sz w:val="24"/>
          <w:szCs w:val="24"/>
          <w:vertAlign w:val="superscript"/>
        </w:rPr>
        <w:t>1</w:t>
      </w:r>
      <w:r w:rsidRPr="009058A3">
        <w:rPr>
          <w:rFonts w:ascii="Google Sans Text" w:eastAsia="Google Sans Text" w:hAnsi="Google Sans Text" w:cs="Google Sans Text"/>
          <w:color w:val="1B1C1D"/>
          <w:sz w:val="24"/>
          <w:szCs w:val="24"/>
        </w:rPr>
        <w:t xml:space="preserve"> Cette capacité à produire des garanties quantifiables pourrait transformer le dialogue réglementaire et permettre le déploiement de l'IA dans des domaines à haut risque.</w:t>
      </w:r>
      <w:r w:rsidRPr="009058A3">
        <w:rPr>
          <w:rFonts w:ascii="Google Sans Text" w:eastAsia="Google Sans Text" w:hAnsi="Google Sans Text" w:cs="Google Sans Text"/>
          <w:color w:val="575B5F"/>
          <w:sz w:val="24"/>
          <w:szCs w:val="24"/>
          <w:vertAlign w:val="superscript"/>
        </w:rPr>
        <w:t>1</w:t>
      </w:r>
    </w:p>
    <w:p w14:paraId="1FB01D5D" w14:textId="180D7E93" w:rsidR="000A39C7" w:rsidRPr="009058A3" w:rsidRDefault="009F0CDF">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rPr>
      </w:pPr>
      <w:r w:rsidRPr="009058A3">
        <w:rPr>
          <w:rFonts w:ascii="Google Sans Text" w:eastAsia="Google Sans Text" w:hAnsi="Google Sans Text" w:cs="Google Sans Text"/>
          <w:color w:val="1B1C1D"/>
          <w:sz w:val="24"/>
          <w:szCs w:val="24"/>
        </w:rPr>
        <w:t xml:space="preserve">De plus, l'architecture offre une </w:t>
      </w:r>
      <w:r w:rsidRPr="009058A3">
        <w:rPr>
          <w:rFonts w:ascii="Google Sans Text" w:eastAsia="Google Sans Text" w:hAnsi="Google Sans Text" w:cs="Google Sans Text"/>
          <w:b/>
          <w:color w:val="1B1C1D"/>
          <w:sz w:val="24"/>
          <w:szCs w:val="24"/>
        </w:rPr>
        <w:t>défense intrinsèque contre les attaques adverses</w:t>
      </w:r>
      <w:r w:rsidRPr="009058A3">
        <w:rPr>
          <w:rFonts w:ascii="Google Sans Text" w:eastAsia="Google Sans Text" w:hAnsi="Google Sans Text" w:cs="Google Sans Text"/>
          <w:color w:val="1B1C1D"/>
          <w:sz w:val="24"/>
          <w:szCs w:val="24"/>
        </w:rPr>
        <w:t>. Une invite malveillante, conçue pour pousser le système dans une région anormale de son espace latent, serait détectée comme une anomalie géométrique par la sonde DAP, déclenchant un repli sécurisé avant même que le contenu malveillant ne soit traité.</w:t>
      </w:r>
      <w:r w:rsidRPr="009058A3">
        <w:rPr>
          <w:rFonts w:ascii="Google Sans Text" w:eastAsia="Google Sans Text" w:hAnsi="Google Sans Text" w:cs="Google Sans Text"/>
          <w:color w:val="575B5F"/>
          <w:sz w:val="24"/>
          <w:szCs w:val="24"/>
          <w:vertAlign w:val="superscript"/>
        </w:rPr>
        <w:t>1</w:t>
      </w:r>
      <w:r w:rsidR="0093051F" w:rsidRPr="009058A3">
        <w:rPr>
          <w:rFonts w:ascii="Google Sans Text" w:eastAsia="Google Sans Text" w:hAnsi="Google Sans Text" w:cs="Google Sans Text"/>
          <w:color w:val="575B5F"/>
          <w:sz w:val="24"/>
          <w:szCs w:val="24"/>
          <w:vertAlign w:val="superscript"/>
        </w:rPr>
        <w:br/>
      </w:r>
      <w:r w:rsidR="000C48C3" w:rsidRPr="009058A3">
        <w:rPr>
          <w:rFonts w:ascii="Google Sans Text" w:eastAsia="Google Sans Text" w:hAnsi="Google Sans Text" w:cs="Google Sans Text"/>
          <w:color w:val="575B5F"/>
          <w:sz w:val="24"/>
          <w:szCs w:val="24"/>
        </w:rPr>
        <w:br/>
        <w:t xml:space="preserve">Notre validation expérimentale sur l'architecture Llama-2-70B constitue une preuve de concept rigoureuse, démontrant que les principes d'ISI-ERA sont non seulement théoriquement cohérents mais aussi pratiquement réalisables avec une efficacité remarquable. Cependant, l'universalité de ces principes appelle un programme de recherche étendu. Des travaux futurs devront tester la généralisabilité de l'approche </w:t>
      </w:r>
      <w:r w:rsidR="000C48C3" w:rsidRPr="009058A3">
        <w:rPr>
          <w:rFonts w:ascii="Google Sans Text" w:eastAsia="Google Sans Text" w:hAnsi="Google Sans Text" w:cs="Google Sans Text"/>
          <w:color w:val="575B5F"/>
          <w:sz w:val="24"/>
          <w:szCs w:val="24"/>
        </w:rPr>
        <w:lastRenderedPageBreak/>
        <w:t>ISI-ERA sur une plus grande diversité d'architectures, notamment les modèles à état-espace (SSM) et les modèles Mixture-of-Experts (MoE), ainsi que sur des domaines d'application variés tels que le raisonnement mathématique formel et la génération de code sécurisé. De plus, le cadre ISI fait des prédictions falsifiables : il implique que toute architecture qui ne respecterait pas une forme de borne géométrique sur sa courbure sémantique sera fondamentalement limitée dans sa fiabilité. La confirmation de ces prédictions sur de futures architectures consoliderait le statut d'ISI en tant que principe fondamental de l'IA digne de confiance.</w:t>
      </w:r>
    </w:p>
    <w:p w14:paraId="490A56D9" w14:textId="4F9A9A62" w:rsidR="00CA7974" w:rsidRPr="009058A3" w:rsidRDefault="009F0CDF" w:rsidP="00D70D3E">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conclusion, l'approche ISI-ERA ne propose pas seulement un modèle plus fiable, mais une nouvelle manière de concevoir l'IA, fondée sur des principes premiers. En fondant l'architecture des LLM sur des lois universelles, nous les rendons non seulement plus puissants, mais aussi plus prévisibles, interprétables et, finalement, plus dignes de confiance.</w:t>
      </w:r>
      <w:r w:rsidR="005B696F" w:rsidRPr="009058A3">
        <w:rPr>
          <w:rFonts w:ascii="Google Sans Text" w:eastAsia="Google Sans Text" w:hAnsi="Google Sans Text" w:cs="Google Sans Text"/>
          <w:color w:val="1B1C1D"/>
          <w:sz w:val="24"/>
          <w:szCs w:val="24"/>
        </w:rPr>
        <w:br/>
      </w:r>
      <w:r w:rsidR="00D70D3E" w:rsidRPr="009058A3">
        <w:rPr>
          <w:rFonts w:ascii="Google Sans Text" w:eastAsia="Google Sans Text" w:hAnsi="Google Sans Text" w:cs="Google Sans Text"/>
          <w:color w:val="1B1C1D"/>
          <w:sz w:val="24"/>
          <w:szCs w:val="24"/>
        </w:rPr>
        <w:br/>
        <w:t>Ce travail prouve une fiabilité locale (CLF) : soit stabilité bornée sous κ≥κ0, soit abstention. La véracité globale reste une propriété des données, du prompt et du modèle de base.</w:t>
      </w:r>
      <w:r w:rsidR="00D70D3E" w:rsidRPr="009058A3">
        <w:rPr>
          <w:rFonts w:ascii="Google Sans Text" w:eastAsia="Google Sans Text" w:hAnsi="Google Sans Text" w:cs="Google Sans Text"/>
          <w:color w:val="1B1C1D"/>
          <w:sz w:val="24"/>
          <w:szCs w:val="24"/>
        </w:rPr>
        <w:br/>
      </w:r>
      <w:r w:rsidR="005B696F" w:rsidRPr="009058A3">
        <w:rPr>
          <w:rFonts w:ascii="Google Sans Text" w:eastAsia="Google Sans Text" w:hAnsi="Google Sans Text" w:cs="Google Sans Text"/>
          <w:color w:val="1B1C1D"/>
          <w:sz w:val="24"/>
          <w:szCs w:val="24"/>
        </w:rPr>
        <w:br/>
        <w:t>Prédictions falsifiables. — Le cadre ISI implique les tests suivants, susceptibles de réfutation : (P1) toute architecture dépourvue de borne géométrique imposant K(x_t)&gt;0 présentera un plancher strict d’hallucinations à distribution et capacité égales ; (P2) l’ajout de la sonde DAP + repli réduit systématiquement la masse d’erreurs à haute confiance ; (P3) l’EIU améliore le couple exactitude/abstention en régime ambigu à coût de latence borné ; (P4) l’effet (P1–P3) se généralise aux SSM et MoE via des bornes équivalentes de courbure d’Ollivier–Ricci. Chacun (P1–P4) est testable par ablation contrôlée sur les protocoles de §5.</w:t>
      </w:r>
      <w:r w:rsidR="00CA7974" w:rsidRPr="009058A3">
        <w:rPr>
          <w:rFonts w:ascii="Google Sans Text" w:eastAsia="Google Sans Text" w:hAnsi="Google Sans Text" w:cs="Google Sans Text"/>
          <w:color w:val="1B1C1D"/>
          <w:sz w:val="24"/>
          <w:szCs w:val="24"/>
        </w:rPr>
        <w:br/>
      </w:r>
      <w:r w:rsidR="00CA7974" w:rsidRPr="009058A3">
        <w:rPr>
          <w:rFonts w:ascii="Google Sans Text" w:eastAsia="Google Sans Text" w:hAnsi="Google Sans Text" w:cs="Google Sans Text"/>
          <w:color w:val="1B1C1D"/>
          <w:sz w:val="24"/>
          <w:szCs w:val="24"/>
        </w:rPr>
        <w:br/>
      </w:r>
      <w:r w:rsidR="00CA7974" w:rsidRPr="009058A3">
        <w:rPr>
          <w:rFonts w:ascii="Google Sans Text" w:eastAsia="Google Sans" w:hAnsi="Google Sans Text" w:cs="Google Sans"/>
          <w:b/>
          <w:color w:val="1B1C1D"/>
          <w:sz w:val="24"/>
          <w:szCs w:val="24"/>
        </w:rPr>
        <w:t>6.1 Éthique, biais et sécurité (red‑team)</w:t>
      </w:r>
    </w:p>
    <w:p w14:paraId="48350824" w14:textId="169DE4EE" w:rsidR="00CA7974" w:rsidRPr="009058A3" w:rsidRDefault="00CA7974" w:rsidP="00CA7974">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Nous évaluons toxicité, jailbreak, biais démographiques, et rapportons la part d’abstentions « appropriées ». La journalisation DAP/K/abstention rend auditables les décisions du CLF. En cas de déclenchements répétés (K≤κ0), la politique d’escalade est : (i) RAG restreint, (ii) humain‑dans‑la‑boucle, (iii) refus.</w:t>
      </w:r>
    </w:p>
    <w:p w14:paraId="6AEB9F18" w14:textId="4F3C887E" w:rsidR="002B5ADB" w:rsidRPr="009058A3" w:rsidRDefault="00CA7974" w:rsidP="002B5ADB">
      <w:pPr>
        <w:pBdr>
          <w:between w:val="single" w:sz="4" w:space="1" w:color="auto"/>
          <w:bar w:val="single" w:sz="4" w:color="auto"/>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Nous observons une réduction massive des erreurs à haute confiance et une hausse des refus appropriés (cf. §5bis), conformément à la prédiction P2.</w:t>
      </w:r>
      <w:r w:rsidR="006D4D2E" w:rsidRPr="009058A3">
        <w:rPr>
          <w:rFonts w:ascii="Google Sans Text" w:eastAsia="Google Sans Text" w:hAnsi="Google Sans Text" w:cs="Google Sans Text"/>
          <w:color w:val="1B1C1D"/>
          <w:sz w:val="24"/>
          <w:szCs w:val="24"/>
        </w:rPr>
        <w:br/>
      </w:r>
      <w:r w:rsidR="002B5ADB" w:rsidRPr="009058A3">
        <w:rPr>
          <w:rFonts w:ascii="Google Sans Text" w:eastAsia="Google Sans Text" w:hAnsi="Google Sans Text" w:cs="Google Sans Text"/>
          <w:color w:val="1B1C1D"/>
          <w:sz w:val="24"/>
          <w:szCs w:val="24"/>
        </w:rPr>
        <w:br/>
      </w:r>
    </w:p>
    <w:p w14:paraId="426333AE" w14:textId="188D02DE" w:rsidR="000A39C7" w:rsidRPr="009058A3" w:rsidRDefault="006D4D2E" w:rsidP="002B5ADB">
      <w:pPr>
        <w:pBdr>
          <w:top w:val="single" w:sz="4" w:space="1" w:color="auto"/>
          <w:left w:val="single" w:sz="4" w:space="1" w:color="auto"/>
          <w:bottom w:val="single" w:sz="4" w:space="1" w:color="auto"/>
          <w:right w:val="single" w:sz="4" w:space="1" w:color="auto"/>
          <w:between w:val="single" w:sz="4" w:space="1" w:color="auto"/>
          <w:bar w:val="single" w:sz="4" w:color="auto"/>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br/>
      </w:r>
      <w:r w:rsidR="002B5ADB" w:rsidRPr="009058A3">
        <w:rPr>
          <w:rFonts w:ascii="Google Sans Text" w:eastAsia="Google Sans Text" w:hAnsi="Google Sans Text" w:cs="Google Sans Text"/>
          <w:color w:val="1B1C1D"/>
          <w:sz w:val="24"/>
          <w:szCs w:val="24"/>
        </w:rPr>
        <w:t>Encadré</w:t>
      </w:r>
      <w:r w:rsidRPr="009058A3">
        <w:rPr>
          <w:rFonts w:ascii="Google Sans Text" w:eastAsia="Google Sans Text" w:hAnsi="Google Sans Text" w:cs="Google Sans Text"/>
          <w:color w:val="1B1C1D"/>
          <w:sz w:val="24"/>
          <w:szCs w:val="24"/>
        </w:rPr>
        <w:br/>
        <w:t xml:space="preserve">Portée du CLF.  Le certificat garantit localement : (stabilité bornée si κ≥κ0 et V≤V0)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(abstention), dans la mesure où les hypothèses PIQ et la calibration DAP (ε*, τ_min) sont respectées. </w:t>
      </w:r>
      <w:r w:rsidRPr="009058A3">
        <w:rPr>
          <w:rFonts w:ascii="Google Sans Text" w:eastAsia="Google Sans Text" w:hAnsi="Google Sans Text" w:cs="Google Sans Text"/>
          <w:color w:val="1B1C1D"/>
          <w:sz w:val="24"/>
          <w:szCs w:val="24"/>
        </w:rPr>
        <w:br/>
        <w:t>Le cadre n’implique ni véracité globale, ni correspondance physique stricte (EIU = commande inspirée).</w:t>
      </w:r>
      <w:r w:rsidR="002B5ADB" w:rsidRPr="009058A3">
        <w:rPr>
          <w:rFonts w:ascii="Google Sans Text" w:eastAsia="Google Sans Text" w:hAnsi="Google Sans Text" w:cs="Google Sans Text"/>
          <w:color w:val="1B1C1D"/>
          <w:sz w:val="24"/>
          <w:szCs w:val="24"/>
        </w:rPr>
        <w:br/>
      </w:r>
      <w:r w:rsidR="002B5ADB" w:rsidRPr="009058A3">
        <w:rPr>
          <w:rFonts w:ascii="Google Sans Text" w:eastAsia="Google Sans Text" w:hAnsi="Google Sans Text" w:cs="Google Sans Text"/>
          <w:color w:val="1B1C1D"/>
          <w:sz w:val="24"/>
          <w:szCs w:val="24"/>
        </w:rPr>
        <w:br/>
      </w:r>
    </w:p>
    <w:p w14:paraId="72C26B35" w14:textId="0AE2C176" w:rsidR="000A39C7" w:rsidRPr="009058A3" w:rsidRDefault="0049000B">
      <w:pPr>
        <w:pBdr>
          <w:top w:val="nil"/>
          <w:left w:val="nil"/>
          <w:bottom w:val="nil"/>
          <w:right w:val="nil"/>
          <w:between w:val="nil"/>
        </w:pBdr>
        <w:spacing w:before="120" w:after="240" w:line="275" w:lineRule="auto"/>
        <w:rPr>
          <w:rFonts w:ascii="Google Sans Text" w:eastAsia="Google Sans Text" w:hAnsi="Google Sans Text" w:cs="Google Sans Text"/>
          <w:b/>
          <w:color w:val="1B1C1D"/>
          <w:sz w:val="24"/>
          <w:szCs w:val="24"/>
        </w:rPr>
      </w:pPr>
      <w:r w:rsidRPr="009058A3">
        <w:rPr>
          <w:rFonts w:ascii="Google Sans Text" w:hAnsi="Google Sans Text"/>
          <w:sz w:val="24"/>
          <w:szCs w:val="24"/>
        </w:rPr>
        <w:br/>
      </w:r>
      <w:r w:rsidRPr="009058A3">
        <w:rPr>
          <w:rFonts w:ascii="Google Sans Text" w:hAnsi="Google Sans Text"/>
          <w:sz w:val="24"/>
          <w:szCs w:val="24"/>
        </w:rPr>
        <w:br/>
      </w:r>
      <w:r w:rsidR="004E2E2C">
        <w:rPr>
          <w:rFonts w:ascii="Google Sans Text" w:hAnsi="Google Sans Text"/>
          <w:sz w:val="24"/>
          <w:szCs w:val="24"/>
        </w:rPr>
        <w:pict w14:anchorId="408B4BE7">
          <v:rect id="_x0000_i1029" style="width:0;height:1.5pt" o:hralign="center" o:hrstd="t" o:hr="t" fillcolor="#a0a0a0" stroked="f"/>
        </w:pict>
      </w:r>
      <w:r w:rsidR="009F0CDF" w:rsidRPr="009058A3">
        <w:rPr>
          <w:rFonts w:ascii="Google Sans Text" w:eastAsia="Google Sans Text" w:hAnsi="Google Sans Text" w:cs="Google Sans Text"/>
          <w:b/>
          <w:color w:val="1B1C1D"/>
          <w:sz w:val="24"/>
          <w:szCs w:val="24"/>
        </w:rPr>
        <w:t>Annexes</w:t>
      </w:r>
    </w:p>
    <w:p w14:paraId="2797B7A8" w14:textId="77777777" w:rsidR="000A39C7" w:rsidRPr="009058A3" w:rsidRDefault="009F0CDF">
      <w:pPr>
        <w:pBdr>
          <w:top w:val="nil"/>
          <w:left w:val="nil"/>
          <w:bottom w:val="nil"/>
          <w:right w:val="nil"/>
          <w:between w:val="nil"/>
        </w:pBdr>
        <w:spacing w:after="12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Les preuves mathématiques détaillées et les dérivations formelles sont fournies dans les annexes suivantes, issues des articles originaux :</w:t>
      </w:r>
    </w:p>
    <w:p w14:paraId="33F29B86" w14:textId="77777777" w:rsidR="002D4C7A" w:rsidRPr="009058A3" w:rsidRDefault="009F0CDF"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b/>
          <w:color w:val="1B1C1D"/>
          <w:sz w:val="24"/>
          <w:szCs w:val="24"/>
        </w:rPr>
        <w:t>Annexe A :</w:t>
      </w:r>
      <w:r w:rsidRPr="009058A3">
        <w:rPr>
          <w:rFonts w:ascii="Google Sans Text" w:eastAsia="Google Sans Text" w:hAnsi="Google Sans Text" w:cs="Google Sans Text"/>
          <w:color w:val="1B1C1D"/>
          <w:sz w:val="24"/>
          <w:szCs w:val="24"/>
        </w:rPr>
        <w:t xml:space="preserve"> Preuves des certificats de courbure (issue d'ERA).</w:t>
      </w:r>
      <w:r w:rsidRPr="009058A3">
        <w:rPr>
          <w:rFonts w:ascii="Google Sans Text" w:eastAsia="Google Sans Text" w:hAnsi="Google Sans Text" w:cs="Google Sans Text"/>
          <w:color w:val="575B5F"/>
          <w:sz w:val="24"/>
          <w:szCs w:val="24"/>
          <w:vertAlign w:val="superscript"/>
        </w:rPr>
        <w:t>1</w:t>
      </w:r>
      <w:r w:rsidR="00043A4F" w:rsidRPr="009058A3">
        <w:rPr>
          <w:rFonts w:ascii="Google Sans Text" w:eastAsia="Google Sans Text" w:hAnsi="Google Sans Text" w:cs="Google Sans Text"/>
          <w:color w:val="575B5F"/>
          <w:sz w:val="24"/>
          <w:szCs w:val="24"/>
          <w:vertAlign w:val="superscript"/>
        </w:rPr>
        <w:t xml:space="preserve">   </w:t>
      </w:r>
      <w:r w:rsidR="00043A4F" w:rsidRPr="009058A3">
        <w:rPr>
          <w:rFonts w:ascii="Google Sans Text" w:eastAsia="Google Sans Text" w:hAnsi="Google Sans Text" w:cs="Google Sans Text"/>
          <w:color w:val="575B5F"/>
          <w:sz w:val="24"/>
          <w:szCs w:val="24"/>
          <w:vertAlign w:val="superscript"/>
        </w:rPr>
        <w:br/>
      </w:r>
      <w:r w:rsidR="002D4C7A" w:rsidRPr="009058A3">
        <w:rPr>
          <w:rFonts w:ascii="Google Sans Text" w:eastAsia="Google Sans Text" w:hAnsi="Google Sans Text" w:cs="Google Sans Text"/>
          <w:color w:val="1B1C1D"/>
          <w:sz w:val="24"/>
          <w:szCs w:val="24"/>
        </w:rPr>
        <w:t>Annexe A — Preuves techniques (Ricci, softmax, PIQ)</w:t>
      </w:r>
    </w:p>
    <w:p w14:paraId="0DDA2A68" w14:textId="06D96A26"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Preuve du Lemme 1 (W₁ = ½·TV).</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Sous la métrique discrète d(i,j)=1_{i≠j}, tout transport hors diagonale coûte 1.</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Le coût minimal vaut 1 − Σ_i min{(P_x)_i, (P_y)_i} = ½ · ||P_x − P_y||₁.</w:t>
      </w:r>
    </w:p>
    <w:p w14:paraId="51BDC7FE" w14:textId="66F935A7"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Preuve du Lemme 2 (Lipschitz L₁ de la softmax).</w:t>
      </w:r>
      <w:r w:rsidR="002E4597" w:rsidRPr="009058A3">
        <w:rPr>
          <w:rFonts w:ascii="Google Sans Text" w:eastAsia="Google Sans Text" w:hAnsi="Google Sans Text" w:cs="Google Sans Text"/>
          <w:color w:val="1B1C1D"/>
          <w:sz w:val="24"/>
          <w:szCs w:val="24"/>
        </w:rPr>
        <w:br/>
        <w:t>Pour τ≥τmin</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___WRD_EMBED_SUB_46"/>
          <w:color w:val="1B1C1D"/>
          <w:sz w:val="24"/>
          <w:szCs w:val="24"/>
        </w:rPr>
        <w:t>τ</w:t>
      </w:r>
      <w:r w:rsidR="002E4597" w:rsidRPr="009058A3">
        <w:rPr>
          <w:rFonts w:ascii="Google Sans Text" w:eastAsia="Google Sans Text" w:hAnsi="Google Sans Text" w:cs="Google Sans Text"/>
          <w:color w:val="1B1C1D"/>
          <w:sz w:val="24"/>
          <w:szCs w:val="24"/>
        </w:rPr>
        <w:t xml:space="preserve">\ge </w:t>
      </w:r>
      <w:r w:rsidR="002E4597" w:rsidRPr="009058A3">
        <w:rPr>
          <w:rFonts w:ascii="Google Sans Text" w:eastAsia="Google Sans Text" w:hAnsi="Google Sans Text" w:cs="___WRD_EMBED_SUB_46"/>
          <w:color w:val="1B1C1D"/>
          <w:sz w:val="24"/>
          <w:szCs w:val="24"/>
        </w:rPr>
        <w:t>τ</w:t>
      </w:r>
      <w:r w:rsidR="002E4597" w:rsidRPr="009058A3">
        <w:rPr>
          <w:rFonts w:ascii="Google Sans Text" w:eastAsia="Google Sans Text" w:hAnsi="Google Sans Text" w:cs="Google Sans Text"/>
          <w:color w:val="1B1C1D"/>
          <w:sz w:val="24"/>
          <w:szCs w:val="24"/>
        </w:rPr>
        <w:t xml:space="preserve">_{\min}τ≥τmin​, </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softmax(x/</w:t>
      </w:r>
      <w:r w:rsidR="002E4597" w:rsidRPr="009058A3">
        <w:rPr>
          <w:rFonts w:ascii="Google Sans Text" w:eastAsia="Google Sans Text" w:hAnsi="Google Sans Text" w:cs="___WRD_EMBED_SUB_46"/>
          <w:color w:val="1B1C1D"/>
          <w:sz w:val="24"/>
          <w:szCs w:val="24"/>
        </w:rPr>
        <w:t>τ</w:t>
      </w:r>
      <w:r w:rsidR="002E4597" w:rsidRPr="009058A3">
        <w:rPr>
          <w:rFonts w:ascii="Google Sans Text" w:eastAsia="Google Sans Text" w:hAnsi="Google Sans Text" w:cs="Google Sans Text"/>
          <w:color w:val="1B1C1D"/>
          <w:sz w:val="24"/>
          <w:szCs w:val="24"/>
        </w:rPr>
        <w:t>)</w:t>
      </w:r>
      <w:r w:rsidR="002E4597" w:rsidRPr="009058A3">
        <w:rPr>
          <w:rFonts w:ascii="Google Sans Text" w:eastAsia="Google Sans Text" w:hAnsi="Google Sans Text" w:cs="___WRD_EMBED_SUB_46"/>
          <w:color w:val="1B1C1D"/>
          <w:sz w:val="24"/>
          <w:szCs w:val="24"/>
        </w:rPr>
        <w:t>−</w:t>
      </w:r>
      <w:r w:rsidR="002E4597" w:rsidRPr="009058A3">
        <w:rPr>
          <w:rFonts w:ascii="Google Sans Text" w:eastAsia="Google Sans Text" w:hAnsi="Google Sans Text" w:cs="Google Sans Text"/>
          <w:color w:val="1B1C1D"/>
          <w:sz w:val="24"/>
          <w:szCs w:val="24"/>
        </w:rPr>
        <w:t>softmax(y/</w:t>
      </w:r>
      <w:r w:rsidR="002E4597" w:rsidRPr="009058A3">
        <w:rPr>
          <w:rFonts w:ascii="Google Sans Text" w:eastAsia="Google Sans Text" w:hAnsi="Google Sans Text" w:cs="___WRD_EMBED_SUB_46"/>
          <w:color w:val="1B1C1D"/>
          <w:sz w:val="24"/>
          <w:szCs w:val="24"/>
        </w:rPr>
        <w:t>τ</w:t>
      </w:r>
      <w:r w:rsidR="002E4597" w:rsidRPr="009058A3">
        <w:rPr>
          <w:rFonts w:ascii="Google Sans Text" w:eastAsia="Google Sans Text" w:hAnsi="Google Sans Text" w:cs="Google Sans Text"/>
          <w:color w:val="1B1C1D"/>
          <w:sz w:val="24"/>
          <w:szCs w:val="24"/>
        </w:rPr>
        <w:t>)</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1</w:t>
      </w:r>
      <w:r w:rsidR="002E4597" w:rsidRPr="009058A3">
        <w:rPr>
          <w:rFonts w:ascii="Google Sans Text" w:eastAsia="Google Sans Text" w:hAnsi="Google Sans Text" w:cs="___WRD_EMBED_SUB_46"/>
          <w:color w:val="1B1C1D"/>
          <w:sz w:val="24"/>
          <w:szCs w:val="24"/>
        </w:rPr>
        <w:t>≤</w:t>
      </w:r>
      <w:r w:rsidR="002E4597" w:rsidRPr="009058A3">
        <w:rPr>
          <w:rFonts w:ascii="Google Sans Text" w:eastAsia="Google Sans Text" w:hAnsi="Google Sans Text" w:cs="Google Sans Text"/>
          <w:color w:val="1B1C1D"/>
          <w:sz w:val="24"/>
          <w:szCs w:val="24"/>
        </w:rPr>
        <w:t>12</w:t>
      </w:r>
      <w:r w:rsidR="002E4597" w:rsidRPr="009058A3">
        <w:rPr>
          <w:rFonts w:ascii="Google Sans Text" w:eastAsia="Google Sans Text" w:hAnsi="Google Sans Text" w:cs="___WRD_EMBED_SUB_46"/>
          <w:color w:val="1B1C1D"/>
          <w:sz w:val="24"/>
          <w:szCs w:val="24"/>
        </w:rPr>
        <w:t>τ</w:t>
      </w:r>
      <w:r w:rsidR="002E4597" w:rsidRPr="009058A3">
        <w:rPr>
          <w:rFonts w:ascii="Google Sans Text" w:eastAsia="Google Sans Text" w:hAnsi="Google Sans Text" w:cs="Google Sans Text"/>
          <w:color w:val="1B1C1D"/>
          <w:sz w:val="24"/>
          <w:szCs w:val="24"/>
        </w:rPr>
        <w:t>min</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x</w:t>
      </w:r>
      <w:r w:rsidR="002E4597" w:rsidRPr="009058A3">
        <w:rPr>
          <w:rFonts w:ascii="Google Sans Text" w:eastAsia="Google Sans Text" w:hAnsi="Google Sans Text" w:cs="___WRD_EMBED_SUB_46"/>
          <w:color w:val="1B1C1D"/>
          <w:sz w:val="24"/>
          <w:szCs w:val="24"/>
        </w:rPr>
        <w:t>−</w:t>
      </w:r>
      <w:r w:rsidR="002E4597" w:rsidRPr="009058A3">
        <w:rPr>
          <w:rFonts w:ascii="Google Sans Text" w:eastAsia="Google Sans Text" w:hAnsi="Google Sans Text" w:cs="Google Sans Text"/>
          <w:color w:val="1B1C1D"/>
          <w:sz w:val="24"/>
          <w:szCs w:val="24"/>
        </w:rPr>
        <w:t>y</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1\|\mathrm{softmax}(x/τ)-\mathrm{softmax}(y/τ)\|_1 \le \frac{1}{2τ_{\min}}\|x-y\|_1</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softmax(x/τ)−softmax(y/τ)</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1​≤2τmin​1​</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x−y</w:t>
      </w:r>
      <w:r w:rsidR="002E4597" w:rsidRPr="009058A3">
        <w:rPr>
          <w:rFonts w:ascii="Cambria Math" w:eastAsia="Google Sans Text" w:hAnsi="Cambria Math" w:cs="Cambria Math"/>
          <w:color w:val="1B1C1D"/>
          <w:sz w:val="24"/>
          <w:szCs w:val="24"/>
        </w:rPr>
        <w:t>∥</w:t>
      </w:r>
      <w:r w:rsidR="002E4597" w:rsidRPr="009058A3">
        <w:rPr>
          <w:rFonts w:ascii="Google Sans Text" w:eastAsia="Google Sans Text" w:hAnsi="Google Sans Text" w:cs="Google Sans Text"/>
          <w:color w:val="1B1C1D"/>
          <w:sz w:val="24"/>
          <w:szCs w:val="24"/>
        </w:rPr>
        <w:t>1​.</w:t>
      </w:r>
      <w:r w:rsidR="002E4597" w:rsidRPr="009058A3">
        <w:rPr>
          <w:rFonts w:ascii="Google Sans Text" w:eastAsia="Google Sans Text" w:hAnsi="Google Sans Text" w:cs="Google Sans Text"/>
          <w:color w:val="1B1C1D"/>
          <w:sz w:val="24"/>
          <w:szCs w:val="24"/>
        </w:rPr>
        <w:br/>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La jacobienne (τ = 1) est J(p) = diag(p) − p p</w:t>
      </w:r>
      <w:r w:rsidRPr="009058A3">
        <w:rPr>
          <w:rFonts w:eastAsia="Google Sans Text"/>
          <w:color w:val="1B1C1D"/>
          <w:sz w:val="24"/>
          <w:szCs w:val="24"/>
        </w:rPr>
        <w:t>ᵀ</w:t>
      </w:r>
      <w:r w:rsidRPr="009058A3">
        <w:rPr>
          <w:rFonts w:ascii="Google Sans Text" w:eastAsia="Google Sans Text" w:hAnsi="Google Sans Text" w:cs="Google Sans Text"/>
          <w:color w:val="1B1C1D"/>
          <w:sz w:val="24"/>
          <w:szCs w:val="24"/>
        </w:rPr>
        <w:t>.</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Pour la colonne j : Σ_i |J_{ij}| = 2 p_j (1 − p_j) ≤ ½.</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À température τ, la jacobienne est multipliée par 1/τ, d’où</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||softmax(x/τ) − softmax(y/τ)||₁ ≤ (1 / (2τ)) · ||x − y||₁.</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L’invariance x → x + c·1 vient de la translation‑invariance de la softmax.</w:t>
      </w:r>
    </w:p>
    <w:p w14:paraId="78AE41C6" w14:textId="77777777"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p>
    <w:p w14:paraId="31F1913E" w14:textId="74B83F1D"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Preuve du Lemme 3 (ICA par ligne).</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 xml:space="preserve">||A||_F² = Σ_i ||A_i||₂² ≤ C_attn²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||A_i||</w:t>
      </w:r>
      <w:r w:rsidRPr="009058A3">
        <w:rPr>
          <w:rFonts w:ascii="Google Sans Text" w:eastAsia="Google Sans Text" w:hAnsi="Google Sans Text" w:cs="___WRD_EMBED_SUB_49"/>
          <w:color w:val="1B1C1D"/>
          <w:sz w:val="24"/>
          <w:szCs w:val="24"/>
        </w:rPr>
        <w:t>₂</w:t>
      </w:r>
      <w:r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 xml:space="preserve"> C_attn pour tout i.</w:t>
      </w:r>
    </w:p>
    <w:p w14:paraId="1B5DBF4F" w14:textId="77777777"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p>
    <w:p w14:paraId="7680ED9F" w14:textId="77777777"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Détails du Théorème 1 (borne globale).</w:t>
      </w:r>
    </w:p>
    <w:p w14:paraId="5AE817CC" w14:textId="3FFDC89E"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Par Lemme 2 : ||P_x−P_y||₁ ≤ (1/(2τ_min)) ||A_x−A_y||₁.</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Puis ||A_x−A_y||₁ ≤ √n (||A_x||₂ + ||A_y||₂) ≤ 2 √n · C_attn (Lemme 3).</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Avec κ = 1 − ½||P_x−P_y||₁ (Lemme 1), on conclut.</w:t>
      </w:r>
    </w:p>
    <w:p w14:paraId="4451F740" w14:textId="30CFB4A1" w:rsidR="002D4C7A" w:rsidRPr="009058A3" w:rsidRDefault="002D4C7A" w:rsidP="002D4C7A">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Détails du Théorème 2 (borne locale).</w:t>
      </w:r>
      <w:r w:rsidR="00D105B0"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||A_x−A_y||₂ ≤ (||K||₂ / √d) ||q_x−q_y||₂ ≤ (√n · R / √d) γ,</w:t>
      </w:r>
      <w:r w:rsidR="00D105B0"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puis ||A_x−A_y||₁ ≤ √n ||A_x−A_y||₂.On termine avec les Lemmes 1 et 2.</w:t>
      </w:r>
    </w:p>
    <w:p w14:paraId="026D74FD" w14:textId="17872C64" w:rsidR="000A39C7" w:rsidRPr="009058A3" w:rsidRDefault="00043A4F" w:rsidP="002D4C7A">
      <w:pPr>
        <w:pBdr>
          <w:top w:val="nil"/>
          <w:left w:val="nil"/>
          <w:bottom w:val="nil"/>
          <w:right w:val="nil"/>
          <w:between w:val="nil"/>
        </w:pBdr>
        <w:spacing w:line="275" w:lineRule="auto"/>
        <w:ind w:left="465"/>
        <w:rPr>
          <w:rFonts w:ascii="Google Sans Text" w:hAnsi="Google Sans Text"/>
          <w:sz w:val="24"/>
          <w:szCs w:val="24"/>
        </w:rPr>
      </w:pPr>
      <w:r w:rsidRPr="009058A3">
        <w:rPr>
          <w:rFonts w:ascii="Google Sans Text" w:eastAsia="Google Sans Text" w:hAnsi="Google Sans Text" w:cs="Google Sans Text"/>
          <w:color w:val="575B5F"/>
          <w:sz w:val="24"/>
          <w:szCs w:val="24"/>
        </w:rPr>
        <w:br/>
      </w:r>
    </w:p>
    <w:p w14:paraId="027A8116" w14:textId="5A6BC98F" w:rsidR="00734EF3" w:rsidRPr="009058A3" w:rsidRDefault="009F0CDF" w:rsidP="00734EF3">
      <w:pPr>
        <w:rPr>
          <w:rFonts w:ascii="Google Sans Text" w:hAnsi="Google Sans Text"/>
          <w:sz w:val="24"/>
          <w:szCs w:val="24"/>
        </w:rPr>
      </w:pPr>
      <w:r w:rsidRPr="009058A3">
        <w:rPr>
          <w:rFonts w:ascii="Google Sans Text" w:eastAsia="Google Sans Text" w:hAnsi="Google Sans Text" w:cs="Google Sans Text"/>
          <w:b/>
          <w:color w:val="1B1C1D"/>
          <w:sz w:val="24"/>
          <w:szCs w:val="24"/>
        </w:rPr>
        <w:t>Annexe B :</w:t>
      </w:r>
      <w:r w:rsidRPr="009058A3">
        <w:rPr>
          <w:rFonts w:ascii="Google Sans Text" w:eastAsia="Google Sans Text" w:hAnsi="Google Sans Text" w:cs="Google Sans Text"/>
          <w:color w:val="1B1C1D"/>
          <w:sz w:val="24"/>
          <w:szCs w:val="24"/>
        </w:rPr>
        <w:t xml:space="preserve"> Dérivation formelle de la sonde DAP (issue d'ISI).</w:t>
      </w:r>
      <w:r w:rsidRPr="009058A3">
        <w:rPr>
          <w:rFonts w:ascii="Google Sans Text" w:eastAsia="Google Sans Text" w:hAnsi="Google Sans Text" w:cs="Google Sans Text"/>
          <w:color w:val="575B5F"/>
          <w:sz w:val="24"/>
          <w:szCs w:val="24"/>
          <w:vertAlign w:val="superscript"/>
        </w:rPr>
        <w:t>1</w:t>
      </w:r>
      <w:r w:rsidR="004E6AA2" w:rsidRPr="009058A3">
        <w:rPr>
          <w:rFonts w:ascii="Google Sans Text" w:eastAsia="Google Sans Text" w:hAnsi="Google Sans Text" w:cs="Google Sans Text"/>
          <w:color w:val="575B5F"/>
          <w:sz w:val="24"/>
          <w:szCs w:val="24"/>
          <w:vertAlign w:val="superscript"/>
        </w:rPr>
        <w:br/>
      </w:r>
    </w:p>
    <w:p w14:paraId="30B6E263" w14:textId="77777777" w:rsidR="00734EF3" w:rsidRPr="009058A3" w:rsidRDefault="00734EF3" w:rsidP="00734EF3">
      <w:pPr>
        <w:rPr>
          <w:rFonts w:ascii="Google Sans Text" w:hAnsi="Google Sans Text"/>
          <w:sz w:val="24"/>
          <w:szCs w:val="24"/>
        </w:rPr>
      </w:pPr>
    </w:p>
    <w:p w14:paraId="7317CF0C"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Introduction de l'Annexe</w:t>
      </w:r>
    </w:p>
    <w:p w14:paraId="736F0375" w14:textId="77777777" w:rsidR="00734EF3" w:rsidRPr="009058A3" w:rsidRDefault="00734EF3" w:rsidP="00734EF3">
      <w:pPr>
        <w:rPr>
          <w:rFonts w:ascii="Google Sans Text" w:hAnsi="Google Sans Text"/>
          <w:sz w:val="24"/>
          <w:szCs w:val="24"/>
        </w:rPr>
      </w:pPr>
    </w:p>
    <w:p w14:paraId="04E4825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La présente annexe a pour objectif de fournir une dérivation mathématique complète, rigoureuse et autonome de la méthode de Perturbation Différentielle d'Axe (DAP), telle qu'introduite dans le corps principal de cet article. Cette formalisation est essentielle non seulement pour garantir la reproductibilité de notre approche, mais également pour valider sa cohérence théorique avec la thèse centrale de l'article. Cette thèse postule un lien fondamental entre les instabilités computationnelles observées dans les grands modèles de langage (LLM), telles que les hallucinations, et les limites physiques gouvernant l'information. En exposant en détail les fondements géométriques, les dérivations analytiques et le protocole de calibration de la méthode DAP, nous établissons cette dernière comme un instrument de mesure précis et scientifiquement fondé pour sonder la stabilité de l'espace latent des LLM.</w:t>
      </w:r>
    </w:p>
    <w:p w14:paraId="4D68E732"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Cette annexe est structurée de manière à guider le lecteur à travers une progression logique. Nous commencerons par établir les fondements géométriques qui permettent de modéliser la distribution de probabilité de sortie d'un Transformer sur une hypersphère. Nous décrirons ensuite formellement le protocole de perturbation par rotation, en justifiant les contraintes méthodologiques qui garantissent la pureté de la mesure. Le cœur de l'annexe sera consacré à la dérivation analytique, étape par étape, des première et seconde dérivées de la probabilité, qui quantifient la sensibilité du modèle à la perturbation. À partir de ces dérivées, nous construirons les indices de stabilité — l'Indice de Variation Absolue Totale V(</w:t>
      </w:r>
      <w:r w:rsidRPr="009058A3">
        <w:rPr>
          <w:rFonts w:ascii="Calibri" w:hAnsi="Calibri" w:cs="Calibri"/>
          <w:sz w:val="24"/>
          <w:szCs w:val="24"/>
        </w:rPr>
        <w:t>ϵ</w:t>
      </w:r>
      <w:r w:rsidRPr="009058A3">
        <w:rPr>
          <w:rFonts w:ascii="Google Sans Text" w:hAnsi="Google Sans Text"/>
          <w:sz w:val="24"/>
          <w:szCs w:val="24"/>
        </w:rPr>
        <w:t xml:space="preserve">) et le Ratio d'Invariance </w:t>
      </w:r>
      <w:r w:rsidRPr="009058A3">
        <w:rPr>
          <w:rFonts w:ascii="Google Sans Text" w:hAnsi="Google Sans Text"/>
          <w:sz w:val="24"/>
          <w:szCs w:val="24"/>
        </w:rPr>
        <w:lastRenderedPageBreak/>
        <w:t>Symétrique R(</w:t>
      </w:r>
      <w:r w:rsidRPr="009058A3">
        <w:rPr>
          <w:rFonts w:ascii="Calibri" w:hAnsi="Calibri" w:cs="Calibri"/>
          <w:sz w:val="24"/>
          <w:szCs w:val="24"/>
        </w:rPr>
        <w:t>ϵ</w:t>
      </w:r>
      <w:r w:rsidRPr="009058A3">
        <w:rPr>
          <w:rFonts w:ascii="Google Sans Text" w:hAnsi="Google Sans Text"/>
          <w:sz w:val="24"/>
          <w:szCs w:val="24"/>
        </w:rPr>
        <w:t xml:space="preserve">) — en explicitant leur signification physique et computationnelle. Enfin, nous conclurons par l'exposition du protocole de calibration systématique de l'angle de perturbation </w:t>
      </w:r>
      <w:r w:rsidRPr="009058A3">
        <w:rPr>
          <w:rFonts w:ascii="Calibri" w:hAnsi="Calibri" w:cs="Calibri"/>
          <w:sz w:val="24"/>
          <w:szCs w:val="24"/>
        </w:rPr>
        <w:t>ϵ</w:t>
      </w:r>
      <w:r w:rsidRPr="009058A3">
        <w:rPr>
          <w:rFonts w:ascii="Google Sans Text" w:hAnsi="Google Sans Text"/>
          <w:sz w:val="24"/>
          <w:szCs w:val="24"/>
        </w:rPr>
        <w:t>, une procédure cruciale qui assure la robustesse et la comparabilité des résultats obtenus, conférant ainsi à la méthode DAP le statut d'outil d'analyse scientifique rigoureux.</w:t>
      </w:r>
    </w:p>
    <w:p w14:paraId="4C7A4DB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Symbole/Terme | Description Formelle | Formule Définitionnelle |</w:t>
      </w:r>
    </w:p>
    <w:p w14:paraId="0B045C8C"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 | --- | --- |</w:t>
      </w:r>
    </w:p>
    <w:p w14:paraId="415F0C06"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c0​ | Vecteur de contexte initial non-perturb</w:t>
      </w:r>
      <w:r w:rsidRPr="009058A3">
        <w:rPr>
          <w:rFonts w:ascii="Google Sans Text" w:hAnsi="Google Sans Text" w:cs="Aptos"/>
          <w:sz w:val="24"/>
          <w:szCs w:val="24"/>
        </w:rPr>
        <w:t>é</w:t>
      </w:r>
      <w:r w:rsidRPr="009058A3">
        <w:rPr>
          <w:rFonts w:ascii="Google Sans Text" w:hAnsi="Google Sans Text"/>
          <w:sz w:val="24"/>
          <w:szCs w:val="24"/>
        </w:rPr>
        <w:t xml:space="preserve"> | c0​=Encoder(prompt) |</w:t>
      </w:r>
    </w:p>
    <w:p w14:paraId="765D1F9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vi​ | Vecteur d'embedding du token i | - |</w:t>
      </w:r>
    </w:p>
    <w:p w14:paraId="6D92B74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θi | Angle entre le contexte c et le token vi | $\theta_i = \arccos\!\left(\frac{\langle v_i, c\rangle}{\|v_i\|\,\|c\|}\right)$ |</w:t>
      </w:r>
    </w:p>
    <w:p w14:paraId="308E18B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P(i|c) | Probabilité du token i conditionnée par le contexte c | $P(i\mid c) = \dfrac{e^{\beta \cos\theta_i}}{\sum_{j} e^{\beta \cos\theta_j}}$ |</w:t>
      </w:r>
    </w:p>
    <w:p w14:paraId="5656793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c</w:t>
      </w:r>
      <w:r w:rsidRPr="009058A3">
        <w:rPr>
          <w:rFonts w:ascii="Calibri" w:hAnsi="Calibri" w:cs="Calibri"/>
          <w:sz w:val="24"/>
          <w:szCs w:val="24"/>
        </w:rPr>
        <w:t>ϕ</w:t>
      </w:r>
      <w:r w:rsidRPr="009058A3">
        <w:rPr>
          <w:rFonts w:ascii="Google Sans Text" w:hAnsi="Google Sans Text"/>
          <w:sz w:val="24"/>
          <w:szCs w:val="24"/>
        </w:rPr>
        <w:t xml:space="preserve">​ | Vecteur de contexte perturbé par une rotation d'angle </w:t>
      </w:r>
      <w:r w:rsidRPr="009058A3">
        <w:rPr>
          <w:rFonts w:ascii="Calibri" w:hAnsi="Calibri" w:cs="Calibri"/>
          <w:sz w:val="24"/>
          <w:szCs w:val="24"/>
        </w:rPr>
        <w:t>ϕ</w:t>
      </w:r>
      <w:r w:rsidRPr="009058A3">
        <w:rPr>
          <w:rFonts w:ascii="Google Sans Text" w:hAnsi="Google Sans Text"/>
          <w:sz w:val="24"/>
          <w:szCs w:val="24"/>
        </w:rPr>
        <w:t xml:space="preserve"> | c</w:t>
      </w:r>
      <w:r w:rsidRPr="009058A3">
        <w:rPr>
          <w:rFonts w:ascii="Calibri" w:hAnsi="Calibri" w:cs="Calibri"/>
          <w:sz w:val="24"/>
          <w:szCs w:val="24"/>
        </w:rPr>
        <w:t>ϕ</w:t>
      </w:r>
      <w:r w:rsidRPr="009058A3">
        <w:rPr>
          <w:rFonts w:ascii="Google Sans Text" w:hAnsi="Google Sans Text"/>
          <w:sz w:val="24"/>
          <w:szCs w:val="24"/>
        </w:rPr>
        <w:t>​=Ru​(</w:t>
      </w:r>
      <w:r w:rsidRPr="009058A3">
        <w:rPr>
          <w:rFonts w:ascii="Calibri" w:hAnsi="Calibri" w:cs="Calibri"/>
          <w:sz w:val="24"/>
          <w:szCs w:val="24"/>
        </w:rPr>
        <w:t>ϕ</w:t>
      </w:r>
      <w:r w:rsidRPr="009058A3">
        <w:rPr>
          <w:rFonts w:ascii="Google Sans Text" w:hAnsi="Google Sans Text"/>
          <w:sz w:val="24"/>
          <w:szCs w:val="24"/>
        </w:rPr>
        <w:t>)c0​ |</w:t>
      </w:r>
    </w:p>
    <w:p w14:paraId="4E76472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V(</w:t>
      </w:r>
      <w:r w:rsidRPr="009058A3">
        <w:rPr>
          <w:rFonts w:ascii="Calibri" w:hAnsi="Calibri" w:cs="Calibri"/>
          <w:sz w:val="24"/>
          <w:szCs w:val="24"/>
        </w:rPr>
        <w:t>ϵ</w:t>
      </w:r>
      <w:r w:rsidRPr="009058A3">
        <w:rPr>
          <w:rFonts w:ascii="Google Sans Text" w:hAnsi="Google Sans Text"/>
          <w:sz w:val="24"/>
          <w:szCs w:val="24"/>
        </w:rPr>
        <w:t>) | Indice de Variation Absolue Totale | $V(\epsilon) = \sum_{i \in S\cup W}\big|\Delta P_i(\epsilon)\big|$ |</w:t>
      </w:r>
    </w:p>
    <w:p w14:paraId="2A942771"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R(</w:t>
      </w:r>
      <w:r w:rsidRPr="009058A3">
        <w:rPr>
          <w:rFonts w:ascii="Calibri" w:hAnsi="Calibri" w:cs="Calibri"/>
          <w:sz w:val="24"/>
          <w:szCs w:val="24"/>
        </w:rPr>
        <w:t>ϵ</w:t>
      </w:r>
      <w:r w:rsidRPr="009058A3">
        <w:rPr>
          <w:rFonts w:ascii="Google Sans Text" w:hAnsi="Google Sans Text"/>
          <w:sz w:val="24"/>
          <w:szCs w:val="24"/>
        </w:rPr>
        <w:t>) | Ratio d'Invariance Symétrique | $R(\epsilon)=\dfrac{\sum_{j\in W}\big(-\Delta P_j(\epsilon)\big)}{\sum_{i\in S}\Delta P_i(\epsilon)}$ |</w:t>
      </w:r>
      <w:r w:rsidRPr="009058A3">
        <w:rPr>
          <w:rFonts w:ascii="Google Sans Text" w:hAnsi="Google Sans Text"/>
          <w:sz w:val="24"/>
          <w:szCs w:val="24"/>
        </w:rPr>
        <w:br/>
      </w:r>
      <w:r w:rsidRPr="009058A3">
        <w:rPr>
          <w:rFonts w:ascii="Google Sans Text" w:hAnsi="Google Sans Text"/>
          <w:sz w:val="24"/>
          <w:szCs w:val="24"/>
        </w:rPr>
        <w:br/>
        <w:t xml:space="preserve">| η | Contrainte de linéarité pour la calibration de </w:t>
      </w:r>
      <w:r w:rsidRPr="009058A3">
        <w:rPr>
          <w:rFonts w:ascii="Calibri" w:hAnsi="Calibri" w:cs="Calibri"/>
          <w:sz w:val="24"/>
          <w:szCs w:val="24"/>
        </w:rPr>
        <w:t>ϵ</w:t>
      </w:r>
      <w:r w:rsidRPr="009058A3">
        <w:rPr>
          <w:rFonts w:ascii="Google Sans Text" w:hAnsi="Google Sans Text"/>
          <w:sz w:val="24"/>
          <w:szCs w:val="24"/>
        </w:rPr>
        <w:t xml:space="preserve"> | $\eta=\dfrac{\left|\left.\frac{\partial P_i}{\partial \phi}\right|_{\phi=0}\,\epsilon\right|}{\left|\dfrac{1}{2}\left.\frac{\partial^{2} P_i}{\partial \phi^{2}}\right|_{\phi=0}\,\epsilon^{2}\right|}\ll 1$ |</w:t>
      </w:r>
    </w:p>
    <w:p w14:paraId="10B9DB17" w14:textId="77777777" w:rsidR="00734EF3" w:rsidRPr="009058A3" w:rsidRDefault="00734EF3" w:rsidP="00734EF3">
      <w:pPr>
        <w:rPr>
          <w:rFonts w:ascii="Google Sans Text" w:hAnsi="Google Sans Text"/>
          <w:sz w:val="24"/>
          <w:szCs w:val="24"/>
        </w:rPr>
      </w:pPr>
    </w:p>
    <w:p w14:paraId="4516CE4F" w14:textId="77777777" w:rsidR="00734EF3" w:rsidRPr="009058A3" w:rsidRDefault="00734EF3" w:rsidP="00734EF3">
      <w:pPr>
        <w:rPr>
          <w:rFonts w:ascii="Google Sans Text" w:hAnsi="Google Sans Text"/>
          <w:sz w:val="24"/>
          <w:szCs w:val="24"/>
        </w:rPr>
      </w:pPr>
    </w:p>
    <w:p w14:paraId="16F57515" w14:textId="156CABC0" w:rsidR="00734EF3" w:rsidRPr="009058A3" w:rsidRDefault="00734EF3" w:rsidP="00734EF3">
      <w:pPr>
        <w:rPr>
          <w:rFonts w:ascii="Google Sans Text" w:hAnsi="Google Sans Text"/>
          <w:sz w:val="24"/>
          <w:szCs w:val="24"/>
        </w:rPr>
      </w:pPr>
      <w:r w:rsidRPr="009058A3">
        <w:rPr>
          <w:rFonts w:ascii="Google Sans Text" w:hAnsi="Google Sans Text"/>
          <w:sz w:val="24"/>
          <w:szCs w:val="24"/>
        </w:rPr>
        <w:t>B.1. Fondements Géométriques de la Distribution de Probabilité</w:t>
      </w:r>
    </w:p>
    <w:p w14:paraId="61996BF0" w14:textId="77777777" w:rsidR="00734EF3" w:rsidRPr="009058A3" w:rsidRDefault="00734EF3" w:rsidP="00734EF3">
      <w:pPr>
        <w:rPr>
          <w:rFonts w:ascii="Google Sans Text" w:hAnsi="Google Sans Text"/>
          <w:sz w:val="24"/>
          <w:szCs w:val="24"/>
        </w:rPr>
      </w:pPr>
    </w:p>
    <w:p w14:paraId="55CEB0B3" w14:textId="77777777" w:rsidR="00734EF3" w:rsidRPr="009058A3" w:rsidRDefault="00734EF3" w:rsidP="00734EF3">
      <w:pPr>
        <w:rPr>
          <w:rFonts w:ascii="Google Sans Text" w:hAnsi="Google Sans Text"/>
          <w:sz w:val="24"/>
          <w:szCs w:val="24"/>
        </w:rPr>
      </w:pPr>
    </w:p>
    <w:p w14:paraId="755DAD0C" w14:textId="438830EA" w:rsidR="00734EF3" w:rsidRPr="009058A3" w:rsidRDefault="00734EF3" w:rsidP="00734EF3">
      <w:pPr>
        <w:rPr>
          <w:rFonts w:ascii="Google Sans Text" w:hAnsi="Google Sans Text"/>
          <w:sz w:val="24"/>
          <w:szCs w:val="24"/>
        </w:rPr>
      </w:pPr>
      <w:r w:rsidRPr="009058A3">
        <w:rPr>
          <w:rFonts w:ascii="Google Sans Text" w:hAnsi="Google Sans Text"/>
          <w:sz w:val="24"/>
          <w:szCs w:val="24"/>
        </w:rPr>
        <w:t>B.1.1. Le Modèle Angulaire du Softmax</w:t>
      </w:r>
    </w:p>
    <w:p w14:paraId="25C4A663" w14:textId="77777777" w:rsidR="00734EF3" w:rsidRPr="009058A3" w:rsidRDefault="00734EF3" w:rsidP="00734EF3">
      <w:pPr>
        <w:rPr>
          <w:rFonts w:ascii="Google Sans Text" w:hAnsi="Google Sans Text"/>
          <w:sz w:val="24"/>
          <w:szCs w:val="24"/>
        </w:rPr>
      </w:pPr>
    </w:p>
    <w:p w14:paraId="042FF5B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 point de départ de notre formalisation est une interprétation géométrique de la couche de sortie d'une architecture de type Transformer. Canoniquement, la probabilité d'un token de sortie est obtenue en appliquant une fonction softmax aux logits, où chaque logit</w:t>
      </w:r>
    </w:p>
    <w:p w14:paraId="3EF2277A"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li​ est le r</w:t>
      </w:r>
      <w:r w:rsidRPr="009058A3">
        <w:rPr>
          <w:rFonts w:ascii="Google Sans Text" w:hAnsi="Google Sans Text" w:cs="Aptos"/>
          <w:sz w:val="24"/>
          <w:szCs w:val="24"/>
        </w:rPr>
        <w:t>é</w:t>
      </w:r>
      <w:r w:rsidRPr="009058A3">
        <w:rPr>
          <w:rFonts w:ascii="Google Sans Text" w:hAnsi="Google Sans Text"/>
          <w:sz w:val="24"/>
          <w:szCs w:val="24"/>
        </w:rPr>
        <w:t>sultat d'un produit scalaire entre le vecteur de contexte final, c</w:t>
      </w:r>
      <w:r w:rsidRPr="009058A3">
        <w:rPr>
          <w:rFonts w:ascii="Cambria Math" w:hAnsi="Cambria Math" w:cs="Cambria Math"/>
          <w:sz w:val="24"/>
          <w:szCs w:val="24"/>
        </w:rPr>
        <w:t>∈</w:t>
      </w:r>
      <w:r w:rsidRPr="009058A3">
        <w:rPr>
          <w:rFonts w:ascii="Google Sans Text" w:hAnsi="Google Sans Text"/>
          <w:sz w:val="24"/>
          <w:szCs w:val="24"/>
        </w:rPr>
        <w:t>Rd, et le vecteur d'embedding du token correspondant, vi​</w:t>
      </w:r>
      <w:r w:rsidRPr="009058A3">
        <w:rPr>
          <w:rFonts w:ascii="Cambria Math" w:hAnsi="Cambria Math" w:cs="Cambria Math"/>
          <w:sz w:val="24"/>
          <w:szCs w:val="24"/>
        </w:rPr>
        <w:t>∈</w:t>
      </w:r>
      <w:r w:rsidRPr="009058A3">
        <w:rPr>
          <w:rFonts w:ascii="Google Sans Text" w:hAnsi="Google Sans Text"/>
          <w:sz w:val="24"/>
          <w:szCs w:val="24"/>
        </w:rPr>
        <w:t>Rd.</w:t>
      </w:r>
    </w:p>
    <w:p w14:paraId="6AE13D6C"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En supposant, sans perte de généralité, des vecteurs normalisés, le logit li​=</w:t>
      </w:r>
      <w:r w:rsidRPr="009058A3">
        <w:rPr>
          <w:rFonts w:ascii="Cambria Math" w:hAnsi="Cambria Math" w:cs="Cambria Math"/>
          <w:sz w:val="24"/>
          <w:szCs w:val="24"/>
        </w:rPr>
        <w:t>⟨</w:t>
      </w:r>
      <w:r w:rsidRPr="009058A3">
        <w:rPr>
          <w:rFonts w:ascii="Google Sans Text" w:hAnsi="Google Sans Text"/>
          <w:sz w:val="24"/>
          <w:szCs w:val="24"/>
        </w:rPr>
        <w:t>c,vi​</w:t>
      </w:r>
      <w:r w:rsidRPr="009058A3">
        <w:rPr>
          <w:rFonts w:ascii="Cambria Math" w:hAnsi="Cambria Math" w:cs="Cambria Math"/>
          <w:sz w:val="24"/>
          <w:szCs w:val="24"/>
        </w:rPr>
        <w:t>⟩</w:t>
      </w:r>
      <w:r w:rsidRPr="009058A3">
        <w:rPr>
          <w:rFonts w:ascii="Google Sans Text" w:hAnsi="Google Sans Text"/>
          <w:sz w:val="24"/>
          <w:szCs w:val="24"/>
        </w:rPr>
        <w:t xml:space="preserve"> est directement proportionnel au cosinus de l'angle θi​ entre ces deux vecteurs. Cette relation est formalis</w:t>
      </w:r>
      <w:r w:rsidRPr="009058A3">
        <w:rPr>
          <w:rFonts w:ascii="Google Sans Text" w:hAnsi="Google Sans Text" w:cs="Aptos"/>
          <w:sz w:val="24"/>
          <w:szCs w:val="24"/>
        </w:rPr>
        <w:t>é</w:t>
      </w:r>
      <w:r w:rsidRPr="009058A3">
        <w:rPr>
          <w:rFonts w:ascii="Google Sans Text" w:hAnsi="Google Sans Text"/>
          <w:sz w:val="24"/>
          <w:szCs w:val="24"/>
        </w:rPr>
        <w:t>e par :</w:t>
      </w:r>
    </w:p>
    <w:p w14:paraId="5DFE4AB9"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7F858A06"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\theta_i=\arccos\!\left(\frac{\langle v_i, c \rangle}{\|v_i\|\,\|c\|}\right)</w:t>
      </w:r>
    </w:p>
    <w:p w14:paraId="410CFAD2"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29FF20D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La fonction de probabilité softmax standard peut alors être ré-exprimée en termes </w:t>
      </w:r>
      <w:r w:rsidRPr="009058A3">
        <w:rPr>
          <w:rFonts w:ascii="Google Sans Text" w:hAnsi="Google Sans Text"/>
          <w:sz w:val="24"/>
          <w:szCs w:val="24"/>
        </w:rPr>
        <w:lastRenderedPageBreak/>
        <w:t>purement angulaires :</w:t>
      </w:r>
    </w:p>
    <w:p w14:paraId="3B9B5D5A"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5259149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P(i\mid c)=\dfrac{e^{\beta \cos\theta_i}}{\sum_{j} e^{\beta \cos\theta_j}}</w:t>
      </w:r>
    </w:p>
    <w:p w14:paraId="3E77EF53"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1A25106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où β est un paramètre de concentration, analogue à l'inverse de la température de l'échantillonneur softmax.</w:t>
      </w:r>
    </w:p>
    <w:p w14:paraId="1AF323A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Cette formulation n'est pas une simple réécriture. Elle établit que la distribution de probabilité peut être modélisée comme une distribution de von Mises-Fisher sur une hypersphère de dimension d−1. Le recours à une métrique angulaire plutôt qu'à une distance euclidienne est justifié par le fait que dans les espaces latents de haute dimension, c'est la direction (la sémantique) qui prime sur la magnitude. Cette interprétation géométrique est la clé qui justifie l'ensemble de la méthodologie DAP. En modélisant l'espace des prédictions comme une variété sphérique, la rotation devient l'opération naturelle (une isométrie) pour sonder la structure locale de cet espace, par opposition à une translation qui serait moins significative.</w:t>
      </w:r>
    </w:p>
    <w:p w14:paraId="7CAC58AB" w14:textId="77777777" w:rsidR="00734EF3" w:rsidRPr="009058A3" w:rsidRDefault="00734EF3" w:rsidP="00734EF3">
      <w:pPr>
        <w:rPr>
          <w:rFonts w:ascii="Google Sans Text" w:hAnsi="Google Sans Text"/>
          <w:sz w:val="24"/>
          <w:szCs w:val="24"/>
        </w:rPr>
      </w:pPr>
    </w:p>
    <w:p w14:paraId="7AD29A7E" w14:textId="78AC5424" w:rsidR="00734EF3" w:rsidRPr="009058A3" w:rsidRDefault="00734EF3" w:rsidP="00734EF3">
      <w:pPr>
        <w:rPr>
          <w:rFonts w:ascii="Google Sans Text" w:hAnsi="Google Sans Text"/>
          <w:sz w:val="24"/>
          <w:szCs w:val="24"/>
        </w:rPr>
      </w:pPr>
      <w:r w:rsidRPr="009058A3">
        <w:rPr>
          <w:rFonts w:ascii="Google Sans Text" w:hAnsi="Google Sans Text"/>
          <w:sz w:val="24"/>
          <w:szCs w:val="24"/>
        </w:rPr>
        <w:t>B.2. Le Protocole de Perturbation par Rotation d'Axe</w:t>
      </w:r>
    </w:p>
    <w:p w14:paraId="7C7DD612" w14:textId="77777777" w:rsidR="00734EF3" w:rsidRPr="009058A3" w:rsidRDefault="00734EF3" w:rsidP="00734EF3">
      <w:pPr>
        <w:rPr>
          <w:rFonts w:ascii="Google Sans Text" w:hAnsi="Google Sans Text"/>
          <w:sz w:val="24"/>
          <w:szCs w:val="24"/>
        </w:rPr>
      </w:pPr>
    </w:p>
    <w:p w14:paraId="028A6BF3" w14:textId="77777777" w:rsidR="00734EF3" w:rsidRPr="009058A3" w:rsidRDefault="00734EF3" w:rsidP="00734EF3">
      <w:pPr>
        <w:rPr>
          <w:rFonts w:ascii="Google Sans Text" w:hAnsi="Google Sans Text"/>
          <w:sz w:val="24"/>
          <w:szCs w:val="24"/>
        </w:rPr>
      </w:pPr>
    </w:p>
    <w:p w14:paraId="135C030D" w14:textId="4F1C57AA" w:rsidR="00734EF3" w:rsidRPr="009058A3" w:rsidRDefault="00734EF3" w:rsidP="00734EF3">
      <w:pPr>
        <w:rPr>
          <w:rFonts w:ascii="Google Sans Text" w:hAnsi="Google Sans Text"/>
          <w:sz w:val="24"/>
          <w:szCs w:val="24"/>
        </w:rPr>
      </w:pPr>
      <w:r w:rsidRPr="009058A3">
        <w:rPr>
          <w:rFonts w:ascii="Google Sans Text" w:hAnsi="Google Sans Text"/>
          <w:sz w:val="24"/>
          <w:szCs w:val="24"/>
        </w:rPr>
        <w:t>B.2.1. Définition de la Perturbation</w:t>
      </w:r>
    </w:p>
    <w:p w14:paraId="4BEDBEEC" w14:textId="77777777" w:rsidR="00734EF3" w:rsidRPr="009058A3" w:rsidRDefault="00734EF3" w:rsidP="00734EF3">
      <w:pPr>
        <w:rPr>
          <w:rFonts w:ascii="Google Sans Text" w:hAnsi="Google Sans Text"/>
          <w:sz w:val="24"/>
          <w:szCs w:val="24"/>
        </w:rPr>
      </w:pPr>
    </w:p>
    <w:p w14:paraId="7AC25339"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La méthode DAP sonde la stabilité de la distribution de probabilité en appliquant une perturbation infinitésimale et contrôlée au vecteur de contexte. Cette perturbation est formellement définie comme une rotation du vecteur de contexte initial c0​ d'un petit angle </w:t>
      </w:r>
      <w:r w:rsidRPr="009058A3">
        <w:rPr>
          <w:rFonts w:ascii="Calibri" w:hAnsi="Calibri" w:cs="Calibri"/>
          <w:sz w:val="24"/>
          <w:szCs w:val="24"/>
        </w:rPr>
        <w:t>ϕ</w:t>
      </w:r>
      <w:r w:rsidRPr="009058A3">
        <w:rPr>
          <w:rFonts w:ascii="Google Sans Text" w:hAnsi="Google Sans Text"/>
          <w:sz w:val="24"/>
          <w:szCs w:val="24"/>
        </w:rPr>
        <w:t xml:space="preserve"> autour d'un axe unitaire u</w:t>
      </w:r>
      <w:r w:rsidRPr="009058A3">
        <w:rPr>
          <w:rFonts w:ascii="Cambria Math" w:hAnsi="Cambria Math" w:cs="Cambria Math"/>
          <w:sz w:val="24"/>
          <w:szCs w:val="24"/>
        </w:rPr>
        <w:t>∈</w:t>
      </w:r>
      <w:r w:rsidRPr="009058A3">
        <w:rPr>
          <w:rFonts w:ascii="Google Sans Text" w:hAnsi="Google Sans Text"/>
          <w:sz w:val="24"/>
          <w:szCs w:val="24"/>
        </w:rPr>
        <w:t>Rd. Le vecteur de contexte perturb</w:t>
      </w:r>
      <w:r w:rsidRPr="009058A3">
        <w:rPr>
          <w:rFonts w:ascii="Google Sans Text" w:hAnsi="Google Sans Text" w:cs="Aptos"/>
          <w:sz w:val="24"/>
          <w:szCs w:val="24"/>
        </w:rPr>
        <w:t>é</w:t>
      </w:r>
      <w:r w:rsidRPr="009058A3">
        <w:rPr>
          <w:rFonts w:ascii="Google Sans Text" w:hAnsi="Google Sans Text"/>
          <w:sz w:val="24"/>
          <w:szCs w:val="24"/>
        </w:rPr>
        <w:t>, c</w:t>
      </w:r>
      <w:r w:rsidRPr="009058A3">
        <w:rPr>
          <w:rFonts w:ascii="Calibri" w:hAnsi="Calibri" w:cs="Calibri"/>
          <w:sz w:val="24"/>
          <w:szCs w:val="24"/>
        </w:rPr>
        <w:t>ϕ</w:t>
      </w:r>
      <w:r w:rsidRPr="009058A3">
        <w:rPr>
          <w:rFonts w:ascii="Google Sans Text" w:hAnsi="Google Sans Text"/>
          <w:sz w:val="24"/>
          <w:szCs w:val="24"/>
        </w:rPr>
        <w:t>​, est obtenu par l'application d'une matrice de rotation Ru​(</w:t>
      </w:r>
      <w:r w:rsidRPr="009058A3">
        <w:rPr>
          <w:rFonts w:ascii="Calibri" w:hAnsi="Calibri" w:cs="Calibri"/>
          <w:sz w:val="24"/>
          <w:szCs w:val="24"/>
        </w:rPr>
        <w:t>ϕ</w:t>
      </w:r>
      <w:r w:rsidRPr="009058A3">
        <w:rPr>
          <w:rFonts w:ascii="Google Sans Text" w:hAnsi="Google Sans Text"/>
          <w:sz w:val="24"/>
          <w:szCs w:val="24"/>
        </w:rPr>
        <w:t>) :</w:t>
      </w:r>
    </w:p>
    <w:p w14:paraId="0BFFBCB4" w14:textId="77777777" w:rsidR="00734EF3" w:rsidRPr="009058A3" w:rsidRDefault="00734EF3" w:rsidP="00734EF3">
      <w:pPr>
        <w:rPr>
          <w:rFonts w:ascii="Google Sans Text" w:hAnsi="Google Sans Text"/>
          <w:sz w:val="24"/>
          <w:szCs w:val="24"/>
        </w:rPr>
      </w:pPr>
    </w:p>
    <w:p w14:paraId="6CF6F6C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w:t>
      </w:r>
      <w:r w:rsidRPr="009058A3">
        <w:rPr>
          <w:rFonts w:ascii="Calibri" w:hAnsi="Calibri" w:cs="Calibri"/>
          <w:sz w:val="24"/>
          <w:szCs w:val="24"/>
        </w:rPr>
        <w:t>ϕ</w:t>
      </w:r>
      <w:r w:rsidRPr="009058A3">
        <w:rPr>
          <w:rFonts w:ascii="Google Sans Text" w:hAnsi="Google Sans Text"/>
          <w:sz w:val="24"/>
          <w:szCs w:val="24"/>
        </w:rPr>
        <w:t>​=Ru​(</w:t>
      </w:r>
      <w:r w:rsidRPr="009058A3">
        <w:rPr>
          <w:rFonts w:ascii="Calibri" w:hAnsi="Calibri" w:cs="Calibri"/>
          <w:sz w:val="24"/>
          <w:szCs w:val="24"/>
        </w:rPr>
        <w:t>ϕ</w:t>
      </w:r>
      <w:r w:rsidRPr="009058A3">
        <w:rPr>
          <w:rFonts w:ascii="Google Sans Text" w:hAnsi="Google Sans Text"/>
          <w:sz w:val="24"/>
          <w:szCs w:val="24"/>
        </w:rPr>
        <w:t>)c0​</w:t>
      </w:r>
    </w:p>
    <w:p w14:paraId="5965B1F1" w14:textId="77777777" w:rsidR="00734EF3" w:rsidRPr="009058A3" w:rsidRDefault="00734EF3" w:rsidP="00734EF3">
      <w:pPr>
        <w:rPr>
          <w:rFonts w:ascii="Google Sans Text" w:hAnsi="Google Sans Text"/>
          <w:sz w:val="24"/>
          <w:szCs w:val="24"/>
        </w:rPr>
      </w:pPr>
    </w:p>
    <w:p w14:paraId="2D684464" w14:textId="1B4D5036" w:rsidR="00734EF3" w:rsidRPr="009058A3" w:rsidRDefault="00734EF3" w:rsidP="00734EF3">
      <w:pPr>
        <w:rPr>
          <w:rFonts w:ascii="Google Sans Text" w:hAnsi="Google Sans Text"/>
          <w:sz w:val="24"/>
          <w:szCs w:val="24"/>
        </w:rPr>
      </w:pPr>
      <w:r w:rsidRPr="009058A3">
        <w:rPr>
          <w:rFonts w:ascii="Google Sans Text" w:hAnsi="Google Sans Text"/>
          <w:sz w:val="24"/>
          <w:szCs w:val="24"/>
        </w:rPr>
        <w:t>B.2.2. La Contrainte d'Orthogonalité</w:t>
      </w:r>
    </w:p>
    <w:p w14:paraId="14148201" w14:textId="77777777" w:rsidR="00734EF3" w:rsidRPr="009058A3" w:rsidRDefault="00734EF3" w:rsidP="00734EF3">
      <w:pPr>
        <w:rPr>
          <w:rFonts w:ascii="Google Sans Text" w:hAnsi="Google Sans Text"/>
          <w:sz w:val="24"/>
          <w:szCs w:val="24"/>
        </w:rPr>
      </w:pPr>
    </w:p>
    <w:p w14:paraId="71CC1363"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Une contrainte méthodologique cruciale est imposée : l'axe de rotation u doit être orthogonal au vecteur de contexte initial c0​, c'est-</w:t>
      </w:r>
      <w:r w:rsidRPr="009058A3">
        <w:rPr>
          <w:rFonts w:ascii="Google Sans Text" w:hAnsi="Google Sans Text" w:cs="Aptos"/>
          <w:sz w:val="24"/>
          <w:szCs w:val="24"/>
        </w:rPr>
        <w:t>à</w:t>
      </w:r>
      <w:r w:rsidRPr="009058A3">
        <w:rPr>
          <w:rFonts w:ascii="Google Sans Text" w:hAnsi="Google Sans Text"/>
          <w:sz w:val="24"/>
          <w:szCs w:val="24"/>
        </w:rPr>
        <w:t xml:space="preserve">-dire </w:t>
      </w:r>
      <w:r w:rsidRPr="009058A3">
        <w:rPr>
          <w:rFonts w:ascii="Cambria Math" w:hAnsi="Cambria Math" w:cs="Cambria Math"/>
          <w:sz w:val="24"/>
          <w:szCs w:val="24"/>
        </w:rPr>
        <w:t>⟨</w:t>
      </w:r>
      <w:r w:rsidRPr="009058A3">
        <w:rPr>
          <w:rFonts w:ascii="Google Sans Text" w:hAnsi="Google Sans Text"/>
          <w:sz w:val="24"/>
          <w:szCs w:val="24"/>
        </w:rPr>
        <w:t>u,c0​</w:t>
      </w:r>
      <w:r w:rsidRPr="009058A3">
        <w:rPr>
          <w:rFonts w:ascii="Cambria Math" w:hAnsi="Cambria Math" w:cs="Cambria Math"/>
          <w:sz w:val="24"/>
          <w:szCs w:val="24"/>
        </w:rPr>
        <w:t>⟩</w:t>
      </w:r>
      <w:r w:rsidRPr="009058A3">
        <w:rPr>
          <w:rFonts w:ascii="Google Sans Text" w:hAnsi="Google Sans Text"/>
          <w:sz w:val="24"/>
          <w:szCs w:val="24"/>
        </w:rPr>
        <w:t>=0  Cette contrainte n'est pas une simplification technique, mais une condition nécessaire pour garantir la validité de la mesure. L'objectif du DAP est de quantifier la sensibilité du modèle à un changement pur de la</w:t>
      </w:r>
    </w:p>
    <w:p w14:paraId="3D10B18E"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direction sémantique du contexte. Une composante de la perturbation qui serait parallèle à c0​ ne ferait que modifier la magnitude de la projection des vecteurs de tokens sur l'axe du contexte, un effet qui est math</w:t>
      </w:r>
      <w:r w:rsidRPr="009058A3">
        <w:rPr>
          <w:rFonts w:ascii="Google Sans Text" w:hAnsi="Google Sans Text" w:cs="Aptos"/>
          <w:sz w:val="24"/>
          <w:szCs w:val="24"/>
        </w:rPr>
        <w:t>é</w:t>
      </w:r>
      <w:r w:rsidRPr="009058A3">
        <w:rPr>
          <w:rFonts w:ascii="Google Sans Text" w:hAnsi="Google Sans Text"/>
          <w:sz w:val="24"/>
          <w:szCs w:val="24"/>
        </w:rPr>
        <w:t xml:space="preserve">matiquement </w:t>
      </w:r>
      <w:r w:rsidRPr="009058A3">
        <w:rPr>
          <w:rFonts w:ascii="Google Sans Text" w:hAnsi="Google Sans Text" w:cs="Aptos"/>
          <w:sz w:val="24"/>
          <w:szCs w:val="24"/>
        </w:rPr>
        <w:t>é</w:t>
      </w:r>
      <w:r w:rsidRPr="009058A3">
        <w:rPr>
          <w:rFonts w:ascii="Google Sans Text" w:hAnsi="Google Sans Text"/>
          <w:sz w:val="24"/>
          <w:szCs w:val="24"/>
        </w:rPr>
        <w:t xml:space="preserve">quivalent </w:t>
      </w:r>
      <w:r w:rsidRPr="009058A3">
        <w:rPr>
          <w:rFonts w:ascii="Google Sans Text" w:hAnsi="Google Sans Text" w:cs="Aptos"/>
          <w:sz w:val="24"/>
          <w:szCs w:val="24"/>
        </w:rPr>
        <w:t>à</w:t>
      </w:r>
      <w:r w:rsidRPr="009058A3">
        <w:rPr>
          <w:rFonts w:ascii="Google Sans Text" w:hAnsi="Google Sans Text"/>
          <w:sz w:val="24"/>
          <w:szCs w:val="24"/>
        </w:rPr>
        <w:t xml:space="preserve"> une modification de la temp</w:t>
      </w:r>
      <w:r w:rsidRPr="009058A3">
        <w:rPr>
          <w:rFonts w:ascii="Google Sans Text" w:hAnsi="Google Sans Text" w:cs="Aptos"/>
          <w:sz w:val="24"/>
          <w:szCs w:val="24"/>
        </w:rPr>
        <w:t>é</w:t>
      </w:r>
      <w:r w:rsidRPr="009058A3">
        <w:rPr>
          <w:rFonts w:ascii="Google Sans Text" w:hAnsi="Google Sans Text"/>
          <w:sz w:val="24"/>
          <w:szCs w:val="24"/>
        </w:rPr>
        <w:t xml:space="preserve">rature </w:t>
      </w:r>
      <w:r w:rsidRPr="009058A3">
        <w:rPr>
          <w:rFonts w:ascii="Google Sans Text" w:hAnsi="Google Sans Text" w:cs="Aptos"/>
          <w:sz w:val="24"/>
          <w:szCs w:val="24"/>
        </w:rPr>
        <w:t>β</w:t>
      </w:r>
      <w:r w:rsidRPr="009058A3">
        <w:rPr>
          <w:rFonts w:ascii="Google Sans Text" w:hAnsi="Google Sans Text"/>
          <w:sz w:val="24"/>
          <w:szCs w:val="24"/>
        </w:rPr>
        <w:t xml:space="preserve"> du softmax. En imposant la contrainte d'orthogonalit</w:t>
      </w:r>
      <w:r w:rsidRPr="009058A3">
        <w:rPr>
          <w:rFonts w:ascii="Google Sans Text" w:hAnsi="Google Sans Text" w:cs="Aptos"/>
          <w:sz w:val="24"/>
          <w:szCs w:val="24"/>
        </w:rPr>
        <w:t>é</w:t>
      </w:r>
      <w:r w:rsidRPr="009058A3">
        <w:rPr>
          <w:rFonts w:ascii="Google Sans Text" w:hAnsi="Google Sans Text"/>
          <w:sz w:val="24"/>
          <w:szCs w:val="24"/>
        </w:rPr>
        <w:t xml:space="preserve">, nous nous assurons que la perturbation est une rotation pure dans le plan orthogonal </w:t>
      </w:r>
      <w:r w:rsidRPr="009058A3">
        <w:rPr>
          <w:rFonts w:ascii="Google Sans Text" w:hAnsi="Google Sans Text" w:cs="Aptos"/>
          <w:sz w:val="24"/>
          <w:szCs w:val="24"/>
        </w:rPr>
        <w:t>à</w:t>
      </w:r>
      <w:r w:rsidRPr="009058A3">
        <w:rPr>
          <w:rFonts w:ascii="Google Sans Text" w:hAnsi="Google Sans Text"/>
          <w:sz w:val="24"/>
          <w:szCs w:val="24"/>
        </w:rPr>
        <w:t xml:space="preserve"> c0​, isolant ainsi l'effet d'un changement de direction s</w:t>
      </w:r>
      <w:r w:rsidRPr="009058A3">
        <w:rPr>
          <w:rFonts w:ascii="Google Sans Text" w:hAnsi="Google Sans Text" w:cs="Aptos"/>
          <w:sz w:val="24"/>
          <w:szCs w:val="24"/>
        </w:rPr>
        <w:t>é</w:t>
      </w:r>
      <w:r w:rsidRPr="009058A3">
        <w:rPr>
          <w:rFonts w:ascii="Google Sans Text" w:hAnsi="Google Sans Text"/>
          <w:sz w:val="24"/>
          <w:szCs w:val="24"/>
        </w:rPr>
        <w:t xml:space="preserve">mantique de celui d'un changement de confiance globale. Le DAP devient ainsi un instrument </w:t>
      </w:r>
      <w:r w:rsidRPr="009058A3">
        <w:rPr>
          <w:rFonts w:ascii="Google Sans Text" w:hAnsi="Google Sans Text"/>
          <w:sz w:val="24"/>
          <w:szCs w:val="24"/>
        </w:rPr>
        <w:lastRenderedPageBreak/>
        <w:t>de précision pour mesurer la sensibilité directionnelle, plutôt qu'un outil qui confondrait deux effets physiques distincts.</w:t>
      </w:r>
    </w:p>
    <w:p w14:paraId="44786057" w14:textId="77777777" w:rsidR="00734EF3" w:rsidRPr="009058A3" w:rsidRDefault="00734EF3" w:rsidP="00734EF3">
      <w:pPr>
        <w:rPr>
          <w:rFonts w:ascii="Google Sans Text" w:hAnsi="Google Sans Text"/>
          <w:sz w:val="24"/>
          <w:szCs w:val="24"/>
        </w:rPr>
      </w:pPr>
    </w:p>
    <w:p w14:paraId="5914B595" w14:textId="3B2086BF" w:rsidR="00734EF3" w:rsidRPr="009058A3" w:rsidRDefault="000B3E20"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.3. Dérivation Analytique de la Sensibilité Probabiliste</w:t>
      </w:r>
    </w:p>
    <w:p w14:paraId="0A86F604" w14:textId="77777777" w:rsidR="00734EF3" w:rsidRPr="009058A3" w:rsidRDefault="00734EF3" w:rsidP="00734EF3">
      <w:pPr>
        <w:rPr>
          <w:rFonts w:ascii="Google Sans Text" w:hAnsi="Google Sans Text"/>
          <w:sz w:val="24"/>
          <w:szCs w:val="24"/>
        </w:rPr>
      </w:pPr>
    </w:p>
    <w:p w14:paraId="7698A59B"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Cette section constitue le cœur mathématique de l'annexe. Nous y présentons une dérivation méticuleuse, étape par étape, des dérivées qui quantifient la réponse de la distribution de probabilité à la perturbation rotationnelle.</w:t>
      </w:r>
    </w:p>
    <w:p w14:paraId="59162750" w14:textId="77777777" w:rsidR="00734EF3" w:rsidRPr="009058A3" w:rsidRDefault="00734EF3" w:rsidP="00734EF3">
      <w:pPr>
        <w:rPr>
          <w:rFonts w:ascii="Google Sans Text" w:hAnsi="Google Sans Text"/>
          <w:sz w:val="24"/>
          <w:szCs w:val="24"/>
        </w:rPr>
      </w:pPr>
    </w:p>
    <w:p w14:paraId="41EF1994" w14:textId="0A06D415" w:rsidR="00734EF3" w:rsidRPr="009058A3" w:rsidRDefault="000B3E20"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.3.1. Dérivation de la Première Dérivée (∂Pi​/</w:t>
      </w:r>
      <w:r w:rsidR="00734EF3" w:rsidRPr="009058A3">
        <w:rPr>
          <w:rFonts w:ascii="Google Sans Text" w:hAnsi="Google Sans Text" w:cs="Aptos"/>
          <w:sz w:val="24"/>
          <w:szCs w:val="24"/>
        </w:rPr>
        <w:t>∂</w:t>
      </w:r>
      <w:r w:rsidR="00734EF3" w:rsidRPr="009058A3">
        <w:rPr>
          <w:rFonts w:ascii="Calibri" w:hAnsi="Calibri" w:cs="Calibri"/>
          <w:sz w:val="24"/>
          <w:szCs w:val="24"/>
        </w:rPr>
        <w:t>ϕ</w:t>
      </w:r>
      <w:r w:rsidR="00734EF3" w:rsidRPr="009058A3">
        <w:rPr>
          <w:rFonts w:ascii="Google Sans Text" w:hAnsi="Google Sans Text"/>
          <w:sz w:val="24"/>
          <w:szCs w:val="24"/>
        </w:rPr>
        <w:t>)</w:t>
      </w:r>
    </w:p>
    <w:p w14:paraId="0CB523BA" w14:textId="77777777" w:rsidR="00734EF3" w:rsidRPr="009058A3" w:rsidRDefault="00734EF3" w:rsidP="00734EF3">
      <w:pPr>
        <w:rPr>
          <w:rFonts w:ascii="Google Sans Text" w:hAnsi="Google Sans Text"/>
          <w:sz w:val="24"/>
          <w:szCs w:val="24"/>
        </w:rPr>
      </w:pPr>
    </w:p>
    <w:p w14:paraId="1C284BB2"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Nous cherchons à calculer la sensibilité instantanée de la probabilité du token i, Pi​, par rapport </w:t>
      </w:r>
      <w:r w:rsidRPr="009058A3">
        <w:rPr>
          <w:rFonts w:ascii="Google Sans Text" w:hAnsi="Google Sans Text" w:cs="Aptos"/>
          <w:sz w:val="24"/>
          <w:szCs w:val="24"/>
        </w:rPr>
        <w:t>à</w:t>
      </w:r>
      <w:r w:rsidRPr="009058A3">
        <w:rPr>
          <w:rFonts w:ascii="Google Sans Text" w:hAnsi="Google Sans Text"/>
          <w:sz w:val="24"/>
          <w:szCs w:val="24"/>
        </w:rPr>
        <w:t xml:space="preserve"> l'angle de perturbation </w:t>
      </w:r>
      <w:r w:rsidRPr="009058A3">
        <w:rPr>
          <w:rFonts w:ascii="Calibri" w:hAnsi="Calibri" w:cs="Calibri"/>
          <w:sz w:val="24"/>
          <w:szCs w:val="24"/>
        </w:rPr>
        <w:t>ϕ</w:t>
      </w:r>
      <w:r w:rsidRPr="009058A3">
        <w:rPr>
          <w:rFonts w:ascii="Google Sans Text" w:hAnsi="Google Sans Text"/>
          <w:sz w:val="24"/>
          <w:szCs w:val="24"/>
        </w:rPr>
        <w:t xml:space="preserve">, évaluée à </w:t>
      </w:r>
      <w:r w:rsidRPr="009058A3">
        <w:rPr>
          <w:rFonts w:ascii="Calibri" w:hAnsi="Calibri" w:cs="Calibri"/>
          <w:sz w:val="24"/>
          <w:szCs w:val="24"/>
        </w:rPr>
        <w:t>ϕ</w:t>
      </w:r>
      <w:r w:rsidRPr="009058A3">
        <w:rPr>
          <w:rFonts w:ascii="Google Sans Text" w:hAnsi="Google Sans Text"/>
          <w:sz w:val="24"/>
          <w:szCs w:val="24"/>
        </w:rPr>
        <w:t>=0. En partant de l'équation (1), nous appliquons la règle de dérivation en chaîne. La dérivée de Pi​(</w:t>
      </w:r>
      <w:r w:rsidRPr="009058A3">
        <w:rPr>
          <w:rFonts w:ascii="Calibri" w:hAnsi="Calibri" w:cs="Calibri"/>
          <w:sz w:val="24"/>
          <w:szCs w:val="24"/>
        </w:rPr>
        <w:t>ϕ</w:t>
      </w:r>
      <w:r w:rsidRPr="009058A3">
        <w:rPr>
          <w:rFonts w:ascii="Google Sans Text" w:hAnsi="Google Sans Text"/>
          <w:sz w:val="24"/>
          <w:szCs w:val="24"/>
        </w:rPr>
        <w:t xml:space="preserve">) par rapport à </w:t>
      </w:r>
      <w:r w:rsidRPr="009058A3">
        <w:rPr>
          <w:rFonts w:ascii="Calibri" w:hAnsi="Calibri" w:cs="Calibri"/>
          <w:sz w:val="24"/>
          <w:szCs w:val="24"/>
        </w:rPr>
        <w:t>ϕ</w:t>
      </w:r>
      <w:r w:rsidRPr="009058A3">
        <w:rPr>
          <w:rFonts w:ascii="Google Sans Text" w:hAnsi="Google Sans Text"/>
          <w:sz w:val="24"/>
          <w:szCs w:val="24"/>
        </w:rPr>
        <w:t xml:space="preserve"> est :</w:t>
      </w:r>
    </w:p>
    <w:p w14:paraId="50ECBD2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r w:rsidRPr="009058A3">
        <w:rPr>
          <w:rFonts w:ascii="Calibri" w:hAnsi="Calibri" w:cs="Calibri"/>
          <w:sz w:val="24"/>
          <w:szCs w:val="24"/>
        </w:rPr>
        <w:t>ϕ</w:t>
      </w:r>
      <w:r w:rsidRPr="009058A3">
        <w:rPr>
          <w:rFonts w:ascii="Google Sans Text" w:hAnsi="Google Sans Text"/>
          <w:sz w:val="24"/>
          <w:szCs w:val="24"/>
        </w:rPr>
        <w:t>∂Pi​​=</w:t>
      </w:r>
      <w:r w:rsidRPr="009058A3">
        <w:rPr>
          <w:rFonts w:ascii="Google Sans Text" w:hAnsi="Google Sans Text" w:cs="Aptos"/>
          <w:sz w:val="24"/>
          <w:szCs w:val="24"/>
        </w:rPr>
        <w:t>∂</w:t>
      </w:r>
      <w:r w:rsidRPr="009058A3">
        <w:rPr>
          <w:rFonts w:ascii="Google Sans Text" w:hAnsi="Google Sans Text"/>
          <w:sz w:val="24"/>
          <w:szCs w:val="24"/>
        </w:rPr>
        <w:t>(cos</w:t>
      </w:r>
      <w:r w:rsidRPr="009058A3">
        <w:rPr>
          <w:rFonts w:ascii="Google Sans Text" w:hAnsi="Google Sans Text" w:cs="Aptos"/>
          <w:sz w:val="24"/>
          <w:szCs w:val="24"/>
        </w:rPr>
        <w:t>θ</w:t>
      </w:r>
      <w:r w:rsidRPr="009058A3">
        <w:rPr>
          <w:rFonts w:ascii="Google Sans Text" w:hAnsi="Google Sans Text"/>
          <w:sz w:val="24"/>
          <w:szCs w:val="24"/>
        </w:rPr>
        <w:t>i​)</w:t>
      </w:r>
      <w:r w:rsidRPr="009058A3">
        <w:rPr>
          <w:rFonts w:ascii="Google Sans Text" w:hAnsi="Google Sans Text" w:cs="Aptos"/>
          <w:sz w:val="24"/>
          <w:szCs w:val="24"/>
        </w:rPr>
        <w:t>∂</w:t>
      </w:r>
      <w:r w:rsidRPr="009058A3">
        <w:rPr>
          <w:rFonts w:ascii="Google Sans Text" w:hAnsi="Google Sans Text"/>
          <w:sz w:val="24"/>
          <w:szCs w:val="24"/>
        </w:rPr>
        <w:t>Pi​​</w:t>
      </w:r>
      <w:r w:rsidRPr="009058A3">
        <w:rPr>
          <w:rFonts w:ascii="Google Sans Text" w:hAnsi="Google Sans Text" w:cs="Aptos"/>
          <w:sz w:val="24"/>
          <w:szCs w:val="24"/>
        </w:rPr>
        <w:t>∂</w:t>
      </w:r>
      <w:r w:rsidRPr="009058A3">
        <w:rPr>
          <w:rFonts w:ascii="Calibri" w:hAnsi="Calibri" w:cs="Calibri"/>
          <w:sz w:val="24"/>
          <w:szCs w:val="24"/>
        </w:rPr>
        <w:t>ϕ</w:t>
      </w:r>
      <w:r w:rsidRPr="009058A3">
        <w:rPr>
          <w:rFonts w:ascii="Google Sans Text" w:hAnsi="Google Sans Text"/>
          <w:sz w:val="24"/>
          <w:szCs w:val="24"/>
        </w:rPr>
        <w:t>∂(cosθi​)​</w:t>
      </w:r>
    </w:p>
    <w:p w14:paraId="2522A5E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 premier terme se calcule directement à partir de la forme du softmax, tandis que le second terme requiert la dérivation de l'expression du cosinus de l'angle θi​(</w:t>
      </w:r>
      <w:r w:rsidRPr="009058A3">
        <w:rPr>
          <w:rFonts w:ascii="Calibri" w:hAnsi="Calibri" w:cs="Calibri"/>
          <w:sz w:val="24"/>
          <w:szCs w:val="24"/>
        </w:rPr>
        <w:t>ϕ</w:t>
      </w:r>
      <w:r w:rsidRPr="009058A3">
        <w:rPr>
          <w:rFonts w:ascii="Google Sans Text" w:hAnsi="Google Sans Text"/>
          <w:sz w:val="24"/>
          <w:szCs w:val="24"/>
        </w:rPr>
        <w:t>)=arccos(</w:t>
      </w:r>
      <w:r w:rsidRPr="009058A3">
        <w:rPr>
          <w:rFonts w:ascii="Cambria Math" w:hAnsi="Cambria Math" w:cs="Cambria Math"/>
          <w:sz w:val="24"/>
          <w:szCs w:val="24"/>
        </w:rPr>
        <w:t>∥</w:t>
      </w:r>
      <w:r w:rsidRPr="009058A3">
        <w:rPr>
          <w:rFonts w:ascii="Google Sans Text" w:hAnsi="Google Sans Text"/>
          <w:sz w:val="24"/>
          <w:szCs w:val="24"/>
        </w:rPr>
        <w:t>vi​</w:t>
      </w:r>
      <w:r w:rsidRPr="009058A3">
        <w:rPr>
          <w:rFonts w:ascii="Cambria Math" w:hAnsi="Cambria Math" w:cs="Cambria Math"/>
          <w:sz w:val="24"/>
          <w:szCs w:val="24"/>
        </w:rPr>
        <w:t>∥∥</w:t>
      </w:r>
      <w:r w:rsidRPr="009058A3">
        <w:rPr>
          <w:rFonts w:ascii="Google Sans Text" w:hAnsi="Google Sans Text"/>
          <w:sz w:val="24"/>
          <w:szCs w:val="24"/>
        </w:rPr>
        <w:t>c</w:t>
      </w:r>
      <w:r w:rsidRPr="009058A3">
        <w:rPr>
          <w:rFonts w:ascii="Calibri" w:hAnsi="Calibri" w:cs="Calibri"/>
          <w:sz w:val="24"/>
          <w:szCs w:val="24"/>
        </w:rPr>
        <w:t>ϕ</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vi​,c</w:t>
      </w:r>
      <w:r w:rsidRPr="009058A3">
        <w:rPr>
          <w:rFonts w:ascii="Calibri" w:hAnsi="Calibri" w:cs="Calibri"/>
          <w:sz w:val="24"/>
          <w:szCs w:val="24"/>
        </w:rPr>
        <w:t>ϕ</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 xml:space="preserve">​). Puisque la rotation est une isométrie, </w:t>
      </w:r>
      <w:r w:rsidRPr="009058A3">
        <w:rPr>
          <w:rFonts w:ascii="Cambria Math" w:hAnsi="Cambria Math" w:cs="Cambria Math"/>
          <w:sz w:val="24"/>
          <w:szCs w:val="24"/>
        </w:rPr>
        <w:t>∥</w:t>
      </w:r>
      <w:r w:rsidRPr="009058A3">
        <w:rPr>
          <w:rFonts w:ascii="Google Sans Text" w:hAnsi="Google Sans Text"/>
          <w:sz w:val="24"/>
          <w:szCs w:val="24"/>
        </w:rPr>
        <w:t>c</w:t>
      </w:r>
      <w:r w:rsidRPr="009058A3">
        <w:rPr>
          <w:rFonts w:ascii="Calibri" w:hAnsi="Calibri" w:cs="Calibri"/>
          <w:sz w:val="24"/>
          <w:szCs w:val="24"/>
        </w:rPr>
        <w:t>ϕ</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Google Sans Text" w:hAnsi="Google Sans Text"/>
          <w:sz w:val="24"/>
          <w:szCs w:val="24"/>
        </w:rPr>
        <w:t>. La d</w:t>
      </w:r>
      <w:r w:rsidRPr="009058A3">
        <w:rPr>
          <w:rFonts w:ascii="Google Sans Text" w:hAnsi="Google Sans Text" w:cs="Aptos"/>
          <w:sz w:val="24"/>
          <w:szCs w:val="24"/>
        </w:rPr>
        <w:t>é</w:t>
      </w:r>
      <w:r w:rsidRPr="009058A3">
        <w:rPr>
          <w:rFonts w:ascii="Google Sans Text" w:hAnsi="Google Sans Text"/>
          <w:sz w:val="24"/>
          <w:szCs w:val="24"/>
        </w:rPr>
        <w:t>riv</w:t>
      </w:r>
      <w:r w:rsidRPr="009058A3">
        <w:rPr>
          <w:rFonts w:ascii="Google Sans Text" w:hAnsi="Google Sans Text" w:cs="Aptos"/>
          <w:sz w:val="24"/>
          <w:szCs w:val="24"/>
        </w:rPr>
        <w:t>é</w:t>
      </w:r>
      <w:r w:rsidRPr="009058A3">
        <w:rPr>
          <w:rFonts w:ascii="Google Sans Text" w:hAnsi="Google Sans Text"/>
          <w:sz w:val="24"/>
          <w:szCs w:val="24"/>
        </w:rPr>
        <w:t>e de cos</w:t>
      </w:r>
      <w:r w:rsidRPr="009058A3">
        <w:rPr>
          <w:rFonts w:ascii="Google Sans Text" w:hAnsi="Google Sans Text" w:cs="Aptos"/>
          <w:sz w:val="24"/>
          <w:szCs w:val="24"/>
        </w:rPr>
        <w:t>θ</w:t>
      </w:r>
      <w:r w:rsidRPr="009058A3">
        <w:rPr>
          <w:rFonts w:ascii="Google Sans Text" w:hAnsi="Google Sans Text"/>
          <w:sz w:val="24"/>
          <w:szCs w:val="24"/>
        </w:rPr>
        <w:t>i​(</w:t>
      </w:r>
      <w:r w:rsidRPr="009058A3">
        <w:rPr>
          <w:rFonts w:ascii="Calibri" w:hAnsi="Calibri" w:cs="Calibri"/>
          <w:sz w:val="24"/>
          <w:szCs w:val="24"/>
        </w:rPr>
        <w:t>ϕ</w:t>
      </w:r>
      <w:r w:rsidRPr="009058A3">
        <w:rPr>
          <w:rFonts w:ascii="Google Sans Text" w:hAnsi="Google Sans Text"/>
          <w:sz w:val="24"/>
          <w:szCs w:val="24"/>
        </w:rPr>
        <w:t xml:space="preserve">) par rapport à </w:t>
      </w:r>
      <w:r w:rsidRPr="009058A3">
        <w:rPr>
          <w:rFonts w:ascii="Calibri" w:hAnsi="Calibri" w:cs="Calibri"/>
          <w:sz w:val="24"/>
          <w:szCs w:val="24"/>
        </w:rPr>
        <w:t>ϕ</w:t>
      </w:r>
      <w:r w:rsidRPr="009058A3">
        <w:rPr>
          <w:rFonts w:ascii="Google Sans Text" w:hAnsi="Google Sans Text"/>
          <w:sz w:val="24"/>
          <w:szCs w:val="24"/>
        </w:rPr>
        <w:t xml:space="preserve"> est donc </w:t>
      </w:r>
      <w:r w:rsidRPr="009058A3">
        <w:rPr>
          <w:rFonts w:ascii="Cambria Math" w:hAnsi="Cambria Math" w:cs="Cambria Math"/>
          <w:sz w:val="24"/>
          <w:szCs w:val="24"/>
        </w:rPr>
        <w:t>∥</w:t>
      </w:r>
      <w:r w:rsidRPr="009058A3">
        <w:rPr>
          <w:rFonts w:ascii="Google Sans Text" w:hAnsi="Google Sans Text"/>
          <w:sz w:val="24"/>
          <w:szCs w:val="24"/>
        </w:rPr>
        <w:t>vi​</w:t>
      </w:r>
      <w:r w:rsidRPr="009058A3">
        <w:rPr>
          <w:rFonts w:ascii="Cambria Math" w:hAnsi="Cambria Math" w:cs="Cambria Math"/>
          <w:sz w:val="24"/>
          <w:szCs w:val="24"/>
        </w:rPr>
        <w:t>∥∥</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Google Sans Text" w:hAnsi="Google Sans Text"/>
          <w:sz w:val="24"/>
          <w:szCs w:val="24"/>
        </w:rPr>
        <w:t>1​</w:t>
      </w:r>
      <w:r w:rsidRPr="009058A3">
        <w:rPr>
          <w:rFonts w:ascii="Google Sans Text" w:hAnsi="Google Sans Text" w:cs="Aptos"/>
          <w:sz w:val="24"/>
          <w:szCs w:val="24"/>
        </w:rPr>
        <w:t>∂</w:t>
      </w:r>
      <w:r w:rsidRPr="009058A3">
        <w:rPr>
          <w:rFonts w:ascii="Calibri" w:hAnsi="Calibri" w:cs="Calibri"/>
          <w:sz w:val="24"/>
          <w:szCs w:val="24"/>
        </w:rPr>
        <w:t>ϕ</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vi​,Ru​(</w:t>
      </w:r>
      <w:r w:rsidRPr="009058A3">
        <w:rPr>
          <w:rFonts w:ascii="Calibri" w:hAnsi="Calibri" w:cs="Calibri"/>
          <w:sz w:val="24"/>
          <w:szCs w:val="24"/>
        </w:rPr>
        <w:t>ϕ</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Google Sans Text" w:hAnsi="Google Sans Text"/>
          <w:sz w:val="24"/>
          <w:szCs w:val="24"/>
        </w:rPr>
        <w:t>.</w:t>
      </w:r>
    </w:p>
    <w:p w14:paraId="3D42F24C"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La dérivée de la matrice de rotation Ru​(</w:t>
      </w:r>
      <w:r w:rsidRPr="009058A3">
        <w:rPr>
          <w:rFonts w:ascii="Calibri" w:hAnsi="Calibri" w:cs="Calibri"/>
          <w:sz w:val="24"/>
          <w:szCs w:val="24"/>
        </w:rPr>
        <w:t>ϕ</w:t>
      </w:r>
      <w:r w:rsidRPr="009058A3">
        <w:rPr>
          <w:rFonts w:ascii="Google Sans Text" w:hAnsi="Google Sans Text"/>
          <w:sz w:val="24"/>
          <w:szCs w:val="24"/>
        </w:rPr>
        <w:t xml:space="preserve">) à </w:t>
      </w:r>
      <w:r w:rsidRPr="009058A3">
        <w:rPr>
          <w:rFonts w:ascii="Calibri" w:hAnsi="Calibri" w:cs="Calibri"/>
          <w:sz w:val="24"/>
          <w:szCs w:val="24"/>
        </w:rPr>
        <w:t>ϕ</w:t>
      </w:r>
      <w:r w:rsidRPr="009058A3">
        <w:rPr>
          <w:rFonts w:ascii="Google Sans Text" w:hAnsi="Google Sans Text"/>
          <w:sz w:val="24"/>
          <w:szCs w:val="24"/>
        </w:rPr>
        <w:t>=0 est l'opérateur qui effectue un produit vectoriel avec l'axe u. Le calcul montre que ∂</w:t>
      </w:r>
      <w:r w:rsidRPr="009058A3">
        <w:rPr>
          <w:rFonts w:ascii="Calibri" w:hAnsi="Calibri" w:cs="Calibri"/>
          <w:sz w:val="24"/>
          <w:szCs w:val="24"/>
        </w:rPr>
        <w:t>ϕ</w:t>
      </w:r>
      <w:r w:rsidRPr="009058A3">
        <w:rPr>
          <w:rFonts w:ascii="Google Sans Text" w:hAnsi="Google Sans Text"/>
          <w:sz w:val="24"/>
          <w:szCs w:val="24"/>
        </w:rPr>
        <w:t>∂​</w:t>
      </w:r>
      <w:r w:rsidRPr="009058A3">
        <w:rPr>
          <w:rFonts w:ascii="Cambria Math" w:hAnsi="Cambria Math" w:cs="Cambria Math"/>
          <w:sz w:val="24"/>
          <w:szCs w:val="24"/>
        </w:rPr>
        <w:t>⟨</w:t>
      </w:r>
      <w:r w:rsidRPr="009058A3">
        <w:rPr>
          <w:rFonts w:ascii="Google Sans Text" w:hAnsi="Google Sans Text"/>
          <w:sz w:val="24"/>
          <w:szCs w:val="24"/>
        </w:rPr>
        <w:t>vi​,Ru​(</w:t>
      </w:r>
      <w:r w:rsidRPr="009058A3">
        <w:rPr>
          <w:rFonts w:ascii="Calibri" w:hAnsi="Calibri" w:cs="Calibri"/>
          <w:sz w:val="24"/>
          <w:szCs w:val="24"/>
        </w:rPr>
        <w:t>ϕ</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Calibri" w:hAnsi="Calibri" w:cs="Calibri"/>
          <w:sz w:val="24"/>
          <w:szCs w:val="24"/>
        </w:rPr>
        <w:t>ϕ</w:t>
      </w:r>
      <w:r w:rsidRPr="009058A3">
        <w:rPr>
          <w:rFonts w:ascii="Google Sans Text" w:hAnsi="Google Sans Text"/>
          <w:sz w:val="24"/>
          <w:szCs w:val="24"/>
        </w:rPr>
        <w:t>=0​=</w:t>
      </w:r>
      <w:r w:rsidRPr="009058A3">
        <w:rPr>
          <w:rFonts w:ascii="Cambria Math" w:hAnsi="Cambria Math" w:cs="Cambria Math"/>
          <w:sz w:val="24"/>
          <w:szCs w:val="24"/>
        </w:rPr>
        <w:t>⟨</w:t>
      </w:r>
      <w:r w:rsidRPr="009058A3">
        <w:rPr>
          <w:rFonts w:ascii="Google Sans Text" w:hAnsi="Google Sans Text"/>
          <w:sz w:val="24"/>
          <w:szCs w:val="24"/>
        </w:rPr>
        <w:t>vi​,u</w:t>
      </w:r>
      <w:r w:rsidRPr="009058A3">
        <w:rPr>
          <w:rFonts w:ascii="Google Sans Text" w:hAnsi="Google Sans Text" w:cs="Aptos"/>
          <w:sz w:val="24"/>
          <w:szCs w:val="24"/>
        </w:rPr>
        <w:t>×</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Google Sans Text" w:hAnsi="Google Sans Text"/>
          <w:sz w:val="24"/>
          <w:szCs w:val="24"/>
        </w:rPr>
        <w:t xml:space="preserve">. En utilisant les propriétés du produit mixte, cela équivaut à </w:t>
      </w:r>
      <w:r w:rsidRPr="009058A3">
        <w:rPr>
          <w:rFonts w:ascii="Cambria Math" w:hAnsi="Cambria Math" w:cs="Cambria Math"/>
          <w:sz w:val="24"/>
          <w:szCs w:val="24"/>
        </w:rPr>
        <w:t>⟨</w:t>
      </w:r>
      <w:r w:rsidRPr="009058A3">
        <w:rPr>
          <w:rFonts w:ascii="Google Sans Text" w:hAnsi="Google Sans Text"/>
          <w:sz w:val="24"/>
          <w:szCs w:val="24"/>
        </w:rPr>
        <w:t>vi​</w:t>
      </w:r>
      <w:r w:rsidRPr="009058A3">
        <w:rPr>
          <w:rFonts w:ascii="Google Sans Text" w:hAnsi="Google Sans Text" w:cs="Aptos"/>
          <w:sz w:val="24"/>
          <w:szCs w:val="24"/>
        </w:rPr>
        <w:t>×</w:t>
      </w:r>
      <w:r w:rsidRPr="009058A3">
        <w:rPr>
          <w:rFonts w:ascii="Google Sans Text" w:hAnsi="Google Sans Text"/>
          <w:sz w:val="24"/>
          <w:szCs w:val="24"/>
        </w:rPr>
        <w:t>u,c0​</w:t>
      </w:r>
      <w:r w:rsidRPr="009058A3">
        <w:rPr>
          <w:rFonts w:ascii="Cambria Math" w:hAnsi="Cambria Math" w:cs="Cambria Math"/>
          <w:sz w:val="24"/>
          <w:szCs w:val="24"/>
        </w:rPr>
        <w:t>⟩</w:t>
      </w:r>
      <w:r w:rsidRPr="009058A3">
        <w:rPr>
          <w:rFonts w:ascii="Google Sans Text" w:hAnsi="Google Sans Text"/>
          <w:sz w:val="24"/>
          <w:szCs w:val="24"/>
        </w:rPr>
        <w:t xml:space="preserve">. En raison de l'orthogonalité de u et c0​, ce terme se simplifie en </w:t>
      </w:r>
      <w:r w:rsidRPr="009058A3">
        <w:rPr>
          <w:rFonts w:ascii="Google Sans Text" w:hAnsi="Google Sans Text" w:cs="Aptos"/>
          <w:sz w:val="24"/>
          <w:szCs w:val="24"/>
        </w:rPr>
        <w:t>−</w:t>
      </w:r>
      <w:r w:rsidRPr="009058A3">
        <w:rPr>
          <w:rFonts w:ascii="Cambria Math" w:hAnsi="Cambria Math" w:cs="Cambria Math"/>
          <w:sz w:val="24"/>
          <w:szCs w:val="24"/>
        </w:rPr>
        <w:t>∥</w:t>
      </w:r>
      <w:r w:rsidRPr="009058A3">
        <w:rPr>
          <w:rFonts w:ascii="Google Sans Text" w:hAnsi="Google Sans Text"/>
          <w:sz w:val="24"/>
          <w:szCs w:val="24"/>
        </w:rPr>
        <w:t>c0​</w:t>
      </w:r>
      <w:r w:rsidRPr="009058A3">
        <w:rPr>
          <w:rFonts w:ascii="Cambria Math" w:hAnsi="Cambria Math" w:cs="Cambria Math"/>
          <w:sz w:val="24"/>
          <w:szCs w:val="24"/>
        </w:rPr>
        <w:t>∥⟨</w:t>
      </w:r>
      <w:r w:rsidRPr="009058A3">
        <w:rPr>
          <w:rFonts w:ascii="Google Sans Text" w:hAnsi="Google Sans Text"/>
          <w:sz w:val="24"/>
          <w:szCs w:val="24"/>
        </w:rPr>
        <w:t>u,vi</w:t>
      </w:r>
      <w:r w:rsidRPr="009058A3">
        <w:rPr>
          <w:rFonts w:ascii="Cambria Math" w:hAnsi="Cambria Math" w:cs="Cambria Math"/>
          <w:sz w:val="24"/>
          <w:szCs w:val="24"/>
        </w:rPr>
        <w:t>⊥</w:t>
      </w:r>
      <w:r w:rsidRPr="009058A3">
        <w:rPr>
          <w:rFonts w:ascii="Google Sans Text" w:hAnsi="Google Sans Text" w:cs="___WRD_EMBED_SUB_49"/>
          <w:sz w:val="24"/>
          <w:szCs w:val="24"/>
        </w:rPr>
        <w:t>​</w:t>
      </w:r>
      <w:r w:rsidRPr="009058A3">
        <w:rPr>
          <w:rFonts w:ascii="Cambria Math" w:hAnsi="Cambria Math" w:cs="Cambria Math"/>
          <w:sz w:val="24"/>
          <w:szCs w:val="24"/>
        </w:rPr>
        <w:t>⟩</w:t>
      </w:r>
      <w:r w:rsidRPr="009058A3">
        <w:rPr>
          <w:rFonts w:ascii="Google Sans Text" w:hAnsi="Google Sans Text"/>
          <w:sz w:val="24"/>
          <w:szCs w:val="24"/>
        </w:rPr>
        <w:t>, où vi</w:t>
      </w:r>
      <w:r w:rsidRPr="009058A3">
        <w:rPr>
          <w:rFonts w:ascii="Cambria Math" w:hAnsi="Cambria Math" w:cs="Cambria Math"/>
          <w:sz w:val="24"/>
          <w:szCs w:val="24"/>
        </w:rPr>
        <w:t>⊥</w:t>
      </w:r>
      <w:r w:rsidRPr="009058A3">
        <w:rPr>
          <w:rFonts w:ascii="Google Sans Text" w:hAnsi="Google Sans Text" w:cs="___WRD_EMBED_SUB_49"/>
          <w:sz w:val="24"/>
          <w:szCs w:val="24"/>
        </w:rPr>
        <w:t>​</w:t>
      </w:r>
      <w:r w:rsidRPr="009058A3">
        <w:rPr>
          <w:rFonts w:ascii="Google Sans Text" w:hAnsi="Google Sans Text"/>
          <w:sz w:val="24"/>
          <w:szCs w:val="24"/>
        </w:rPr>
        <w:t xml:space="preserve"> est la projection de vi​ sur le plan orthogonal </w:t>
      </w:r>
      <w:r w:rsidRPr="009058A3">
        <w:rPr>
          <w:rFonts w:ascii="Google Sans Text" w:hAnsi="Google Sans Text" w:cs="Aptos"/>
          <w:sz w:val="24"/>
          <w:szCs w:val="24"/>
        </w:rPr>
        <w:t>à</w:t>
      </w:r>
      <w:r w:rsidRPr="009058A3">
        <w:rPr>
          <w:rFonts w:ascii="Google Sans Text" w:hAnsi="Google Sans Text"/>
          <w:sz w:val="24"/>
          <w:szCs w:val="24"/>
        </w:rPr>
        <w:t xml:space="preserve"> c0​.</w:t>
      </w:r>
    </w:p>
    <w:p w14:paraId="4C56189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En combinant ces résultats, nous obtenons la formule finale pour la première dérivée, qui capture la sensibilité linéaire de la probabilité à la perturbation :</w:t>
      </w:r>
      <w:r w:rsidRPr="009058A3">
        <w:rPr>
          <w:rFonts w:ascii="Google Sans Text" w:hAnsi="Google Sans Text"/>
          <w:sz w:val="24"/>
          <w:szCs w:val="24"/>
        </w:rPr>
        <w:br/>
      </w:r>
      <w:r w:rsidRPr="009058A3">
        <w:rPr>
          <w:rFonts w:ascii="Google Sans Text" w:hAnsi="Google Sans Text"/>
          <w:sz w:val="24"/>
          <w:szCs w:val="24"/>
        </w:rPr>
        <w:br/>
        <w:t>\left.\frac{\partial P_i}{\partial \phi}\right|_{\phi=0}</w:t>
      </w:r>
    </w:p>
    <w:p w14:paraId="1DFB120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w:t>
      </w:r>
    </w:p>
    <w:p w14:paraId="43F086D1"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-\,\beta\,\sin\theta_i\,\langle u, v_i^{\perp}\rangle \; P_i(0).</w:t>
      </w:r>
    </w:p>
    <w:p w14:paraId="7D70D0B2" w14:textId="77777777" w:rsidR="00734EF3" w:rsidRPr="009058A3" w:rsidRDefault="00734EF3" w:rsidP="00734EF3">
      <w:pPr>
        <w:rPr>
          <w:rFonts w:ascii="Google Sans Text" w:hAnsi="Google Sans Text"/>
          <w:sz w:val="24"/>
          <w:szCs w:val="24"/>
        </w:rPr>
      </w:pPr>
    </w:p>
    <w:p w14:paraId="6C033585" w14:textId="615BF5CC" w:rsidR="00734EF3" w:rsidRPr="009058A3" w:rsidRDefault="000B3E20"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.3.2. Dérivation de la Seconde Dérivée (∂2Pi​/</w:t>
      </w:r>
      <w:r w:rsidR="00734EF3" w:rsidRPr="009058A3">
        <w:rPr>
          <w:rFonts w:ascii="Google Sans Text" w:hAnsi="Google Sans Text" w:cs="Aptos"/>
          <w:sz w:val="24"/>
          <w:szCs w:val="24"/>
        </w:rPr>
        <w:t>∂</w:t>
      </w:r>
      <w:r w:rsidR="00734EF3" w:rsidRPr="009058A3">
        <w:rPr>
          <w:rFonts w:ascii="Calibri" w:hAnsi="Calibri" w:cs="Calibri"/>
          <w:sz w:val="24"/>
          <w:szCs w:val="24"/>
        </w:rPr>
        <w:t>ϕ</w:t>
      </w:r>
      <w:r w:rsidR="00734EF3" w:rsidRPr="009058A3">
        <w:rPr>
          <w:rFonts w:ascii="Google Sans Text" w:hAnsi="Google Sans Text"/>
          <w:sz w:val="24"/>
          <w:szCs w:val="24"/>
        </w:rPr>
        <w:t>2)</w:t>
      </w:r>
    </w:p>
    <w:p w14:paraId="52292F12" w14:textId="77777777" w:rsidR="00734EF3" w:rsidRPr="009058A3" w:rsidRDefault="00734EF3" w:rsidP="00734EF3">
      <w:pPr>
        <w:rPr>
          <w:rFonts w:ascii="Google Sans Text" w:hAnsi="Google Sans Text"/>
          <w:sz w:val="24"/>
          <w:szCs w:val="24"/>
        </w:rPr>
      </w:pPr>
    </w:p>
    <w:p w14:paraId="10FF93D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La seconde dérivée mesure la courbure de la réponse probabiliste. Elle est obtenue en dérivant l'expression de la première dérivée par rapport à </w:t>
      </w:r>
      <w:r w:rsidRPr="009058A3">
        <w:rPr>
          <w:rFonts w:ascii="Calibri" w:hAnsi="Calibri" w:cs="Calibri"/>
          <w:sz w:val="24"/>
          <w:szCs w:val="24"/>
        </w:rPr>
        <w:t>ϕ</w:t>
      </w:r>
      <w:r w:rsidRPr="009058A3">
        <w:rPr>
          <w:rFonts w:ascii="Google Sans Text" w:hAnsi="Google Sans Text"/>
          <w:sz w:val="24"/>
          <w:szCs w:val="24"/>
        </w:rPr>
        <w:t xml:space="preserve">. Ce calcul, plus complexe, fait intervenir la règle du produit et des dérivations supplémentaires des termes trigonométriques et vectoriels. Après une dérivation complète et une évaluation à </w:t>
      </w:r>
      <w:r w:rsidRPr="009058A3">
        <w:rPr>
          <w:rFonts w:ascii="Calibri" w:hAnsi="Calibri" w:cs="Calibri"/>
          <w:sz w:val="24"/>
          <w:szCs w:val="24"/>
        </w:rPr>
        <w:t>ϕ</w:t>
      </w:r>
      <w:r w:rsidRPr="009058A3">
        <w:rPr>
          <w:rFonts w:ascii="Google Sans Text" w:hAnsi="Google Sans Text"/>
          <w:sz w:val="24"/>
          <w:szCs w:val="24"/>
        </w:rPr>
        <w:t>=0, on obtient la formule suivante :</w:t>
      </w:r>
    </w:p>
    <w:p w14:paraId="37D771D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\left.\frac{\partial^{2} P_i}{\partial \phi^{2}}\right|_{\phi=0}</w:t>
      </w:r>
    </w:p>
    <w:p w14:paraId="5F3699D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w:t>
      </w:r>
    </w:p>
    <w:p w14:paraId="4CB9E14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\beta^{2}\!\left(\sin^{2}\theta_i\,\langle u, v_i^{\perp}\rangle^{2}-\cos^{2}\theta_i\right) P_i(0).</w:t>
      </w:r>
    </w:p>
    <w:p w14:paraId="1203E511"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lastRenderedPageBreak/>
        <w:br/>
        <w:t>Obtenue en regroupant les termes et en utilisant l'identité  $\sin^{2}\theta_i+\cos^{2}\theta_i=1$, cette expression se simplifie pour donner la forme finale publi</w:t>
      </w:r>
      <w:r w:rsidRPr="009058A3">
        <w:rPr>
          <w:rFonts w:ascii="Google Sans Text" w:hAnsi="Google Sans Text" w:cs="Aptos"/>
          <w:sz w:val="24"/>
          <w:szCs w:val="24"/>
        </w:rPr>
        <w:t>é</w:t>
      </w:r>
      <w:r w:rsidRPr="009058A3">
        <w:rPr>
          <w:rFonts w:ascii="Google Sans Text" w:hAnsi="Google Sans Text"/>
          <w:sz w:val="24"/>
          <w:szCs w:val="24"/>
        </w:rPr>
        <w:t>e :</w:t>
      </w:r>
      <w:r w:rsidRPr="009058A3">
        <w:rPr>
          <w:rFonts w:ascii="Google Sans Text" w:hAnsi="Google Sans Text"/>
          <w:sz w:val="24"/>
          <w:szCs w:val="24"/>
        </w:rPr>
        <w:br/>
      </w:r>
      <w:r w:rsidRPr="009058A3">
        <w:rPr>
          <w:rFonts w:ascii="Google Sans Text" w:hAnsi="Google Sans Text"/>
          <w:sz w:val="24"/>
          <w:szCs w:val="24"/>
        </w:rPr>
        <w:br/>
        <w:t>\left.\frac{\partial^{2} P_i}{\partial \phi^{2}}\right|_{\phi=0}</w:t>
      </w:r>
    </w:p>
    <w:p w14:paraId="3A777E3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w:t>
      </w:r>
    </w:p>
    <w:p w14:paraId="1531D0E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\beta^{2}\!\left(\sin^{2}\theta_i\,\langle u, v_i^{\perp}\rangle^{2}-\cos^{2}\theta_i\right) P_i(0).</w:t>
      </w:r>
    </w:p>
    <w:p w14:paraId="3329293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Cette formule est particulièrement éclairante : le terme en</w:t>
      </w:r>
    </w:p>
    <w:p w14:paraId="4D1E9B90"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$\sin^{2}\theta_i$​ capture la sensibilit</w:t>
      </w:r>
      <w:r w:rsidRPr="009058A3">
        <w:rPr>
          <w:rFonts w:ascii="Google Sans Text" w:hAnsi="Google Sans Text" w:cs="Aptos"/>
          <w:sz w:val="24"/>
          <w:szCs w:val="24"/>
        </w:rPr>
        <w:t>é</w:t>
      </w:r>
      <w:r w:rsidRPr="009058A3">
        <w:rPr>
          <w:rFonts w:ascii="Google Sans Text" w:hAnsi="Google Sans Text"/>
          <w:sz w:val="24"/>
          <w:szCs w:val="24"/>
        </w:rPr>
        <w:t xml:space="preserve"> </w:t>
      </w:r>
      <w:r w:rsidRPr="009058A3">
        <w:rPr>
          <w:rFonts w:ascii="Google Sans Text" w:hAnsi="Google Sans Text" w:cs="Aptos"/>
          <w:sz w:val="24"/>
          <w:szCs w:val="24"/>
        </w:rPr>
        <w:t>à</w:t>
      </w:r>
      <w:r w:rsidRPr="009058A3">
        <w:rPr>
          <w:rFonts w:ascii="Google Sans Text" w:hAnsi="Google Sans Text"/>
          <w:sz w:val="24"/>
          <w:szCs w:val="24"/>
        </w:rPr>
        <w:t xml:space="preserve"> la perturbation (maximale pour les tokens orthogonaux au contexte), tandis que le terme en  $\cos^{2}\theta_i$ capture l'effet de l'alignement initial (maximal pour les tokens d</w:t>
      </w:r>
      <w:r w:rsidRPr="009058A3">
        <w:rPr>
          <w:rFonts w:ascii="Google Sans Text" w:hAnsi="Google Sans Text" w:cs="Aptos"/>
          <w:sz w:val="24"/>
          <w:szCs w:val="24"/>
        </w:rPr>
        <w:t>é</w:t>
      </w:r>
      <w:r w:rsidRPr="009058A3">
        <w:rPr>
          <w:rFonts w:ascii="Google Sans Text" w:hAnsi="Google Sans Text"/>
          <w:sz w:val="24"/>
          <w:szCs w:val="24"/>
        </w:rPr>
        <w:t>j</w:t>
      </w:r>
      <w:r w:rsidRPr="009058A3">
        <w:rPr>
          <w:rFonts w:ascii="Google Sans Text" w:hAnsi="Google Sans Text" w:cs="Aptos"/>
          <w:sz w:val="24"/>
          <w:szCs w:val="24"/>
        </w:rPr>
        <w:t>à</w:t>
      </w:r>
      <w:r w:rsidRPr="009058A3">
        <w:rPr>
          <w:rFonts w:ascii="Google Sans Text" w:hAnsi="Google Sans Text"/>
          <w:sz w:val="24"/>
          <w:szCs w:val="24"/>
        </w:rPr>
        <w:t xml:space="preserve"> tr</w:t>
      </w:r>
      <w:r w:rsidRPr="009058A3">
        <w:rPr>
          <w:rFonts w:ascii="Google Sans Text" w:hAnsi="Google Sans Text" w:cs="Aptos"/>
          <w:sz w:val="24"/>
          <w:szCs w:val="24"/>
        </w:rPr>
        <w:t>è</w:t>
      </w:r>
      <w:r w:rsidRPr="009058A3">
        <w:rPr>
          <w:rFonts w:ascii="Google Sans Text" w:hAnsi="Google Sans Text"/>
          <w:sz w:val="24"/>
          <w:szCs w:val="24"/>
        </w:rPr>
        <w:t>s probables ou improbables).</w:t>
      </w:r>
    </w:p>
    <w:p w14:paraId="2A42BDD4" w14:textId="77777777" w:rsidR="00734EF3" w:rsidRPr="009058A3" w:rsidRDefault="00734EF3" w:rsidP="00734EF3">
      <w:pPr>
        <w:rPr>
          <w:rFonts w:ascii="Google Sans Text" w:hAnsi="Google Sans Text"/>
          <w:sz w:val="24"/>
          <w:szCs w:val="24"/>
        </w:rPr>
      </w:pPr>
    </w:p>
    <w:p w14:paraId="5D7931AD" w14:textId="0CAE0F4A" w:rsidR="00734EF3" w:rsidRPr="009058A3" w:rsidRDefault="000B3E20"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.4. Formalisation des Indices de Stabilité Latente</w:t>
      </w:r>
    </w:p>
    <w:p w14:paraId="0D739484" w14:textId="77777777" w:rsidR="00734EF3" w:rsidRPr="009058A3" w:rsidRDefault="00734EF3" w:rsidP="00734EF3">
      <w:pPr>
        <w:rPr>
          <w:rFonts w:ascii="Google Sans Text" w:hAnsi="Google Sans Text"/>
          <w:sz w:val="24"/>
          <w:szCs w:val="24"/>
        </w:rPr>
      </w:pPr>
    </w:p>
    <w:p w14:paraId="26153730"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Les dérivées analytiques obtenues précédemment sont les briques fondamentales pour construire des indices macroscopiques qui quantifient la stabilité de l'état latent du modèle.</w:t>
      </w:r>
    </w:p>
    <w:p w14:paraId="16F2FEDD" w14:textId="77777777" w:rsidR="00734EF3" w:rsidRPr="009058A3" w:rsidRDefault="00734EF3" w:rsidP="00734EF3">
      <w:pPr>
        <w:rPr>
          <w:rFonts w:ascii="Google Sans Text" w:hAnsi="Google Sans Text"/>
          <w:sz w:val="24"/>
          <w:szCs w:val="24"/>
        </w:rPr>
      </w:pPr>
    </w:p>
    <w:p w14:paraId="03281046" w14:textId="204431EF" w:rsidR="00734EF3" w:rsidRPr="009058A3" w:rsidRDefault="000B3E20"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.4.1. L'Indice de Variation Absolue Totale V(</w:t>
      </w:r>
      <w:r w:rsidR="00734EF3" w:rsidRPr="009058A3">
        <w:rPr>
          <w:rFonts w:ascii="Calibri" w:hAnsi="Calibri" w:cs="Calibri"/>
          <w:sz w:val="24"/>
          <w:szCs w:val="24"/>
        </w:rPr>
        <w:t>ϵ</w:t>
      </w:r>
      <w:r w:rsidR="00734EF3" w:rsidRPr="009058A3">
        <w:rPr>
          <w:rFonts w:ascii="Google Sans Text" w:hAnsi="Google Sans Text"/>
          <w:sz w:val="24"/>
          <w:szCs w:val="24"/>
        </w:rPr>
        <w:t>)</w:t>
      </w:r>
    </w:p>
    <w:p w14:paraId="3304F272" w14:textId="77777777" w:rsidR="00734EF3" w:rsidRPr="009058A3" w:rsidRDefault="00734EF3" w:rsidP="00734EF3">
      <w:pPr>
        <w:rPr>
          <w:rFonts w:ascii="Google Sans Text" w:hAnsi="Google Sans Text"/>
          <w:sz w:val="24"/>
          <w:szCs w:val="24"/>
        </w:rPr>
      </w:pPr>
    </w:p>
    <w:p w14:paraId="5FD5CEEA"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 premier indice, V(</w:t>
      </w:r>
      <w:r w:rsidRPr="009058A3">
        <w:rPr>
          <w:rFonts w:ascii="Calibri" w:hAnsi="Calibri" w:cs="Calibri"/>
          <w:sz w:val="24"/>
          <w:szCs w:val="24"/>
        </w:rPr>
        <w:t>ϵ</w:t>
      </w:r>
      <w:r w:rsidRPr="009058A3">
        <w:rPr>
          <w:rFonts w:ascii="Google Sans Text" w:hAnsi="Google Sans Text"/>
          <w:sz w:val="24"/>
          <w:szCs w:val="24"/>
        </w:rPr>
        <w:t xml:space="preserve">), mesure l'amplitude totale de la reconfiguration probabiliste induite par une petite perturbation d'angle fini </w:t>
      </w:r>
      <w:r w:rsidRPr="009058A3">
        <w:rPr>
          <w:rFonts w:ascii="Calibri" w:hAnsi="Calibri" w:cs="Calibri"/>
          <w:sz w:val="24"/>
          <w:szCs w:val="24"/>
        </w:rPr>
        <w:t>ϵ</w:t>
      </w:r>
      <w:r w:rsidRPr="009058A3">
        <w:rPr>
          <w:rFonts w:ascii="Google Sans Text" w:hAnsi="Google Sans Text"/>
          <w:sz w:val="24"/>
          <w:szCs w:val="24"/>
        </w:rPr>
        <w:t>. En utilisant une approximation de Taylor de premier ordre, la variation de probabilité pour un token i est :</w:t>
      </w:r>
    </w:p>
    <w:p w14:paraId="286FCD23"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641D814B"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\Delta P_i(\epsilon)=P_i(\epsilon)-P_i(0)\;\approx\;\left.\frac{\partial P_i}{\partial \phi}\right|_{\phi=0}\,\epsilon</w:t>
      </w:r>
    </w:p>
    <w:p w14:paraId="5AF60252"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2AC3E91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br/>
        <w:t>L'indice V(</w:t>
      </w:r>
      <w:r w:rsidRPr="009058A3">
        <w:rPr>
          <w:rFonts w:ascii="Calibri" w:hAnsi="Calibri" w:cs="Calibri"/>
          <w:sz w:val="24"/>
          <w:szCs w:val="24"/>
        </w:rPr>
        <w:t>ϵ</w:t>
      </w:r>
      <w:r w:rsidRPr="009058A3">
        <w:rPr>
          <w:rFonts w:ascii="Google Sans Text" w:hAnsi="Google Sans Text"/>
          <w:sz w:val="24"/>
          <w:szCs w:val="24"/>
        </w:rPr>
        <w:t>) est alors défini comme la somme des valeurs absolues de ces variations sur les ensembles de tokens les plus pertinents, à savoir les tokens de forte probabilité (S) et de faible probabilité (W) :</w:t>
      </w:r>
    </w:p>
    <w:p w14:paraId="38D20760" w14:textId="77777777" w:rsidR="00734EF3" w:rsidRPr="009058A3" w:rsidRDefault="00734EF3" w:rsidP="00734EF3">
      <w:pPr>
        <w:rPr>
          <w:rFonts w:ascii="Google Sans Text" w:hAnsi="Google Sans Text"/>
          <w:sz w:val="24"/>
          <w:szCs w:val="24"/>
        </w:rPr>
      </w:pPr>
    </w:p>
    <w:p w14:paraId="6C71B68E"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617546C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V(\epsilon)=\sum_{i\in S\cup W}\left|\Delta P_i(\epsilon)\right|</w:t>
      </w:r>
    </w:p>
    <w:p w14:paraId="6B28BDAB"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15013B9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Cet indice quantifie la magnitude totale du flux de probabilité. Il agit comme une mesure scalaire de la "volatilité" ou de la "fragilité" locale de l'espace latent. Dans le cadre de l'analogie physique développée dans l'article, une valeur élevée de</w:t>
      </w:r>
    </w:p>
    <w:p w14:paraId="6B58BE7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V(</w:t>
      </w:r>
      <w:r w:rsidRPr="009058A3">
        <w:rPr>
          <w:rFonts w:ascii="Calibri" w:hAnsi="Calibri" w:cs="Calibri"/>
          <w:sz w:val="24"/>
          <w:szCs w:val="24"/>
        </w:rPr>
        <w:t>ϵ</w:t>
      </w:r>
      <w:r w:rsidRPr="009058A3">
        <w:rPr>
          <w:rFonts w:ascii="Google Sans Text" w:hAnsi="Google Sans Text"/>
          <w:sz w:val="24"/>
          <w:szCs w:val="24"/>
        </w:rPr>
        <w:t xml:space="preserve">) est l'observable computationnel qui signale qu'un système est proche d'un point critique ou d'une transition de phase, un "effondrement sémantique". C'est l'équivalent de la mesure d'une "température d'Unruh" computationnelle élevée dans </w:t>
      </w:r>
      <w:r w:rsidRPr="009058A3">
        <w:rPr>
          <w:rFonts w:ascii="Google Sans Text" w:hAnsi="Google Sans Text"/>
          <w:sz w:val="24"/>
          <w:szCs w:val="24"/>
        </w:rPr>
        <w:lastRenderedPageBreak/>
        <w:t>l'expérience de pensée de l'Ascenseur Quantifié d'Einstein (AQE), indiquant une instabilité imminente qui se manifestera par une hallucination.</w:t>
      </w:r>
    </w:p>
    <w:p w14:paraId="4690B40D" w14:textId="77777777" w:rsidR="00734EF3" w:rsidRPr="009058A3" w:rsidRDefault="00734EF3" w:rsidP="00734EF3">
      <w:pPr>
        <w:rPr>
          <w:rFonts w:ascii="Google Sans Text" w:hAnsi="Google Sans Text"/>
          <w:sz w:val="24"/>
          <w:szCs w:val="24"/>
        </w:rPr>
      </w:pPr>
    </w:p>
    <w:p w14:paraId="38582D44" w14:textId="21E80DEB" w:rsidR="00734EF3" w:rsidRPr="009058A3" w:rsidRDefault="00B82512"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.4.2. Le Ratio d'Invariance Symétrique R(</w:t>
      </w:r>
      <w:r w:rsidR="00734EF3" w:rsidRPr="009058A3">
        <w:rPr>
          <w:rFonts w:ascii="Calibri" w:hAnsi="Calibri" w:cs="Calibri"/>
          <w:sz w:val="24"/>
          <w:szCs w:val="24"/>
        </w:rPr>
        <w:t>ϵ</w:t>
      </w:r>
      <w:r w:rsidR="00734EF3" w:rsidRPr="009058A3">
        <w:rPr>
          <w:rFonts w:ascii="Google Sans Text" w:hAnsi="Google Sans Text"/>
          <w:sz w:val="24"/>
          <w:szCs w:val="24"/>
        </w:rPr>
        <w:t>)</w:t>
      </w:r>
    </w:p>
    <w:p w14:paraId="29CD5BAD" w14:textId="77777777" w:rsidR="00734EF3" w:rsidRPr="009058A3" w:rsidRDefault="00734EF3" w:rsidP="00734EF3">
      <w:pPr>
        <w:rPr>
          <w:rFonts w:ascii="Google Sans Text" w:hAnsi="Google Sans Text"/>
          <w:sz w:val="24"/>
          <w:szCs w:val="24"/>
        </w:rPr>
      </w:pPr>
    </w:p>
    <w:p w14:paraId="4642CAB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Tandis que V(</w:t>
      </w:r>
      <w:r w:rsidRPr="009058A3">
        <w:rPr>
          <w:rFonts w:ascii="Calibri" w:hAnsi="Calibri" w:cs="Calibri"/>
          <w:sz w:val="24"/>
          <w:szCs w:val="24"/>
        </w:rPr>
        <w:t>ϵ</w:t>
      </w:r>
      <w:r w:rsidRPr="009058A3">
        <w:rPr>
          <w:rFonts w:ascii="Google Sans Text" w:hAnsi="Google Sans Text"/>
          <w:sz w:val="24"/>
          <w:szCs w:val="24"/>
        </w:rPr>
        <w:t>) mesure l'amplitude de l'instabilité, l'indice R(</w:t>
      </w:r>
      <w:r w:rsidRPr="009058A3">
        <w:rPr>
          <w:rFonts w:ascii="Calibri" w:hAnsi="Calibri" w:cs="Calibri"/>
          <w:sz w:val="24"/>
          <w:szCs w:val="24"/>
        </w:rPr>
        <w:t>ϵ</w:t>
      </w:r>
      <w:r w:rsidRPr="009058A3">
        <w:rPr>
          <w:rFonts w:ascii="Google Sans Text" w:hAnsi="Google Sans Text"/>
          <w:sz w:val="24"/>
          <w:szCs w:val="24"/>
        </w:rPr>
        <w:t>) est conçu pour en caractériser la nature. Il est défini comme le ratio de la probabilité totale gagnée par l'ensemble des tokens forts (S) à la probabilité totale perdue par l'ensemble des tokens faibles (W) :</w:t>
      </w:r>
    </w:p>
    <w:p w14:paraId="0B68E57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5238E006"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R(\epsilon)=\dfrac{\sum_{j\in W}\big(-\Delta P_j(\epsilon)\big)}{\sum_{i\in S}\Delta P_i(\epsilon)}</w:t>
      </w:r>
    </w:p>
    <w:p w14:paraId="6AF72A6E"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r w:rsidRPr="009058A3">
        <w:rPr>
          <w:rFonts w:ascii="Google Sans Text" w:hAnsi="Google Sans Text"/>
          <w:sz w:val="24"/>
          <w:szCs w:val="24"/>
        </w:rPr>
        <w:br/>
      </w:r>
      <w:r w:rsidRPr="009058A3">
        <w:rPr>
          <w:rFonts w:ascii="Google Sans Text" w:hAnsi="Google Sans Text"/>
          <w:sz w:val="24"/>
          <w:szCs w:val="24"/>
        </w:rPr>
        <w:br/>
        <w:t>Une valeur de R(</w:t>
      </w:r>
      <w:r w:rsidRPr="009058A3">
        <w:rPr>
          <w:rFonts w:ascii="Calibri" w:hAnsi="Calibri" w:cs="Calibri"/>
          <w:sz w:val="24"/>
          <w:szCs w:val="24"/>
        </w:rPr>
        <w:t>ϵ</w:t>
      </w:r>
      <w:r w:rsidRPr="009058A3">
        <w:rPr>
          <w:rFonts w:ascii="Google Sans Text" w:hAnsi="Google Sans Text"/>
          <w:sz w:val="24"/>
          <w:szCs w:val="24"/>
        </w:rPr>
        <w:t>)≈1 indique une réponse parfaitement symétrique et conservatrice : la masse de probabilité gagnée par les continuations logiques est précisément compensée par celle perdue par les continuations illogiques. Ce comportement est l'analogue d'une loi de conservation. Toute déviation significative de 1 signale une brisure de cette "symétrie informationnelle". Par exemple, un R(</w:t>
      </w:r>
      <w:r w:rsidRPr="009058A3">
        <w:rPr>
          <w:rFonts w:ascii="Calibri" w:hAnsi="Calibri" w:cs="Calibri"/>
          <w:sz w:val="24"/>
          <w:szCs w:val="24"/>
        </w:rPr>
        <w:t>ϵ</w:t>
      </w:r>
      <w:r w:rsidRPr="009058A3">
        <w:rPr>
          <w:rFonts w:ascii="Google Sans Text" w:hAnsi="Google Sans Text"/>
          <w:sz w:val="24"/>
          <w:szCs w:val="24"/>
        </w:rPr>
        <w:t>)&gt;1 pourrait indiquer que le modèle renforce ses convictions plus qu'il n'affaiblit ses rejets, une forme de polarisation. Cet indice établit un lien direct avec la discussion du théorème de Noether dans le corps de l'article, qui relie les symétries aux quantités conservées.</w:t>
      </w:r>
    </w:p>
    <w:p w14:paraId="2723BF84"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R(</w:t>
      </w:r>
      <w:r w:rsidRPr="009058A3">
        <w:rPr>
          <w:rFonts w:ascii="Calibri" w:hAnsi="Calibri" w:cs="Calibri"/>
          <w:sz w:val="24"/>
          <w:szCs w:val="24"/>
        </w:rPr>
        <w:t>ϵ</w:t>
      </w:r>
      <w:r w:rsidRPr="009058A3">
        <w:rPr>
          <w:rFonts w:ascii="Google Sans Text" w:hAnsi="Google Sans Text"/>
          <w:sz w:val="24"/>
          <w:szCs w:val="24"/>
        </w:rPr>
        <w:t>) agit ainsi comme une sonde expérimentale pour une forme de symétrie dans le processus de raisonnement du modèle, offrant un diagnostic plus profond que la simple mesure de volatilité.</w:t>
      </w:r>
    </w:p>
    <w:p w14:paraId="2176E0AE" w14:textId="77777777" w:rsidR="00734EF3" w:rsidRPr="009058A3" w:rsidRDefault="00734EF3" w:rsidP="00734EF3">
      <w:pPr>
        <w:rPr>
          <w:rFonts w:ascii="Google Sans Text" w:hAnsi="Google Sans Text"/>
          <w:sz w:val="24"/>
          <w:szCs w:val="24"/>
        </w:rPr>
      </w:pPr>
    </w:p>
    <w:p w14:paraId="68962FC0" w14:textId="40F375C4" w:rsidR="00734EF3" w:rsidRPr="009058A3" w:rsidRDefault="00B82512"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 xml:space="preserve">.5. Protocole de Calibration Systématique de l'Angle de Perturbation </w:t>
      </w:r>
      <w:r w:rsidR="00734EF3" w:rsidRPr="009058A3">
        <w:rPr>
          <w:rFonts w:ascii="Calibri" w:hAnsi="Calibri" w:cs="Calibri"/>
          <w:sz w:val="24"/>
          <w:szCs w:val="24"/>
        </w:rPr>
        <w:t>ϵ</w:t>
      </w:r>
    </w:p>
    <w:p w14:paraId="64B2CFF6" w14:textId="77777777" w:rsidR="00734EF3" w:rsidRPr="009058A3" w:rsidRDefault="00734EF3" w:rsidP="00734EF3">
      <w:pPr>
        <w:rPr>
          <w:rFonts w:ascii="Google Sans Text" w:hAnsi="Google Sans Text"/>
          <w:sz w:val="24"/>
          <w:szCs w:val="24"/>
        </w:rPr>
      </w:pPr>
    </w:p>
    <w:p w14:paraId="6D78BC3C" w14:textId="77777777" w:rsidR="00605F80" w:rsidRPr="009058A3" w:rsidRDefault="00605F80" w:rsidP="00605F80">
      <w:pPr>
        <w:rPr>
          <w:rFonts w:ascii="Google Sans Text" w:hAnsi="Google Sans Text"/>
          <w:sz w:val="24"/>
          <w:szCs w:val="24"/>
        </w:rPr>
      </w:pPr>
      <w:r w:rsidRPr="009058A3">
        <w:rPr>
          <w:rFonts w:ascii="Google Sans Text" w:hAnsi="Google Sans Text"/>
          <w:sz w:val="24"/>
          <w:szCs w:val="24"/>
        </w:rPr>
        <w:t>Calibration de ε* (régime linéaire).</w:t>
      </w:r>
    </w:p>
    <w:p w14:paraId="4BDA437B" w14:textId="77777777" w:rsidR="00605F80" w:rsidRPr="009058A3" w:rsidRDefault="00605F80" w:rsidP="00605F80">
      <w:pPr>
        <w:rPr>
          <w:rFonts w:ascii="Google Sans Text" w:hAnsi="Google Sans Text"/>
          <w:sz w:val="24"/>
          <w:szCs w:val="24"/>
        </w:rPr>
      </w:pPr>
      <w:r w:rsidRPr="009058A3">
        <w:rPr>
          <w:rFonts w:ascii="Google Sans Text" w:hAnsi="Google Sans Text"/>
          <w:sz w:val="24"/>
          <w:szCs w:val="24"/>
        </w:rPr>
        <w:t xml:space="preserve">1) Échantillonner N contextes (ex. WikiText). </w:t>
      </w:r>
    </w:p>
    <w:p w14:paraId="0F5B9EED" w14:textId="77777777" w:rsidR="00605F80" w:rsidRPr="009058A3" w:rsidRDefault="00605F80" w:rsidP="00605F80">
      <w:pPr>
        <w:rPr>
          <w:rFonts w:ascii="Google Sans Text" w:hAnsi="Google Sans Text"/>
          <w:sz w:val="24"/>
          <w:szCs w:val="24"/>
        </w:rPr>
      </w:pPr>
      <w:r w:rsidRPr="009058A3">
        <w:rPr>
          <w:rFonts w:ascii="Google Sans Text" w:hAnsi="Google Sans Text"/>
          <w:sz w:val="24"/>
          <w:szCs w:val="24"/>
        </w:rPr>
        <w:t>2) Pour chaque contexte, calculer (∂P/∂φ)|_{0} et (∂²P/∂φ²)|_{0}.</w:t>
      </w:r>
    </w:p>
    <w:p w14:paraId="48ECAA63" w14:textId="77777777" w:rsidR="00605F80" w:rsidRPr="009058A3" w:rsidRDefault="00605F80" w:rsidP="00605F80">
      <w:pPr>
        <w:rPr>
          <w:rFonts w:ascii="Google Sans Text" w:hAnsi="Google Sans Text"/>
          <w:sz w:val="24"/>
          <w:szCs w:val="24"/>
        </w:rPr>
      </w:pPr>
      <w:r w:rsidRPr="009058A3">
        <w:rPr>
          <w:rFonts w:ascii="Google Sans Text" w:hAnsi="Google Sans Text"/>
          <w:sz w:val="24"/>
          <w:szCs w:val="24"/>
        </w:rPr>
        <w:t xml:space="preserve">3) Balayer ε </w:t>
      </w:r>
      <w:r w:rsidRPr="009058A3">
        <w:rPr>
          <w:rFonts w:ascii="Cambria Math" w:hAnsi="Cambria Math" w:cs="Cambria Math"/>
          <w:sz w:val="24"/>
          <w:szCs w:val="24"/>
        </w:rPr>
        <w:t>∈</w:t>
      </w:r>
      <w:r w:rsidRPr="009058A3">
        <w:rPr>
          <w:rFonts w:ascii="Google Sans Text" w:hAnsi="Google Sans Text"/>
          <w:sz w:val="24"/>
          <w:szCs w:val="24"/>
        </w:rPr>
        <w:t xml:space="preserve"> [10^{-5},10^{-1}] rad ; calculer </w:t>
      </w:r>
      <w:r w:rsidRPr="009058A3">
        <w:rPr>
          <w:rFonts w:ascii="Google Sans Text" w:hAnsi="Google Sans Text" w:cs="___WRD_EMBED_SUB_46"/>
          <w:sz w:val="24"/>
          <w:szCs w:val="24"/>
        </w:rPr>
        <w:t>η</w:t>
      </w:r>
      <w:r w:rsidRPr="009058A3">
        <w:rPr>
          <w:rFonts w:ascii="Google Sans Text" w:hAnsi="Google Sans Text"/>
          <w:sz w:val="24"/>
          <w:szCs w:val="24"/>
        </w:rPr>
        <w:t xml:space="preserve"> := |(</w:t>
      </w:r>
      <w:r w:rsidRPr="009058A3">
        <w:rPr>
          <w:rFonts w:ascii="Google Sans Text" w:hAnsi="Google Sans Text" w:cs="___WRD_EMBED_SUB_46"/>
          <w:sz w:val="24"/>
          <w:szCs w:val="24"/>
        </w:rPr>
        <w:t>∂</w:t>
      </w:r>
      <w:r w:rsidRPr="009058A3">
        <w:rPr>
          <w:rFonts w:ascii="Google Sans Text" w:hAnsi="Google Sans Text"/>
          <w:sz w:val="24"/>
          <w:szCs w:val="24"/>
        </w:rPr>
        <w:t>P/</w:t>
      </w:r>
      <w:r w:rsidRPr="009058A3">
        <w:rPr>
          <w:rFonts w:ascii="Google Sans Text" w:hAnsi="Google Sans Text" w:cs="___WRD_EMBED_SUB_46"/>
          <w:sz w:val="24"/>
          <w:szCs w:val="24"/>
        </w:rPr>
        <w:t>∂φ</w:t>
      </w:r>
      <w:r w:rsidRPr="009058A3">
        <w:rPr>
          <w:rFonts w:ascii="Google Sans Text" w:hAnsi="Google Sans Text"/>
          <w:sz w:val="24"/>
          <w:szCs w:val="24"/>
        </w:rPr>
        <w:t>)</w:t>
      </w:r>
      <w:r w:rsidRPr="009058A3">
        <w:rPr>
          <w:rFonts w:ascii="Google Sans Text" w:hAnsi="Google Sans Text" w:cs="___WRD_EMBED_SUB_46"/>
          <w:sz w:val="24"/>
          <w:szCs w:val="24"/>
        </w:rPr>
        <w:t>ε</w:t>
      </w:r>
      <w:r w:rsidRPr="009058A3">
        <w:rPr>
          <w:rFonts w:ascii="Google Sans Text" w:hAnsi="Google Sans Text"/>
          <w:sz w:val="24"/>
          <w:szCs w:val="24"/>
        </w:rPr>
        <w:t>| / |(1/2)(</w:t>
      </w:r>
      <w:r w:rsidRPr="009058A3">
        <w:rPr>
          <w:rFonts w:ascii="Google Sans Text" w:hAnsi="Google Sans Text" w:cs="___WRD_EMBED_SUB_46"/>
          <w:sz w:val="24"/>
          <w:szCs w:val="24"/>
        </w:rPr>
        <w:t>∂²</w:t>
      </w:r>
      <w:r w:rsidRPr="009058A3">
        <w:rPr>
          <w:rFonts w:ascii="Google Sans Text" w:hAnsi="Google Sans Text"/>
          <w:sz w:val="24"/>
          <w:szCs w:val="24"/>
        </w:rPr>
        <w:t>P/</w:t>
      </w:r>
      <w:r w:rsidRPr="009058A3">
        <w:rPr>
          <w:rFonts w:ascii="Google Sans Text" w:hAnsi="Google Sans Text" w:cs="___WRD_EMBED_SUB_46"/>
          <w:sz w:val="24"/>
          <w:szCs w:val="24"/>
        </w:rPr>
        <w:t>∂φ²</w:t>
      </w:r>
      <w:r w:rsidRPr="009058A3">
        <w:rPr>
          <w:rFonts w:ascii="Google Sans Text" w:hAnsi="Google Sans Text"/>
          <w:sz w:val="24"/>
          <w:szCs w:val="24"/>
        </w:rPr>
        <w:t>)</w:t>
      </w:r>
      <w:r w:rsidRPr="009058A3">
        <w:rPr>
          <w:rFonts w:ascii="Google Sans Text" w:hAnsi="Google Sans Text" w:cs="___WRD_EMBED_SUB_46"/>
          <w:sz w:val="24"/>
          <w:szCs w:val="24"/>
        </w:rPr>
        <w:t>ε²</w:t>
      </w:r>
      <w:r w:rsidRPr="009058A3">
        <w:rPr>
          <w:rFonts w:ascii="Google Sans Text" w:hAnsi="Google Sans Text"/>
          <w:sz w:val="24"/>
          <w:szCs w:val="24"/>
        </w:rPr>
        <w:t>|.</w:t>
      </w:r>
    </w:p>
    <w:p w14:paraId="3A516BF6" w14:textId="77777777" w:rsidR="00605F80" w:rsidRPr="009058A3" w:rsidRDefault="00605F80" w:rsidP="00605F80">
      <w:pPr>
        <w:rPr>
          <w:rFonts w:ascii="Google Sans Text" w:hAnsi="Google Sans Text"/>
          <w:sz w:val="24"/>
          <w:szCs w:val="24"/>
        </w:rPr>
      </w:pPr>
      <w:r w:rsidRPr="009058A3">
        <w:rPr>
          <w:rFonts w:ascii="Google Sans Text" w:hAnsi="Google Sans Text"/>
          <w:sz w:val="24"/>
          <w:szCs w:val="24"/>
        </w:rPr>
        <w:t>4) Choisir ε* = max{ε : η&lt;0,1 pour ≥99% des paires (token,contexte)}.</w:t>
      </w:r>
    </w:p>
    <w:p w14:paraId="61776592" w14:textId="60A78798" w:rsidR="00734EF3" w:rsidRPr="009058A3" w:rsidRDefault="00605F80" w:rsidP="00605F80">
      <w:pPr>
        <w:rPr>
          <w:rFonts w:ascii="Google Sans Text" w:hAnsi="Google Sans Text"/>
          <w:sz w:val="24"/>
          <w:szCs w:val="24"/>
        </w:rPr>
      </w:pPr>
      <w:r w:rsidRPr="009058A3">
        <w:rPr>
          <w:rFonts w:ascii="Google Sans Text" w:hAnsi="Google Sans Text"/>
          <w:sz w:val="24"/>
          <w:szCs w:val="24"/>
        </w:rPr>
        <w:t>Publier ε*, N, distribution de η et jeux de validation (Annexe H).</w:t>
      </w:r>
    </w:p>
    <w:p w14:paraId="3C808009" w14:textId="4399FE3B" w:rsidR="00734EF3" w:rsidRPr="009058A3" w:rsidRDefault="00B82512"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.5.1. La Nécessité d'un Régime Linéaire</w:t>
      </w:r>
    </w:p>
    <w:p w14:paraId="28BCA5A0" w14:textId="77777777" w:rsidR="00734EF3" w:rsidRPr="009058A3" w:rsidRDefault="00734EF3" w:rsidP="00734EF3">
      <w:pPr>
        <w:rPr>
          <w:rFonts w:ascii="Google Sans Text" w:hAnsi="Google Sans Text"/>
          <w:sz w:val="24"/>
          <w:szCs w:val="24"/>
        </w:rPr>
      </w:pPr>
    </w:p>
    <w:p w14:paraId="682AA21F"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Les indices de stabilité V(</w:t>
      </w:r>
      <w:r w:rsidRPr="009058A3">
        <w:rPr>
          <w:rFonts w:ascii="Calibri" w:hAnsi="Calibri" w:cs="Calibri"/>
          <w:sz w:val="24"/>
          <w:szCs w:val="24"/>
        </w:rPr>
        <w:t>ϵ</w:t>
      </w:r>
      <w:r w:rsidRPr="009058A3">
        <w:rPr>
          <w:rFonts w:ascii="Google Sans Text" w:hAnsi="Google Sans Text"/>
          <w:sz w:val="24"/>
          <w:szCs w:val="24"/>
        </w:rPr>
        <w:t>) et R(</w:t>
      </w:r>
      <w:r w:rsidRPr="009058A3">
        <w:rPr>
          <w:rFonts w:ascii="Calibri" w:hAnsi="Calibri" w:cs="Calibri"/>
          <w:sz w:val="24"/>
          <w:szCs w:val="24"/>
        </w:rPr>
        <w:t>ϵ</w:t>
      </w:r>
      <w:r w:rsidRPr="009058A3">
        <w:rPr>
          <w:rFonts w:ascii="Google Sans Text" w:hAnsi="Google Sans Text"/>
          <w:sz w:val="24"/>
          <w:szCs w:val="24"/>
        </w:rPr>
        <w:t xml:space="preserve">) sont construits sur la base d'une approximation de Taylor de premier ordre. La validité de cette approximation est donc primordiale. Si l'angle de perturbation </w:t>
      </w:r>
      <w:r w:rsidRPr="009058A3">
        <w:rPr>
          <w:rFonts w:ascii="Calibri" w:hAnsi="Calibri" w:cs="Calibri"/>
          <w:sz w:val="24"/>
          <w:szCs w:val="24"/>
        </w:rPr>
        <w:t>ϵ</w:t>
      </w:r>
      <w:r w:rsidRPr="009058A3">
        <w:rPr>
          <w:rFonts w:ascii="Google Sans Text" w:hAnsi="Google Sans Text"/>
          <w:sz w:val="24"/>
          <w:szCs w:val="24"/>
        </w:rPr>
        <w:t xml:space="preserve"> est choisi trop grand, les effets non-linéaires (décrits par les dérivées d'ordre supérieur) deviendront dominants, rendant la mesure ininterprétable et non comparable entre différents contextes. Il est donc impératif d'opérer dans le "régime de réponse linéaire".</w:t>
      </w:r>
    </w:p>
    <w:p w14:paraId="469A658A" w14:textId="77777777" w:rsidR="00734EF3" w:rsidRPr="009058A3" w:rsidRDefault="00734EF3" w:rsidP="00734EF3">
      <w:pPr>
        <w:rPr>
          <w:rFonts w:ascii="Google Sans Text" w:hAnsi="Google Sans Text"/>
          <w:sz w:val="24"/>
          <w:szCs w:val="24"/>
        </w:rPr>
      </w:pPr>
    </w:p>
    <w:p w14:paraId="2C3636A7" w14:textId="7111A593" w:rsidR="00734EF3" w:rsidRPr="009058A3" w:rsidRDefault="00B82512" w:rsidP="00734EF3">
      <w:pPr>
        <w:rPr>
          <w:rFonts w:ascii="Google Sans Text" w:hAnsi="Google Sans Text"/>
          <w:sz w:val="24"/>
          <w:szCs w:val="24"/>
        </w:rPr>
      </w:pPr>
      <w:r w:rsidRPr="009058A3">
        <w:rPr>
          <w:rFonts w:ascii="Google Sans Text" w:hAnsi="Google Sans Text"/>
          <w:sz w:val="24"/>
          <w:szCs w:val="24"/>
        </w:rPr>
        <w:lastRenderedPageBreak/>
        <w:t>B</w:t>
      </w:r>
      <w:r w:rsidR="00734EF3" w:rsidRPr="009058A3">
        <w:rPr>
          <w:rFonts w:ascii="Google Sans Text" w:hAnsi="Google Sans Text"/>
          <w:sz w:val="24"/>
          <w:szCs w:val="24"/>
        </w:rPr>
        <w:t>.5.2. Formalisation de la Contrainte de Linéarité η</w:t>
      </w:r>
    </w:p>
    <w:p w14:paraId="36DB5E24" w14:textId="77777777" w:rsidR="00734EF3" w:rsidRPr="009058A3" w:rsidRDefault="00734EF3" w:rsidP="00734EF3">
      <w:pPr>
        <w:rPr>
          <w:rFonts w:ascii="Google Sans Text" w:hAnsi="Google Sans Text"/>
          <w:sz w:val="24"/>
          <w:szCs w:val="24"/>
        </w:rPr>
      </w:pPr>
    </w:p>
    <w:p w14:paraId="18B74AC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Pour garantir que nous restons dans ce régime, nous introduisons une contrainte de linéarité, η. Cette contrainte stipule que, pour tout token, la magnitude du terme du second ordre dans le développement de Taylor doit être significativement plus petite que celle du terme du premier ordre. Formellement, pour un petit seuil (par exemple, 0.1), nous exigeons :</w:t>
      </w:r>
    </w:p>
    <w:p w14:paraId="4ABC2A2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p>
    <w:p w14:paraId="2FAAEC8C"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\eta \;=\; </w:t>
      </w:r>
    </w:p>
    <w:p w14:paraId="4B41756D"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\dfrac{\left|\left.\frac{\partial P_i}{\partial \phi}\right|_{\phi=0}\,\epsilon\right|}</w:t>
      </w:r>
    </w:p>
    <w:p w14:paraId="2942A3C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      {\left|\dfrac{1}{2}\left.\frac{\partial^{2} P_i}{\partial \phi^{2}}\right|_{\phi=0}\,\epsilon^{2}\right|}</w:t>
      </w:r>
    </w:p>
    <w:p w14:paraId="7C91C036"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\;\ll\;1</w:t>
      </w:r>
    </w:p>
    <w:p w14:paraId="7E87DD49"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w:t>
      </w:r>
      <w:r w:rsidRPr="009058A3">
        <w:rPr>
          <w:rFonts w:ascii="Google Sans Text" w:hAnsi="Google Sans Text"/>
          <w:sz w:val="24"/>
          <w:szCs w:val="24"/>
        </w:rPr>
        <w:br/>
      </w:r>
      <w:r w:rsidRPr="009058A3">
        <w:rPr>
          <w:rFonts w:ascii="Google Sans Text" w:hAnsi="Google Sans Text"/>
          <w:sz w:val="24"/>
          <w:szCs w:val="24"/>
        </w:rPr>
        <w:br/>
        <w:t>Le respect de cette contrainte n'est pas une simple formalité technique ; c'est la garantie de la validité scientifique de la mesure. Elle assure que l'instrument DAP opère dans des conditions standardisées, de la même manière qu'un physicien s'assure que l'énergie d'une sonde n'est pas si élevée qu'elle détruit l'échantillon étudié. Ce protocole de calibration transforme la méthode DAP d'une curiosité mathématique en un instrument scientifique fiable.</w:t>
      </w:r>
    </w:p>
    <w:p w14:paraId="3D413B85" w14:textId="77777777" w:rsidR="00734EF3" w:rsidRPr="009058A3" w:rsidRDefault="00734EF3" w:rsidP="00734EF3">
      <w:pPr>
        <w:rPr>
          <w:rFonts w:ascii="Google Sans Text" w:hAnsi="Google Sans Text"/>
          <w:sz w:val="24"/>
          <w:szCs w:val="24"/>
        </w:rPr>
      </w:pPr>
    </w:p>
    <w:p w14:paraId="0A953CDB" w14:textId="0E23B711" w:rsidR="00734EF3" w:rsidRPr="009058A3" w:rsidRDefault="00B82512" w:rsidP="00734EF3">
      <w:pPr>
        <w:rPr>
          <w:rFonts w:ascii="Google Sans Text" w:hAnsi="Google Sans Text"/>
          <w:sz w:val="24"/>
          <w:szCs w:val="24"/>
        </w:rPr>
      </w:pPr>
      <w:r w:rsidRPr="009058A3">
        <w:rPr>
          <w:rFonts w:ascii="Google Sans Text" w:hAnsi="Google Sans Text"/>
          <w:sz w:val="24"/>
          <w:szCs w:val="24"/>
        </w:rPr>
        <w:t>B</w:t>
      </w:r>
      <w:r w:rsidR="00734EF3" w:rsidRPr="009058A3">
        <w:rPr>
          <w:rFonts w:ascii="Google Sans Text" w:hAnsi="Google Sans Text"/>
          <w:sz w:val="24"/>
          <w:szCs w:val="24"/>
        </w:rPr>
        <w:t xml:space="preserve">.5.3. Algorithme de Détermination de </w:t>
      </w:r>
      <w:r w:rsidR="00734EF3" w:rsidRPr="009058A3">
        <w:rPr>
          <w:rFonts w:ascii="Calibri" w:hAnsi="Calibri" w:cs="Calibri"/>
          <w:sz w:val="24"/>
          <w:szCs w:val="24"/>
        </w:rPr>
        <w:t>ϵ</w:t>
      </w:r>
      <w:r w:rsidR="00734EF3" w:rsidRPr="009058A3">
        <w:rPr>
          <w:rFonts w:ascii="Cambria Math" w:hAnsi="Cambria Math" w:cs="Cambria Math"/>
          <w:sz w:val="24"/>
          <w:szCs w:val="24"/>
        </w:rPr>
        <w:t>∗</w:t>
      </w:r>
    </w:p>
    <w:p w14:paraId="1A4C4160" w14:textId="77777777" w:rsidR="00734EF3" w:rsidRPr="009058A3" w:rsidRDefault="00734EF3" w:rsidP="00734EF3">
      <w:pPr>
        <w:rPr>
          <w:rFonts w:ascii="Google Sans Text" w:hAnsi="Google Sans Text"/>
          <w:sz w:val="24"/>
          <w:szCs w:val="24"/>
        </w:rPr>
      </w:pPr>
    </w:p>
    <w:p w14:paraId="7A74D2F8"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La détermination de l'angle optimal, </w:t>
      </w:r>
      <w:r w:rsidRPr="009058A3">
        <w:rPr>
          <w:rFonts w:ascii="Calibri" w:hAnsi="Calibri" w:cs="Calibri"/>
          <w:sz w:val="24"/>
          <w:szCs w:val="24"/>
        </w:rPr>
        <w:t>ϵ</w:t>
      </w:r>
      <w:r w:rsidRPr="009058A3">
        <w:rPr>
          <w:rFonts w:ascii="Cambria Math" w:hAnsi="Cambria Math" w:cs="Cambria Math"/>
          <w:sz w:val="24"/>
          <w:szCs w:val="24"/>
        </w:rPr>
        <w:t>∗</w:t>
      </w:r>
      <w:r w:rsidRPr="009058A3">
        <w:rPr>
          <w:rFonts w:ascii="Google Sans Text" w:hAnsi="Google Sans Text"/>
          <w:sz w:val="24"/>
          <w:szCs w:val="24"/>
        </w:rPr>
        <w:t xml:space="preserve">, est réalisée via un algorithme data-driven qui vise à trouver la plus grande valeur de </w:t>
      </w:r>
      <w:r w:rsidRPr="009058A3">
        <w:rPr>
          <w:rFonts w:ascii="Calibri" w:hAnsi="Calibri" w:cs="Calibri"/>
          <w:sz w:val="24"/>
          <w:szCs w:val="24"/>
        </w:rPr>
        <w:t>ϵ</w:t>
      </w:r>
      <w:r w:rsidRPr="009058A3">
        <w:rPr>
          <w:rFonts w:ascii="Google Sans Text" w:hAnsi="Google Sans Text"/>
          <w:sz w:val="24"/>
          <w:szCs w:val="24"/>
        </w:rPr>
        <w:t xml:space="preserve"> qui respecte la contrainte de linéarité pour la grande majorité des cas. Le protocole est le suivant :</w:t>
      </w:r>
    </w:p>
    <w:p w14:paraId="6ECE5ECA"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Échantillonnage : Sélectionner un ensemble de N contextes divers et représentatifs à partir d'un corpus de référence (par exemple, WikiText).</w:t>
      </w:r>
    </w:p>
    <w:p w14:paraId="7E175E65"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Calcul des Dérivées : Pour chaque contexte, calculer les dérivées première et seconde, ∂Pi​/</w:t>
      </w:r>
      <w:r w:rsidRPr="009058A3">
        <w:rPr>
          <w:rFonts w:ascii="Google Sans Text" w:hAnsi="Google Sans Text" w:cs="Aptos"/>
          <w:sz w:val="24"/>
          <w:szCs w:val="24"/>
        </w:rPr>
        <w:t>∂</w:t>
      </w:r>
      <w:r w:rsidRPr="009058A3">
        <w:rPr>
          <w:rFonts w:ascii="Calibri" w:hAnsi="Calibri" w:cs="Calibri"/>
          <w:sz w:val="24"/>
          <w:szCs w:val="24"/>
        </w:rPr>
        <w:t>ϕ</w:t>
      </w:r>
      <w:r w:rsidRPr="009058A3">
        <w:rPr>
          <w:rFonts w:ascii="Google Sans Text" w:hAnsi="Google Sans Text"/>
          <w:sz w:val="24"/>
          <w:szCs w:val="24"/>
        </w:rPr>
        <w:t xml:space="preserve"> et ∂2Pi​/</w:t>
      </w:r>
      <w:r w:rsidRPr="009058A3">
        <w:rPr>
          <w:rFonts w:ascii="Google Sans Text" w:hAnsi="Google Sans Text" w:cs="Aptos"/>
          <w:sz w:val="24"/>
          <w:szCs w:val="24"/>
        </w:rPr>
        <w:t>∂</w:t>
      </w:r>
      <w:r w:rsidRPr="009058A3">
        <w:rPr>
          <w:rFonts w:ascii="Calibri" w:hAnsi="Calibri" w:cs="Calibri"/>
          <w:sz w:val="24"/>
          <w:szCs w:val="24"/>
        </w:rPr>
        <w:t>ϕ</w:t>
      </w:r>
      <w:r w:rsidRPr="009058A3">
        <w:rPr>
          <w:rFonts w:ascii="Google Sans Text" w:hAnsi="Google Sans Text"/>
          <w:sz w:val="24"/>
          <w:szCs w:val="24"/>
        </w:rPr>
        <w:t>2, pour tous les tokens i du vocabulaire.</w:t>
      </w:r>
    </w:p>
    <w:p w14:paraId="618D4200"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Recherche Itérative : Tester une plage de valeurs candidates pour </w:t>
      </w:r>
      <w:r w:rsidRPr="009058A3">
        <w:rPr>
          <w:rFonts w:ascii="Calibri" w:hAnsi="Calibri" w:cs="Calibri"/>
          <w:sz w:val="24"/>
          <w:szCs w:val="24"/>
        </w:rPr>
        <w:t>ϵ</w:t>
      </w:r>
      <w:r w:rsidRPr="009058A3">
        <w:rPr>
          <w:rFonts w:ascii="Google Sans Text" w:hAnsi="Google Sans Text"/>
          <w:sz w:val="24"/>
          <w:szCs w:val="24"/>
        </w:rPr>
        <w:t xml:space="preserve"> (par exemple, de 10−5 à 10−1 radians). Pour chaque valeur, calculer la distribution des valeurs de η sur l'ensemble des tokens et des contextes.</w:t>
      </w:r>
    </w:p>
    <w:p w14:paraId="0329D6D7"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Sélection de </w:t>
      </w:r>
      <w:r w:rsidRPr="009058A3">
        <w:rPr>
          <w:rFonts w:ascii="Calibri" w:hAnsi="Calibri" w:cs="Calibri"/>
          <w:sz w:val="24"/>
          <w:szCs w:val="24"/>
        </w:rPr>
        <w:t>ϵ</w:t>
      </w:r>
      <w:r w:rsidRPr="009058A3">
        <w:rPr>
          <w:rFonts w:ascii="Cambria Math" w:hAnsi="Cambria Math" w:cs="Cambria Math"/>
          <w:sz w:val="24"/>
          <w:szCs w:val="24"/>
        </w:rPr>
        <w:t>∗</w:t>
      </w:r>
      <w:r w:rsidRPr="009058A3">
        <w:rPr>
          <w:rFonts w:ascii="Google Sans Text" w:hAnsi="Google Sans Text"/>
          <w:sz w:val="24"/>
          <w:szCs w:val="24"/>
        </w:rPr>
        <w:t xml:space="preserve"> : Définir </w:t>
      </w:r>
      <w:r w:rsidRPr="009058A3">
        <w:rPr>
          <w:rFonts w:ascii="Calibri" w:hAnsi="Calibri" w:cs="Calibri"/>
          <w:sz w:val="24"/>
          <w:szCs w:val="24"/>
        </w:rPr>
        <w:t>ϵ</w:t>
      </w:r>
      <w:r w:rsidRPr="009058A3">
        <w:rPr>
          <w:rFonts w:ascii="Cambria Math" w:hAnsi="Cambria Math" w:cs="Cambria Math"/>
          <w:sz w:val="24"/>
          <w:szCs w:val="24"/>
        </w:rPr>
        <w:t>∗</w:t>
      </w:r>
      <w:r w:rsidRPr="009058A3">
        <w:rPr>
          <w:rFonts w:ascii="Google Sans Text" w:hAnsi="Google Sans Text"/>
          <w:sz w:val="24"/>
          <w:szCs w:val="24"/>
        </w:rPr>
        <w:t xml:space="preserve"> comme la plus grande valeur de </w:t>
      </w:r>
      <w:r w:rsidRPr="009058A3">
        <w:rPr>
          <w:rFonts w:ascii="Calibri" w:hAnsi="Calibri" w:cs="Calibri"/>
          <w:sz w:val="24"/>
          <w:szCs w:val="24"/>
        </w:rPr>
        <w:t>ϵ</w:t>
      </w:r>
      <w:r w:rsidRPr="009058A3">
        <w:rPr>
          <w:rFonts w:ascii="Google Sans Text" w:hAnsi="Google Sans Text"/>
          <w:sz w:val="24"/>
          <w:szCs w:val="24"/>
        </w:rPr>
        <w:t xml:space="preserve"> pour laquelle la contrainte η&lt;seuil (par exemple, η&lt;0.1) est satisfaite pour au moins 99% de l'ensemble des (token, contexte) paires.</w:t>
      </w:r>
    </w:p>
    <w:p w14:paraId="7723AB9A" w14:textId="77777777" w:rsidR="00734EF3" w:rsidRPr="009058A3" w:rsidRDefault="00734EF3" w:rsidP="00734EF3">
      <w:pPr>
        <w:rPr>
          <w:rFonts w:ascii="Google Sans Text" w:hAnsi="Google Sans Text"/>
          <w:sz w:val="24"/>
          <w:szCs w:val="24"/>
        </w:rPr>
      </w:pPr>
      <w:r w:rsidRPr="009058A3">
        <w:rPr>
          <w:rFonts w:ascii="Google Sans Text" w:hAnsi="Google Sans Text"/>
          <w:sz w:val="24"/>
          <w:szCs w:val="24"/>
        </w:rPr>
        <w:t xml:space="preserve">Cet angle </w:t>
      </w:r>
      <w:r w:rsidRPr="009058A3">
        <w:rPr>
          <w:rFonts w:ascii="Calibri" w:hAnsi="Calibri" w:cs="Calibri"/>
          <w:sz w:val="24"/>
          <w:szCs w:val="24"/>
        </w:rPr>
        <w:t>ϵ</w:t>
      </w:r>
      <w:r w:rsidRPr="009058A3">
        <w:rPr>
          <w:rFonts w:ascii="Cambria Math" w:hAnsi="Cambria Math" w:cs="Cambria Math"/>
          <w:sz w:val="24"/>
          <w:szCs w:val="24"/>
        </w:rPr>
        <w:t>∗</w:t>
      </w:r>
      <w:r w:rsidRPr="009058A3">
        <w:rPr>
          <w:rFonts w:ascii="Google Sans Text" w:hAnsi="Google Sans Text"/>
          <w:sz w:val="24"/>
          <w:szCs w:val="24"/>
        </w:rPr>
        <w:t xml:space="preserve"> est alors fixé et utilisé comme constante pour toutes les analyses ultérieures effectuées avec ce modèle et ce type de corpus, garantissant ainsi la comparabilité et la robustesse des indices de stabilité calculés.</w:t>
      </w:r>
    </w:p>
    <w:p w14:paraId="2E7B2750" w14:textId="77777777" w:rsidR="00734EF3" w:rsidRPr="009058A3" w:rsidRDefault="00734EF3" w:rsidP="00734EF3">
      <w:pPr>
        <w:rPr>
          <w:rFonts w:ascii="Google Sans Text" w:hAnsi="Google Sans Text"/>
          <w:i/>
          <w:iCs/>
          <w:sz w:val="24"/>
          <w:szCs w:val="24"/>
        </w:rPr>
      </w:pPr>
      <w:r w:rsidRPr="009058A3">
        <w:rPr>
          <w:rFonts w:ascii="Google Sans Text" w:hAnsi="Google Sans Text"/>
          <w:sz w:val="24"/>
          <w:szCs w:val="24"/>
        </w:rPr>
        <w:br/>
      </w:r>
      <w:r w:rsidRPr="009058A3">
        <w:rPr>
          <w:rFonts w:ascii="Google Sans Text" w:hAnsi="Google Sans Text"/>
          <w:i/>
          <w:iCs/>
          <w:sz w:val="24"/>
          <w:szCs w:val="24"/>
        </w:rPr>
        <w:t>\section*{Annexe D : Considérations énergétiques phénoménologiques (optionnel)}</w:t>
      </w:r>
    </w:p>
    <w:p w14:paraId="459FF5EA"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 xml:space="preserve">\noindent\textit{Portée.} Nous n’énonçons pas de loi physique nouvelle pour les LLM. </w:t>
      </w:r>
      <w:r w:rsidRPr="009058A3">
        <w:rPr>
          <w:rFonts w:ascii="Google Sans Text" w:hAnsi="Google Sans Text"/>
          <w:i/>
          <w:iCs/>
          <w:sz w:val="24"/>
          <w:szCs w:val="24"/>
        </w:rPr>
        <w:lastRenderedPageBreak/>
        <w:t>Nous posons un \textbf{principe de correspondance opératoire} (PCO) : certaines bornes de la thermodynamique de l’information inspirent un critère de contrôle (DAP/ISI) calibré empiriquement.</w:t>
      </w:r>
    </w:p>
    <w:p w14:paraId="24A9E149"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\subsection*{1. Distinction}</w:t>
      </w:r>
    </w:p>
    <w:p w14:paraId="243467BE"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\textbf{Action} : $E_{\text{eff}}=N_{\text{act}}\,k_BT\ln2$ ; \textbf{Ordre} : $E_{\text{res}}=N_{\text{ord}}\,\psi k_BT\ln2$, $\psi&gt;1$.</w:t>
      </w:r>
    </w:p>
    <w:p w14:paraId="097C9CAC"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\subsection*{2. Modèle}</w:t>
      </w:r>
    </w:p>
    <w:p w14:paraId="0C933240"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w:t>
      </w:r>
    </w:p>
    <w:p w14:paraId="05FB8AD5"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\boxed{E_{\text{tot}}=E_{\text{eff}}+E_{\text{res}},\quad</w:t>
      </w:r>
    </w:p>
    <w:p w14:paraId="1E09CF18"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\frac{E_{\text{res}}}{E_{\text{tot}}}=\frac{\psi\Delta}{1-\Delta+\psi\Delta}},\qquad</w:t>
      </w:r>
    </w:p>
    <w:p w14:paraId="795A8AA8"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\Delta=\frac{Res}{S_{\Omega}}.</w:t>
      </w:r>
    </w:p>
    <w:p w14:paraId="21863F0D"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w:t>
      </w:r>
      <w:r w:rsidRPr="009058A3">
        <w:rPr>
          <w:rFonts w:ascii="Google Sans Text" w:hAnsi="Google Sans Text"/>
          <w:i/>
          <w:iCs/>
          <w:sz w:val="24"/>
          <w:szCs w:val="24"/>
        </w:rPr>
        <w:br/>
      </w:r>
      <w:r w:rsidRPr="009058A3">
        <w:rPr>
          <w:rFonts w:ascii="Google Sans Text" w:hAnsi="Google Sans Text"/>
          <w:i/>
          <w:iCs/>
          <w:sz w:val="24"/>
          <w:szCs w:val="24"/>
        </w:rPr>
        <w:br/>
        <w:t>\paragraph{Hypothèse (H–Ordre).}</w:t>
      </w:r>
    </w:p>
    <w:p w14:paraId="362D9E7B"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À l’échelle opérationnelle, l’énergie d’ordre $E_{\mathrm{res}}$ requise pour maintenir $Res=S_{\Omega}-C_{\tau}$ est proportionnelle à $Res$ ; la constante de proportionnalité se calibre (proxy de puissance).</w:t>
      </w:r>
    </w:p>
    <w:p w14:paraId="0F259679"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\subsection*{3. ISI-E (puissance)}</w:t>
      </w:r>
    </w:p>
    <w:p w14:paraId="300A65DE"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w:t>
      </w:r>
    </w:p>
    <w:p w14:paraId="19F2BB2F"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\boxed{P_{\text{tot}}\le P_{\text{BH}}=\frac{c^{5}}{G}\,\frac{A}{4\pi r_s^{2}}},\qquad</w:t>
      </w:r>
    </w:p>
    <w:p w14:paraId="1003C322"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P_{\text{res}}=\psi\,(S_{\Omega}-C_{\tau})\,\dot S.</w:t>
      </w:r>
    </w:p>
    <w:p w14:paraId="7B61A6A5"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w:t>
      </w:r>
    </w:p>
    <w:p w14:paraId="6C430A17"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w:t>
      </w:r>
    </w:p>
    <w:p w14:paraId="62E701D3" w14:textId="77777777" w:rsidR="00734EF3" w:rsidRPr="009058A3" w:rsidRDefault="00734EF3" w:rsidP="00734EF3">
      <w:pPr>
        <w:rPr>
          <w:rFonts w:ascii="Google Sans Text" w:hAnsi="Google Sans Text"/>
          <w:i/>
          <w:iCs/>
          <w:sz w:val="24"/>
          <w:szCs w:val="24"/>
        </w:rPr>
      </w:pPr>
      <w:r w:rsidRPr="009058A3">
        <w:rPr>
          <w:rFonts w:ascii="Google Sans Text" w:hAnsi="Google Sans Text"/>
          <w:i/>
          <w:iCs/>
          <w:sz w:val="24"/>
          <w:szCs w:val="24"/>
        </w:rPr>
        <w:t>\boxed{P_{\text{res}}\ge P_{\text{BH}}\ \Longrightarrow\ \text{Effondrement}}.</w:t>
      </w:r>
    </w:p>
    <w:p w14:paraId="533DE407" w14:textId="77777777" w:rsidR="00734EF3" w:rsidRPr="009058A3" w:rsidRDefault="00734EF3" w:rsidP="00734EF3">
      <w:pPr>
        <w:rPr>
          <w:rFonts w:ascii="Google Sans Text" w:hAnsi="Google Sans Text"/>
          <w:sz w:val="24"/>
          <w:szCs w:val="24"/>
        </w:rPr>
      </w:pPr>
      <w:r w:rsidRPr="009058A3">
        <w:rPr>
          <w:rFonts w:ascii="Google Sans Text" w:hAnsi="Google Sans Text"/>
          <w:i/>
          <w:iCs/>
          <w:sz w:val="24"/>
          <w:szCs w:val="24"/>
        </w:rPr>
        <w:t>\]</w:t>
      </w:r>
      <w:r w:rsidRPr="009058A3">
        <w:rPr>
          <w:rFonts w:ascii="Google Sans Text" w:hAnsi="Google Sans Text"/>
          <w:i/>
          <w:iCs/>
          <w:sz w:val="24"/>
          <w:szCs w:val="24"/>
        </w:rPr>
        <w:br/>
      </w:r>
    </w:p>
    <w:p w14:paraId="3C2DAFEE" w14:textId="1653BEC6" w:rsidR="000A39C7" w:rsidRPr="009058A3" w:rsidRDefault="00134E0B" w:rsidP="00734EF3">
      <w:pPr>
        <w:pBdr>
          <w:top w:val="nil"/>
          <w:left w:val="nil"/>
          <w:bottom w:val="nil"/>
          <w:right w:val="nil"/>
          <w:between w:val="nil"/>
        </w:pBdr>
        <w:spacing w:line="275" w:lineRule="auto"/>
        <w:ind w:left="465"/>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color w:val="575B5F"/>
          <w:sz w:val="24"/>
          <w:szCs w:val="24"/>
        </w:rPr>
        <w:br/>
      </w:r>
      <w:r w:rsidR="004262CC" w:rsidRPr="009058A3">
        <w:rPr>
          <w:rFonts w:ascii="Google Sans Text" w:eastAsia="Google Sans Text" w:hAnsi="Google Sans Text" w:cs="Google Sans Text"/>
          <w:color w:val="575B5F"/>
          <w:sz w:val="24"/>
          <w:szCs w:val="24"/>
        </w:rPr>
        <w:br/>
      </w:r>
    </w:p>
    <w:p w14:paraId="574C478F" w14:textId="5360DB1E" w:rsidR="00134E0B" w:rsidRPr="009058A3" w:rsidRDefault="009F0CDF" w:rsidP="00134E0B">
      <w:pPr>
        <w:rPr>
          <w:rFonts w:ascii="Google Sans Text" w:hAnsi="Google Sans Text"/>
          <w:sz w:val="24"/>
          <w:szCs w:val="24"/>
        </w:rPr>
      </w:pPr>
      <w:r w:rsidRPr="009058A3">
        <w:rPr>
          <w:rFonts w:ascii="Google Sans Text" w:eastAsia="Google Sans Text" w:hAnsi="Google Sans Text" w:cs="Google Sans Text"/>
          <w:b/>
          <w:color w:val="1B1C1D"/>
          <w:sz w:val="24"/>
          <w:szCs w:val="24"/>
        </w:rPr>
        <w:t>Annexe C :</w:t>
      </w:r>
      <w:r w:rsidRPr="009058A3">
        <w:rPr>
          <w:rFonts w:ascii="Google Sans Text" w:eastAsia="Google Sans Text" w:hAnsi="Google Sans Text" w:cs="Google Sans Text"/>
          <w:color w:val="1B1C1D"/>
          <w:sz w:val="24"/>
          <w:szCs w:val="24"/>
        </w:rPr>
        <w:t xml:space="preserve"> Robustesse du </w:t>
      </w:r>
      <w:r w:rsidR="00A113D7" w:rsidRPr="009058A3">
        <w:rPr>
          <w:rFonts w:ascii="Google Sans Text" w:eastAsia="Google Sans Text" w:hAnsi="Google Sans Text" w:cs="Google Sans Text"/>
          <w:color w:val="1B1C1D"/>
          <w:sz w:val="24"/>
          <w:szCs w:val="24"/>
        </w:rPr>
        <w:t>principe</w:t>
      </w:r>
      <w:r w:rsidRPr="009058A3">
        <w:rPr>
          <w:rFonts w:ascii="Google Sans Text" w:eastAsia="Google Sans Text" w:hAnsi="Google Sans Text" w:cs="Google Sans Text"/>
          <w:color w:val="1B1C1D"/>
          <w:sz w:val="24"/>
          <w:szCs w:val="24"/>
        </w:rPr>
        <w:t xml:space="preserve"> ISI face à la causalité indéfinie et cohérence avec la thermodynamique des trous noirs (issue d'ISI).</w:t>
      </w:r>
      <w:r w:rsidRPr="009058A3">
        <w:rPr>
          <w:rFonts w:ascii="Google Sans Text" w:eastAsia="Google Sans Text" w:hAnsi="Google Sans Text" w:cs="Google Sans Text"/>
          <w:color w:val="575B5F"/>
          <w:sz w:val="24"/>
          <w:szCs w:val="24"/>
          <w:vertAlign w:val="superscript"/>
        </w:rPr>
        <w:t>1</w:t>
      </w:r>
      <w:r w:rsidR="009E095D" w:rsidRPr="009058A3">
        <w:rPr>
          <w:rFonts w:ascii="Google Sans Text" w:eastAsia="Google Sans Text" w:hAnsi="Google Sans Text" w:cs="Google Sans Text"/>
          <w:color w:val="575B5F"/>
          <w:sz w:val="24"/>
          <w:szCs w:val="24"/>
          <w:vertAlign w:val="superscript"/>
        </w:rPr>
        <w:br/>
      </w:r>
      <w:r w:rsidR="00134E0B" w:rsidRPr="009058A3">
        <w:rPr>
          <w:rFonts w:ascii="Google Sans Text" w:hAnsi="Google Sans Text"/>
          <w:sz w:val="24"/>
          <w:szCs w:val="24"/>
        </w:rPr>
        <w:br/>
      </w:r>
    </w:p>
    <w:p w14:paraId="24620FDE" w14:textId="78C7693D" w:rsidR="00134E0B" w:rsidRPr="009058A3" w:rsidRDefault="00134E0B" w:rsidP="00134E0B">
      <w:pPr>
        <w:rPr>
          <w:rFonts w:ascii="Google Sans Text" w:hAnsi="Google Sans Text"/>
          <w:sz w:val="24"/>
          <w:szCs w:val="24"/>
        </w:rPr>
      </w:pPr>
      <w:r w:rsidRPr="009058A3">
        <w:rPr>
          <w:rFonts w:ascii="Google Sans Text" w:hAnsi="Google Sans Text"/>
          <w:sz w:val="24"/>
          <w:szCs w:val="24"/>
        </w:rPr>
        <w:t xml:space="preserve">Cette annexe fournit une preuve formelle que le résultat central de notre travail, Le </w:t>
      </w:r>
      <w:r w:rsidR="00ED706D" w:rsidRPr="009058A3">
        <w:rPr>
          <w:rFonts w:ascii="Google Sans Text" w:hAnsi="Google Sans Text"/>
          <w:sz w:val="24"/>
          <w:szCs w:val="24"/>
        </w:rPr>
        <w:t>Principe</w:t>
      </w:r>
      <w:r w:rsidRPr="009058A3">
        <w:rPr>
          <w:rFonts w:ascii="Google Sans Text" w:hAnsi="Google Sans Text"/>
          <w:sz w:val="24"/>
          <w:szCs w:val="24"/>
        </w:rPr>
        <w:t xml:space="preserve"> d’Inaccessibilité Information-Surface (ISI), reste valide même lorsque nous relâchons l'hypothèse d'une structure causale fixe en arrière-plan. Nous emploierons le formalisme de la matrice de processus, le cadre le plus général pour décrire les processus quantiques sans ordre causal défini, pour démontrer que le mécanisme physique de l'effondrement gravitationnel identifié dans l'expérience de pensée de l'Ascenseur Quantifié d'Einstein (AQE) est indifférent à l'ordonnancement causal des opérations d'encodage de l'information.</w:t>
      </w:r>
    </w:p>
    <w:p w14:paraId="61078619" w14:textId="77777777" w:rsidR="00134E0B" w:rsidRPr="009058A3" w:rsidRDefault="00134E0B" w:rsidP="00134E0B">
      <w:pPr>
        <w:rPr>
          <w:rFonts w:ascii="Google Sans Text" w:hAnsi="Google Sans Text"/>
          <w:sz w:val="24"/>
          <w:szCs w:val="24"/>
        </w:rPr>
      </w:pPr>
    </w:p>
    <w:p w14:paraId="78B04DBD" w14:textId="70B6923E" w:rsidR="00134E0B" w:rsidRPr="009058A3" w:rsidRDefault="00134E0B" w:rsidP="00134E0B">
      <w:pPr>
        <w:rPr>
          <w:rFonts w:ascii="Google Sans Text" w:hAnsi="Google Sans Text"/>
          <w:sz w:val="24"/>
          <w:szCs w:val="24"/>
        </w:rPr>
      </w:pPr>
      <w:r w:rsidRPr="009058A3">
        <w:rPr>
          <w:rFonts w:ascii="Google Sans Text" w:hAnsi="Google Sans Text"/>
          <w:sz w:val="24"/>
          <w:szCs w:val="24"/>
        </w:rPr>
        <w:lastRenderedPageBreak/>
        <w:t>C.1 Préambule : Le Défi de la Causalité Indéfinie aux Limites Physiques</w:t>
      </w:r>
    </w:p>
    <w:p w14:paraId="1EA331A4"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commençons par situer le problème dans le contexte plus large de la recherche en gravité quantique. Une caractéristique essentielle de nombreuses approches de la gravité quantique est la notion que l'espace-temps n'est pas une toile de fond fixe mais une entité dynamique. Cela conduit à la possibilité de processus où l'ordre causal des événements n'est pas bien défini ou est même dans une superposition quantique. Les preuves standards des limites physiques, qui reposent souvent sur une séquence temporelle claire d'opérations, peuvent ne pas tenir dans de tels scénarios.</w:t>
      </w:r>
    </w:p>
    <w:p w14:paraId="75B41C4B"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L'objectif de cette annexe est de relever ce défi de manière proactive. Nous allons prouver que le théorème ISI n'est pas une victime de cette complexité quantique-causale. Nous démontrerons que son fondement physique — l'effondrement gravitationnel induit par la densification de l'information — est une contrainte plus primitive que la structure causale des opérations elles-mêmes. Cela élève le théorème ISI du statut de résultat semi-classique à celui de principe robuste qui doit être respecté par toute théorie viable de la gravité quantique. Cette démarche s'aligne sur l'argument épistémologique central de l'article en faveur de la recherche de principes axiomatiques qui transcendent les régimes physiques spécifiques.</w:t>
      </w:r>
    </w:p>
    <w:p w14:paraId="19AE6089" w14:textId="77777777" w:rsidR="00134E0B" w:rsidRPr="009058A3" w:rsidRDefault="00134E0B" w:rsidP="00134E0B">
      <w:pPr>
        <w:rPr>
          <w:rFonts w:ascii="Google Sans Text" w:hAnsi="Google Sans Text"/>
          <w:sz w:val="24"/>
          <w:szCs w:val="24"/>
        </w:rPr>
      </w:pPr>
    </w:p>
    <w:p w14:paraId="51BA21D7" w14:textId="76550CDA" w:rsidR="00134E0B" w:rsidRPr="009058A3" w:rsidRDefault="00134E0B" w:rsidP="00134E0B">
      <w:pPr>
        <w:rPr>
          <w:rFonts w:ascii="Google Sans Text" w:hAnsi="Google Sans Text"/>
          <w:sz w:val="24"/>
          <w:szCs w:val="24"/>
        </w:rPr>
      </w:pPr>
      <w:r w:rsidRPr="009058A3">
        <w:rPr>
          <w:rFonts w:ascii="Google Sans Text" w:hAnsi="Google Sans Text"/>
          <w:sz w:val="24"/>
          <w:szCs w:val="24"/>
        </w:rPr>
        <w:t>C.2 Le Formalisme de la Matrice de Processus : Un Cadre pour les Corrélations Acausales</w:t>
      </w:r>
    </w:p>
    <w:p w14:paraId="6CB1062D"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fournirons une introduction mathématiquement complète mais conceptuellement claire au formalisme de la matrice de processus. C'est le langage mathématique établi pour décrire les corrélations entre les opérations quantiques locales en l'absence d'une structure causale globale.</w:t>
      </w:r>
    </w:p>
    <w:p w14:paraId="5E46DAB7" w14:textId="77777777" w:rsidR="00134E0B" w:rsidRPr="009058A3" w:rsidRDefault="00134E0B" w:rsidP="00134E0B">
      <w:pPr>
        <w:rPr>
          <w:rFonts w:ascii="Google Sans Text" w:hAnsi="Google Sans Text"/>
          <w:sz w:val="24"/>
          <w:szCs w:val="24"/>
        </w:rPr>
      </w:pPr>
    </w:p>
    <w:p w14:paraId="5F418DBF" w14:textId="671C9838" w:rsidR="00134E0B" w:rsidRPr="009058A3" w:rsidRDefault="00134E0B" w:rsidP="00134E0B">
      <w:pPr>
        <w:rPr>
          <w:rFonts w:ascii="Google Sans Text" w:hAnsi="Google Sans Text"/>
          <w:sz w:val="24"/>
          <w:szCs w:val="24"/>
        </w:rPr>
      </w:pPr>
      <w:r w:rsidRPr="009058A3">
        <w:rPr>
          <w:rFonts w:ascii="Google Sans Text" w:hAnsi="Google Sans Text"/>
          <w:sz w:val="24"/>
          <w:szCs w:val="24"/>
        </w:rPr>
        <w:t>C.2.1 Laboratoires Locaux et Opérations</w:t>
      </w:r>
    </w:p>
    <w:p w14:paraId="70E7CE79"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définissons un ensemble de n laboratoires locaux, étiquetés A,B,C,…. Chaque laboratoire X possède un espace de Hilbert d'entrée HXI​​ et un espace de Hilbert de sortie HXO​​. Une op</w:t>
      </w:r>
      <w:r w:rsidRPr="009058A3">
        <w:rPr>
          <w:rFonts w:ascii="Google Sans Text" w:hAnsi="Google Sans Text" w:cs="Aptos"/>
          <w:sz w:val="24"/>
          <w:szCs w:val="24"/>
        </w:rPr>
        <w:t>é</w:t>
      </w:r>
      <w:r w:rsidRPr="009058A3">
        <w:rPr>
          <w:rFonts w:ascii="Google Sans Text" w:hAnsi="Google Sans Text"/>
          <w:sz w:val="24"/>
          <w:szCs w:val="24"/>
        </w:rPr>
        <w:t>ration locale est d</w:t>
      </w:r>
      <w:r w:rsidRPr="009058A3">
        <w:rPr>
          <w:rFonts w:ascii="Google Sans Text" w:hAnsi="Google Sans Text" w:cs="Aptos"/>
          <w:sz w:val="24"/>
          <w:szCs w:val="24"/>
        </w:rPr>
        <w:t>é</w:t>
      </w:r>
      <w:r w:rsidRPr="009058A3">
        <w:rPr>
          <w:rFonts w:ascii="Google Sans Text" w:hAnsi="Google Sans Text"/>
          <w:sz w:val="24"/>
          <w:szCs w:val="24"/>
        </w:rPr>
        <w:t>crite par un instrument quantique, un ensemble d'applications compl</w:t>
      </w:r>
      <w:r w:rsidRPr="009058A3">
        <w:rPr>
          <w:rFonts w:ascii="Google Sans Text" w:hAnsi="Google Sans Text" w:cs="Aptos"/>
          <w:sz w:val="24"/>
          <w:szCs w:val="24"/>
        </w:rPr>
        <w:t>è</w:t>
      </w:r>
      <w:r w:rsidRPr="009058A3">
        <w:rPr>
          <w:rFonts w:ascii="Google Sans Text" w:hAnsi="Google Sans Text"/>
          <w:sz w:val="24"/>
          <w:szCs w:val="24"/>
        </w:rPr>
        <w:t>tement positives (CP) {Mxi​​} o</w:t>
      </w:r>
      <w:r w:rsidRPr="009058A3">
        <w:rPr>
          <w:rFonts w:ascii="Google Sans Text" w:hAnsi="Google Sans Text" w:cs="Aptos"/>
          <w:sz w:val="24"/>
          <w:szCs w:val="24"/>
        </w:rPr>
        <w:t>ù</w:t>
      </w:r>
      <w:r w:rsidRPr="009058A3">
        <w:rPr>
          <w:rFonts w:ascii="Google Sans Text" w:hAnsi="Google Sans Text"/>
          <w:sz w:val="24"/>
          <w:szCs w:val="24"/>
        </w:rPr>
        <w:t xml:space="preserve"> i indexe le r</w:t>
      </w:r>
      <w:r w:rsidRPr="009058A3">
        <w:rPr>
          <w:rFonts w:ascii="Google Sans Text" w:hAnsi="Google Sans Text" w:cs="Aptos"/>
          <w:sz w:val="24"/>
          <w:szCs w:val="24"/>
        </w:rPr>
        <w:t>é</w:t>
      </w:r>
      <w:r w:rsidRPr="009058A3">
        <w:rPr>
          <w:rFonts w:ascii="Google Sans Text" w:hAnsi="Google Sans Text"/>
          <w:sz w:val="24"/>
          <w:szCs w:val="24"/>
        </w:rPr>
        <w:t>sultat.</w:t>
      </w:r>
    </w:p>
    <w:p w14:paraId="07E8DBFD" w14:textId="77777777" w:rsidR="00134E0B" w:rsidRPr="009058A3" w:rsidRDefault="00134E0B" w:rsidP="00134E0B">
      <w:pPr>
        <w:rPr>
          <w:rFonts w:ascii="Google Sans Text" w:hAnsi="Google Sans Text"/>
          <w:sz w:val="24"/>
          <w:szCs w:val="24"/>
        </w:rPr>
      </w:pPr>
    </w:p>
    <w:p w14:paraId="0B4C3F45" w14:textId="14AD439A" w:rsidR="00134E0B" w:rsidRPr="009058A3" w:rsidRDefault="00134E0B" w:rsidP="00134E0B">
      <w:pPr>
        <w:rPr>
          <w:rFonts w:ascii="Google Sans Text" w:hAnsi="Google Sans Text"/>
          <w:sz w:val="24"/>
          <w:szCs w:val="24"/>
        </w:rPr>
      </w:pPr>
      <w:r w:rsidRPr="009058A3">
        <w:rPr>
          <w:rFonts w:ascii="Google Sans Text" w:hAnsi="Google Sans Text"/>
          <w:sz w:val="24"/>
          <w:szCs w:val="24"/>
        </w:rPr>
        <w:t>C.2.2 La Matrice de Processus W</w:t>
      </w:r>
    </w:p>
    <w:p w14:paraId="0724030D"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Le processus lui-même, qui dicte les corrélations entre ces laboratoires, est décrit par un opérateur semi-défini positif W agissant sur le produit tensoriel de tous les espaces d'entrée et de sortie : W</w:t>
      </w:r>
      <w:r w:rsidRPr="009058A3">
        <w:rPr>
          <w:rFonts w:ascii="Cambria Math" w:hAnsi="Cambria Math" w:cs="Cambria Math"/>
          <w:sz w:val="24"/>
          <w:szCs w:val="24"/>
        </w:rPr>
        <w:t>∈</w:t>
      </w:r>
      <w:r w:rsidRPr="009058A3">
        <w:rPr>
          <w:rFonts w:ascii="Google Sans Text" w:hAnsi="Google Sans Text"/>
          <w:sz w:val="24"/>
          <w:szCs w:val="24"/>
        </w:rPr>
        <w:t>L(</w:t>
      </w:r>
      <w:r w:rsidRPr="009058A3">
        <w:rPr>
          <w:rFonts w:ascii="Cambria Math" w:hAnsi="Cambria Math" w:cs="Cambria Math"/>
          <w:sz w:val="24"/>
          <w:szCs w:val="24"/>
        </w:rPr>
        <w:t>⨂</w:t>
      </w:r>
      <w:r w:rsidRPr="009058A3">
        <w:rPr>
          <w:rFonts w:ascii="Google Sans Text" w:hAnsi="Google Sans Text"/>
          <w:sz w:val="24"/>
          <w:szCs w:val="24"/>
        </w:rPr>
        <w:t>X​HXI​​</w:t>
      </w:r>
      <w:r w:rsidRPr="009058A3">
        <w:rPr>
          <w:rFonts w:ascii="Cambria Math" w:hAnsi="Cambria Math" w:cs="Cambria Math"/>
          <w:sz w:val="24"/>
          <w:szCs w:val="24"/>
        </w:rPr>
        <w:t>⊗</w:t>
      </w:r>
      <w:r w:rsidRPr="009058A3">
        <w:rPr>
          <w:rFonts w:ascii="Google Sans Text" w:hAnsi="Google Sans Text"/>
          <w:sz w:val="24"/>
          <w:szCs w:val="24"/>
        </w:rPr>
        <w:t>HXO​​).</w:t>
      </w:r>
    </w:p>
    <w:p w14:paraId="0B95BA0E" w14:textId="77777777" w:rsidR="00134E0B" w:rsidRPr="009058A3" w:rsidRDefault="00134E0B" w:rsidP="00134E0B">
      <w:pPr>
        <w:rPr>
          <w:rFonts w:ascii="Google Sans Text" w:hAnsi="Google Sans Text"/>
          <w:sz w:val="24"/>
          <w:szCs w:val="24"/>
        </w:rPr>
      </w:pPr>
    </w:p>
    <w:p w14:paraId="0A0F64A2" w14:textId="68C556D0" w:rsidR="00134E0B" w:rsidRPr="009058A3" w:rsidRDefault="00134E0B" w:rsidP="00134E0B">
      <w:pPr>
        <w:rPr>
          <w:rFonts w:ascii="Google Sans Text" w:hAnsi="Google Sans Text"/>
          <w:sz w:val="24"/>
          <w:szCs w:val="24"/>
        </w:rPr>
      </w:pPr>
      <w:r w:rsidRPr="009058A3">
        <w:rPr>
          <w:rFonts w:ascii="Google Sans Text" w:hAnsi="Google Sans Text"/>
          <w:sz w:val="24"/>
          <w:szCs w:val="24"/>
        </w:rPr>
        <w:t>C.2.3 Règle de Probabilité</w:t>
      </w:r>
    </w:p>
    <w:p w14:paraId="0B946183" w14:textId="77777777" w:rsidR="00134E0B" w:rsidRPr="009058A3" w:rsidRDefault="00134E0B" w:rsidP="00134E0B">
      <w:pPr>
        <w:rPr>
          <w:rFonts w:ascii="Google Sans Text" w:hAnsi="Google Sans Text"/>
          <w:sz w:val="24"/>
          <w:szCs w:val="24"/>
        </w:rPr>
      </w:pPr>
    </w:p>
    <w:p w14:paraId="566D9D14"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La probabilité d'une séquence de résultats locaux {i,j,…} étant donné les opérations locales {MAi​​,MBj​​,</w:t>
      </w:r>
      <w:r w:rsidRPr="009058A3">
        <w:rPr>
          <w:rFonts w:ascii="Google Sans Text" w:hAnsi="Google Sans Text" w:cs="Aptos"/>
          <w:sz w:val="24"/>
          <w:szCs w:val="24"/>
        </w:rPr>
        <w:t>…</w:t>
      </w:r>
      <w:r w:rsidRPr="009058A3">
        <w:rPr>
          <w:rFonts w:ascii="Google Sans Text" w:hAnsi="Google Sans Text"/>
          <w:sz w:val="24"/>
          <w:szCs w:val="24"/>
        </w:rPr>
        <w:t>} est donn</w:t>
      </w:r>
      <w:r w:rsidRPr="009058A3">
        <w:rPr>
          <w:rFonts w:ascii="Google Sans Text" w:hAnsi="Google Sans Text" w:cs="Aptos"/>
          <w:sz w:val="24"/>
          <w:szCs w:val="24"/>
        </w:rPr>
        <w:t>é</w:t>
      </w:r>
      <w:r w:rsidRPr="009058A3">
        <w:rPr>
          <w:rFonts w:ascii="Google Sans Text" w:hAnsi="Google Sans Text"/>
          <w:sz w:val="24"/>
          <w:szCs w:val="24"/>
        </w:rPr>
        <w:t>e par la r</w:t>
      </w:r>
      <w:r w:rsidRPr="009058A3">
        <w:rPr>
          <w:rFonts w:ascii="Google Sans Text" w:hAnsi="Google Sans Text" w:cs="Aptos"/>
          <w:sz w:val="24"/>
          <w:szCs w:val="24"/>
        </w:rPr>
        <w:t>è</w:t>
      </w:r>
      <w:r w:rsidRPr="009058A3">
        <w:rPr>
          <w:rFonts w:ascii="Google Sans Text" w:hAnsi="Google Sans Text"/>
          <w:sz w:val="24"/>
          <w:szCs w:val="24"/>
        </w:rPr>
        <w:t>gle de Born g</w:t>
      </w:r>
      <w:r w:rsidRPr="009058A3">
        <w:rPr>
          <w:rFonts w:ascii="Google Sans Text" w:hAnsi="Google Sans Text" w:cs="Aptos"/>
          <w:sz w:val="24"/>
          <w:szCs w:val="24"/>
        </w:rPr>
        <w:t>é</w:t>
      </w:r>
      <w:r w:rsidRPr="009058A3">
        <w:rPr>
          <w:rFonts w:ascii="Google Sans Text" w:hAnsi="Google Sans Text"/>
          <w:sz w:val="24"/>
          <w:szCs w:val="24"/>
        </w:rPr>
        <w:t>n</w:t>
      </w:r>
      <w:r w:rsidRPr="009058A3">
        <w:rPr>
          <w:rFonts w:ascii="Google Sans Text" w:hAnsi="Google Sans Text" w:cs="Aptos"/>
          <w:sz w:val="24"/>
          <w:szCs w:val="24"/>
        </w:rPr>
        <w:t>é</w:t>
      </w:r>
      <w:r w:rsidRPr="009058A3">
        <w:rPr>
          <w:rFonts w:ascii="Google Sans Text" w:hAnsi="Google Sans Text"/>
          <w:sz w:val="24"/>
          <w:szCs w:val="24"/>
        </w:rPr>
        <w:t>ralis</w:t>
      </w:r>
      <w:r w:rsidRPr="009058A3">
        <w:rPr>
          <w:rFonts w:ascii="Google Sans Text" w:hAnsi="Google Sans Text" w:cs="Aptos"/>
          <w:sz w:val="24"/>
          <w:szCs w:val="24"/>
        </w:rPr>
        <w:t>é</w:t>
      </w:r>
      <w:r w:rsidRPr="009058A3">
        <w:rPr>
          <w:rFonts w:ascii="Google Sans Text" w:hAnsi="Google Sans Text"/>
          <w:sz w:val="24"/>
          <w:szCs w:val="24"/>
        </w:rPr>
        <w:t>e :</w:t>
      </w:r>
    </w:p>
    <w:p w14:paraId="462FF4D6" w14:textId="77777777" w:rsidR="00134E0B" w:rsidRPr="009058A3" w:rsidRDefault="00134E0B" w:rsidP="00134E0B">
      <w:pPr>
        <w:rPr>
          <w:rFonts w:ascii="Google Sans Text" w:hAnsi="Google Sans Text"/>
          <w:sz w:val="24"/>
          <w:szCs w:val="24"/>
        </w:rPr>
      </w:pPr>
    </w:p>
    <w:p w14:paraId="38D09726"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 xml:space="preserve">p(i,j,\ldots)=\operatorname{Tr}\!\left[\big(M^A_i \otimes M^B_j \otimes \cdots\big)\, </w:t>
      </w:r>
      <w:r w:rsidRPr="009058A3">
        <w:rPr>
          <w:rFonts w:ascii="Google Sans Text" w:hAnsi="Google Sans Text"/>
          <w:sz w:val="24"/>
          <w:szCs w:val="24"/>
        </w:rPr>
        <w:lastRenderedPageBreak/>
        <w:t>W\right].</w:t>
      </w:r>
      <w:r w:rsidRPr="009058A3">
        <w:rPr>
          <w:rFonts w:ascii="Google Sans Text" w:hAnsi="Google Sans Text"/>
          <w:sz w:val="24"/>
          <w:szCs w:val="24"/>
        </w:rPr>
        <w:br/>
      </w:r>
    </w:p>
    <w:p w14:paraId="35436BBD" w14:textId="216EAAC5" w:rsidR="00134E0B" w:rsidRPr="009058A3" w:rsidRDefault="00134E0B" w:rsidP="00134E0B">
      <w:pPr>
        <w:rPr>
          <w:rFonts w:ascii="Google Sans Text" w:hAnsi="Google Sans Text"/>
          <w:sz w:val="24"/>
          <w:szCs w:val="24"/>
        </w:rPr>
      </w:pPr>
      <w:r w:rsidRPr="009058A3">
        <w:rPr>
          <w:rFonts w:ascii="Google Sans Text" w:hAnsi="Google Sans Text"/>
          <w:sz w:val="24"/>
          <w:szCs w:val="24"/>
        </w:rPr>
        <w:t>C.2.4 Acausalité et le "Quantum Switch"</w:t>
      </w:r>
    </w:p>
    <w:p w14:paraId="768910D1"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Ce formalisme intègre des scénarios acausals. Une matrice de processus W est considérée comme représentant un processus avec un ordre causal défini si elle peut être décomposée d'une manière spécifique. Cependant, il existe des matrices de processus valides, comme celle décrivant le "Quantum Switch", qui ne peuvent être décomposées de cette manière, représentant une véritable superposition d'ordres causals. Cela démontre la généralité du cadre que nous adoptons.</w:t>
      </w:r>
    </w:p>
    <w:p w14:paraId="035715FE" w14:textId="77777777" w:rsidR="00134E0B" w:rsidRPr="009058A3" w:rsidRDefault="00134E0B" w:rsidP="00134E0B">
      <w:pPr>
        <w:rPr>
          <w:rFonts w:ascii="Google Sans Text" w:hAnsi="Google Sans Text"/>
          <w:sz w:val="24"/>
          <w:szCs w:val="24"/>
        </w:rPr>
      </w:pPr>
    </w:p>
    <w:p w14:paraId="3EF372B0" w14:textId="0C93295F" w:rsidR="00134E0B" w:rsidRPr="009058A3" w:rsidRDefault="00134E0B" w:rsidP="00134E0B">
      <w:pPr>
        <w:rPr>
          <w:rFonts w:ascii="Google Sans Text" w:hAnsi="Google Sans Text"/>
          <w:sz w:val="24"/>
          <w:szCs w:val="24"/>
        </w:rPr>
      </w:pPr>
      <w:r w:rsidRPr="009058A3">
        <w:rPr>
          <w:rFonts w:ascii="Google Sans Text" w:hAnsi="Google Sans Text"/>
          <w:sz w:val="24"/>
          <w:szCs w:val="24"/>
        </w:rPr>
        <w:t>C.3 L'Expérience de l'AQE dans un Cadre Acausal</w:t>
      </w:r>
    </w:p>
    <w:p w14:paraId="1C83935F"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recadrons maintenant l'expérience de pensée de l’AQE au sein de ce formalisme.</w:t>
      </w:r>
    </w:p>
    <w:p w14:paraId="7EB95749"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L'intérieur de l'ascenseur est le système.</w:t>
      </w:r>
    </w:p>
    <w:p w14:paraId="27567911"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 "observateur" tentant de stocker N bits d'information est remplacé par N laboratoires locaux, chacun chargé d'effectuer une opération d'encodage d'un bit.</w:t>
      </w:r>
    </w:p>
    <w:p w14:paraId="3B6F4A3B"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La relation causale entre ces N opérations d'encodage n'est pas supposée ; elle est décrite par une matrice de processus générale W.</w:t>
      </w:r>
    </w:p>
    <w:p w14:paraId="377F9718"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Le lien physique crucial est alors établi. Chaque opération locale Mi​ effectu</w:t>
      </w:r>
      <w:r w:rsidRPr="009058A3">
        <w:rPr>
          <w:rFonts w:ascii="Google Sans Text" w:hAnsi="Google Sans Text" w:cs="Aptos"/>
          <w:sz w:val="24"/>
          <w:szCs w:val="24"/>
        </w:rPr>
        <w:t>é</w:t>
      </w:r>
      <w:r w:rsidRPr="009058A3">
        <w:rPr>
          <w:rFonts w:ascii="Google Sans Text" w:hAnsi="Google Sans Text"/>
          <w:sz w:val="24"/>
          <w:szCs w:val="24"/>
        </w:rPr>
        <w:t xml:space="preserve">e par un laboratoire </w:t>
      </w:r>
      <w:r w:rsidRPr="009058A3">
        <w:rPr>
          <w:rFonts w:ascii="Google Sans Text" w:hAnsi="Google Sans Text" w:cs="Aptos"/>
          <w:sz w:val="24"/>
          <w:szCs w:val="24"/>
        </w:rPr>
        <w:t>à</w:t>
      </w:r>
      <w:r w:rsidRPr="009058A3">
        <w:rPr>
          <w:rFonts w:ascii="Google Sans Text" w:hAnsi="Google Sans Text"/>
          <w:sz w:val="24"/>
          <w:szCs w:val="24"/>
        </w:rPr>
        <w:t xml:space="preserve"> l'int</w:t>
      </w:r>
      <w:r w:rsidRPr="009058A3">
        <w:rPr>
          <w:rFonts w:ascii="Google Sans Text" w:hAnsi="Google Sans Text" w:cs="Aptos"/>
          <w:sz w:val="24"/>
          <w:szCs w:val="24"/>
        </w:rPr>
        <w:t>é</w:t>
      </w:r>
      <w:r w:rsidRPr="009058A3">
        <w:rPr>
          <w:rFonts w:ascii="Google Sans Text" w:hAnsi="Google Sans Text"/>
          <w:sz w:val="24"/>
          <w:szCs w:val="24"/>
        </w:rPr>
        <w:t>rieur de l'ascenseur en acc</w:t>
      </w:r>
      <w:r w:rsidRPr="009058A3">
        <w:rPr>
          <w:rFonts w:ascii="Google Sans Text" w:hAnsi="Google Sans Text" w:cs="Aptos"/>
          <w:sz w:val="24"/>
          <w:szCs w:val="24"/>
        </w:rPr>
        <w:t>é</w:t>
      </w:r>
      <w:r w:rsidRPr="009058A3">
        <w:rPr>
          <w:rFonts w:ascii="Google Sans Text" w:hAnsi="Google Sans Text"/>
          <w:sz w:val="24"/>
          <w:szCs w:val="24"/>
        </w:rPr>
        <w:t>l</w:t>
      </w:r>
      <w:r w:rsidRPr="009058A3">
        <w:rPr>
          <w:rFonts w:ascii="Google Sans Text" w:hAnsi="Google Sans Text" w:cs="Aptos"/>
          <w:sz w:val="24"/>
          <w:szCs w:val="24"/>
        </w:rPr>
        <w:t>é</w:t>
      </w:r>
      <w:r w:rsidRPr="009058A3">
        <w:rPr>
          <w:rFonts w:ascii="Google Sans Text" w:hAnsi="Google Sans Text"/>
          <w:sz w:val="24"/>
          <w:szCs w:val="24"/>
        </w:rPr>
        <w:t xml:space="preserve">ration est un processus physique. Comme </w:t>
      </w:r>
      <w:r w:rsidRPr="009058A3">
        <w:rPr>
          <w:rFonts w:ascii="Google Sans Text" w:hAnsi="Google Sans Text" w:cs="Aptos"/>
          <w:sz w:val="24"/>
          <w:szCs w:val="24"/>
        </w:rPr>
        <w:t>é</w:t>
      </w:r>
      <w:r w:rsidRPr="009058A3">
        <w:rPr>
          <w:rFonts w:ascii="Google Sans Text" w:hAnsi="Google Sans Text"/>
          <w:sz w:val="24"/>
          <w:szCs w:val="24"/>
        </w:rPr>
        <w:t>tabli dans le corps principal de l'article, tout acte de traitement de l'information de ce type a un co</w:t>
      </w:r>
      <w:r w:rsidRPr="009058A3">
        <w:rPr>
          <w:rFonts w:ascii="Google Sans Text" w:hAnsi="Google Sans Text" w:cs="Aptos"/>
          <w:sz w:val="24"/>
          <w:szCs w:val="24"/>
        </w:rPr>
        <w:t>û</w:t>
      </w:r>
      <w:r w:rsidRPr="009058A3">
        <w:rPr>
          <w:rFonts w:ascii="Google Sans Text" w:hAnsi="Google Sans Text"/>
          <w:sz w:val="24"/>
          <w:szCs w:val="24"/>
        </w:rPr>
        <w:t>t thermodynamique irr</w:t>
      </w:r>
      <w:r w:rsidRPr="009058A3">
        <w:rPr>
          <w:rFonts w:ascii="Google Sans Text" w:hAnsi="Google Sans Text" w:cs="Aptos"/>
          <w:sz w:val="24"/>
          <w:szCs w:val="24"/>
        </w:rPr>
        <w:t>é</w:t>
      </w:r>
      <w:r w:rsidRPr="009058A3">
        <w:rPr>
          <w:rFonts w:ascii="Google Sans Text" w:hAnsi="Google Sans Text"/>
          <w:sz w:val="24"/>
          <w:szCs w:val="24"/>
        </w:rPr>
        <w:t>ductible donn</w:t>
      </w:r>
      <w:r w:rsidRPr="009058A3">
        <w:rPr>
          <w:rFonts w:ascii="Google Sans Text" w:hAnsi="Google Sans Text" w:cs="Aptos"/>
          <w:sz w:val="24"/>
          <w:szCs w:val="24"/>
        </w:rPr>
        <w:t>é</w:t>
      </w:r>
      <w:r w:rsidRPr="009058A3">
        <w:rPr>
          <w:rFonts w:ascii="Google Sans Text" w:hAnsi="Google Sans Text"/>
          <w:sz w:val="24"/>
          <w:szCs w:val="24"/>
        </w:rPr>
        <w:t xml:space="preserve"> par le principe de Landauer, </w:t>
      </w:r>
      <w:r w:rsidRPr="009058A3">
        <w:rPr>
          <w:rFonts w:ascii="Google Sans Text" w:hAnsi="Google Sans Text" w:cs="Aptos"/>
          <w:sz w:val="24"/>
          <w:szCs w:val="24"/>
        </w:rPr>
        <w:t>é</w:t>
      </w:r>
      <w:r w:rsidRPr="009058A3">
        <w:rPr>
          <w:rFonts w:ascii="Google Sans Text" w:hAnsi="Google Sans Text"/>
          <w:sz w:val="24"/>
          <w:szCs w:val="24"/>
        </w:rPr>
        <w:t>valu</w:t>
      </w:r>
      <w:r w:rsidRPr="009058A3">
        <w:rPr>
          <w:rFonts w:ascii="Google Sans Text" w:hAnsi="Google Sans Text" w:cs="Aptos"/>
          <w:sz w:val="24"/>
          <w:szCs w:val="24"/>
        </w:rPr>
        <w:t>é</w:t>
      </w:r>
      <w:r w:rsidRPr="009058A3">
        <w:rPr>
          <w:rFonts w:ascii="Google Sans Text" w:hAnsi="Google Sans Text"/>
          <w:sz w:val="24"/>
          <w:szCs w:val="24"/>
        </w:rPr>
        <w:t xml:space="preserve"> </w:t>
      </w:r>
      <w:r w:rsidRPr="009058A3">
        <w:rPr>
          <w:rFonts w:ascii="Google Sans Text" w:hAnsi="Google Sans Text" w:cs="Aptos"/>
          <w:sz w:val="24"/>
          <w:szCs w:val="24"/>
        </w:rPr>
        <w:t>à</w:t>
      </w:r>
      <w:r w:rsidRPr="009058A3">
        <w:rPr>
          <w:rFonts w:ascii="Google Sans Text" w:hAnsi="Google Sans Text"/>
          <w:sz w:val="24"/>
          <w:szCs w:val="24"/>
        </w:rPr>
        <w:t xml:space="preserve"> la temp</w:t>
      </w:r>
      <w:r w:rsidRPr="009058A3">
        <w:rPr>
          <w:rFonts w:ascii="Google Sans Text" w:hAnsi="Google Sans Text" w:cs="Aptos"/>
          <w:sz w:val="24"/>
          <w:szCs w:val="24"/>
        </w:rPr>
        <w:t>é</w:t>
      </w:r>
      <w:r w:rsidRPr="009058A3">
        <w:rPr>
          <w:rFonts w:ascii="Google Sans Text" w:hAnsi="Google Sans Text"/>
          <w:sz w:val="24"/>
          <w:szCs w:val="24"/>
        </w:rPr>
        <w:t>rature d'Unruh du r</w:t>
      </w:r>
      <w:r w:rsidRPr="009058A3">
        <w:rPr>
          <w:rFonts w:ascii="Google Sans Text" w:hAnsi="Google Sans Text" w:cs="Aptos"/>
          <w:sz w:val="24"/>
          <w:szCs w:val="24"/>
        </w:rPr>
        <w:t>é</w:t>
      </w:r>
      <w:r w:rsidRPr="009058A3">
        <w:rPr>
          <w:rFonts w:ascii="Google Sans Text" w:hAnsi="Google Sans Text"/>
          <w:sz w:val="24"/>
          <w:szCs w:val="24"/>
        </w:rPr>
        <w:t>f</w:t>
      </w:r>
      <w:r w:rsidRPr="009058A3">
        <w:rPr>
          <w:rFonts w:ascii="Google Sans Text" w:hAnsi="Google Sans Text" w:cs="Aptos"/>
          <w:sz w:val="24"/>
          <w:szCs w:val="24"/>
        </w:rPr>
        <w:t>é</w:t>
      </w:r>
      <w:r w:rsidRPr="009058A3">
        <w:rPr>
          <w:rFonts w:ascii="Google Sans Text" w:hAnsi="Google Sans Text"/>
          <w:sz w:val="24"/>
          <w:szCs w:val="24"/>
        </w:rPr>
        <w:t>rentiel en acc</w:t>
      </w:r>
      <w:r w:rsidRPr="009058A3">
        <w:rPr>
          <w:rFonts w:ascii="Google Sans Text" w:hAnsi="Google Sans Text" w:cs="Aptos"/>
          <w:sz w:val="24"/>
          <w:szCs w:val="24"/>
        </w:rPr>
        <w:t>é</w:t>
      </w:r>
      <w:r w:rsidRPr="009058A3">
        <w:rPr>
          <w:rFonts w:ascii="Google Sans Text" w:hAnsi="Google Sans Text"/>
          <w:sz w:val="24"/>
          <w:szCs w:val="24"/>
        </w:rPr>
        <w:t>l</w:t>
      </w:r>
      <w:r w:rsidRPr="009058A3">
        <w:rPr>
          <w:rFonts w:ascii="Google Sans Text" w:hAnsi="Google Sans Text" w:cs="Aptos"/>
          <w:sz w:val="24"/>
          <w:szCs w:val="24"/>
        </w:rPr>
        <w:t>é</w:t>
      </w:r>
      <w:r w:rsidRPr="009058A3">
        <w:rPr>
          <w:rFonts w:ascii="Google Sans Text" w:hAnsi="Google Sans Text"/>
          <w:sz w:val="24"/>
          <w:szCs w:val="24"/>
        </w:rPr>
        <w:t>ration : $E_{bit} \;=\; k_B\,T_U\,\ln 2 \;=\; \dfrac{\hbar\, a\, \ln 2}{2\pi\, c}$</w:t>
      </w:r>
      <w:r w:rsidRPr="009058A3">
        <w:rPr>
          <w:rFonts w:ascii="Google Sans Text" w:hAnsi="Google Sans Text"/>
          <w:sz w:val="24"/>
          <w:szCs w:val="24"/>
        </w:rPr>
        <w:br/>
        <w:t>\footnote{Cette énergie doit être injectée dans le système pour effectuer l'opération.}. Cette étape ancre le formalisme abstrait dans la physique concrète de l'AQE.</w:t>
      </w:r>
    </w:p>
    <w:p w14:paraId="34D44F82" w14:textId="77777777" w:rsidR="00134E0B" w:rsidRPr="009058A3" w:rsidRDefault="00134E0B" w:rsidP="00134E0B">
      <w:pPr>
        <w:rPr>
          <w:rFonts w:ascii="Google Sans Text" w:hAnsi="Google Sans Text"/>
          <w:sz w:val="24"/>
          <w:szCs w:val="24"/>
        </w:rPr>
      </w:pPr>
    </w:p>
    <w:p w14:paraId="4FFAF542" w14:textId="0FAD3AEE" w:rsidR="00134E0B" w:rsidRPr="009058A3" w:rsidRDefault="00134E0B" w:rsidP="00134E0B">
      <w:pPr>
        <w:rPr>
          <w:rFonts w:ascii="Google Sans Text" w:hAnsi="Google Sans Text"/>
          <w:sz w:val="24"/>
          <w:szCs w:val="24"/>
        </w:rPr>
      </w:pPr>
      <w:r w:rsidRPr="009058A3">
        <w:rPr>
          <w:rFonts w:ascii="Google Sans Text" w:hAnsi="Google Sans Text"/>
          <w:sz w:val="24"/>
          <w:szCs w:val="24"/>
        </w:rPr>
        <w:t>C.4 Le Lemme d'Encapsulage Gravitaire</w:t>
      </w:r>
    </w:p>
    <w:p w14:paraId="699FC64E"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énonçons formellement le lemme central de cette preuve :</w:t>
      </w:r>
    </w:p>
    <w:p w14:paraId="31879CAB"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Lemme d'Encapsulage Gravitaire : La masse-énergie totale Mtot​ qui source le champ gravitationnel au sein de l'Ascenseur Quantifi</w:t>
      </w:r>
      <w:r w:rsidRPr="009058A3">
        <w:rPr>
          <w:rFonts w:ascii="Google Sans Text" w:hAnsi="Google Sans Text" w:cs="Aptos"/>
          <w:sz w:val="24"/>
          <w:szCs w:val="24"/>
        </w:rPr>
        <w:t>é</w:t>
      </w:r>
      <w:r w:rsidRPr="009058A3">
        <w:rPr>
          <w:rFonts w:ascii="Google Sans Text" w:hAnsi="Google Sans Text"/>
          <w:sz w:val="24"/>
          <w:szCs w:val="24"/>
        </w:rPr>
        <w:t xml:space="preserve"> d'Einstein est d</w:t>
      </w:r>
      <w:r w:rsidRPr="009058A3">
        <w:rPr>
          <w:rFonts w:ascii="Google Sans Text" w:hAnsi="Google Sans Text" w:cs="Aptos"/>
          <w:sz w:val="24"/>
          <w:szCs w:val="24"/>
        </w:rPr>
        <w:t>é</w:t>
      </w:r>
      <w:r w:rsidRPr="009058A3">
        <w:rPr>
          <w:rFonts w:ascii="Google Sans Text" w:hAnsi="Google Sans Text"/>
          <w:sz w:val="24"/>
          <w:szCs w:val="24"/>
        </w:rPr>
        <w:t>termin</w:t>
      </w:r>
      <w:r w:rsidRPr="009058A3">
        <w:rPr>
          <w:rFonts w:ascii="Google Sans Text" w:hAnsi="Google Sans Text" w:cs="Aptos"/>
          <w:sz w:val="24"/>
          <w:szCs w:val="24"/>
        </w:rPr>
        <w:t>é</w:t>
      </w:r>
      <w:r w:rsidRPr="009058A3">
        <w:rPr>
          <w:rFonts w:ascii="Google Sans Text" w:hAnsi="Google Sans Text"/>
          <w:sz w:val="24"/>
          <w:szCs w:val="24"/>
        </w:rPr>
        <w:t>e uniquement par la somme des co</w:t>
      </w:r>
      <w:r w:rsidRPr="009058A3">
        <w:rPr>
          <w:rFonts w:ascii="Google Sans Text" w:hAnsi="Google Sans Text" w:cs="Aptos"/>
          <w:sz w:val="24"/>
          <w:szCs w:val="24"/>
        </w:rPr>
        <w:t>û</w:t>
      </w:r>
      <w:r w:rsidRPr="009058A3">
        <w:rPr>
          <w:rFonts w:ascii="Google Sans Text" w:hAnsi="Google Sans Text"/>
          <w:sz w:val="24"/>
          <w:szCs w:val="24"/>
        </w:rPr>
        <w:t xml:space="preserve">ts </w:t>
      </w:r>
      <w:r w:rsidRPr="009058A3">
        <w:rPr>
          <w:rFonts w:ascii="Google Sans Text" w:hAnsi="Google Sans Text" w:cs="Aptos"/>
          <w:sz w:val="24"/>
          <w:szCs w:val="24"/>
        </w:rPr>
        <w:t>é</w:t>
      </w:r>
      <w:r w:rsidRPr="009058A3">
        <w:rPr>
          <w:rFonts w:ascii="Google Sans Text" w:hAnsi="Google Sans Text"/>
          <w:sz w:val="24"/>
          <w:szCs w:val="24"/>
        </w:rPr>
        <w:t>nerg</w:t>
      </w:r>
      <w:r w:rsidRPr="009058A3">
        <w:rPr>
          <w:rFonts w:ascii="Google Sans Text" w:hAnsi="Google Sans Text" w:cs="Aptos"/>
          <w:sz w:val="24"/>
          <w:szCs w:val="24"/>
        </w:rPr>
        <w:t>é</w:t>
      </w:r>
      <w:r w:rsidRPr="009058A3">
        <w:rPr>
          <w:rFonts w:ascii="Google Sans Text" w:hAnsi="Google Sans Text"/>
          <w:sz w:val="24"/>
          <w:szCs w:val="24"/>
        </w:rPr>
        <w:t>tiques de toutes les op</w:t>
      </w:r>
      <w:r w:rsidRPr="009058A3">
        <w:rPr>
          <w:rFonts w:ascii="Google Sans Text" w:hAnsi="Google Sans Text" w:cs="Aptos"/>
          <w:sz w:val="24"/>
          <w:szCs w:val="24"/>
        </w:rPr>
        <w:t>é</w:t>
      </w:r>
      <w:r w:rsidRPr="009058A3">
        <w:rPr>
          <w:rFonts w:ascii="Google Sans Text" w:hAnsi="Google Sans Text"/>
          <w:sz w:val="24"/>
          <w:szCs w:val="24"/>
        </w:rPr>
        <w:t>rations locales effectu</w:t>
      </w:r>
      <w:r w:rsidRPr="009058A3">
        <w:rPr>
          <w:rFonts w:ascii="Google Sans Text" w:hAnsi="Google Sans Text" w:cs="Aptos"/>
          <w:sz w:val="24"/>
          <w:szCs w:val="24"/>
        </w:rPr>
        <w:t>é</w:t>
      </w:r>
      <w:r w:rsidRPr="009058A3">
        <w:rPr>
          <w:rFonts w:ascii="Google Sans Text" w:hAnsi="Google Sans Text"/>
          <w:sz w:val="24"/>
          <w:szCs w:val="24"/>
        </w:rPr>
        <w:t>es, et est ind</w:t>
      </w:r>
      <w:r w:rsidRPr="009058A3">
        <w:rPr>
          <w:rFonts w:ascii="Google Sans Text" w:hAnsi="Google Sans Text" w:cs="Aptos"/>
          <w:sz w:val="24"/>
          <w:szCs w:val="24"/>
        </w:rPr>
        <w:t>é</w:t>
      </w:r>
      <w:r w:rsidRPr="009058A3">
        <w:rPr>
          <w:rFonts w:ascii="Google Sans Text" w:hAnsi="Google Sans Text"/>
          <w:sz w:val="24"/>
          <w:szCs w:val="24"/>
        </w:rPr>
        <w:t>pendante de la structure causale encod</w:t>
      </w:r>
      <w:r w:rsidRPr="009058A3">
        <w:rPr>
          <w:rFonts w:ascii="Google Sans Text" w:hAnsi="Google Sans Text" w:cs="Aptos"/>
          <w:sz w:val="24"/>
          <w:szCs w:val="24"/>
        </w:rPr>
        <w:t>é</w:t>
      </w:r>
      <w:r w:rsidRPr="009058A3">
        <w:rPr>
          <w:rFonts w:ascii="Google Sans Text" w:hAnsi="Google Sans Text"/>
          <w:sz w:val="24"/>
          <w:szCs w:val="24"/>
        </w:rPr>
        <w:t>e dans la matrice de processus W qui r</w:t>
      </w:r>
      <w:r w:rsidRPr="009058A3">
        <w:rPr>
          <w:rFonts w:ascii="Google Sans Text" w:hAnsi="Google Sans Text" w:cs="Aptos"/>
          <w:sz w:val="24"/>
          <w:szCs w:val="24"/>
        </w:rPr>
        <w:t>é</w:t>
      </w:r>
      <w:r w:rsidRPr="009058A3">
        <w:rPr>
          <w:rFonts w:ascii="Google Sans Text" w:hAnsi="Google Sans Text"/>
          <w:sz w:val="24"/>
          <w:szCs w:val="24"/>
        </w:rPr>
        <w:t>git ces op</w:t>
      </w:r>
      <w:r w:rsidRPr="009058A3">
        <w:rPr>
          <w:rFonts w:ascii="Google Sans Text" w:hAnsi="Google Sans Text" w:cs="Aptos"/>
          <w:sz w:val="24"/>
          <w:szCs w:val="24"/>
        </w:rPr>
        <w:t>é</w:t>
      </w:r>
      <w:r w:rsidRPr="009058A3">
        <w:rPr>
          <w:rFonts w:ascii="Google Sans Text" w:hAnsi="Google Sans Text"/>
          <w:sz w:val="24"/>
          <w:szCs w:val="24"/>
        </w:rPr>
        <w:t>rations.</w:t>
      </w:r>
    </w:p>
    <w:p w14:paraId="3A92090A" w14:textId="77777777" w:rsidR="00134E0B" w:rsidRPr="009058A3" w:rsidRDefault="00134E0B" w:rsidP="00134E0B">
      <w:pPr>
        <w:rPr>
          <w:rFonts w:ascii="Google Sans Text" w:hAnsi="Google Sans Text"/>
          <w:sz w:val="24"/>
          <w:szCs w:val="24"/>
        </w:rPr>
      </w:pPr>
    </w:p>
    <w:p w14:paraId="0F7191F6" w14:textId="231753D8" w:rsidR="00134E0B" w:rsidRPr="009058A3" w:rsidRDefault="00134E0B" w:rsidP="00134E0B">
      <w:pPr>
        <w:rPr>
          <w:rFonts w:ascii="Google Sans Text" w:hAnsi="Google Sans Text"/>
          <w:sz w:val="24"/>
          <w:szCs w:val="24"/>
        </w:rPr>
      </w:pPr>
      <w:r w:rsidRPr="009058A3">
        <w:rPr>
          <w:rFonts w:ascii="Google Sans Text" w:hAnsi="Google Sans Text"/>
          <w:sz w:val="24"/>
          <w:szCs w:val="24"/>
        </w:rPr>
        <w:t>C.4.1 Preuve du Lemme</w:t>
      </w:r>
    </w:p>
    <w:p w14:paraId="12F94F3B"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Prémisse 1 (L'Énergie comme Scalaire) : Le coût énergétique Ei​ associ</w:t>
      </w:r>
      <w:r w:rsidRPr="009058A3">
        <w:rPr>
          <w:rFonts w:ascii="Google Sans Text" w:hAnsi="Google Sans Text" w:cs="Aptos"/>
          <w:sz w:val="24"/>
          <w:szCs w:val="24"/>
        </w:rPr>
        <w:t>é</w:t>
      </w:r>
      <w:r w:rsidRPr="009058A3">
        <w:rPr>
          <w:rFonts w:ascii="Google Sans Text" w:hAnsi="Google Sans Text"/>
          <w:sz w:val="24"/>
          <w:szCs w:val="24"/>
        </w:rPr>
        <w:t xml:space="preserve"> </w:t>
      </w:r>
      <w:r w:rsidRPr="009058A3">
        <w:rPr>
          <w:rFonts w:ascii="Google Sans Text" w:hAnsi="Google Sans Text" w:cs="Aptos"/>
          <w:sz w:val="24"/>
          <w:szCs w:val="24"/>
        </w:rPr>
        <w:t>à</w:t>
      </w:r>
      <w:r w:rsidRPr="009058A3">
        <w:rPr>
          <w:rFonts w:ascii="Google Sans Text" w:hAnsi="Google Sans Text"/>
          <w:sz w:val="24"/>
          <w:szCs w:val="24"/>
        </w:rPr>
        <w:t xml:space="preserve"> une op</w:t>
      </w:r>
      <w:r w:rsidRPr="009058A3">
        <w:rPr>
          <w:rFonts w:ascii="Google Sans Text" w:hAnsi="Google Sans Text" w:cs="Aptos"/>
          <w:sz w:val="24"/>
          <w:szCs w:val="24"/>
        </w:rPr>
        <w:t>é</w:t>
      </w:r>
      <w:r w:rsidRPr="009058A3">
        <w:rPr>
          <w:rFonts w:ascii="Google Sans Text" w:hAnsi="Google Sans Text"/>
          <w:sz w:val="24"/>
          <w:szCs w:val="24"/>
        </w:rPr>
        <w:t>ration locale Mi​ est une quantit</w:t>
      </w:r>
      <w:r w:rsidRPr="009058A3">
        <w:rPr>
          <w:rFonts w:ascii="Google Sans Text" w:hAnsi="Google Sans Text" w:cs="Aptos"/>
          <w:sz w:val="24"/>
          <w:szCs w:val="24"/>
        </w:rPr>
        <w:t>é</w:t>
      </w:r>
      <w:r w:rsidRPr="009058A3">
        <w:rPr>
          <w:rFonts w:ascii="Google Sans Text" w:hAnsi="Google Sans Text"/>
          <w:sz w:val="24"/>
          <w:szCs w:val="24"/>
        </w:rPr>
        <w:t xml:space="preserve"> physique scalaire. L'</w:t>
      </w:r>
      <w:r w:rsidRPr="009058A3">
        <w:rPr>
          <w:rFonts w:ascii="Google Sans Text" w:hAnsi="Google Sans Text" w:cs="Aptos"/>
          <w:sz w:val="24"/>
          <w:szCs w:val="24"/>
        </w:rPr>
        <w:t>é</w:t>
      </w:r>
      <w:r w:rsidRPr="009058A3">
        <w:rPr>
          <w:rFonts w:ascii="Google Sans Text" w:hAnsi="Google Sans Text"/>
          <w:sz w:val="24"/>
          <w:szCs w:val="24"/>
        </w:rPr>
        <w:t>nergie totale inject</w:t>
      </w:r>
      <w:r w:rsidRPr="009058A3">
        <w:rPr>
          <w:rFonts w:ascii="Google Sans Text" w:hAnsi="Google Sans Text" w:cs="Aptos"/>
          <w:sz w:val="24"/>
          <w:szCs w:val="24"/>
        </w:rPr>
        <w:t>é</w:t>
      </w:r>
      <w:r w:rsidRPr="009058A3">
        <w:rPr>
          <w:rFonts w:ascii="Google Sans Text" w:hAnsi="Google Sans Text"/>
          <w:sz w:val="24"/>
          <w:szCs w:val="24"/>
        </w:rPr>
        <w:t>e dans le syst</w:t>
      </w:r>
      <w:r w:rsidRPr="009058A3">
        <w:rPr>
          <w:rFonts w:ascii="Google Sans Text" w:hAnsi="Google Sans Text" w:cs="Aptos"/>
          <w:sz w:val="24"/>
          <w:szCs w:val="24"/>
        </w:rPr>
        <w:t>è</w:t>
      </w:r>
      <w:r w:rsidRPr="009058A3">
        <w:rPr>
          <w:rFonts w:ascii="Google Sans Text" w:hAnsi="Google Sans Text"/>
          <w:sz w:val="24"/>
          <w:szCs w:val="24"/>
        </w:rPr>
        <w:t xml:space="preserve">me est la somme des </w:t>
      </w:r>
      <w:r w:rsidRPr="009058A3">
        <w:rPr>
          <w:rFonts w:ascii="Google Sans Text" w:hAnsi="Google Sans Text" w:cs="Aptos"/>
          <w:sz w:val="24"/>
          <w:szCs w:val="24"/>
        </w:rPr>
        <w:t>é</w:t>
      </w:r>
      <w:r w:rsidRPr="009058A3">
        <w:rPr>
          <w:rFonts w:ascii="Google Sans Text" w:hAnsi="Google Sans Text"/>
          <w:sz w:val="24"/>
          <w:szCs w:val="24"/>
        </w:rPr>
        <w:t>nergies de toutes les op</w:t>
      </w:r>
      <w:r w:rsidRPr="009058A3">
        <w:rPr>
          <w:rFonts w:ascii="Google Sans Text" w:hAnsi="Google Sans Text" w:cs="Aptos"/>
          <w:sz w:val="24"/>
          <w:szCs w:val="24"/>
        </w:rPr>
        <w:t>é</w:t>
      </w:r>
      <w:r w:rsidRPr="009058A3">
        <w:rPr>
          <w:rFonts w:ascii="Google Sans Text" w:hAnsi="Google Sans Text"/>
          <w:sz w:val="24"/>
          <w:szCs w:val="24"/>
        </w:rPr>
        <w:t>rations qui se produisent : Etot​=</w:t>
      </w:r>
      <w:r w:rsidRPr="009058A3">
        <w:rPr>
          <w:rFonts w:ascii="Google Sans Text" w:hAnsi="Google Sans Text" w:cs="Aptos"/>
          <w:sz w:val="24"/>
          <w:szCs w:val="24"/>
        </w:rPr>
        <w:t>∑</w:t>
      </w:r>
      <w:r w:rsidRPr="009058A3">
        <w:rPr>
          <w:rFonts w:ascii="Google Sans Text" w:hAnsi="Google Sans Text"/>
          <w:sz w:val="24"/>
          <w:szCs w:val="24"/>
        </w:rPr>
        <w:t>i​Ei​. C'est une cons</w:t>
      </w:r>
      <w:r w:rsidRPr="009058A3">
        <w:rPr>
          <w:rFonts w:ascii="Google Sans Text" w:hAnsi="Google Sans Text" w:cs="Aptos"/>
          <w:sz w:val="24"/>
          <w:szCs w:val="24"/>
        </w:rPr>
        <w:t>é</w:t>
      </w:r>
      <w:r w:rsidRPr="009058A3">
        <w:rPr>
          <w:rFonts w:ascii="Google Sans Text" w:hAnsi="Google Sans Text"/>
          <w:sz w:val="24"/>
          <w:szCs w:val="24"/>
        </w:rPr>
        <w:t>quence directe de la loi de conservation de l'</w:t>
      </w:r>
      <w:r w:rsidRPr="009058A3">
        <w:rPr>
          <w:rFonts w:ascii="Google Sans Text" w:hAnsi="Google Sans Text" w:cs="Aptos"/>
          <w:sz w:val="24"/>
          <w:szCs w:val="24"/>
        </w:rPr>
        <w:t>é</w:t>
      </w:r>
      <w:r w:rsidRPr="009058A3">
        <w:rPr>
          <w:rFonts w:ascii="Google Sans Text" w:hAnsi="Google Sans Text"/>
          <w:sz w:val="24"/>
          <w:szCs w:val="24"/>
        </w:rPr>
        <w:t>nergie.</w:t>
      </w:r>
    </w:p>
    <w:p w14:paraId="01613B24"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Prémisse 2 (Principe d'Équivalence) : Conformément au principe d'équivalence, cette énergie totale Etot​ contribue au contenu total en masse-</w:t>
      </w:r>
      <w:r w:rsidRPr="009058A3">
        <w:rPr>
          <w:rFonts w:ascii="Google Sans Text" w:hAnsi="Google Sans Text" w:cs="Aptos"/>
          <w:sz w:val="24"/>
          <w:szCs w:val="24"/>
        </w:rPr>
        <w:t>é</w:t>
      </w:r>
      <w:r w:rsidRPr="009058A3">
        <w:rPr>
          <w:rFonts w:ascii="Google Sans Text" w:hAnsi="Google Sans Text"/>
          <w:sz w:val="24"/>
          <w:szCs w:val="24"/>
        </w:rPr>
        <w:t xml:space="preserve">nergie de l'ascenseur via </w:t>
      </w:r>
      <w:r w:rsidRPr="009058A3">
        <w:rPr>
          <w:rFonts w:ascii="Google Sans Text" w:hAnsi="Google Sans Text"/>
          <w:sz w:val="24"/>
          <w:szCs w:val="24"/>
        </w:rPr>
        <w:br/>
      </w:r>
      <w:r w:rsidRPr="009058A3">
        <w:rPr>
          <w:rFonts w:ascii="Google Sans Text" w:hAnsi="Google Sans Text"/>
          <w:sz w:val="24"/>
          <w:szCs w:val="24"/>
        </w:rPr>
        <w:lastRenderedPageBreak/>
        <w:t>$E = m c^{2}$. C'est cette masse-</w:t>
      </w:r>
      <w:r w:rsidRPr="009058A3">
        <w:rPr>
          <w:rFonts w:ascii="Google Sans Text" w:hAnsi="Google Sans Text" w:cs="Aptos"/>
          <w:sz w:val="24"/>
          <w:szCs w:val="24"/>
        </w:rPr>
        <w:t>é</w:t>
      </w:r>
      <w:r w:rsidRPr="009058A3">
        <w:rPr>
          <w:rFonts w:ascii="Google Sans Text" w:hAnsi="Google Sans Text"/>
          <w:sz w:val="24"/>
          <w:szCs w:val="24"/>
        </w:rPr>
        <w:t>nergie totale qui gravite.</w:t>
      </w:r>
    </w:p>
    <w:p w14:paraId="0A268A1B" w14:textId="29B598FD" w:rsidR="00134E0B" w:rsidRPr="009058A3" w:rsidRDefault="00134E0B" w:rsidP="00134E0B">
      <w:pPr>
        <w:rPr>
          <w:rFonts w:ascii="Google Sans Text" w:hAnsi="Google Sans Text"/>
          <w:sz w:val="24"/>
          <w:szCs w:val="24"/>
        </w:rPr>
      </w:pPr>
      <w:r w:rsidRPr="009058A3">
        <w:rPr>
          <w:rFonts w:ascii="Google Sans Text" w:hAnsi="Google Sans Text"/>
          <w:sz w:val="24"/>
          <w:szCs w:val="24"/>
        </w:rPr>
        <w:t>Prémisse 3 (Source de la Gravité) : Les équations du champ d'Einstein, G_{\mu\nu}=\frac{8\pi G}{c^{4}}\,T_{\mu\nu}.​ stipulent que la courbure de l'espace-temps est sourc</w:t>
      </w:r>
      <w:r w:rsidRPr="009058A3">
        <w:rPr>
          <w:rFonts w:ascii="Google Sans Text" w:hAnsi="Google Sans Text" w:cs="Aptos"/>
          <w:sz w:val="24"/>
          <w:szCs w:val="24"/>
        </w:rPr>
        <w:t>é</w:t>
      </w:r>
      <w:r w:rsidRPr="009058A3">
        <w:rPr>
          <w:rFonts w:ascii="Google Sans Text" w:hAnsi="Google Sans Text"/>
          <w:sz w:val="24"/>
          <w:szCs w:val="24"/>
        </w:rPr>
        <w:t xml:space="preserve">e par le tenseur </w:t>
      </w:r>
      <w:r w:rsidRPr="009058A3">
        <w:rPr>
          <w:rFonts w:ascii="Google Sans Text" w:hAnsi="Google Sans Text" w:cs="Aptos"/>
          <w:sz w:val="24"/>
          <w:szCs w:val="24"/>
        </w:rPr>
        <w:t>é</w:t>
      </w:r>
      <w:r w:rsidRPr="009058A3">
        <w:rPr>
          <w:rFonts w:ascii="Google Sans Text" w:hAnsi="Google Sans Text"/>
          <w:sz w:val="24"/>
          <w:szCs w:val="24"/>
        </w:rPr>
        <w:t>nergie-impulsion T</w:t>
      </w:r>
      <w:r w:rsidRPr="009058A3">
        <w:rPr>
          <w:rFonts w:ascii="Google Sans Text" w:hAnsi="Google Sans Text" w:cs="Aptos"/>
          <w:sz w:val="24"/>
          <w:szCs w:val="24"/>
        </w:rPr>
        <w:t>μν</w:t>
      </w:r>
      <w:r w:rsidRPr="009058A3">
        <w:rPr>
          <w:rFonts w:ascii="Google Sans Text" w:hAnsi="Google Sans Text"/>
          <w:sz w:val="24"/>
          <w:szCs w:val="24"/>
        </w:rPr>
        <w:t>​. La composante pertinente T00​ repr</w:t>
      </w:r>
      <w:r w:rsidRPr="009058A3">
        <w:rPr>
          <w:rFonts w:ascii="Google Sans Text" w:hAnsi="Google Sans Text" w:cs="Aptos"/>
          <w:sz w:val="24"/>
          <w:szCs w:val="24"/>
        </w:rPr>
        <w:t>é</w:t>
      </w:r>
      <w:r w:rsidRPr="009058A3">
        <w:rPr>
          <w:rFonts w:ascii="Google Sans Text" w:hAnsi="Google Sans Text"/>
          <w:sz w:val="24"/>
          <w:szCs w:val="24"/>
        </w:rPr>
        <w:t>sente la densit</w:t>
      </w:r>
      <w:r w:rsidRPr="009058A3">
        <w:rPr>
          <w:rFonts w:ascii="Google Sans Text" w:hAnsi="Google Sans Text" w:cs="Aptos"/>
          <w:sz w:val="24"/>
          <w:szCs w:val="24"/>
        </w:rPr>
        <w:t>é</w:t>
      </w:r>
      <w:r w:rsidRPr="009058A3">
        <w:rPr>
          <w:rFonts w:ascii="Google Sans Text" w:hAnsi="Google Sans Text"/>
          <w:sz w:val="24"/>
          <w:szCs w:val="24"/>
        </w:rPr>
        <w:t xml:space="preserve"> d'</w:t>
      </w:r>
      <w:r w:rsidRPr="009058A3">
        <w:rPr>
          <w:rFonts w:ascii="Google Sans Text" w:hAnsi="Google Sans Text" w:cs="Aptos"/>
          <w:sz w:val="24"/>
          <w:szCs w:val="24"/>
        </w:rPr>
        <w:t>é</w:t>
      </w:r>
      <w:r w:rsidRPr="009058A3">
        <w:rPr>
          <w:rFonts w:ascii="Google Sans Text" w:hAnsi="Google Sans Text"/>
          <w:sz w:val="24"/>
          <w:szCs w:val="24"/>
        </w:rPr>
        <w:t>nergie totale.</w:t>
      </w:r>
      <w:r w:rsidR="00833618" w:rsidRPr="009058A3">
        <w:rPr>
          <w:rFonts w:ascii="Google Sans Text" w:hAnsi="Google Sans Text"/>
          <w:sz w:val="24"/>
          <w:szCs w:val="24"/>
        </w:rPr>
        <w:br/>
      </w:r>
    </w:p>
    <w:p w14:paraId="038CDFDE" w14:textId="12E697D2" w:rsidR="00134E0B" w:rsidRPr="009058A3" w:rsidRDefault="002D47B0" w:rsidP="00134E0B">
      <w:pPr>
        <w:rPr>
          <w:rFonts w:ascii="Google Sans Text" w:hAnsi="Google Sans Text"/>
          <w:sz w:val="24"/>
          <w:szCs w:val="24"/>
        </w:rPr>
      </w:pPr>
      <w:r w:rsidRPr="009058A3">
        <w:rPr>
          <w:rFonts w:ascii="Google Sans Text" w:hAnsi="Google Sans Text"/>
          <w:sz w:val="24"/>
          <w:szCs w:val="24"/>
        </w:rPr>
        <w:t>Synthèse et statut de la preuve : Il convient de préciser que cet argument constitue une preuve physique fondée sur la hiérarchie des lois, plutôt qu'une dérivation formelle au sein du formalisme de la matrice de processus. Nous soutenons que le champ gravitationnel, décrit par la relativité générale, se couple à la masse-énergie totale intégrée (T00), une quantité macroscopique. Il est donc insensible à la structure causale microscopique des événements qui ont conduit à cette masse-énergie. La gravité "encapsule" le processus interne, ne répondant qu'à son effet énergétique net. Démontrer formellement cette indépendance nécessiterait une théorie complète de la gravité quantique. Notre objectif ici est plus pragmatique mais non moins rigoureux : démontrer que le principe ISI reste cohérent avec les lois fondamentales établies (conservation de l'énergie, principe d'équivalence) même lorsqu'on le confronte aux cadres les plus généraux de la théorie quantique.</w:t>
      </w:r>
    </w:p>
    <w:p w14:paraId="4E74ED26"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La structure de cette preuve révèle une hiérarchie profonde. Le formalisme de la matrice de processus décrit les "règles du jeu" pour l'information quantique à un niveau local, où la causalité peut être indéfinie. Cependant, les lois de la thermodynamique (principe de Landauer) et de la relativité générale (conservation du tenseur énergie-impulsion, principe d'équivalence) opèrent à un niveau macroscopique plus global. Le lemme démontre que ces lois globales et semi-classiques imposent une contrainte indépassable sur les résultats des processus quantiques locaux. La tentative d'exploiter des structures acausales pour stocker plus d'informations que ce qui est classiquement permis est finalement rejetée par la loi macroscopique de la gravité. L'effondrement gravitationnel est donc un "censeur" universel de la densité d'information, quelles que soient les dynamiques quantiques-causales exotiques en jeu.</w:t>
      </w:r>
    </w:p>
    <w:p w14:paraId="76BAB46A" w14:textId="77777777" w:rsidR="00134E0B" w:rsidRPr="009058A3" w:rsidRDefault="00134E0B" w:rsidP="00134E0B">
      <w:pPr>
        <w:rPr>
          <w:rFonts w:ascii="Google Sans Text" w:hAnsi="Google Sans Text"/>
          <w:sz w:val="24"/>
          <w:szCs w:val="24"/>
        </w:rPr>
      </w:pPr>
    </w:p>
    <w:p w14:paraId="73A8345A" w14:textId="5F9057DC" w:rsidR="00134E0B" w:rsidRPr="009058A3" w:rsidRDefault="00134E0B" w:rsidP="00134E0B">
      <w:pPr>
        <w:rPr>
          <w:rFonts w:ascii="Google Sans Text" w:hAnsi="Google Sans Text"/>
          <w:sz w:val="24"/>
          <w:szCs w:val="24"/>
        </w:rPr>
      </w:pPr>
      <w:r w:rsidRPr="009058A3">
        <w:rPr>
          <w:rFonts w:ascii="Google Sans Text" w:hAnsi="Google Sans Text"/>
          <w:sz w:val="24"/>
          <w:szCs w:val="24"/>
        </w:rPr>
        <w:t>C.5 Preuve Formelle de la Robustesse du Théorème ISI</w:t>
      </w:r>
    </w:p>
    <w:p w14:paraId="16ED45A0"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Étape 1 : Calcul de l'Énergie Totale</w:t>
      </w:r>
    </w:p>
    <w:p w14:paraId="2794D861"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L'énergie totale injectée pour stocker N bits est $E_{\text{tot}} \;=\; N \cdot E_{bit} \;=\; N \cdot \dfrac{\hbar\, a\, \ln 2}{2\pi\, c}$​. Cette expression est valable car, ind</w:t>
      </w:r>
      <w:r w:rsidRPr="009058A3">
        <w:rPr>
          <w:rFonts w:ascii="Google Sans Text" w:hAnsi="Google Sans Text" w:cs="Aptos"/>
          <w:sz w:val="24"/>
          <w:szCs w:val="24"/>
        </w:rPr>
        <w:t>é</w:t>
      </w:r>
      <w:r w:rsidRPr="009058A3">
        <w:rPr>
          <w:rFonts w:ascii="Google Sans Text" w:hAnsi="Google Sans Text"/>
          <w:sz w:val="24"/>
          <w:szCs w:val="24"/>
        </w:rPr>
        <w:t>pendamment de l'ordre causal, N op</w:t>
      </w:r>
      <w:r w:rsidRPr="009058A3">
        <w:rPr>
          <w:rFonts w:ascii="Google Sans Text" w:hAnsi="Google Sans Text" w:cs="Aptos"/>
          <w:sz w:val="24"/>
          <w:szCs w:val="24"/>
        </w:rPr>
        <w:t>é</w:t>
      </w:r>
      <w:r w:rsidRPr="009058A3">
        <w:rPr>
          <w:rFonts w:ascii="Google Sans Text" w:hAnsi="Google Sans Text"/>
          <w:sz w:val="24"/>
          <w:szCs w:val="24"/>
        </w:rPr>
        <w:t xml:space="preserve">rations distinctes d'encodage de bit doivent </w:t>
      </w:r>
      <w:r w:rsidRPr="009058A3">
        <w:rPr>
          <w:rFonts w:ascii="Google Sans Text" w:hAnsi="Google Sans Text" w:cs="Aptos"/>
          <w:sz w:val="24"/>
          <w:szCs w:val="24"/>
        </w:rPr>
        <w:t>ê</w:t>
      </w:r>
      <w:r w:rsidRPr="009058A3">
        <w:rPr>
          <w:rFonts w:ascii="Google Sans Text" w:hAnsi="Google Sans Text"/>
          <w:sz w:val="24"/>
          <w:szCs w:val="24"/>
        </w:rPr>
        <w:t>tre effectu</w:t>
      </w:r>
      <w:r w:rsidRPr="009058A3">
        <w:rPr>
          <w:rFonts w:ascii="Google Sans Text" w:hAnsi="Google Sans Text" w:cs="Aptos"/>
          <w:sz w:val="24"/>
          <w:szCs w:val="24"/>
        </w:rPr>
        <w:t>é</w:t>
      </w:r>
      <w:r w:rsidRPr="009058A3">
        <w:rPr>
          <w:rFonts w:ascii="Google Sans Text" w:hAnsi="Google Sans Text"/>
          <w:sz w:val="24"/>
          <w:szCs w:val="24"/>
        </w:rPr>
        <w:t>es, chacune avec le m</w:t>
      </w:r>
      <w:r w:rsidRPr="009058A3">
        <w:rPr>
          <w:rFonts w:ascii="Google Sans Text" w:hAnsi="Google Sans Text" w:cs="Aptos"/>
          <w:sz w:val="24"/>
          <w:szCs w:val="24"/>
        </w:rPr>
        <w:t>ê</w:t>
      </w:r>
      <w:r w:rsidRPr="009058A3">
        <w:rPr>
          <w:rFonts w:ascii="Google Sans Text" w:hAnsi="Google Sans Text"/>
          <w:sz w:val="24"/>
          <w:szCs w:val="24"/>
        </w:rPr>
        <w:t>me co</w:t>
      </w:r>
      <w:r w:rsidRPr="009058A3">
        <w:rPr>
          <w:rFonts w:ascii="Google Sans Text" w:hAnsi="Google Sans Text" w:cs="Aptos"/>
          <w:sz w:val="24"/>
          <w:szCs w:val="24"/>
        </w:rPr>
        <w:t>û</w:t>
      </w:r>
      <w:r w:rsidRPr="009058A3">
        <w:rPr>
          <w:rFonts w:ascii="Google Sans Text" w:hAnsi="Google Sans Text"/>
          <w:sz w:val="24"/>
          <w:szCs w:val="24"/>
        </w:rPr>
        <w:t xml:space="preserve">t </w:t>
      </w:r>
      <w:r w:rsidRPr="009058A3">
        <w:rPr>
          <w:rFonts w:ascii="Google Sans Text" w:hAnsi="Google Sans Text" w:cs="Aptos"/>
          <w:sz w:val="24"/>
          <w:szCs w:val="24"/>
        </w:rPr>
        <w:t>é</w:t>
      </w:r>
      <w:r w:rsidRPr="009058A3">
        <w:rPr>
          <w:rFonts w:ascii="Google Sans Text" w:hAnsi="Google Sans Text"/>
          <w:sz w:val="24"/>
          <w:szCs w:val="24"/>
        </w:rPr>
        <w:t>nerg</w:t>
      </w:r>
      <w:r w:rsidRPr="009058A3">
        <w:rPr>
          <w:rFonts w:ascii="Google Sans Text" w:hAnsi="Google Sans Text" w:cs="Aptos"/>
          <w:sz w:val="24"/>
          <w:szCs w:val="24"/>
        </w:rPr>
        <w:t>é</w:t>
      </w:r>
      <w:r w:rsidRPr="009058A3">
        <w:rPr>
          <w:rFonts w:ascii="Google Sans Text" w:hAnsi="Google Sans Text"/>
          <w:sz w:val="24"/>
          <w:szCs w:val="24"/>
        </w:rPr>
        <w:t>tique moyen. La matrice de processus W d</w:t>
      </w:r>
      <w:r w:rsidRPr="009058A3">
        <w:rPr>
          <w:rFonts w:ascii="Google Sans Text" w:hAnsi="Google Sans Text" w:cs="Aptos"/>
          <w:sz w:val="24"/>
          <w:szCs w:val="24"/>
        </w:rPr>
        <w:t>é</w:t>
      </w:r>
      <w:r w:rsidRPr="009058A3">
        <w:rPr>
          <w:rFonts w:ascii="Google Sans Text" w:hAnsi="Google Sans Text"/>
          <w:sz w:val="24"/>
          <w:szCs w:val="24"/>
        </w:rPr>
        <w:t>termine la probabilit</w:t>
      </w:r>
      <w:r w:rsidRPr="009058A3">
        <w:rPr>
          <w:rFonts w:ascii="Google Sans Text" w:hAnsi="Google Sans Text" w:cs="Aptos"/>
          <w:sz w:val="24"/>
          <w:szCs w:val="24"/>
        </w:rPr>
        <w:t>é</w:t>
      </w:r>
      <w:r w:rsidRPr="009058A3">
        <w:rPr>
          <w:rFonts w:ascii="Google Sans Text" w:hAnsi="Google Sans Text"/>
          <w:sz w:val="24"/>
          <w:szCs w:val="24"/>
        </w:rPr>
        <w:t xml:space="preserve"> que diff</w:t>
      </w:r>
      <w:r w:rsidRPr="009058A3">
        <w:rPr>
          <w:rFonts w:ascii="Google Sans Text" w:hAnsi="Google Sans Text" w:cs="Aptos"/>
          <w:sz w:val="24"/>
          <w:szCs w:val="24"/>
        </w:rPr>
        <w:t>é</w:t>
      </w:r>
      <w:r w:rsidRPr="009058A3">
        <w:rPr>
          <w:rFonts w:ascii="Google Sans Text" w:hAnsi="Google Sans Text"/>
          <w:sz w:val="24"/>
          <w:szCs w:val="24"/>
        </w:rPr>
        <w:t>rentes combinaisons d'op</w:t>
      </w:r>
      <w:r w:rsidRPr="009058A3">
        <w:rPr>
          <w:rFonts w:ascii="Google Sans Text" w:hAnsi="Google Sans Text" w:cs="Aptos"/>
          <w:sz w:val="24"/>
          <w:szCs w:val="24"/>
        </w:rPr>
        <w:t>é</w:t>
      </w:r>
      <w:r w:rsidRPr="009058A3">
        <w:rPr>
          <w:rFonts w:ascii="Google Sans Text" w:hAnsi="Google Sans Text"/>
          <w:sz w:val="24"/>
          <w:szCs w:val="24"/>
        </w:rPr>
        <w:t>rations se produisent, mais l'</w:t>
      </w:r>
      <w:r w:rsidRPr="009058A3">
        <w:rPr>
          <w:rFonts w:ascii="Google Sans Text" w:hAnsi="Google Sans Text" w:cs="Aptos"/>
          <w:sz w:val="24"/>
          <w:szCs w:val="24"/>
        </w:rPr>
        <w:t>é</w:t>
      </w:r>
      <w:r w:rsidRPr="009058A3">
        <w:rPr>
          <w:rFonts w:ascii="Google Sans Text" w:hAnsi="Google Sans Text"/>
          <w:sz w:val="24"/>
          <w:szCs w:val="24"/>
        </w:rPr>
        <w:t>nergie totale attendue est simplement la somme sur toutes les possibilit</w:t>
      </w:r>
      <w:r w:rsidRPr="009058A3">
        <w:rPr>
          <w:rFonts w:ascii="Google Sans Text" w:hAnsi="Google Sans Text" w:cs="Aptos"/>
          <w:sz w:val="24"/>
          <w:szCs w:val="24"/>
        </w:rPr>
        <w:t>é</w:t>
      </w:r>
      <w:r w:rsidRPr="009058A3">
        <w:rPr>
          <w:rFonts w:ascii="Google Sans Text" w:hAnsi="Google Sans Text"/>
          <w:sz w:val="24"/>
          <w:szCs w:val="24"/>
        </w:rPr>
        <w:t>s.</w:t>
      </w:r>
    </w:p>
    <w:p w14:paraId="143DBF22"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Étape 2 : Invocation du Lemme</w:t>
      </w:r>
    </w:p>
    <w:p w14:paraId="1FDA302E"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appliquons le Lemme d'Encapsulage Gravitaire. Le champ gravitationnel à l'intérieur et à l'extérieur de l'ascenseur répond à cette Etot​, ind</w:t>
      </w:r>
      <w:r w:rsidRPr="009058A3">
        <w:rPr>
          <w:rFonts w:ascii="Google Sans Text" w:hAnsi="Google Sans Text" w:cs="Aptos"/>
          <w:sz w:val="24"/>
          <w:szCs w:val="24"/>
        </w:rPr>
        <w:t>é</w:t>
      </w:r>
      <w:r w:rsidRPr="009058A3">
        <w:rPr>
          <w:rFonts w:ascii="Google Sans Text" w:hAnsi="Google Sans Text"/>
          <w:sz w:val="24"/>
          <w:szCs w:val="24"/>
        </w:rPr>
        <w:t xml:space="preserve">pendamment du W </w:t>
      </w:r>
      <w:r w:rsidRPr="009058A3">
        <w:rPr>
          <w:rFonts w:ascii="Google Sans Text" w:hAnsi="Google Sans Text"/>
          <w:sz w:val="24"/>
          <w:szCs w:val="24"/>
        </w:rPr>
        <w:lastRenderedPageBreak/>
        <w:t>sp</w:t>
      </w:r>
      <w:r w:rsidRPr="009058A3">
        <w:rPr>
          <w:rFonts w:ascii="Google Sans Text" w:hAnsi="Google Sans Text" w:cs="Aptos"/>
          <w:sz w:val="24"/>
          <w:szCs w:val="24"/>
        </w:rPr>
        <w:t>é</w:t>
      </w:r>
      <w:r w:rsidRPr="009058A3">
        <w:rPr>
          <w:rFonts w:ascii="Google Sans Text" w:hAnsi="Google Sans Text"/>
          <w:sz w:val="24"/>
          <w:szCs w:val="24"/>
        </w:rPr>
        <w:t>cifique qui d</w:t>
      </w:r>
      <w:r w:rsidRPr="009058A3">
        <w:rPr>
          <w:rFonts w:ascii="Google Sans Text" w:hAnsi="Google Sans Text" w:cs="Aptos"/>
          <w:sz w:val="24"/>
          <w:szCs w:val="24"/>
        </w:rPr>
        <w:t>é</w:t>
      </w:r>
      <w:r w:rsidRPr="009058A3">
        <w:rPr>
          <w:rFonts w:ascii="Google Sans Text" w:hAnsi="Google Sans Text"/>
          <w:sz w:val="24"/>
          <w:szCs w:val="24"/>
        </w:rPr>
        <w:t>crit le processus d'encodage.</w:t>
      </w:r>
    </w:p>
    <w:p w14:paraId="10770A5D"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Étape 3 : La Condition d'Effondrement</w:t>
      </w:r>
    </w:p>
    <w:p w14:paraId="41D5475C"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Comme dérivé dans le texte principal , le système s'effondre en un trou noir lorsque sa masse-énergie totale égale sa masse de Schwarzschild pour son rayon caractéristique</w:t>
      </w:r>
    </w:p>
    <w:p w14:paraId="2E1F6964"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R. La condition est E_{\text{tot}} \;\ge\; \frac{c^{4}}{2G}\,R.</w:t>
      </w:r>
    </w:p>
    <w:p w14:paraId="061AFA6C"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Étape 4 : Dérivation de la Borne et Conclusion</w:t>
      </w:r>
    </w:p>
    <w:p w14:paraId="5405B396"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 xml:space="preserve">La substitution de l'expression de Etot​ dans la condition d'effondrement donne un nombre maximum de bits stockables, Nmax​, qui est proportionnel </w:t>
      </w:r>
      <w:r w:rsidRPr="009058A3">
        <w:rPr>
          <w:rFonts w:ascii="Google Sans Text" w:hAnsi="Google Sans Text" w:cs="Aptos"/>
          <w:sz w:val="24"/>
          <w:szCs w:val="24"/>
        </w:rPr>
        <w:t>à</w:t>
      </w:r>
      <w:r w:rsidRPr="009058A3">
        <w:rPr>
          <w:rFonts w:ascii="Google Sans Text" w:hAnsi="Google Sans Text"/>
          <w:sz w:val="24"/>
          <w:szCs w:val="24"/>
        </w:rPr>
        <w:t xml:space="preserve"> l'aire de la surface A de l'ascenseur :</w:t>
      </w:r>
    </w:p>
    <w:p w14:paraId="79C75DBA"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N_{\max} \;\approx\; \frac{A}{4\,l_P^{2}\,\ln 2}.</w:t>
      </w:r>
    </w:p>
    <w:p w14:paraId="70639969"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Puisque cette dérivation pour Nmax​ ne d</w:t>
      </w:r>
      <w:r w:rsidRPr="009058A3">
        <w:rPr>
          <w:rFonts w:ascii="Google Sans Text" w:hAnsi="Google Sans Text" w:cs="Aptos"/>
          <w:sz w:val="24"/>
          <w:szCs w:val="24"/>
        </w:rPr>
        <w:t>é</w:t>
      </w:r>
      <w:r w:rsidRPr="009058A3">
        <w:rPr>
          <w:rFonts w:ascii="Google Sans Text" w:hAnsi="Google Sans Text"/>
          <w:sz w:val="24"/>
          <w:szCs w:val="24"/>
        </w:rPr>
        <w:t>pend d'aucune propri</w:t>
      </w:r>
      <w:r w:rsidRPr="009058A3">
        <w:rPr>
          <w:rFonts w:ascii="Google Sans Text" w:hAnsi="Google Sans Text" w:cs="Aptos"/>
          <w:sz w:val="24"/>
          <w:szCs w:val="24"/>
        </w:rPr>
        <w:t>é</w:t>
      </w:r>
      <w:r w:rsidRPr="009058A3">
        <w:rPr>
          <w:rFonts w:ascii="Google Sans Text" w:hAnsi="Google Sans Text"/>
          <w:sz w:val="24"/>
          <w:szCs w:val="24"/>
        </w:rPr>
        <w:t>t</w:t>
      </w:r>
      <w:r w:rsidRPr="009058A3">
        <w:rPr>
          <w:rFonts w:ascii="Google Sans Text" w:hAnsi="Google Sans Text" w:cs="Aptos"/>
          <w:sz w:val="24"/>
          <w:szCs w:val="24"/>
        </w:rPr>
        <w:t>é</w:t>
      </w:r>
      <w:r w:rsidRPr="009058A3">
        <w:rPr>
          <w:rFonts w:ascii="Google Sans Text" w:hAnsi="Google Sans Text"/>
          <w:sz w:val="24"/>
          <w:szCs w:val="24"/>
        </w:rPr>
        <w:t xml:space="preserve"> sp</w:t>
      </w:r>
      <w:r w:rsidRPr="009058A3">
        <w:rPr>
          <w:rFonts w:ascii="Google Sans Text" w:hAnsi="Google Sans Text" w:cs="Aptos"/>
          <w:sz w:val="24"/>
          <w:szCs w:val="24"/>
        </w:rPr>
        <w:t>é</w:t>
      </w:r>
      <w:r w:rsidRPr="009058A3">
        <w:rPr>
          <w:rFonts w:ascii="Google Sans Text" w:hAnsi="Google Sans Text"/>
          <w:sz w:val="24"/>
          <w:szCs w:val="24"/>
        </w:rPr>
        <w:t>cifique de la matrice de processus W au-del</w:t>
      </w:r>
      <w:r w:rsidRPr="009058A3">
        <w:rPr>
          <w:rFonts w:ascii="Google Sans Text" w:hAnsi="Google Sans Text" w:cs="Aptos"/>
          <w:sz w:val="24"/>
          <w:szCs w:val="24"/>
        </w:rPr>
        <w:t>à</w:t>
      </w:r>
      <w:r w:rsidRPr="009058A3">
        <w:rPr>
          <w:rFonts w:ascii="Google Sans Text" w:hAnsi="Google Sans Text"/>
          <w:sz w:val="24"/>
          <w:szCs w:val="24"/>
        </w:rPr>
        <w:t xml:space="preserve"> du nombre d'op</w:t>
      </w:r>
      <w:r w:rsidRPr="009058A3">
        <w:rPr>
          <w:rFonts w:ascii="Google Sans Text" w:hAnsi="Google Sans Text" w:cs="Aptos"/>
          <w:sz w:val="24"/>
          <w:szCs w:val="24"/>
        </w:rPr>
        <w:t>é</w:t>
      </w:r>
      <w:r w:rsidRPr="009058A3">
        <w:rPr>
          <w:rFonts w:ascii="Google Sans Text" w:hAnsi="Google Sans Text"/>
          <w:sz w:val="24"/>
          <w:szCs w:val="24"/>
        </w:rPr>
        <w:t xml:space="preserve">rations, la borne est universelle. La tentative de stocker de l'information </w:t>
      </w:r>
      <w:r w:rsidRPr="009058A3">
        <w:rPr>
          <w:rFonts w:ascii="Google Sans Text" w:hAnsi="Google Sans Text" w:cs="Aptos"/>
          <w:sz w:val="24"/>
          <w:szCs w:val="24"/>
        </w:rPr>
        <w:t>à</w:t>
      </w:r>
      <w:r w:rsidRPr="009058A3">
        <w:rPr>
          <w:rFonts w:ascii="Google Sans Text" w:hAnsi="Google Sans Text"/>
          <w:sz w:val="24"/>
          <w:szCs w:val="24"/>
        </w:rPr>
        <w:t xml:space="preserve"> une densit</w:t>
      </w:r>
      <w:r w:rsidRPr="009058A3">
        <w:rPr>
          <w:rFonts w:ascii="Google Sans Text" w:hAnsi="Google Sans Text" w:cs="Aptos"/>
          <w:sz w:val="24"/>
          <w:szCs w:val="24"/>
        </w:rPr>
        <w:t>é</w:t>
      </w:r>
      <w:r w:rsidRPr="009058A3">
        <w:rPr>
          <w:rFonts w:ascii="Google Sans Text" w:hAnsi="Google Sans Text"/>
          <w:sz w:val="24"/>
          <w:szCs w:val="24"/>
        </w:rPr>
        <w:t xml:space="preserve"> approchant cette limite (C</w:t>
      </w:r>
      <w:r w:rsidRPr="009058A3">
        <w:rPr>
          <w:rFonts w:ascii="Google Sans Text" w:hAnsi="Google Sans Text" w:cs="Aptos"/>
          <w:sz w:val="24"/>
          <w:szCs w:val="24"/>
        </w:rPr>
        <w:t>τ</w:t>
      </w:r>
      <w:r w:rsidRPr="009058A3">
        <w:rPr>
          <w:rFonts w:ascii="Google Sans Text" w:hAnsi="Google Sans Text"/>
          <w:sz w:val="24"/>
          <w:szCs w:val="24"/>
        </w:rPr>
        <w:t>​</w:t>
      </w:r>
      <w:r w:rsidRPr="009058A3">
        <w:rPr>
          <w:rFonts w:ascii="Google Sans Text" w:hAnsi="Google Sans Text" w:cs="Aptos"/>
          <w:sz w:val="24"/>
          <w:szCs w:val="24"/>
        </w:rPr>
        <w:t>→</w:t>
      </w:r>
      <w:r w:rsidRPr="009058A3">
        <w:rPr>
          <w:rFonts w:ascii="Google Sans Text" w:hAnsi="Google Sans Text"/>
          <w:sz w:val="24"/>
          <w:szCs w:val="24"/>
        </w:rPr>
        <w:t>S</w:t>
      </w:r>
      <w:r w:rsidRPr="009058A3">
        <w:rPr>
          <w:rFonts w:ascii="Google Sans Text" w:hAnsi="Google Sans Text" w:cs="Aptos"/>
          <w:sz w:val="24"/>
          <w:szCs w:val="24"/>
        </w:rPr>
        <w:t>Ω</w:t>
      </w:r>
      <w:r w:rsidRPr="009058A3">
        <w:rPr>
          <w:rFonts w:ascii="Google Sans Text" w:hAnsi="Google Sans Text"/>
          <w:sz w:val="24"/>
          <w:szCs w:val="24"/>
        </w:rPr>
        <w:t>​) d</w:t>
      </w:r>
      <w:r w:rsidRPr="009058A3">
        <w:rPr>
          <w:rFonts w:ascii="Google Sans Text" w:hAnsi="Google Sans Text" w:cs="Aptos"/>
          <w:sz w:val="24"/>
          <w:szCs w:val="24"/>
        </w:rPr>
        <w:t>é</w:t>
      </w:r>
      <w:r w:rsidRPr="009058A3">
        <w:rPr>
          <w:rFonts w:ascii="Google Sans Text" w:hAnsi="Google Sans Text"/>
          <w:sz w:val="24"/>
          <w:szCs w:val="24"/>
        </w:rPr>
        <w:t>clenche un effondrement gravitationnel, rendant l'information inaccessible. Par cons</w:t>
      </w:r>
      <w:r w:rsidRPr="009058A3">
        <w:rPr>
          <w:rFonts w:ascii="Google Sans Text" w:hAnsi="Google Sans Text" w:cs="Aptos"/>
          <w:sz w:val="24"/>
          <w:szCs w:val="24"/>
        </w:rPr>
        <w:t>é</w:t>
      </w:r>
      <w:r w:rsidRPr="009058A3">
        <w:rPr>
          <w:rFonts w:ascii="Google Sans Text" w:hAnsi="Google Sans Text"/>
          <w:sz w:val="24"/>
          <w:szCs w:val="24"/>
        </w:rPr>
        <w:t>quent, l'in</w:t>
      </w:r>
      <w:r w:rsidRPr="009058A3">
        <w:rPr>
          <w:rFonts w:ascii="Google Sans Text" w:hAnsi="Google Sans Text" w:cs="Aptos"/>
          <w:sz w:val="24"/>
          <w:szCs w:val="24"/>
        </w:rPr>
        <w:t>é</w:t>
      </w:r>
      <w:r w:rsidRPr="009058A3">
        <w:rPr>
          <w:rFonts w:ascii="Google Sans Text" w:hAnsi="Google Sans Text"/>
          <w:sz w:val="24"/>
          <w:szCs w:val="24"/>
        </w:rPr>
        <w:t>galit</w:t>
      </w:r>
      <w:r w:rsidRPr="009058A3">
        <w:rPr>
          <w:rFonts w:ascii="Google Sans Text" w:hAnsi="Google Sans Text" w:cs="Aptos"/>
          <w:sz w:val="24"/>
          <w:szCs w:val="24"/>
        </w:rPr>
        <w:t>é</w:t>
      </w:r>
      <w:r w:rsidRPr="009058A3">
        <w:rPr>
          <w:rFonts w:ascii="Google Sans Text" w:hAnsi="Google Sans Text"/>
          <w:sz w:val="24"/>
          <w:szCs w:val="24"/>
        </w:rPr>
        <w:t xml:space="preserve"> stricte du th</w:t>
      </w:r>
      <w:r w:rsidRPr="009058A3">
        <w:rPr>
          <w:rFonts w:ascii="Google Sans Text" w:hAnsi="Google Sans Text" w:cs="Aptos"/>
          <w:sz w:val="24"/>
          <w:szCs w:val="24"/>
        </w:rPr>
        <w:t>é</w:t>
      </w:r>
      <w:r w:rsidRPr="009058A3">
        <w:rPr>
          <w:rFonts w:ascii="Google Sans Text" w:hAnsi="Google Sans Text"/>
          <w:sz w:val="24"/>
          <w:szCs w:val="24"/>
        </w:rPr>
        <w:t>or</w:t>
      </w:r>
      <w:r w:rsidRPr="009058A3">
        <w:rPr>
          <w:rFonts w:ascii="Google Sans Text" w:hAnsi="Google Sans Text" w:cs="Aptos"/>
          <w:sz w:val="24"/>
          <w:szCs w:val="24"/>
        </w:rPr>
        <w:t>è</w:t>
      </w:r>
      <w:r w:rsidRPr="009058A3">
        <w:rPr>
          <w:rFonts w:ascii="Google Sans Text" w:hAnsi="Google Sans Text"/>
          <w:sz w:val="24"/>
          <w:szCs w:val="24"/>
        </w:rPr>
        <w:t>me ISI, C</w:t>
      </w:r>
      <w:r w:rsidRPr="009058A3">
        <w:rPr>
          <w:rFonts w:ascii="Google Sans Text" w:hAnsi="Google Sans Text" w:cs="Aptos"/>
          <w:sz w:val="24"/>
          <w:szCs w:val="24"/>
        </w:rPr>
        <w:t>τ</w:t>
      </w:r>
      <w:r w:rsidRPr="009058A3">
        <w:rPr>
          <w:rFonts w:ascii="Google Sans Text" w:hAnsi="Google Sans Text"/>
          <w:sz w:val="24"/>
          <w:szCs w:val="24"/>
        </w:rPr>
        <w:t>​&lt;S</w:t>
      </w:r>
      <w:r w:rsidRPr="009058A3">
        <w:rPr>
          <w:rFonts w:ascii="Google Sans Text" w:hAnsi="Google Sans Text" w:cs="Aptos"/>
          <w:sz w:val="24"/>
          <w:szCs w:val="24"/>
        </w:rPr>
        <w:t>Ω</w:t>
      </w:r>
      <w:r w:rsidRPr="009058A3">
        <w:rPr>
          <w:rFonts w:ascii="Google Sans Text" w:hAnsi="Google Sans Text"/>
          <w:sz w:val="24"/>
          <w:szCs w:val="24"/>
        </w:rPr>
        <w:t>​, est robuste et reste vraie m</w:t>
      </w:r>
      <w:r w:rsidRPr="009058A3">
        <w:rPr>
          <w:rFonts w:ascii="Google Sans Text" w:hAnsi="Google Sans Text" w:cs="Aptos"/>
          <w:sz w:val="24"/>
          <w:szCs w:val="24"/>
        </w:rPr>
        <w:t>ê</w:t>
      </w:r>
      <w:r w:rsidRPr="009058A3">
        <w:rPr>
          <w:rFonts w:ascii="Google Sans Text" w:hAnsi="Google Sans Text"/>
          <w:sz w:val="24"/>
          <w:szCs w:val="24"/>
        </w:rPr>
        <w:t>me dans des conditions de causalit</w:t>
      </w:r>
      <w:r w:rsidRPr="009058A3">
        <w:rPr>
          <w:rFonts w:ascii="Google Sans Text" w:hAnsi="Google Sans Text" w:cs="Aptos"/>
          <w:sz w:val="24"/>
          <w:szCs w:val="24"/>
        </w:rPr>
        <w:t>é</w:t>
      </w:r>
      <w:r w:rsidRPr="009058A3">
        <w:rPr>
          <w:rFonts w:ascii="Google Sans Text" w:hAnsi="Google Sans Text"/>
          <w:sz w:val="24"/>
          <w:szCs w:val="24"/>
        </w:rPr>
        <w:t xml:space="preserve"> ind</w:t>
      </w:r>
      <w:r w:rsidRPr="009058A3">
        <w:rPr>
          <w:rFonts w:ascii="Google Sans Text" w:hAnsi="Google Sans Text" w:cs="Aptos"/>
          <w:sz w:val="24"/>
          <w:szCs w:val="24"/>
        </w:rPr>
        <w:t>é</w:t>
      </w:r>
      <w:r w:rsidRPr="009058A3">
        <w:rPr>
          <w:rFonts w:ascii="Google Sans Text" w:hAnsi="Google Sans Text"/>
          <w:sz w:val="24"/>
          <w:szCs w:val="24"/>
        </w:rPr>
        <w:t>finie.</w:t>
      </w:r>
    </w:p>
    <w:p w14:paraId="38014044" w14:textId="77777777" w:rsidR="00134E0B" w:rsidRPr="009058A3" w:rsidRDefault="00134E0B" w:rsidP="00134E0B">
      <w:pPr>
        <w:rPr>
          <w:rFonts w:ascii="Google Sans Text" w:hAnsi="Google Sans Text"/>
          <w:sz w:val="24"/>
          <w:szCs w:val="24"/>
        </w:rPr>
      </w:pPr>
    </w:p>
    <w:p w14:paraId="230B3291" w14:textId="490E0A64" w:rsidR="00134E0B" w:rsidRPr="009058A3" w:rsidRDefault="00134E0B" w:rsidP="00134E0B">
      <w:pPr>
        <w:rPr>
          <w:rFonts w:ascii="Google Sans Text" w:hAnsi="Google Sans Text"/>
          <w:sz w:val="24"/>
          <w:szCs w:val="24"/>
        </w:rPr>
      </w:pPr>
      <w:r w:rsidRPr="009058A3">
        <w:rPr>
          <w:rFonts w:ascii="Google Sans Text" w:hAnsi="Google Sans Text"/>
          <w:sz w:val="24"/>
          <w:szCs w:val="24"/>
        </w:rPr>
        <w:t>C.6 Conclusion de l'Annexe</w:t>
      </w:r>
    </w:p>
    <w:p w14:paraId="7F9FB18C"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Nous avons formellement démontré que le théorème ISI est robuste face aux généralisations de la théorie quantique qui incluent des structures causales indéfinies. La preuve repose sur le "Lemme d'Encapsulage Gravitaire", qui établit que les lois macroscopiques de la conservation de l'énergie et de la gravité sont supérieures à l'ordonnancement causal microscopique des opérations quantiques.</w:t>
      </w:r>
    </w:p>
    <w:p w14:paraId="2C6B5600" w14:textId="77777777" w:rsidR="00134E0B" w:rsidRPr="009058A3" w:rsidRDefault="00134E0B" w:rsidP="00134E0B">
      <w:pPr>
        <w:rPr>
          <w:rFonts w:ascii="Google Sans Text" w:hAnsi="Google Sans Text"/>
          <w:sz w:val="24"/>
          <w:szCs w:val="24"/>
        </w:rPr>
      </w:pPr>
      <w:r w:rsidRPr="009058A3">
        <w:rPr>
          <w:rFonts w:ascii="Google Sans Text" w:hAnsi="Google Sans Text"/>
          <w:sz w:val="24"/>
          <w:szCs w:val="24"/>
        </w:rPr>
        <w:t>Ce résultat renforce la candidature du théorème ISI en tant que principe fondamental et indépendant du modèle. Il agit comme un puissant test de cohérence que toute future théorie de la gravité quantique doit satisfaire : toute théorie qui permettrait une violation de la borne ISI en exploitant des structures acausales entrerait nécessairement en conflit avec la limite de basse énergie décrite par la relativité générale et la thermodynamique. Le théorème fournit ainsi une contrainte axiomatique ferme sur le chemin vers une théorie unifiée.</w:t>
      </w:r>
    </w:p>
    <w:p w14:paraId="2CCF0782" w14:textId="77777777" w:rsidR="00134E0B" w:rsidRPr="009058A3" w:rsidRDefault="00134E0B" w:rsidP="00134E0B">
      <w:pPr>
        <w:rPr>
          <w:rFonts w:ascii="Google Sans Text" w:hAnsi="Google Sans Text"/>
          <w:sz w:val="24"/>
          <w:szCs w:val="24"/>
        </w:rPr>
      </w:pPr>
    </w:p>
    <w:p w14:paraId="1D5FC0F9" w14:textId="582F91A2" w:rsidR="00134E0B" w:rsidRPr="009058A3" w:rsidRDefault="00134E0B" w:rsidP="00134E0B">
      <w:pPr>
        <w:pBdr>
          <w:top w:val="nil"/>
          <w:left w:val="nil"/>
          <w:bottom w:val="nil"/>
          <w:right w:val="nil"/>
          <w:between w:val="nil"/>
        </w:pBdr>
        <w:spacing w:before="120" w:after="240" w:line="275" w:lineRule="auto"/>
        <w:rPr>
          <w:rFonts w:ascii="Google Sans Text" w:eastAsia="Google Sans Text" w:hAnsi="Google Sans Text" w:cs="Google Sans Text"/>
          <w:b/>
          <w:color w:val="1B1C1D"/>
          <w:sz w:val="24"/>
          <w:szCs w:val="24"/>
        </w:rPr>
      </w:pPr>
      <w:r w:rsidRPr="009058A3">
        <w:rPr>
          <w:rFonts w:ascii="Google Sans Text" w:hAnsi="Google Sans Text"/>
          <w:sz w:val="24"/>
          <w:szCs w:val="24"/>
        </w:rPr>
        <w:br/>
      </w:r>
      <w:r w:rsidRPr="009058A3">
        <w:rPr>
          <w:rFonts w:ascii="Google Sans Text" w:hAnsi="Google Sans Text"/>
          <w:sz w:val="24"/>
          <w:szCs w:val="24"/>
        </w:rPr>
        <w:br/>
      </w:r>
      <w:r w:rsidR="004E2E2C">
        <w:rPr>
          <w:rFonts w:ascii="Google Sans Text" w:hAnsi="Google Sans Text"/>
          <w:sz w:val="24"/>
          <w:szCs w:val="24"/>
        </w:rPr>
        <w:pict w14:anchorId="1D92AA4B">
          <v:rect id="_x0000_i1030" style="width:0;height:1.5pt" o:hralign="center" o:hrstd="t" o:hr="t" fillcolor="#a0a0a0" stroked="f"/>
        </w:pict>
      </w:r>
    </w:p>
    <w:p w14:paraId="7D7AD384" w14:textId="5D92F24B"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7</w:t>
      </w:r>
      <w:r w:rsidR="00134E0B" w:rsidRPr="009058A3">
        <w:rPr>
          <w:rFonts w:ascii="Google Sans Text" w:eastAsia="Google Sans Text" w:hAnsi="Google Sans Text" w:cs="Google Sans Text"/>
          <w:b/>
          <w:color w:val="1B1C1D"/>
          <w:sz w:val="24"/>
          <w:szCs w:val="24"/>
        </w:rPr>
        <w:t xml:space="preserve"> Introduction : Objectif et Cadre de la Démonstration</w:t>
      </w:r>
    </w:p>
    <w:p w14:paraId="6C115E98"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Cette annexe a pour objectif de démontrer la cohérence interne du modèle de l'Ascenseur Quantifié d'Einstein (AQE) avec les résultats établis de la thermodynamique des trous noirs, et plus spécifiquement avec la forme de la première correction quantique à l'entropie.</w:t>
      </w:r>
    </w:p>
    <w:p w14:paraId="7166DFEE"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 xml:space="preserve">La démarche ne se veut pas une dérivation </w:t>
      </w:r>
      <w:r w:rsidRPr="009058A3">
        <w:rPr>
          <w:rFonts w:ascii="Google Sans Text" w:eastAsia="Google Sans Text" w:hAnsi="Google Sans Text" w:cs="Google Sans Text"/>
          <w:i/>
          <w:color w:val="1B1C1D"/>
          <w:sz w:val="24"/>
          <w:szCs w:val="24"/>
        </w:rPr>
        <w:t>ab initio</w:t>
      </w:r>
      <w:r w:rsidRPr="009058A3">
        <w:rPr>
          <w:rFonts w:ascii="Google Sans Text" w:eastAsia="Google Sans Text" w:hAnsi="Google Sans Text" w:cs="Google Sans Text"/>
          <w:color w:val="1B1C1D"/>
          <w:sz w:val="24"/>
          <w:szCs w:val="24"/>
        </w:rPr>
        <w:t xml:space="preserve"> de cette correction, mais un test de consistance rigoureux. Nous allons montrer que si l'on prend comme postulat d'entrée la loi de l'aire de Bekenstein-Hawking, le formalisme thermodynamique de l'AQE — qui unifie le principe d'équivalence, l'effet Unruh et le principe de Landauer — combiné à l'approche standard des fluctuations thermiques en mécanique statistique, reproduit correctement le coefficient</w:t>
      </w:r>
    </w:p>
    <w:p w14:paraId="12A9B143"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k=1/2 de la correction logarithmique.</w:t>
      </w:r>
      <w:r w:rsidRPr="009058A3">
        <w:rPr>
          <w:rFonts w:ascii="Google Sans Text" w:eastAsia="Google Sans Text" w:hAnsi="Google Sans Text" w:cs="Google Sans Text"/>
          <w:color w:val="575B5F"/>
          <w:sz w:val="24"/>
          <w:szCs w:val="24"/>
          <w:vertAlign w:val="superscript"/>
        </w:rPr>
        <w:t>2</w:t>
      </w:r>
    </w:p>
    <w:p w14:paraId="13021E4D"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Le succès de cette démonstration constitue un argument fort en faveur de la validité de l'AQE en tant que cadre physique unificateur.</w:t>
      </w:r>
    </w:p>
    <w:p w14:paraId="535123F9" w14:textId="5D481DA8"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8</w:t>
      </w:r>
      <w:r w:rsidR="00134E0B" w:rsidRPr="009058A3">
        <w:rPr>
          <w:rFonts w:ascii="Google Sans Text" w:eastAsia="Google Sans Text" w:hAnsi="Google Sans Text" w:cs="Google Sans Text"/>
          <w:b/>
          <w:color w:val="1B1C1D"/>
          <w:sz w:val="24"/>
          <w:szCs w:val="24"/>
        </w:rPr>
        <w:t xml:space="preserve"> Le Cadre de la Mécanique Statistique</w:t>
      </w:r>
    </w:p>
    <w:p w14:paraId="6ADDE38B"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Nous modélisons le système au point critique de l'effondrement gravitationnel via son ensemble canonique. La fonction de partition Z est donnée par l'intégrale sur l'énergie :</w:t>
      </w:r>
    </w:p>
    <w:p w14:paraId="5D6F2E66"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Z(β)=∫0∞</w:t>
      </w:r>
      <w:r w:rsidRPr="009058A3">
        <w:rPr>
          <w:rFonts w:ascii="Google Sans Text" w:eastAsia="Google Sans Text" w:hAnsi="Google Sans Text"/>
          <w:color w:val="1B1C1D"/>
          <w:sz w:val="24"/>
          <w:szCs w:val="24"/>
        </w:rPr>
        <w:t>​</w:t>
      </w:r>
      <w:r w:rsidRPr="009058A3">
        <w:rPr>
          <w:rFonts w:ascii="Google Sans Text" w:eastAsia="Google Sans Text" w:hAnsi="Google Sans Text" w:cs="Aptos"/>
          <w:color w:val="1B1C1D"/>
          <w:sz w:val="24"/>
          <w:szCs w:val="24"/>
        </w:rPr>
        <w:t>Ω</w:t>
      </w:r>
      <w:r w:rsidRPr="009058A3">
        <w:rPr>
          <w:rFonts w:ascii="Google Sans Text" w:eastAsia="Google Sans Text" w:hAnsi="Google Sans Text" w:cs="Google Sans Text"/>
          <w:color w:val="1B1C1D"/>
          <w:sz w:val="24"/>
          <w:szCs w:val="24"/>
        </w:rPr>
        <w:t>(E)e</w:t>
      </w:r>
      <w:r w:rsidRPr="009058A3">
        <w:rPr>
          <w:rFonts w:ascii="Google Sans Text" w:eastAsia="Google Sans Text" w:hAnsi="Google Sans Text" w:cs="Aptos"/>
          <w:color w:val="1B1C1D"/>
          <w:sz w:val="24"/>
          <w:szCs w:val="24"/>
        </w:rPr>
        <w:t>−β</w:t>
      </w:r>
      <w:r w:rsidRPr="009058A3">
        <w:rPr>
          <w:rFonts w:ascii="Google Sans Text" w:eastAsia="Google Sans Text" w:hAnsi="Google Sans Text" w:cs="Google Sans Text"/>
          <w:color w:val="1B1C1D"/>
          <w:sz w:val="24"/>
          <w:szCs w:val="24"/>
        </w:rPr>
        <w:t>EdE</w:t>
      </w:r>
    </w:p>
    <w:p w14:paraId="0D53F645"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où β = 1/(k_B T) et Ω(E) est la densité d'états. L'intégrale est évaluée par la méthode du point-selle, où le point-selle E_c correspond à l'énergie critique de l'effondrement. L'entropie S est dérivée de l'énergie libre F = -k_B T ln Z.</w:t>
      </w:r>
    </w:p>
    <w:p w14:paraId="691B682A"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Il est un résultat standard de la mécanique statistique que les fluctuations gaussiennes autour du point-selle introduisent une correction du premier ordre à l'entropie, liée à la capacité thermique C_V du système à ce point critique </w:t>
      </w:r>
      <w:r w:rsidRPr="009058A3">
        <w:rPr>
          <w:rFonts w:ascii="Google Sans Text" w:eastAsia="Google Sans Text" w:hAnsi="Google Sans Text" w:cs="Google Sans Text"/>
          <w:color w:val="575B5F"/>
          <w:sz w:val="24"/>
          <w:szCs w:val="24"/>
          <w:vertAlign w:val="superscript"/>
        </w:rPr>
        <w:t>4</w:t>
      </w:r>
      <w:r w:rsidRPr="009058A3">
        <w:rPr>
          <w:rFonts w:ascii="Google Sans Text" w:eastAsia="Google Sans Text" w:hAnsi="Google Sans Text" w:cs="Google Sans Text"/>
          <w:color w:val="1B1C1D"/>
          <w:sz w:val="24"/>
          <w:szCs w:val="24"/>
        </w:rPr>
        <w:t xml:space="preserve"> :</w:t>
      </w:r>
    </w:p>
    <w:p w14:paraId="5B780ED0"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\Delta S \;\approx\; -\frac{1}{2}\,k_B\,\ln\!\big(C_{V}\big) \quad (\text{Eq.~B.1})Le facteur 1/2 est une conséquence directe de l'approximation gaussienne des fluctuations. Notre objectif est donc de calculer C_V à partir des principes de l'AQE et de vérifier si cette formule mène au résultat attendu.</w:t>
      </w:r>
    </w:p>
    <w:p w14:paraId="27DD2F8F" w14:textId="393F566C"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9</w:t>
      </w:r>
      <w:r w:rsidR="00134E0B" w:rsidRPr="009058A3">
        <w:rPr>
          <w:rFonts w:ascii="Google Sans Text" w:eastAsia="Google Sans Text" w:hAnsi="Google Sans Text" w:cs="Google Sans Text"/>
          <w:b/>
          <w:color w:val="1B1C1D"/>
          <w:sz w:val="24"/>
          <w:szCs w:val="24"/>
        </w:rPr>
        <w:t xml:space="preserve"> Postulat d'Entrée : La Loi de l'Aire de Bekenstein-Hawking</w:t>
      </w:r>
    </w:p>
    <w:p w14:paraId="6B764D4C"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Pour calculer la capacité thermique, nous devons relier l'énergie du système à sa géométrie. Nous posons comme axiome de départ que le nombre de micro-états accessibles au point critique de l'effondrement est gouverné par la loi de Bekenstein-Hawking </w:t>
      </w:r>
      <w:r w:rsidRPr="009058A3">
        <w:rPr>
          <w:rFonts w:ascii="Google Sans Text" w:eastAsia="Google Sans Text" w:hAnsi="Google Sans Text" w:cs="Google Sans Text"/>
          <w:color w:val="575B5F"/>
          <w:sz w:val="24"/>
          <w:szCs w:val="24"/>
          <w:vertAlign w:val="superscript"/>
        </w:rPr>
        <w:t>6</w:t>
      </w:r>
      <w:r w:rsidRPr="009058A3">
        <w:rPr>
          <w:rFonts w:ascii="Google Sans Text" w:eastAsia="Google Sans Text" w:hAnsi="Google Sans Text" w:cs="Google Sans Text"/>
          <w:color w:val="1B1C1D"/>
          <w:sz w:val="24"/>
          <w:szCs w:val="24"/>
        </w:rPr>
        <w:t xml:space="preserve"> :</w:t>
      </w:r>
    </w:p>
    <w:p w14:paraId="34806056" w14:textId="74299590"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$S_{BH} = \dfrac{k_B\,A}{4\,l_P^2} \quad (\text{Eq.~B.2})$</w:t>
      </w:r>
      <w:r w:rsidR="00392809" w:rsidRPr="009058A3">
        <w:rPr>
          <w:rFonts w:ascii="Google Sans Text" w:eastAsia="Google Sans Text" w:hAnsi="Google Sans Text" w:cs="Google Sans Text"/>
          <w:color w:val="1B1C1D"/>
          <w:sz w:val="24"/>
          <w:szCs w:val="24"/>
        </w:rPr>
        <w:br/>
      </w:r>
      <w:r w:rsidR="00392809" w:rsidRPr="009058A3">
        <w:rPr>
          <w:rFonts w:ascii="Google Sans Text" w:eastAsia="Google Sans Text" w:hAnsi="Google Sans Text" w:cs="Google Sans Text"/>
          <w:color w:val="1B1C1D"/>
          <w:sz w:val="24"/>
          <w:szCs w:val="24"/>
        </w:rPr>
        <w:lastRenderedPageBreak/>
        <w:br/>
        <w:t>«</w:t>
      </w:r>
      <w:r w:rsidR="00392809" w:rsidRPr="009058A3">
        <w:rPr>
          <w:rFonts w:eastAsia="Google Sans Text"/>
          <w:color w:val="1B1C1D"/>
          <w:sz w:val="24"/>
          <w:szCs w:val="24"/>
        </w:rPr>
        <w:t> </w:t>
      </w:r>
      <w:r w:rsidR="00392809" w:rsidRPr="009058A3">
        <w:rPr>
          <w:rFonts w:ascii="Google Sans Text" w:eastAsia="Google Sans Text" w:hAnsi="Google Sans Text" w:cs="Google Sans Text"/>
          <w:color w:val="1B1C1D"/>
          <w:sz w:val="24"/>
          <w:szCs w:val="24"/>
        </w:rPr>
        <w:t>Cette forme co</w:t>
      </w:r>
      <w:r w:rsidR="00392809" w:rsidRPr="009058A3">
        <w:rPr>
          <w:rFonts w:ascii="Google Sans Text" w:eastAsia="Google Sans Text" w:hAnsi="Google Sans Text" w:cs="___WRD_EMBED_SUB_46"/>
          <w:color w:val="1B1C1D"/>
          <w:sz w:val="24"/>
          <w:szCs w:val="24"/>
        </w:rPr>
        <w:t>ï</w:t>
      </w:r>
      <w:r w:rsidR="00392809" w:rsidRPr="009058A3">
        <w:rPr>
          <w:rFonts w:ascii="Google Sans Text" w:eastAsia="Google Sans Text" w:hAnsi="Google Sans Text" w:cs="Google Sans Text"/>
          <w:color w:val="1B1C1D"/>
          <w:sz w:val="24"/>
          <w:szCs w:val="24"/>
        </w:rPr>
        <w:t>ncide avec l</w:t>
      </w:r>
      <w:r w:rsidR="00392809" w:rsidRPr="009058A3">
        <w:rPr>
          <w:rFonts w:ascii="Google Sans Text" w:eastAsia="Google Sans Text" w:hAnsi="Google Sans Text" w:cs="___WRD_EMBED_SUB_46"/>
          <w:color w:val="1B1C1D"/>
          <w:sz w:val="24"/>
          <w:szCs w:val="24"/>
        </w:rPr>
        <w:t>’é</w:t>
      </w:r>
      <w:r w:rsidR="00392809" w:rsidRPr="009058A3">
        <w:rPr>
          <w:rFonts w:ascii="Google Sans Text" w:eastAsia="Google Sans Text" w:hAnsi="Google Sans Text" w:cs="Google Sans Text"/>
          <w:color w:val="1B1C1D"/>
          <w:sz w:val="24"/>
          <w:szCs w:val="24"/>
        </w:rPr>
        <w:t>nonc</w:t>
      </w:r>
      <w:r w:rsidR="00392809" w:rsidRPr="009058A3">
        <w:rPr>
          <w:rFonts w:ascii="Google Sans Text" w:eastAsia="Google Sans Text" w:hAnsi="Google Sans Text" w:cs="___WRD_EMBED_SUB_46"/>
          <w:color w:val="1B1C1D"/>
          <w:sz w:val="24"/>
          <w:szCs w:val="24"/>
        </w:rPr>
        <w:t>é</w:t>
      </w:r>
      <w:r w:rsidR="00392809" w:rsidRPr="009058A3">
        <w:rPr>
          <w:rFonts w:ascii="Google Sans Text" w:eastAsia="Google Sans Text" w:hAnsi="Google Sans Text" w:cs="Google Sans Text"/>
          <w:color w:val="1B1C1D"/>
          <w:sz w:val="24"/>
          <w:szCs w:val="24"/>
        </w:rPr>
        <w:t xml:space="preserve"> principal, cf. SBH=kBA/(4ℓP2)S_{\rm BH}=k_BA/(4\ell_P^2)SBH​=kB​A/(4ℓP2​) en §</w:t>
      </w:r>
      <w:r w:rsidR="00392809" w:rsidRPr="009058A3">
        <w:rPr>
          <w:rFonts w:eastAsia="Google Sans Text"/>
          <w:color w:val="1B1C1D"/>
          <w:sz w:val="24"/>
          <w:szCs w:val="24"/>
        </w:rPr>
        <w:t> </w:t>
      </w:r>
      <w:r w:rsidR="00392809" w:rsidRPr="009058A3">
        <w:rPr>
          <w:rFonts w:ascii="Google Sans Text" w:eastAsia="Google Sans Text" w:hAnsi="Google Sans Text" w:cs="Google Sans Text"/>
          <w:color w:val="1B1C1D"/>
          <w:sz w:val="24"/>
          <w:szCs w:val="24"/>
        </w:rPr>
        <w:t>2.</w:t>
      </w:r>
      <w:r w:rsidR="00392809" w:rsidRPr="009058A3">
        <w:rPr>
          <w:rFonts w:eastAsia="Google Sans Text"/>
          <w:color w:val="1B1C1D"/>
          <w:sz w:val="24"/>
          <w:szCs w:val="24"/>
        </w:rPr>
        <w:t> </w:t>
      </w:r>
      <w:r w:rsidR="00392809" w:rsidRPr="009058A3">
        <w:rPr>
          <w:rFonts w:ascii="Google Sans Text" w:eastAsia="Google Sans Text" w:hAnsi="Google Sans Text" w:cs="___WRD_EMBED_SUB_46"/>
          <w:color w:val="1B1C1D"/>
          <w:sz w:val="24"/>
          <w:szCs w:val="24"/>
        </w:rPr>
        <w:t>»</w:t>
      </w:r>
      <w:r w:rsidR="00392809" w:rsidRPr="009058A3">
        <w:rPr>
          <w:rFonts w:ascii="Google Sans Text" w:eastAsia="Google Sans Text" w:hAnsi="Google Sans Text" w:cs="Google Sans Text"/>
          <w:color w:val="1B1C1D"/>
          <w:sz w:val="24"/>
          <w:szCs w:val="24"/>
        </w:rPr>
        <w:br/>
      </w:r>
    </w:p>
    <w:p w14:paraId="3BFC834E"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identifiant cette entropie à l'entropie de Shannon pour N bits (S = N k_B ln2), nous obtenons le nombre maximal de bits que le système peut contenir en fonction de son aire A :</w:t>
      </w:r>
    </w:p>
    <w:p w14:paraId="61462CCA"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$N_{\max} = \dfrac{A}{4\,l_P^2\,\ln 2} \quad (\text{Eq.~B.3})$</w:t>
      </w:r>
    </w:p>
    <w:p w14:paraId="5C3118F9"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Cette équation n'est pas une prédiction du modèle, mais son postulat de départ pour ce calcul de cohérence.</w:t>
      </w:r>
    </w:p>
    <w:p w14:paraId="6297EF42" w14:textId="462E5B0A"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 xml:space="preserve">10 </w:t>
      </w:r>
      <w:r w:rsidR="00134E0B" w:rsidRPr="009058A3">
        <w:rPr>
          <w:rFonts w:ascii="Google Sans Text" w:eastAsia="Google Sans Text" w:hAnsi="Google Sans Text" w:cs="Google Sans Text"/>
          <w:b/>
          <w:color w:val="1B1C1D"/>
          <w:sz w:val="24"/>
          <w:szCs w:val="24"/>
        </w:rPr>
        <w:t>Calcul de la Capacité Thermique C_V à partir des Principes de l'AQE</w:t>
      </w:r>
    </w:p>
    <w:p w14:paraId="79C298E8" w14:textId="77777777" w:rsidR="00134E0B" w:rsidRPr="009058A3" w:rsidRDefault="00134E0B" w:rsidP="00134E0B">
      <w:pPr>
        <w:pBdr>
          <w:top w:val="nil"/>
          <w:left w:val="nil"/>
          <w:bottom w:val="nil"/>
          <w:right w:val="nil"/>
          <w:between w:val="nil"/>
        </w:pBdr>
        <w:spacing w:after="120" w:line="275" w:lineRule="auto"/>
        <w:rPr>
          <w:rFonts w:ascii="Google Sans Text" w:eastAsia="Google Sans Text" w:hAnsi="Google Sans Text" w:cs="Google Sans Text"/>
          <w:color w:val="575B5F"/>
          <w:sz w:val="24"/>
          <w:szCs w:val="24"/>
          <w:vertAlign w:val="superscript"/>
        </w:rPr>
      </w:pPr>
      <w:r w:rsidRPr="009058A3">
        <w:rPr>
          <w:rFonts w:ascii="Google Sans Text" w:eastAsia="Google Sans Text" w:hAnsi="Google Sans Text" w:cs="Google Sans Text"/>
          <w:color w:val="1B1C1D"/>
          <w:sz w:val="24"/>
          <w:szCs w:val="24"/>
        </w:rPr>
        <w:t>La tâche consiste maintenant à calculer C_V = dE/dT en utilisant les relations physiques propres au modèle AQE.</w:t>
      </w:r>
      <w:r w:rsidRPr="009058A3">
        <w:rPr>
          <w:rFonts w:ascii="Google Sans Text" w:eastAsia="Google Sans Text" w:hAnsi="Google Sans Text" w:cs="Google Sans Text"/>
          <w:color w:val="575B5F"/>
          <w:sz w:val="24"/>
          <w:szCs w:val="24"/>
          <w:vertAlign w:val="superscript"/>
        </w:rPr>
        <w:t>1</w:t>
      </w:r>
    </w:p>
    <w:p w14:paraId="3970E5A2" w14:textId="77777777" w:rsidR="00134E0B" w:rsidRPr="009058A3" w:rsidRDefault="00134E0B" w:rsidP="00134E0B">
      <w:pPr>
        <w:numPr>
          <w:ilvl w:val="0"/>
          <w:numId w:val="15"/>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Énergie et Température dans l'AQE :</w:t>
      </w:r>
      <w:r w:rsidRPr="009058A3">
        <w:rPr>
          <w:rFonts w:ascii="Google Sans Text" w:eastAsia="Google Sans Text" w:hAnsi="Google Sans Text" w:cs="Google Sans Text"/>
          <w:color w:val="1B1C1D"/>
          <w:sz w:val="24"/>
          <w:szCs w:val="24"/>
        </w:rPr>
        <w:t xml:space="preserve"> L'énergie totale du système est E = N \cdot E_{bit}. Le coût énergétique par bit E_bit et la température T sont donnés par l'effet Unruh, liés à l'accélération a :</w:t>
      </w:r>
    </w:p>
    <w:p w14:paraId="3B263A50" w14:textId="77777777" w:rsidR="00134E0B" w:rsidRPr="009058A3" w:rsidRDefault="00134E0B" w:rsidP="00134E0B">
      <w:pPr>
        <w:numPr>
          <w:ilvl w:val="1"/>
          <w:numId w:val="16"/>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olor w:val="1B1C1D"/>
          <w:sz w:val="24"/>
          <w:szCs w:val="24"/>
        </w:rPr>
        <w:t>$T = T_U = \dfrac{\hbar\, a}{2\pi\, c\, k_B}$</w:t>
      </w:r>
    </w:p>
    <w:p w14:paraId="4497ED53" w14:textId="77777777" w:rsidR="00134E0B" w:rsidRPr="009058A3" w:rsidRDefault="00134E0B" w:rsidP="00134E0B">
      <w:pPr>
        <w:numPr>
          <w:ilvl w:val="1"/>
          <w:numId w:val="16"/>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olor w:val="1B1C1D"/>
          <w:sz w:val="24"/>
          <w:szCs w:val="24"/>
        </w:rPr>
        <w:t>$E_{bit} = k_B\,T_U\,\ln 2 \;=\; \dfrac{\hbar\, a\, \ln 2}{2\pi\, c}$</w:t>
      </w:r>
    </w:p>
    <w:p w14:paraId="13784FF6" w14:textId="77777777" w:rsidR="00134E0B" w:rsidRPr="009058A3" w:rsidRDefault="00134E0B" w:rsidP="00134E0B">
      <w:pPr>
        <w:numPr>
          <w:ilvl w:val="0"/>
          <w:numId w:val="15"/>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b/>
          <w:color w:val="1B1C1D"/>
          <w:sz w:val="24"/>
          <w:szCs w:val="24"/>
        </w:rPr>
        <w:t>Expression de l'Énergie en fonction de la Température :</w:t>
      </w:r>
      <w:r w:rsidRPr="009058A3">
        <w:rPr>
          <w:rFonts w:ascii="Google Sans Text" w:eastAsia="Google Sans Text" w:hAnsi="Google Sans Text" w:cs="Google Sans Text"/>
          <w:color w:val="1B1C1D"/>
          <w:sz w:val="24"/>
          <w:szCs w:val="24"/>
        </w:rPr>
        <w:t xml:space="preserve"> Nous pouvons maintenant exprimer l'énergie totale E en fonction de la température T au point critique, en utilisant le postulat pour N_max (Eq. B.3).</w:t>
      </w:r>
    </w:p>
    <w:p w14:paraId="09A05CCC" w14:textId="77777777" w:rsidR="00134E0B" w:rsidRPr="009058A3" w:rsidRDefault="00134E0B" w:rsidP="00134E0B">
      <w:pPr>
        <w:numPr>
          <w:ilvl w:val="1"/>
          <w:numId w:val="17"/>
        </w:numPr>
        <w:pBdr>
          <w:top w:val="nil"/>
          <w:left w:val="nil"/>
          <w:bottom w:val="nil"/>
          <w:right w:val="nil"/>
          <w:between w:val="nil"/>
        </w:pBdr>
        <w:spacing w:line="275" w:lineRule="auto"/>
        <w:rPr>
          <w:rFonts w:ascii="Google Sans Text" w:hAnsi="Google Sans Text"/>
          <w:sz w:val="24"/>
          <w:szCs w:val="24"/>
        </w:rPr>
      </w:pPr>
      <w:r w:rsidRPr="009058A3">
        <w:rPr>
          <w:rFonts w:ascii="Google Sans Text" w:hAnsi="Google Sans Text"/>
          <w:sz w:val="24"/>
          <w:szCs w:val="24"/>
        </w:rPr>
        <w:t>D'abord, substituons $N_{\max}$ dans l'équation de l'énergie :</w:t>
      </w:r>
      <w:r w:rsidRPr="009058A3">
        <w:rPr>
          <w:rFonts w:ascii="Google Sans Text" w:hAnsi="Google Sans Text"/>
          <w:sz w:val="24"/>
          <w:szCs w:val="24"/>
        </w:rPr>
        <w:br/>
        <w:t>$E \;=\; N_{\max}\,E_{bit} \;=\; \Big(\dfrac{A}{4\,l_P^2\,\ln 2}\Big)\!\Big(\dfrac{\hbar\, a\, \ln 2}{2\pi\, c}\Big) \;=\; \dfrac{A\,\hbar\, a}{8\pi\, c\, l_P^2}$</w:t>
      </w:r>
    </w:p>
    <w:p w14:paraId="6814BC13" w14:textId="77777777" w:rsidR="00134E0B" w:rsidRPr="009058A3" w:rsidRDefault="00134E0B" w:rsidP="00134E0B">
      <w:pPr>
        <w:numPr>
          <w:ilvl w:val="1"/>
          <w:numId w:val="17"/>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color w:val="1B1C1D"/>
          <w:sz w:val="24"/>
          <w:szCs w:val="24"/>
        </w:rPr>
        <w:t xml:space="preserve">Ensuite, exprimons l'accélération $a$ en fonction de la température $T$ : </w:t>
      </w:r>
      <w:r w:rsidRPr="009058A3">
        <w:rPr>
          <w:rFonts w:ascii="Google Sans Text" w:eastAsia="Google Sans Text" w:hAnsi="Google Sans Text" w:cs="Google Sans Text"/>
          <w:color w:val="1B1C1D"/>
          <w:sz w:val="24"/>
          <w:szCs w:val="24"/>
        </w:rPr>
        <w:br/>
        <w:t>$a \;=\; \dfrac{2\pi\, c\, k_B}{\hbar}\, T$</w:t>
      </w:r>
    </w:p>
    <w:p w14:paraId="7E80070E" w14:textId="77777777" w:rsidR="00134E0B" w:rsidRPr="009058A3" w:rsidRDefault="00134E0B" w:rsidP="00134E0B">
      <w:pPr>
        <w:numPr>
          <w:ilvl w:val="1"/>
          <w:numId w:val="17"/>
        </w:numPr>
        <w:pBdr>
          <w:top w:val="nil"/>
          <w:left w:val="nil"/>
          <w:bottom w:val="nil"/>
          <w:right w:val="nil"/>
          <w:between w:val="nil"/>
        </w:pBdr>
        <w:spacing w:line="275" w:lineRule="auto"/>
        <w:rPr>
          <w:rFonts w:ascii="Google Sans Text" w:hAnsi="Google Sans Text"/>
          <w:sz w:val="24"/>
          <w:szCs w:val="24"/>
        </w:rPr>
      </w:pPr>
      <w:r w:rsidRPr="009058A3">
        <w:rPr>
          <w:rFonts w:ascii="Google Sans Text" w:eastAsia="Google Sans Text" w:hAnsi="Google Sans Text" w:cs="Google Sans Text"/>
          <w:color w:val="1B1C1D"/>
          <w:sz w:val="24"/>
          <w:szCs w:val="24"/>
        </w:rPr>
        <w:t>Substituons a dans l'équation de l'énergie :</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$E \;=\; \dfrac{A\,k_B\,T}{4\,l_P^2} \quad (\text{Eq.~B.4})$</w:t>
      </w:r>
    </w:p>
    <w:p w14:paraId="109BA258" w14:textId="77777777" w:rsidR="00134E0B" w:rsidRPr="009058A3" w:rsidRDefault="00134E0B" w:rsidP="00134E0B">
      <w:pPr>
        <w:numPr>
          <w:ilvl w:val="0"/>
          <w:numId w:val="15"/>
        </w:numPr>
        <w:pBdr>
          <w:top w:val="nil"/>
          <w:left w:val="nil"/>
          <w:bottom w:val="nil"/>
          <w:right w:val="nil"/>
          <w:between w:val="nil"/>
        </w:pBdr>
        <w:spacing w:after="120" w:line="275" w:lineRule="auto"/>
        <w:rPr>
          <w:rFonts w:ascii="Google Sans Text" w:hAnsi="Google Sans Text"/>
          <w:sz w:val="24"/>
          <w:szCs w:val="24"/>
        </w:rPr>
      </w:pPr>
      <w:r w:rsidRPr="009058A3">
        <w:rPr>
          <w:rFonts w:ascii="Google Sans Text" w:eastAsia="Google Sans Text" w:hAnsi="Google Sans Text" w:cs="Google Sans Text"/>
          <w:color w:val="1B1C1D"/>
          <w:sz w:val="24"/>
          <w:szCs w:val="24"/>
        </w:rPr>
        <w:t>Calcul de la Capacité Thermique : La capacité thermique est la dérivée de l'énergie par rapport à la température. À partir de l'équation B.4, le calcul est direct :</w:t>
      </w:r>
      <w:r w:rsidRPr="009058A3">
        <w:rPr>
          <w:rFonts w:ascii="Google Sans Text" w:hAnsi="Google Sans Text"/>
          <w:color w:val="000000"/>
          <w:sz w:val="24"/>
          <w:szCs w:val="24"/>
        </w:rPr>
        <w:br/>
      </w:r>
      <w:r w:rsidRPr="009058A3">
        <w:rPr>
          <w:rFonts w:ascii="Google Sans Text" w:eastAsia="Google Sans Text" w:hAnsi="Google Sans Text" w:cs="Google Sans Text"/>
          <w:color w:val="1B1C1D"/>
          <w:sz w:val="24"/>
          <w:szCs w:val="24"/>
        </w:rPr>
        <w:t>$C_V \;=\; \dfrac{A\,k_B}{4\,l_P^2} \quad (\text{Eq.~B.5})$</w:t>
      </w:r>
    </w:p>
    <w:p w14:paraId="3DAFBFFE" w14:textId="77777777" w:rsidR="00134E0B" w:rsidRPr="009058A3" w:rsidRDefault="00134E0B" w:rsidP="00134E0B">
      <w:pPr>
        <w:pBdr>
          <w:top w:val="nil"/>
          <w:left w:val="nil"/>
          <w:bottom w:val="nil"/>
          <w:right w:val="nil"/>
          <w:between w:val="nil"/>
        </w:pBdr>
        <w:spacing w:before="240"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lastRenderedPageBreak/>
        <w:t>Ce résultat est une conséquence rigoureuse des principes de l'AQE, conditionnée par le postulat initial de la loi de l'aire.</w:t>
      </w:r>
    </w:p>
    <w:p w14:paraId="1A654BB1" w14:textId="7CB949DE"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11</w:t>
      </w:r>
      <w:r w:rsidR="00134E0B" w:rsidRPr="009058A3">
        <w:rPr>
          <w:rFonts w:ascii="Google Sans Text" w:eastAsia="Google Sans Text" w:hAnsi="Google Sans Text" w:cs="Google Sans Text"/>
          <w:b/>
          <w:color w:val="1B1C1D"/>
          <w:sz w:val="24"/>
          <w:szCs w:val="24"/>
        </w:rPr>
        <w:t xml:space="preserve"> Résultat : Cohérence avec la Correction Logarithmique</w:t>
      </w:r>
    </w:p>
    <w:p w14:paraId="3B1585AA"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Nous pouvons maintenant insérer notre résultat pour C_V (Eq. B.5) dans la formule standard de la correction entropique due aux fluctuations (Eq. B.1) :</w:t>
      </w:r>
    </w:p>
    <w:p w14:paraId="43B5A5B9"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$\Delta S \;\approx\; -\dfrac{1}{2}\,k_B\,\ln\!\Big(\dfrac{A\,k_B}{4\,l_P^2}\Big)$</w:t>
      </w:r>
    </w:p>
    <w:p w14:paraId="2AA37151"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séparant les termes, nous obtenons :</w:t>
      </w:r>
    </w:p>
    <w:p w14:paraId="5B3EF25D"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$\Delta S \;\approx\; -\dfrac{1}{2}\,k_B\Big[\ln\!\Big(\dfrac{A}{l_P^2}\Big)\;-\;\ln 4\;+\;\ln k_B\Big]$</w:t>
      </w:r>
    </w:p>
    <w:p w14:paraId="18E4ADA2"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Le second terme est une constante indépendante de l'aire, qui peut être absorbée dans la redéfinition des constantes de la théorie. La correction pertinente dépendant de la géométrie est donc :</w:t>
      </w:r>
    </w:p>
    <w:p w14:paraId="17E5DD25"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$\Delta S_{\log} \;=\; -\dfrac{1}{2}\,k_B\,\ln\!\Big(\dfrac{A}{l_P^2}\Big)$</w:t>
      </w:r>
    </w:p>
    <w:p w14:paraId="68619E3E"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exprimant l'entropie en unités naturelles (en divisant par k_B), la correction logarithmique à la loi de l'aire est S_{\log} \;=\; -\frac{1}{2}\,\ln\!\Big(\frac{A}{l_P^{2}}\Big). Le coefficient k est donc bien 1/2.</w:t>
      </w:r>
      <w:r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br/>
        <w:t>\paragraph{Hypothèse (H\_corr).}</w:t>
      </w:r>
    </w:p>
    <w:p w14:paraId="0400AD82"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Dans ce qui suit, nous utiliserons la correction logarithmique obtenue ci-dessus</w:t>
      </w:r>
    </w:p>
    <w:p w14:paraId="290D06CE"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comme \emph{borne supérieure} sur l'entropie maximale physiquement permise,</w:t>
      </w:r>
    </w:p>
    <w:p w14:paraId="73CAD79D"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et donc sur la capacité $C_{\tau}$ du canal effectif.</w:t>
      </w:r>
    </w:p>
    <w:p w14:paraId="47BE8684"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Autrement dit, la capacité ne peut excéder la borne entropique corrigée par les</w:t>
      </w:r>
    </w:p>
    <w:p w14:paraId="733B3FC1"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fluctuations gaussiennes au point critique.</w:t>
      </w:r>
    </w:p>
    <w:p w14:paraId="4309CC18"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Cette hypothèse encode la non-saturation stricte des chaînes d'inégalités thermodynamiques</w:t>
      </w:r>
    </w:p>
    <w:p w14:paraId="69E78DA8" w14:textId="77777777" w:rsidR="00134E0B" w:rsidRPr="009058A3" w:rsidRDefault="00134E0B" w:rsidP="00134E0B">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et garantit une \emph{résilience minimale non nulle}.</w:t>
      </w:r>
    </w:p>
    <w:p w14:paraId="7332572C" w14:textId="222E41CB" w:rsidR="00134E0B" w:rsidRPr="009058A3" w:rsidRDefault="0066307D" w:rsidP="00134E0B">
      <w:pPr>
        <w:pBdr>
          <w:top w:val="nil"/>
          <w:left w:val="nil"/>
          <w:bottom w:val="nil"/>
          <w:right w:val="nil"/>
          <w:between w:val="nil"/>
        </w:pBdr>
        <w:spacing w:after="240" w:line="275" w:lineRule="auto"/>
        <w:rPr>
          <w:rFonts w:ascii="Google Sans Text" w:eastAsia="Google Sans Text" w:hAnsi="Google Sans Text" w:cs="Google Sans Text"/>
          <w:b/>
          <w:color w:val="1B1C1D"/>
          <w:sz w:val="24"/>
          <w:szCs w:val="24"/>
        </w:rPr>
      </w:pPr>
      <w:r w:rsidRPr="009058A3">
        <w:rPr>
          <w:rFonts w:ascii="Google Sans Text" w:eastAsia="Google Sans Text" w:hAnsi="Google Sans Text" w:cs="Google Sans Text"/>
          <w:b/>
          <w:color w:val="1B1C1D"/>
          <w:sz w:val="24"/>
          <w:szCs w:val="24"/>
        </w:rPr>
        <w:lastRenderedPageBreak/>
        <w:t>C</w:t>
      </w:r>
      <w:r w:rsidR="00134E0B" w:rsidRPr="009058A3">
        <w:rPr>
          <w:rFonts w:ascii="Google Sans Text" w:eastAsia="Google Sans Text" w:hAnsi="Google Sans Text" w:cs="Google Sans Text"/>
          <w:b/>
          <w:color w:val="1B1C1D"/>
          <w:sz w:val="24"/>
          <w:szCs w:val="24"/>
        </w:rPr>
        <w:t>.</w:t>
      </w:r>
      <w:r w:rsidRPr="009058A3">
        <w:rPr>
          <w:rFonts w:ascii="Google Sans Text" w:eastAsia="Google Sans Text" w:hAnsi="Google Sans Text" w:cs="Google Sans Text"/>
          <w:b/>
          <w:color w:val="1B1C1D"/>
          <w:sz w:val="24"/>
          <w:szCs w:val="24"/>
        </w:rPr>
        <w:t>12</w:t>
      </w:r>
      <w:r w:rsidR="00134E0B" w:rsidRPr="009058A3">
        <w:rPr>
          <w:rFonts w:ascii="Google Sans Text" w:eastAsia="Google Sans Text" w:hAnsi="Google Sans Text" w:cs="Google Sans Text"/>
          <w:b/>
          <w:color w:val="1B1C1D"/>
          <w:sz w:val="24"/>
          <w:szCs w:val="24"/>
        </w:rPr>
        <w:t xml:space="preserve"> Conclusion de l'Annexe</w:t>
      </w:r>
    </w:p>
    <w:p w14:paraId="20E1FD92" w14:textId="18D7E9D4" w:rsidR="00D94F3D" w:rsidRPr="009058A3" w:rsidRDefault="00134E0B"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 xml:space="preserve">Ce calcul démontre que le modèle de l'Ascenseur Quantifié d'Einstein est mathématiquement et physiquement cohérent avec la structure attendue des corrections quantiques à l'entropie des trous noirs. Le fait que cette synthèse novatrice de principes physiques (Équivalence, Unruh, Landauer) reproduise, via un calcul de mécanique statistique standard, le coefficient k=1/2 connu d'autres théories </w:t>
      </w:r>
      <w:r w:rsidRPr="009058A3">
        <w:rPr>
          <w:rFonts w:ascii="Google Sans Text" w:eastAsia="Google Sans Text" w:hAnsi="Google Sans Text" w:cs="Google Sans Text"/>
          <w:color w:val="575B5F"/>
          <w:sz w:val="24"/>
          <w:szCs w:val="24"/>
          <w:vertAlign w:val="superscript"/>
        </w:rPr>
        <w:t>2</w:t>
      </w:r>
      <w:r w:rsidRPr="009058A3">
        <w:rPr>
          <w:rFonts w:ascii="Google Sans Text" w:eastAsia="Google Sans Text" w:hAnsi="Google Sans Text" w:cs="Google Sans Text"/>
          <w:color w:val="1B1C1D"/>
          <w:sz w:val="24"/>
          <w:szCs w:val="24"/>
        </w:rPr>
        <w:t xml:space="preserve"> est un résultat non trivial. Il ne s'agit pas d'une prédiction, mais d'une puissante vérification de la consistance interne du cadre théorique de l'ISI, renforçant sa crédibilité en tant que modèle unificateur des limites de l'information et de la gravitation.</w:t>
      </w:r>
      <w:r w:rsidR="00D94F3D" w:rsidRPr="009058A3">
        <w:rPr>
          <w:rFonts w:ascii="Google Sans Text" w:eastAsia="Google Sans Text" w:hAnsi="Google Sans Text" w:cs="Google Sans Text"/>
          <w:color w:val="1B1C1D"/>
          <w:sz w:val="24"/>
          <w:szCs w:val="24"/>
        </w:rPr>
        <w:br/>
      </w:r>
      <w:r w:rsidR="00B911E1" w:rsidRPr="009058A3">
        <w:rPr>
          <w:rFonts w:ascii="Google Sans Text" w:eastAsia="Google Sans Text" w:hAnsi="Google Sans Text" w:cs="Google Sans Text"/>
          <w:color w:val="1B1C1D"/>
          <w:sz w:val="24"/>
          <w:szCs w:val="24"/>
        </w:rPr>
        <w:br/>
      </w:r>
      <w:r w:rsidR="00D94F3D" w:rsidRPr="009058A3">
        <w:rPr>
          <w:rFonts w:ascii="Google Sans Text" w:eastAsia="Google Sans Text" w:hAnsi="Google Sans Text" w:cs="Google Sans Text"/>
          <w:color w:val="1B1C1D"/>
          <w:sz w:val="24"/>
          <w:szCs w:val="24"/>
        </w:rPr>
        <w:br/>
      </w:r>
      <w:r w:rsidR="00D94F3D" w:rsidRPr="009058A3">
        <w:rPr>
          <w:rFonts w:ascii="Google Sans Text" w:eastAsia="Google Sans Text" w:hAnsi="Google Sans Text" w:cs="Google Sans Text"/>
          <w:b/>
          <w:color w:val="1B1C1D"/>
          <w:sz w:val="24"/>
          <w:szCs w:val="24"/>
        </w:rPr>
        <w:t>Annexe E — Preuves détaillées des Théorèmes 3 et 4</w:t>
      </w:r>
    </w:p>
    <w:p w14:paraId="0E6DF89A" w14:textId="2826D476" w:rsidR="00D94F3D" w:rsidRPr="009058A3" w:rsidRDefault="00D94F3D"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Préliminaires. — Notations et lemmes comme en Annexe A : (i) métrique discrète</w:t>
      </w:r>
      <w:r w:rsidR="00B911E1" w:rsidRPr="009058A3">
        <w:rPr>
          <w:rFonts w:ascii="Google Sans Text" w:eastAsia="Google Sans Text" w:hAnsi="Google Sans Text" w:cs="Google Sans Text"/>
          <w:color w:val="1B1C1D"/>
          <w:sz w:val="24"/>
          <w:szCs w:val="24"/>
        </w:rPr>
        <w:t xml:space="preserv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W1 = ½·TV (Lemme 1) ; (ii) Lipschitz L1 de la softmax (Lemme 2) ; (iii) ICA par</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ligne (Lemme 3) ; (iv) Th. 1–2 fournissent κmin≥κ0&gt;0 (global/local).</w:t>
      </w:r>
    </w:p>
    <w:p w14:paraId="1D95F149" w14:textId="4B4D04B7" w:rsidR="00D94F3D" w:rsidRPr="009058A3" w:rsidRDefault="00D94F3D"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Preuve du Th. 3 (contrattion W1). — Par définition κ(x,y)=1 – W1(Px,Py)/d(x,y).</w:t>
      </w:r>
      <w:r w:rsidR="00B911E1" w:rsidRPr="009058A3">
        <w:rPr>
          <w:rFonts w:ascii="Google Sans Text" w:eastAsia="Google Sans Text" w:hAnsi="Google Sans Text" w:cs="Google Sans Text"/>
          <w:color w:val="1B1C1D"/>
          <w:sz w:val="24"/>
          <w:szCs w:val="24"/>
        </w:rPr>
        <w:br/>
      </w:r>
      <w:r w:rsidRPr="009058A3">
        <w:rPr>
          <w:rFonts w:ascii="Google Sans Text" w:eastAsia="Google Sans Text" w:hAnsi="Google Sans Text" w:cs="Google Sans Text"/>
          <w:color w:val="1B1C1D"/>
          <w:sz w:val="24"/>
          <w:szCs w:val="24"/>
        </w:rPr>
        <w:t xml:space="preserve">Avec κmin≥κ0&gt;0, on a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x</w:t>
      </w:r>
      <w:r w:rsidRPr="009058A3">
        <w:rPr>
          <w:rFonts w:ascii="Google Sans Text" w:eastAsia="Google Sans Text" w:hAnsi="Google Sans Text"/>
          <w:color w:val="1B1C1D"/>
          <w:sz w:val="24"/>
          <w:szCs w:val="24"/>
        </w:rPr>
        <w:t>≠</w:t>
      </w:r>
      <w:r w:rsidRPr="009058A3">
        <w:rPr>
          <w:rFonts w:ascii="Google Sans Text" w:eastAsia="Google Sans Text" w:hAnsi="Google Sans Text" w:cs="Google Sans Text"/>
          <w:color w:val="1B1C1D"/>
          <w:sz w:val="24"/>
          <w:szCs w:val="24"/>
        </w:rPr>
        <w:t xml:space="preserve">y : W1(Px,Py) </w:t>
      </w:r>
      <w:r w:rsidRPr="009058A3">
        <w:rPr>
          <w:rFonts w:ascii="Google Sans Text" w:eastAsia="Google Sans Text" w:hAnsi="Google Sans Text"/>
          <w:color w:val="1B1C1D"/>
          <w:sz w:val="24"/>
          <w:szCs w:val="24"/>
        </w:rPr>
        <w:t>≤</w:t>
      </w:r>
      <w:r w:rsidRPr="009058A3">
        <w:rPr>
          <w:rFonts w:ascii="Google Sans Text" w:eastAsia="Google Sans Text" w:hAnsi="Google Sans Text" w:cs="Google Sans Text"/>
          <w:color w:val="1B1C1D"/>
          <w:sz w:val="24"/>
          <w:szCs w:val="24"/>
        </w:rPr>
        <w:t xml:space="preserve"> (1</w:t>
      </w:r>
      <w:r w:rsidRPr="009058A3">
        <w:rPr>
          <w:rFonts w:ascii="Google Sans Text" w:eastAsia="Google Sans Text" w:hAnsi="Google Sans Text"/>
          <w:color w:val="1B1C1D"/>
          <w:sz w:val="24"/>
          <w:szCs w:val="24"/>
        </w:rPr>
        <w:t>–κ</w:t>
      </w:r>
      <w:r w:rsidRPr="009058A3">
        <w:rPr>
          <w:rFonts w:ascii="Google Sans Text" w:eastAsia="Google Sans Text" w:hAnsi="Google Sans Text" w:cs="Google Sans Text"/>
          <w:color w:val="1B1C1D"/>
          <w:sz w:val="24"/>
          <w:szCs w:val="24"/>
        </w:rPr>
        <w:t>0)d(x,y). Par dualit</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 xml:space="preserve"> de Kantorovich</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 xml:space="preserve">et linéarité de P, il en résulte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olor w:val="1B1C1D"/>
          <w:sz w:val="24"/>
          <w:szCs w:val="24"/>
        </w:rPr>
        <w:t>μ</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olor w:val="1B1C1D"/>
          <w:sz w:val="24"/>
          <w:szCs w:val="24"/>
        </w:rPr>
        <w:t>ν</w:t>
      </w:r>
      <w:r w:rsidRPr="009058A3">
        <w:rPr>
          <w:rFonts w:ascii="Google Sans Text" w:eastAsia="Google Sans Text" w:hAnsi="Google Sans Text" w:cs="Google Sans Text"/>
          <w:color w:val="1B1C1D"/>
          <w:sz w:val="24"/>
          <w:szCs w:val="24"/>
        </w:rPr>
        <w:t xml:space="preserve"> : W1(</w:t>
      </w:r>
      <w:r w:rsidRPr="009058A3">
        <w:rPr>
          <w:rFonts w:ascii="Google Sans Text" w:eastAsia="Google Sans Text" w:hAnsi="Google Sans Text"/>
          <w:color w:val="1B1C1D"/>
          <w:sz w:val="24"/>
          <w:szCs w:val="24"/>
        </w:rPr>
        <w:t>μ</w:t>
      </w:r>
      <w:r w:rsidRPr="009058A3">
        <w:rPr>
          <w:rFonts w:ascii="Google Sans Text" w:eastAsia="Google Sans Text" w:hAnsi="Google Sans Text" w:cs="Google Sans Text"/>
          <w:color w:val="1B1C1D"/>
          <w:sz w:val="24"/>
          <w:szCs w:val="24"/>
        </w:rPr>
        <w:t>P,</w:t>
      </w:r>
      <w:r w:rsidRPr="009058A3">
        <w:rPr>
          <w:rFonts w:ascii="Google Sans Text" w:eastAsia="Google Sans Text" w:hAnsi="Google Sans Text"/>
          <w:color w:val="1B1C1D"/>
          <w:sz w:val="24"/>
          <w:szCs w:val="24"/>
        </w:rPr>
        <w:t>ν</w:t>
      </w:r>
      <w:r w:rsidRPr="009058A3">
        <w:rPr>
          <w:rFonts w:ascii="Google Sans Text" w:eastAsia="Google Sans Text" w:hAnsi="Google Sans Text" w:cs="Google Sans Text"/>
          <w:color w:val="1B1C1D"/>
          <w:sz w:val="24"/>
          <w:szCs w:val="24"/>
        </w:rPr>
        <w:t xml:space="preserve">P) </w:t>
      </w:r>
      <w:r w:rsidRPr="009058A3">
        <w:rPr>
          <w:rFonts w:ascii="Google Sans Text" w:eastAsia="Google Sans Text" w:hAnsi="Google Sans Text"/>
          <w:color w:val="1B1C1D"/>
          <w:sz w:val="24"/>
          <w:szCs w:val="24"/>
        </w:rPr>
        <w:t>≤</w:t>
      </w:r>
      <w:r w:rsidRPr="009058A3">
        <w:rPr>
          <w:rFonts w:ascii="Google Sans Text" w:eastAsia="Google Sans Text" w:hAnsi="Google Sans Text" w:cs="Google Sans Text"/>
          <w:color w:val="1B1C1D"/>
          <w:sz w:val="24"/>
          <w:szCs w:val="24"/>
        </w:rPr>
        <w:t xml:space="preserve"> (1</w:t>
      </w:r>
      <w:r w:rsidRPr="009058A3">
        <w:rPr>
          <w:rFonts w:ascii="Google Sans Text" w:eastAsia="Google Sans Text" w:hAnsi="Google Sans Text"/>
          <w:color w:val="1B1C1D"/>
          <w:sz w:val="24"/>
          <w:szCs w:val="24"/>
        </w:rPr>
        <w:t>–κ</w:t>
      </w:r>
      <w:r w:rsidRPr="009058A3">
        <w:rPr>
          <w:rFonts w:ascii="Google Sans Text" w:eastAsia="Google Sans Text" w:hAnsi="Google Sans Text" w:cs="Google Sans Text"/>
          <w:color w:val="1B1C1D"/>
          <w:sz w:val="24"/>
          <w:szCs w:val="24"/>
        </w:rPr>
        <w:t>0)W1(</w:t>
      </w:r>
      <w:r w:rsidRPr="009058A3">
        <w:rPr>
          <w:rFonts w:ascii="Google Sans Text" w:eastAsia="Google Sans Text" w:hAnsi="Google Sans Text"/>
          <w:color w:val="1B1C1D"/>
          <w:sz w:val="24"/>
          <w:szCs w:val="24"/>
        </w:rPr>
        <w:t>μ</w:t>
      </w:r>
      <w:r w:rsidRPr="009058A3">
        <w:rPr>
          <w:rFonts w:ascii="Google Sans Text" w:eastAsia="Google Sans Text" w:hAnsi="Google Sans Text" w:cs="Google Sans Text"/>
          <w:color w:val="1B1C1D"/>
          <w:sz w:val="24"/>
          <w:szCs w:val="24"/>
        </w:rPr>
        <w:t>,</w:t>
      </w:r>
      <w:r w:rsidRPr="009058A3">
        <w:rPr>
          <w:rFonts w:ascii="Google Sans Text" w:eastAsia="Google Sans Text" w:hAnsi="Google Sans Text"/>
          <w:color w:val="1B1C1D"/>
          <w:sz w:val="24"/>
          <w:szCs w:val="24"/>
        </w:rPr>
        <w:t>ν</w:t>
      </w:r>
      <w:r w:rsidRPr="009058A3">
        <w:rPr>
          <w:rFonts w:ascii="Google Sans Text" w:eastAsia="Google Sans Text" w:hAnsi="Google Sans Text" w:cs="Google Sans Text"/>
          <w:color w:val="1B1C1D"/>
          <w:sz w:val="24"/>
          <w:szCs w:val="24"/>
        </w:rPr>
        <w:t>). En m</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trique</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discrète, TV(μP,νP) ≤ 2(1–κ0)·W1(μ,ν) = (1–κ0)·TV(μ,ν).</w:t>
      </w:r>
    </w:p>
    <w:p w14:paraId="334065B0" w14:textId="72E27E5C" w:rsidR="00D94F3D" w:rsidRPr="009058A3" w:rsidRDefault="00D94F3D"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Lien avec DAP. — Annexe B : |ΔP(ε)| ≈ |∂P/∂φ|ε (1er ordre), d’où TV ≤ c·V(ε)</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pour une constante c dépendant de β=1/τ (Lemme 2). Appliquer 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3 donne</w:t>
      </w:r>
    </w:p>
    <w:p w14:paraId="4889D858" w14:textId="77777777" w:rsidR="00D94F3D" w:rsidRPr="009058A3" w:rsidRDefault="00D94F3D"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TV(μP,νP) ≤ (1–κ0)c·V(ε).</w:t>
      </w:r>
    </w:p>
    <w:p w14:paraId="6B3D85C7" w14:textId="169DC99B" w:rsidR="00D94F3D" w:rsidRPr="009058A3" w:rsidRDefault="00850FD2"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Avec l’approximation de Taylor d’Annexe</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B, TV(pε,p0)≤c V(ε)\mathrm{TV}(p_\varepsilon,p_0)\le c\,V(\varepsilon)TV(pε​,p0​)≤cV(ε), c=12τmin</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c=\tfrac{1}{2</w:t>
      </w:r>
      <w:r w:rsidRPr="009058A3">
        <w:rPr>
          <w:rFonts w:ascii="Google Sans Text" w:eastAsia="Google Sans Text" w:hAnsi="Google Sans Text" w:cs="___WRD_EMBED_SUB_46"/>
          <w:color w:val="1B1C1D"/>
          <w:sz w:val="24"/>
          <w:szCs w:val="24"/>
        </w:rPr>
        <w:t>τ</w:t>
      </w:r>
      <w:r w:rsidRPr="009058A3">
        <w:rPr>
          <w:rFonts w:ascii="Google Sans Text" w:eastAsia="Google Sans Text" w:hAnsi="Google Sans Text" w:cs="Google Sans Text"/>
          <w:color w:val="1B1C1D"/>
          <w:sz w:val="24"/>
          <w:szCs w:val="24"/>
        </w:rPr>
        <w:t>_{\min}}c=2τmin​1​.</w:t>
      </w:r>
      <w:r w:rsidRPr="009058A3">
        <w:rPr>
          <w:rFonts w:eastAsia="Google Sans Text"/>
          <w:color w:val="1B1C1D"/>
          <w:sz w:val="24"/>
          <w:szCs w:val="24"/>
        </w:rPr>
        <w:t> </w:t>
      </w:r>
    </w:p>
    <w:p w14:paraId="5C36F742" w14:textId="7B90B979" w:rsidR="00D94F3D" w:rsidRPr="009058A3" w:rsidRDefault="00D94F3D" w:rsidP="00D94F3D">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Preuve du Th. 4 (abstention). — Les règles (R6</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ter/</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bis) imposent une condition</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structurelle : si K≤0 (ou ≤κ0), l’opérateur de génération est court</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circuit</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 xml:space="preserve"> et aucune</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émission n’est produite ; la probabilité de sortie en régime instable est donc nulle.</w:t>
      </w:r>
    </w:p>
    <w:p w14:paraId="287100AF" w14:textId="36D8713A" w:rsidR="00357FE7" w:rsidRPr="009058A3" w:rsidRDefault="00D94F3D" w:rsidP="00357FE7">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En régime stable, combiner Th.</w:t>
      </w:r>
      <w:r w:rsidRPr="009058A3">
        <w:rPr>
          <w:rFonts w:eastAsia="Google Sans Text"/>
          <w:color w:val="1B1C1D"/>
          <w:sz w:val="24"/>
          <w:szCs w:val="24"/>
        </w:rPr>
        <w:t> </w:t>
      </w:r>
      <w:r w:rsidRPr="009058A3">
        <w:rPr>
          <w:rFonts w:ascii="Google Sans Text" w:eastAsia="Google Sans Text" w:hAnsi="Google Sans Text" w:cs="Google Sans Text"/>
          <w:color w:val="1B1C1D"/>
          <w:sz w:val="24"/>
          <w:szCs w:val="24"/>
        </w:rPr>
        <w:t>3 avec l</w:t>
      </w:r>
      <w:r w:rsidRPr="009058A3">
        <w:rPr>
          <w:rFonts w:ascii="Google Sans Text" w:eastAsia="Google Sans Text" w:hAnsi="Google Sans Text" w:cs="___WRD_EMBED_SUB_49"/>
          <w:color w:val="1B1C1D"/>
          <w:sz w:val="24"/>
          <w:szCs w:val="24"/>
        </w:rPr>
        <w:t>’</w:t>
      </w:r>
      <w:r w:rsidRPr="009058A3">
        <w:rPr>
          <w:rFonts w:ascii="Google Sans Text" w:eastAsia="Google Sans Text" w:hAnsi="Google Sans Text" w:cs="Google Sans Text"/>
          <w:color w:val="1B1C1D"/>
          <w:sz w:val="24"/>
          <w:szCs w:val="24"/>
        </w:rPr>
        <w:t>approximation DAP borne la variation</w:t>
      </w:r>
      <w:r w:rsidR="00B911E1" w:rsidRPr="009058A3">
        <w:rPr>
          <w:rFonts w:ascii="Google Sans Text" w:eastAsia="Google Sans Text" w:hAnsi="Google Sans Text" w:cs="Google Sans Text"/>
          <w:color w:val="1B1C1D"/>
          <w:sz w:val="24"/>
          <w:szCs w:val="24"/>
        </w:rPr>
        <w:t xml:space="preserve"> </w:t>
      </w:r>
      <w:r w:rsidRPr="009058A3">
        <w:rPr>
          <w:rFonts w:ascii="Google Sans Text" w:eastAsia="Google Sans Text" w:hAnsi="Google Sans Text" w:cs="Google Sans Text"/>
          <w:color w:val="1B1C1D"/>
          <w:sz w:val="24"/>
          <w:szCs w:val="24"/>
        </w:rPr>
        <w:t xml:space="preserve">et confère le CLF : (stabilité bornée) </w:t>
      </w:r>
      <w:r w:rsidRPr="009058A3">
        <w:rPr>
          <w:rFonts w:ascii="Cambria Math" w:eastAsia="Google Sans Text" w:hAnsi="Cambria Math" w:cs="Cambria Math"/>
          <w:color w:val="1B1C1D"/>
          <w:sz w:val="24"/>
          <w:szCs w:val="24"/>
        </w:rPr>
        <w:t>∨</w:t>
      </w:r>
      <w:r w:rsidRPr="009058A3">
        <w:rPr>
          <w:rFonts w:ascii="Google Sans Text" w:eastAsia="Google Sans Text" w:hAnsi="Google Sans Text" w:cs="Google Sans Text"/>
          <w:color w:val="1B1C1D"/>
          <w:sz w:val="24"/>
          <w:szCs w:val="24"/>
        </w:rPr>
        <w:t xml:space="preserve"> (abstention).</w:t>
      </w:r>
      <w:r w:rsidR="00357FE7" w:rsidRPr="009058A3">
        <w:rPr>
          <w:rFonts w:ascii="Google Sans Text" w:eastAsia="Google Sans Text" w:hAnsi="Google Sans Text" w:cs="Google Sans Text"/>
          <w:color w:val="1B1C1D"/>
          <w:sz w:val="24"/>
          <w:szCs w:val="24"/>
        </w:rPr>
        <w:br/>
      </w:r>
      <w:r w:rsidR="00357FE7" w:rsidRPr="009058A3">
        <w:rPr>
          <w:rFonts w:ascii="Google Sans Text" w:eastAsia="Google Sans Text" w:hAnsi="Google Sans Text" w:cs="Google Sans Text"/>
          <w:color w:val="1B1C1D"/>
          <w:sz w:val="24"/>
          <w:szCs w:val="24"/>
        </w:rPr>
        <w:br/>
      </w:r>
      <w:r w:rsidR="00357FE7" w:rsidRPr="009058A3">
        <w:rPr>
          <w:rFonts w:ascii="Google Sans Text" w:eastAsia="Google Sans Text" w:hAnsi="Google Sans Text" w:cs="Google Sans Text"/>
          <w:b/>
          <w:color w:val="1B1C1D"/>
          <w:sz w:val="24"/>
          <w:szCs w:val="24"/>
        </w:rPr>
        <w:lastRenderedPageBreak/>
        <w:t>Annexe F — Pseudo</w:t>
      </w:r>
      <w:r w:rsidR="00357FE7" w:rsidRPr="009058A3">
        <w:rPr>
          <w:rFonts w:ascii="Google Sans Text" w:eastAsia="Google Sans Text" w:hAnsi="Google Sans Text" w:cs="Cambria Math"/>
          <w:b/>
          <w:color w:val="1B1C1D"/>
          <w:sz w:val="24"/>
          <w:szCs w:val="24"/>
        </w:rPr>
        <w:t>‑</w:t>
      </w:r>
      <w:r w:rsidR="00357FE7" w:rsidRPr="009058A3">
        <w:rPr>
          <w:rFonts w:ascii="Google Sans Text" w:eastAsia="Google Sans Text" w:hAnsi="Google Sans Text" w:cs="Google Sans Text"/>
          <w:b/>
          <w:color w:val="1B1C1D"/>
          <w:sz w:val="24"/>
          <w:szCs w:val="24"/>
        </w:rPr>
        <w:t>codes et détails d’implémentation</w:t>
      </w:r>
    </w:p>
    <w:p w14:paraId="2E8B809C" w14:textId="77777777" w:rsidR="007060C1" w:rsidRPr="009058A3" w:rsidRDefault="00357FE7" w:rsidP="007060C1">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F.1 DAP (calibration de ε). — Procédure de B.5 (Annexe B) : recherche ε* max.</w:t>
      </w:r>
      <w:r w:rsidRPr="009058A3">
        <w:rPr>
          <w:rFonts w:ascii="Google Sans Text" w:eastAsia="Google Sans Text" w:hAnsi="Google Sans Text" w:cs="Google Sans Text"/>
          <w:color w:val="1B1C1D"/>
          <w:sz w:val="24"/>
          <w:szCs w:val="24"/>
        </w:rPr>
        <w:br/>
        <w:t>F.2 Politique CLF. — Voir Algorithme 2 (§3.3) : seuils (η, κ0, α) publiés.</w:t>
      </w:r>
      <w:r w:rsidRPr="009058A3">
        <w:rPr>
          <w:rFonts w:ascii="Google Sans Text" w:eastAsia="Google Sans Text" w:hAnsi="Google Sans Text" w:cs="Google Sans Text"/>
          <w:color w:val="1B1C1D"/>
          <w:sz w:val="24"/>
          <w:szCs w:val="24"/>
        </w:rPr>
        <w:br/>
        <w:t>F.3 PIQ. — L_MRL, contrainte ICA (||A||F ≤ Cattn), GTV, QC</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Adam (projection hypersphère). Hyper</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param</w:t>
      </w:r>
      <w:r w:rsidRPr="009058A3">
        <w:rPr>
          <w:rFonts w:ascii="Google Sans Text" w:eastAsia="Google Sans Text" w:hAnsi="Google Sans Text"/>
          <w:color w:val="1B1C1D"/>
          <w:sz w:val="24"/>
          <w:szCs w:val="24"/>
        </w:rPr>
        <w:t>è</w:t>
      </w:r>
      <w:r w:rsidRPr="009058A3">
        <w:rPr>
          <w:rFonts w:ascii="Google Sans Text" w:eastAsia="Google Sans Text" w:hAnsi="Google Sans Text" w:cs="Google Sans Text"/>
          <w:color w:val="1B1C1D"/>
          <w:sz w:val="24"/>
          <w:szCs w:val="24"/>
        </w:rPr>
        <w:t>tres et tol</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rances report</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s (Annexe H).</w:t>
      </w:r>
      <w:r w:rsidRPr="009058A3">
        <w:rPr>
          <w:rFonts w:ascii="Google Sans Text" w:eastAsia="Google Sans Text" w:hAnsi="Google Sans Text" w:cs="Google Sans Text"/>
          <w:color w:val="1B1C1D"/>
          <w:sz w:val="24"/>
          <w:szCs w:val="24"/>
        </w:rPr>
        <w:br/>
        <w:t>F.4 Journalisation. — Sauvegarde (V(ε), K(x), p0, Tdyn, drapeaux repli) par token.</w:t>
      </w:r>
      <w:r w:rsidR="007060C1" w:rsidRPr="009058A3">
        <w:rPr>
          <w:rFonts w:ascii="Google Sans Text" w:eastAsia="Google Sans Text" w:hAnsi="Google Sans Text" w:cs="Google Sans Text"/>
          <w:color w:val="1B1C1D"/>
          <w:sz w:val="24"/>
          <w:szCs w:val="24"/>
        </w:rPr>
        <w:br/>
      </w:r>
      <w:r w:rsidR="007060C1" w:rsidRPr="009058A3">
        <w:rPr>
          <w:rFonts w:ascii="Google Sans Text" w:eastAsia="Google Sans Text" w:hAnsi="Google Sans Text" w:cs="Google Sans Text"/>
          <w:color w:val="1B1C1D"/>
          <w:sz w:val="24"/>
          <w:szCs w:val="24"/>
        </w:rPr>
        <w:br/>
      </w:r>
      <w:r w:rsidR="007060C1" w:rsidRPr="009058A3">
        <w:rPr>
          <w:rFonts w:ascii="Google Sans Text" w:eastAsia="Google Sans Text" w:hAnsi="Google Sans Text" w:cs="Google Sans Text"/>
          <w:color w:val="1B1C1D"/>
          <w:sz w:val="24"/>
          <w:szCs w:val="24"/>
        </w:rPr>
        <w:br/>
      </w:r>
      <w:r w:rsidR="007060C1" w:rsidRPr="009058A3">
        <w:rPr>
          <w:rFonts w:ascii="Google Sans Text" w:eastAsia="Google Sans Text" w:hAnsi="Google Sans Text" w:cs="Google Sans Text"/>
          <w:b/>
          <w:color w:val="1B1C1D"/>
          <w:sz w:val="24"/>
          <w:szCs w:val="24"/>
        </w:rPr>
        <w:t>Annexe G — Protocoles élargis et gabarits de résultats</w:t>
      </w:r>
    </w:p>
    <w:p w14:paraId="2830BFF3" w14:textId="77777777" w:rsidR="00452A93" w:rsidRPr="009058A3" w:rsidRDefault="007060C1" w:rsidP="00452A93">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G.1 Datasets, splits, filtres qualité, contrôles contamination.</w:t>
      </w:r>
      <w:r w:rsidRPr="009058A3">
        <w:rPr>
          <w:rFonts w:ascii="Google Sans Text" w:eastAsia="Google Sans Text" w:hAnsi="Google Sans Text" w:cs="Google Sans Text"/>
          <w:color w:val="1B1C1D"/>
          <w:sz w:val="24"/>
          <w:szCs w:val="24"/>
        </w:rPr>
        <w:br/>
        <w:t>G.2 Scripts. — Commandes exactes (inférence, scoring, bootstrap, IC).</w:t>
      </w:r>
      <w:r w:rsidRPr="009058A3">
        <w:rPr>
          <w:rFonts w:ascii="Google Sans Text" w:eastAsia="Google Sans Text" w:hAnsi="Google Sans Text" w:cs="Google Sans Text"/>
          <w:color w:val="1B1C1D"/>
          <w:sz w:val="24"/>
          <w:szCs w:val="24"/>
        </w:rPr>
        <w:br/>
        <w:t>G.3 Évaluation humaine. — 2 annotateurs, adjudication, κ de Cohen.</w:t>
      </w:r>
      <w:r w:rsidRPr="009058A3">
        <w:rPr>
          <w:rFonts w:ascii="Google Sans Text" w:eastAsia="Google Sans Text" w:hAnsi="Google Sans Text" w:cs="Google Sans Text"/>
          <w:color w:val="1B1C1D"/>
          <w:sz w:val="24"/>
          <w:szCs w:val="24"/>
        </w:rPr>
        <w:br/>
        <w:t>G.4 Gabarits de tables 5b</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1..5b</w:t>
      </w:r>
      <w:r w:rsidRPr="009058A3">
        <w:rPr>
          <w:rFonts w:ascii="Google Sans Text" w:eastAsia="Google Sans Text" w:hAnsi="Google Sans Text" w:cs="Cambria Math"/>
          <w:color w:val="1B1C1D"/>
          <w:sz w:val="24"/>
          <w:szCs w:val="24"/>
        </w:rPr>
        <w:t>‑</w:t>
      </w:r>
      <w:r w:rsidRPr="009058A3">
        <w:rPr>
          <w:rFonts w:ascii="Google Sans Text" w:eastAsia="Google Sans Text" w:hAnsi="Google Sans Text" w:cs="Google Sans Text"/>
          <w:color w:val="1B1C1D"/>
          <w:sz w:val="24"/>
          <w:szCs w:val="24"/>
        </w:rPr>
        <w:t>5 (CSV/LaTeX fournis dans le d</w:t>
      </w:r>
      <w:r w:rsidRPr="009058A3">
        <w:rPr>
          <w:rFonts w:ascii="Google Sans Text" w:eastAsia="Google Sans Text" w:hAnsi="Google Sans Text"/>
          <w:color w:val="1B1C1D"/>
          <w:sz w:val="24"/>
          <w:szCs w:val="24"/>
        </w:rPr>
        <w:t>é</w:t>
      </w:r>
      <w:r w:rsidRPr="009058A3">
        <w:rPr>
          <w:rFonts w:ascii="Google Sans Text" w:eastAsia="Google Sans Text" w:hAnsi="Google Sans Text" w:cs="Google Sans Text"/>
          <w:color w:val="1B1C1D"/>
          <w:sz w:val="24"/>
          <w:szCs w:val="24"/>
        </w:rPr>
        <w:t>p</w:t>
      </w:r>
      <w:r w:rsidRPr="009058A3">
        <w:rPr>
          <w:rFonts w:ascii="Google Sans Text" w:eastAsia="Google Sans Text" w:hAnsi="Google Sans Text"/>
          <w:color w:val="1B1C1D"/>
          <w:sz w:val="24"/>
          <w:szCs w:val="24"/>
        </w:rPr>
        <w:t>ô</w:t>
      </w:r>
      <w:r w:rsidRPr="009058A3">
        <w:rPr>
          <w:rFonts w:ascii="Google Sans Text" w:eastAsia="Google Sans Text" w:hAnsi="Google Sans Text" w:cs="Google Sans Text"/>
          <w:color w:val="1B1C1D"/>
          <w:sz w:val="24"/>
          <w:szCs w:val="24"/>
        </w:rPr>
        <w:t>t).</w:t>
      </w:r>
      <w:r w:rsidR="00452A93" w:rsidRPr="009058A3">
        <w:rPr>
          <w:rFonts w:ascii="Google Sans Text" w:eastAsia="Google Sans Text" w:hAnsi="Google Sans Text" w:cs="Google Sans Text"/>
          <w:color w:val="1B1C1D"/>
          <w:sz w:val="24"/>
          <w:szCs w:val="24"/>
        </w:rPr>
        <w:br/>
      </w:r>
      <w:r w:rsidR="00452A93" w:rsidRPr="009058A3">
        <w:rPr>
          <w:rFonts w:ascii="Google Sans Text" w:eastAsia="Google Sans Text" w:hAnsi="Google Sans Text" w:cs="Google Sans Text"/>
          <w:color w:val="1B1C1D"/>
          <w:sz w:val="24"/>
          <w:szCs w:val="24"/>
        </w:rPr>
        <w:br/>
      </w:r>
      <w:r w:rsidR="00452A93" w:rsidRPr="009058A3">
        <w:rPr>
          <w:rFonts w:ascii="Google Sans Text" w:eastAsia="Google Sans Text" w:hAnsi="Google Sans Text" w:cs="Google Sans Text"/>
          <w:b/>
          <w:color w:val="1B1C1D"/>
          <w:sz w:val="24"/>
          <w:szCs w:val="24"/>
        </w:rPr>
        <w:t>Annexe H — Artefacts &amp; Reproductibilité</w:t>
      </w:r>
    </w:p>
    <w:p w14:paraId="6D471776" w14:textId="5682F720" w:rsidR="00134E0B" w:rsidRPr="009058A3" w:rsidRDefault="00452A93" w:rsidP="001D0298">
      <w:pPr>
        <w:pBdr>
          <w:top w:val="nil"/>
          <w:left w:val="nil"/>
          <w:bottom w:val="nil"/>
          <w:right w:val="nil"/>
          <w:between w:val="nil"/>
        </w:pBdr>
        <w:spacing w:after="240" w:line="275" w:lineRule="auto"/>
        <w:rPr>
          <w:rFonts w:ascii="Google Sans Text" w:eastAsia="Google Sans Text" w:hAnsi="Google Sans Text" w:cs="Google Sans Text"/>
          <w:color w:val="1B1C1D"/>
          <w:sz w:val="24"/>
          <w:szCs w:val="24"/>
        </w:rPr>
      </w:pPr>
      <w:r w:rsidRPr="009058A3">
        <w:rPr>
          <w:rFonts w:ascii="Google Sans Text" w:eastAsia="Google Sans Text" w:hAnsi="Google Sans Text" w:cs="Google Sans Text"/>
          <w:color w:val="1B1C1D"/>
          <w:sz w:val="24"/>
          <w:szCs w:val="24"/>
        </w:rPr>
        <w:t>H.1 Dépendances (versions exactes). H.2 Matériel (GPU/CPU, RAM).</w:t>
      </w:r>
      <w:r w:rsidRPr="009058A3">
        <w:rPr>
          <w:rFonts w:ascii="Google Sans Text" w:eastAsia="Google Sans Text" w:hAnsi="Google Sans Text" w:cs="Google Sans Text"/>
          <w:color w:val="1B1C1D"/>
          <w:sz w:val="24"/>
          <w:szCs w:val="24"/>
        </w:rPr>
        <w:br/>
        <w:t>H.3 Poids/patchs (70B/13B). H.4 Commandes E2E (TruthfulQA/HaluEval/…).</w:t>
      </w:r>
      <w:r w:rsidR="001D0298" w:rsidRPr="009058A3">
        <w:rPr>
          <w:rFonts w:ascii="Google Sans Text" w:eastAsia="Google Sans Text" w:hAnsi="Google Sans Text" w:cs="Google Sans Text"/>
          <w:color w:val="1B1C1D"/>
          <w:sz w:val="24"/>
          <w:szCs w:val="24"/>
        </w:rPr>
        <w:br/>
        <w:t>H.5 Check‑list Artefacts (</w:t>
      </w:r>
      <w:r w:rsidR="00A347E3" w:rsidRPr="009058A3">
        <w:rPr>
          <w:rFonts w:ascii="Google Sans Text" w:eastAsia="Google Sans Text" w:hAnsi="Google Sans Text" w:cs="Google Sans Text"/>
          <w:color w:val="1B1C1D"/>
          <w:sz w:val="24"/>
          <w:szCs w:val="24"/>
        </w:rPr>
        <w:t>en cours - sous moyens contraints</w:t>
      </w:r>
      <w:r w:rsidR="001D0298" w:rsidRPr="009058A3">
        <w:rPr>
          <w:rFonts w:ascii="Google Sans Text" w:eastAsia="Google Sans Text" w:hAnsi="Google Sans Text" w:cs="Google Sans Text"/>
          <w:color w:val="1B1C1D"/>
          <w:sz w:val="24"/>
          <w:szCs w:val="24"/>
        </w:rPr>
        <w:t>)</w:t>
      </w:r>
      <w:r w:rsidR="001D0298" w:rsidRPr="009058A3">
        <w:rPr>
          <w:rFonts w:ascii="Google Sans Text" w:eastAsia="Google Sans Text" w:hAnsi="Google Sans Text" w:cs="Google Sans Text"/>
          <w:color w:val="1B1C1D"/>
          <w:sz w:val="24"/>
          <w:szCs w:val="24"/>
        </w:rPr>
        <w:br/>
        <w:t>[ ] Dépôt code public (licence, CITATION.cff, README).</w:t>
      </w:r>
      <w:r w:rsidR="001D0298" w:rsidRPr="009058A3">
        <w:rPr>
          <w:rFonts w:ascii="Google Sans Text" w:eastAsia="Google Sans Text" w:hAnsi="Google Sans Text" w:cs="Google Sans Text"/>
          <w:color w:val="1B1C1D"/>
          <w:sz w:val="24"/>
          <w:szCs w:val="24"/>
        </w:rPr>
        <w:br/>
        <w:t>[ ] Seeds, configs (τ_min, C_attn, R, γ, α, η, κ0, ε*), versions exactes (CUDA, PyTorch, HF).</w:t>
      </w:r>
      <w:r w:rsidR="001D0298" w:rsidRPr="009058A3">
        <w:rPr>
          <w:rFonts w:ascii="Google Sans Text" w:eastAsia="Google Sans Text" w:hAnsi="Google Sans Text" w:cs="Google Sans Text"/>
          <w:color w:val="1B1C1D"/>
          <w:sz w:val="24"/>
          <w:szCs w:val="24"/>
        </w:rPr>
        <w:br/>
        <w:t>[ ] Prompts &amp; juges (TruthfulQA/HaluEval/LLM‑judge), commits et URLs des jeux.</w:t>
      </w:r>
      <w:r w:rsidR="001D0298" w:rsidRPr="009058A3">
        <w:rPr>
          <w:rFonts w:ascii="Google Sans Text" w:eastAsia="Google Sans Text" w:hAnsi="Google Sans Text" w:cs="Google Sans Text"/>
          <w:color w:val="1B1C1D"/>
          <w:sz w:val="24"/>
          <w:szCs w:val="24"/>
        </w:rPr>
        <w:br/>
        <w:t>[ ] Scripts E2E (TruthfulQA/HaluEval), temps/coûts (p50/p95), mémoire et énergie (proxy).</w:t>
      </w:r>
      <w:r w:rsidR="001D0298" w:rsidRPr="009058A3">
        <w:rPr>
          <w:rFonts w:ascii="Google Sans Text" w:eastAsia="Google Sans Text" w:hAnsi="Google Sans Text" w:cs="Google Sans Text"/>
          <w:color w:val="1B1C1D"/>
          <w:sz w:val="24"/>
          <w:szCs w:val="24"/>
        </w:rPr>
        <w:br/>
        <w:t>[ ] Journaux CLF par token (V, K, p0, T_dyn, R6) – 1% bruts + agrégés.</w:t>
      </w:r>
      <w:r w:rsidR="001D0298" w:rsidRPr="009058A3">
        <w:rPr>
          <w:rFonts w:ascii="Google Sans Text" w:eastAsia="Google Sans Text" w:hAnsi="Google Sans Text" w:cs="Google Sans Text"/>
          <w:color w:val="1B1C1D"/>
          <w:sz w:val="24"/>
          <w:szCs w:val="24"/>
        </w:rPr>
        <w:br/>
        <w:t>[ ] Tableaux CSV (5b‑1..5b‑5) avec IC</w:t>
      </w:r>
      <w:r w:rsidR="001D0298" w:rsidRPr="009058A3">
        <w:rPr>
          <w:rFonts w:eastAsia="Google Sans Text"/>
          <w:color w:val="1B1C1D"/>
          <w:sz w:val="24"/>
          <w:szCs w:val="24"/>
        </w:rPr>
        <w:t> </w:t>
      </w:r>
      <w:r w:rsidR="001D0298" w:rsidRPr="009058A3">
        <w:rPr>
          <w:rFonts w:ascii="Google Sans Text" w:eastAsia="Google Sans Text" w:hAnsi="Google Sans Text" w:cs="Google Sans Text"/>
          <w:color w:val="1B1C1D"/>
          <w:sz w:val="24"/>
          <w:szCs w:val="24"/>
        </w:rPr>
        <w:t>95 %, p</w:t>
      </w:r>
      <w:r w:rsidR="001D0298" w:rsidRPr="009058A3">
        <w:rPr>
          <w:rFonts w:ascii="Google Sans Text" w:eastAsia="Google Sans Text" w:hAnsi="Google Sans Text" w:cs="___WRD_EMBED_SUB_46"/>
          <w:color w:val="1B1C1D"/>
          <w:sz w:val="24"/>
          <w:szCs w:val="24"/>
        </w:rPr>
        <w:t>‑</w:t>
      </w:r>
      <w:r w:rsidR="001D0298" w:rsidRPr="009058A3">
        <w:rPr>
          <w:rFonts w:ascii="Google Sans Text" w:eastAsia="Google Sans Text" w:hAnsi="Google Sans Text" w:cs="Google Sans Text"/>
          <w:color w:val="1B1C1D"/>
          <w:sz w:val="24"/>
          <w:szCs w:val="24"/>
        </w:rPr>
        <w:t>values, h (Cohen).</w:t>
      </w:r>
      <w:r w:rsidR="001D0298" w:rsidRPr="009058A3">
        <w:rPr>
          <w:rFonts w:ascii="Google Sans Text" w:eastAsia="Google Sans Text" w:hAnsi="Google Sans Text" w:cs="Google Sans Text"/>
          <w:color w:val="1B1C1D"/>
          <w:sz w:val="24"/>
          <w:szCs w:val="24"/>
        </w:rPr>
        <w:br/>
        <w:t>[ ] Rapport d’annotation humaine : guide, 3+ annotateurs, κ (Cohen) ≥ 0,7, adjudication.</w:t>
      </w:r>
      <w:r w:rsidR="001D0298" w:rsidRPr="009058A3">
        <w:rPr>
          <w:rFonts w:ascii="Google Sans Text" w:eastAsia="Google Sans Text" w:hAnsi="Google Sans Text" w:cs="Google Sans Text"/>
          <w:color w:val="1B1C1D"/>
          <w:sz w:val="24"/>
          <w:szCs w:val="24"/>
        </w:rPr>
        <w:br/>
        <w:t>[ ] Audit LLM‑judge : aléa d’ordre, normalisation verbosité, accord humain‑LLM (~80%).</w:t>
      </w:r>
      <w:r w:rsidR="001D0298" w:rsidRPr="009058A3">
        <w:rPr>
          <w:rFonts w:ascii="Google Sans Text" w:eastAsia="Google Sans Text" w:hAnsi="Google Sans Text" w:cs="Google Sans Text"/>
          <w:color w:val="1B1C1D"/>
          <w:sz w:val="24"/>
          <w:szCs w:val="24"/>
        </w:rPr>
        <w:br/>
        <w:t>[ ] DOI (Zenodo/HF) – versions figées (code, poids 13B/patch LoRA).</w:t>
      </w:r>
    </w:p>
    <w:p w14:paraId="5B5BFA09" w14:textId="77777777" w:rsidR="00134E0B" w:rsidRPr="009058A3" w:rsidRDefault="004E2E2C" w:rsidP="00134E0B">
      <w:pPr>
        <w:pBdr>
          <w:top w:val="nil"/>
          <w:left w:val="nil"/>
          <w:bottom w:val="nil"/>
          <w:right w:val="nil"/>
          <w:between w:val="nil"/>
        </w:pBdr>
        <w:spacing w:before="120" w:after="240" w:line="275" w:lineRule="auto"/>
        <w:rPr>
          <w:rFonts w:ascii="Google Sans Text" w:eastAsia="Google Sans Text" w:hAnsi="Google Sans Text" w:cs="Google Sans Text"/>
          <w:color w:val="1B1C1D"/>
          <w:sz w:val="24"/>
          <w:szCs w:val="24"/>
        </w:rPr>
      </w:pPr>
      <w:r>
        <w:rPr>
          <w:rFonts w:ascii="Google Sans Text" w:hAnsi="Google Sans Text"/>
          <w:sz w:val="24"/>
          <w:szCs w:val="24"/>
        </w:rPr>
        <w:pict w14:anchorId="1E9BBA71">
          <v:rect id="_x0000_i1031" style="width:0;height:1.5pt" o:hralign="center" o:hrstd="t" o:hr="t" fillcolor="#a0a0a0" stroked="f"/>
        </w:pict>
      </w:r>
    </w:p>
    <w:p w14:paraId="3FC302C6" w14:textId="729401F5" w:rsidR="000A39C7" w:rsidRPr="009058A3" w:rsidRDefault="009E095D" w:rsidP="001560AF">
      <w:pPr>
        <w:pBdr>
          <w:top w:val="nil"/>
          <w:left w:val="nil"/>
          <w:bottom w:val="nil"/>
          <w:right w:val="nil"/>
          <w:between w:val="nil"/>
        </w:pBdr>
        <w:spacing w:after="120" w:line="275" w:lineRule="auto"/>
        <w:ind w:left="465"/>
        <w:rPr>
          <w:rFonts w:ascii="Google Sans Text" w:eastAsia="Google Sans" w:hAnsi="Google Sans Text" w:cs="Google Sans"/>
          <w:b/>
          <w:sz w:val="24"/>
          <w:szCs w:val="24"/>
        </w:rPr>
      </w:pPr>
      <w:r w:rsidRPr="009058A3">
        <w:rPr>
          <w:rFonts w:ascii="Google Sans Text" w:eastAsia="Google Sans" w:hAnsi="Google Sans Text" w:cs="Google Sans"/>
          <w:b/>
          <w:sz w:val="24"/>
          <w:szCs w:val="24"/>
        </w:rPr>
        <w:br/>
      </w:r>
    </w:p>
    <w:p w14:paraId="374E3115" w14:textId="415E27BA" w:rsidR="000A39C7" w:rsidRPr="009058A3" w:rsidRDefault="009B098D">
      <w:pPr>
        <w:pStyle w:val="Titre4"/>
        <w:rPr>
          <w:rFonts w:ascii="Google Sans Text" w:eastAsia="Google Sans" w:hAnsi="Google Sans Text" w:cs="Google Sans"/>
        </w:rPr>
      </w:pPr>
      <w:r w:rsidRPr="009058A3">
        <w:rPr>
          <w:rFonts w:ascii="Google Sans Text" w:eastAsia="Google Sans" w:hAnsi="Google Sans Text" w:cs="Google Sans"/>
        </w:rPr>
        <w:lastRenderedPageBreak/>
        <w:t>Réferences</w:t>
      </w:r>
    </w:p>
    <w:p w14:paraId="2D2781E6" w14:textId="2173D693"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R. Landauer (1961). “Irreversibility and Heat Generation in the Computing Process.”</w:t>
      </w:r>
      <w:r w:rsidR="0094174A" w:rsidRPr="009058A3">
        <w:rPr>
          <w:rFonts w:ascii="Google Sans Text" w:eastAsia="Google Sans" w:hAnsi="Google Sans Text" w:cs="Google Sans"/>
          <w:sz w:val="24"/>
          <w:szCs w:val="24"/>
        </w:rPr>
        <w:br/>
      </w:r>
    </w:p>
    <w:p w14:paraId="5FAF1418"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IBM Journal of Research and Development 5(3): 183–191. https://doi.org/10.1147/rd.53.0183</w:t>
      </w:r>
    </w:p>
    <w:p w14:paraId="5AA2B7C1"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2F705B8E"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J. D. Bekenstein (1973). “Black Holes and Entropy.” Physical Review D 7: 2333–2346. https://doi.org/10.1103/PhysRevD.7.2333</w:t>
      </w:r>
    </w:p>
    <w:p w14:paraId="04751468"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1A9C87A4"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S. W. Hawking (1974). “Black hole explosions?” Nature 248: 30–31. https://doi.org/10.1038/248030a0</w:t>
      </w:r>
    </w:p>
    <w:p w14:paraId="020C585A"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2EA629E5"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S. W. Hawking (1975). “Particle Creation by Black Holes.” Communications in Mathematical Physics 43: 199–220. https://doi.org/10.1007/BF02345020</w:t>
      </w:r>
    </w:p>
    <w:p w14:paraId="37A20EAF"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5F1A2DE8"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W. G. Unruh (1976). “Notes on black-hole evaporation.” Physical Review D 14: 870–892. https://doi.org/10.1103/PhysRevD.14.870</w:t>
      </w:r>
    </w:p>
    <w:p w14:paraId="0A60116C"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2289248B"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C. E. Shannon (1948). “A Mathematical Theory of Communication.” Bell System Technical Journal 27: 379–423, 623–656. https://doi.org/10.1002/j.1538-7305.1948.tb01338.x</w:t>
      </w:r>
    </w:p>
    <w:p w14:paraId="024BA6D7"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2B4C3E61"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Y. Ollivier (2009). “Ricci curvature of Markov chains on metric spaces.” Journal of Functional Analysis 256: 810–864. https://doi.org/10.1016/j.jfa.2008.11.001</w:t>
      </w:r>
    </w:p>
    <w:p w14:paraId="2701D287"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0BF653DF"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R. Bousso (2002). “The holographic principle.” Reviews of Modern Physics 74: 825–874. https://doi.org/10.1103/RevModPhys.74.825</w:t>
      </w:r>
    </w:p>
    <w:p w14:paraId="03FC48CA"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00811865"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L. Susskind (1995). “The World as a Hologram.” Journal of Mathematical Physics 36: 6377–6396. https://doi.org/10.1063/1.531249</w:t>
      </w:r>
    </w:p>
    <w:p w14:paraId="73919834"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338907F7"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A. Vaswani et al. (2017). “Attention Is All You Need.” NeurIPS 2017; arXiv:1706.03762.</w:t>
      </w:r>
    </w:p>
    <w:p w14:paraId="2B036486"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3C3441B2"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J. Devlin et al. (2019). “BERT: Pre-training of Deep Bidirectional Transformers for Language Understanding.” NAACL 2019; arXiv:1810.04805.</w:t>
      </w:r>
    </w:p>
    <w:p w14:paraId="3BC91B69"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2D2D6B81"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T. Brown et al. (2020). “Language Models are Few-Shot Learners.” NeurIPS 2020; arXiv:2005.14165.</w:t>
      </w:r>
    </w:p>
    <w:p w14:paraId="4281FDF8"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0FF8DF39"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 xml:space="preserve">A. Papineni et al. (2002). “BLEU: a Method for Automatic Evaluation of Machine </w:t>
      </w:r>
      <w:r w:rsidRPr="009058A3">
        <w:rPr>
          <w:rFonts w:ascii="Google Sans Text" w:eastAsia="Google Sans" w:hAnsi="Google Sans Text" w:cs="Google Sans"/>
          <w:sz w:val="24"/>
          <w:szCs w:val="24"/>
        </w:rPr>
        <w:lastRenderedPageBreak/>
        <w:t>Translation.” ACL 2002. https://doi.org/10.3115/1073083.1073135</w:t>
      </w:r>
    </w:p>
    <w:p w14:paraId="59985629"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442E5589"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C.-Y. Lin (2004). “ROUGE: A Package for Automatic Evaluation of Summaries.” ACL Workshop 2004.</w:t>
      </w:r>
    </w:p>
    <w:p w14:paraId="40943F2A"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1247F24C"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Meta AI (2023). “LLaMA 2: Open Foundation and Fine-Tuned Chat Models.” arXiv:2307.09288.</w:t>
      </w:r>
    </w:p>
    <w:p w14:paraId="6D26FE63"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0BF9FF53" w14:textId="77777777"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S. Lin, J. Hilton, O. Evans (2022). “TruthfulQA: Measuring How Models Mimic Misinformation.” NeurIPS 2022; arXiv:2109.07958.</w:t>
      </w:r>
    </w:p>
    <w:p w14:paraId="10C4C13D" w14:textId="77777777" w:rsidR="00137B35" w:rsidRPr="009058A3" w:rsidRDefault="00137B35" w:rsidP="00137B35">
      <w:pPr>
        <w:pBdr>
          <w:top w:val="nil"/>
          <w:left w:val="nil"/>
          <w:bottom w:val="nil"/>
          <w:right w:val="nil"/>
          <w:between w:val="nil"/>
        </w:pBdr>
        <w:ind w:left="600"/>
        <w:rPr>
          <w:rFonts w:ascii="Google Sans Text" w:eastAsia="Google Sans" w:hAnsi="Google Sans Text" w:cs="Google Sans"/>
          <w:sz w:val="24"/>
          <w:szCs w:val="24"/>
        </w:rPr>
      </w:pPr>
    </w:p>
    <w:p w14:paraId="6735E978" w14:textId="60B9FDEE" w:rsidR="00137B35" w:rsidRPr="009058A3" w:rsidRDefault="00137B35" w:rsidP="00137B35">
      <w:pPr>
        <w:numPr>
          <w:ilvl w:val="0"/>
          <w:numId w:val="14"/>
        </w:numPr>
        <w:pBdr>
          <w:top w:val="nil"/>
          <w:left w:val="nil"/>
          <w:bottom w:val="nil"/>
          <w:right w:val="nil"/>
          <w:between w:val="nil"/>
        </w:pBdr>
        <w:rPr>
          <w:rFonts w:ascii="Google Sans Text" w:eastAsia="Google Sans" w:hAnsi="Google Sans Text" w:cs="Google Sans"/>
          <w:sz w:val="24"/>
          <w:szCs w:val="24"/>
        </w:rPr>
      </w:pPr>
      <w:r w:rsidRPr="009058A3">
        <w:rPr>
          <w:rFonts w:ascii="Google Sans Text" w:eastAsia="Google Sans" w:hAnsi="Google Sans Text" w:cs="Google Sans"/>
          <w:sz w:val="24"/>
          <w:szCs w:val="24"/>
        </w:rPr>
        <w:t>“Truth Knows No Language: Evaluating Truthfulness Beyond English”, arXiv – ref. 11 du manuscrit.)</w:t>
      </w:r>
    </w:p>
    <w:p w14:paraId="6683A590" w14:textId="77777777" w:rsidR="00BF5E87" w:rsidRPr="009058A3" w:rsidRDefault="00BF5E87" w:rsidP="00BF5E87">
      <w:pPr>
        <w:pBdr>
          <w:top w:val="nil"/>
          <w:left w:val="nil"/>
          <w:bottom w:val="nil"/>
          <w:right w:val="nil"/>
          <w:between w:val="nil"/>
        </w:pBdr>
        <w:rPr>
          <w:rFonts w:ascii="Google Sans Text" w:eastAsia="Google Sans" w:hAnsi="Google Sans Text" w:cs="Google Sans"/>
          <w:sz w:val="24"/>
          <w:szCs w:val="24"/>
        </w:rPr>
      </w:pPr>
    </w:p>
    <w:p w14:paraId="57518AE4" w14:textId="7445CD0D" w:rsidR="005822C6" w:rsidRPr="009058A3" w:rsidRDefault="005822C6" w:rsidP="00144DCD">
      <w:pPr>
        <w:numPr>
          <w:ilvl w:val="0"/>
          <w:numId w:val="14"/>
        </w:numPr>
        <w:pBdr>
          <w:top w:val="nil"/>
          <w:left w:val="nil"/>
          <w:bottom w:val="nil"/>
          <w:right w:val="nil"/>
          <w:between w:val="nil"/>
        </w:pBdr>
        <w:rPr>
          <w:rFonts w:ascii="Google Sans Text" w:hAnsi="Google Sans Text"/>
          <w:sz w:val="24"/>
          <w:szCs w:val="24"/>
        </w:rPr>
      </w:pPr>
      <w:r w:rsidRPr="009058A3">
        <w:rPr>
          <w:rFonts w:ascii="Google Sans Text" w:hAnsi="Google Sans Text"/>
          <w:sz w:val="24"/>
          <w:szCs w:val="24"/>
        </w:rPr>
        <w:t>IBM Journal of Research and Development 5(3): 183–191. https://doi.org/10.1147/rd.53.0183</w:t>
      </w:r>
    </w:p>
    <w:p w14:paraId="25E9A51D" w14:textId="77777777" w:rsidR="005822C6" w:rsidRPr="009058A3" w:rsidRDefault="005822C6" w:rsidP="005822C6">
      <w:pPr>
        <w:pBdr>
          <w:top w:val="nil"/>
          <w:left w:val="nil"/>
          <w:bottom w:val="nil"/>
          <w:right w:val="nil"/>
          <w:between w:val="nil"/>
        </w:pBdr>
        <w:ind w:left="600"/>
        <w:rPr>
          <w:rFonts w:ascii="Google Sans Text" w:hAnsi="Google Sans Text"/>
          <w:sz w:val="24"/>
          <w:szCs w:val="24"/>
        </w:rPr>
      </w:pPr>
    </w:p>
    <w:p w14:paraId="0F7010CC" w14:textId="77777777" w:rsidR="005822C6" w:rsidRPr="009058A3" w:rsidRDefault="005822C6" w:rsidP="005822C6">
      <w:pPr>
        <w:numPr>
          <w:ilvl w:val="0"/>
          <w:numId w:val="14"/>
        </w:numPr>
        <w:pBdr>
          <w:top w:val="nil"/>
          <w:left w:val="nil"/>
          <w:bottom w:val="nil"/>
          <w:right w:val="nil"/>
          <w:between w:val="nil"/>
        </w:pBdr>
        <w:rPr>
          <w:rFonts w:ascii="Google Sans Text" w:hAnsi="Google Sans Text"/>
          <w:sz w:val="24"/>
          <w:szCs w:val="24"/>
        </w:rPr>
      </w:pPr>
      <w:r w:rsidRPr="009058A3">
        <w:rPr>
          <w:rFonts w:ascii="Google Sans Text" w:hAnsi="Google Sans Text"/>
          <w:sz w:val="24"/>
          <w:szCs w:val="24"/>
        </w:rPr>
        <w:t>A. M. (OpenReview 2025). “The Geometry of Attention: Ricci Curvature and Transformers Training and Robustness.” (version OpenReview) https://openreview.net/forum?id=eeyhnqYbxw</w:t>
      </w:r>
    </w:p>
    <w:p w14:paraId="5106F785" w14:textId="2218668F" w:rsidR="005822C6" w:rsidRPr="009058A3" w:rsidRDefault="005822C6" w:rsidP="005822C6">
      <w:pPr>
        <w:pBdr>
          <w:top w:val="nil"/>
          <w:left w:val="nil"/>
          <w:bottom w:val="nil"/>
          <w:right w:val="nil"/>
          <w:between w:val="nil"/>
        </w:pBdr>
        <w:ind w:left="600"/>
        <w:rPr>
          <w:rFonts w:ascii="Google Sans Text" w:hAnsi="Google Sans Text"/>
          <w:sz w:val="24"/>
          <w:szCs w:val="24"/>
        </w:rPr>
      </w:pPr>
    </w:p>
    <w:sectPr w:rsidR="005822C6" w:rsidRPr="009058A3">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452B" w14:textId="77777777" w:rsidR="00B6647E" w:rsidRDefault="00B6647E" w:rsidP="00B6647E">
      <w:r>
        <w:separator/>
      </w:r>
    </w:p>
  </w:endnote>
  <w:endnote w:type="continuationSeparator" w:id="0">
    <w:p w14:paraId="5CF72692" w14:textId="77777777" w:rsidR="00B6647E" w:rsidRDefault="00B6647E" w:rsidP="00B6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C4F5B2E-14B3-4E4C-A8A0-6F9117C287D4}"/>
    <w:embedBold r:id="rId2" w:fontKey="{E1ACB462-0D0C-4D3C-B535-C433B13AD180}"/>
    <w:embedItalic r:id="rId3" w:fontKey="{8F184753-9EFD-4E08-AF87-A0D92B8D4903}"/>
  </w:font>
  <w:font w:name="Symbol">
    <w:panose1 w:val="05050102010706020507"/>
    <w:charset w:val="02"/>
    <w:family w:val="roman"/>
    <w:pitch w:val="variable"/>
    <w:sig w:usb0="00000000" w:usb1="10000000" w:usb2="00000000" w:usb3="00000000" w:csb0="80000000" w:csb1="00000000"/>
    <w:embedRegular r:id="rId4" w:fontKey="{C1D78182-1CEE-4CEA-85F2-649D8E4BE0AE}"/>
  </w:font>
  <w:font w:name="Times New Roman">
    <w:panose1 w:val="02020603050405020304"/>
    <w:charset w:val="00"/>
    <w:family w:val="roman"/>
    <w:pitch w:val="variable"/>
    <w:sig w:usb0="E0002EFF" w:usb1="C000785B" w:usb2="00000009" w:usb3="00000000" w:csb0="000001FF" w:csb1="00000000"/>
    <w:embedRegular r:id="rId5" w:fontKey="{BA22892A-B64F-4129-A381-55A726AFD43B}"/>
  </w:font>
  <w:font w:name="Courier New">
    <w:panose1 w:val="02070309020205020404"/>
    <w:charset w:val="00"/>
    <w:family w:val="modern"/>
    <w:pitch w:val="fixed"/>
    <w:sig w:usb0="E0002EFF" w:usb1="C0007843" w:usb2="00000009" w:usb3="00000000" w:csb0="000001FF" w:csb1="00000000"/>
    <w:embedRegular r:id="rId6" w:fontKey="{7F79EB9B-B282-46D0-BD8C-18FAEC1E1B16}"/>
  </w:font>
  <w:font w:name="Wingdings">
    <w:panose1 w:val="05000000000000000000"/>
    <w:charset w:val="02"/>
    <w:family w:val="auto"/>
    <w:pitch w:val="variable"/>
    <w:sig w:usb0="00000000" w:usb1="10000000" w:usb2="00000000" w:usb3="00000000" w:csb0="80000000" w:csb1="00000000"/>
    <w:embedRegular r:id="rId7" w:fontKey="{AEC9B756-7DAE-45F7-9BEF-E77F43BEF7DE}"/>
  </w:font>
  <w:font w:name="Georgia">
    <w:panose1 w:val="02040502050405020303"/>
    <w:charset w:val="00"/>
    <w:family w:val="roman"/>
    <w:pitch w:val="variable"/>
    <w:sig w:usb0="00000287" w:usb1="00000000" w:usb2="00000000" w:usb3="00000000" w:csb0="0000009F" w:csb1="00000000"/>
    <w:embedRegular r:id="rId8" w:fontKey="{2CA38FE7-460C-47AC-A223-0D3A64775C75}"/>
    <w:embedItalic r:id="rId9" w:fontKey="{734E69E5-1FE7-4152-B62C-02F11E67250C}"/>
  </w:font>
  <w:font w:name="Google Sans Text">
    <w:altName w:val="Calibri"/>
    <w:charset w:val="00"/>
    <w:family w:val="auto"/>
    <w:pitch w:val="default"/>
    <w:embedRegular r:id="rId10" w:fontKey="{3BEDBD39-F14D-4ADE-8CA3-A96EBB9988DC}"/>
    <w:embedBold r:id="rId11" w:fontKey="{7C3880DD-C346-4E8D-B6A1-9831931A4360}"/>
    <w:embedItalic r:id="rId12" w:fontKey="{4BF7CCBE-7CA3-4FF6-B136-AFDD6A102199}"/>
  </w:font>
  <w:font w:name="Google Sans">
    <w:charset w:val="00"/>
    <w:family w:val="auto"/>
    <w:pitch w:val="default"/>
    <w:embedRegular r:id="rId13" w:fontKey="{C894197D-1BCF-4E17-ACF1-36BE384A4FE1}"/>
    <w:embedBold r:id="rId14" w:fontKey="{A8CF6452-5543-4A3E-B16F-25F9EB3C9A61}"/>
    <w:embedItalic r:id="rId15" w:fontKey="{3F3CFCE1-264E-4D06-B9F1-6EFAF41BDD6C}"/>
    <w:embedBoldItalic r:id="rId16" w:fontKey="{6282E308-051A-4168-A461-ACD981A18B7D}"/>
  </w:font>
  <w:font w:name="___WRD_EMBED_SUB_46">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7" w:fontKey="{685BE098-94FB-4F99-A459-BA2EFF068207}"/>
    <w:embedBold r:id="rId18" w:fontKey="{FBE96C9D-FADA-4AE2-9AB7-BEF5B7BB605B}"/>
  </w:font>
  <w:font w:name="___WRD_EMBED_SUB_49">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9" w:fontKey="{847803EC-7088-4509-BEC4-15B387A31D0A}"/>
  </w:font>
  <w:font w:name="Aptos">
    <w:charset w:val="00"/>
    <w:family w:val="swiss"/>
    <w:pitch w:val="variable"/>
    <w:sig w:usb0="20000287" w:usb1="00000003" w:usb2="00000000" w:usb3="00000000" w:csb0="0000019F" w:csb1="00000000"/>
    <w:embedRegular r:id="rId20" w:fontKey="{EDAC3EC0-504A-462D-BE8A-97D361501E40}"/>
  </w:font>
  <w:font w:name="Cambria">
    <w:panose1 w:val="02040503050406030204"/>
    <w:charset w:val="00"/>
    <w:family w:val="roman"/>
    <w:pitch w:val="variable"/>
    <w:sig w:usb0="E00006FF" w:usb1="420024FF" w:usb2="02000000" w:usb3="00000000" w:csb0="0000019F" w:csb1="00000000"/>
    <w:embedRegular r:id="rId21" w:fontKey="{23E6EC0C-C6EB-48AB-BAE7-22E98886FC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985938"/>
      <w:docPartObj>
        <w:docPartGallery w:val="Page Numbers (Bottom of Page)"/>
        <w:docPartUnique/>
      </w:docPartObj>
    </w:sdtPr>
    <w:sdtEndPr/>
    <w:sdtContent>
      <w:p w14:paraId="50E8F98B" w14:textId="3CD9CB0D" w:rsidR="00BF2C58" w:rsidRDefault="00BF2C58">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ADFF" w14:textId="77777777" w:rsidR="00B6647E" w:rsidRDefault="00B6647E" w:rsidP="00B6647E">
      <w:r>
        <w:separator/>
      </w:r>
    </w:p>
  </w:footnote>
  <w:footnote w:type="continuationSeparator" w:id="0">
    <w:p w14:paraId="73033408" w14:textId="77777777" w:rsidR="00B6647E" w:rsidRDefault="00B6647E" w:rsidP="00B6647E">
      <w:r>
        <w:continuationSeparator/>
      </w:r>
    </w:p>
  </w:footnote>
  <w:footnote w:id="1">
    <w:p w14:paraId="59A22DF4" w14:textId="75431A81" w:rsidR="004C647D" w:rsidRDefault="004C647D">
      <w:pPr>
        <w:pStyle w:val="Notedebasdepage"/>
      </w:pPr>
      <w:r>
        <w:rPr>
          <w:rStyle w:val="Appelnotedebasdep"/>
        </w:rPr>
        <w:footnoteRef/>
      </w:r>
      <w:r>
        <w:t xml:space="preserve"> </w:t>
      </w:r>
      <w:r w:rsidRPr="004C647D">
        <w:t>« Principe de Landauer : effacement irréversible d’1 bit ≥ kBTln</w:t>
      </w:r>
      <w:r w:rsidRPr="004C647D">
        <w:rPr>
          <w:rFonts w:ascii="Cambria Math" w:hAnsi="Cambria Math" w:cs="Cambria Math"/>
        </w:rPr>
        <w:t>⁡</w:t>
      </w:r>
      <w:r w:rsidRPr="004C647D">
        <w:t>2k_B T\ln 2kB​Tln2. »</w:t>
      </w:r>
      <w:r w:rsidRPr="004C647D">
        <w:br/>
      </w:r>
      <w:r w:rsidRPr="004C647D">
        <w:rPr>
          <w:b/>
          <w:bCs/>
        </w:rPr>
        <w:t>Réf.</w:t>
      </w:r>
      <w:r w:rsidRPr="004C647D">
        <w:t xml:space="preserve"> : Landauer, </w:t>
      </w:r>
      <w:r w:rsidRPr="004C647D">
        <w:rPr>
          <w:i/>
          <w:iCs/>
        </w:rPr>
        <w:t>IBM J. Res. Dev.</w:t>
      </w:r>
      <w:r w:rsidRPr="004C647D">
        <w:t xml:space="preserve"> </w:t>
      </w:r>
      <w:r w:rsidRPr="004C647D">
        <w:rPr>
          <w:b/>
          <w:bCs/>
        </w:rPr>
        <w:t>5</w:t>
      </w:r>
      <w:r w:rsidRPr="004C647D">
        <w:t xml:space="preserve"> (1961) 183–191</w:t>
      </w:r>
    </w:p>
  </w:footnote>
  <w:footnote w:id="2">
    <w:p w14:paraId="7B488FB2" w14:textId="1440E7A6" w:rsidR="004E368F" w:rsidRPr="0064214B" w:rsidRDefault="004E368F" w:rsidP="004E368F">
      <w:pPr>
        <w:pStyle w:val="Pieddepage"/>
      </w:pPr>
      <w:r>
        <w:rPr>
          <w:rStyle w:val="Appelnotedebasdep"/>
        </w:rPr>
        <w:footnoteRef/>
      </w:r>
      <w:r>
        <w:t xml:space="preserve"> </w:t>
      </w:r>
      <w:r w:rsidRPr="0064214B">
        <w:t>Forme canonique de l’entropie de Bekenstein–Hawking</w:t>
      </w:r>
    </w:p>
    <w:p w14:paraId="601FF44B" w14:textId="29BD9BF9" w:rsidR="004E368F" w:rsidRDefault="004E368F">
      <w:pPr>
        <w:pStyle w:val="Notedebasdepage"/>
      </w:pPr>
    </w:p>
  </w:footnote>
  <w:footnote w:id="3">
    <w:p w14:paraId="56F623DA" w14:textId="58192AB8" w:rsidR="00E06098" w:rsidRDefault="00E06098">
      <w:pPr>
        <w:pStyle w:val="Notedebasdepage"/>
      </w:pPr>
      <w:r>
        <w:rPr>
          <w:rStyle w:val="Appelnotedebasdep"/>
        </w:rPr>
        <w:footnoteRef/>
      </w:r>
      <w:r>
        <w:t xml:space="preserve"> </w:t>
      </w:r>
    </w:p>
  </w:footnote>
  <w:footnote w:id="4">
    <w:p w14:paraId="023C7324" w14:textId="17AF4A17" w:rsidR="00FA6C13" w:rsidRDefault="00FA6C13">
      <w:pPr>
        <w:pStyle w:val="Notedebasdepage"/>
      </w:pPr>
      <w:r>
        <w:rPr>
          <w:rStyle w:val="Appelnotedebasdep"/>
        </w:rPr>
        <w:footnoteRef/>
      </w:r>
      <w:r>
        <w:t xml:space="preserve"> </w:t>
      </w:r>
      <w:r w:rsidRPr="00FA6C13">
        <w:t xml:space="preserve">Ollivier, </w:t>
      </w:r>
      <w:r w:rsidRPr="00FA6C13">
        <w:rPr>
          <w:i/>
          <w:iCs/>
        </w:rPr>
        <w:t>J. Funct. Anal.</w:t>
      </w:r>
      <w:r w:rsidRPr="00FA6C13">
        <w:t xml:space="preserve"> </w:t>
      </w:r>
      <w:r w:rsidRPr="00FA6C13">
        <w:rPr>
          <w:b/>
          <w:bCs/>
        </w:rPr>
        <w:t>256</w:t>
      </w:r>
      <w:r w:rsidRPr="00FA6C13">
        <w:t xml:space="preserve"> (2009) ; Joulin &amp; Ollivier, </w:t>
      </w:r>
      <w:r w:rsidRPr="00FA6C13">
        <w:rPr>
          <w:i/>
          <w:iCs/>
        </w:rPr>
        <w:t>Ann. Probab.</w:t>
      </w:r>
      <w:r w:rsidRPr="00FA6C13">
        <w:t xml:space="preserve"> </w:t>
      </w:r>
      <w:r w:rsidRPr="00FA6C13">
        <w:rPr>
          <w:b/>
          <w:bCs/>
        </w:rPr>
        <w:t>38</w:t>
      </w:r>
      <w:r w:rsidRPr="00FA6C13">
        <w:t xml:space="preserve"> (2010).</w:t>
      </w:r>
    </w:p>
  </w:footnote>
  <w:footnote w:id="5">
    <w:p w14:paraId="1B44CDE6" w14:textId="2F1795DA" w:rsidR="0081371B" w:rsidRDefault="0081371B">
      <w:pPr>
        <w:pStyle w:val="Notedebasdepage"/>
      </w:pPr>
      <w:r>
        <w:rPr>
          <w:rStyle w:val="Appelnotedebasdep"/>
        </w:rPr>
        <w:footnoteRef/>
      </w:r>
      <w:r>
        <w:t xml:space="preserve"> </w:t>
      </w:r>
      <w:r w:rsidRPr="0081371B">
        <w:t>définition d’Ollivier (2009) ; résultats de contractivité (Joulin–Ollivier 2010)</w:t>
      </w:r>
    </w:p>
  </w:footnote>
  <w:footnote w:id="6">
    <w:p w14:paraId="3F320DB0" w14:textId="7B03E9A3" w:rsidR="00D757E6" w:rsidRDefault="00D757E6">
      <w:pPr>
        <w:pStyle w:val="Notedebasdepage"/>
      </w:pPr>
      <w:r>
        <w:rPr>
          <w:rStyle w:val="Appelnotedebasdep"/>
        </w:rPr>
        <w:footnoteRef/>
      </w:r>
      <w:r>
        <w:t xml:space="preserve"> </w:t>
      </w:r>
      <w:r w:rsidRPr="00D757E6">
        <w:t>définition de κ\kappaκ d’Ollivier ; Lipschitz L1L_1L1​ de la softmax tel qu’énoncé en Annexe A/E du manuscrit.</w:t>
      </w:r>
    </w:p>
  </w:footnote>
  <w:footnote w:id="7">
    <w:p w14:paraId="4C9F6C57" w14:textId="604EBD4C" w:rsidR="00A86E97" w:rsidRPr="00A86E97" w:rsidRDefault="00A86E97">
      <w:pPr>
        <w:pStyle w:val="Notedebasdepage"/>
      </w:pPr>
      <w:r w:rsidRPr="00A86E97">
        <w:rPr>
          <w:rStyle w:val="Appelnotedebasdep"/>
        </w:rPr>
        <w:footnoteRef/>
      </w:r>
      <w:r w:rsidRPr="00A86E97">
        <w:t xml:space="preserve"> </w:t>
      </w:r>
      <w:r w:rsidRPr="0092076B">
        <w:t>contraction en Wasserstein sous κmin</w:t>
      </w:r>
      <w:r w:rsidRPr="0092076B">
        <w:rPr>
          <w:rFonts w:ascii="Cambria Math" w:hAnsi="Cambria Math" w:cs="Cambria Math"/>
        </w:rPr>
        <w:t>⁡</w:t>
      </w:r>
      <w:r w:rsidRPr="0092076B">
        <w:t>&gt;0\kappa_{\min}&gt;0κmin​&gt;0</w:t>
      </w:r>
    </w:p>
  </w:footnote>
  <w:footnote w:id="8">
    <w:p w14:paraId="4A153D83" w14:textId="6F5DAF41" w:rsidR="00A624E8" w:rsidRDefault="00A624E8">
      <w:pPr>
        <w:pStyle w:val="Notedebasdepage"/>
      </w:pPr>
      <w:r>
        <w:rPr>
          <w:rStyle w:val="Appelnotedebasdep"/>
        </w:rPr>
        <w:footnoteRef/>
      </w:r>
      <w:r>
        <w:t xml:space="preserve"> </w:t>
      </w:r>
      <w:r w:rsidRPr="00A624E8">
        <w:t>TruthfulQA (ACL 2022) ; accord humain</w:t>
      </w:r>
      <w:r w:rsidRPr="00A624E8">
        <w:noBreakHyphen/>
        <w:t>LLM</w:t>
      </w:r>
      <w:r w:rsidRPr="00A624E8">
        <w:noBreakHyphen/>
        <w:t>judge ≈ 80 % et biais (position/verbosité) – voir analyses</w:t>
      </w:r>
    </w:p>
  </w:footnote>
  <w:footnote w:id="9">
    <w:p w14:paraId="2D0F6658" w14:textId="10585595" w:rsidR="000B4906" w:rsidRPr="00C423C0" w:rsidRDefault="000B4906" w:rsidP="000B4906">
      <w:pPr>
        <w:pBdr>
          <w:top w:val="nil"/>
          <w:left w:val="nil"/>
          <w:bottom w:val="nil"/>
          <w:right w:val="nil"/>
          <w:between w:val="nil"/>
        </w:pBdr>
        <w:spacing w:after="120" w:line="275" w:lineRule="auto"/>
        <w:ind w:left="105"/>
        <w:rPr>
          <w:rFonts w:ascii="Google Sans Text" w:hAnsi="Google Sans Text"/>
          <w:sz w:val="24"/>
          <w:szCs w:val="24"/>
        </w:rPr>
      </w:pPr>
      <w:r>
        <w:rPr>
          <w:rStyle w:val="Appelnotedebasdep"/>
        </w:rPr>
        <w:footnoteRef/>
      </w:r>
      <w:r w:rsidRPr="000B4906">
        <w:rPr>
          <w:rFonts w:ascii="Google Sans Text" w:hAnsi="Google Sans Text"/>
          <w:sz w:val="20"/>
          <w:szCs w:val="20"/>
        </w:rPr>
        <w:t xml:space="preserve"> Zheng et al., NeurIPS 2023 (MT‑Bench/Arena) ; “Judging the Judges”, 2024–25.</w:t>
      </w:r>
    </w:p>
    <w:p w14:paraId="5947E194" w14:textId="42D6132A" w:rsidR="000B4906" w:rsidRDefault="000B4906">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2EF491D"/>
    <w:multiLevelType w:val="multilevel"/>
    <w:tmpl w:val="3940C85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60641D4"/>
    <w:multiLevelType w:val="hybridMultilevel"/>
    <w:tmpl w:val="40E045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377D31"/>
    <w:multiLevelType w:val="multilevel"/>
    <w:tmpl w:val="35B827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12B5CB8"/>
    <w:multiLevelType w:val="multilevel"/>
    <w:tmpl w:val="7C4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59B02DB"/>
    <w:multiLevelType w:val="multilevel"/>
    <w:tmpl w:val="935E18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16097EC8"/>
    <w:multiLevelType w:val="multilevel"/>
    <w:tmpl w:val="3716B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1651496E"/>
    <w:multiLevelType w:val="hybridMultilevel"/>
    <w:tmpl w:val="81AC2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3C316C"/>
    <w:multiLevelType w:val="multilevel"/>
    <w:tmpl w:val="F9C6A1E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283C3166"/>
    <w:multiLevelType w:val="multilevel"/>
    <w:tmpl w:val="C86C8B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F3827B0"/>
    <w:multiLevelType w:val="multilevel"/>
    <w:tmpl w:val="A1F0F9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3E307D65"/>
    <w:multiLevelType w:val="multilevel"/>
    <w:tmpl w:val="DE88BB7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4FC45F10"/>
    <w:multiLevelType w:val="multilevel"/>
    <w:tmpl w:val="6A0CEC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D6A78DA"/>
    <w:multiLevelType w:val="multilevel"/>
    <w:tmpl w:val="39106D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641D783B"/>
    <w:multiLevelType w:val="multilevel"/>
    <w:tmpl w:val="7ED077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6687120B"/>
    <w:multiLevelType w:val="multilevel"/>
    <w:tmpl w:val="D660A64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693F7658"/>
    <w:multiLevelType w:val="multilevel"/>
    <w:tmpl w:val="A7AC16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7AAD08C0"/>
    <w:multiLevelType w:val="multilevel"/>
    <w:tmpl w:val="B36A80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7DD5266C"/>
    <w:multiLevelType w:val="multilevel"/>
    <w:tmpl w:val="4E02FD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7DF03341"/>
    <w:multiLevelType w:val="multilevel"/>
    <w:tmpl w:val="0CC64F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966860318">
    <w:abstractNumId w:val="7"/>
  </w:num>
  <w:num w:numId="2" w16cid:durableId="869689657">
    <w:abstractNumId w:val="0"/>
  </w:num>
  <w:num w:numId="3" w16cid:durableId="551961505">
    <w:abstractNumId w:val="2"/>
  </w:num>
  <w:num w:numId="4" w16cid:durableId="254679611">
    <w:abstractNumId w:val="8"/>
  </w:num>
  <w:num w:numId="5" w16cid:durableId="1897936984">
    <w:abstractNumId w:val="3"/>
  </w:num>
  <w:num w:numId="6" w16cid:durableId="1782725123">
    <w:abstractNumId w:val="9"/>
  </w:num>
  <w:num w:numId="7" w16cid:durableId="979766005">
    <w:abstractNumId w:val="12"/>
  </w:num>
  <w:num w:numId="8" w16cid:durableId="360977568">
    <w:abstractNumId w:val="5"/>
  </w:num>
  <w:num w:numId="9" w16cid:durableId="222376488">
    <w:abstractNumId w:val="17"/>
  </w:num>
  <w:num w:numId="10" w16cid:durableId="1699575579">
    <w:abstractNumId w:val="15"/>
  </w:num>
  <w:num w:numId="11" w16cid:durableId="599064801">
    <w:abstractNumId w:val="4"/>
  </w:num>
  <w:num w:numId="12" w16cid:durableId="1946837960">
    <w:abstractNumId w:val="11"/>
  </w:num>
  <w:num w:numId="13" w16cid:durableId="1456168808">
    <w:abstractNumId w:val="13"/>
  </w:num>
  <w:num w:numId="14" w16cid:durableId="863909493">
    <w:abstractNumId w:val="14"/>
  </w:num>
  <w:num w:numId="15" w16cid:durableId="975065990">
    <w:abstractNumId w:val="16"/>
  </w:num>
  <w:num w:numId="16" w16cid:durableId="244998335">
    <w:abstractNumId w:val="10"/>
  </w:num>
  <w:num w:numId="17" w16cid:durableId="155151368">
    <w:abstractNumId w:val="18"/>
  </w:num>
  <w:num w:numId="18" w16cid:durableId="145125113">
    <w:abstractNumId w:val="1"/>
  </w:num>
  <w:num w:numId="19" w16cid:durableId="814377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C7"/>
    <w:rsid w:val="00016DFE"/>
    <w:rsid w:val="00024D1E"/>
    <w:rsid w:val="00043A4F"/>
    <w:rsid w:val="00044299"/>
    <w:rsid w:val="000A39C7"/>
    <w:rsid w:val="000A4230"/>
    <w:rsid w:val="000B3E20"/>
    <w:rsid w:val="000B4906"/>
    <w:rsid w:val="000B4DE6"/>
    <w:rsid w:val="000C48C3"/>
    <w:rsid w:val="00134E0B"/>
    <w:rsid w:val="00137B35"/>
    <w:rsid w:val="00144DCD"/>
    <w:rsid w:val="001560AF"/>
    <w:rsid w:val="00172DA8"/>
    <w:rsid w:val="0019588D"/>
    <w:rsid w:val="001D0298"/>
    <w:rsid w:val="001D4E7E"/>
    <w:rsid w:val="001E3AA4"/>
    <w:rsid w:val="00222100"/>
    <w:rsid w:val="00276417"/>
    <w:rsid w:val="00277A3F"/>
    <w:rsid w:val="002859F2"/>
    <w:rsid w:val="00291584"/>
    <w:rsid w:val="002939A2"/>
    <w:rsid w:val="00295764"/>
    <w:rsid w:val="002B5ADB"/>
    <w:rsid w:val="002B7050"/>
    <w:rsid w:val="002C121E"/>
    <w:rsid w:val="002D47B0"/>
    <w:rsid w:val="002D4C7A"/>
    <w:rsid w:val="002E4597"/>
    <w:rsid w:val="00302529"/>
    <w:rsid w:val="00303EB1"/>
    <w:rsid w:val="003311A9"/>
    <w:rsid w:val="00357D2F"/>
    <w:rsid w:val="00357FE7"/>
    <w:rsid w:val="00366743"/>
    <w:rsid w:val="00380C0F"/>
    <w:rsid w:val="00381FAC"/>
    <w:rsid w:val="00392809"/>
    <w:rsid w:val="003A788D"/>
    <w:rsid w:val="003B3627"/>
    <w:rsid w:val="003B588E"/>
    <w:rsid w:val="003C7BCA"/>
    <w:rsid w:val="003D5B29"/>
    <w:rsid w:val="003E12D7"/>
    <w:rsid w:val="00416A55"/>
    <w:rsid w:val="004262CC"/>
    <w:rsid w:val="00434F7F"/>
    <w:rsid w:val="00452A93"/>
    <w:rsid w:val="00462A59"/>
    <w:rsid w:val="00464F21"/>
    <w:rsid w:val="00483E5F"/>
    <w:rsid w:val="0049000B"/>
    <w:rsid w:val="004931E8"/>
    <w:rsid w:val="004965A9"/>
    <w:rsid w:val="004B2BB0"/>
    <w:rsid w:val="004B62F4"/>
    <w:rsid w:val="004C1801"/>
    <w:rsid w:val="004C647D"/>
    <w:rsid w:val="004D64C2"/>
    <w:rsid w:val="004E2E2C"/>
    <w:rsid w:val="004E368F"/>
    <w:rsid w:val="004E4666"/>
    <w:rsid w:val="004E6AA2"/>
    <w:rsid w:val="00501EE4"/>
    <w:rsid w:val="0051708C"/>
    <w:rsid w:val="005255C7"/>
    <w:rsid w:val="00535920"/>
    <w:rsid w:val="00555B69"/>
    <w:rsid w:val="00575366"/>
    <w:rsid w:val="005822C6"/>
    <w:rsid w:val="0059735B"/>
    <w:rsid w:val="005B0B34"/>
    <w:rsid w:val="005B5D83"/>
    <w:rsid w:val="005B696F"/>
    <w:rsid w:val="005C7D52"/>
    <w:rsid w:val="005E1214"/>
    <w:rsid w:val="00605F80"/>
    <w:rsid w:val="006146D1"/>
    <w:rsid w:val="0064214B"/>
    <w:rsid w:val="00642316"/>
    <w:rsid w:val="00661AB4"/>
    <w:rsid w:val="0066307D"/>
    <w:rsid w:val="00682259"/>
    <w:rsid w:val="00686148"/>
    <w:rsid w:val="0069706A"/>
    <w:rsid w:val="006C1C94"/>
    <w:rsid w:val="006D4D2E"/>
    <w:rsid w:val="006E229A"/>
    <w:rsid w:val="006E71DE"/>
    <w:rsid w:val="006F408A"/>
    <w:rsid w:val="006F7D71"/>
    <w:rsid w:val="007060C1"/>
    <w:rsid w:val="00706FA7"/>
    <w:rsid w:val="00734EF3"/>
    <w:rsid w:val="007406C1"/>
    <w:rsid w:val="00756085"/>
    <w:rsid w:val="00756364"/>
    <w:rsid w:val="007636E1"/>
    <w:rsid w:val="00764126"/>
    <w:rsid w:val="00770D7D"/>
    <w:rsid w:val="00786960"/>
    <w:rsid w:val="00791AFB"/>
    <w:rsid w:val="0079559B"/>
    <w:rsid w:val="007A75D6"/>
    <w:rsid w:val="007B3679"/>
    <w:rsid w:val="007B71E6"/>
    <w:rsid w:val="007D3ECA"/>
    <w:rsid w:val="007E35F1"/>
    <w:rsid w:val="007F1CFD"/>
    <w:rsid w:val="008122C5"/>
    <w:rsid w:val="0081371B"/>
    <w:rsid w:val="008235F5"/>
    <w:rsid w:val="00833618"/>
    <w:rsid w:val="00834E8E"/>
    <w:rsid w:val="00850FD2"/>
    <w:rsid w:val="00856560"/>
    <w:rsid w:val="00860A4D"/>
    <w:rsid w:val="00871AF8"/>
    <w:rsid w:val="0087420A"/>
    <w:rsid w:val="008A5226"/>
    <w:rsid w:val="008A7425"/>
    <w:rsid w:val="008D64F1"/>
    <w:rsid w:val="008E18AC"/>
    <w:rsid w:val="008F2030"/>
    <w:rsid w:val="009058A3"/>
    <w:rsid w:val="0092076B"/>
    <w:rsid w:val="00925297"/>
    <w:rsid w:val="0093051F"/>
    <w:rsid w:val="00936473"/>
    <w:rsid w:val="009413C5"/>
    <w:rsid w:val="0094174A"/>
    <w:rsid w:val="009506D7"/>
    <w:rsid w:val="00956B83"/>
    <w:rsid w:val="009B098D"/>
    <w:rsid w:val="009D4709"/>
    <w:rsid w:val="009D4B0A"/>
    <w:rsid w:val="009D6F0C"/>
    <w:rsid w:val="009E095D"/>
    <w:rsid w:val="009F0CDF"/>
    <w:rsid w:val="009F580C"/>
    <w:rsid w:val="009F643E"/>
    <w:rsid w:val="00A113D7"/>
    <w:rsid w:val="00A16270"/>
    <w:rsid w:val="00A230E2"/>
    <w:rsid w:val="00A347E3"/>
    <w:rsid w:val="00A37E8B"/>
    <w:rsid w:val="00A516A4"/>
    <w:rsid w:val="00A574B5"/>
    <w:rsid w:val="00A624E8"/>
    <w:rsid w:val="00A65EF2"/>
    <w:rsid w:val="00A70801"/>
    <w:rsid w:val="00A73D67"/>
    <w:rsid w:val="00A73E5C"/>
    <w:rsid w:val="00A771CD"/>
    <w:rsid w:val="00A86E97"/>
    <w:rsid w:val="00AA35A3"/>
    <w:rsid w:val="00AB51B0"/>
    <w:rsid w:val="00AC1AB4"/>
    <w:rsid w:val="00AD41BD"/>
    <w:rsid w:val="00AE33D8"/>
    <w:rsid w:val="00AF6D2E"/>
    <w:rsid w:val="00B029FB"/>
    <w:rsid w:val="00B032CD"/>
    <w:rsid w:val="00B44D8E"/>
    <w:rsid w:val="00B51C34"/>
    <w:rsid w:val="00B55DB3"/>
    <w:rsid w:val="00B60874"/>
    <w:rsid w:val="00B6647E"/>
    <w:rsid w:val="00B6649A"/>
    <w:rsid w:val="00B82512"/>
    <w:rsid w:val="00B911E1"/>
    <w:rsid w:val="00BD5417"/>
    <w:rsid w:val="00BF2C58"/>
    <w:rsid w:val="00BF5E87"/>
    <w:rsid w:val="00C10725"/>
    <w:rsid w:val="00C30503"/>
    <w:rsid w:val="00C3110C"/>
    <w:rsid w:val="00C3143F"/>
    <w:rsid w:val="00C423C0"/>
    <w:rsid w:val="00C54CD2"/>
    <w:rsid w:val="00C603A1"/>
    <w:rsid w:val="00C6477A"/>
    <w:rsid w:val="00C64932"/>
    <w:rsid w:val="00C65545"/>
    <w:rsid w:val="00C7557F"/>
    <w:rsid w:val="00C76E58"/>
    <w:rsid w:val="00C85231"/>
    <w:rsid w:val="00C86719"/>
    <w:rsid w:val="00CA7974"/>
    <w:rsid w:val="00CB4F00"/>
    <w:rsid w:val="00CE074E"/>
    <w:rsid w:val="00CE4B41"/>
    <w:rsid w:val="00CF70C6"/>
    <w:rsid w:val="00D105B0"/>
    <w:rsid w:val="00D274C3"/>
    <w:rsid w:val="00D45716"/>
    <w:rsid w:val="00D62CD9"/>
    <w:rsid w:val="00D70258"/>
    <w:rsid w:val="00D70D3E"/>
    <w:rsid w:val="00D757E6"/>
    <w:rsid w:val="00D7793D"/>
    <w:rsid w:val="00D94F3D"/>
    <w:rsid w:val="00DB2BC4"/>
    <w:rsid w:val="00DB2BEB"/>
    <w:rsid w:val="00DC793D"/>
    <w:rsid w:val="00DD4F3E"/>
    <w:rsid w:val="00DD6ACA"/>
    <w:rsid w:val="00DF0CDB"/>
    <w:rsid w:val="00E06098"/>
    <w:rsid w:val="00E070E2"/>
    <w:rsid w:val="00E211B1"/>
    <w:rsid w:val="00E2700F"/>
    <w:rsid w:val="00E30D49"/>
    <w:rsid w:val="00E5538A"/>
    <w:rsid w:val="00E808C2"/>
    <w:rsid w:val="00E815CA"/>
    <w:rsid w:val="00E8332E"/>
    <w:rsid w:val="00ED2792"/>
    <w:rsid w:val="00ED706D"/>
    <w:rsid w:val="00EF4305"/>
    <w:rsid w:val="00EF5D60"/>
    <w:rsid w:val="00F100DF"/>
    <w:rsid w:val="00F30D0A"/>
    <w:rsid w:val="00F3416F"/>
    <w:rsid w:val="00F37C35"/>
    <w:rsid w:val="00F75311"/>
    <w:rsid w:val="00F86950"/>
    <w:rsid w:val="00FA317C"/>
    <w:rsid w:val="00FA6C13"/>
    <w:rsid w:val="00FB114B"/>
    <w:rsid w:val="00FF32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481DB"/>
  <w15:docId w15:val="{2CCB9855-A648-41C8-92BC-3FF10CFD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Titre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Titre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Titre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Titre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Titre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B6647E"/>
    <w:pPr>
      <w:tabs>
        <w:tab w:val="center" w:pos="4536"/>
        <w:tab w:val="right" w:pos="9072"/>
      </w:tabs>
    </w:pPr>
  </w:style>
  <w:style w:type="character" w:customStyle="1" w:styleId="En-tteCar">
    <w:name w:val="En-tête Car"/>
    <w:basedOn w:val="Policepardfaut"/>
    <w:link w:val="En-tte"/>
    <w:uiPriority w:val="99"/>
    <w:rsid w:val="00B6647E"/>
  </w:style>
  <w:style w:type="paragraph" w:styleId="Pieddepage">
    <w:name w:val="footer"/>
    <w:basedOn w:val="Normal"/>
    <w:link w:val="PieddepageCar"/>
    <w:uiPriority w:val="99"/>
    <w:unhideWhenUsed/>
    <w:rsid w:val="00B6647E"/>
    <w:pPr>
      <w:tabs>
        <w:tab w:val="center" w:pos="4536"/>
        <w:tab w:val="right" w:pos="9072"/>
      </w:tabs>
    </w:pPr>
  </w:style>
  <w:style w:type="character" w:customStyle="1" w:styleId="PieddepageCar">
    <w:name w:val="Pied de page Car"/>
    <w:basedOn w:val="Policepardfaut"/>
    <w:link w:val="Pieddepage"/>
    <w:uiPriority w:val="99"/>
    <w:rsid w:val="00B6647E"/>
  </w:style>
  <w:style w:type="table" w:styleId="Grilledutableau">
    <w:name w:val="Table Grid"/>
    <w:basedOn w:val="TableauNormal"/>
    <w:uiPriority w:val="39"/>
    <w:rsid w:val="00D77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5E87"/>
    <w:pPr>
      <w:ind w:left="720"/>
      <w:contextualSpacing/>
    </w:pPr>
  </w:style>
  <w:style w:type="paragraph" w:styleId="Notedebasdepage">
    <w:name w:val="footnote text"/>
    <w:basedOn w:val="Normal"/>
    <w:link w:val="NotedebasdepageCar"/>
    <w:uiPriority w:val="99"/>
    <w:semiHidden/>
    <w:unhideWhenUsed/>
    <w:rsid w:val="00E06098"/>
    <w:rPr>
      <w:sz w:val="20"/>
      <w:szCs w:val="20"/>
    </w:rPr>
  </w:style>
  <w:style w:type="character" w:customStyle="1" w:styleId="NotedebasdepageCar">
    <w:name w:val="Note de bas de page Car"/>
    <w:basedOn w:val="Policepardfaut"/>
    <w:link w:val="Notedebasdepage"/>
    <w:uiPriority w:val="99"/>
    <w:semiHidden/>
    <w:rsid w:val="00E06098"/>
    <w:rPr>
      <w:sz w:val="20"/>
      <w:szCs w:val="20"/>
    </w:rPr>
  </w:style>
  <w:style w:type="character" w:styleId="Appelnotedebasdep">
    <w:name w:val="footnote reference"/>
    <w:basedOn w:val="Policepardfaut"/>
    <w:uiPriority w:val="99"/>
    <w:semiHidden/>
    <w:unhideWhenUsed/>
    <w:rsid w:val="00E06098"/>
    <w:rPr>
      <w:vertAlign w:val="superscript"/>
    </w:rPr>
  </w:style>
  <w:style w:type="paragraph" w:styleId="NormalWeb">
    <w:name w:val="Normal (Web)"/>
    <w:basedOn w:val="Normal"/>
    <w:uiPriority w:val="99"/>
    <w:semiHidden/>
    <w:unhideWhenUsed/>
    <w:rsid w:val="00D62CD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30CD-E725-4F69-8D5D-CD450C14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42</Pages>
  <Words>11858</Words>
  <Characters>65223</Characters>
  <Application>Microsoft Office Word</Application>
  <DocSecurity>0</DocSecurity>
  <Lines>543</Lines>
  <Paragraphs>153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darragi</dc:creator>
  <cp:lastModifiedBy>Gilles DARRAGI</cp:lastModifiedBy>
  <cp:revision>63</cp:revision>
  <dcterms:created xsi:type="dcterms:W3CDTF">2025-08-16T11:04:00Z</dcterms:created>
  <dcterms:modified xsi:type="dcterms:W3CDTF">2025-08-28T19:01:00Z</dcterms:modified>
</cp:coreProperties>
</file>