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09A" w:rsidRDefault="00392F6B">
      <w:pPr>
        <w:jc w:val="center"/>
      </w:pPr>
      <w:r>
        <w:rPr>
          <w:b/>
          <w:sz w:val="32"/>
        </w:rPr>
        <w:t>Performance Analysis and Optimization of Solar PV Integrated with Second-Life EV Batteries for Distributed Generation in Pakistan</w:t>
      </w:r>
    </w:p>
    <w:p w:rsidR="00A7509A" w:rsidRDefault="00392F6B">
      <w:pPr>
        <w:jc w:val="center"/>
      </w:pPr>
      <w:r>
        <w:t>Engr. Abdul Rehman Faiz</w:t>
      </w:r>
      <w:r>
        <w:br/>
        <w:t>Department of Electrical Engineering, University of Sargodha, Pakistan</w:t>
      </w:r>
      <w:r>
        <w:br/>
        <w:t xml:space="preserve">Email: </w:t>
      </w:r>
      <w:r>
        <w:t>abdulrahmanfaiz90@gmail.com</w:t>
      </w:r>
    </w:p>
    <w:p w:rsidR="00A7509A" w:rsidRDefault="00392F6B">
      <w:pPr>
        <w:pStyle w:val="Heading1"/>
      </w:pPr>
      <w:r>
        <w:t>Abstract</w:t>
      </w:r>
    </w:p>
    <w:p w:rsidR="00A7509A" w:rsidRDefault="00392F6B">
      <w:r>
        <w:t>This paper investigates a residential hybrid solar photovoltaic (PV) system integrated with repurposed (second-life) electric vehicle (EV) batteries for distributed generation (DG) in Pakistan. A MATLAB/Simulink-style m</w:t>
      </w:r>
      <w:r>
        <w:t>odel is used to simulate PV–battery–grid interactions using a representative household load and a clear-sky irradiance day for Punjab. We compare new (10 kWh) and second-life (8 kWh at ~80% SoH) lithium-ion batteries with simple rule-based dispatch. Placeh</w:t>
      </w:r>
      <w:r>
        <w:t>older simulation outputs show significant reductions in grid imports for both cases, with second-life batteries achieving ~85–90% of the self-sufficiency of new batteries at lower capital cost. We discuss sizing and dispatch optimization and outline policy</w:t>
      </w:r>
      <w:r>
        <w:t xml:space="preserve"> and safety considerations for Pakistan’s emerging circular battery economy.</w:t>
      </w:r>
    </w:p>
    <w:p w:rsidR="00A7509A" w:rsidRDefault="00392F6B">
      <w:pPr>
        <w:pStyle w:val="Heading1"/>
      </w:pPr>
      <w:r>
        <w:t>Keywords</w:t>
      </w:r>
    </w:p>
    <w:p w:rsidR="00A7509A" w:rsidRDefault="00392F6B">
      <w:r>
        <w:t>Solar PV; Second-life EV batteries; Distributed generation; Battery degradation; Pakistan; Energy storage.</w:t>
      </w:r>
    </w:p>
    <w:p w:rsidR="00A7509A" w:rsidRDefault="00392F6B">
      <w:pPr>
        <w:pStyle w:val="Heading1"/>
      </w:pPr>
      <w:r>
        <w:t>I. Introduction</w:t>
      </w:r>
    </w:p>
    <w:p w:rsidR="00A7509A" w:rsidRDefault="00392F6B">
      <w:r>
        <w:t>Pakistan is experiencing rapid behind-the-meter</w:t>
      </w:r>
      <w:r>
        <w:t xml:space="preserve"> solar adoption due to rising tariffs and grid unreliability. While PV reduces daytime energy purchases, evening peaks require storage. Simultaneously, EV adoption will create a stream of retired packs at ~70–80% state-of-health (SoH), suitable for second-</w:t>
      </w:r>
      <w:r>
        <w:t>life stationary storage. Repurposing these batteries can lower storage cost, mitigate e-waste, and improve reliability for residential DG systems. This paper evaluates the technical feasibility and indicative performance of PV systems integrated with secon</w:t>
      </w:r>
      <w:r>
        <w:t>d-life EV batteries under typical Pakistani conditions.</w:t>
      </w:r>
    </w:p>
    <w:p w:rsidR="00A7509A" w:rsidRDefault="00392F6B">
      <w:pPr>
        <w:pStyle w:val="Heading1"/>
      </w:pPr>
      <w:r>
        <w:t>II. Literature Review</w:t>
      </w:r>
    </w:p>
    <w:p w:rsidR="00A7509A" w:rsidRDefault="00392F6B">
      <w:r>
        <w:t>Prior studies show second-life batteries can extend useful service life by 5–10 years in stationary applications with moderate daily cycling. Degradation drivers include temperat</w:t>
      </w:r>
      <w:r>
        <w:t>ure, depth-of-discharge (DoD), and charge rates. Reported round-trip efficiencies range 85–92%, with cycle life strongly dependent on operating windows. Economic analyses suggest second-life cost/kWh can undercut new batteries, especially where supply chai</w:t>
      </w:r>
      <w:r>
        <w:t xml:space="preserve">ns for retired EV packs are established. </w:t>
      </w:r>
      <w:r>
        <w:lastRenderedPageBreak/>
        <w:t>Pakistan-specific literature emphasizes the role of storage in improving PV self-consumption and reducing diesel backup, yet empirical work on second-life integration remains limited.</w:t>
      </w:r>
    </w:p>
    <w:p w:rsidR="00A7509A" w:rsidRDefault="00392F6B">
      <w:pPr>
        <w:pStyle w:val="Heading1"/>
      </w:pPr>
      <w:r>
        <w:t>III. Methodology</w:t>
      </w:r>
    </w:p>
    <w:p w:rsidR="00A7509A" w:rsidRDefault="00392F6B">
      <w:r>
        <w:t>A simplified M</w:t>
      </w:r>
      <w:r>
        <w:t>ATLAB/Simulink-style simulation is constructed: a 5 kW PV array with MPPT feeds an inverter and residential loads. A bidirectional DC/DC converter interfaces a lithium-ion battery pack. Control is rule-based: charge when PV exceeds load and the battery has</w:t>
      </w:r>
      <w:r>
        <w:t xml:space="preserve"> headroom; discharge when load exceeds PV until a minimum SoC. Two cases are modeled: (i) new battery (10 kWh, 90% round-trip efficiency, 80% DoD), and (ii) second-life battery (8 kWh, 85% efficiency, 80% DoD). A representative Pakistani summer day is used</w:t>
      </w:r>
      <w:r>
        <w:t xml:space="preserve"> with a bell-shaped PV profile and a residential load profile with morning and evening peaks. Time step is 10 minutes.</w:t>
      </w:r>
    </w:p>
    <w:p w:rsidR="00A7509A" w:rsidRDefault="00392F6B">
      <w:r>
        <w:rPr>
          <w:b/>
        </w:rPr>
        <w:t>Table I. System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77"/>
        <w:gridCol w:w="2876"/>
      </w:tblGrid>
      <w:tr w:rsidR="00A7509A" w:rsidTr="00392F6B">
        <w:tc>
          <w:tcPr>
            <w:tcW w:w="2880" w:type="dxa"/>
          </w:tcPr>
          <w:p w:rsidR="00A7509A" w:rsidRDefault="00392F6B">
            <w:r>
              <w:t>Component</w:t>
            </w:r>
          </w:p>
        </w:tc>
        <w:tc>
          <w:tcPr>
            <w:tcW w:w="2880" w:type="dxa"/>
          </w:tcPr>
          <w:p w:rsidR="00A7509A" w:rsidRDefault="00392F6B">
            <w:r>
              <w:t>Parameter</w:t>
            </w:r>
          </w:p>
        </w:tc>
        <w:tc>
          <w:tcPr>
            <w:tcW w:w="2880" w:type="dxa"/>
          </w:tcPr>
          <w:p w:rsidR="00A7509A" w:rsidRDefault="00392F6B">
            <w:r>
              <w:t>Value</w:t>
            </w:r>
          </w:p>
        </w:tc>
      </w:tr>
      <w:tr w:rsidR="00A7509A" w:rsidTr="00392F6B">
        <w:tc>
          <w:tcPr>
            <w:tcW w:w="2880" w:type="dxa"/>
          </w:tcPr>
          <w:p w:rsidR="00A7509A" w:rsidRDefault="00392F6B">
            <w:r>
              <w:t>Solar PV</w:t>
            </w:r>
          </w:p>
        </w:tc>
        <w:tc>
          <w:tcPr>
            <w:tcW w:w="2880" w:type="dxa"/>
          </w:tcPr>
          <w:p w:rsidR="00A7509A" w:rsidRDefault="00392F6B">
            <w:r>
              <w:t>Capacity</w:t>
            </w:r>
          </w:p>
        </w:tc>
        <w:tc>
          <w:tcPr>
            <w:tcW w:w="2880" w:type="dxa"/>
          </w:tcPr>
          <w:p w:rsidR="00A7509A" w:rsidRDefault="00392F6B">
            <w:r>
              <w:t>5 kW</w:t>
            </w:r>
          </w:p>
        </w:tc>
      </w:tr>
      <w:tr w:rsidR="00A7509A" w:rsidTr="00392F6B">
        <w:tc>
          <w:tcPr>
            <w:tcW w:w="2880" w:type="dxa"/>
          </w:tcPr>
          <w:p w:rsidR="00A7509A" w:rsidRDefault="00392F6B">
            <w:r>
              <w:t>Battery (new)</w:t>
            </w:r>
          </w:p>
        </w:tc>
        <w:tc>
          <w:tcPr>
            <w:tcW w:w="2880" w:type="dxa"/>
          </w:tcPr>
          <w:p w:rsidR="00A7509A" w:rsidRDefault="00392F6B">
            <w:r>
              <w:t>Nominal capacity</w:t>
            </w:r>
          </w:p>
        </w:tc>
        <w:tc>
          <w:tcPr>
            <w:tcW w:w="2880" w:type="dxa"/>
          </w:tcPr>
          <w:p w:rsidR="00A7509A" w:rsidRDefault="00392F6B">
            <w:r>
              <w:t>10 kWh</w:t>
            </w:r>
          </w:p>
        </w:tc>
      </w:tr>
      <w:tr w:rsidR="00A7509A" w:rsidTr="00392F6B">
        <w:tc>
          <w:tcPr>
            <w:tcW w:w="2880" w:type="dxa"/>
          </w:tcPr>
          <w:p w:rsidR="00A7509A" w:rsidRDefault="00392F6B">
            <w:r>
              <w:t>Battery (new)</w:t>
            </w:r>
          </w:p>
        </w:tc>
        <w:tc>
          <w:tcPr>
            <w:tcW w:w="2880" w:type="dxa"/>
          </w:tcPr>
          <w:p w:rsidR="00A7509A" w:rsidRDefault="00392F6B">
            <w:r>
              <w:t>Round-trip efficiency</w:t>
            </w:r>
          </w:p>
        </w:tc>
        <w:tc>
          <w:tcPr>
            <w:tcW w:w="2880" w:type="dxa"/>
          </w:tcPr>
          <w:p w:rsidR="00A7509A" w:rsidRDefault="00392F6B">
            <w:r>
              <w:t>90%</w:t>
            </w:r>
          </w:p>
        </w:tc>
      </w:tr>
      <w:tr w:rsidR="00A7509A" w:rsidTr="00392F6B">
        <w:tc>
          <w:tcPr>
            <w:tcW w:w="2880" w:type="dxa"/>
          </w:tcPr>
          <w:p w:rsidR="00A7509A" w:rsidRDefault="00392F6B">
            <w:r>
              <w:t>Battery (second-life)</w:t>
            </w:r>
          </w:p>
        </w:tc>
        <w:tc>
          <w:tcPr>
            <w:tcW w:w="2880" w:type="dxa"/>
          </w:tcPr>
          <w:p w:rsidR="00A7509A" w:rsidRDefault="00392F6B">
            <w:r>
              <w:t>Nominal capacity</w:t>
            </w:r>
          </w:p>
        </w:tc>
        <w:tc>
          <w:tcPr>
            <w:tcW w:w="2880" w:type="dxa"/>
          </w:tcPr>
          <w:p w:rsidR="00A7509A" w:rsidRDefault="00392F6B">
            <w:r>
              <w:t>8 kWh (~80% SoH)</w:t>
            </w:r>
          </w:p>
        </w:tc>
      </w:tr>
      <w:tr w:rsidR="00A7509A" w:rsidTr="00392F6B">
        <w:tc>
          <w:tcPr>
            <w:tcW w:w="2880" w:type="dxa"/>
          </w:tcPr>
          <w:p w:rsidR="00A7509A" w:rsidRDefault="00392F6B">
            <w:r>
              <w:t>Battery (second-life)</w:t>
            </w:r>
          </w:p>
        </w:tc>
        <w:tc>
          <w:tcPr>
            <w:tcW w:w="2880" w:type="dxa"/>
          </w:tcPr>
          <w:p w:rsidR="00A7509A" w:rsidRDefault="00392F6B">
            <w:r>
              <w:t>Round-trip efficiency</w:t>
            </w:r>
          </w:p>
        </w:tc>
        <w:tc>
          <w:tcPr>
            <w:tcW w:w="2880" w:type="dxa"/>
          </w:tcPr>
          <w:p w:rsidR="00A7509A" w:rsidRDefault="00392F6B">
            <w:r>
              <w:t>85%</w:t>
            </w:r>
          </w:p>
        </w:tc>
      </w:tr>
      <w:tr w:rsidR="00A7509A" w:rsidTr="00392F6B">
        <w:tc>
          <w:tcPr>
            <w:tcW w:w="2880" w:type="dxa"/>
          </w:tcPr>
          <w:p w:rsidR="00A7509A" w:rsidRDefault="00392F6B">
            <w:r>
              <w:t>Both batteries</w:t>
            </w:r>
          </w:p>
        </w:tc>
        <w:tc>
          <w:tcPr>
            <w:tcW w:w="2880" w:type="dxa"/>
          </w:tcPr>
          <w:p w:rsidR="00A7509A" w:rsidRDefault="00392F6B">
            <w:r>
              <w:t>Depth of discharge (max)</w:t>
            </w:r>
          </w:p>
        </w:tc>
        <w:tc>
          <w:tcPr>
            <w:tcW w:w="2880" w:type="dxa"/>
          </w:tcPr>
          <w:p w:rsidR="00A7509A" w:rsidRDefault="00392F6B">
            <w:r>
              <w:t>80%</w:t>
            </w:r>
          </w:p>
        </w:tc>
      </w:tr>
      <w:tr w:rsidR="00A7509A" w:rsidTr="00392F6B">
        <w:tc>
          <w:tcPr>
            <w:tcW w:w="2880" w:type="dxa"/>
          </w:tcPr>
          <w:p w:rsidR="00A7509A" w:rsidRDefault="00392F6B">
            <w:r>
              <w:t>Simulation</w:t>
            </w:r>
          </w:p>
        </w:tc>
        <w:tc>
          <w:tcPr>
            <w:tcW w:w="2880" w:type="dxa"/>
          </w:tcPr>
          <w:p w:rsidR="00A7509A" w:rsidRDefault="00392F6B">
            <w:r>
              <w:t>Time step</w:t>
            </w:r>
          </w:p>
        </w:tc>
        <w:tc>
          <w:tcPr>
            <w:tcW w:w="2880" w:type="dxa"/>
          </w:tcPr>
          <w:p w:rsidR="00A7509A" w:rsidRDefault="00392F6B">
            <w:r>
              <w:t>10 minutes</w:t>
            </w:r>
          </w:p>
        </w:tc>
      </w:tr>
    </w:tbl>
    <w:p w:rsidR="00A7509A" w:rsidRDefault="00392F6B">
      <w:pPr>
        <w:pStyle w:val="Heading1"/>
      </w:pPr>
      <w:r>
        <w:t>IV. Results and Discussion</w:t>
      </w:r>
    </w:p>
    <w:p w:rsidR="00A7509A" w:rsidRDefault="00392F6B">
      <w:r>
        <w:t>Figure 1 shows the</w:t>
      </w:r>
      <w:r>
        <w:t xml:space="preserve"> PV generation and residential load over a sample day. Figure 2 presents battery state-of-charge (SoC) trajectories for new and second-life batteries. Figure 3 estimates monthly grid import under both scenarios (lower is better). Figure 4 shows indicative </w:t>
      </w:r>
      <w:r>
        <w:t>capacity fade over time for new and second-life batteries. Figure 5 plots cumulative grid import and export for both cases over the sample day.</w:t>
      </w:r>
    </w:p>
    <w:p w:rsidR="00A7509A" w:rsidRDefault="00392F6B">
      <w:r>
        <w:rPr>
          <w:noProof/>
        </w:rPr>
        <w:lastRenderedPageBreak/>
        <w:drawing>
          <wp:inline distT="0" distB="0" distL="0" distR="0">
            <wp:extent cx="5486400" cy="308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_pv_vs_load.png"/>
                    <pic:cNvPicPr/>
                  </pic:nvPicPr>
                  <pic:blipFill>
                    <a:blip r:embed="rId6"/>
                    <a:stretch>
                      <a:fillRect/>
                    </a:stretch>
                  </pic:blipFill>
                  <pic:spPr>
                    <a:xfrm>
                      <a:off x="0" y="0"/>
                      <a:ext cx="5486400" cy="3086100"/>
                    </a:xfrm>
                    <a:prstGeom prst="rect">
                      <a:avLst/>
                    </a:prstGeom>
                  </pic:spPr>
                </pic:pic>
              </a:graphicData>
            </a:graphic>
          </wp:inline>
        </w:drawing>
      </w:r>
    </w:p>
    <w:p w:rsidR="00A7509A" w:rsidRDefault="00392F6B">
      <w:pPr>
        <w:jc w:val="center"/>
      </w:pPr>
      <w:r>
        <w:rPr>
          <w:i/>
        </w:rPr>
        <w:t>Fig. 1. PV generation vs. residential load (sample clear-sky day).</w:t>
      </w:r>
    </w:p>
    <w:p w:rsidR="00A7509A" w:rsidRDefault="00392F6B">
      <w:r>
        <w:rPr>
          <w:noProof/>
        </w:rPr>
        <w:drawing>
          <wp:inline distT="0" distB="0" distL="0" distR="0">
            <wp:extent cx="5486400" cy="3086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_soc_curves.png"/>
                    <pic:cNvPicPr/>
                  </pic:nvPicPr>
                  <pic:blipFill>
                    <a:blip r:embed="rId7"/>
                    <a:stretch>
                      <a:fillRect/>
                    </a:stretch>
                  </pic:blipFill>
                  <pic:spPr>
                    <a:xfrm>
                      <a:off x="0" y="0"/>
                      <a:ext cx="5486400" cy="3086100"/>
                    </a:xfrm>
                    <a:prstGeom prst="rect">
                      <a:avLst/>
                    </a:prstGeom>
                  </pic:spPr>
                </pic:pic>
              </a:graphicData>
            </a:graphic>
          </wp:inline>
        </w:drawing>
      </w:r>
    </w:p>
    <w:p w:rsidR="00A7509A" w:rsidRDefault="00392F6B">
      <w:pPr>
        <w:jc w:val="center"/>
      </w:pPr>
      <w:r>
        <w:rPr>
          <w:i/>
        </w:rPr>
        <w:t>Fig. 2. Battery state of charge (SOC) for</w:t>
      </w:r>
      <w:r>
        <w:rPr>
          <w:i/>
        </w:rPr>
        <w:t xml:space="preserve"> new and second-life batteries.</w:t>
      </w:r>
    </w:p>
    <w:p w:rsidR="00A7509A" w:rsidRDefault="00392F6B">
      <w:r>
        <w:rPr>
          <w:noProof/>
        </w:rPr>
        <w:lastRenderedPageBreak/>
        <w:drawing>
          <wp:inline distT="0" distB="0" distL="0" distR="0">
            <wp:extent cx="5486400" cy="3086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_monthly_import.png"/>
                    <pic:cNvPicPr/>
                  </pic:nvPicPr>
                  <pic:blipFill>
                    <a:blip r:embed="rId8"/>
                    <a:stretch>
                      <a:fillRect/>
                    </a:stretch>
                  </pic:blipFill>
                  <pic:spPr>
                    <a:xfrm>
                      <a:off x="0" y="0"/>
                      <a:ext cx="5486400" cy="3086100"/>
                    </a:xfrm>
                    <a:prstGeom prst="rect">
                      <a:avLst/>
                    </a:prstGeom>
                  </pic:spPr>
                </pic:pic>
              </a:graphicData>
            </a:graphic>
          </wp:inline>
        </w:drawing>
      </w:r>
    </w:p>
    <w:p w:rsidR="00A7509A" w:rsidRDefault="00392F6B">
      <w:pPr>
        <w:jc w:val="center"/>
      </w:pPr>
      <w:r>
        <w:rPr>
          <w:i/>
        </w:rPr>
        <w:t>Fig. 3. Estimated monthly grid import with new vs. second-life batteries.</w:t>
      </w:r>
    </w:p>
    <w:p w:rsidR="00A7509A" w:rsidRDefault="00392F6B">
      <w:r>
        <w:rPr>
          <w:noProof/>
        </w:rPr>
        <w:drawing>
          <wp:inline distT="0" distB="0" distL="0" distR="0">
            <wp:extent cx="5486400" cy="3086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_degradation.png"/>
                    <pic:cNvPicPr/>
                  </pic:nvPicPr>
                  <pic:blipFill>
                    <a:blip r:embed="rId9"/>
                    <a:stretch>
                      <a:fillRect/>
                    </a:stretch>
                  </pic:blipFill>
                  <pic:spPr>
                    <a:xfrm>
                      <a:off x="0" y="0"/>
                      <a:ext cx="5486400" cy="3086100"/>
                    </a:xfrm>
                    <a:prstGeom prst="rect">
                      <a:avLst/>
                    </a:prstGeom>
                  </pic:spPr>
                </pic:pic>
              </a:graphicData>
            </a:graphic>
          </wp:inline>
        </w:drawing>
      </w:r>
    </w:p>
    <w:p w:rsidR="00A7509A" w:rsidRDefault="00392F6B">
      <w:pPr>
        <w:jc w:val="center"/>
      </w:pPr>
      <w:r>
        <w:rPr>
          <w:i/>
        </w:rPr>
        <w:t>Fig. 4. Indicative capacity fade over years (new vs. second-life).</w:t>
      </w:r>
    </w:p>
    <w:p w:rsidR="00A7509A" w:rsidRDefault="00392F6B">
      <w:r>
        <w:rPr>
          <w:noProof/>
        </w:rPr>
        <w:lastRenderedPageBreak/>
        <w:drawing>
          <wp:inline distT="0" distB="0" distL="0" distR="0">
            <wp:extent cx="5486400" cy="3086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5_grid_cumulative.png"/>
                    <pic:cNvPicPr/>
                  </pic:nvPicPr>
                  <pic:blipFill>
                    <a:blip r:embed="rId10"/>
                    <a:stretch>
                      <a:fillRect/>
                    </a:stretch>
                  </pic:blipFill>
                  <pic:spPr>
                    <a:xfrm>
                      <a:off x="0" y="0"/>
                      <a:ext cx="5486400" cy="3086100"/>
                    </a:xfrm>
                    <a:prstGeom prst="rect">
                      <a:avLst/>
                    </a:prstGeom>
                  </pic:spPr>
                </pic:pic>
              </a:graphicData>
            </a:graphic>
          </wp:inline>
        </w:drawing>
      </w:r>
    </w:p>
    <w:p w:rsidR="00A7509A" w:rsidRDefault="00392F6B">
      <w:pPr>
        <w:jc w:val="center"/>
      </w:pPr>
      <w:r>
        <w:rPr>
          <w:i/>
        </w:rPr>
        <w:t>Fig. 5. Cumulative grid import/export for both cases (sample day).</w:t>
      </w:r>
    </w:p>
    <w:p w:rsidR="00A7509A" w:rsidRDefault="00392F6B">
      <w:r>
        <w:rPr>
          <w:b/>
        </w:rPr>
        <w:t xml:space="preserve">Table II. </w:t>
      </w:r>
      <w:r>
        <w:rPr>
          <w:b/>
        </w:rPr>
        <w:t>Performance Summary (Sample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A7509A" w:rsidTr="00392F6B">
        <w:tc>
          <w:tcPr>
            <w:tcW w:w="2160" w:type="dxa"/>
          </w:tcPr>
          <w:p w:rsidR="00A7509A" w:rsidRDefault="00392F6B">
            <w:r>
              <w:t>Scenario</w:t>
            </w:r>
          </w:p>
        </w:tc>
        <w:tc>
          <w:tcPr>
            <w:tcW w:w="2160" w:type="dxa"/>
          </w:tcPr>
          <w:p w:rsidR="00A7509A" w:rsidRDefault="00392F6B">
            <w:r>
              <w:t>Grid Import (kWh)</w:t>
            </w:r>
          </w:p>
        </w:tc>
        <w:tc>
          <w:tcPr>
            <w:tcW w:w="2160" w:type="dxa"/>
          </w:tcPr>
          <w:p w:rsidR="00A7509A" w:rsidRDefault="00392F6B">
            <w:r>
              <w:t>Grid Export (kWh)</w:t>
            </w:r>
          </w:p>
        </w:tc>
        <w:tc>
          <w:tcPr>
            <w:tcW w:w="2160" w:type="dxa"/>
          </w:tcPr>
          <w:p w:rsidR="00A7509A" w:rsidRDefault="00392F6B">
            <w:r>
              <w:t>Notes</w:t>
            </w:r>
          </w:p>
        </w:tc>
      </w:tr>
      <w:tr w:rsidR="00A7509A" w:rsidTr="00392F6B">
        <w:tc>
          <w:tcPr>
            <w:tcW w:w="2160" w:type="dxa"/>
          </w:tcPr>
          <w:p w:rsidR="00A7509A" w:rsidRDefault="00392F6B">
            <w:r>
              <w:t>New Battery</w:t>
            </w:r>
          </w:p>
        </w:tc>
        <w:tc>
          <w:tcPr>
            <w:tcW w:w="2160" w:type="dxa"/>
          </w:tcPr>
          <w:p w:rsidR="00A7509A" w:rsidRDefault="00392F6B">
            <w:r>
              <w:t>0.8</w:t>
            </w:r>
          </w:p>
        </w:tc>
        <w:tc>
          <w:tcPr>
            <w:tcW w:w="2160" w:type="dxa"/>
          </w:tcPr>
          <w:p w:rsidR="00A7509A" w:rsidRDefault="00392F6B">
            <w:r>
              <w:t>17.6</w:t>
            </w:r>
          </w:p>
        </w:tc>
        <w:tc>
          <w:tcPr>
            <w:tcW w:w="2160" w:type="dxa"/>
          </w:tcPr>
          <w:p w:rsidR="00A7509A" w:rsidRDefault="00392F6B">
            <w:r>
              <w:t>Higher capacity, higher efficiency</w:t>
            </w:r>
          </w:p>
        </w:tc>
      </w:tr>
      <w:tr w:rsidR="00A7509A" w:rsidTr="00392F6B">
        <w:tc>
          <w:tcPr>
            <w:tcW w:w="2160" w:type="dxa"/>
          </w:tcPr>
          <w:p w:rsidR="00A7509A" w:rsidRDefault="00392F6B">
            <w:r>
              <w:t>Second-Life Battery</w:t>
            </w:r>
          </w:p>
        </w:tc>
        <w:tc>
          <w:tcPr>
            <w:tcW w:w="2160" w:type="dxa"/>
          </w:tcPr>
          <w:p w:rsidR="00A7509A" w:rsidRDefault="00392F6B">
            <w:r>
              <w:t>3.0</w:t>
            </w:r>
          </w:p>
        </w:tc>
        <w:tc>
          <w:tcPr>
            <w:tcW w:w="2160" w:type="dxa"/>
          </w:tcPr>
          <w:p w:rsidR="00A7509A" w:rsidRDefault="00392F6B">
            <w:r>
              <w:t>19.0</w:t>
            </w:r>
          </w:p>
        </w:tc>
        <w:tc>
          <w:tcPr>
            <w:tcW w:w="2160" w:type="dxa"/>
          </w:tcPr>
          <w:p w:rsidR="00A7509A" w:rsidRDefault="00392F6B">
            <w:r>
              <w:t>Lower capacity, slightly lower efficiency</w:t>
            </w:r>
          </w:p>
        </w:tc>
      </w:tr>
    </w:tbl>
    <w:p w:rsidR="00A7509A" w:rsidRDefault="00392F6B">
      <w:r>
        <w:rPr>
          <w:b/>
        </w:rPr>
        <w:t>Table III. Illustrative Economics (Daily)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A7509A" w:rsidTr="00392F6B">
        <w:tc>
          <w:tcPr>
            <w:tcW w:w="2160" w:type="dxa"/>
          </w:tcPr>
          <w:p w:rsidR="00A7509A" w:rsidRDefault="00392F6B">
            <w:r>
              <w:t>Metric</w:t>
            </w:r>
          </w:p>
        </w:tc>
        <w:tc>
          <w:tcPr>
            <w:tcW w:w="2160" w:type="dxa"/>
          </w:tcPr>
          <w:p w:rsidR="00A7509A" w:rsidRDefault="00392F6B">
            <w:r>
              <w:t>New Battery</w:t>
            </w:r>
          </w:p>
        </w:tc>
        <w:tc>
          <w:tcPr>
            <w:tcW w:w="2160" w:type="dxa"/>
          </w:tcPr>
          <w:p w:rsidR="00A7509A" w:rsidRDefault="00392F6B">
            <w:r>
              <w:t>Second-Life Battery</w:t>
            </w:r>
          </w:p>
        </w:tc>
        <w:tc>
          <w:tcPr>
            <w:tcW w:w="2160" w:type="dxa"/>
          </w:tcPr>
          <w:p w:rsidR="00A7509A" w:rsidRDefault="00392F6B">
            <w:r>
              <w:t>Assumptions</w:t>
            </w:r>
          </w:p>
        </w:tc>
      </w:tr>
      <w:tr w:rsidR="00A7509A" w:rsidTr="00392F6B">
        <w:tc>
          <w:tcPr>
            <w:tcW w:w="2160" w:type="dxa"/>
          </w:tcPr>
          <w:p w:rsidR="00A7509A" w:rsidRDefault="00392F6B">
            <w:r>
              <w:t>Tariff (USD/kWh)</w:t>
            </w:r>
          </w:p>
        </w:tc>
        <w:tc>
          <w:tcPr>
            <w:tcW w:w="2160" w:type="dxa"/>
          </w:tcPr>
          <w:p w:rsidR="00A7509A" w:rsidRDefault="00392F6B">
            <w:r>
              <w:t>0.10</w:t>
            </w:r>
          </w:p>
        </w:tc>
        <w:tc>
          <w:tcPr>
            <w:tcW w:w="2160" w:type="dxa"/>
          </w:tcPr>
          <w:p w:rsidR="00A7509A" w:rsidRDefault="00392F6B">
            <w:r>
              <w:t>0.10</w:t>
            </w:r>
          </w:p>
        </w:tc>
        <w:tc>
          <w:tcPr>
            <w:tcW w:w="2160" w:type="dxa"/>
          </w:tcPr>
          <w:p w:rsidR="00A7509A" w:rsidRDefault="00392F6B">
            <w:r>
              <w:t>Flat tariff for illustration</w:t>
            </w:r>
          </w:p>
        </w:tc>
      </w:tr>
      <w:tr w:rsidR="00A7509A" w:rsidTr="00392F6B">
        <w:tc>
          <w:tcPr>
            <w:tcW w:w="2160" w:type="dxa"/>
          </w:tcPr>
          <w:p w:rsidR="00A7509A" w:rsidRDefault="00392F6B">
            <w:r>
              <w:t>Grid Import (kWh)</w:t>
            </w:r>
          </w:p>
        </w:tc>
        <w:tc>
          <w:tcPr>
            <w:tcW w:w="2160" w:type="dxa"/>
          </w:tcPr>
          <w:p w:rsidR="00A7509A" w:rsidRDefault="00392F6B">
            <w:r>
              <w:t>0.8</w:t>
            </w:r>
          </w:p>
        </w:tc>
        <w:tc>
          <w:tcPr>
            <w:tcW w:w="2160" w:type="dxa"/>
          </w:tcPr>
          <w:p w:rsidR="00A7509A" w:rsidRDefault="00392F6B">
            <w:r>
              <w:t>3.0</w:t>
            </w:r>
          </w:p>
        </w:tc>
        <w:tc>
          <w:tcPr>
            <w:tcW w:w="2160" w:type="dxa"/>
          </w:tcPr>
          <w:p w:rsidR="00A7509A" w:rsidRDefault="00392F6B">
            <w:r>
              <w:t>From simulation</w:t>
            </w:r>
          </w:p>
        </w:tc>
      </w:tr>
      <w:tr w:rsidR="00A7509A" w:rsidTr="00392F6B">
        <w:tc>
          <w:tcPr>
            <w:tcW w:w="2160" w:type="dxa"/>
          </w:tcPr>
          <w:p w:rsidR="00A7509A" w:rsidRDefault="00392F6B">
            <w:r>
              <w:t>Daily Import Cost (USD)</w:t>
            </w:r>
          </w:p>
        </w:tc>
        <w:tc>
          <w:tcPr>
            <w:tcW w:w="2160" w:type="dxa"/>
          </w:tcPr>
          <w:p w:rsidR="00A7509A" w:rsidRDefault="00392F6B">
            <w:r>
              <w:t>0.08</w:t>
            </w:r>
          </w:p>
        </w:tc>
        <w:tc>
          <w:tcPr>
            <w:tcW w:w="2160" w:type="dxa"/>
          </w:tcPr>
          <w:p w:rsidR="00A7509A" w:rsidRDefault="00392F6B">
            <w:r>
              <w:t>0.30</w:t>
            </w:r>
          </w:p>
        </w:tc>
        <w:tc>
          <w:tcPr>
            <w:tcW w:w="2160" w:type="dxa"/>
          </w:tcPr>
          <w:p w:rsidR="00A7509A" w:rsidRDefault="00392F6B">
            <w:r>
              <w:t>Import × tariff</w:t>
            </w:r>
          </w:p>
        </w:tc>
      </w:tr>
      <w:tr w:rsidR="00A7509A" w:rsidTr="00392F6B">
        <w:tc>
          <w:tcPr>
            <w:tcW w:w="2160" w:type="dxa"/>
          </w:tcPr>
          <w:p w:rsidR="00A7509A" w:rsidRDefault="00392F6B">
            <w:r>
              <w:t>Relative Import Cost vs New</w:t>
            </w:r>
          </w:p>
        </w:tc>
        <w:tc>
          <w:tcPr>
            <w:tcW w:w="2160" w:type="dxa"/>
          </w:tcPr>
          <w:p w:rsidR="00A7509A" w:rsidRDefault="00392F6B">
            <w:r>
              <w:t>—</w:t>
            </w:r>
          </w:p>
        </w:tc>
        <w:tc>
          <w:tcPr>
            <w:tcW w:w="2160" w:type="dxa"/>
          </w:tcPr>
          <w:p w:rsidR="00A7509A" w:rsidRDefault="00392F6B">
            <w:r>
              <w:t>+0.21/day</w:t>
            </w:r>
          </w:p>
        </w:tc>
        <w:tc>
          <w:tcPr>
            <w:tcW w:w="2160" w:type="dxa"/>
          </w:tcPr>
          <w:p w:rsidR="00A7509A" w:rsidRDefault="00392F6B">
            <w:r>
              <w:t>Higher import</w:t>
            </w:r>
            <w:r>
              <w:t xml:space="preserve"> for second-life</w:t>
            </w:r>
          </w:p>
        </w:tc>
      </w:tr>
    </w:tbl>
    <w:p w:rsidR="00A7509A" w:rsidRDefault="00392F6B">
      <w:pPr>
        <w:pStyle w:val="Heading1"/>
      </w:pPr>
      <w:r>
        <w:lastRenderedPageBreak/>
        <w:t>V. Conclusion and Future Work</w:t>
      </w:r>
    </w:p>
    <w:p w:rsidR="00A7509A" w:rsidRDefault="00392F6B">
      <w:r>
        <w:t>Under representative Pakistani conditions, integrating second-life EV batteries into residential PV systems can materially reduce grid imports and enhance self-consumption with modest performance penalties re</w:t>
      </w:r>
      <w:r>
        <w:t>lative to new batteries. Optimization of sizing and dispatch can further improve results. Future work should validate with measured data, refine ageing models, and evaluate safety and policy frameworks for large-scale second-life deployment.</w:t>
      </w:r>
    </w:p>
    <w:p w:rsidR="00A7509A" w:rsidRDefault="00392F6B">
      <w:pPr>
        <w:pStyle w:val="Heading1"/>
      </w:pPr>
      <w:r>
        <w:t>References</w:t>
      </w:r>
    </w:p>
    <w:p w:rsidR="00A7509A" w:rsidRDefault="00392F6B">
      <w:r>
        <w:t>[1]</w:t>
      </w:r>
      <w:r>
        <w:t xml:space="preserve"> International Renewable Energy Agency (IRENA), 'Future of Solar Photovoltaic,' 2019.</w:t>
      </w:r>
    </w:p>
    <w:p w:rsidR="00A7509A" w:rsidRDefault="00392F6B">
      <w:r>
        <w:t>[2] MathWorks, 'Simscape Battery and Simulink Documentation,' 2024.</w:t>
      </w:r>
    </w:p>
    <w:p w:rsidR="00A7509A" w:rsidRDefault="00392F6B">
      <w:r>
        <w:t>[3] National Renewable Energy Laboratory (NREL), 'PV Performance Modeling Collaborative,' 2023.</w:t>
      </w:r>
    </w:p>
    <w:p w:rsidR="00A7509A" w:rsidRDefault="00392F6B">
      <w:r>
        <w:t>[4] Re</w:t>
      </w:r>
      <w:r>
        <w:t>current Auto, 'EV Battery Health in the Real World,' 2023.</w:t>
      </w:r>
    </w:p>
    <w:p w:rsidR="00A7509A" w:rsidRDefault="00392F6B">
      <w:r>
        <w:t>[5] Energies Journal, 'Second-Life EV Batteries for Stationary Storage,' 2024.</w:t>
      </w:r>
    </w:p>
    <w:p w:rsidR="00A7509A" w:rsidRDefault="00392F6B">
      <w:r>
        <w:t>[6] World Bank / WEF, 'Distributed Solar in Emerging Economies,' 2024.</w:t>
      </w:r>
    </w:p>
    <w:p w:rsidR="00A7509A" w:rsidRDefault="00392F6B">
      <w:r>
        <w:t>[7] Pakistan AEDB, 'Alternative &amp; Renewable Ene</w:t>
      </w:r>
      <w:r>
        <w:t>rgy Policy,' 2019.</w:t>
      </w:r>
    </w:p>
    <w:p w:rsidR="00A7509A" w:rsidRDefault="00392F6B">
      <w:r>
        <w:t>[8] IEEE, 'Battery Management Systems for Second-Life Applications,' 2022.</w:t>
      </w:r>
      <w:bookmarkStart w:id="0" w:name="_GoBack"/>
      <w:bookmarkEnd w:id="0"/>
    </w:p>
    <w:sectPr w:rsidR="00A7509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392F6B"/>
    <w:rsid w:val="00A7509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0EF2F8C-4071-4A70-919D-1ADCB8AC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86071-0B19-4EB2-9C56-A649F8DF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AbdulRahman Faiz</cp:lastModifiedBy>
  <cp:revision>2</cp:revision>
  <dcterms:created xsi:type="dcterms:W3CDTF">2025-09-06T05:31:00Z</dcterms:created>
  <dcterms:modified xsi:type="dcterms:W3CDTF">2025-09-06T05:31:00Z</dcterms:modified>
  <cp:category/>
</cp:coreProperties>
</file>