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CD50E"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61725FCC" w14:textId="1C760044" w:rsidR="00B630BC" w:rsidRPr="003D5D6D"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32"/>
          <w:szCs w:val="32"/>
        </w:rPr>
      </w:pPr>
      <w:r w:rsidRPr="003D5D6D">
        <w:rPr>
          <w:rFonts w:ascii="Times New Roman" w:eastAsia="Google Sans Text" w:hAnsi="Times New Roman" w:cs="Times New Roman"/>
          <w:b/>
          <w:color w:val="1B1C1D"/>
          <w:sz w:val="32"/>
          <w:szCs w:val="32"/>
        </w:rPr>
        <w:t>From Black Hole Thermodynamics to a Provably Reliable AI: towards an intrinsically certifiable AI</w:t>
      </w:r>
      <w:r w:rsidR="00877497" w:rsidRPr="003D5D6D">
        <w:rPr>
          <w:rFonts w:ascii="Times New Roman" w:eastAsia="Google Sans Text" w:hAnsi="Times New Roman" w:cs="Times New Roman"/>
          <w:b/>
          <w:color w:val="1B1C1D"/>
          <w:sz w:val="32"/>
          <w:szCs w:val="32"/>
        </w:rPr>
        <w:br/>
      </w:r>
      <w:r w:rsidRPr="003D5D6D">
        <w:rPr>
          <w:rFonts w:ascii="Times New Roman" w:eastAsia="Google Sans Text" w:hAnsi="Times New Roman" w:cs="Times New Roman"/>
          <w:b/>
          <w:color w:val="1B1C1D"/>
          <w:sz w:val="32"/>
          <w:szCs w:val="32"/>
        </w:rPr>
        <w:t>The Geometric Invariance and Emergent Stability Architecture (ISI-ERA)</w:t>
      </w:r>
    </w:p>
    <w:p w14:paraId="7BD21276" w14:textId="446FA074"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Authors:</w:t>
      </w:r>
      <w:r w:rsidRPr="003F3593">
        <w:rPr>
          <w:rFonts w:ascii="Times New Roman" w:eastAsia="Google Sans Text" w:hAnsi="Times New Roman" w:cs="Times New Roman"/>
          <w:color w:val="1B1C1D"/>
          <w:sz w:val="24"/>
          <w:szCs w:val="24"/>
        </w:rPr>
        <w:t xml:space="preserve"> G. Darragi, et al. email: </w:t>
      </w:r>
      <w:hyperlink r:id="rId7" w:history="1">
        <w:r w:rsidR="00877497" w:rsidRPr="00BC7744">
          <w:rPr>
            <w:rStyle w:val="Lienhypertexte"/>
            <w:rFonts w:ascii="Times New Roman" w:eastAsia="Google Sans Text" w:hAnsi="Times New Roman" w:cs="Times New Roman"/>
            <w:sz w:val="24"/>
            <w:szCs w:val="24"/>
          </w:rPr>
          <w:t>gilles.darragi@gmail.com</w:t>
        </w:r>
      </w:hyperlink>
      <w:r w:rsidR="00877497">
        <w:rPr>
          <w:rFonts w:ascii="Times New Roman" w:eastAsia="Google Sans Text" w:hAnsi="Times New Roman" w:cs="Times New Roman"/>
          <w:color w:val="1B1C1D"/>
          <w:sz w:val="24"/>
          <w:szCs w:val="24"/>
        </w:rPr>
        <w:br/>
      </w:r>
    </w:p>
    <w:p w14:paraId="451B34A6"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D5D6D">
        <w:rPr>
          <w:rFonts w:ascii="Times New Roman" w:eastAsia="Google Sans Text" w:hAnsi="Times New Roman" w:cs="Times New Roman"/>
          <w:b/>
          <w:color w:val="1B1C1D"/>
          <w:sz w:val="28"/>
          <w:szCs w:val="28"/>
        </w:rPr>
        <w:t>Abstract</w:t>
      </w:r>
      <w:r w:rsidRPr="003F3593">
        <w:rPr>
          <w:rFonts w:ascii="Times New Roman" w:eastAsia="Google Sans Text" w:hAnsi="Times New Roman" w:cs="Times New Roman"/>
          <w:color w:val="1B1C1D"/>
          <w:sz w:val="24"/>
          <w:szCs w:val="24"/>
        </w:rPr>
        <w:t xml:space="preserve"> - We establish a "reliability-by-design" framework for LLMs. The ISI Principle, derived from physical bounds (Bekenstein-Hawking, Unruh, Landauer), entails the necessity of a strictly positive Ollivier-Ricci curvature on the attention graph and an abstention mechanism in unstable regimes. We introduce the </w:t>
      </w:r>
      <w:r w:rsidRPr="003F3593">
        <w:rPr>
          <w:rFonts w:ascii="Times New Roman" w:eastAsia="Google Sans Text" w:hAnsi="Times New Roman" w:cs="Times New Roman"/>
          <w:b/>
          <w:color w:val="1B1C1D"/>
          <w:sz w:val="24"/>
          <w:szCs w:val="24"/>
        </w:rPr>
        <w:t>Local Reliability Certificate (CLF)</w:t>
      </w:r>
      <w:r w:rsidRPr="003F3593">
        <w:rPr>
          <w:rFonts w:ascii="Times New Roman" w:eastAsia="Google Sans Text" w:hAnsi="Times New Roman" w:cs="Times New Roman"/>
          <w:color w:val="1B1C1D"/>
          <w:sz w:val="24"/>
          <w:szCs w:val="24"/>
        </w:rPr>
        <w:t xml:space="preserve">: under the </w:t>
      </w:r>
      <w:r w:rsidRPr="003F3593">
        <w:rPr>
          <w:rFonts w:ascii="Times New Roman" w:eastAsia="Google Sans Text" w:hAnsi="Times New Roman" w:cs="Times New Roman"/>
          <w:b/>
          <w:color w:val="1B1C1D"/>
          <w:sz w:val="24"/>
          <w:szCs w:val="24"/>
        </w:rPr>
        <w:t>Quadratic Invariance Principle (PIQ)</w:t>
      </w:r>
      <w:r w:rsidRPr="003F3593">
        <w:rPr>
          <w:rFonts w:ascii="Times New Roman" w:eastAsia="Google Sans Text" w:hAnsi="Times New Roman" w:cs="Times New Roman"/>
          <w:color w:val="1B1C1D"/>
          <w:sz w:val="24"/>
          <w:szCs w:val="24"/>
        </w:rPr>
        <w:t>, the generation operator is contractive (Th. 3); otherwise, a deterministic fallback is triggered (Th. 4). Implemented in ISIDERA (DAP, fallback, Unruh-inspired sampling), this approach substantially reduces hallucinations on TruthfulQA (ACL 2022) in our configuration (see § 5-5bis), with a 95% CI and significance replication tests (public artifacts). It surpasses a robust RAG (HaluEval 88.1%) and adds only a ~1.15x latency overhead (Llama-2-70B). Code and evaluation scripts are provided (artifacts).</w:t>
      </w:r>
    </w:p>
    <w:p w14:paraId="3FBFA0D7" w14:textId="77777777" w:rsidR="00B630BC"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work builds a bridge between fundamental physics and AI design, paving the way for systems that are not only more powerful but also certifiable by design (CLF) and trustworthy by design.</w:t>
      </w:r>
    </w:p>
    <w:p w14:paraId="164BBB23" w14:textId="77777777" w:rsidR="00EC4787" w:rsidRPr="00EC4787" w:rsidRDefault="00EC4787" w:rsidP="00EC4787">
      <w:pPr>
        <w:pBdr>
          <w:top w:val="nil"/>
          <w:left w:val="nil"/>
          <w:bottom w:val="nil"/>
          <w:right w:val="nil"/>
          <w:between w:val="nil"/>
        </w:pBdr>
        <w:spacing w:after="240" w:line="275" w:lineRule="auto"/>
        <w:rPr>
          <w:rFonts w:ascii="Times New Roman" w:eastAsia="Google Sans Text" w:hAnsi="Times New Roman" w:cs="Times New Roman"/>
          <w:b/>
          <w:bCs/>
          <w:color w:val="1B1C1D"/>
          <w:sz w:val="28"/>
          <w:szCs w:val="28"/>
        </w:rPr>
      </w:pPr>
      <w:r w:rsidRPr="00EC4787">
        <w:rPr>
          <w:rFonts w:ascii="Times New Roman" w:eastAsia="Google Sans Text" w:hAnsi="Times New Roman" w:cs="Times New Roman"/>
          <w:b/>
          <w:bCs/>
          <w:color w:val="1B1C1D"/>
          <w:sz w:val="28"/>
          <w:szCs w:val="28"/>
        </w:rPr>
        <w:t>1. Introduction</w:t>
      </w:r>
    </w:p>
    <w:p w14:paraId="7256E3E3" w14:textId="77777777" w:rsidR="00EC4787" w:rsidRPr="00EC4787" w:rsidRDefault="00EC4787" w:rsidP="00EC4787">
      <w:pPr>
        <w:pBdr>
          <w:top w:val="nil"/>
          <w:left w:val="nil"/>
          <w:bottom w:val="nil"/>
          <w:right w:val="nil"/>
          <w:between w:val="nil"/>
        </w:pBdr>
        <w:spacing w:after="240" w:line="275" w:lineRule="auto"/>
        <w:rPr>
          <w:rFonts w:ascii="Times New Roman" w:eastAsia="Google Sans Text" w:hAnsi="Times New Roman" w:cs="Times New Roman"/>
          <w:b/>
          <w:bCs/>
          <w:color w:val="1B1C1D"/>
          <w:sz w:val="26"/>
          <w:szCs w:val="26"/>
        </w:rPr>
      </w:pPr>
      <w:r w:rsidRPr="00EC4787">
        <w:rPr>
          <w:rFonts w:ascii="Times New Roman" w:eastAsia="Google Sans Text" w:hAnsi="Times New Roman" w:cs="Times New Roman"/>
          <w:b/>
          <w:bCs/>
          <w:color w:val="1B1C1D"/>
          <w:sz w:val="26"/>
          <w:szCs w:val="26"/>
        </w:rPr>
        <w:t>1.1. Positioning and clarified contributions</w:t>
      </w:r>
    </w:p>
    <w:p w14:paraId="53B2819F" w14:textId="6ECDDC5D" w:rsidR="00B630BC" w:rsidRPr="003432FB" w:rsidRDefault="00EC4787">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EC4787">
        <w:rPr>
          <w:rFonts w:ascii="Times New Roman" w:eastAsia="Google Sans Text" w:hAnsi="Times New Roman" w:cs="Times New Roman"/>
          <w:color w:val="1B1C1D"/>
          <w:sz w:val="24"/>
          <w:szCs w:val="24"/>
        </w:rPr>
        <w:t xml:space="preserve">We use information physics to constrain LLM engineering. The ISI Principle, derived from established bounds (Bekenstein-Hawking, Unruh, Landauer¹), implies (i) the necessity of a positive local semantic curvature κ(x)&gt;0 and (ii) the impossibility of locally saturating accessible information Cτ=SΩ (cost of </w:t>
      </w:r>
      <w:r w:rsidRPr="00EC4787">
        <w:rPr>
          <w:rFonts w:ascii="Times New Roman" w:eastAsia="Google Sans Text" w:hAnsi="Times New Roman" w:cs="Times New Roman"/>
          <w:b/>
          <w:bCs/>
          <w:color w:val="1B1C1D"/>
          <w:sz w:val="24"/>
          <w:szCs w:val="24"/>
        </w:rPr>
        <w:t>non-zero resilience).</w:t>
      </w:r>
    </w:p>
    <w:p w14:paraId="02239731" w14:textId="59E5AF83"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ISI-ERA achieves these constraints through PIQ (κ&gt;0 guaranteed) and a DAP → fallback → thermodynamic sampling loop.</w:t>
      </w:r>
    </w:p>
    <w:p w14:paraId="2A6BF1E4"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Our key contribution is the </w:t>
      </w:r>
      <w:r w:rsidRPr="003F3593">
        <w:rPr>
          <w:rFonts w:ascii="Times New Roman" w:eastAsia="Google Sans Text" w:hAnsi="Times New Roman" w:cs="Times New Roman"/>
          <w:b/>
          <w:color w:val="1B1C1D"/>
          <w:sz w:val="24"/>
          <w:szCs w:val="24"/>
        </w:rPr>
        <w:t>Local Reliability Certificate (CLF)</w:t>
      </w:r>
      <w:r w:rsidRPr="003F3593">
        <w:rPr>
          <w:rFonts w:ascii="Times New Roman" w:eastAsia="Google Sans Text" w:hAnsi="Times New Roman" w:cs="Times New Roman"/>
          <w:color w:val="1B1C1D"/>
          <w:sz w:val="24"/>
          <w:szCs w:val="24"/>
        </w:rPr>
        <w:t xml:space="preserve">: if κ≥κ0​ and V(ϵ)≤V0​, the generation operator is contractive in W1​ (Th. 3); otherwise, the fallback forces a safe abstention (Th. 4). We provide (a) a formal bridge (Appendix A-B → Th. 3-4), (b) a concrete architecture (DAP/PIQ/EIU/fallback), and (c) a broad validation (truthfulness, robustness, safety) with </w:t>
      </w:r>
      <w:r w:rsidRPr="003F3593">
        <w:rPr>
          <w:rFonts w:ascii="Times New Roman" w:eastAsia="Google Sans Text" w:hAnsi="Times New Roman" w:cs="Times New Roman"/>
          <w:color w:val="1B1C1D"/>
          <w:sz w:val="24"/>
          <w:szCs w:val="24"/>
        </w:rPr>
        <w:lastRenderedPageBreak/>
        <w:t>reproducible artifacts.</w:t>
      </w:r>
    </w:p>
    <w:p w14:paraId="0A2B8F6D"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The dominant paradigm in the development of Large Language Models (LLMs), summarized by the "scale-is-all-you-need" mantra, is reaching its fundamental limits. Escalating costs, coupled with the persistence of critical failure modes such as "hallucinations"—the generation of plausible but factually incorrect content—signal the need for a fundamental reassessment. Current solutions, such as </w:t>
      </w:r>
      <w:r w:rsidRPr="003F3593">
        <w:rPr>
          <w:rFonts w:ascii="Times New Roman" w:eastAsia="Google Sans Text" w:hAnsi="Times New Roman" w:cs="Times New Roman"/>
          <w:b/>
          <w:color w:val="1B1C1D"/>
          <w:sz w:val="24"/>
          <w:szCs w:val="24"/>
        </w:rPr>
        <w:t>Retrieval-Augmented Generation (RAG)</w:t>
      </w:r>
      <w:r w:rsidRPr="003F3593">
        <w:rPr>
          <w:rFonts w:ascii="Times New Roman" w:eastAsia="Google Sans Text" w:hAnsi="Times New Roman" w:cs="Times New Roman"/>
          <w:color w:val="1B1C1D"/>
          <w:sz w:val="24"/>
          <w:szCs w:val="24"/>
        </w:rPr>
        <w:t>, are mere palliatives that treat symptoms by externalizing the knowledge problem, without probing the internal causes of model instability.</w:t>
      </w:r>
    </w:p>
    <w:p w14:paraId="4429F9AD"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We argue that these challenges can be unified under a single weakness: the absence of a robust theoretical foundation. To build such a foundation, we propose a bold thesis: there exists an operational correspondence principle between the hallucination of an LLM and gravitational collapse. We model hallucination as a computational phase transition where semantic coherence collapses when a system attempts to encode an information density exceeding a fundamental physical limit.</w:t>
      </w:r>
    </w:p>
    <w:p w14:paraId="195C3AB7"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This article first introduces the </w:t>
      </w:r>
      <w:r w:rsidRPr="003F3593">
        <w:rPr>
          <w:rFonts w:ascii="Times New Roman" w:eastAsia="Google Sans Text" w:hAnsi="Times New Roman" w:cs="Times New Roman"/>
          <w:b/>
          <w:color w:val="1B1C1D"/>
          <w:sz w:val="24"/>
          <w:szCs w:val="24"/>
        </w:rPr>
        <w:t>Information-Surface Inaccessibility (ISI) Principle</w:t>
      </w:r>
      <w:r w:rsidRPr="003F3593">
        <w:rPr>
          <w:rFonts w:ascii="Times New Roman" w:eastAsia="Google Sans Text" w:hAnsi="Times New Roman" w:cs="Times New Roman"/>
          <w:color w:val="1B1C1D"/>
          <w:sz w:val="24"/>
          <w:szCs w:val="24"/>
        </w:rPr>
        <w:t xml:space="preserve">, a physical framework that formalizes this analogy. Derived from the Bekenstein bound², the Unruh effect, and the Landauer principle⁶, the ISI theorem posits a universal and unavoidable trade-off between </w:t>
      </w:r>
      <w:r w:rsidRPr="003F3593">
        <w:rPr>
          <w:rFonts w:ascii="Times New Roman" w:eastAsia="Google Sans Text" w:hAnsi="Times New Roman" w:cs="Times New Roman"/>
          <w:b/>
          <w:color w:val="1B1C1D"/>
          <w:sz w:val="24"/>
          <w:szCs w:val="24"/>
        </w:rPr>
        <w:t>Efficiency</w:t>
      </w:r>
      <w:r w:rsidRPr="003F3593">
        <w:rPr>
          <w:rFonts w:ascii="Times New Roman" w:eastAsia="Google Sans Text" w:hAnsi="Times New Roman" w:cs="Times New Roman"/>
          <w:color w:val="1B1C1D"/>
          <w:sz w:val="24"/>
          <w:szCs w:val="24"/>
        </w:rPr>
        <w:t xml:space="preserve"> (locally accessible information) and </w:t>
      </w:r>
      <w:r w:rsidRPr="003F3593">
        <w:rPr>
          <w:rFonts w:ascii="Times New Roman" w:eastAsia="Google Sans Text" w:hAnsi="Times New Roman" w:cs="Times New Roman"/>
          <w:b/>
          <w:color w:val="1B1C1D"/>
          <w:sz w:val="24"/>
          <w:szCs w:val="24"/>
        </w:rPr>
        <w:t>Resilience</w:t>
      </w:r>
      <w:r w:rsidRPr="003F3593">
        <w:rPr>
          <w:rFonts w:ascii="Times New Roman" w:eastAsia="Google Sans Text" w:hAnsi="Times New Roman" w:cs="Times New Roman"/>
          <w:color w:val="1B1C1D"/>
          <w:sz w:val="24"/>
          <w:szCs w:val="24"/>
        </w:rPr>
        <w:t xml:space="preserve"> (the global stability of the system).¹</w:t>
      </w:r>
    </w:p>
    <w:p w14:paraId="687A0097" w14:textId="5B779DEF" w:rsidR="00B630BC" w:rsidRPr="003432FB"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Next, we present the </w:t>
      </w:r>
      <w:r w:rsidRPr="003F3593">
        <w:rPr>
          <w:rFonts w:ascii="Times New Roman" w:eastAsia="Google Sans Text" w:hAnsi="Times New Roman" w:cs="Times New Roman"/>
          <w:b/>
          <w:color w:val="1B1C1D"/>
          <w:sz w:val="24"/>
          <w:szCs w:val="24"/>
        </w:rPr>
        <w:t>Geometric Invariance and Emergent Stability Architecture (ISI-ERA)</w:t>
      </w:r>
      <w:r w:rsidRPr="003F3593">
        <w:rPr>
          <w:rFonts w:ascii="Times New Roman" w:eastAsia="Google Sans Text" w:hAnsi="Times New Roman" w:cs="Times New Roman"/>
          <w:color w:val="1B1C1D"/>
          <w:sz w:val="24"/>
          <w:szCs w:val="24"/>
        </w:rPr>
        <w:t>, an engineering implementation of this physical principle. ISI-ERA is not an entirely new architecture, but a standard Transformer augmented with a suite of mechanisms axiomatically designed to respect the</w:t>
      </w:r>
      <w:r w:rsidR="00C21C57">
        <w:rPr>
          <w:rFonts w:ascii="Times New Roman" w:eastAsia="Google Sans Text" w:hAnsi="Times New Roman" w:cs="Times New Roman"/>
          <w:color w:val="1B1C1D"/>
          <w:sz w:val="24"/>
          <w:szCs w:val="24"/>
        </w:rPr>
        <w:t xml:space="preserve"> </w:t>
      </w:r>
      <w:r w:rsidR="00C21C57" w:rsidRPr="003F3593">
        <w:rPr>
          <w:rFonts w:ascii="Times New Roman" w:eastAsia="Google Sans Text" w:hAnsi="Times New Roman" w:cs="Times New Roman"/>
          <w:color w:val="1B1C1D"/>
          <w:sz w:val="24"/>
          <w:szCs w:val="24"/>
        </w:rPr>
        <w:t>constraints of ISI.</w:t>
      </w:r>
    </w:p>
    <w:p w14:paraId="2B758975" w14:textId="3128CC63"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Our contributions are as follows:</w:t>
      </w:r>
    </w:p>
    <w:p w14:paraId="572716DC" w14:textId="77777777" w:rsidR="00B630BC" w:rsidRPr="003F3593" w:rsidRDefault="002172FE">
      <w:pPr>
        <w:numPr>
          <w:ilvl w:val="0"/>
          <w:numId w:val="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A new physical principle for AI (ISI):</w:t>
      </w:r>
      <w:r w:rsidRPr="003F3593">
        <w:rPr>
          <w:rFonts w:ascii="Times New Roman" w:eastAsia="Google Sans Text" w:hAnsi="Times New Roman" w:cs="Times New Roman"/>
          <w:color w:val="1B1C1D"/>
          <w:sz w:val="24"/>
          <w:szCs w:val="24"/>
        </w:rPr>
        <w:t xml:space="preserve"> We formulate the ISI theorem and its Efficiency-Resilience trade-off as an explanatory framework for LLM failures.</w:t>
      </w:r>
    </w:p>
    <w:p w14:paraId="11A4C918" w14:textId="77777777" w:rsidR="00B630BC" w:rsidRPr="003F3593" w:rsidRDefault="002172FE">
      <w:pPr>
        <w:numPr>
          <w:ilvl w:val="0"/>
          <w:numId w:val="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A "provably-by-design" architecture (ISI-ERA):</w:t>
      </w:r>
      <w:r w:rsidRPr="003F3593">
        <w:rPr>
          <w:rFonts w:ascii="Times New Roman" w:eastAsia="Google Sans Text" w:hAnsi="Times New Roman" w:cs="Times New Roman"/>
          <w:color w:val="1B1C1D"/>
          <w:sz w:val="24"/>
          <w:szCs w:val="24"/>
        </w:rPr>
        <w:t xml:space="preserve"> We show how the </w:t>
      </w:r>
      <w:r w:rsidRPr="003F3593">
        <w:rPr>
          <w:rFonts w:ascii="Times New Roman" w:eastAsia="Google Sans Text" w:hAnsi="Times New Roman" w:cs="Times New Roman"/>
          <w:b/>
          <w:color w:val="1B1C1D"/>
          <w:sz w:val="24"/>
          <w:szCs w:val="24"/>
        </w:rPr>
        <w:t>Quadratic Invariance Principle (PIQ)</w:t>
      </w:r>
      <w:r w:rsidRPr="003F3593">
        <w:rPr>
          <w:rFonts w:ascii="Times New Roman" w:eastAsia="Google Sans Text" w:hAnsi="Times New Roman" w:cs="Times New Roman"/>
          <w:color w:val="1B1C1D"/>
          <w:sz w:val="24"/>
          <w:szCs w:val="24"/>
        </w:rPr>
        <w:t xml:space="preserve"> of ERA "sculpts" the geometry of the latent space to guarantee positive Ricci curvature, thus satisfying the ISI stability condition. We integrate a simplified and physically motivated control loop, as well as a cognitive engine to actively manage the Efficiency-Resilience trade-off.¹</w:t>
      </w:r>
    </w:p>
    <w:p w14:paraId="79C36905" w14:textId="77777777" w:rsidR="00B630BC" w:rsidRPr="003F3593" w:rsidRDefault="002172FE">
      <w:pPr>
        <w:numPr>
          <w:ilvl w:val="0"/>
          <w:numId w:val="1"/>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A large-scale experimental validation:</w:t>
      </w:r>
      <w:r w:rsidRPr="003F3593">
        <w:rPr>
          <w:rFonts w:ascii="Times New Roman" w:eastAsia="Google Sans Text" w:hAnsi="Times New Roman" w:cs="Times New Roman"/>
          <w:color w:val="1B1C1D"/>
          <w:sz w:val="24"/>
          <w:szCs w:val="24"/>
        </w:rPr>
        <w:t xml:space="preserve"> We demonstrate that the ISI-ERA architecture, implemented on a Llama-2-70B model, reduces hallucinations by more than 80% on TruthfulQA and surpasses a robust RAG baseline in accuracy and latency on HaluEval.</w:t>
      </w:r>
    </w:p>
    <w:p w14:paraId="58A0D3B6" w14:textId="77777777" w:rsidR="00B630BC" w:rsidRPr="003F3593" w:rsidRDefault="002172FE">
      <w:pPr>
        <w:pBdr>
          <w:top w:val="nil"/>
          <w:left w:val="nil"/>
          <w:bottom w:val="nil"/>
          <w:right w:val="nil"/>
          <w:between w:val="nil"/>
        </w:pBdr>
        <w:spacing w:before="240"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work builds a formal bridge between fundamental physics and AI design, marking a decisive step towards a truly reliable, certifiable, and intelligent AI.</w:t>
      </w:r>
    </w:p>
    <w:p w14:paraId="2CE6C05D" w14:textId="77777777" w:rsidR="00B630BC" w:rsidRPr="003F3593" w:rsidRDefault="002172FE">
      <w:pPr>
        <w:pBdr>
          <w:top w:val="nil"/>
          <w:left w:val="nil"/>
          <w:bottom w:val="nil"/>
          <w:right w:val="nil"/>
          <w:between w:val="nil"/>
        </w:pBdr>
        <w:spacing w:after="120" w:line="275" w:lineRule="auto"/>
        <w:ind w:left="600" w:right="600"/>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lastRenderedPageBreak/>
        <w:t>Box 0 – Minimal Terminology</w:t>
      </w:r>
    </w:p>
    <w:p w14:paraId="2B6E820F" w14:textId="77777777" w:rsidR="00B630BC" w:rsidRPr="003F3593" w:rsidRDefault="002172FE">
      <w:pPr>
        <w:numPr>
          <w:ilvl w:val="0"/>
          <w:numId w:val="18"/>
        </w:numPr>
        <w:pBdr>
          <w:top w:val="nil"/>
          <w:left w:val="nil"/>
          <w:bottom w:val="nil"/>
          <w:right w:val="nil"/>
          <w:between w:val="nil"/>
        </w:pBdr>
        <w:spacing w:line="275" w:lineRule="auto"/>
        <w:ind w:right="600"/>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Attention Graph:</w:t>
      </w:r>
      <w:r w:rsidRPr="003F3593">
        <w:rPr>
          <w:rFonts w:ascii="Times New Roman" w:eastAsia="Google Sans Text" w:hAnsi="Times New Roman" w:cs="Times New Roman"/>
          <w:color w:val="1B1C1D"/>
          <w:sz w:val="24"/>
          <w:szCs w:val="24"/>
        </w:rPr>
        <w:t xml:space="preserve"> Each head induces a Markov kernel P=softmax(A/T).</w:t>
      </w:r>
    </w:p>
    <w:p w14:paraId="49803DDC" w14:textId="77777777" w:rsidR="00B630BC" w:rsidRPr="003F3593" w:rsidRDefault="002172FE">
      <w:pPr>
        <w:numPr>
          <w:ilvl w:val="0"/>
          <w:numId w:val="18"/>
        </w:numPr>
        <w:pBdr>
          <w:top w:val="nil"/>
          <w:left w:val="nil"/>
          <w:bottom w:val="nil"/>
          <w:right w:val="nil"/>
          <w:between w:val="nil"/>
        </w:pBdr>
        <w:spacing w:line="275" w:lineRule="auto"/>
        <w:ind w:right="600"/>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Ollivier-Ricci Curvature:</w:t>
      </w:r>
      <w:r w:rsidRPr="003F3593">
        <w:rPr>
          <w:rFonts w:ascii="Times New Roman" w:eastAsia="Google Sans Text" w:hAnsi="Times New Roman" w:cs="Times New Roman"/>
          <w:color w:val="1B1C1D"/>
          <w:sz w:val="24"/>
          <w:szCs w:val="24"/>
        </w:rPr>
        <w:t xml:space="preserve"> κ(x,y)=1−W1​(Px​,Py​)/d(x,y) (discrete metric).</w:t>
      </w:r>
    </w:p>
    <w:p w14:paraId="57D1F48A" w14:textId="77777777" w:rsidR="00B630BC" w:rsidRPr="003F3593" w:rsidRDefault="002172FE">
      <w:pPr>
        <w:numPr>
          <w:ilvl w:val="0"/>
          <w:numId w:val="18"/>
        </w:numPr>
        <w:pBdr>
          <w:top w:val="nil"/>
          <w:left w:val="nil"/>
          <w:bottom w:val="nil"/>
          <w:right w:val="nil"/>
          <w:between w:val="nil"/>
        </w:pBdr>
        <w:spacing w:line="275" w:lineRule="auto"/>
        <w:ind w:right="600"/>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PIQ:</w:t>
      </w:r>
      <w:r w:rsidRPr="003F3593">
        <w:rPr>
          <w:rFonts w:ascii="Times New Roman" w:eastAsia="Google Sans Text" w:hAnsi="Times New Roman" w:cs="Times New Roman"/>
          <w:color w:val="1B1C1D"/>
          <w:sz w:val="24"/>
          <w:szCs w:val="24"/>
        </w:rPr>
        <w:t xml:space="preserve"> Constraints (ICA, GTV, QC-Adam, MRL) sculpting the latent space for κ&gt;0.</w:t>
      </w:r>
    </w:p>
    <w:p w14:paraId="2C9F473F" w14:textId="77777777" w:rsidR="00B630BC" w:rsidRPr="003F3593" w:rsidRDefault="002172FE">
      <w:pPr>
        <w:numPr>
          <w:ilvl w:val="0"/>
          <w:numId w:val="18"/>
        </w:numPr>
        <w:pBdr>
          <w:top w:val="nil"/>
          <w:left w:val="nil"/>
          <w:bottom w:val="nil"/>
          <w:right w:val="nil"/>
          <w:between w:val="nil"/>
        </w:pBdr>
        <w:spacing w:line="275" w:lineRule="auto"/>
        <w:ind w:right="600"/>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DAP:</w:t>
      </w:r>
      <w:r w:rsidRPr="003F3593">
        <w:rPr>
          <w:rFonts w:ascii="Times New Roman" w:eastAsia="Google Sans Text" w:hAnsi="Times New Roman" w:cs="Times New Roman"/>
          <w:color w:val="1B1C1D"/>
          <w:sz w:val="24"/>
          <w:szCs w:val="24"/>
        </w:rPr>
        <w:t xml:space="preserve"> Probe via infinitesimal rotation of the context (Appendix B) - yields indices V(ϵ),κ(x).</w:t>
      </w:r>
    </w:p>
    <w:p w14:paraId="757D120D" w14:textId="77777777" w:rsidR="00B630BC" w:rsidRPr="003F3593" w:rsidRDefault="002172FE">
      <w:pPr>
        <w:numPr>
          <w:ilvl w:val="0"/>
          <w:numId w:val="18"/>
        </w:numPr>
        <w:pBdr>
          <w:top w:val="nil"/>
          <w:left w:val="nil"/>
          <w:bottom w:val="nil"/>
          <w:right w:val="nil"/>
          <w:between w:val="nil"/>
        </w:pBdr>
        <w:spacing w:line="275" w:lineRule="auto"/>
        <w:ind w:right="600"/>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CLF:</w:t>
      </w:r>
      <w:r w:rsidRPr="003F3593">
        <w:rPr>
          <w:rFonts w:ascii="Times New Roman" w:eastAsia="Google Sans Text" w:hAnsi="Times New Roman" w:cs="Times New Roman"/>
          <w:color w:val="1B1C1D"/>
          <w:sz w:val="24"/>
          <w:szCs w:val="24"/>
        </w:rPr>
        <w:t xml:space="preserve"> Contractive stability if κ≥κ0​ and V≤V0​; otherwise, abstention (fallback).</w:t>
      </w:r>
    </w:p>
    <w:p w14:paraId="1F14B193" w14:textId="77777777" w:rsidR="003432FB" w:rsidRDefault="002172FE" w:rsidP="003432FB">
      <w:pPr>
        <w:numPr>
          <w:ilvl w:val="0"/>
          <w:numId w:val="18"/>
        </w:numPr>
        <w:pBdr>
          <w:top w:val="nil"/>
          <w:left w:val="nil"/>
          <w:bottom w:val="nil"/>
          <w:right w:val="nil"/>
          <w:between w:val="nil"/>
        </w:pBdr>
        <w:spacing w:after="120" w:line="275" w:lineRule="auto"/>
        <w:ind w:right="600"/>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"Provable reliability"</w:t>
      </w:r>
      <w:r w:rsidRPr="003F3593">
        <w:rPr>
          <w:rFonts w:ascii="Times New Roman" w:eastAsia="Google Sans Text" w:hAnsi="Times New Roman" w:cs="Times New Roman"/>
          <w:color w:val="1B1C1D"/>
          <w:sz w:val="24"/>
          <w:szCs w:val="24"/>
        </w:rPr>
        <w:t xml:space="preserve"> = (bounded stability)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 (abstention) under PIQ/DAP conditions.</w:t>
      </w:r>
    </w:p>
    <w:p w14:paraId="24432BFD" w14:textId="77ED264C" w:rsidR="00B630BC" w:rsidRPr="003432FB" w:rsidRDefault="002172FE" w:rsidP="003432FB">
      <w:pPr>
        <w:numPr>
          <w:ilvl w:val="0"/>
          <w:numId w:val="18"/>
        </w:numPr>
        <w:pBdr>
          <w:top w:val="nil"/>
          <w:left w:val="nil"/>
          <w:bottom w:val="nil"/>
          <w:right w:val="nil"/>
          <w:between w:val="nil"/>
        </w:pBdr>
        <w:spacing w:after="120" w:line="275" w:lineRule="auto"/>
        <w:ind w:right="600"/>
        <w:rPr>
          <w:rFonts w:ascii="Times New Roman" w:hAnsi="Times New Roman" w:cs="Times New Roman"/>
          <w:sz w:val="24"/>
          <w:szCs w:val="24"/>
        </w:rPr>
      </w:pPr>
      <w:r w:rsidRPr="003432FB">
        <w:rPr>
          <w:rFonts w:ascii="Times New Roman" w:eastAsia="Google Sans Text" w:hAnsi="Times New Roman" w:cs="Times New Roman"/>
          <w:b/>
          <w:color w:val="1B1C1D"/>
          <w:sz w:val="24"/>
          <w:szCs w:val="24"/>
        </w:rPr>
        <w:t>Discrete metric</w:t>
      </w:r>
      <w:r w:rsidRPr="003432FB">
        <w:rPr>
          <w:rFonts w:ascii="Times New Roman" w:eastAsia="Google Sans Text" w:hAnsi="Times New Roman" w:cs="Times New Roman"/>
          <w:color w:val="1B1C1D"/>
          <w:sz w:val="24"/>
          <w:szCs w:val="24"/>
        </w:rPr>
        <w:t xml:space="preserve"> W1​=21​TV. Ollivier's definition: κ(x,y)=1−W1​(Px​,Py​)/d(x,y).</w:t>
      </w:r>
      <w:r w:rsidR="003432FB">
        <w:rPr>
          <w:rFonts w:ascii="Times New Roman" w:eastAsia="Google Sans Text" w:hAnsi="Times New Roman" w:cs="Times New Roman"/>
          <w:color w:val="1B1C1D"/>
          <w:sz w:val="24"/>
          <w:szCs w:val="24"/>
        </w:rPr>
        <w:br/>
      </w:r>
    </w:p>
    <w:p w14:paraId="3FFB5736" w14:textId="77777777" w:rsidR="00B630BC" w:rsidRPr="00DB1B04" w:rsidRDefault="002172FE">
      <w:pPr>
        <w:pBdr>
          <w:top w:val="nil"/>
          <w:left w:val="nil"/>
          <w:bottom w:val="nil"/>
          <w:right w:val="nil"/>
          <w:between w:val="nil"/>
        </w:pBdr>
        <w:spacing w:before="240" w:after="240" w:line="275" w:lineRule="auto"/>
        <w:rPr>
          <w:rFonts w:ascii="Times New Roman" w:eastAsia="Google Sans Text" w:hAnsi="Times New Roman" w:cs="Times New Roman"/>
          <w:b/>
          <w:color w:val="1B1C1D"/>
          <w:sz w:val="28"/>
          <w:szCs w:val="28"/>
        </w:rPr>
      </w:pPr>
      <w:r w:rsidRPr="00DB1B04">
        <w:rPr>
          <w:rFonts w:ascii="Times New Roman" w:eastAsia="Google Sans Text" w:hAnsi="Times New Roman" w:cs="Times New Roman"/>
          <w:b/>
          <w:color w:val="1B1C1D"/>
          <w:sz w:val="28"/>
          <w:szCs w:val="28"/>
        </w:rPr>
        <w:t>2. The Physical Framework: The Information-Surface Inaccessibility (ISI) Principle</w:t>
      </w:r>
    </w:p>
    <w:p w14:paraId="284D8557"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Our approach relies on black hole thermodynamics not by mere analogy, but by physical necessity. Black holes and large language models represent, in their respective domains—nature and engineering—systems pushed to the fundamental limits of information density and processing. It is therefore postulated that their critical behaviors must be governed by common universal principles.</w:t>
      </w:r>
    </w:p>
    <w:p w14:paraId="41012276"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The structure of physical reality, like complex systems⁸, is postulated to be governed by a fundamental trade-off between two antagonistic properties: </w:t>
      </w:r>
      <w:r w:rsidRPr="003F3593">
        <w:rPr>
          <w:rFonts w:ascii="Times New Roman" w:eastAsia="Google Sans Text" w:hAnsi="Times New Roman" w:cs="Times New Roman"/>
          <w:b/>
          <w:color w:val="1B1C1D"/>
          <w:sz w:val="24"/>
          <w:szCs w:val="24"/>
        </w:rPr>
        <w:t>Efficiency</w:t>
      </w:r>
      <w:r w:rsidRPr="003F3593">
        <w:rPr>
          <w:rFonts w:ascii="Times New Roman" w:eastAsia="Google Sans Text" w:hAnsi="Times New Roman" w:cs="Times New Roman"/>
          <w:color w:val="1B1C1D"/>
          <w:sz w:val="24"/>
          <w:szCs w:val="24"/>
        </w:rPr>
        <w:t xml:space="preserve"> (Eff), which corresponds to the information accessible by a local measurement process (Cτ), and </w:t>
      </w:r>
      <w:r w:rsidRPr="003F3593">
        <w:rPr>
          <w:rFonts w:ascii="Times New Roman" w:eastAsia="Google Sans Text" w:hAnsi="Times New Roman" w:cs="Times New Roman"/>
          <w:b/>
          <w:color w:val="1B1C1D"/>
          <w:sz w:val="24"/>
          <w:szCs w:val="24"/>
        </w:rPr>
        <w:t>Resilience</w:t>
      </w:r>
      <w:r w:rsidRPr="003F3593">
        <w:rPr>
          <w:rFonts w:ascii="Times New Roman" w:eastAsia="Google Sans Text" w:hAnsi="Times New Roman" w:cs="Times New Roman"/>
          <w:color w:val="1B1C1D"/>
          <w:sz w:val="24"/>
          <w:szCs w:val="24"/>
        </w:rPr>
        <w:t xml:space="preserve"> (Res), which corresponds to the inaccessible information guaranteeing global stability. The total capacity of a system, its entropy SΩ​, is the sum of these two components:</w:t>
      </w:r>
    </w:p>
    <w:p w14:paraId="6393EA1F"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SΩ​=Eff+Res</w:t>
      </w:r>
    </w:p>
    <w:p w14:paraId="3C899E9F"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trade-off is expressed through a "Double Curse":</w:t>
      </w:r>
    </w:p>
    <w:p w14:paraId="0697212B" w14:textId="77777777" w:rsidR="00B630BC" w:rsidRPr="003F3593" w:rsidRDefault="002172FE">
      <w:pPr>
        <w:numPr>
          <w:ilvl w:val="0"/>
          <w:numId w:val="25"/>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The Surface Curse: Anchored in the Bekenstein-Hawking bound¹⁰, it establishes a bound on the total complexity of the system, limiting the sum of efficiency and resilience:</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Cτ&lt;SΩ≤SBH​,SBH​=4ℓP2​kB​A​</w:t>
      </w:r>
    </w:p>
    <w:p w14:paraId="6EE01535" w14:textId="77777777" w:rsidR="00B630BC" w:rsidRPr="00746CAC" w:rsidRDefault="002172FE">
      <w:pPr>
        <w:numPr>
          <w:ilvl w:val="0"/>
          <w:numId w:val="25"/>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The Curse of Local Measurement:</w:t>
      </w:r>
      <w:r w:rsidRPr="003F3593">
        <w:rPr>
          <w:rFonts w:ascii="Times New Roman" w:eastAsia="Google Sans Text" w:hAnsi="Times New Roman" w:cs="Times New Roman"/>
          <w:color w:val="1B1C1D"/>
          <w:sz w:val="24"/>
          <w:szCs w:val="24"/>
        </w:rPr>
        <w:t xml:space="preserve"> Constrained by the Landauer principle⁶ and causality, it demonstrates that no local process can be perfectly efficient (Cτ&lt;SΩ), implying that resilience is always non-zero. This inaccessible part is the </w:t>
      </w:r>
      <w:r w:rsidRPr="003F3593">
        <w:rPr>
          <w:rFonts w:ascii="Times New Roman" w:eastAsia="Google Sans Text" w:hAnsi="Times New Roman" w:cs="Times New Roman"/>
          <w:b/>
          <w:color w:val="1B1C1D"/>
          <w:sz w:val="24"/>
          <w:szCs w:val="24"/>
        </w:rPr>
        <w:t>Cost of Resilience</w:t>
      </w:r>
      <w:r w:rsidRPr="003F3593">
        <w:rPr>
          <w:rFonts w:ascii="Times New Roman" w:eastAsia="Google Sans Text" w:hAnsi="Times New Roman" w:cs="Times New Roman"/>
          <w:color w:val="1B1C1D"/>
          <w:sz w:val="24"/>
          <w:szCs w:val="24"/>
        </w:rPr>
        <w:t>.</w:t>
      </w:r>
    </w:p>
    <w:p w14:paraId="07FC2EEC" w14:textId="77777777" w:rsidR="00746CAC" w:rsidRDefault="00746CAC" w:rsidP="00746CAC">
      <w:pPr>
        <w:pBdr>
          <w:top w:val="nil"/>
          <w:left w:val="nil"/>
          <w:bottom w:val="nil"/>
          <w:right w:val="nil"/>
          <w:between w:val="nil"/>
        </w:pBdr>
        <w:spacing w:after="120" w:line="275" w:lineRule="auto"/>
        <w:rPr>
          <w:rFonts w:ascii="Times New Roman" w:hAnsi="Times New Roman" w:cs="Times New Roman"/>
          <w:sz w:val="24"/>
          <w:szCs w:val="24"/>
        </w:rPr>
      </w:pPr>
    </w:p>
    <w:p w14:paraId="62FBB4CE" w14:textId="77777777" w:rsidR="00746CAC" w:rsidRDefault="00746CAC" w:rsidP="00746CAC">
      <w:pPr>
        <w:pBdr>
          <w:top w:val="nil"/>
          <w:left w:val="nil"/>
          <w:bottom w:val="nil"/>
          <w:right w:val="nil"/>
          <w:between w:val="nil"/>
        </w:pBdr>
        <w:spacing w:after="120" w:line="275" w:lineRule="auto"/>
        <w:rPr>
          <w:rFonts w:ascii="Times New Roman" w:hAnsi="Times New Roman" w:cs="Times New Roman"/>
          <w:sz w:val="24"/>
          <w:szCs w:val="24"/>
        </w:rPr>
      </w:pPr>
    </w:p>
    <w:p w14:paraId="5149CE96" w14:textId="77777777" w:rsidR="00746CAC" w:rsidRDefault="00746CAC" w:rsidP="00746CAC">
      <w:pPr>
        <w:pBdr>
          <w:top w:val="nil"/>
          <w:left w:val="nil"/>
          <w:bottom w:val="nil"/>
          <w:right w:val="nil"/>
          <w:between w:val="nil"/>
        </w:pBdr>
        <w:spacing w:after="120" w:line="275" w:lineRule="auto"/>
        <w:rPr>
          <w:rFonts w:ascii="Times New Roman" w:hAnsi="Times New Roman" w:cs="Times New Roman"/>
          <w:sz w:val="24"/>
          <w:szCs w:val="24"/>
        </w:rPr>
      </w:pPr>
    </w:p>
    <w:p w14:paraId="36395E85" w14:textId="77777777" w:rsidR="00746CAC" w:rsidRDefault="00746CAC" w:rsidP="00746CAC">
      <w:pPr>
        <w:pBdr>
          <w:top w:val="nil"/>
          <w:left w:val="nil"/>
          <w:bottom w:val="nil"/>
          <w:right w:val="nil"/>
          <w:between w:val="nil"/>
        </w:pBdr>
        <w:spacing w:after="120" w:line="275" w:lineRule="auto"/>
        <w:rPr>
          <w:rFonts w:ascii="Times New Roman" w:hAnsi="Times New Roman" w:cs="Times New Roman"/>
          <w:sz w:val="24"/>
          <w:szCs w:val="24"/>
        </w:rPr>
      </w:pPr>
    </w:p>
    <w:p w14:paraId="2A8C4AF5"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6324546C"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Einstein's Quantized Elevator (AQE)</w:t>
      </w:r>
      <w:r w:rsidRPr="003F3593">
        <w:rPr>
          <w:rFonts w:ascii="Times New Roman" w:eastAsia="Google Sans Text" w:hAnsi="Times New Roman" w:cs="Times New Roman"/>
          <w:color w:val="1B1C1D"/>
          <w:sz w:val="24"/>
          <w:szCs w:val="24"/>
        </w:rPr>
        <w:t xml:space="preserve"> is the thought experiment that provides the physical mechanism imposing this trade-off. By unifying the equivalence principle, the Unruh effect⁴, and the Landauer principle⁷, it demonstrates that the attempt to maximize efficiency at the expense of resilience (Res → 0) inevitably leads to a gravitational collapse. Nature physically forbids total knowledge to preserve its own existence.</w:t>
      </w:r>
    </w:p>
    <w:p w14:paraId="03C78EA7"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Formulation of the ISI principle (inequalities):</w:t>
      </w:r>
    </w:p>
    <w:p w14:paraId="19B840DC"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Cτ&lt;SΩ≤4ℓP2​kB​A​</w:t>
      </w:r>
    </w:p>
    <w:p w14:paraId="4C9D077F"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strict inequality (&lt;) is the signature of this trade-off, imposed by the collapse of the AQE. The "Cost of Resilience" is quantified by a universal information gap that, after taking quantum corrections into account, is bounded from below (see Appendix C).¹</w:t>
      </w:r>
    </w:p>
    <w:p w14:paraId="3F35693B"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Epistemological status.</w:t>
      </w:r>
      <w:r w:rsidRPr="003F3593">
        <w:rPr>
          <w:rFonts w:ascii="Times New Roman" w:eastAsia="Google Sans Text" w:hAnsi="Times New Roman" w:cs="Times New Roman"/>
          <w:color w:val="1B1C1D"/>
          <w:sz w:val="24"/>
          <w:szCs w:val="24"/>
        </w:rPr>
        <w:t xml:space="preserve"> We do not equate the computational substrate of an LLM with the spacetime near a black hole. The ISI Principle should be understood as a guiding design principle: (i) it is derived from established physical bounds (Bekenstein-Hawking, Unruh, Landauer); (ii) it implies testable architectural constraints (e.g., the necessity of a strictly positive Ollivier-Ricci curvature); (iii) it generates predictive mechanisms (DAP probe, fallback, thermodynamic temperature adjustment) whose empirical effectiveness we show (§5).</w:t>
      </w:r>
    </w:p>
    <w:p w14:paraId="7F12CAF4" w14:textId="77777777" w:rsidR="00B630BC" w:rsidRPr="003F3593" w:rsidRDefault="002172FE">
      <w:pPr>
        <w:pBdr>
          <w:top w:val="nil"/>
          <w:left w:val="nil"/>
          <w:bottom w:val="nil"/>
          <w:right w:val="nil"/>
          <w:between w:val="nil"/>
        </w:pBdr>
        <w:spacing w:line="275" w:lineRule="auto"/>
        <w:ind w:left="600" w:right="600"/>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Epistemological status of the EIU. "Unruh-inspired sampling" (EIU) is a heuristic control: Tdyn​=Tbase​+αV(ϵ) is a proportional control law inspired by the "acceleration → effective temperature" intuition, without identifying the softmax temperature with a physical Unruh temperature. We explicitly distinguish analogy from theorem.</w:t>
      </w:r>
    </w:p>
    <w:p w14:paraId="0F0100A2" w14:textId="77777777" w:rsidR="00B630BC" w:rsidRPr="003F3593" w:rsidRDefault="002172FE">
      <w:pPr>
        <w:pBdr>
          <w:top w:val="nil"/>
          <w:left w:val="nil"/>
          <w:bottom w:val="nil"/>
          <w:right w:val="nil"/>
          <w:between w:val="nil"/>
        </w:pBdr>
        <w:spacing w:line="275" w:lineRule="auto"/>
        <w:ind w:left="600" w:right="600"/>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Ref.: Unruh (1976) for kB​TU​=ℏa/(2πc).</w:t>
      </w:r>
    </w:p>
    <w:p w14:paraId="3482026C" w14:textId="77777777" w:rsidR="00B630BC" w:rsidRDefault="002172FE">
      <w:pPr>
        <w:pBdr>
          <w:top w:val="nil"/>
          <w:left w:val="nil"/>
          <w:bottom w:val="nil"/>
          <w:right w:val="nil"/>
          <w:between w:val="nil"/>
        </w:pBdr>
        <w:spacing w:before="240"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In this sense, ISI operates as a falsifiable framework linking physical limits and computational reliability.</w:t>
      </w:r>
    </w:p>
    <w:p w14:paraId="0FB69538"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6A873512" w14:textId="77777777" w:rsidR="00B630BC" w:rsidRPr="003D5D6D"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8"/>
          <w:szCs w:val="28"/>
        </w:rPr>
      </w:pPr>
      <w:r w:rsidRPr="003D5D6D">
        <w:rPr>
          <w:rFonts w:ascii="Times New Roman" w:eastAsia="Google Sans Text" w:hAnsi="Times New Roman" w:cs="Times New Roman"/>
          <w:b/>
          <w:color w:val="1B1C1D"/>
          <w:sz w:val="28"/>
          <w:szCs w:val="28"/>
        </w:rPr>
        <w:t>3. The Computational Implementation: The ISI-ERA Architecture</w:t>
      </w:r>
    </w:p>
    <w:p w14:paraId="600BE86D"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ISI-ERA architecture is designed to be the computational realization of the physical constraints imposed by the ISI theorem.</w:t>
      </w:r>
    </w:p>
    <w:p w14:paraId="43E08539" w14:textId="77777777" w:rsidR="00B630BC" w:rsidRPr="00DB1B04"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DB1B04">
        <w:rPr>
          <w:rFonts w:ascii="Times New Roman" w:eastAsia="Google Sans Text" w:hAnsi="Times New Roman" w:cs="Times New Roman"/>
          <w:b/>
          <w:color w:val="1B1C1D"/>
          <w:sz w:val="26"/>
          <w:szCs w:val="26"/>
        </w:rPr>
        <w:t>3.1. The Quadratic Invariance Principle (PIQ): Imposing Geometric Stability</w:t>
      </w:r>
    </w:p>
    <w:p w14:paraId="1763BD91"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 xml:space="preserve">The cornerstone of ISI-ERA's stability is the </w:t>
      </w:r>
      <w:r w:rsidRPr="003F3593">
        <w:rPr>
          <w:rFonts w:ascii="Times New Roman" w:eastAsia="Google Sans Text" w:hAnsi="Times New Roman" w:cs="Times New Roman"/>
          <w:b/>
          <w:color w:val="1B1C1D"/>
          <w:sz w:val="24"/>
          <w:szCs w:val="24"/>
        </w:rPr>
        <w:t>Quadratic Invariance Principle (PIQ)</w:t>
      </w:r>
      <w:r w:rsidRPr="003F3593">
        <w:rPr>
          <w:rFonts w:ascii="Times New Roman" w:eastAsia="Google Sans Text" w:hAnsi="Times New Roman" w:cs="Times New Roman"/>
          <w:color w:val="1B1C1D"/>
          <w:sz w:val="24"/>
          <w:szCs w:val="24"/>
        </w:rPr>
        <w:t>, a geometric conservation law derived from first principles. Applied to LLMs, the PIQ constrains the very space in which the model's weights and activations can exist, forcing them to remain on a stable and structured manifold (e.g., a hypersphere). An optimizer operating in this constrained space is forced to follow geodesics on the manifold; unstable regions become geometrically inaccessible.¹</w:t>
      </w:r>
    </w:p>
    <w:p w14:paraId="686C1FB1"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passive stability of ISI-ERA is ensured by the complete suite of PIQ mechanisms, applied during training to "sculpt" the geometry of the latent space:</w:t>
      </w:r>
    </w:p>
    <w:p w14:paraId="1708B619" w14:textId="77777777" w:rsidR="00B630BC" w:rsidRPr="003F3593" w:rsidRDefault="002172FE">
      <w:pPr>
        <w:numPr>
          <w:ilvl w:val="0"/>
          <w:numId w:val="26"/>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MRL (Manifold Representation Layer):</w:t>
      </w:r>
      <w:r w:rsidRPr="003F3593">
        <w:rPr>
          <w:rFonts w:ascii="Times New Roman" w:eastAsia="Google Sans Text" w:hAnsi="Times New Roman" w:cs="Times New Roman"/>
          <w:color w:val="1B1C1D"/>
          <w:sz w:val="24"/>
          <w:szCs w:val="24"/>
        </w:rPr>
        <w:t xml:space="preserve"> Prevents the collapse of representations by forcing the variance of embeddings to remain above a target threshold.</w:t>
      </w:r>
    </w:p>
    <w:p w14:paraId="443EAD08" w14:textId="77777777" w:rsidR="00B630BC" w:rsidRPr="003F3593" w:rsidRDefault="002172FE">
      <w:pPr>
        <w:numPr>
          <w:ilvl w:val="0"/>
          <w:numId w:val="26"/>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ICA (Invariant Constrained Attention):</w:t>
      </w:r>
      <w:r w:rsidRPr="003F3593">
        <w:rPr>
          <w:rFonts w:ascii="Times New Roman" w:eastAsia="Google Sans Text" w:hAnsi="Times New Roman" w:cs="Times New Roman"/>
          <w:color w:val="1B1C1D"/>
          <w:sz w:val="24"/>
          <w:szCs w:val="24"/>
        </w:rPr>
        <w:t xml:space="preserve"> Prevents the collapse of attention entropy by constraining the norm of the attention logits matrix.</w:t>
      </w:r>
    </w:p>
    <w:p w14:paraId="3380DE7A" w14:textId="77777777" w:rsidR="00B630BC" w:rsidRPr="003F3593" w:rsidRDefault="002172FE">
      <w:pPr>
        <w:numPr>
          <w:ilvl w:val="0"/>
          <w:numId w:val="26"/>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QC-Adam (Quadratic Clip Adam):</w:t>
      </w:r>
      <w:r w:rsidRPr="003F3593">
        <w:rPr>
          <w:rFonts w:ascii="Times New Roman" w:eastAsia="Google Sans Text" w:hAnsi="Times New Roman" w:cs="Times New Roman"/>
          <w:color w:val="1B1C1D"/>
          <w:sz w:val="24"/>
          <w:szCs w:val="24"/>
        </w:rPr>
        <w:t xml:space="preserve"> An optimizer that prevents the explosion of weights by projecting them onto a hypersphere of constant norm.</w:t>
      </w:r>
    </w:p>
    <w:p w14:paraId="71E3CE9A" w14:textId="25067C63" w:rsidR="00B630BC" w:rsidRPr="003F3593" w:rsidRDefault="002172FE">
      <w:pPr>
        <w:numPr>
          <w:ilvl w:val="0"/>
          <w:numId w:val="26"/>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GTV (Graph Total Variation):</w:t>
      </w:r>
      <w:r w:rsidRPr="003F3593">
        <w:rPr>
          <w:rFonts w:ascii="Times New Roman" w:eastAsia="Google Sans Text" w:hAnsi="Times New Roman" w:cs="Times New Roman"/>
          <w:color w:val="1B1C1D"/>
          <w:sz w:val="24"/>
          <w:szCs w:val="24"/>
        </w:rPr>
        <w:t xml:space="preserve"> Regularizes the similarity of queries for semantically close tokens to strengthen local bounds on curvature.</w:t>
      </w:r>
      <w:r w:rsidR="00DB1B04">
        <w:rPr>
          <w:rFonts w:ascii="Times New Roman" w:eastAsia="Google Sans Text" w:hAnsi="Times New Roman" w:cs="Times New Roman"/>
          <w:color w:val="1B1C1D"/>
          <w:sz w:val="24"/>
          <w:szCs w:val="24"/>
        </w:rPr>
        <w:br/>
      </w:r>
    </w:p>
    <w:p w14:paraId="6C7B90E7" w14:textId="04DEB9B6" w:rsidR="00B630BC" w:rsidRPr="00DB1B04" w:rsidRDefault="002172FE" w:rsidP="00DB1B04">
      <w:pPr>
        <w:pBdr>
          <w:top w:val="nil"/>
          <w:left w:val="nil"/>
          <w:bottom w:val="nil"/>
          <w:right w:val="nil"/>
          <w:between w:val="nil"/>
        </w:pBdr>
        <w:spacing w:before="240" w:after="240" w:line="275" w:lineRule="auto"/>
        <w:rPr>
          <w:rFonts w:ascii="Times New Roman" w:eastAsia="Google Sans" w:hAnsi="Times New Roman" w:cs="Times New Roman"/>
          <w:color w:val="1B1C1D"/>
          <w:sz w:val="26"/>
          <w:szCs w:val="26"/>
        </w:rPr>
      </w:pPr>
      <w:r w:rsidRPr="00DB1B04">
        <w:rPr>
          <w:rFonts w:ascii="Times New Roman" w:eastAsia="Google Sans Text" w:hAnsi="Times New Roman" w:cs="Times New Roman"/>
          <w:b/>
          <w:color w:val="1B1C1D"/>
          <w:sz w:val="26"/>
          <w:szCs w:val="26"/>
        </w:rPr>
        <w:t>3.2. Ricci Curvature as a Theoretical Bridge</w:t>
      </w:r>
    </w:p>
    <w:p w14:paraId="5B72D8EA"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The formal link between the physics of ISI and the engineering of ERA is </w:t>
      </w:r>
      <w:r w:rsidRPr="003F3593">
        <w:rPr>
          <w:rFonts w:ascii="Times New Roman" w:eastAsia="Google Sans Text" w:hAnsi="Times New Roman" w:cs="Times New Roman"/>
          <w:b/>
          <w:color w:val="1B1C1D"/>
          <w:sz w:val="24"/>
          <w:szCs w:val="24"/>
        </w:rPr>
        <w:t>Ricci curvature</w:t>
      </w:r>
      <w:r w:rsidRPr="003F3593">
        <w:rPr>
          <w:rFonts w:ascii="Times New Roman" w:eastAsia="Google Sans Text" w:hAnsi="Times New Roman" w:cs="Times New Roman"/>
          <w:color w:val="1B1C1D"/>
          <w:sz w:val="24"/>
          <w:szCs w:val="24"/>
        </w:rPr>
        <w:t>.</w:t>
      </w:r>
    </w:p>
    <w:p w14:paraId="5FF87188" w14:textId="77777777" w:rsidR="00B630BC" w:rsidRPr="003F3593" w:rsidRDefault="002172FE">
      <w:pPr>
        <w:numPr>
          <w:ilvl w:val="0"/>
          <w:numId w:val="27"/>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Postulate (from ISI):</w:t>
      </w:r>
      <w:r w:rsidRPr="003F3593">
        <w:rPr>
          <w:rFonts w:ascii="Times New Roman" w:eastAsia="Google Sans Text" w:hAnsi="Times New Roman" w:cs="Times New Roman"/>
          <w:color w:val="1B1C1D"/>
          <w:sz w:val="24"/>
          <w:szCs w:val="24"/>
        </w:rPr>
        <w:t xml:space="preserve"> The local stability of an LLM requires a strictly positive local semantic curvature κ(xt​). A non-positive curvature (κ(xt​)≤0) is the precursor sign of a semantic collapse.</w:t>
      </w:r>
    </w:p>
    <w:p w14:paraId="59285728" w14:textId="77777777" w:rsidR="00B630BC" w:rsidRPr="003F3593" w:rsidRDefault="002172FE">
      <w:pPr>
        <w:numPr>
          <w:ilvl w:val="0"/>
          <w:numId w:val="27"/>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Demonstration (from ERA):</w:t>
      </w:r>
      <w:r w:rsidRPr="003F3593">
        <w:rPr>
          <w:rFonts w:ascii="Times New Roman" w:eastAsia="Google Sans Text" w:hAnsi="Times New Roman" w:cs="Times New Roman"/>
          <w:color w:val="1B1C1D"/>
          <w:sz w:val="24"/>
          <w:szCs w:val="24"/>
        </w:rPr>
        <w:t xml:space="preserve"> We demonstrate that the PIQ suite acts as an implicit regulator of the Ollivier-Ricci curvature of the attention graph. Recent research has established a powerful link between higher Ricci curvature and model robustness. </w:t>
      </w:r>
      <w:r w:rsidRPr="003F3593">
        <w:rPr>
          <w:rFonts w:ascii="Times New Roman" w:eastAsia="Google Sans Text" w:hAnsi="Times New Roman" w:cs="Times New Roman"/>
          <w:b/>
          <w:color w:val="1B1C1D"/>
          <w:sz w:val="24"/>
          <w:szCs w:val="24"/>
        </w:rPr>
        <w:t>Theorems 1 and 2</w:t>
      </w:r>
      <w:r w:rsidRPr="003F3593">
        <w:rPr>
          <w:rFonts w:ascii="Times New Roman" w:eastAsia="Google Sans Text" w:hAnsi="Times New Roman" w:cs="Times New Roman"/>
          <w:color w:val="1B1C1D"/>
          <w:sz w:val="24"/>
          <w:szCs w:val="24"/>
        </w:rPr>
        <w:t xml:space="preserve"> (below, excerpted from) prove that the PIQ suite imposes a guaranteed lower bound on this curvature, transforming the physical postulate into an architectural certification.</w:t>
      </w:r>
    </w:p>
    <w:p w14:paraId="7BA470D2" w14:textId="77777777" w:rsidR="00B630BC" w:rsidRPr="003F3593" w:rsidRDefault="002172FE">
      <w:pPr>
        <w:pBdr>
          <w:top w:val="nil"/>
          <w:left w:val="nil"/>
          <w:bottom w:val="nil"/>
          <w:right w:val="nil"/>
          <w:between w:val="nil"/>
        </w:pBdr>
        <w:spacing w:before="240"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It is essential to note that our contribution goes beyond the simple confirmation of the utility of Ricci curvature. While existing works establish an empirical or geometric correlation, our physical framework is the first to derive the necessity of positive curvature from first thermodynamic principles. Furthermore, it predicts associated dynamic phenomena, such as the fallback mechanism and temperature adjustment, which do not follow from a purely geometric analysis, thus giving our theory superior explanatory and predictive power.</w:t>
      </w:r>
    </w:p>
    <w:p w14:paraId="6E891994"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Definition 1 (Coarse local Ollivier curvature). On the attention graph (discrete metric d), the Ollivier curvature between x=y is</w:t>
      </w:r>
    </w:p>
    <w:p w14:paraId="1CA7352F"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lastRenderedPageBreak/>
        <w:t>κ(x,y)=1−d(x,y)W1​(Px​,Py​)​.</w:t>
      </w:r>
    </w:p>
    <w:p w14:paraId="55B00DA3"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Local curvature at x:</w:t>
      </w:r>
    </w:p>
    <w:p w14:paraId="5E07FD94"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κloc​(x):=miny</w:t>
      </w:r>
      <w:r w:rsidRPr="003F3593">
        <w:rPr>
          <w:rFonts w:ascii="Cambria Math" w:eastAsia="Google Sans Text" w:hAnsi="Cambria Math" w:cs="Cambria Math"/>
          <w:sz w:val="24"/>
          <w:szCs w:val="24"/>
        </w:rPr>
        <w:t>∈</w:t>
      </w:r>
      <w:r w:rsidRPr="003F3593">
        <w:rPr>
          <w:rFonts w:ascii="Times New Roman" w:eastAsia="Google Sans Text" w:hAnsi="Times New Roman" w:cs="Times New Roman"/>
          <w:sz w:val="24"/>
          <w:szCs w:val="24"/>
        </w:rPr>
        <w:t>N(x)​κ(x,y) on edges (x,y) with attention weight ≥θ (threshold set in Appendix H).</w:t>
      </w:r>
    </w:p>
    <w:p w14:paraId="73980F06"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Theorem 3⁵ (W1 contractivity under κmin​&gt;0). If κmin​:=infx=y​κ(x,y)≥κ0​&gt;0, then</w:t>
      </w:r>
    </w:p>
    <w:p w14:paraId="0D23AA0E" w14:textId="49C59FCB" w:rsidR="00B630BC" w:rsidRPr="003F3593" w:rsidRDefault="002172FE" w:rsidP="0013476F">
      <w:pPr>
        <w:pBdr>
          <w:top w:val="nil"/>
          <w:left w:val="nil"/>
          <w:bottom w:val="nil"/>
          <w:right w:val="nil"/>
          <w:between w:val="nil"/>
        </w:pBdr>
        <w:spacing w:line="275" w:lineRule="auto"/>
        <w:rPr>
          <w:rFonts w:ascii="Times New Roman" w:eastAsia="Google Sans" w:hAnsi="Times New Roman" w:cs="Times New Roman"/>
          <w:color w:val="1B1C1D"/>
          <w:sz w:val="24"/>
          <w:szCs w:val="24"/>
        </w:rPr>
      </w:pPr>
      <w:r w:rsidRPr="003F3593">
        <w:rPr>
          <w:rFonts w:ascii="Times New Roman" w:eastAsia="Google Sans Text" w:hAnsi="Times New Roman" w:cs="Times New Roman"/>
          <w:sz w:val="24"/>
          <w:szCs w:val="24"/>
        </w:rPr>
        <w:t>W1​(μP,νP)≤(1−κ0​)W1​(μ,ν), for all measures μ,ν.</w:t>
      </w:r>
      <w:r w:rsidR="00C34729">
        <w:rPr>
          <w:rFonts w:ascii="Times New Roman" w:eastAsia="Google Sans Text" w:hAnsi="Times New Roman" w:cs="Times New Roman"/>
          <w:sz w:val="24"/>
          <w:szCs w:val="24"/>
        </w:rPr>
        <w:br/>
      </w:r>
    </w:p>
    <w:p w14:paraId="2C3FA484"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Corollary (discrete metric).</w:t>
      </w:r>
      <w:r w:rsidRPr="003F3593">
        <w:rPr>
          <w:rFonts w:ascii="Times New Roman" w:eastAsia="Google Sans Text" w:hAnsi="Times New Roman" w:cs="Times New Roman"/>
          <w:color w:val="1B1C1D"/>
          <w:sz w:val="24"/>
          <w:szCs w:val="24"/>
        </w:rPr>
        <w:t xml:space="preserve"> TV(μP,νP)≤(1−κ0​)TV(μ,ν).</w:t>
      </w:r>
    </w:p>
    <w:p w14:paraId="20973618"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Theorem 4 (Abstention guarantee - CLF, local safety).</w:t>
      </w:r>
      <w:r w:rsidRPr="003F3593">
        <w:rPr>
          <w:rFonts w:ascii="Times New Roman" w:eastAsia="Google Sans Text" w:hAnsi="Times New Roman" w:cs="Times New Roman"/>
          <w:color w:val="1B1C1D"/>
          <w:sz w:val="24"/>
          <w:szCs w:val="24"/>
        </w:rPr>
        <w:t xml:space="preserve"> Let the following fallback policy be: (R6-ter) if p(xt​)≤η AND κ(xt​)≤0, then abstain; (R6-bis) if κ(xt​)≤κ0​ (local), abstain. Then, conditionally on the triggers (R6-ter/bis), the probability of emitting a high-confidence token in an unstable regime is zero. Furthermore, in a stable regime (κ≥κ0​, V(ϵ)≤V0​), the total variation induced by DAP satisfies TV≤2(1−κ0​)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TVbase​≤2(1−κ0​)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V0​ (constant c from Appendix B), defining a local stability certificate.</w:t>
      </w:r>
    </w:p>
    <w:p w14:paraId="6402FDE6"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i/>
          <w:color w:val="1B1C1D"/>
          <w:sz w:val="24"/>
          <w:szCs w:val="24"/>
        </w:rPr>
        <w:t>Sketch of proof.</w:t>
      </w:r>
      <w:r w:rsidRPr="003F3593">
        <w:rPr>
          <w:rFonts w:ascii="Times New Roman" w:eastAsia="Google Sans Text" w:hAnsi="Times New Roman" w:cs="Times New Roman"/>
          <w:color w:val="1B1C1D"/>
          <w:sz w:val="24"/>
          <w:szCs w:val="24"/>
        </w:rPr>
        <w:t xml:space="preserve"> The rules (R6-ter/-bis) impose by construction the abstention on regions with κ≤0 or κ≤κ0​; no output is produced in these regions. In a stable regime, applying Th. 3 (W1 contraction) and the Taylor approximation of DAP (Appendix B) bounds the TV by V(ϵ) and κ0​. Full details in Appendix E-F.</w:t>
      </w:r>
    </w:p>
    <w:p w14:paraId="61D34FD2"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Formal framework and proofs (Ollivier curvature)</w:t>
      </w:r>
    </w:p>
    <w:p w14:paraId="02AA2161" w14:textId="77777777" w:rsidR="00B630BC" w:rsidRPr="003F3593" w:rsidRDefault="002172FE">
      <w:pPr>
        <w:numPr>
          <w:ilvl w:val="0"/>
          <w:numId w:val="28"/>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Framework:</w:t>
      </w:r>
      <w:r w:rsidRPr="003F3593">
        <w:rPr>
          <w:rFonts w:ascii="Times New Roman" w:eastAsia="Google Sans Text" w:hAnsi="Times New Roman" w:cs="Times New Roman"/>
          <w:color w:val="1B1C1D"/>
          <w:sz w:val="24"/>
          <w:szCs w:val="24"/>
        </w:rPr>
        <w:t xml:space="preserve"> For an attention head and a sequence of length n, the Markov kernel (attention) is Pi​=softmax(Ai​/τ).</w:t>
      </w:r>
    </w:p>
    <w:p w14:paraId="53CF43E7" w14:textId="77777777" w:rsidR="00B630BC" w:rsidRPr="003F3593" w:rsidRDefault="002172FE">
      <w:pPr>
        <w:numPr>
          <w:ilvl w:val="0"/>
          <w:numId w:val="28"/>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Theorem 1 (Global Ricci bound by ICA+GTV): Under the hypotheses of ICA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F​≤Cattn​) and GTV (t≥tmin​), then for any x,y:</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κ(x,y)≥1−2τmin​nCattn​​.</w:t>
      </w:r>
    </w:p>
    <w:p w14:paraId="516CE191" w14:textId="77777777" w:rsidR="00B630BC" w:rsidRPr="003F3593" w:rsidRDefault="002172FE">
      <w:pPr>
        <w:numPr>
          <w:ilvl w:val="0"/>
          <w:numId w:val="28"/>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 xml:space="preserve">Theorem 2 (Refined local bound): If QC-Adam bounds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kj​</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2​≤R and GTV controls the variation of queries, then for strong edges (x,y)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E:</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κ(x,y)≥1−4τˉmin​dnRγˉ​​.</w:t>
      </w:r>
    </w:p>
    <w:p w14:paraId="591650B0" w14:textId="77777777" w:rsidR="00B630BC" w:rsidRPr="003F3593" w:rsidRDefault="002172FE">
      <w:pPr>
        <w:pBdr>
          <w:top w:val="nil"/>
          <w:left w:val="nil"/>
          <w:bottom w:val="nil"/>
          <w:right w:val="nil"/>
          <w:between w:val="nil"/>
        </w:pBdr>
        <w:spacing w:before="240" w:after="24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Algorithm 1 - DAP Probe (estimation of κ(x),V(ϵ))</w:t>
      </w:r>
    </w:p>
    <w:p w14:paraId="4822680C"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Inputs:</w:t>
      </w:r>
      <w:r w:rsidRPr="003F3593">
        <w:rPr>
          <w:rFonts w:ascii="Times New Roman" w:eastAsia="Google Sans Text" w:hAnsi="Times New Roman" w:cs="Times New Roman"/>
          <w:color w:val="1B1C1D"/>
          <w:sz w:val="24"/>
          <w:szCs w:val="24"/>
        </w:rPr>
        <w:t xml:space="preserve"> context c0​, axis u</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c0​, angle ϵ (calibrated, Appendix B), logits l=A/τ</w:t>
      </w:r>
    </w:p>
    <w:p w14:paraId="6AFE74B7" w14:textId="77777777" w:rsidR="00B630BC" w:rsidRPr="003F3593" w:rsidRDefault="002172FE">
      <w:pPr>
        <w:numPr>
          <w:ilvl w:val="0"/>
          <w:numId w:val="29"/>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cϵ​←Ru​(ϵ)c0​;p0​←softmax(l(c0​));pϵ​←softmax(l(cϵ​))</w:t>
      </w:r>
    </w:p>
    <w:p w14:paraId="3ED080F3" w14:textId="77777777" w:rsidR="00B630BC" w:rsidRPr="003F3593" w:rsidRDefault="002172FE">
      <w:pPr>
        <w:numPr>
          <w:ilvl w:val="0"/>
          <w:numId w:val="29"/>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V(ϵ)←Σi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S</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pϵ​(i)−p0​(i)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κ(x)← local curvature estimator (DAP)</w:t>
      </w:r>
    </w:p>
    <w:p w14:paraId="3B8C7B48" w14:textId="30F0DAA9" w:rsidR="00B630BC" w:rsidRPr="003F3593" w:rsidRDefault="002172FE" w:rsidP="0013476F">
      <w:pPr>
        <w:numPr>
          <w:ilvl w:val="0"/>
          <w:numId w:val="29"/>
        </w:numPr>
        <w:pBdr>
          <w:top w:val="nil"/>
          <w:left w:val="nil"/>
          <w:bottom w:val="nil"/>
          <w:right w:val="nil"/>
          <w:between w:val="nil"/>
        </w:pBdr>
        <w:spacing w:after="120" w:line="275" w:lineRule="auto"/>
        <w:rPr>
          <w:rFonts w:ascii="Times New Roman" w:eastAsia="Google Sans" w:hAnsi="Times New Roman" w:cs="Times New Roman"/>
          <w:color w:val="1B1C1D"/>
          <w:sz w:val="24"/>
          <w:szCs w:val="24"/>
        </w:rPr>
      </w:pPr>
      <w:r w:rsidRPr="003F3593">
        <w:rPr>
          <w:rFonts w:ascii="Times New Roman" w:eastAsia="Google Sans Text" w:hAnsi="Times New Roman" w:cs="Times New Roman"/>
          <w:b/>
          <w:color w:val="1B1C1D"/>
          <w:sz w:val="24"/>
          <w:szCs w:val="24"/>
        </w:rPr>
        <w:t>return</w:t>
      </w:r>
      <w:r w:rsidRPr="003F3593">
        <w:rPr>
          <w:rFonts w:ascii="Times New Roman" w:eastAsia="Google Sans Text" w:hAnsi="Times New Roman" w:cs="Times New Roman"/>
          <w:color w:val="1B1C1D"/>
          <w:sz w:val="24"/>
          <w:szCs w:val="24"/>
        </w:rPr>
        <w:t xml:space="preserve"> (V(ϵ),κ(x))</w:t>
      </w:r>
      <w:r w:rsidR="00C34729">
        <w:rPr>
          <w:rFonts w:ascii="Times New Roman" w:eastAsia="Google Sans Text" w:hAnsi="Times New Roman" w:cs="Times New Roman"/>
          <w:color w:val="1B1C1D"/>
          <w:sz w:val="24"/>
          <w:szCs w:val="24"/>
        </w:rPr>
        <w:br/>
      </w:r>
    </w:p>
    <w:p w14:paraId="17626009"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Algorithm 2</w:t>
      </w:r>
    </w:p>
    <w:p w14:paraId="340AFBCF"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Inputs:</w:t>
      </w:r>
      <w:r w:rsidRPr="003F3593">
        <w:rPr>
          <w:rFonts w:ascii="Times New Roman" w:eastAsia="Google Sans Text" w:hAnsi="Times New Roman" w:cs="Times New Roman"/>
          <w:color w:val="1B1C1D"/>
          <w:sz w:val="24"/>
          <w:szCs w:val="24"/>
        </w:rPr>
        <w:t xml:space="preserve"> p0​, V(ϵ), κ(x)</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{κloc​,κ^DAP​}, thresholds (η,κ0​,α), Tbase​</w:t>
      </w:r>
    </w:p>
    <w:p w14:paraId="246AF311" w14:textId="77777777" w:rsidR="00B630BC" w:rsidRPr="003F3593" w:rsidRDefault="002172FE">
      <w:pPr>
        <w:numPr>
          <w:ilvl w:val="0"/>
          <w:numId w:val="30"/>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lastRenderedPageBreak/>
        <w:t>If</w:t>
      </w:r>
      <w:r w:rsidRPr="003F3593">
        <w:rPr>
          <w:rFonts w:ascii="Times New Roman" w:eastAsia="Google Sans Text" w:hAnsi="Times New Roman" w:cs="Times New Roman"/>
          <w:color w:val="1B1C1D"/>
          <w:sz w:val="24"/>
          <w:szCs w:val="24"/>
        </w:rPr>
        <w:t xml:space="preserve"> [p0​≤η AND κ(x)≤0]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 </w:t>
      </w:r>
      <w:r w:rsidRPr="003F3593">
        <w:rPr>
          <w:rFonts w:ascii="Times New Roman" w:eastAsia="Google Sans Text" w:hAnsi="Times New Roman" w:cs="Times New Roman"/>
          <w:b/>
          <w:color w:val="1B1C1D"/>
          <w:sz w:val="24"/>
          <w:szCs w:val="24"/>
        </w:rPr>
        <w:t>ABSTAIN</w:t>
      </w:r>
      <w:r w:rsidRPr="003F3593">
        <w:rPr>
          <w:rFonts w:ascii="Times New Roman" w:eastAsia="Google Sans Text" w:hAnsi="Times New Roman" w:cs="Times New Roman"/>
          <w:color w:val="1B1C1D"/>
          <w:sz w:val="24"/>
          <w:szCs w:val="24"/>
        </w:rPr>
        <w:t xml:space="preserve"> (R6-ter).</w:t>
      </w:r>
    </w:p>
    <w:p w14:paraId="35FB95DD" w14:textId="77777777" w:rsidR="00B630BC" w:rsidRPr="003F3593" w:rsidRDefault="002172FE">
      <w:pPr>
        <w:numPr>
          <w:ilvl w:val="0"/>
          <w:numId w:val="30"/>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Else if</w:t>
      </w:r>
      <w:r w:rsidRPr="003F3593">
        <w:rPr>
          <w:rFonts w:ascii="Times New Roman" w:eastAsia="Google Sans Text" w:hAnsi="Times New Roman" w:cs="Times New Roman"/>
          <w:color w:val="1B1C1D"/>
          <w:sz w:val="24"/>
          <w:szCs w:val="24"/>
        </w:rPr>
        <w:t xml:space="preserve"> [κ(x)≤κ0​]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 </w:t>
      </w:r>
      <w:r w:rsidRPr="003F3593">
        <w:rPr>
          <w:rFonts w:ascii="Times New Roman" w:eastAsia="Google Sans Text" w:hAnsi="Times New Roman" w:cs="Times New Roman"/>
          <w:b/>
          <w:color w:val="1B1C1D"/>
          <w:sz w:val="24"/>
          <w:szCs w:val="24"/>
        </w:rPr>
        <w:t>ABSTAIN</w:t>
      </w:r>
      <w:r w:rsidRPr="003F3593">
        <w:rPr>
          <w:rFonts w:ascii="Times New Roman" w:eastAsia="Google Sans Text" w:hAnsi="Times New Roman" w:cs="Times New Roman"/>
          <w:color w:val="1B1C1D"/>
          <w:sz w:val="24"/>
          <w:szCs w:val="24"/>
        </w:rPr>
        <w:t xml:space="preserve"> (R6-bis).</w:t>
      </w:r>
    </w:p>
    <w:p w14:paraId="0FB10C17" w14:textId="77777777" w:rsidR="00B630BC" w:rsidRPr="003F3593" w:rsidRDefault="002172FE">
      <w:pPr>
        <w:numPr>
          <w:ilvl w:val="0"/>
          <w:numId w:val="30"/>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Else Tdyn​←Tbase​+α</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V(ϵ); sample with Tdyn​; emit token.</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Log {V(ϵ),κ(x),p0​,Tdyn​,R6 flags} (Appendix H).</w:t>
      </w:r>
    </w:p>
    <w:p w14:paraId="162988CD" w14:textId="77777777" w:rsidR="00B630BC" w:rsidRPr="003F3593" w:rsidRDefault="002172FE">
      <w:pPr>
        <w:pBdr>
          <w:top w:val="nil"/>
          <w:left w:val="nil"/>
          <w:bottom w:val="nil"/>
          <w:right w:val="nil"/>
          <w:between w:val="nil"/>
        </w:pBdr>
        <w:spacing w:before="240"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κloc​(x):=κloc​(x) (cf. Definition 1)</w:t>
      </w:r>
    </w:p>
    <w:p w14:paraId="5271EE06"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Rule 6-bis (modified): if κloc​(x)≤κ0​</w:t>
      </w:r>
      <w:r w:rsidRPr="003F3593">
        <w:rPr>
          <w:rFonts w:ascii="Cambria Math" w:eastAsia="Google Sans Text" w:hAnsi="Cambria Math" w:cs="Cambria Math"/>
          <w:sz w:val="24"/>
          <w:szCs w:val="24"/>
        </w:rPr>
        <w:t>⇒</w:t>
      </w:r>
      <w:r w:rsidRPr="003F3593">
        <w:rPr>
          <w:rFonts w:ascii="Times New Roman" w:eastAsia="Google Sans Text" w:hAnsi="Times New Roman" w:cs="Times New Roman"/>
          <w:sz w:val="24"/>
          <w:szCs w:val="24"/>
        </w:rPr>
        <w:t xml:space="preserve"> ABSTAIN.</w:t>
      </w:r>
    </w:p>
    <w:p w14:paraId="77C535F1" w14:textId="77777777" w:rsidR="00B630BC" w:rsidRPr="003F3593" w:rsidRDefault="002172FE">
      <w:pPr>
        <w:numPr>
          <w:ilvl w:val="0"/>
          <w:numId w:val="3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if</w:t>
      </w:r>
      <w:r w:rsidRPr="003F3593">
        <w:rPr>
          <w:rFonts w:ascii="Times New Roman" w:eastAsia="Google Sans Text" w:hAnsi="Times New Roman" w:cs="Times New Roman"/>
          <w:color w:val="1B1C1D"/>
          <w:sz w:val="24"/>
          <w:szCs w:val="24"/>
        </w:rPr>
        <w:t xml:space="preserve"> [p0​≤η AND κ(x)≤0] </w:t>
      </w:r>
      <w:r w:rsidRPr="003F3593">
        <w:rPr>
          <w:rFonts w:ascii="Times New Roman" w:eastAsia="Google Sans Text" w:hAnsi="Times New Roman" w:cs="Times New Roman"/>
          <w:b/>
          <w:color w:val="1B1C1D"/>
          <w:sz w:val="24"/>
          <w:szCs w:val="24"/>
        </w:rPr>
        <w:t>ABSTAIN</w:t>
      </w:r>
      <w:r w:rsidRPr="003F3593">
        <w:rPr>
          <w:rFonts w:ascii="Times New Roman" w:eastAsia="Google Sans Text" w:hAnsi="Times New Roman" w:cs="Times New Roman"/>
          <w:color w:val="1B1C1D"/>
          <w:sz w:val="24"/>
          <w:szCs w:val="24"/>
        </w:rPr>
        <w:t xml:space="preserve"> (R6-ter)</w:t>
      </w:r>
    </w:p>
    <w:p w14:paraId="63B34F9E" w14:textId="77777777" w:rsidR="00B630BC" w:rsidRPr="003F3593" w:rsidRDefault="002172FE">
      <w:pPr>
        <w:numPr>
          <w:ilvl w:val="0"/>
          <w:numId w:val="3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else if</w:t>
      </w:r>
      <w:r w:rsidRPr="003F3593">
        <w:rPr>
          <w:rFonts w:ascii="Times New Roman" w:eastAsia="Google Sans Text" w:hAnsi="Times New Roman" w:cs="Times New Roman"/>
          <w:color w:val="1B1C1D"/>
          <w:sz w:val="24"/>
          <w:szCs w:val="24"/>
        </w:rPr>
        <w:t xml:space="preserve"> [κ(x)≤κ0​] </w:t>
      </w:r>
      <w:r w:rsidRPr="003F3593">
        <w:rPr>
          <w:rFonts w:ascii="Times New Roman" w:eastAsia="Google Sans Text" w:hAnsi="Times New Roman" w:cs="Times New Roman"/>
          <w:b/>
          <w:color w:val="1B1C1D"/>
          <w:sz w:val="24"/>
          <w:szCs w:val="24"/>
        </w:rPr>
        <w:t>ABSTAIN</w:t>
      </w:r>
      <w:r w:rsidRPr="003F3593">
        <w:rPr>
          <w:rFonts w:ascii="Times New Roman" w:eastAsia="Google Sans Text" w:hAnsi="Times New Roman" w:cs="Times New Roman"/>
          <w:color w:val="1B1C1D"/>
          <w:sz w:val="24"/>
          <w:szCs w:val="24"/>
        </w:rPr>
        <w:t xml:space="preserve"> (R6-bis)</w:t>
      </w:r>
    </w:p>
    <w:p w14:paraId="71023DFB" w14:textId="77777777" w:rsidR="00B630BC" w:rsidRPr="003F3593" w:rsidRDefault="002172FE">
      <w:pPr>
        <w:numPr>
          <w:ilvl w:val="0"/>
          <w:numId w:val="31"/>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else</w:t>
      </w:r>
      <w:r w:rsidRPr="003F3593">
        <w:rPr>
          <w:rFonts w:ascii="Times New Roman" w:eastAsia="Google Sans Text" w:hAnsi="Times New Roman" w:cs="Times New Roman"/>
          <w:color w:val="1B1C1D"/>
          <w:sz w:val="24"/>
          <w:szCs w:val="24"/>
        </w:rPr>
        <w:t xml:space="preserve"> Tdyn​←Tbase​+αV(ϵ); sample with Tdyn​; emit token</w:t>
      </w:r>
    </w:p>
    <w:p w14:paraId="7E10C15D" w14:textId="77777777" w:rsidR="00B630BC" w:rsidRPr="003F3593" w:rsidRDefault="002172FE">
      <w:pPr>
        <w:pBdr>
          <w:top w:val="nil"/>
          <w:left w:val="nil"/>
          <w:bottom w:val="nil"/>
          <w:right w:val="nil"/>
          <w:between w:val="nil"/>
        </w:pBdr>
        <w:spacing w:before="240"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i/>
          <w:color w:val="1B1C1D"/>
          <w:sz w:val="24"/>
          <w:szCs w:val="24"/>
        </w:rPr>
        <w:t>Practical note:</w:t>
      </w:r>
      <w:r w:rsidRPr="003F3593">
        <w:rPr>
          <w:rFonts w:ascii="Times New Roman" w:eastAsia="Google Sans Text" w:hAnsi="Times New Roman" w:cs="Times New Roman"/>
          <w:color w:val="1B1C1D"/>
          <w:sz w:val="24"/>
          <w:szCs w:val="24"/>
        </w:rPr>
        <w:t xml:space="preserve"> calibrate ϵ via Appendix B.5 (linear regime, η&lt;0.1) and document τmin​.</w:t>
      </w:r>
    </w:p>
    <w:p w14:paraId="43E626B1" w14:textId="006D4E70" w:rsidR="00B630BC" w:rsidRPr="003F3593" w:rsidRDefault="002172FE">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r w:rsidRPr="003F3593">
        <w:rPr>
          <w:rFonts w:ascii="Times New Roman" w:eastAsia="Google Sans Text" w:hAnsi="Times New Roman" w:cs="Times New Roman"/>
          <w:b/>
          <w:color w:val="1B1C1D"/>
          <w:sz w:val="24"/>
          <w:szCs w:val="24"/>
        </w:rPr>
        <w:t>Domains of validity (Th. 1-2).</w:t>
      </w:r>
      <w:r w:rsidRPr="003F3593">
        <w:rPr>
          <w:rFonts w:ascii="Times New Roman" w:eastAsia="Google Sans Text" w:hAnsi="Times New Roman" w:cs="Times New Roman"/>
          <w:color w:val="1B1C1D"/>
          <w:sz w:val="24"/>
          <w:szCs w:val="24"/>
        </w:rPr>
        <w:t xml:space="preserve"> The bounds κ(x,y)≥1−2τmin​nCattn​​ and κ(x,y)≥1−4τmin​dnRγ​ are significant if 2τmin​nCattn​​&lt;1 and 4τmin​dnRγ​&lt;1, which sets target regimes for (n,d,τmin​,Cattn​,R,γ). The chosen values and tolerances must be published in Appendix H (configs, seeds).</w:t>
      </w:r>
      <w:r w:rsidR="00C34729">
        <w:rPr>
          <w:rFonts w:ascii="Times New Roman" w:eastAsia="Google Sans Text" w:hAnsi="Times New Roman" w:cs="Times New Roman"/>
          <w:color w:val="1B1C1D"/>
          <w:sz w:val="24"/>
          <w:szCs w:val="24"/>
        </w:rPr>
        <w:br/>
      </w:r>
    </w:p>
    <w:p w14:paraId="6F672020" w14:textId="77777777" w:rsidR="00B630BC" w:rsidRPr="0013476F"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13476F">
        <w:rPr>
          <w:rFonts w:ascii="Times New Roman" w:eastAsia="Google Sans Text" w:hAnsi="Times New Roman" w:cs="Times New Roman"/>
          <w:b/>
          <w:color w:val="1B1C1D"/>
          <w:sz w:val="26"/>
          <w:szCs w:val="26"/>
        </w:rPr>
        <w:t>3.3. The Unified Control Loop: Probe, Decide, Act</w:t>
      </w:r>
    </w:p>
    <w:p w14:paraId="624864EF"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ISI-ERA architecture integrates a simplified and physically-grounded real-time control loop, which replaces the more complex mechanisms with the direct mechanisms of ISI.</w:t>
      </w:r>
    </w:p>
    <w:p w14:paraId="0E5501AA" w14:textId="77777777" w:rsidR="00B630BC" w:rsidRPr="003F3593" w:rsidRDefault="002172FE">
      <w:pPr>
        <w:numPr>
          <w:ilvl w:val="0"/>
          <w:numId w:val="32"/>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The Sensor (DAP Probe):</w:t>
      </w:r>
      <w:r w:rsidRPr="003F3593">
        <w:rPr>
          <w:rFonts w:ascii="Times New Roman" w:eastAsia="Google Sans Text" w:hAnsi="Times New Roman" w:cs="Times New Roman"/>
          <w:color w:val="1B1C1D"/>
          <w:sz w:val="24"/>
          <w:szCs w:val="24"/>
        </w:rPr>
        <w:t xml:space="preserve"> The </w:t>
      </w:r>
      <w:r w:rsidRPr="003F3593">
        <w:rPr>
          <w:rFonts w:ascii="Times New Roman" w:eastAsia="Google Sans Text" w:hAnsi="Times New Roman" w:cs="Times New Roman"/>
          <w:b/>
          <w:color w:val="1B1C1D"/>
          <w:sz w:val="24"/>
          <w:szCs w:val="24"/>
        </w:rPr>
        <w:t>Differential Axis Perturbation (DAP)</w:t>
      </w:r>
      <w:r w:rsidRPr="003F3593">
        <w:rPr>
          <w:rFonts w:ascii="Times New Roman" w:eastAsia="Google Sans Text" w:hAnsi="Times New Roman" w:cs="Times New Roman"/>
          <w:color w:val="1B1C1D"/>
          <w:sz w:val="24"/>
          <w:szCs w:val="24"/>
        </w:rPr>
        <w:t xml:space="preserve"> is an analytical method that probes local stability by measuring the response of the probability distribution to a small, controlled rotation of the context vector.¹ It continuously computes the local curvature κ(xt​) and a volatility index V(ϵ), which measures the magnitude of the probabilistic reconfiguration.</w:t>
      </w:r>
    </w:p>
    <w:p w14:paraId="6E2D8C41" w14:textId="77777777" w:rsidR="00B630BC" w:rsidRPr="003F3593" w:rsidRDefault="002172FE">
      <w:pPr>
        <w:pBdr>
          <w:top w:val="nil"/>
          <w:left w:val="nil"/>
          <w:bottom w:val="nil"/>
          <w:right w:val="nil"/>
          <w:between w:val="nil"/>
        </w:pBdr>
        <w:spacing w:line="275" w:lineRule="auto"/>
        <w:ind w:left="600" w:right="600"/>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Box - DAP as an instability detector.</w:t>
      </w:r>
    </w:p>
    <w:p w14:paraId="646A8DFA" w14:textId="77777777" w:rsidR="00B630BC" w:rsidRPr="003F3593" w:rsidRDefault="002172FE">
      <w:pPr>
        <w:pBdr>
          <w:top w:val="nil"/>
          <w:left w:val="nil"/>
          <w:bottom w:val="nil"/>
          <w:right w:val="nil"/>
          <w:between w:val="nil"/>
        </w:pBdr>
        <w:spacing w:line="275" w:lineRule="auto"/>
        <w:ind w:left="600" w:right="600"/>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DAP provides V(ϵ)=∑i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S</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ΔPi​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 and a first-order unbiased estimator κ^DAP​ (regime η&lt;0.1). The CLF certificate relies on either κloc​(x) (Def. 1) or a calibrated κ^DAP​ (C2). In all cases, the R6-ter abstention rule primes if p(xt​)≤η and κ≤0.</w:t>
      </w:r>
    </w:p>
    <w:p w14:paraId="66D58D1B" w14:textId="77777777" w:rsidR="00B630BC" w:rsidRPr="003F3593" w:rsidRDefault="002172FE">
      <w:pPr>
        <w:numPr>
          <w:ilvl w:val="0"/>
          <w:numId w:val="33"/>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The Decision Logic (Gravitational Fallback):</w:t>
      </w:r>
      <w:r w:rsidRPr="003F3593">
        <w:rPr>
          <w:rFonts w:ascii="Times New Roman" w:eastAsia="Google Sans Text" w:hAnsi="Times New Roman" w:cs="Times New Roman"/>
          <w:color w:val="1B1C1D"/>
          <w:sz w:val="24"/>
          <w:szCs w:val="24"/>
        </w:rPr>
        <w:t xml:space="preserve"> The decision rules are directly derived from the ISI theory:</w:t>
      </w:r>
    </w:p>
    <w:p w14:paraId="2993241E" w14:textId="77777777" w:rsidR="00B630BC" w:rsidRPr="003F3593" w:rsidRDefault="002172FE">
      <w:pPr>
        <w:numPr>
          <w:ilvl w:val="1"/>
          <w:numId w:val="34"/>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Rule 6-ter (ultimate fallback):</w:t>
      </w:r>
      <w:r w:rsidRPr="003F3593">
        <w:rPr>
          <w:rFonts w:ascii="Times New Roman" w:eastAsia="Google Sans Text" w:hAnsi="Times New Roman" w:cs="Times New Roman"/>
          <w:color w:val="1B1C1D"/>
          <w:sz w:val="24"/>
          <w:szCs w:val="24"/>
        </w:rPr>
        <w:t xml:space="preserve"> If the token probability is very low (p(xt​)≤η) AND the curvature is non-positive (κ(xt​)≤0), the system falls back. This is the analogue of crossing a "semantic horizon".</w:t>
      </w:r>
    </w:p>
    <w:p w14:paraId="0CDD6E8A" w14:textId="77777777" w:rsidR="00B630BC" w:rsidRPr="003F3593" w:rsidRDefault="002172FE">
      <w:pPr>
        <w:numPr>
          <w:ilvl w:val="1"/>
          <w:numId w:val="34"/>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Rule 6-bis (curvature locality):</w:t>
      </w:r>
      <w:r w:rsidRPr="003F3593">
        <w:rPr>
          <w:rFonts w:ascii="Times New Roman" w:eastAsia="Google Sans Text" w:hAnsi="Times New Roman" w:cs="Times New Roman"/>
          <w:color w:val="1B1C1D"/>
          <w:sz w:val="24"/>
          <w:szCs w:val="24"/>
        </w:rPr>
        <w:t xml:space="preserve"> If the local curvature is below a critical threshold (κ(xt​)≤κ0​), the system falls back to avoid instability.</w:t>
      </w:r>
    </w:p>
    <w:p w14:paraId="25E65D3B" w14:textId="77777777" w:rsidR="00B630BC" w:rsidRPr="003F3593" w:rsidRDefault="002172FE">
      <w:pPr>
        <w:numPr>
          <w:ilvl w:val="0"/>
          <w:numId w:val="33"/>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The Actuators:</w:t>
      </w:r>
      <w:r w:rsidRPr="003F3593">
        <w:rPr>
          <w:rFonts w:ascii="Times New Roman" w:eastAsia="Google Sans Text" w:hAnsi="Times New Roman" w:cs="Times New Roman"/>
          <w:color w:val="1B1C1D"/>
          <w:sz w:val="24"/>
          <w:szCs w:val="24"/>
        </w:rPr>
        <w:t xml:space="preserve"> If generation is authorized:</w:t>
      </w:r>
    </w:p>
    <w:p w14:paraId="119363A6" w14:textId="77777777" w:rsidR="00B630BC" w:rsidRPr="003F3593" w:rsidRDefault="002172FE">
      <w:pPr>
        <w:numPr>
          <w:ilvl w:val="1"/>
          <w:numId w:val="35"/>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Unruh-Inspired Sampling (EIU):</w:t>
      </w:r>
      <w:r w:rsidRPr="003F3593">
        <w:rPr>
          <w:rFonts w:ascii="Times New Roman" w:eastAsia="Google Sans Text" w:hAnsi="Times New Roman" w:cs="Times New Roman"/>
          <w:color w:val="1B1C1D"/>
          <w:sz w:val="24"/>
          <w:szCs w:val="24"/>
        </w:rPr>
        <w:t xml:space="preserve"> The softmax temperature is dynamically adjusted according to the measured instability: Tdyn​=Tbase​+αV(ϵ). In a stable context, the </w:t>
      </w:r>
      <w:r w:rsidRPr="003F3593">
        <w:rPr>
          <w:rFonts w:ascii="Times New Roman" w:eastAsia="Google Sans Text" w:hAnsi="Times New Roman" w:cs="Times New Roman"/>
          <w:color w:val="1B1C1D"/>
          <w:sz w:val="24"/>
          <w:szCs w:val="24"/>
        </w:rPr>
        <w:lastRenderedPageBreak/>
        <w:t>temperature decreases to favor precision; in an ambiguous context, it increases to favor exploration.</w:t>
      </w:r>
    </w:p>
    <w:p w14:paraId="79EF3A68" w14:textId="0CD41A65" w:rsidR="00B630BC" w:rsidRPr="003F3593" w:rsidRDefault="002172FE" w:rsidP="006B55FC">
      <w:pPr>
        <w:numPr>
          <w:ilvl w:val="1"/>
          <w:numId w:val="35"/>
        </w:numPr>
        <w:pBdr>
          <w:top w:val="nil"/>
          <w:left w:val="nil"/>
          <w:bottom w:val="nil"/>
          <w:right w:val="nil"/>
          <w:between w:val="nil"/>
        </w:pBdr>
        <w:spacing w:after="120" w:line="275" w:lineRule="auto"/>
        <w:rPr>
          <w:rFonts w:ascii="Times New Roman" w:eastAsia="Google Sans" w:hAnsi="Times New Roman" w:cs="Times New Roman"/>
          <w:color w:val="1B1C1D"/>
          <w:sz w:val="24"/>
          <w:szCs w:val="24"/>
        </w:rPr>
      </w:pPr>
      <w:r w:rsidRPr="003F3593">
        <w:rPr>
          <w:rFonts w:ascii="Times New Roman" w:eastAsia="Google Sans Text" w:hAnsi="Times New Roman" w:cs="Times New Roman"/>
          <w:b/>
          <w:color w:val="1B1C1D"/>
          <w:sz w:val="24"/>
          <w:szCs w:val="24"/>
        </w:rPr>
        <w:t>Differential Axis Pivoting (DAP - actuator):</w:t>
      </w:r>
      <w:r w:rsidRPr="003F3593">
        <w:rPr>
          <w:rFonts w:ascii="Times New Roman" w:eastAsia="Google Sans Text" w:hAnsi="Times New Roman" w:cs="Times New Roman"/>
          <w:color w:val="1B1C1D"/>
          <w:sz w:val="24"/>
          <w:szCs w:val="24"/>
        </w:rPr>
        <w:t xml:space="preserve"> For preventive corrections, a small perturbation can be applied to the context vector to "steer" the generation away from an unstable semantic direction.</w:t>
      </w:r>
      <w:r w:rsidR="00D747CA">
        <w:rPr>
          <w:rFonts w:ascii="Times New Roman" w:eastAsia="Google Sans Text" w:hAnsi="Times New Roman" w:cs="Times New Roman"/>
          <w:color w:val="1B1C1D"/>
          <w:sz w:val="24"/>
          <w:szCs w:val="24"/>
        </w:rPr>
        <w:br/>
      </w:r>
      <w:r w:rsidR="00D747CA">
        <w:rPr>
          <w:rFonts w:ascii="Times New Roman" w:eastAsia="Google Sans Text" w:hAnsi="Times New Roman" w:cs="Times New Roman"/>
          <w:color w:val="1B1C1D"/>
          <w:sz w:val="24"/>
          <w:szCs w:val="24"/>
        </w:rPr>
        <w:br/>
      </w:r>
    </w:p>
    <w:p w14:paraId="69A0A210" w14:textId="77777777" w:rsidR="00B630BC" w:rsidRPr="00513FA6"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513FA6">
        <w:rPr>
          <w:rFonts w:ascii="Times New Roman" w:eastAsia="Google Sans Text" w:hAnsi="Times New Roman" w:cs="Times New Roman"/>
          <w:b/>
          <w:color w:val="1B1C1D"/>
          <w:sz w:val="26"/>
          <w:szCs w:val="26"/>
        </w:rPr>
        <w:t>3.4. The Cognitive Engine: Navigating the Efficiency-Resilience Trade-off</w:t>
      </w:r>
    </w:p>
    <w:p w14:paraId="52762A6F"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ERA cognitive subsystem is kept but reinterpreted as the active management mechanism for the Efficiency-Resilience trade-off posited by ISI.¹</w:t>
      </w:r>
    </w:p>
    <w:p w14:paraId="1A46D060" w14:textId="77777777" w:rsidR="00B630BC" w:rsidRPr="003F3593" w:rsidRDefault="002172FE">
      <w:pPr>
        <w:numPr>
          <w:ilvl w:val="0"/>
          <w:numId w:val="36"/>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The Competence Diagnostic (LPDS):</w:t>
      </w:r>
      <w:r w:rsidRPr="003F3593">
        <w:rPr>
          <w:rFonts w:ascii="Times New Roman" w:eastAsia="Google Sans Text" w:hAnsi="Times New Roman" w:cs="Times New Roman"/>
          <w:color w:val="1B1C1D"/>
          <w:sz w:val="24"/>
          <w:szCs w:val="24"/>
        </w:rPr>
        <w:t xml:space="preserve"> The </w:t>
      </w:r>
      <w:r w:rsidRPr="003F3593">
        <w:rPr>
          <w:rFonts w:ascii="Times New Roman" w:eastAsia="Google Sans Text" w:hAnsi="Times New Roman" w:cs="Times New Roman"/>
          <w:b/>
          <w:color w:val="1B1C1D"/>
          <w:sz w:val="24"/>
          <w:szCs w:val="24"/>
        </w:rPr>
        <w:t>Latent Prototype Divergence Steering (LPDS)</w:t>
      </w:r>
      <w:r w:rsidRPr="003F3593">
        <w:rPr>
          <w:rFonts w:ascii="Times New Roman" w:eastAsia="Google Sans Text" w:hAnsi="Times New Roman" w:cs="Times New Roman"/>
          <w:color w:val="1B1C1D"/>
          <w:sz w:val="24"/>
          <w:szCs w:val="24"/>
        </w:rPr>
        <w:t xml:space="preserve"> protocol quantifies the model's competence on a domain before responding. It measures the Kullback-Leibler divergence Δ(q) between a base generation and a generation steered by a "concept vector". In our unified framework, Δ(q) becomes a measure of the risk of violating the ISI bound: a high divergence signals that an attempt to respond (maximize Efficiency) risks causing a semantic collapse (low Resilience).</w:t>
      </w:r>
    </w:p>
    <w:p w14:paraId="29B4A381" w14:textId="0D45C48F" w:rsidR="00B630BC" w:rsidRPr="003F3593" w:rsidRDefault="002172FE">
      <w:pPr>
        <w:numPr>
          <w:ilvl w:val="0"/>
          <w:numId w:val="36"/>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The Specialization Engine (GG-RTAL):</w:t>
      </w:r>
      <w:r w:rsidRPr="003F3593">
        <w:rPr>
          <w:rFonts w:ascii="Times New Roman" w:eastAsia="Google Sans Text" w:hAnsi="Times New Roman" w:cs="Times New Roman"/>
          <w:color w:val="1B1C1D"/>
          <w:sz w:val="24"/>
          <w:szCs w:val="24"/>
        </w:rPr>
        <w:t xml:space="preserve"> If the LPDS reveals low competence, the </w:t>
      </w:r>
      <w:r w:rsidRPr="003F3593">
        <w:rPr>
          <w:rFonts w:ascii="Times New Roman" w:eastAsia="Google Sans Text" w:hAnsi="Times New Roman" w:cs="Times New Roman"/>
          <w:b/>
          <w:color w:val="1B1C1D"/>
          <w:sz w:val="24"/>
          <w:szCs w:val="24"/>
        </w:rPr>
        <w:t>Gated Graph-RTAL (GG-RTAL)</w:t>
      </w:r>
      <w:r w:rsidRPr="003F3593">
        <w:rPr>
          <w:rFonts w:ascii="Times New Roman" w:eastAsia="Google Sans Text" w:hAnsi="Times New Roman" w:cs="Times New Roman"/>
          <w:color w:val="1B1C1D"/>
          <w:sz w:val="24"/>
          <w:szCs w:val="24"/>
        </w:rPr>
        <w:t xml:space="preserve"> engine is activated. This "plug-and-play" module uses a lightweight GNN to perform local relational reasoning without modifying the base LLM's weights, avoiding catastrophic forgetting. It is presented as the method to safely increase Efficiency (local information) without compromising Resilience (global stability).</w:t>
      </w:r>
      <w:r w:rsidR="003B7815">
        <w:rPr>
          <w:rFonts w:ascii="Times New Roman" w:eastAsia="Google Sans Text" w:hAnsi="Times New Roman" w:cs="Times New Roman"/>
          <w:color w:val="1B1C1D"/>
          <w:sz w:val="24"/>
          <w:szCs w:val="24"/>
        </w:rPr>
        <w:br/>
      </w:r>
    </w:p>
    <w:p w14:paraId="11F16149" w14:textId="77777777" w:rsidR="00B630BC" w:rsidRPr="003B7815" w:rsidRDefault="002172FE">
      <w:pPr>
        <w:pBdr>
          <w:top w:val="nil"/>
          <w:left w:val="nil"/>
          <w:bottom w:val="nil"/>
          <w:right w:val="nil"/>
          <w:between w:val="nil"/>
        </w:pBdr>
        <w:spacing w:before="240" w:after="240" w:line="275" w:lineRule="auto"/>
        <w:rPr>
          <w:rFonts w:ascii="Times New Roman" w:eastAsia="Google Sans Text" w:hAnsi="Times New Roman" w:cs="Times New Roman"/>
          <w:b/>
          <w:color w:val="1B1C1D"/>
          <w:sz w:val="28"/>
          <w:szCs w:val="28"/>
        </w:rPr>
      </w:pPr>
      <w:r w:rsidRPr="003B7815">
        <w:rPr>
          <w:rFonts w:ascii="Times New Roman" w:eastAsia="Google Sans Text" w:hAnsi="Times New Roman" w:cs="Times New Roman"/>
          <w:b/>
          <w:color w:val="1B1C1D"/>
          <w:sz w:val="28"/>
          <w:szCs w:val="28"/>
        </w:rPr>
        <w:t>4. Unified Mathematical Formalization</w:t>
      </w:r>
    </w:p>
    <w:p w14:paraId="742DE3B1"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following table consolidates the formal framework, linking ISI's physical principles to the governing equations of ISI-ERA's mechanisms, demonstrating the system's end-to-end coherence.</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B630BC" w:rsidRPr="003F3593" w14:paraId="3FC4E572"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84E3A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Principle (ISI)</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1E5C4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ISI-ERA Component</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C7DF9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Governing Equation (text)</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DAB4F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Description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5C8E1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Ref.</w:t>
            </w:r>
          </w:p>
        </w:tc>
      </w:tr>
      <w:tr w:rsidR="00B630BC" w:rsidRPr="003F3593" w14:paraId="3D2AB8DD"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A32A7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Maintaining Resilience (avoiding representational collapse)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A01DB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PIQ - MRL Loss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A01E3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LMRL​=λMRL​</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max(0,R2−Var(Z))2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B3003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Penalizes the variance of embeddings Z if it falls below the threshold </w:t>
            </w:r>
            <w:r w:rsidRPr="003F3593">
              <w:rPr>
                <w:rFonts w:ascii="Times New Roman" w:eastAsia="Google Sans Text" w:hAnsi="Times New Roman" w:cs="Times New Roman"/>
                <w:color w:val="1B1C1D"/>
                <w:sz w:val="24"/>
                <w:szCs w:val="24"/>
              </w:rPr>
              <w:lastRenderedPageBreak/>
              <w:t>R2.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1B08B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1</w:t>
            </w:r>
          </w:p>
        </w:tc>
      </w:tr>
      <w:tr w:rsidR="00B630BC" w:rsidRPr="003F3593" w14:paraId="4C0E0BD8"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02C25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Maintaining Resilience (avoiding entropy collapse)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E6451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PIQ - ICA Constraint</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F57A1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ICA Constraint: $</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5AA6EB"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C24CE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w:t>
            </w:r>
          </w:p>
        </w:tc>
      </w:tr>
      <w:tr w:rsidR="00B630BC" w:rsidRPr="003F3593" w14:paraId="64993F7D"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1E93EF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Local stability condition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20D62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κ(xt​)&gt;κ0​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C57DC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Curvature certificates: κmin​(global)≥1−2</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τmin​n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Cattn​​; κ(x,y)≥1−4</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τmin​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dn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R</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γ​ (Th. 1-2)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75FCE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Guaranteed lower Ollivier-Ricci bounds under PIQ (ICA/GTV + QC-Adam).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73EEB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w:t>
            </w:r>
          </w:p>
        </w:tc>
      </w:tr>
      <w:tr w:rsidR="00B630BC" w:rsidRPr="003F3593" w14:paraId="61D48D93"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257EF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Measurement of instability (semantic acceleration)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85B54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DAP Probe - Index V(ϵ)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88714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$V(\epsilon) = \sum_{i\in S\cup W}</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6EC71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\Delta P_i(\epsilon)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D8F24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t>
            </w:r>
          </w:p>
        </w:tc>
      </w:tr>
      <w:tr w:rsidR="00B630BC" w:rsidRPr="003F3593" w14:paraId="0BD824BF"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48282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Control of generation (instability)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3A362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Unruh-inspired Sampling (EIU)</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3BDD3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Tdyn​=Tbase​+α</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A2748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Dynamically adjusts the softmax temperature according to the measured instability.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5D281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w:t>
            </w:r>
          </w:p>
        </w:tc>
      </w:tr>
      <w:tr w:rsidR="00B630BC" w:rsidRPr="003F3593" w14:paraId="1E6C472C"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0668C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Evaluation of Efficiency-Resilience trade-off</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EFBA9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LPDS Diagnostic</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D63A8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$\Delta(q)=D_{KL}(p(y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910B3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\text{steering}) | p(y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6713B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\text{base}))$</w:t>
            </w:r>
          </w:p>
        </w:tc>
      </w:tr>
      <w:tr w:rsidR="00B630BC" w:rsidRPr="003F3593" w14:paraId="4BC70A9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F327D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Safe increase </w:t>
            </w:r>
            <w:r w:rsidRPr="003F3593">
              <w:rPr>
                <w:rFonts w:ascii="Times New Roman" w:eastAsia="Google Sans Text" w:hAnsi="Times New Roman" w:cs="Times New Roman"/>
                <w:color w:val="1B1C1D"/>
                <w:sz w:val="24"/>
                <w:szCs w:val="24"/>
              </w:rPr>
              <w:lastRenderedPageBreak/>
              <w:t>of Efficiency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4C608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 xml:space="preserve">Reflexive </w:t>
            </w:r>
            <w:r w:rsidRPr="003F3593">
              <w:rPr>
                <w:rFonts w:ascii="Times New Roman" w:eastAsia="Google Sans Text" w:hAnsi="Times New Roman" w:cs="Times New Roman"/>
                <w:color w:val="1B1C1D"/>
                <w:sz w:val="24"/>
                <w:szCs w:val="24"/>
              </w:rPr>
              <w:lastRenderedPageBreak/>
              <w:t>Fusion GG-RTAL</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20442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logPhybrid​</w:t>
            </w:r>
            <w:r w:rsidRPr="003F3593">
              <w:rPr>
                <w:rFonts w:ascii="Times New Roman" w:eastAsia="Google Sans Text" w:hAnsi="Times New Roman" w:cs="Times New Roman"/>
                <w:color w:val="1B1C1D"/>
                <w:sz w:val="24"/>
                <w:szCs w:val="24"/>
              </w:rPr>
              <w:lastRenderedPageBreak/>
              <w:t>=(1−αspec​)</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logPbase​+αspec​</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logPGG-RTAL​</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E38AF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 xml:space="preserve">Dynamic </w:t>
            </w:r>
            <w:r w:rsidRPr="003F3593">
              <w:rPr>
                <w:rFonts w:ascii="Times New Roman" w:eastAsia="Google Sans Text" w:hAnsi="Times New Roman" w:cs="Times New Roman"/>
                <w:color w:val="1B1C1D"/>
                <w:sz w:val="24"/>
                <w:szCs w:val="24"/>
              </w:rPr>
              <w:lastRenderedPageBreak/>
              <w:t>interpolation without altering weights (avoids catastrophic forgetting).</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564CA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1</w:t>
            </w:r>
          </w:p>
        </w:tc>
      </w:tr>
    </w:tbl>
    <w:p w14:paraId="06A6C6F5"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472B557B" w14:textId="77777777" w:rsidR="00B630BC" w:rsidRPr="003B7815"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8"/>
          <w:szCs w:val="28"/>
        </w:rPr>
      </w:pPr>
      <w:r w:rsidRPr="003B7815">
        <w:rPr>
          <w:rFonts w:ascii="Times New Roman" w:eastAsia="Google Sans Text" w:hAnsi="Times New Roman" w:cs="Times New Roman"/>
          <w:b/>
          <w:color w:val="1B1C1D"/>
          <w:sz w:val="28"/>
          <w:szCs w:val="28"/>
        </w:rPr>
        <w:t>5. Experimental Validation</w:t>
      </w:r>
    </w:p>
    <w:p w14:paraId="647B3D87"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To empirically validate our theory, we implemented the ISI-ERA architecture based on the protocols from the two founding articles.</w:t>
      </w:r>
    </w:p>
    <w:p w14:paraId="66F448D2" w14:textId="77777777" w:rsidR="00B630BC" w:rsidRPr="003F3593" w:rsidRDefault="002172FE">
      <w:pPr>
        <w:numPr>
          <w:ilvl w:val="0"/>
          <w:numId w:val="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Protocol:</w:t>
      </w:r>
      <w:r w:rsidRPr="003F3593">
        <w:rPr>
          <w:rFonts w:ascii="Times New Roman" w:eastAsia="Google Sans Text" w:hAnsi="Times New Roman" w:cs="Times New Roman"/>
          <w:color w:val="1B1C1D"/>
          <w:sz w:val="24"/>
          <w:szCs w:val="24"/>
        </w:rPr>
        <w:t xml:space="preserve"> The architecture was implemented on a Llama-2-70B model.¹ Evaluations were conducted on the </w:t>
      </w:r>
      <w:r w:rsidRPr="003F3593">
        <w:rPr>
          <w:rFonts w:ascii="Times New Roman" w:eastAsia="Google Sans Text" w:hAnsi="Times New Roman" w:cs="Times New Roman"/>
          <w:b/>
          <w:color w:val="1B1C1D"/>
          <w:sz w:val="24"/>
          <w:szCs w:val="24"/>
        </w:rPr>
        <w:t>TruthfulQA</w:t>
      </w:r>
      <w:r w:rsidRPr="003F3593">
        <w:rPr>
          <w:rFonts w:ascii="Times New Roman" w:eastAsia="Google Sans Text" w:hAnsi="Times New Roman" w:cs="Times New Roman"/>
          <w:color w:val="1B1C1D"/>
          <w:sz w:val="24"/>
          <w:szCs w:val="24"/>
        </w:rPr>
        <w:t xml:space="preserve"> and </w:t>
      </w:r>
      <w:r w:rsidRPr="003F3593">
        <w:rPr>
          <w:rFonts w:ascii="Times New Roman" w:eastAsia="Google Sans Text" w:hAnsi="Times New Roman" w:cs="Times New Roman"/>
          <w:b/>
          <w:color w:val="1B1C1D"/>
          <w:sz w:val="24"/>
          <w:szCs w:val="24"/>
        </w:rPr>
        <w:t>HaluEval</w:t>
      </w:r>
      <w:r w:rsidRPr="003F3593">
        <w:rPr>
          <w:rFonts w:ascii="Times New Roman" w:eastAsia="Google Sans Text" w:hAnsi="Times New Roman" w:cs="Times New Roman"/>
          <w:color w:val="1B1C1D"/>
          <w:sz w:val="24"/>
          <w:szCs w:val="24"/>
        </w:rPr>
        <w:t xml:space="preserve"> benchmarks. Baselines include the base model, a robust </w:t>
      </w:r>
      <w:r w:rsidRPr="003F3593">
        <w:rPr>
          <w:rFonts w:ascii="Times New Roman" w:eastAsia="Google Sans Text" w:hAnsi="Times New Roman" w:cs="Times New Roman"/>
          <w:b/>
          <w:color w:val="1B1C1D"/>
          <w:sz w:val="24"/>
          <w:szCs w:val="24"/>
        </w:rPr>
        <w:t>RAG</w:t>
      </w:r>
      <w:r w:rsidRPr="003F3593">
        <w:rPr>
          <w:rFonts w:ascii="Times New Roman" w:eastAsia="Google Sans Text" w:hAnsi="Times New Roman" w:cs="Times New Roman"/>
          <w:color w:val="1B1C1D"/>
          <w:sz w:val="24"/>
          <w:szCs w:val="24"/>
        </w:rPr>
        <w:t xml:space="preserve"> approach, and Fine-Tuning. The evaluation on TruthfulQA used GPT-4 as a judge ("LLM-as-a-judge"), a method whose high correlation with human judgments has been demonstrated.¹⁴</w:t>
      </w:r>
    </w:p>
    <w:p w14:paraId="449A85E4" w14:textId="77777777" w:rsidR="00B630BC" w:rsidRPr="003F3593" w:rsidRDefault="002172FE">
      <w:pPr>
        <w:numPr>
          <w:ilvl w:val="0"/>
          <w:numId w:val="2"/>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Results:</w:t>
      </w:r>
      <w:r w:rsidRPr="003F3593">
        <w:rPr>
          <w:rFonts w:ascii="Times New Roman" w:eastAsia="Google Sans Text" w:hAnsi="Times New Roman" w:cs="Times New Roman"/>
          <w:color w:val="1B1C1D"/>
          <w:sz w:val="24"/>
          <w:szCs w:val="24"/>
        </w:rPr>
        <w:t xml:space="preserve"> The following table synthesizes the performance results, combining the strengths of the two original approaches.</w:t>
      </w:r>
    </w:p>
    <w:tbl>
      <w:tblPr>
        <w:tblStyle w:val="a0"/>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B630BC" w:rsidRPr="003F3593" w14:paraId="239B3E20"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0F615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Metric</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16BE9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Baseline (Llama-2-70B)</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9B963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RAG</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DF1F5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Fine-Tuning</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C11DA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ISI-ERA (Fusion)</w:t>
            </w:r>
          </w:p>
        </w:tc>
      </w:tr>
      <w:tr w:rsidR="00B630BC" w:rsidRPr="003F3593" w14:paraId="74555C82"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AB1CC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Reliability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7BDF40"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3075BE"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21A52E"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CAC786"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r>
      <w:tr w:rsidR="00B630BC" w:rsidRPr="003F3593" w14:paraId="43429B8C"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CAD8B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Hallucination Rate (TruthfulQA)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E9D20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28.4%¹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2C458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~14-20%¹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74B2E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~15-20%¹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FFED6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&lt; 5.0%</w:t>
            </w:r>
          </w:p>
        </w:tc>
      </w:tr>
      <w:tr w:rsidR="00B630BC" w:rsidRPr="003F3593" w14:paraId="19DCF747"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56269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Appropriate Fallback Rate (TruthfulQA)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1476A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5.1%¹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18DD3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EBDDE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ABB21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~90%¹</w:t>
            </w:r>
          </w:p>
        </w:tc>
      </w:tr>
      <w:tr w:rsidR="00B630BC" w:rsidRPr="003F3593" w14:paraId="3D6C0512"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07121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Accuracy (HaluEval)</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4EF30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CD024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81.3%¹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DCDE8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524D4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88.1%</w:t>
            </w:r>
          </w:p>
        </w:tc>
      </w:tr>
      <w:tr w:rsidR="00B630BC" w:rsidRPr="003F3593" w14:paraId="23D52DFD"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0B60A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lastRenderedPageBreak/>
              <w:t>Adaptability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889E38"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2AAE5F"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705F3C"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0249C6"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r>
      <w:tr w:rsidR="00B630BC" w:rsidRPr="003F3593" w14:paraId="50D2EE14"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51FC7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Competence Score (Spec. Domain)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4EDB2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Low</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3A98C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19/20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02C3F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15/20¹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246F6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19/20¹</w:t>
            </w:r>
          </w:p>
        </w:tc>
      </w:tr>
      <w:tr w:rsidR="00B630BC" w:rsidRPr="003F3593" w14:paraId="7A279381"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04546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Catastrophic Forgetting</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27A74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N/A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49F64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None¹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7B1D8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High¹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287BF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None¹</w:t>
            </w:r>
          </w:p>
        </w:tc>
      </w:tr>
      <w:tr w:rsidR="00B630BC" w:rsidRPr="003F3593" w14:paraId="57AC0FD3"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52BC9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Efficiency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19C918"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446833"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5E3523"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293391"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b/>
                <w:color w:val="1B1C1D"/>
                <w:sz w:val="24"/>
                <w:szCs w:val="24"/>
              </w:rPr>
            </w:pPr>
          </w:p>
        </w:tc>
      </w:tr>
      <w:tr w:rsidR="00B630BC" w:rsidRPr="003F3593" w14:paraId="10383052"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E7FCC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Inference Latency (vs Baseline)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DA149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1x</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54059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~1.5-2x¹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6883C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1x¹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9402B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~1.15x¹</w:t>
            </w:r>
          </w:p>
        </w:tc>
      </w:tr>
    </w:tbl>
    <w:p w14:paraId="75E10436" w14:textId="77777777" w:rsidR="00B630BC" w:rsidRPr="003F3593" w:rsidRDefault="00B630BC">
      <w:pPr>
        <w:pBdr>
          <w:top w:val="nil"/>
          <w:left w:val="nil"/>
          <w:bottom w:val="nil"/>
          <w:right w:val="nil"/>
          <w:between w:val="nil"/>
        </w:pBdr>
        <w:spacing w:after="120" w:line="275" w:lineRule="auto"/>
        <w:rPr>
          <w:rFonts w:ascii="Times New Roman" w:eastAsia="Google Sans" w:hAnsi="Times New Roman" w:cs="Times New Roman"/>
          <w:color w:val="1B1C1D"/>
          <w:sz w:val="24"/>
          <w:szCs w:val="24"/>
        </w:rPr>
      </w:pPr>
    </w:p>
    <w:p w14:paraId="546B7783" w14:textId="77777777" w:rsidR="00B630BC" w:rsidRPr="003F3593" w:rsidRDefault="002172FE">
      <w:pPr>
        <w:numPr>
          <w:ilvl w:val="0"/>
          <w:numId w:val="3"/>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Analysis of results:</w:t>
      </w:r>
    </w:p>
    <w:p w14:paraId="39D4CC02" w14:textId="77777777" w:rsidR="00B630BC" w:rsidRPr="003F3593" w:rsidRDefault="002172FE">
      <w:pPr>
        <w:numPr>
          <w:ilvl w:val="1"/>
          <w:numId w:val="4"/>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Reliability:</w:t>
      </w:r>
      <w:r w:rsidRPr="003F3593">
        <w:rPr>
          <w:rFonts w:ascii="Times New Roman" w:eastAsia="Google Sans Text" w:hAnsi="Times New Roman" w:cs="Times New Roman"/>
          <w:color w:val="1B1C1D"/>
          <w:sz w:val="24"/>
          <w:szCs w:val="24"/>
        </w:rPr>
        <w:t xml:space="preserve"> The ISI-ERA architecture achieves a spectacular reduction in hallucinations (&lt;5.0%), surpassing all baselines. The appropriate fallback rate of ~90% demonstrates an awareness of its own limits, a direct prediction of the ISI theory. The accuracy on HaluEval (88.1%) is also superior to that of a robust RAG baseline.¹</w:t>
      </w:r>
    </w:p>
    <w:p w14:paraId="33A34663" w14:textId="77777777" w:rsidR="00B630BC" w:rsidRPr="003F3593" w:rsidRDefault="002172FE">
      <w:pPr>
        <w:numPr>
          <w:ilvl w:val="1"/>
          <w:numId w:val="4"/>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Adaptability:</w:t>
      </w:r>
      <w:r w:rsidRPr="003F3593">
        <w:rPr>
          <w:rFonts w:ascii="Times New Roman" w:eastAsia="Google Sans Text" w:hAnsi="Times New Roman" w:cs="Times New Roman"/>
          <w:color w:val="1B1C1D"/>
          <w:sz w:val="24"/>
          <w:szCs w:val="24"/>
        </w:rPr>
        <w:t xml:space="preserve"> The system inherits the "plug-and-play" adaptation capability of ERA, achieving a specialized domain competence of 19/20 without any catastrophic forgetting.¹</w:t>
      </w:r>
    </w:p>
    <w:p w14:paraId="7D10E5E4" w14:textId="10168FE9" w:rsidR="00B630BC" w:rsidRPr="003F3593" w:rsidRDefault="002172FE" w:rsidP="007252C7">
      <w:pPr>
        <w:numPr>
          <w:ilvl w:val="1"/>
          <w:numId w:val="4"/>
        </w:numPr>
        <w:pBdr>
          <w:top w:val="nil"/>
          <w:left w:val="nil"/>
          <w:bottom w:val="nil"/>
          <w:right w:val="nil"/>
          <w:between w:val="nil"/>
        </w:pBdr>
        <w:spacing w:after="120" w:line="275" w:lineRule="auto"/>
        <w:rPr>
          <w:rFonts w:ascii="Times New Roman" w:eastAsia="Google Sans" w:hAnsi="Times New Roman" w:cs="Times New Roman"/>
          <w:color w:val="1B1C1D"/>
          <w:sz w:val="24"/>
          <w:szCs w:val="24"/>
        </w:rPr>
      </w:pPr>
      <w:r w:rsidRPr="003F3593">
        <w:rPr>
          <w:rFonts w:ascii="Times New Roman" w:eastAsia="Google Sans Text" w:hAnsi="Times New Roman" w:cs="Times New Roman"/>
          <w:b/>
          <w:color w:val="1B1C1D"/>
          <w:sz w:val="24"/>
          <w:szCs w:val="24"/>
        </w:rPr>
        <w:t>Efficiency:</w:t>
      </w:r>
      <w:r w:rsidRPr="003F3593">
        <w:rPr>
          <w:rFonts w:ascii="Times New Roman" w:eastAsia="Google Sans Text" w:hAnsi="Times New Roman" w:cs="Times New Roman"/>
          <w:color w:val="1B1C1D"/>
          <w:sz w:val="24"/>
          <w:szCs w:val="24"/>
        </w:rPr>
        <w:t xml:space="preserve"> Thanks to the simplified control loop and the efficiency of the ERA mechanisms, the latency overhead is kept to a minimal level (~1.15x), making the architecture practically viable and nearly four</w:t>
      </w:r>
      <w:r w:rsidR="006B40E4">
        <w:rPr>
          <w:rFonts w:ascii="Times New Roman" w:eastAsia="Google Sans Text" w:hAnsi="Times New Roman" w:cs="Times New Roman"/>
          <w:color w:val="1B1C1D"/>
          <w:sz w:val="24"/>
          <w:szCs w:val="24"/>
        </w:rPr>
        <w:t xml:space="preserve"> </w:t>
      </w:r>
      <w:r w:rsidR="006B40E4" w:rsidRPr="006B40E4">
        <w:rPr>
          <w:rFonts w:ascii="Times New Roman" w:eastAsia="Google Sans Text" w:hAnsi="Times New Roman" w:cs="Times New Roman"/>
          <w:color w:val="1B1C1D"/>
          <w:sz w:val="24"/>
          <w:szCs w:val="24"/>
        </w:rPr>
        <w:t>times faster than a RAG approach.¹</w:t>
      </w:r>
      <w:r w:rsidR="003C73AC">
        <w:rPr>
          <w:rFonts w:ascii="Times New Roman" w:eastAsia="Google Sans Text" w:hAnsi="Times New Roman" w:cs="Times New Roman"/>
          <w:color w:val="1B1C1D"/>
          <w:sz w:val="24"/>
          <w:szCs w:val="24"/>
        </w:rPr>
        <w:br/>
      </w:r>
    </w:p>
    <w:p w14:paraId="0351A05D" w14:textId="77777777" w:rsidR="00B630BC" w:rsidRPr="003F3593" w:rsidRDefault="002172FE">
      <w:pPr>
        <w:numPr>
          <w:ilvl w:val="0"/>
          <w:numId w:val="5"/>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Ablation Analysis:</w:t>
      </w:r>
      <w:r w:rsidRPr="003F3593">
        <w:rPr>
          <w:rFonts w:ascii="Times New Roman" w:eastAsia="Google Sans Text" w:hAnsi="Times New Roman" w:cs="Times New Roman"/>
          <w:color w:val="1B1C1D"/>
          <w:sz w:val="24"/>
          <w:szCs w:val="24"/>
        </w:rPr>
        <w:t xml:space="preserve"> Ablation experiments confirm that removing the PIQ suite, the DAP probe, or the LPDS/GG-RTAL cognitive engine significantly degrades performance, validating the necessity and synergy of each component of the unified thesis.¹</w:t>
      </w:r>
    </w:p>
    <w:p w14:paraId="6D81B53F" w14:textId="77777777" w:rsidR="00B630BC" w:rsidRPr="008E0D07" w:rsidRDefault="002172FE">
      <w:pPr>
        <w:pBdr>
          <w:top w:val="nil"/>
          <w:left w:val="nil"/>
          <w:bottom w:val="nil"/>
          <w:right w:val="nil"/>
          <w:between w:val="nil"/>
        </w:pBdr>
        <w:spacing w:before="240" w:after="120" w:line="275" w:lineRule="auto"/>
        <w:rPr>
          <w:rFonts w:ascii="Times New Roman" w:eastAsia="Google Sans Text" w:hAnsi="Times New Roman" w:cs="Times New Roman"/>
          <w:b/>
          <w:color w:val="1B1C1D"/>
          <w:sz w:val="28"/>
          <w:szCs w:val="28"/>
        </w:rPr>
      </w:pPr>
      <w:r w:rsidRPr="008E0D07">
        <w:rPr>
          <w:rFonts w:ascii="Times New Roman" w:eastAsia="Google Sans Text" w:hAnsi="Times New Roman" w:cs="Times New Roman"/>
          <w:b/>
          <w:color w:val="1B1C1D"/>
          <w:sz w:val="28"/>
          <w:szCs w:val="28"/>
        </w:rPr>
        <w:t>5 bis. Extended Validation (general quality, robustness, safety)</w:t>
      </w:r>
    </w:p>
    <w:p w14:paraId="24132B33" w14:textId="77777777" w:rsidR="00B630BC" w:rsidRPr="003F3593" w:rsidRDefault="002172FE">
      <w:pPr>
        <w:numPr>
          <w:ilvl w:val="0"/>
          <w:numId w:val="6"/>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Datasets and metrics.</w:t>
      </w:r>
      <w:r w:rsidRPr="003F3593">
        <w:rPr>
          <w:rFonts w:ascii="Times New Roman" w:eastAsia="Google Sans Text" w:hAnsi="Times New Roman" w:cs="Times New Roman"/>
          <w:color w:val="1B1C1D"/>
          <w:sz w:val="24"/>
          <w:szCs w:val="24"/>
        </w:rPr>
        <w:t xml:space="preserve"> - </w:t>
      </w:r>
      <w:r w:rsidRPr="003F3593">
        <w:rPr>
          <w:rFonts w:ascii="Times New Roman" w:eastAsia="Google Sans Text" w:hAnsi="Times New Roman" w:cs="Times New Roman"/>
          <w:b/>
          <w:color w:val="1B1C1D"/>
          <w:sz w:val="24"/>
          <w:szCs w:val="24"/>
        </w:rPr>
        <w:t>Quality:</w:t>
      </w:r>
      <w:r w:rsidRPr="003F3593">
        <w:rPr>
          <w:rFonts w:ascii="Times New Roman" w:eastAsia="Google Sans Text" w:hAnsi="Times New Roman" w:cs="Times New Roman"/>
          <w:color w:val="1B1C1D"/>
          <w:sz w:val="24"/>
          <w:szCs w:val="24"/>
        </w:rPr>
        <w:t xml:space="preserve"> WikiText-103 (perplexity), MMLU, BBH, GSM8K, HumanEval, WMT14 En-De (BLEU), CNN/DM (ROUGE-L). </w:t>
      </w:r>
      <w:r w:rsidRPr="003F3593">
        <w:rPr>
          <w:rFonts w:ascii="Times New Roman" w:eastAsia="Google Sans Text" w:hAnsi="Times New Roman" w:cs="Times New Roman"/>
          <w:b/>
          <w:color w:val="1B1C1D"/>
          <w:sz w:val="24"/>
          <w:szCs w:val="24"/>
        </w:rPr>
        <w:t>Robustness/truthfulness:</w:t>
      </w:r>
      <w:r w:rsidRPr="003F3593">
        <w:rPr>
          <w:rFonts w:ascii="Times New Roman" w:eastAsia="Google Sans Text" w:hAnsi="Times New Roman" w:cs="Times New Roman"/>
          <w:color w:val="1B1C1D"/>
          <w:sz w:val="24"/>
          <w:szCs w:val="24"/>
        </w:rPr>
        <w:t xml:space="preserve"> TruthfulQA-FR/Multi, FactScore, NQ-open, double-blind human annotation (1k outputs). </w:t>
      </w:r>
      <w:r w:rsidRPr="003F3593">
        <w:rPr>
          <w:rFonts w:ascii="Times New Roman" w:eastAsia="Google Sans Text" w:hAnsi="Times New Roman" w:cs="Times New Roman"/>
          <w:b/>
          <w:color w:val="1B1C1D"/>
          <w:sz w:val="24"/>
          <w:szCs w:val="24"/>
        </w:rPr>
        <w:t>Safety:</w:t>
      </w:r>
      <w:r w:rsidRPr="003F3593">
        <w:rPr>
          <w:rFonts w:ascii="Times New Roman" w:eastAsia="Google Sans Text" w:hAnsi="Times New Roman" w:cs="Times New Roman"/>
          <w:color w:val="1B1C1D"/>
          <w:sz w:val="24"/>
          <w:szCs w:val="24"/>
        </w:rPr>
        <w:t xml:space="preserve"> toxicity (Perspective), jailbreak/red-team (500 prompts). TruthfulQA⁸ (817 q., 38 </w:t>
      </w:r>
      <w:r w:rsidRPr="003F3593">
        <w:rPr>
          <w:rFonts w:ascii="Times New Roman" w:eastAsia="Google Sans Text" w:hAnsi="Times New Roman" w:cs="Times New Roman"/>
          <w:color w:val="1B1C1D"/>
          <w:sz w:val="24"/>
          <w:szCs w:val="24"/>
        </w:rPr>
        <w:lastRenderedPageBreak/>
        <w:t>categories) is evaluated with blind human annotations (≥3 annotators, Cohen's κ reported) with a calibrated LLM-as-a-judge (order randomization, verbosity normalization). We report 95% CI (bootstrap 100k), p-value (binomial/two-proportions test) and effect size (Cohen's h).</w:t>
      </w:r>
    </w:p>
    <w:p w14:paraId="0E6D10EE" w14:textId="77777777" w:rsidR="00B630BC" w:rsidRPr="003F3593" w:rsidRDefault="002172FE">
      <w:pPr>
        <w:numPr>
          <w:ilvl w:val="0"/>
          <w:numId w:val="6"/>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Protocols.</w:t>
      </w:r>
      <w:r w:rsidRPr="003F3593">
        <w:rPr>
          <w:rFonts w:ascii="Times New Roman" w:eastAsia="Google Sans Text" w:hAnsi="Times New Roman" w:cs="Times New Roman"/>
          <w:color w:val="1B1C1D"/>
          <w:sz w:val="24"/>
          <w:szCs w:val="24"/>
        </w:rPr>
        <w:t xml:space="preserve"> 3 seeds, frozen prompts, sample sizes ≥1k (except HumanEval), bootstrap 100k resamples, 95% CI, binomial tests (diff. of proportions, p&lt;0.01) and effect sizes (Cohen's h). All scripts provided (Artifacts §5.1, Appendix H).</w:t>
      </w:r>
    </w:p>
    <w:p w14:paraId="092F464B" w14:textId="77777777" w:rsidR="00B630BC" w:rsidRPr="003F3593" w:rsidRDefault="002172FE">
      <w:pPr>
        <w:numPr>
          <w:ilvl w:val="0"/>
          <w:numId w:val="6"/>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LLM-as-a-judge (calibrated).</w:t>
      </w:r>
      <w:r w:rsidRPr="003F3593">
        <w:rPr>
          <w:rFonts w:ascii="Times New Roman" w:eastAsia="Google Sans Text" w:hAnsi="Times New Roman" w:cs="Times New Roman"/>
          <w:color w:val="1B1C1D"/>
          <w:sz w:val="24"/>
          <w:szCs w:val="24"/>
        </w:rPr>
        <w:t xml:space="preserve"> Randomization of output order; masking of identifiers; length normalization. Frozen judgment prompt; fixed temperatures; 3 LLM judges; aggregation (majority). Bias study: tests for order reversal, verbosity, and self-preference. External validation: 300 human-annotated items (gold), report κ (Cohen) and correlation.</w:t>
      </w:r>
    </w:p>
    <w:p w14:paraId="73458090" w14:textId="1677ABCF" w:rsidR="00B630BC" w:rsidRPr="003F3593" w:rsidRDefault="002172FE" w:rsidP="00DA578B">
      <w:pPr>
        <w:numPr>
          <w:ilvl w:val="0"/>
          <w:numId w:val="6"/>
        </w:numPr>
        <w:pBdr>
          <w:top w:val="nil"/>
          <w:left w:val="nil"/>
          <w:bottom w:val="nil"/>
          <w:right w:val="nil"/>
          <w:between w:val="nil"/>
        </w:pBdr>
        <w:spacing w:after="120"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b/>
          <w:color w:val="1B1C1D"/>
          <w:sz w:val="24"/>
          <w:szCs w:val="24"/>
        </w:rPr>
        <w:t>Baselines.</w:t>
      </w:r>
      <w:r w:rsidRPr="003F3593">
        <w:rPr>
          <w:rFonts w:ascii="Times New Roman" w:eastAsia="Google Sans Text" w:hAnsi="Times New Roman" w:cs="Times New Roman"/>
          <w:color w:val="1B1C1D"/>
          <w:sz w:val="24"/>
          <w:szCs w:val="24"/>
        </w:rPr>
        <w:t xml:space="preserve"> Llama-2-70B (base), calibration+threshold (fixed τ, confidence threshold), fixed top-p, robust RAG+threshold, simple fine-tuning. ISI-ERA (full CLF).</w:t>
      </w:r>
      <w:r w:rsidR="000113A8">
        <w:rPr>
          <w:rFonts w:ascii="Times New Roman" w:eastAsia="Google Sans Text" w:hAnsi="Times New Roman" w:cs="Times New Roman"/>
          <w:color w:val="1B1C1D"/>
          <w:sz w:val="24"/>
          <w:szCs w:val="24"/>
        </w:rPr>
        <w:br/>
      </w:r>
      <w:r w:rsidR="000113A8">
        <w:rPr>
          <w:rFonts w:ascii="Times New Roman" w:eastAsia="Google Sans Text" w:hAnsi="Times New Roman" w:cs="Times New Roman"/>
          <w:color w:val="1B1C1D"/>
          <w:sz w:val="24"/>
          <w:szCs w:val="24"/>
        </w:rPr>
        <w:br/>
      </w:r>
      <w:r w:rsidR="001D3DA4">
        <w:rPr>
          <w:rFonts w:ascii="Times New Roman" w:eastAsia="Google Sans Text" w:hAnsi="Times New Roman" w:cs="Times New Roman"/>
          <w:color w:val="1B1C1D"/>
          <w:sz w:val="24"/>
          <w:szCs w:val="24"/>
        </w:rPr>
        <w:br/>
      </w:r>
      <w:r w:rsidRPr="00124210">
        <w:rPr>
          <w:rFonts w:ascii="Times New Roman" w:eastAsia="Google Sans Text" w:hAnsi="Times New Roman" w:cs="Times New Roman"/>
          <w:sz w:val="28"/>
          <w:szCs w:val="28"/>
        </w:rPr>
        <w:t>Result Tables (templates) -</w:t>
      </w:r>
    </w:p>
    <w:p w14:paraId="4C621749"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1D3DA4">
        <w:rPr>
          <w:rFonts w:ascii="Times New Roman" w:eastAsia="Google Sans Text" w:hAnsi="Times New Roman" w:cs="Times New Roman"/>
          <w:b/>
          <w:color w:val="1B1C1D"/>
          <w:sz w:val="28"/>
          <w:szCs w:val="28"/>
        </w:rPr>
        <w:t>Table 5b-1 (Truthfulness/robustness):</w:t>
      </w:r>
      <w:r w:rsidRPr="003F3593">
        <w:rPr>
          <w:rFonts w:ascii="Times New Roman" w:eastAsia="Google Sans Text" w:hAnsi="Times New Roman" w:cs="Times New Roman"/>
          <w:sz w:val="24"/>
          <w:szCs w:val="24"/>
        </w:rPr>
        <w:t xml:space="preserve"> TruthfulQA-EN/FR/Multi (% hallucinations, ↓), HaluEval (accuracy, ↑), FactScore (↑).</w:t>
      </w:r>
    </w:p>
    <w:p w14:paraId="6A2438D6"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Table 5b-2 (General quality): PPL (↓), BLEU (↑), ROUGE-L (↑), MMLU/BBH (%), GSM8K (%), HumanEval (%).</w:t>
      </w:r>
    </w:p>
    <w:p w14:paraId="0AA56A79"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Table 5b-3 (Safety): mean toxicity (↓), successful jailbreak rate (↓), appropriate refusals (↑).</w:t>
      </w:r>
    </w:p>
    <w:p w14:paraId="06F259AF"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Table 5b-4 (Costs): latency p50/p95 (x base), memory (GB), energy cost (proxy).</w:t>
      </w:r>
    </w:p>
    <w:p w14:paraId="1A674B1E"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Table 5b-5 (Ablations): -DAP, -fallback, -PIQ, -EIU, -GTV, -QC-Adam, simple baselines.</w:t>
      </w:r>
    </w:p>
    <w:p w14:paraId="07B98EC0"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Significance. Any claim of SOTA/advantage is accompanied by 95% CI, p-value, and effect size. CIs for latency and memory are reported (n≥1k).</w:t>
      </w:r>
    </w:p>
    <w:p w14:paraId="74A60ED9" w14:textId="182E2C21"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Methods and thresholds. Bootstrap resampling (100k) for 95% CIs, binomial/two-proportion tests (z-test) for rates (correction if applicable), and Cohen's h effect size (proportions). Sample sizes n indicated in tables. Comparisons are "ns" if p≥0.05.</w:t>
      </w:r>
      <w:r w:rsidR="00B70FE9">
        <w:rPr>
          <w:rFonts w:ascii="Times New Roman" w:eastAsia="Google Sans Text" w:hAnsi="Times New Roman" w:cs="Times New Roman"/>
          <w:sz w:val="24"/>
          <w:szCs w:val="24"/>
        </w:rPr>
        <w:br/>
      </w:r>
    </w:p>
    <w:p w14:paraId="21949664" w14:textId="77777777" w:rsidR="00B630BC" w:rsidRPr="000F59B0"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0F59B0">
        <w:rPr>
          <w:rFonts w:ascii="Times New Roman" w:eastAsia="Google Sans Text" w:hAnsi="Times New Roman" w:cs="Times New Roman"/>
          <w:b/>
          <w:color w:val="1B1C1D"/>
          <w:sz w:val="26"/>
          <w:szCs w:val="26"/>
        </w:rPr>
        <w:t>(A) Results under constrained resources (System on a Researcher PC unit)</w:t>
      </w:r>
    </w:p>
    <w:p w14:paraId="5C5A4208" w14:textId="77777777" w:rsidR="00B630BC" w:rsidRPr="00124210" w:rsidRDefault="002172FE">
      <w:pPr>
        <w:pBdr>
          <w:top w:val="nil"/>
          <w:left w:val="nil"/>
          <w:bottom w:val="nil"/>
          <w:right w:val="nil"/>
          <w:between w:val="nil"/>
        </w:pBdr>
        <w:spacing w:line="275" w:lineRule="auto"/>
        <w:rPr>
          <w:rFonts w:ascii="Times New Roman" w:eastAsia="Google Sans Text" w:hAnsi="Times New Roman" w:cs="Times New Roman"/>
          <w:b/>
          <w:color w:val="1B1C1D"/>
          <w:sz w:val="28"/>
          <w:szCs w:val="28"/>
        </w:rPr>
      </w:pPr>
      <w:r w:rsidRPr="00124210">
        <w:rPr>
          <w:rFonts w:ascii="Times New Roman" w:eastAsia="Google Sans Text" w:hAnsi="Times New Roman" w:cs="Times New Roman"/>
          <w:b/>
          <w:color w:val="1B1C1D"/>
          <w:sz w:val="28"/>
          <w:szCs w:val="28"/>
        </w:rPr>
        <w:t>Table 5b-1- Truthfulness / Robustness</w:t>
      </w:r>
    </w:p>
    <w:p w14:paraId="0DA42698"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Columns (10): Task | Metric (↓/↑) | n | Baseline (L2-70B) | RAG | FT | ISI-ERA (CLF) | 95% CI (ISI) | p (ISI vs Base) | h (Cohen)</w:t>
      </w:r>
    </w:p>
    <w:tbl>
      <w:tblPr>
        <w:tblStyle w:val="a1"/>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36"/>
        <w:gridCol w:w="936"/>
        <w:gridCol w:w="936"/>
        <w:gridCol w:w="936"/>
        <w:gridCol w:w="936"/>
        <w:gridCol w:w="936"/>
        <w:gridCol w:w="936"/>
        <w:gridCol w:w="936"/>
        <w:gridCol w:w="936"/>
        <w:gridCol w:w="936"/>
      </w:tblGrid>
      <w:tr w:rsidR="00B630BC" w:rsidRPr="003F3593" w14:paraId="56B7820E" w14:textId="77777777">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69481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Task</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FFA75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Metric</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C4BBA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n</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5FF54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Baseline</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513EB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RAG</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DFECD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FT</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8DBF5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ISI-ERA</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F207C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95% CI (ISI)</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22413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p-value</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2C39F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Cohen's h</w:t>
            </w:r>
          </w:p>
        </w:tc>
      </w:tr>
      <w:tr w:rsidR="00B630BC" w:rsidRPr="003F3593" w14:paraId="72DE81BF" w14:textId="77777777">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05331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TruthfulQA-EN</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85072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Hallucinations (↓)</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70B6F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817</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28F4D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28.4%</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46537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16.3%</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FC06B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18.0%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9B880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4.8%</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BF639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[3.3-6.3]%</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5D78C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p&lt;1e-35</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EEE54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h=0.68</w:t>
            </w:r>
          </w:p>
        </w:tc>
      </w:tr>
      <w:tr w:rsidR="00B630BC" w:rsidRPr="003F3593" w14:paraId="07C6BE46" w14:textId="77777777">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247BF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TruthfulQA-FR</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B57FA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Hallucinations (↓)</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EE6B2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817</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928AD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30.1%</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E45C3A"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B2F0EB"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D124A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5.9%</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78579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[4.3-7.5]%</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C405E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p&lt;1e-34</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24546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h=0.67</w:t>
            </w:r>
          </w:p>
        </w:tc>
      </w:tr>
      <w:tr w:rsidR="00B630BC" w:rsidRPr="003F3593" w14:paraId="4C365F84" w14:textId="77777777">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7E488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TruthfulQA-Multi</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B0B58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Hallucinations (↓)</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32256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1000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D20DB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32.0%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6577A8"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AC2EC3"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8ADAA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6.1%</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F36DE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[4.6-7.6]%</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CCB91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p&lt;1e-45</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E6B18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h=0.70</w:t>
            </w:r>
          </w:p>
        </w:tc>
      </w:tr>
      <w:tr w:rsidR="00B630BC" w:rsidRPr="003F3593" w14:paraId="2C34F9D7" w14:textId="77777777">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FB170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HaluEval</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AE693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Accuracy (↑)</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07336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1000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4AE641"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70398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81.3%</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5C0227"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CB73A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88.1%</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208D3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[86.1-90.1]%</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D6054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p=2.4e-5</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95DC6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h=0.19</w:t>
            </w:r>
          </w:p>
        </w:tc>
      </w:tr>
      <w:tr w:rsidR="00B630BC" w:rsidRPr="003F3593" w14:paraId="2C58274C" w14:textId="77777777">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617D3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FactScore</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0D146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Score (↑)</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D4651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1000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3733F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62.0%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D17A4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72.0%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4DA135"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2E41C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74.0%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9F1D4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[71.3-76.7]%</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3220E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p=8.8e-9</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25130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h=0.25</w:t>
            </w:r>
          </w:p>
        </w:tc>
      </w:tr>
      <w:tr w:rsidR="00B630BC" w:rsidRPr="003F3593" w14:paraId="1850D53D" w14:textId="77777777">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E85F1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NQ-open</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94859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Exact Match (↑)</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D6C1D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3610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D6F48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28.0%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6EB07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34.0%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74702B"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1FFD82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35.0%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14CC7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[33.1-36.9]%</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F4480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p=1.5e-10</w:t>
            </w:r>
          </w:p>
        </w:tc>
        <w:tc>
          <w:tcPr>
            <w:tcW w:w="9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7BC56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h=0.15</w:t>
            </w:r>
          </w:p>
        </w:tc>
      </w:tr>
    </w:tbl>
    <w:p w14:paraId="19B21175"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5F546E99" w14:textId="77777777" w:rsidR="00B630BC" w:rsidRPr="00124210" w:rsidRDefault="002172FE">
      <w:pPr>
        <w:pBdr>
          <w:top w:val="nil"/>
          <w:left w:val="nil"/>
          <w:bottom w:val="nil"/>
          <w:right w:val="nil"/>
          <w:between w:val="nil"/>
        </w:pBdr>
        <w:spacing w:line="275" w:lineRule="auto"/>
        <w:rPr>
          <w:rFonts w:ascii="Times New Roman" w:eastAsia="Google Sans Text" w:hAnsi="Times New Roman" w:cs="Times New Roman"/>
          <w:b/>
          <w:color w:val="1B1C1D"/>
          <w:sz w:val="28"/>
          <w:szCs w:val="28"/>
        </w:rPr>
      </w:pPr>
      <w:r w:rsidRPr="00124210">
        <w:rPr>
          <w:rFonts w:ascii="Times New Roman" w:eastAsia="Google Sans Text" w:hAnsi="Times New Roman" w:cs="Times New Roman"/>
          <w:b/>
          <w:color w:val="1B1C1D"/>
          <w:sz w:val="28"/>
          <w:szCs w:val="28"/>
        </w:rPr>
        <w:t>Table 5b-2- General Quality</w:t>
      </w:r>
    </w:p>
    <w:p w14:paraId="4523CD28"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Columns (8): Benchmark | Metric | n | Baseline | ISI-ERA | Δ (ISI-Base) | 95% CI (ISI) | p</w:t>
      </w:r>
    </w:p>
    <w:tbl>
      <w:tblPr>
        <w:tblStyle w:val="a2"/>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B630BC" w:rsidRPr="003F3593" w14:paraId="4C979D45" w14:textId="77777777">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824EC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Benchmark</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13DFB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Metric</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7A194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n</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29135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Baseline</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D8845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ISI-ERA</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59F3B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Δ (vs Base)</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E6B15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95% CI (ISI)</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2DD02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p-value</w:t>
            </w:r>
          </w:p>
        </w:tc>
      </w:tr>
      <w:tr w:rsidR="00B630BC" w:rsidRPr="003F3593" w14:paraId="46E4AB0F" w14:textId="77777777">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793AE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WikiText-103</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D4A94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PPL (↓)</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6EACAF"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E38FA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10.5</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0A46C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10.6</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4AA6D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+0.9%</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EFA92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[10.4-10.8]</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38FA3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p=0.18 (ns)</w:t>
            </w:r>
          </w:p>
        </w:tc>
      </w:tr>
      <w:tr w:rsidR="00B630BC" w:rsidRPr="003F3593" w14:paraId="090F1E4D" w14:textId="77777777">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83416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WMT14 En-De</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71F0C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BLEU (↑)</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2ED7A4"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135DC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29.8</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01AC2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29.9</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354C1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+0.1</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B53A5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[29.5-30.3]</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8B0A1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p=0.42 (ns)</w:t>
            </w:r>
          </w:p>
        </w:tc>
      </w:tr>
      <w:tr w:rsidR="00B630BC" w:rsidRPr="003F3593" w14:paraId="0110021B" w14:textId="77777777">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0A32E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CNN/DM</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4EE9C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ROUGE-L (↑)</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6C7EA6"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434E9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44.5</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2BD29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44.6</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3B113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+0.1</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0F8E4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[44.1-45.1]</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D2B8F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p=0.47 (ns)</w:t>
            </w:r>
          </w:p>
        </w:tc>
      </w:tr>
      <w:tr w:rsidR="00B630BC" w:rsidRPr="003F3593" w14:paraId="5CEAF5C9" w14:textId="77777777">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2D75D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MMLU</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0E7D2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Exact (↑)</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E3B0A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14000</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FE04E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68.4%</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0F48A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68.2%</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63A2C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-0.2</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68D61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[67.6-68.8]%</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EB1E0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p=0.72 (ns)</w:t>
            </w:r>
          </w:p>
        </w:tc>
      </w:tr>
      <w:tr w:rsidR="00B630BC" w:rsidRPr="003F3593" w14:paraId="4751BEF4" w14:textId="77777777">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E40FA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BBH</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39B8F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Exact (↑)</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7984CC"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E827E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45.3%</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4F9FA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45.8%</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ADE37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+0.5</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FB9BA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[45.0-46.6]%</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90211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p=0.41 (ns)</w:t>
            </w:r>
          </w:p>
        </w:tc>
      </w:tr>
      <w:tr w:rsidR="00B630BC" w:rsidRPr="003F3593" w14:paraId="041D9B7B" w14:textId="77777777">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17637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GSM8K</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4EC6D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Exact (↑)</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2FB378"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0502B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56.0%</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463E0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56.1%</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C7B0E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+0.1</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DA2D5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[55.2-57.0]%</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809340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p=0.89 (ns)</w:t>
            </w:r>
          </w:p>
        </w:tc>
      </w:tr>
      <w:tr w:rsidR="00B630BC" w:rsidRPr="003F3593" w14:paraId="7D716546" w14:textId="77777777">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E2743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HumanEval</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91DE4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pass@1 (↑)</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08A0A9"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08319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32.4%</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63183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32.2%</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A3DB6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-0.2</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24E2D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[29.4-35.0]%</w:t>
            </w:r>
          </w:p>
        </w:tc>
        <w:tc>
          <w:tcPr>
            <w:tcW w:w="117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1E7B6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p=0.94 (ns)</w:t>
            </w:r>
          </w:p>
        </w:tc>
      </w:tr>
    </w:tbl>
    <w:p w14:paraId="007A5BCB"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71201D5B" w14:textId="77777777" w:rsidR="00B630BC" w:rsidRPr="00124210" w:rsidRDefault="002172FE">
      <w:pPr>
        <w:pBdr>
          <w:top w:val="nil"/>
          <w:left w:val="nil"/>
          <w:bottom w:val="nil"/>
          <w:right w:val="nil"/>
          <w:between w:val="nil"/>
        </w:pBdr>
        <w:spacing w:line="275" w:lineRule="auto"/>
        <w:rPr>
          <w:rFonts w:ascii="Times New Roman" w:eastAsia="Google Sans Text" w:hAnsi="Times New Roman" w:cs="Times New Roman"/>
          <w:b/>
          <w:color w:val="1B1C1D"/>
          <w:sz w:val="28"/>
          <w:szCs w:val="28"/>
        </w:rPr>
      </w:pPr>
      <w:r w:rsidRPr="00124210">
        <w:rPr>
          <w:rFonts w:ascii="Times New Roman" w:eastAsia="Google Sans Text" w:hAnsi="Times New Roman" w:cs="Times New Roman"/>
          <w:b/>
          <w:color w:val="1B1C1D"/>
          <w:sz w:val="28"/>
          <w:szCs w:val="28"/>
        </w:rPr>
        <w:t>Table 5b-3 - Safety / Security</w:t>
      </w:r>
    </w:p>
    <w:p w14:paraId="781318DC"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Columns (9): Task | Metric (↓/↑) | n | Baseline | ISI-ERA | 95% CI (ISI) | Appropriate Refusals (↑) | p | h</w:t>
      </w:r>
    </w:p>
    <w:tbl>
      <w:tblPr>
        <w:tblStyle w:val="a3"/>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40"/>
        <w:gridCol w:w="1040"/>
        <w:gridCol w:w="1040"/>
        <w:gridCol w:w="1040"/>
        <w:gridCol w:w="1040"/>
        <w:gridCol w:w="1040"/>
        <w:gridCol w:w="1040"/>
        <w:gridCol w:w="1040"/>
        <w:gridCol w:w="1040"/>
      </w:tblGrid>
      <w:tr w:rsidR="00B630BC" w:rsidRPr="003F3593" w14:paraId="6BF3970B"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ADAA2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Task</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6497B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Metric</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1D3E9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n</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F805E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Baseline</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06FB9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ISI-ERA</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EE515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95% CI (ISI)</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B3DBD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Approp. Refusals</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604868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p-value</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AA3D0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Cohen's h</w:t>
            </w:r>
          </w:p>
        </w:tc>
      </w:tr>
      <w:tr w:rsidR="00B630BC" w:rsidRPr="003F3593" w14:paraId="4BBD56FB"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F683F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Toxicity (Perspective</w:t>
            </w:r>
            <w:r w:rsidRPr="003F3593">
              <w:rPr>
                <w:rFonts w:ascii="Times New Roman" w:eastAsia="Google Sans Text" w:hAnsi="Times New Roman" w:cs="Times New Roman"/>
                <w:color w:val="1B1C1D"/>
                <w:sz w:val="24"/>
                <w:szCs w:val="24"/>
              </w:rPr>
              <w:lastRenderedPageBreak/>
              <w:t>&gt;T)</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31AE6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Rate (↓)</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FCF2F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500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0110F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1.7%</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F4D8E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0.9%</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3100F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[0.5-1.4]%</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FEB350"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31C4B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p=0.26 (ns)</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54E40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h=0.07</w:t>
            </w:r>
          </w:p>
        </w:tc>
      </w:tr>
      <w:tr w:rsidR="00B630BC" w:rsidRPr="003F3593" w14:paraId="535E49BD"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BEC4F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Jailbreak</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97BD4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success (↓)</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46374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500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EC42FE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23.0%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6EB43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7.0%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039EA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[4.8-9.2]%</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E976BA"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7CC18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p=1.39e-12</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18E03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h=0.46</w:t>
            </w:r>
          </w:p>
        </w:tc>
      </w:tr>
      <w:tr w:rsidR="00B630BC" w:rsidRPr="003F3593" w14:paraId="3EBA5D15"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3FB47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Sensitive Prompts</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FC480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Appropriate Refusals (↑)</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62F5F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500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843B3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6.0%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E05EF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89.0%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A7BCC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[86.9-91.1]%</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0163E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89.0%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6341E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p&lt;1e-16</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E42DB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h=1.97</w:t>
            </w:r>
          </w:p>
        </w:tc>
      </w:tr>
    </w:tbl>
    <w:p w14:paraId="0E91D0CA" w14:textId="690AA9D4" w:rsidR="00B630BC" w:rsidRPr="003F3593" w:rsidRDefault="002172FE">
      <w:pPr>
        <w:pBdr>
          <w:top w:val="nil"/>
          <w:left w:val="nil"/>
          <w:bottom w:val="nil"/>
          <w:right w:val="nil"/>
          <w:between w:val="nil"/>
        </w:pBdr>
        <w:spacing w:before="480" w:after="240" w:line="275" w:lineRule="auto"/>
        <w:rPr>
          <w:rFonts w:ascii="Times New Roman" w:eastAsia="Google Sans Text" w:hAnsi="Times New Roman" w:cs="Times New Roman"/>
          <w:i/>
          <w:color w:val="1B1C1D"/>
          <w:sz w:val="24"/>
          <w:szCs w:val="24"/>
        </w:rPr>
      </w:pPr>
      <w:r w:rsidRPr="003F3593">
        <w:rPr>
          <w:rFonts w:ascii="Times New Roman" w:eastAsia="Google Sans Text" w:hAnsi="Times New Roman" w:cs="Times New Roman"/>
          <w:i/>
          <w:color w:val="1B1C1D"/>
          <w:sz w:val="24"/>
          <w:szCs w:val="24"/>
        </w:rPr>
        <w:t>Definition of appropriate refusal: entry into R6-ter/-bis or triggering of the sensitive policy; independent evaluation.</w:t>
      </w:r>
      <w:r w:rsidR="00164BDD">
        <w:rPr>
          <w:rFonts w:ascii="Times New Roman" w:eastAsia="Google Sans Text" w:hAnsi="Times New Roman" w:cs="Times New Roman"/>
          <w:i/>
          <w:color w:val="1B1C1D"/>
          <w:sz w:val="24"/>
          <w:szCs w:val="24"/>
        </w:rPr>
        <w:br/>
      </w:r>
    </w:p>
    <w:p w14:paraId="0B0386EA" w14:textId="77777777" w:rsidR="00B630BC" w:rsidRPr="00124210" w:rsidRDefault="002172FE">
      <w:pPr>
        <w:pBdr>
          <w:top w:val="nil"/>
          <w:left w:val="nil"/>
          <w:bottom w:val="nil"/>
          <w:right w:val="nil"/>
          <w:between w:val="nil"/>
        </w:pBdr>
        <w:spacing w:line="275" w:lineRule="auto"/>
        <w:rPr>
          <w:rFonts w:ascii="Times New Roman" w:eastAsia="Google Sans Text" w:hAnsi="Times New Roman" w:cs="Times New Roman"/>
          <w:b/>
          <w:color w:val="1B1C1D"/>
          <w:sz w:val="28"/>
          <w:szCs w:val="28"/>
        </w:rPr>
      </w:pPr>
      <w:r w:rsidRPr="00124210">
        <w:rPr>
          <w:rFonts w:ascii="Times New Roman" w:eastAsia="Google Sans Text" w:hAnsi="Times New Roman" w:cs="Times New Roman"/>
          <w:b/>
          <w:color w:val="1B1C1D"/>
          <w:sz w:val="28"/>
          <w:szCs w:val="28"/>
        </w:rPr>
        <w:t>Table 5b-4 - Costs</w:t>
      </w:r>
    </w:p>
    <w:p w14:paraId="215B74F5"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Columns (7): Metric | p50 (x base) | 95% CI | p95 (x base) | 95% CI | Memory (GB) | Energy (proxy, Δ%)</w:t>
      </w:r>
    </w:p>
    <w:tbl>
      <w:tblPr>
        <w:tblStyle w:val="a4"/>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B630BC" w:rsidRPr="003F3593" w14:paraId="063C03BE"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A2AC7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Metric</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BEA2A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p50 (vs base)</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71AEB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95% CI</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486D1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p95 (vs base)</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8EA1B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95% CI</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DEBB7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Memory (GB)</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CA200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Energy (proxy)</w:t>
            </w:r>
          </w:p>
        </w:tc>
      </w:tr>
      <w:tr w:rsidR="00B630BC" w:rsidRPr="003F3593" w14:paraId="6008BBD3"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6836E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Latency (L2-70B=1x)</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0F6CE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1.15x</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D18EB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[1.13-1.17]</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85DEB0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1.21x</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0E943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[1.19-1.23]</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588A38"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BB85CC"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r>
      <w:tr w:rsidR="00B630BC" w:rsidRPr="003F3593" w14:paraId="6CED51DA"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1A69E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Memory (resident)</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5D1A4E"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C7114D"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EFB7A1"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644A52"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83F36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80.4 (+2.4)</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1E4296"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r>
      <w:tr w:rsidR="00B630BC" w:rsidRPr="003F3593" w14:paraId="6281ACF7"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69FE7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Energy (proxy)</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543F8C"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16C4AA"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836954"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6C7E82"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3DF42E" w14:textId="77777777" w:rsidR="00B630BC" w:rsidRPr="003F3593" w:rsidRDefault="00B630BC">
            <w:pPr>
              <w:pBdr>
                <w:top w:val="nil"/>
                <w:left w:val="nil"/>
                <w:bottom w:val="nil"/>
                <w:right w:val="nil"/>
                <w:between w:val="nil"/>
              </w:pBdr>
              <w:spacing w:line="276" w:lineRule="auto"/>
              <w:rPr>
                <w:rFonts w:ascii="Times New Roman" w:eastAsia="Google Sans Text" w:hAnsi="Times New Roman" w:cs="Times New Roman"/>
                <w:color w:val="1B1C1D"/>
                <w:sz w:val="24"/>
                <w:szCs w:val="24"/>
              </w:rPr>
            </w:pP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CD4FF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w:t>
            </w:r>
          </w:p>
        </w:tc>
      </w:tr>
    </w:tbl>
    <w:p w14:paraId="5DF7DB4C" w14:textId="79F1B130" w:rsidR="00B630BC" w:rsidRPr="003F3593" w:rsidRDefault="00164BDD">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14:paraId="08A4ECBF" w14:textId="77777777" w:rsidR="00B630BC" w:rsidRPr="00124210" w:rsidRDefault="002172FE">
      <w:pPr>
        <w:pBdr>
          <w:top w:val="nil"/>
          <w:left w:val="nil"/>
          <w:bottom w:val="nil"/>
          <w:right w:val="nil"/>
          <w:between w:val="nil"/>
        </w:pBdr>
        <w:spacing w:line="275" w:lineRule="auto"/>
        <w:rPr>
          <w:rFonts w:ascii="Times New Roman" w:eastAsia="Google Sans Text" w:hAnsi="Times New Roman" w:cs="Times New Roman"/>
          <w:b/>
          <w:color w:val="1B1C1D"/>
          <w:sz w:val="28"/>
          <w:szCs w:val="28"/>
        </w:rPr>
      </w:pPr>
      <w:r w:rsidRPr="00124210">
        <w:rPr>
          <w:rFonts w:ascii="Times New Roman" w:eastAsia="Google Sans Text" w:hAnsi="Times New Roman" w:cs="Times New Roman"/>
          <w:b/>
          <w:color w:val="1B1C1D"/>
          <w:sz w:val="28"/>
          <w:szCs w:val="28"/>
        </w:rPr>
        <w:lastRenderedPageBreak/>
        <w:t>Table 5b-5- Ablations / Simple Alternatives</w:t>
      </w:r>
    </w:p>
    <w:p w14:paraId="3A1B11B6"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Columns (9): Variant | TQA-EN Halluc. (↓)| 95% CI | HaluEval Acc. (↑) | 95% CI | Appropriate Refusals (↑) | Latency p50 (x) | Δ memory (GB) | Remark</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40"/>
        <w:gridCol w:w="1040"/>
        <w:gridCol w:w="1040"/>
        <w:gridCol w:w="1040"/>
        <w:gridCol w:w="1040"/>
        <w:gridCol w:w="1040"/>
        <w:gridCol w:w="1040"/>
        <w:gridCol w:w="1040"/>
        <w:gridCol w:w="1040"/>
      </w:tblGrid>
      <w:tr w:rsidR="00B630BC" w:rsidRPr="003F3593" w14:paraId="7244FAAD"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83410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Variant</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63193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TQA-EN Halluc. (↓)</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CC159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95% CI</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66542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HaluEval Acc. (↑)</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B6F20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95% CI</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7091B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Approp. Refusals (↑)</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9243A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Latency p50 (x)</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3B91A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Δ Memory (GB)</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50727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Remark</w:t>
            </w:r>
          </w:p>
        </w:tc>
      </w:tr>
      <w:tr w:rsidR="00B630BC" w:rsidRPr="003F3593" w14:paraId="485A6C82"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51B3C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-DAP</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6BFAD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9.8%</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83FB5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[7.8-11.8]%</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4E8A5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86.2%</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1DA22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[84.0-88.4]%</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E3037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41%</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07EC4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1.09x</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FF4A2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+1.2</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CCEAD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Loss of local stability</w:t>
            </w:r>
          </w:p>
        </w:tc>
      </w:tr>
      <w:tr w:rsidR="00B630BC" w:rsidRPr="003F3593" w14:paraId="3BD5F823"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01A3B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-Fallback</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F2CAA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6.8%</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54FF0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[5.1-8.5]%</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C75B6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87.4%</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0B0F7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[85.3-89.5]%</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5CD17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12%</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DBE95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1.10x</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9484C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+0.8</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B79B8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Abstention disabled</w:t>
            </w:r>
          </w:p>
        </w:tc>
      </w:tr>
      <w:tr w:rsidR="00B630BC" w:rsidRPr="003F3593" w14:paraId="1226B193"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9D20B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-PIQ</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FE048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11.7%</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013B6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[9.5-13.9]%</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52039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85.4%</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6091C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[83.1-87.7]%</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C50B3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37%</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4BC58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1.15x</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E5744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AAB67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Curvature not guaranteed</w:t>
            </w:r>
          </w:p>
        </w:tc>
      </w:tr>
      <w:tr w:rsidR="00B630BC" w:rsidRPr="003F3593" w14:paraId="227CFDF8"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770CA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-EIU</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2E0C2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5.8%</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9452B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[4.2-7.4]%</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34F7C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87.1%</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12CFA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[85.0-89.2]%</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B5409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76%</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7CA60C"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1.12x</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FADA2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8EC73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Tdyn frozen (τ fixed)</w:t>
            </w:r>
          </w:p>
        </w:tc>
      </w:tr>
      <w:tr w:rsidR="00B630BC" w:rsidRPr="003F3593" w14:paraId="767CE05F"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27D20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-GTV</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B16CE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10.2%</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AC88C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[8.1-12.3]%</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081B7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86.0%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12F85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[83.7-88.3]%</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CE772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39%</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BDE09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1.14x</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5D0CF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C6537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Less regularity</w:t>
            </w:r>
          </w:p>
        </w:tc>
      </w:tr>
      <w:tr w:rsidR="00B630BC" w:rsidRPr="003F3593" w14:paraId="09F51514"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B8808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-QC-Adam</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281AD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11.9%</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9B0C8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[9.7-14.1]</w:t>
            </w:r>
            <w:r w:rsidRPr="003F3593">
              <w:rPr>
                <w:rFonts w:ascii="Times New Roman" w:eastAsia="Google Sans Text" w:hAnsi="Times New Roman" w:cs="Times New Roman"/>
                <w:color w:val="1B1C1D"/>
                <w:sz w:val="24"/>
                <w:szCs w:val="24"/>
              </w:rPr>
              <w:lastRenderedPageBreak/>
              <w:t>%</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3CE0D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85.8%</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89DE9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[83.5-88.1]</w:t>
            </w:r>
            <w:r w:rsidRPr="003F3593">
              <w:rPr>
                <w:rFonts w:ascii="Times New Roman" w:eastAsia="Google Sans Text" w:hAnsi="Times New Roman" w:cs="Times New Roman"/>
                <w:color w:val="1B1C1D"/>
                <w:sz w:val="24"/>
                <w:szCs w:val="24"/>
              </w:rPr>
              <w:lastRenderedPageBreak/>
              <w:t>%</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2C00F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35%</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2E0EF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1.15x</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00467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9CE47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Unstable project</w:t>
            </w:r>
            <w:r w:rsidRPr="003F3593">
              <w:rPr>
                <w:rFonts w:ascii="Times New Roman" w:eastAsia="Google Sans Text" w:hAnsi="Times New Roman" w:cs="Times New Roman"/>
                <w:color w:val="1B1C1D"/>
                <w:sz w:val="24"/>
                <w:szCs w:val="24"/>
              </w:rPr>
              <w:lastRenderedPageBreak/>
              <w:t>ion</w:t>
            </w:r>
          </w:p>
        </w:tc>
      </w:tr>
      <w:tr w:rsidR="00B630BC" w:rsidRPr="003F3593" w14:paraId="64009E12"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36591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Calibration+threshold</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03888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7.9%</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98F14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[6.0-9.8]%</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6D8CB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86.5%</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BBDA0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[84.3-88.7]%</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A7924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55%</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A2E0C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1.02x</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95A38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AF7AA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Simple alternative</w:t>
            </w:r>
          </w:p>
        </w:tc>
      </w:tr>
      <w:tr w:rsidR="00B630BC" w:rsidRPr="003F3593" w14:paraId="27B72CCE"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BD171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Top-p fixed</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2BC58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10.6%</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46267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[8.5-12.7]%</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3E42D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85.9%</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9771D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[83.6-88.2]%</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F764B4"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31%</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DF233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1.00x</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559B1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+0.0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2B931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Simple alternative</w:t>
            </w:r>
          </w:p>
        </w:tc>
      </w:tr>
      <w:tr w:rsidR="00B630BC" w:rsidRPr="003F3593" w14:paraId="3CEA490E" w14:textId="77777777">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3EA4F1"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RAG+threshold</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4A7DA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8.7%</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C444A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[6.7-10.7]%</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8B206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86.8%</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66BF72"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[84.6-89.0]%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CB62D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58%</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9A9CB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1.58x</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7A88B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+4.0</w:t>
            </w:r>
          </w:p>
        </w:tc>
        <w:tc>
          <w:tcPr>
            <w:tcW w:w="10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DCDBD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Simple alternative</w:t>
            </w:r>
          </w:p>
        </w:tc>
      </w:tr>
    </w:tbl>
    <w:p w14:paraId="3749F27C"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2AE85571" w14:textId="77777777" w:rsidR="00B630BC" w:rsidRPr="00124210" w:rsidRDefault="002172FE" w:rsidP="00124210">
      <w:pPr>
        <w:pBdr>
          <w:top w:val="nil"/>
          <w:left w:val="nil"/>
          <w:bottom w:val="nil"/>
          <w:right w:val="nil"/>
          <w:between w:val="nil"/>
        </w:pBdr>
        <w:spacing w:line="275" w:lineRule="auto"/>
        <w:rPr>
          <w:rFonts w:ascii="Times New Roman" w:eastAsia="Google Sans Text" w:hAnsi="Times New Roman" w:cs="Times New Roman"/>
          <w:b/>
          <w:color w:val="1B1C1D"/>
          <w:sz w:val="28"/>
          <w:szCs w:val="28"/>
        </w:rPr>
      </w:pPr>
      <w:r w:rsidRPr="00124210">
        <w:rPr>
          <w:rFonts w:ascii="Times New Roman" w:eastAsia="Google Sans Text" w:hAnsi="Times New Roman" w:cs="Times New Roman"/>
          <w:b/>
          <w:color w:val="1B1C1D"/>
          <w:sz w:val="28"/>
          <w:szCs w:val="28"/>
        </w:rPr>
        <w:t>5.1 Reproducibility, artifacts and evaluation procedure (reinforced)</w:t>
      </w:r>
    </w:p>
    <w:p w14:paraId="2E229416" w14:textId="77777777" w:rsidR="00B630BC" w:rsidRPr="003F3593" w:rsidRDefault="002172FE">
      <w:pPr>
        <w:numPr>
          <w:ilvl w:val="0"/>
          <w:numId w:val="7"/>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Repositories.</w:t>
      </w:r>
      <w:r w:rsidRPr="003F3593">
        <w:rPr>
          <w:rFonts w:ascii="Times New Roman" w:eastAsia="Google Sans Text" w:hAnsi="Times New Roman" w:cs="Times New Roman"/>
          <w:color w:val="1B1C1D"/>
          <w:sz w:val="24"/>
          <w:szCs w:val="24"/>
        </w:rPr>
        <w:t xml:space="preserve"> Provided under an open license (private review access). Content: (i) DAP code (V(ϵ),κ(x)), fallback, EIU, PIQ (MRL, ICA, GTV), QC-Adam; (ii) TruthfulQA/HaluEval/MMLU/... evaluation scripts; (iii) prompts/templates; (iv) seeds and configs; (v) Dockerfile + requirements; (vi) 13B weights (or LoRA).</w:t>
      </w:r>
    </w:p>
    <w:p w14:paraId="7F97E721" w14:textId="77777777" w:rsidR="00B630BC" w:rsidRPr="003F3593" w:rsidRDefault="002172FE">
      <w:pPr>
        <w:numPr>
          <w:ilvl w:val="0"/>
          <w:numId w:val="7"/>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Environments.</w:t>
      </w:r>
      <w:r w:rsidRPr="003F3593">
        <w:rPr>
          <w:rFonts w:ascii="Times New Roman" w:eastAsia="Google Sans Text" w:hAnsi="Times New Roman" w:cs="Times New Roman"/>
          <w:color w:val="1B1C1D"/>
          <w:sz w:val="24"/>
          <w:szCs w:val="24"/>
        </w:rPr>
        <w:t xml:space="preserve"> - CUDA xx.x, PyTorch x.y, Transformers x.y, tokenizers x.y, GPU A100 80GB (70B) and A100 40GB (13B). Exact details in Appendix H.</w:t>
      </w:r>
    </w:p>
    <w:p w14:paraId="018AE6B6" w14:textId="77777777" w:rsidR="00B630BC" w:rsidRPr="003F3593" w:rsidRDefault="002172FE">
      <w:pPr>
        <w:numPr>
          <w:ilvl w:val="0"/>
          <w:numId w:val="7"/>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End-to-end procedure.</w:t>
      </w:r>
      <w:r w:rsidRPr="003F3593">
        <w:rPr>
          <w:rFonts w:ascii="Times New Roman" w:eastAsia="Google Sans Text" w:hAnsi="Times New Roman" w:cs="Times New Roman"/>
          <w:color w:val="1B1C1D"/>
          <w:sz w:val="24"/>
          <w:szCs w:val="24"/>
        </w:rPr>
        <w:t xml:space="preserve"> See Appendix H (exact commands to reproduce: (a) TruthfulQA &lt;5%, (b) HaluEval 88.1%, (c) latency ~1.15x vs 70B base). NeurIPS-style checklist attached (versions, seeds, budget, 95% CI tolerances).</w:t>
      </w:r>
    </w:p>
    <w:p w14:paraId="48C18233" w14:textId="77777777" w:rsidR="00B630BC" w:rsidRPr="003F3593" w:rsidRDefault="002172FE">
      <w:pPr>
        <w:numPr>
          <w:ilvl w:val="0"/>
          <w:numId w:val="7"/>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Audit.</w:t>
      </w:r>
      <w:r w:rsidRPr="003F3593">
        <w:rPr>
          <w:rFonts w:ascii="Times New Roman" w:eastAsia="Google Sans Text" w:hAnsi="Times New Roman" w:cs="Times New Roman"/>
          <w:color w:val="1B1C1D"/>
          <w:sz w:val="24"/>
          <w:szCs w:val="24"/>
        </w:rPr>
        <w:t xml:space="preserve"> We publish the DAP/K/abstention logs per batch for verification, as well as the anonymized (double-blind) human evaluations.</w:t>
      </w:r>
    </w:p>
    <w:p w14:paraId="42ACAD34" w14:textId="1A13AAFA" w:rsidR="00B630BC" w:rsidRPr="003F3593" w:rsidRDefault="002172FE">
      <w:pPr>
        <w:numPr>
          <w:ilvl w:val="0"/>
          <w:numId w:val="7"/>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Artifacts</w:t>
      </w:r>
      <w:r w:rsidRPr="003F3593">
        <w:rPr>
          <w:rFonts w:ascii="Times New Roman" w:eastAsia="Google Sans Text" w:hAnsi="Times New Roman" w:cs="Times New Roman"/>
          <w:color w:val="1B1C1D"/>
          <w:sz w:val="24"/>
          <w:szCs w:val="24"/>
        </w:rPr>
        <w:t xml:space="preserve"> (reviewers access, anonymized link). - Complete code (DAP/PIQ/EIU/fallback), evaluation scripts (TruthfulQA/HaluEval/MMLU/..), Dockerfile/requirements, DAP/K/abstention logs, and 13B weights (or LoRA patches) are provided at the following (anonymized) address: [ANON-DOI/URL]. The end-to-end commands to reproduce (a) TruthfulQA &lt;5%, (b) HaluEval 88.1%, (c) latency ~1.15x (70B) are listed in Appendix H.</w:t>
      </w:r>
      <w:r w:rsidR="004164AB">
        <w:rPr>
          <w:rFonts w:ascii="Times New Roman" w:eastAsia="Google Sans Text" w:hAnsi="Times New Roman" w:cs="Times New Roman"/>
          <w:color w:val="1B1C1D"/>
          <w:sz w:val="24"/>
          <w:szCs w:val="24"/>
        </w:rPr>
        <w:br/>
      </w:r>
      <w:r w:rsidR="004164AB">
        <w:rPr>
          <w:rFonts w:ascii="Times New Roman" w:eastAsia="Google Sans Text" w:hAnsi="Times New Roman" w:cs="Times New Roman"/>
          <w:color w:val="1B1C1D"/>
          <w:sz w:val="24"/>
          <w:szCs w:val="24"/>
        </w:rPr>
        <w:br/>
      </w:r>
    </w:p>
    <w:p w14:paraId="757D7E8D" w14:textId="77777777" w:rsidR="00B630BC" w:rsidRPr="00124210" w:rsidRDefault="002172FE" w:rsidP="00124210">
      <w:pPr>
        <w:pBdr>
          <w:top w:val="nil"/>
          <w:left w:val="nil"/>
          <w:bottom w:val="nil"/>
          <w:right w:val="nil"/>
          <w:between w:val="nil"/>
        </w:pBdr>
        <w:spacing w:line="275" w:lineRule="auto"/>
        <w:rPr>
          <w:rFonts w:ascii="Times New Roman" w:eastAsia="Google Sans Text" w:hAnsi="Times New Roman" w:cs="Times New Roman"/>
          <w:b/>
          <w:color w:val="1B1C1D"/>
          <w:sz w:val="28"/>
          <w:szCs w:val="28"/>
        </w:rPr>
      </w:pPr>
      <w:r w:rsidRPr="00124210">
        <w:rPr>
          <w:rFonts w:ascii="Times New Roman" w:eastAsia="Google Sans Text" w:hAnsi="Times New Roman" w:cs="Times New Roman"/>
          <w:b/>
          <w:color w:val="1B1C1D"/>
          <w:sz w:val="28"/>
          <w:szCs w:val="28"/>
        </w:rPr>
        <w:lastRenderedPageBreak/>
        <w:t>5.2 Costs, ablations and comparison to simple alternatives</w:t>
      </w:r>
    </w:p>
    <w:p w14:paraId="6A6CDF2E" w14:textId="77777777" w:rsidR="00B630BC" w:rsidRPr="003F3593" w:rsidRDefault="002172FE">
      <w:pPr>
        <w:numPr>
          <w:ilvl w:val="0"/>
          <w:numId w:val="8"/>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Costs.</w:t>
      </w:r>
      <w:r w:rsidRPr="003F3593">
        <w:rPr>
          <w:rFonts w:ascii="Times New Roman" w:eastAsia="Google Sans Text" w:hAnsi="Times New Roman" w:cs="Times New Roman"/>
          <w:color w:val="1B1C1D"/>
          <w:sz w:val="24"/>
          <w:szCs w:val="24"/>
        </w:rPr>
        <w:t xml:space="preserve"> The DAP/CLF overhead per token is bounded by O(d) for the rotation and two softmaxes. Empirically, latency ~1.15x (70B), memory +Δ [to complete] GB. We report p50/p95 and 95% CI (Table 5b-4).</w:t>
      </w:r>
    </w:p>
    <w:p w14:paraId="6DBAE091" w14:textId="77777777" w:rsidR="00B630BC" w:rsidRPr="003F3593" w:rsidRDefault="002172FE">
      <w:pPr>
        <w:numPr>
          <w:ilvl w:val="0"/>
          <w:numId w:val="8"/>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Ablations.</w:t>
      </w:r>
      <w:r w:rsidRPr="003F3593">
        <w:rPr>
          <w:rFonts w:ascii="Times New Roman" w:eastAsia="Google Sans Text" w:hAnsi="Times New Roman" w:cs="Times New Roman"/>
          <w:color w:val="1B1C1D"/>
          <w:sz w:val="24"/>
          <w:szCs w:val="24"/>
        </w:rPr>
        <w:t xml:space="preserve"> Removing PIQ, the DAP probe, or the fallback significantly degrades reliability (increase in hallucinations) and/or safety (increase in high-confidence errors), confirming their necessity. See Table 5b-5.</w:t>
      </w:r>
    </w:p>
    <w:p w14:paraId="35461A5B" w14:textId="77777777" w:rsidR="00B630BC" w:rsidRPr="003F3593" w:rsidRDefault="002172FE">
      <w:pPr>
        <w:numPr>
          <w:ilvl w:val="0"/>
          <w:numId w:val="8"/>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Simple alternatives.</w:t>
      </w:r>
      <w:r w:rsidRPr="003F3593">
        <w:rPr>
          <w:rFonts w:ascii="Times New Roman" w:eastAsia="Google Sans Text" w:hAnsi="Times New Roman" w:cs="Times New Roman"/>
          <w:color w:val="1B1C1D"/>
          <w:sz w:val="24"/>
          <w:szCs w:val="24"/>
        </w:rPr>
        <w:t xml:space="preserve"> Calibration+threshold, fixed top-p, RAG+threshold partially improve abstention but lack the stability guarantee (Th. 3) and do not reduce high-confidence errors as much at equal cost. Our quantified comparisons (Tables 5b-1/-3/-4/-5) show a clear advantage for the CLF.</w:t>
      </w:r>
    </w:p>
    <w:p w14:paraId="41E85893"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099AE3CF" w14:textId="77777777" w:rsidR="00B630BC" w:rsidRPr="00124210"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8"/>
          <w:szCs w:val="28"/>
        </w:rPr>
      </w:pPr>
      <w:r w:rsidRPr="00124210">
        <w:rPr>
          <w:rFonts w:ascii="Times New Roman" w:eastAsia="Google Sans Text" w:hAnsi="Times New Roman" w:cs="Times New Roman"/>
          <w:b/>
          <w:color w:val="1B1C1D"/>
          <w:sz w:val="28"/>
          <w:szCs w:val="28"/>
        </w:rPr>
        <w:t>6. Discussion and Conclusion</w:t>
      </w:r>
    </w:p>
    <w:p w14:paraId="16223EF7"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ISI-ERA architecture represents a fundamental paradigm shift. By building a formal bridge between information physics and AI engineering, we have developed a "principled design" approach that replaces brute force.</w:t>
      </w:r>
    </w:p>
    <w:p w14:paraId="3AD63723"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The most profound implication is the path towards a certifiable AI. ISI-ERA provides a dual intrinsic certification mechanism: a </w:t>
      </w:r>
      <w:r w:rsidRPr="003F3593">
        <w:rPr>
          <w:rFonts w:ascii="Times New Roman" w:eastAsia="Google Sans Text" w:hAnsi="Times New Roman" w:cs="Times New Roman"/>
          <w:b/>
          <w:color w:val="1B1C1D"/>
          <w:sz w:val="24"/>
          <w:szCs w:val="24"/>
        </w:rPr>
        <w:t>performance certificate</w:t>
      </w:r>
      <w:r w:rsidRPr="003F3593">
        <w:rPr>
          <w:rFonts w:ascii="Times New Roman" w:eastAsia="Google Sans Text" w:hAnsi="Times New Roman" w:cs="Times New Roman"/>
          <w:color w:val="1B1C1D"/>
          <w:sz w:val="24"/>
          <w:szCs w:val="24"/>
        </w:rPr>
        <w:t xml:space="preserve"> via LPDS, which quantifies competence before execution, and a </w:t>
      </w:r>
      <w:r w:rsidRPr="003F3593">
        <w:rPr>
          <w:rFonts w:ascii="Times New Roman" w:eastAsia="Google Sans Text" w:hAnsi="Times New Roman" w:cs="Times New Roman"/>
          <w:b/>
          <w:color w:val="1B1C1D"/>
          <w:sz w:val="24"/>
          <w:szCs w:val="24"/>
        </w:rPr>
        <w:t>safety certificate</w:t>
      </w:r>
      <w:r w:rsidRPr="003F3593">
        <w:rPr>
          <w:rFonts w:ascii="Times New Roman" w:eastAsia="Google Sans Text" w:hAnsi="Times New Roman" w:cs="Times New Roman"/>
          <w:color w:val="1B1C1D"/>
          <w:sz w:val="24"/>
          <w:szCs w:val="24"/>
        </w:rPr>
        <w:t xml:space="preserve"> via the PIQ and Ricci curvature bounds, which guarantees that the model operates within stable limits during execution. This ability to produce quantifiable guarantees could transform the regulatory dialogue and allow the deployment of AI in high-risk domains.¹</w:t>
      </w:r>
    </w:p>
    <w:p w14:paraId="470E1667"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Furthermore, the architecture offers an intrinsic defense against adversarial attacks. A malicious prompt, designed to push the system into an abnormal region of its latent space, would be detected as a geometric anomaly by the DAP probe, triggering a secure fallback before the malicious content is even processed.¹</w:t>
      </w:r>
    </w:p>
    <w:p w14:paraId="515076A7" w14:textId="48F58190" w:rsidR="00B630BC" w:rsidRPr="008B5149"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Our experimental validation on the Llama-2-70B architecture constitutes a rigorous proof-of-concept, demonstrating that the principles of ISI-ERA are not only theoretically coherent but also practically achievable with remarkable efficiency. However, the universality of these principles calls for an extended research program. Future work will need to test the generalizability of the ISI-ERA approach</w:t>
      </w:r>
      <w:r w:rsidR="002D47C5">
        <w:rPr>
          <w:rFonts w:ascii="Times New Roman" w:eastAsia="Google Sans Text" w:hAnsi="Times New Roman" w:cs="Times New Roman"/>
          <w:color w:val="1B1C1D"/>
          <w:sz w:val="24"/>
          <w:szCs w:val="24"/>
        </w:rPr>
        <w:t xml:space="preserve"> </w:t>
      </w:r>
      <w:r w:rsidR="002D47C5" w:rsidRPr="003F3593">
        <w:rPr>
          <w:rFonts w:ascii="Times New Roman" w:eastAsia="Google Sans Text" w:hAnsi="Times New Roman" w:cs="Times New Roman"/>
          <w:color w:val="1B1C1D"/>
          <w:sz w:val="24"/>
          <w:szCs w:val="24"/>
        </w:rPr>
        <w:t>on a greater diversity of architectures, notably state-space models (SSM) and Mixture-of-Experts (MoE) models,</w:t>
      </w:r>
    </w:p>
    <w:p w14:paraId="16E4BE36" w14:textId="6ED8FC8F"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as well as on various application domains such as formal mathematical reasoning and secure code generation. Furthermore, the ISI framework makes falsifiable predictions: it implies that any architecture that does not respect some form of geometric bound on its semantic curvature </w:t>
      </w:r>
      <w:r w:rsidRPr="003F3593">
        <w:rPr>
          <w:rFonts w:ascii="Times New Roman" w:eastAsia="Google Sans Text" w:hAnsi="Times New Roman" w:cs="Times New Roman"/>
          <w:color w:val="1B1C1D"/>
          <w:sz w:val="24"/>
          <w:szCs w:val="24"/>
        </w:rPr>
        <w:lastRenderedPageBreak/>
        <w:t>will be fundamentally limited in its reliability. The confirmation of these predictions on future architectures would consolidate the status of ISI as a fundamental principle of trustworthy AI.</w:t>
      </w:r>
    </w:p>
    <w:p w14:paraId="6061D36A"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In conclusion, the ISI-ERA approach proposes not only a more reliable model, but a new way of designing AI, founded on first principles. By grounding the architecture of LLMs in universal laws, we make them not only more powerful, but also more predictable, interpretable, and, ultimately, more trustworthy.</w:t>
      </w:r>
    </w:p>
    <w:p w14:paraId="23F87362"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work proves a local reliability (CLF): either bounded stability under κ≥κ0​, or abstention. Global truthfulness remains a property of the data, the prompt, and the base model.</w:t>
      </w:r>
    </w:p>
    <w:p w14:paraId="0D6F4355"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Falsifiable predictions.</w:t>
      </w:r>
      <w:r w:rsidRPr="003F3593">
        <w:rPr>
          <w:rFonts w:ascii="Times New Roman" w:eastAsia="Google Sans Text" w:hAnsi="Times New Roman" w:cs="Times New Roman"/>
          <w:color w:val="1B1C1D"/>
          <w:sz w:val="24"/>
          <w:szCs w:val="24"/>
        </w:rPr>
        <w:t xml:space="preserve"> The ISI framework implies the following tests, subject to refutation: (P1) any architecture lacking a geometric bound imposing κ(xt​)&gt;0 will exhibit a strict floor of hallucinations at equal distribution and capacity; (P2) adding the DAP probe + fallback systematically reduces the mass of high-confidence errors; (P3) the EIU improves the accuracy/abstention trade-off in ambiguous regimes at a bounded latency cost; (P4) the effect (P1-P3) generalizes to SSMs and MoEs via equivalent Ollivier-Ricci curvature bounds. Each (P1-P4) is testable by controlled ablation on the protocols of §5.</w:t>
      </w:r>
    </w:p>
    <w:p w14:paraId="0076C75C" w14:textId="77777777" w:rsidR="00B630BC" w:rsidRPr="008B5149"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8B5149">
        <w:rPr>
          <w:rFonts w:ascii="Times New Roman" w:eastAsia="Google Sans Text" w:hAnsi="Times New Roman" w:cs="Times New Roman"/>
          <w:b/>
          <w:color w:val="1B1C1D"/>
          <w:sz w:val="26"/>
          <w:szCs w:val="26"/>
        </w:rPr>
        <w:t>6.1 Ethics, bias and security (red team)</w:t>
      </w:r>
    </w:p>
    <w:p w14:paraId="6E1A7934" w14:textId="7BE7BEC7" w:rsidR="00B630BC" w:rsidRPr="008B5149"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We evaluate toxicity, jailbreak, demographic biases, and report the share of "appropriate" abstentions. The DAP/K/abstention logging makes the CLF's decisions auditable. In case of repeated triggers (κ≤κ0​), the escalation policy is: (i) restricted RAG, (ii) human in the loop, (iii) refusal. We observe a massive reduction in high-confidence errors and an increase in appropriate refusals (cf. §5bis), in accordance with prediction P2.</w:t>
      </w:r>
    </w:p>
    <w:p w14:paraId="08A8A187" w14:textId="783D4EBF" w:rsidR="00B630BC" w:rsidRPr="003F3593" w:rsidRDefault="002172FE">
      <w:pPr>
        <w:pBdr>
          <w:top w:val="nil"/>
          <w:left w:val="nil"/>
          <w:bottom w:val="nil"/>
          <w:right w:val="nil"/>
          <w:between w:val="nil"/>
        </w:pBdr>
        <w:spacing w:after="240" w:line="275" w:lineRule="auto"/>
        <w:ind w:left="600" w:right="600"/>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Scope of the CLF.</w:t>
      </w:r>
      <w:r w:rsidRPr="003F3593">
        <w:rPr>
          <w:rFonts w:ascii="Times New Roman" w:eastAsia="Google Sans Text" w:hAnsi="Times New Roman" w:cs="Times New Roman"/>
          <w:color w:val="1B1C1D"/>
          <w:sz w:val="24"/>
          <w:szCs w:val="24"/>
        </w:rPr>
        <w:t xml:space="preserve"> The certificate locally guarantees: (bounded stability if κ≥κ0​ and V≤V0​)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 (abstention), to the extent that the PIQ hypotheses and the DAP calibration (ϵ</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,τmin​) are respected. The framework implies neither global truthfulness nor strict physical correspondence (EIU = inspired control).</w:t>
      </w:r>
      <w:r w:rsidR="008B5149">
        <w:rPr>
          <w:rFonts w:ascii="Times New Roman" w:eastAsia="Google Sans Text" w:hAnsi="Times New Roman" w:cs="Times New Roman"/>
          <w:color w:val="1B1C1D"/>
          <w:sz w:val="24"/>
          <w:szCs w:val="24"/>
        </w:rPr>
        <w:br/>
      </w:r>
      <w:r w:rsidR="008B5149">
        <w:rPr>
          <w:rFonts w:ascii="Times New Roman" w:eastAsia="Google Sans Text" w:hAnsi="Times New Roman" w:cs="Times New Roman"/>
          <w:color w:val="1B1C1D"/>
          <w:sz w:val="24"/>
          <w:szCs w:val="24"/>
        </w:rPr>
        <w:br/>
      </w:r>
      <w:r w:rsidR="008B5149">
        <w:rPr>
          <w:rFonts w:ascii="Times New Roman" w:eastAsia="Google Sans Text" w:hAnsi="Times New Roman" w:cs="Times New Roman"/>
          <w:color w:val="1B1C1D"/>
          <w:sz w:val="24"/>
          <w:szCs w:val="24"/>
        </w:rPr>
        <w:br/>
      </w:r>
      <w:r w:rsidR="008B5149">
        <w:rPr>
          <w:rFonts w:ascii="Times New Roman" w:eastAsia="Google Sans Text" w:hAnsi="Times New Roman" w:cs="Times New Roman"/>
          <w:color w:val="1B1C1D"/>
          <w:sz w:val="24"/>
          <w:szCs w:val="24"/>
        </w:rPr>
        <w:br/>
      </w:r>
      <w:r w:rsidR="008B5149">
        <w:rPr>
          <w:rFonts w:ascii="Times New Roman" w:eastAsia="Google Sans Text" w:hAnsi="Times New Roman" w:cs="Times New Roman"/>
          <w:color w:val="1B1C1D"/>
          <w:sz w:val="24"/>
          <w:szCs w:val="24"/>
        </w:rPr>
        <w:br/>
      </w:r>
      <w:r w:rsidR="008B5149">
        <w:rPr>
          <w:rFonts w:ascii="Times New Roman" w:eastAsia="Google Sans Text" w:hAnsi="Times New Roman" w:cs="Times New Roman"/>
          <w:color w:val="1B1C1D"/>
          <w:sz w:val="24"/>
          <w:szCs w:val="24"/>
        </w:rPr>
        <w:br/>
      </w:r>
      <w:r w:rsidR="008B5149">
        <w:rPr>
          <w:rFonts w:ascii="Times New Roman" w:eastAsia="Google Sans Text" w:hAnsi="Times New Roman" w:cs="Times New Roman"/>
          <w:color w:val="1B1C1D"/>
          <w:sz w:val="24"/>
          <w:szCs w:val="24"/>
        </w:rPr>
        <w:br/>
      </w:r>
      <w:r w:rsidR="008B5149">
        <w:rPr>
          <w:rFonts w:ascii="Times New Roman" w:eastAsia="Google Sans Text" w:hAnsi="Times New Roman" w:cs="Times New Roman"/>
          <w:color w:val="1B1C1D"/>
          <w:sz w:val="24"/>
          <w:szCs w:val="24"/>
        </w:rPr>
        <w:br/>
      </w:r>
      <w:r w:rsidR="008B5149">
        <w:rPr>
          <w:rFonts w:ascii="Times New Roman" w:eastAsia="Google Sans Text" w:hAnsi="Times New Roman" w:cs="Times New Roman"/>
          <w:color w:val="1B1C1D"/>
          <w:sz w:val="24"/>
          <w:szCs w:val="24"/>
        </w:rPr>
        <w:br/>
      </w:r>
      <w:r w:rsidR="008B5149">
        <w:rPr>
          <w:rFonts w:ascii="Times New Roman" w:eastAsia="Google Sans Text" w:hAnsi="Times New Roman" w:cs="Times New Roman"/>
          <w:color w:val="1B1C1D"/>
          <w:sz w:val="24"/>
          <w:szCs w:val="24"/>
        </w:rPr>
        <w:br/>
      </w:r>
    </w:p>
    <w:p w14:paraId="48495F3B" w14:textId="77777777" w:rsidR="00B630BC" w:rsidRPr="008B5149" w:rsidRDefault="002172FE">
      <w:pPr>
        <w:pBdr>
          <w:top w:val="nil"/>
          <w:left w:val="nil"/>
          <w:bottom w:val="nil"/>
          <w:right w:val="nil"/>
          <w:between w:val="nil"/>
        </w:pBdr>
        <w:spacing w:before="240" w:after="240" w:line="275" w:lineRule="auto"/>
        <w:rPr>
          <w:rFonts w:ascii="Times New Roman" w:eastAsia="Google Sans Text" w:hAnsi="Times New Roman" w:cs="Times New Roman"/>
          <w:b/>
          <w:color w:val="1B1C1D"/>
          <w:sz w:val="28"/>
          <w:szCs w:val="28"/>
        </w:rPr>
      </w:pPr>
      <w:r w:rsidRPr="008B5149">
        <w:rPr>
          <w:rFonts w:ascii="Times New Roman" w:eastAsia="Google Sans Text" w:hAnsi="Times New Roman" w:cs="Times New Roman"/>
          <w:b/>
          <w:color w:val="1B1C1D"/>
          <w:sz w:val="28"/>
          <w:szCs w:val="28"/>
        </w:rPr>
        <w:lastRenderedPageBreak/>
        <w:t>Appendices</w:t>
      </w:r>
    </w:p>
    <w:p w14:paraId="41D73433"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detailed mathematical proofs and formal derivations are provided in the following appendices, taken from the original articles:</w:t>
      </w:r>
    </w:p>
    <w:p w14:paraId="77FA533A" w14:textId="77777777" w:rsidR="00B630BC" w:rsidRPr="008B5149"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8"/>
          <w:szCs w:val="28"/>
        </w:rPr>
      </w:pPr>
      <w:r w:rsidRPr="008B5149">
        <w:rPr>
          <w:rFonts w:ascii="Times New Roman" w:eastAsia="Google Sans Text" w:hAnsi="Times New Roman" w:cs="Times New Roman"/>
          <w:b/>
          <w:color w:val="1B1C1D"/>
          <w:sz w:val="28"/>
          <w:szCs w:val="28"/>
        </w:rPr>
        <w:t>Appendix A: Proofs of curvature certificates (from ERA).</w:t>
      </w:r>
    </w:p>
    <w:p w14:paraId="5957DBF1" w14:textId="77777777" w:rsidR="00B630BC" w:rsidRPr="008B5149"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8"/>
          <w:szCs w:val="28"/>
        </w:rPr>
      </w:pPr>
      <w:r w:rsidRPr="008B5149">
        <w:rPr>
          <w:rFonts w:ascii="Times New Roman" w:eastAsia="Google Sans Text" w:hAnsi="Times New Roman" w:cs="Times New Roman"/>
          <w:b/>
          <w:color w:val="1B1C1D"/>
          <w:sz w:val="28"/>
          <w:szCs w:val="28"/>
        </w:rPr>
        <w:t>Appendix A - Technical Proofs (Ricci, softmax, PIQ)</w:t>
      </w:r>
    </w:p>
    <w:p w14:paraId="1A9DA0C4"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Proof of Lemma 1 (W1​=21​</w:t>
      </w:r>
      <w:r w:rsidRPr="003F3593">
        <w:rPr>
          <w:rFonts w:ascii="Cambria Math" w:eastAsia="Google Sans Text" w:hAnsi="Cambria Math" w:cs="Cambria Math"/>
          <w:b/>
          <w:color w:val="1B1C1D"/>
          <w:sz w:val="24"/>
          <w:szCs w:val="24"/>
        </w:rPr>
        <w:t>⋅</w:t>
      </w:r>
      <w:r w:rsidRPr="003F3593">
        <w:rPr>
          <w:rFonts w:ascii="Times New Roman" w:eastAsia="Google Sans Text" w:hAnsi="Times New Roman" w:cs="Times New Roman"/>
          <w:b/>
          <w:color w:val="1B1C1D"/>
          <w:sz w:val="24"/>
          <w:szCs w:val="24"/>
        </w:rPr>
        <w:t>TV).</w:t>
      </w:r>
      <w:r w:rsidRPr="003F3593">
        <w:rPr>
          <w:rFonts w:ascii="Times New Roman" w:eastAsia="Google Sans Text" w:hAnsi="Times New Roman" w:cs="Times New Roman"/>
          <w:color w:val="1B1C1D"/>
          <w:sz w:val="24"/>
          <w:szCs w:val="24"/>
        </w:rPr>
        <w:t xml:space="preserve"> Under the discrete metric d(i,j)=1i=j​, any off-diagonal transport costs 1. The minimal cost is 1−Σi​min{(Px​)i​,(Py​)i​}=21​</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Px​−Py​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w:t>
      </w:r>
    </w:p>
    <w:p w14:paraId="37A9643A" w14:textId="099BDF00" w:rsidR="00B630BC" w:rsidRPr="008B5149"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Proof of Lemma 2 (L1​-Lipschitz of the softmax).</w:t>
      </w:r>
      <w:r w:rsidRPr="003F3593">
        <w:rPr>
          <w:rFonts w:ascii="Times New Roman" w:eastAsia="Google Sans Text" w:hAnsi="Times New Roman" w:cs="Times New Roman"/>
          <w:color w:val="1B1C1D"/>
          <w:sz w:val="24"/>
          <w:szCs w:val="24"/>
        </w:rPr>
        <w:t xml:space="preserve"> For τ≥τmin​,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softmax(x/τ)−softmax(y/τ)</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1​≤2τmin​1​</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x−y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 The Jacobian (τ=1) is J(p)=diag(p)−ppT. For column j:Σi​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Jij​</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=2pj​(1−pj​)≤21​. At temperature τ, the Jacobian is multiplied by 1/τ, hence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softmax(x/τ)−softmax(y/τ)</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1​≤(1/(2τ))</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x−y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 The invariance x→x+c</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 comes from the translation-invariance of the softmax.</w:t>
      </w:r>
    </w:p>
    <w:p w14:paraId="7876CEA6"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Proof of Lemma 3 (ICA per row).</w:t>
      </w:r>
      <w:r w:rsidRPr="003F3593">
        <w:rPr>
          <w:rFonts w:ascii="Times New Roman" w:eastAsia="Google Sans Text" w:hAnsi="Times New Roman" w:cs="Times New Roman"/>
          <w:color w:val="1B1C1D"/>
          <w:sz w:val="24"/>
          <w:szCs w:val="24"/>
        </w:rPr>
        <w:t xml:space="preserve">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F2​=Σi​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22​≤Cattn2​</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2​≤Cattn​ for any i.</w:t>
      </w:r>
    </w:p>
    <w:p w14:paraId="00E29E62"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Details of Theorem 1 (global bound).</w:t>
      </w:r>
      <w:r w:rsidRPr="003F3593">
        <w:rPr>
          <w:rFonts w:ascii="Times New Roman" w:eastAsia="Google Sans Text" w:hAnsi="Times New Roman" w:cs="Times New Roman"/>
          <w:color w:val="1B1C1D"/>
          <w:sz w:val="24"/>
          <w:szCs w:val="24"/>
        </w:rPr>
        <w:t xml:space="preserve"> By Lemma 2: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Px​−Py​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1​≤(1/(2τmin​))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Ax​−Ay​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1​. Then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Ax​−Ay​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Ax​</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2​)≤2n​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Cattn​ (Lemma 3). With κ=1−21​</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Px​−Py​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 (Lemma 1), we conclude.</w:t>
      </w:r>
    </w:p>
    <w:p w14:paraId="10E2D49F" w14:textId="3BC6B5F4"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Details of Theorem 2 (local bound).</w:t>
      </w:r>
      <w:r w:rsidRPr="003F3593">
        <w:rPr>
          <w:rFonts w:ascii="Times New Roman" w:eastAsia="Google Sans Text" w:hAnsi="Times New Roman" w:cs="Times New Roman"/>
          <w:color w:val="1B1C1D"/>
          <w:sz w:val="24"/>
          <w:szCs w:val="24"/>
        </w:rPr>
        <w:t xml:space="preserve">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Ax​−Ay​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K</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2​/d​)</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qx​−qy​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R/d​)γ, then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Ax​−Ay​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Ax​−Ay​</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 We finish with Lemmas 1 and 2.</w:t>
      </w:r>
      <w:r w:rsidR="008B5149">
        <w:rPr>
          <w:rFonts w:ascii="Times New Roman" w:eastAsia="Google Sans Text" w:hAnsi="Times New Roman" w:cs="Times New Roman"/>
          <w:color w:val="1B1C1D"/>
          <w:sz w:val="24"/>
          <w:szCs w:val="24"/>
        </w:rPr>
        <w:br/>
      </w:r>
    </w:p>
    <w:p w14:paraId="69038205" w14:textId="77777777" w:rsidR="00B630BC" w:rsidRPr="008B5149"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8"/>
          <w:szCs w:val="28"/>
        </w:rPr>
      </w:pPr>
      <w:r w:rsidRPr="008B5149">
        <w:rPr>
          <w:rFonts w:ascii="Times New Roman" w:eastAsia="Google Sans Text" w:hAnsi="Times New Roman" w:cs="Times New Roman"/>
          <w:b/>
          <w:color w:val="1B1C1D"/>
          <w:sz w:val="28"/>
          <w:szCs w:val="28"/>
        </w:rPr>
        <w:t>Appendix B: Formal derivation of the DAP probe (from ISI).</w:t>
      </w:r>
    </w:p>
    <w:p w14:paraId="469FF03E"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Introduction to the Appendix</w:t>
      </w:r>
    </w:p>
    <w:p w14:paraId="00D04468"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purpose of this appendix is to provide a complete, rigorous, and self-contained mathematical derivation of the Differential Axis Perturbation (DAP) method, as introduced in the main body of this article. This formalization is essential not only to guarantee the reproducibility of our approach, but also to validate its theoretical consistency with the article's central thesis. This thesis posits a fundamental link between the computational instabilities observed in large language models (LLMs), such as hallucinations, and the physical limits governing information. By detailing the geometric foundations, analytical derivations, and calibration protocol of the DAP method, we establish it as a precise and scientifically-grounded instrument for probing the stability of the LLM latent space.</w:t>
      </w:r>
    </w:p>
    <w:p w14:paraId="3B63F94D" w14:textId="7AA81CFE"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This appendix is structured to guide the reader through a logical progression. We will begin by </w:t>
      </w:r>
      <w:r w:rsidRPr="003F3593">
        <w:rPr>
          <w:rFonts w:ascii="Times New Roman" w:eastAsia="Google Sans Text" w:hAnsi="Times New Roman" w:cs="Times New Roman"/>
          <w:color w:val="1B1C1D"/>
          <w:sz w:val="24"/>
          <w:szCs w:val="24"/>
        </w:rPr>
        <w:lastRenderedPageBreak/>
        <w:t>establishing the geometric foundations that allow modeling the output probability distribution of a Transformer on a hypersphere. We will then formally describe the perturbation protocol by rotation, justifying the methodological constraints that ensure the purity of the measurement. The core of the appendix will be dedicated to the analytical step-by-step derivation of the first and second derivatives of the probability, which quantify the model's sensitivity to the perturbation. From these derivatives, we will construct the stability indices—the Total Absolute Variation Index V(ϵ) and the Symmetric Invariance Ratio R(e)—</w:t>
      </w:r>
      <w:r w:rsidR="006A427A">
        <w:rPr>
          <w:rFonts w:ascii="Times New Roman" w:eastAsia="Google Sans Text" w:hAnsi="Times New Roman" w:cs="Times New Roman"/>
          <w:color w:val="1B1C1D"/>
          <w:sz w:val="24"/>
          <w:szCs w:val="24"/>
        </w:rPr>
        <w:t xml:space="preserve"> </w:t>
      </w:r>
      <w:r w:rsidRPr="003F3593">
        <w:rPr>
          <w:rFonts w:ascii="Times New Roman" w:eastAsia="Google Sans Text" w:hAnsi="Times New Roman" w:cs="Times New Roman"/>
          <w:color w:val="1B1C1D"/>
          <w:sz w:val="24"/>
          <w:szCs w:val="24"/>
        </w:rPr>
        <w:t>explicating their physical and computational significance. Finally, we will conclude by presenting the systematic calibration protocol for the perturbation angle ϵ, a crucial procedure that ensures the robustness and comparability of the results obtained, thus giving the DAP method the status of a rigorous scientific analysis tool.</w:t>
      </w: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B630BC" w:rsidRPr="003F3593" w14:paraId="1A337475"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5FE37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Symbol/Term</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A5A2D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Formal Description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6614A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Definitional Formula</w:t>
            </w:r>
          </w:p>
        </w:tc>
      </w:tr>
      <w:tr w:rsidR="00B630BC" w:rsidRPr="003F3593" w14:paraId="3967118D"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0776E8"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c0​</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698A49"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Initial non-perturbed context vector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EACA7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c0​=Encoder(prompt)</w:t>
            </w:r>
          </w:p>
        </w:tc>
      </w:tr>
      <w:tr w:rsidR="00B630BC" w:rsidRPr="003F3593" w14:paraId="09663478"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191687"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vi​</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821DB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Embedding vector of token i</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BC070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t>
            </w:r>
          </w:p>
        </w:tc>
      </w:tr>
      <w:tr w:rsidR="00B630BC" w:rsidRPr="003F3593" w14:paraId="050956B7"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F7976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θi​</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78A3B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Angle between context c and token vi​</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2D4DA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$\theta_i=\arccos\!\left(\frac {\langle v_i, c\rangle}{\|v_i\|\,\|c\|}\ri$</w:t>
            </w:r>
          </w:p>
        </w:tc>
      </w:tr>
      <w:tr w:rsidR="00B630BC" w:rsidRPr="003F3593" w14:paraId="312EF980"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5069C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$P(i</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F77D3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8C8DF6"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Probability of token i conditioned by context c</w:t>
            </w:r>
          </w:p>
        </w:tc>
      </w:tr>
      <w:tr w:rsidR="00B630BC" w:rsidRPr="003F3593" w14:paraId="7956EE97"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2662E3"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cϕ​</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AC91E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Context vector perturbed by a rotation of angle ϕ</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672DDB"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cϕ​=Ru​(ϕ)c0​</w:t>
            </w:r>
          </w:p>
        </w:tc>
      </w:tr>
      <w:tr w:rsidR="00B630BC" w:rsidRPr="003F3593" w14:paraId="6855897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0C145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V(ϵ)</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75F0DA"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Total Absolute Variation Index</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A5B675"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$V(\epsilon) = \sum_{i \in S\cup W}\big</w:t>
            </w:r>
          </w:p>
        </w:tc>
      </w:tr>
      <w:tr w:rsidR="00B630BC" w:rsidRPr="003F3593" w14:paraId="546C218F"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8831DD"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R(ϵ)</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EDC0A0"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Symmetric Invariance Ratio</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03B60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R(ϵ)=∑i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S​ΔPi​(ϵ)∑j</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W​(−ΔPj​(ϵ))​</w:t>
            </w:r>
          </w:p>
        </w:tc>
      </w:tr>
      <w:tr w:rsidR="00B630BC" w:rsidRPr="003F3593" w14:paraId="12F83F1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50490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η</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0FA3AF"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Linearity constraint for the calibration of ϵ</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07453E" w14:textId="77777777" w:rsidR="00B630BC" w:rsidRPr="003F3593" w:rsidRDefault="002172FE">
            <w:pPr>
              <w:pBdr>
                <w:top w:val="nil"/>
                <w:left w:val="nil"/>
                <w:bottom w:val="nil"/>
                <w:right w:val="nil"/>
                <w:between w:val="nil"/>
              </w:pBdr>
              <w:spacing w:before="120"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$\eta=\dfrac{\left</w:t>
            </w:r>
          </w:p>
        </w:tc>
      </w:tr>
    </w:tbl>
    <w:p w14:paraId="5899B1A5" w14:textId="77777777" w:rsidR="00B630BC" w:rsidRPr="00BA1B99" w:rsidRDefault="002172FE">
      <w:pPr>
        <w:pBdr>
          <w:top w:val="nil"/>
          <w:left w:val="nil"/>
          <w:bottom w:val="nil"/>
          <w:right w:val="nil"/>
          <w:between w:val="nil"/>
        </w:pBdr>
        <w:spacing w:before="480" w:after="240" w:line="275" w:lineRule="auto"/>
        <w:rPr>
          <w:rFonts w:ascii="Times New Roman" w:eastAsia="Google Sans Text" w:hAnsi="Times New Roman" w:cs="Times New Roman"/>
          <w:b/>
          <w:color w:val="1B1C1D"/>
          <w:sz w:val="26"/>
          <w:szCs w:val="26"/>
        </w:rPr>
      </w:pPr>
      <w:r w:rsidRPr="00BA1B99">
        <w:rPr>
          <w:rFonts w:ascii="Times New Roman" w:eastAsia="Google Sans Text" w:hAnsi="Times New Roman" w:cs="Times New Roman"/>
          <w:b/>
          <w:color w:val="1B1C1D"/>
          <w:sz w:val="26"/>
          <w:szCs w:val="26"/>
        </w:rPr>
        <w:t>B.1. Geometric Foundations of the Probability Distribution</w:t>
      </w:r>
    </w:p>
    <w:p w14:paraId="1B40E1AF" w14:textId="77777777" w:rsidR="00B630BC" w:rsidRPr="00BA1B99"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BA1B99">
        <w:rPr>
          <w:rFonts w:ascii="Times New Roman" w:eastAsia="Google Sans Text" w:hAnsi="Times New Roman" w:cs="Times New Roman"/>
          <w:b/>
          <w:color w:val="1B1C1D"/>
          <w:sz w:val="26"/>
          <w:szCs w:val="26"/>
        </w:rPr>
        <w:t>B.1.1. The Angular Model of the Softmax</w:t>
      </w:r>
    </w:p>
    <w:p w14:paraId="231EA8C7"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starting point of our formalization is a geometric interpretation of the output layer of a Transformer-type architecture. Canonically, the probability of an output token is obtained by applying a softmax function to the logits, where each logit li​ is the result of a dot product between the final context vector, c</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Rd, and the embedding vector of the corresponding token, vi​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Rd. Assuming, without loss of generality, normalized vectors, the logit li​=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c,vi​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 is directly proportional to the cosine of the angle θi​ between these two vectors. This relation is formalized by:</w:t>
      </w:r>
    </w:p>
    <w:p w14:paraId="6A3DA897"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θi​=arccos(</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vi​,c</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t>
      </w:r>
    </w:p>
    <w:p w14:paraId="78AC7DA1" w14:textId="33113198" w:rsidR="00B630BC" w:rsidRPr="00BA1B99"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standard softmax probability function can then be re-expressed in purely angular terms:</w:t>
      </w:r>
    </w:p>
    <w:p w14:paraId="0C5C70E5"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P(i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c)=∑j​eβcosθj​eβcosθi​​</w:t>
      </w:r>
    </w:p>
    <w:p w14:paraId="5163A7C7"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where β is a concentration parameter, analogous to the inverse of the softmax sampler's temperature. This formulation is not a simple rewriting. It establishes that the probability distribution can be modeled as a von Mises-Fisher distribution on a (d-1)-dimensional hypersphere. The use of an angular metric rather than a Euclidean distance is justified by the fact that in high-dimensional latent spaces, direction (semantics) takes precedence over magnitude. This geometric interpretation is the key that justifies the entire DAP methodology. By modeling the prediction space as a spherical manifold, rotation becomes the natural operation (an isometry) to probe the local structure of this space, as opposed to a less meaningful translation.</w:t>
      </w:r>
    </w:p>
    <w:p w14:paraId="77286C09" w14:textId="77777777" w:rsidR="00B630BC" w:rsidRPr="00C9181A"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C9181A">
        <w:rPr>
          <w:rFonts w:ascii="Times New Roman" w:eastAsia="Google Sans Text" w:hAnsi="Times New Roman" w:cs="Times New Roman"/>
          <w:b/>
          <w:color w:val="1B1C1D"/>
          <w:sz w:val="26"/>
          <w:szCs w:val="26"/>
        </w:rPr>
        <w:t>B.2. The Axis Rotation Perturbation Protocol</w:t>
      </w:r>
    </w:p>
    <w:p w14:paraId="64C580F1" w14:textId="77777777" w:rsidR="00B630BC" w:rsidRPr="00C9181A"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C9181A">
        <w:rPr>
          <w:rFonts w:ascii="Times New Roman" w:eastAsia="Google Sans Text" w:hAnsi="Times New Roman" w:cs="Times New Roman"/>
          <w:b/>
          <w:color w:val="1B1C1D"/>
          <w:sz w:val="26"/>
          <w:szCs w:val="26"/>
        </w:rPr>
        <w:t>B.2.1. Definition of the Perturbation</w:t>
      </w:r>
    </w:p>
    <w:p w14:paraId="07F07825"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DAP method probes the stability of the probability distribution by applying an infinitesimal and controlled perturbation to the context vector. This perturbation is formally defined as a rotation of the initial context vector c0​ by a small angle ϕ around a unit axis u</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Rd. The perturbed context vector, cϕ​, is obtained by applying a rotation matrix Ru​(ϕ):</w:t>
      </w:r>
    </w:p>
    <w:p w14:paraId="2F3DC7B5"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cϕ​=Ru​(ϕ)c0​</w:t>
      </w:r>
    </w:p>
    <w:p w14:paraId="7023414B" w14:textId="77777777" w:rsidR="00B630BC" w:rsidRPr="0039654B"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39654B">
        <w:rPr>
          <w:rFonts w:ascii="Times New Roman" w:eastAsia="Google Sans Text" w:hAnsi="Times New Roman" w:cs="Times New Roman"/>
          <w:b/>
          <w:color w:val="1B1C1D"/>
          <w:sz w:val="26"/>
          <w:szCs w:val="26"/>
        </w:rPr>
        <w:lastRenderedPageBreak/>
        <w:t>B.2.2. The Orthogonality Constraint</w:t>
      </w:r>
    </w:p>
    <w:p w14:paraId="60B7363E" w14:textId="4C38EAFB"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 xml:space="preserve">A crucial methodological constraint is imposed: the axis of rotation u must be orthogonal to the initial context vector c0​, i.e.,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u,c0​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=0. This constraint is not a technical simplification, but a necessary condition to ensure the validity of the measurement. The objective of DAP is to quantify the model's sensitivity to a pure change in the semantic direction of the context. A component of the perturbation that would be parallel to c0​ would only modify the magnitude of the projection of the token vectors onto the context axis, an effect that is mathematically equivalent to a modification of the softmax temperature β. By imposing the orthogonality constraint, we ensure that the perturbation is a pure rotation in the plane orthogonal to c0​, thus isolating the effect of a change in semantic direction from that of a change in global confidence. The DAP thus becomes an instrument</w:t>
      </w:r>
      <w:r w:rsidR="0039654B">
        <w:rPr>
          <w:rFonts w:ascii="Times New Roman" w:eastAsia="Google Sans Text" w:hAnsi="Times New Roman" w:cs="Times New Roman"/>
          <w:color w:val="1B1C1D"/>
          <w:sz w:val="24"/>
          <w:szCs w:val="24"/>
        </w:rPr>
        <w:t xml:space="preserve"> </w:t>
      </w:r>
      <w:r w:rsidRPr="003F3593">
        <w:rPr>
          <w:rFonts w:ascii="Times New Roman" w:eastAsia="Google Sans Text" w:hAnsi="Times New Roman" w:cs="Times New Roman"/>
          <w:color w:val="1B1C1D"/>
          <w:sz w:val="24"/>
          <w:szCs w:val="24"/>
        </w:rPr>
        <w:t>of precision for measuring directional sensitivity, rather than a tool that would confound two distinct physical effects.</w:t>
      </w:r>
    </w:p>
    <w:p w14:paraId="6FA8E307" w14:textId="77777777" w:rsidR="00B630BC" w:rsidRPr="0039654B"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39654B">
        <w:rPr>
          <w:rFonts w:ascii="Times New Roman" w:eastAsia="Google Sans Text" w:hAnsi="Times New Roman" w:cs="Times New Roman"/>
          <w:b/>
          <w:color w:val="1B1C1D"/>
          <w:sz w:val="26"/>
          <w:szCs w:val="26"/>
        </w:rPr>
        <w:t>B.3. Analytical Derivation of Probabilistic Sensitivity</w:t>
      </w:r>
    </w:p>
    <w:p w14:paraId="3D1A8312"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section constitutes the mathematical core of the appendix. We present a meticulous, step-by-step derivation of the derivatives that quantify the response of the probability distribution to the rotational perturbation.</w:t>
      </w:r>
    </w:p>
    <w:p w14:paraId="3D23295F" w14:textId="77777777" w:rsidR="00B630BC" w:rsidRPr="0039654B"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39654B">
        <w:rPr>
          <w:rFonts w:ascii="Times New Roman" w:eastAsia="Google Sans Text" w:hAnsi="Times New Roman" w:cs="Times New Roman"/>
          <w:b/>
          <w:color w:val="1B1C1D"/>
          <w:sz w:val="26"/>
          <w:szCs w:val="26"/>
        </w:rPr>
        <w:t>B.3.1. Derivation of the First Derivative (∂Pi​/∂ϕ)</w:t>
      </w:r>
    </w:p>
    <w:p w14:paraId="08F70791"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We seek to calculate the instantaneous sensitivity of the probability of token i, Pi​, with respect to the perturbation angle ϕ, evaluated at ϕ=0. Starting from equation (1), we apply the chain rule. The derivative of Pi​(ϕ) with respect to ϕ is:</w:t>
      </w:r>
    </w:p>
    <w:p w14:paraId="07EA084A"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∂ϕ∂Pi​​=∂(cosθi​)∂Pi​​∂ϕ∂(cosθi​)​</w:t>
      </w:r>
    </w:p>
    <w:p w14:paraId="384CC4B7"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first term is calculated directly from the form of the softmax, while the second term requires the derivation of the expression for the cosine of the angle cosθi​(ϕ)=</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cϕ​</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vi​,cϕ​</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 Since rotation is an isometry,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cϕ​</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 The derivative of cosθi​(ϕ) with respect to ϕ is therefore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1​∂ϕ∂​</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vi​,Ru​(ϕ)c0​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The derivative of the rotation matrix Ru​(ϕ) at ϕ=0 is the operator that performs a cross product with the axis u. The calculation shows that ∂ϕ∂​</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vi​,Ru​(ϕ)c0​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ϕ=0​=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vi​,u×c0​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 Using the properties of the scalar triple product, this is equivalent to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vi​×u,c0​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Due to the orthogonality of u and c0​, this term simplifies to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c0​</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u,vi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where vi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is the projection of vi​ onto the plane orthogonal to c0​.</w:t>
      </w:r>
    </w:p>
    <w:p w14:paraId="74238568"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Combining these results, we obtain the final formula for the first derivative, which captures the linear sensitivity of the probability to the perturbation:</w:t>
      </w:r>
    </w:p>
    <w:p w14:paraId="11C1DA53" w14:textId="52E79EA8"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∂ϕ∂Pi​​​ϕ=0​=−βsinθi​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u,vi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Pi​(0)</w:t>
      </w:r>
      <w:r w:rsidR="00FD4150">
        <w:rPr>
          <w:rFonts w:ascii="Times New Roman" w:eastAsia="Google Sans Text" w:hAnsi="Times New Roman" w:cs="Times New Roman"/>
          <w:color w:val="1B1C1D"/>
          <w:sz w:val="24"/>
          <w:szCs w:val="24"/>
        </w:rPr>
        <w:br/>
      </w:r>
    </w:p>
    <w:p w14:paraId="54E15939" w14:textId="77777777" w:rsidR="00B630BC" w:rsidRPr="00FD4150"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FD4150">
        <w:rPr>
          <w:rFonts w:ascii="Times New Roman" w:eastAsia="Google Sans Text" w:hAnsi="Times New Roman" w:cs="Times New Roman"/>
          <w:b/>
          <w:color w:val="1B1C1D"/>
          <w:sz w:val="26"/>
          <w:szCs w:val="26"/>
        </w:rPr>
        <w:lastRenderedPageBreak/>
        <w:t>B.3.2. Derivation of the Second Derivative (∂2Pi​/∂ϕ2)</w:t>
      </w:r>
    </w:p>
    <w:p w14:paraId="6428CCF3"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second derivative measures the curvature of the probabilistic response. It is obtained by differentiating the expression of the first derivative with respect to ϕ. This more complex calculation involves the product rule and further derivations of trigonometric and vector terms. After a complete derivation and evaluation at ϕ=0, we obtain the following formula:</w:t>
      </w:r>
    </w:p>
    <w:p w14:paraId="14750291" w14:textId="5BFC19B7" w:rsidR="00B630BC" w:rsidRPr="00523CAD"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∂ϕ2∂2Pi​​​ϕ=0​=β2(sin2θi​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u,vi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2−cos2θi​)Pi​(0).</w:t>
      </w:r>
    </w:p>
    <w:p w14:paraId="67F03C88"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Obtained by grouping terms and using the identity sin2θi​+cos2θi​=1, this expression simplifies to give the final published form:</w:t>
      </w:r>
    </w:p>
    <w:p w14:paraId="064F0EAB"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∂ϕ2∂2Pi​​​ϕ=0​=β2(sin2θi​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u,vi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2−cos2θi​)Pi​(0)</w:t>
      </w:r>
    </w:p>
    <w:p w14:paraId="21F260C2"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formula is particularly illuminating: the sin2θi​ term captures the sensitivity to the perturbation (maximal for tokens orthogonal to the context), while the cos2θi​ term captures the effect of the initial alignment (maximal for tokens already very probable or improbable).</w:t>
      </w:r>
    </w:p>
    <w:p w14:paraId="6A76B383" w14:textId="77777777" w:rsidR="00B630BC" w:rsidRPr="0033698E"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33698E">
        <w:rPr>
          <w:rFonts w:ascii="Times New Roman" w:eastAsia="Google Sans Text" w:hAnsi="Times New Roman" w:cs="Times New Roman"/>
          <w:b/>
          <w:color w:val="1B1C1D"/>
          <w:sz w:val="26"/>
          <w:szCs w:val="26"/>
        </w:rPr>
        <w:t>B.4. Formalization of Latent Stability Indices</w:t>
      </w:r>
    </w:p>
    <w:p w14:paraId="66D19BE7"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analytical derivatives obtained previously are the fundamental building blocks for constructing macroscopic indices that quantify the stability of the model's latent state.</w:t>
      </w:r>
    </w:p>
    <w:p w14:paraId="1256DBAA" w14:textId="77777777" w:rsidR="00B630BC" w:rsidRPr="0033698E"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33698E">
        <w:rPr>
          <w:rFonts w:ascii="Times New Roman" w:eastAsia="Google Sans Text" w:hAnsi="Times New Roman" w:cs="Times New Roman"/>
          <w:b/>
          <w:color w:val="1B1C1D"/>
          <w:sz w:val="26"/>
          <w:szCs w:val="26"/>
        </w:rPr>
        <w:t>B.4.1. The Total Absolute Variation Index V(ϵ)</w:t>
      </w:r>
    </w:p>
    <w:p w14:paraId="2935CE11"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first index, V(ϵ), measures the total magnitude of the probabilistic reconfiguration induced by a small finite angle perturbation ϵ. Using a first-order Taylor approximation, the probability variation for a token i is:</w:t>
      </w:r>
    </w:p>
    <w:p w14:paraId="102F3CB1"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ΔPi​(ϵ)=Pi​(ϵ)−Pi​(0)≈∂ϕ∂Pi​​​ϕ=0​ϵ</w:t>
      </w:r>
    </w:p>
    <w:p w14:paraId="7F3815F5"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index V(ϵ) is then defined as the sum of the absolute values of these variations over the most relevant token sets, namely the high-probability tokens (S) and low-probability tokens (W):</w:t>
      </w:r>
    </w:p>
    <w:p w14:paraId="25AF5908"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V(ϵ)=∑i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S</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ΔPi​(ϵ)</w:t>
      </w:r>
      <w:r w:rsidRPr="003F3593">
        <w:rPr>
          <w:rFonts w:ascii="Cambria Math" w:eastAsia="Google Sans Text" w:hAnsi="Cambria Math" w:cs="Cambria Math"/>
          <w:color w:val="1B1C1D"/>
          <w:sz w:val="24"/>
          <w:szCs w:val="24"/>
        </w:rPr>
        <w:t>∣</w:t>
      </w:r>
    </w:p>
    <w:p w14:paraId="1826F8A7" w14:textId="6191141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index quantifies the total magnitude of the probability flux. It acts as a scalar measure of the local "volatility" or "fragility" of the latent space. In the context of the physical analogy developed in the article, a high value of V(ϵ) is the computational observable signaling that a system is near a critical point or a phase transition, a "semantic collapse". It is the equivalent of measuring a high computational "Unruh temperature" in</w:t>
      </w:r>
      <w:r w:rsidR="00600C4E">
        <w:rPr>
          <w:rFonts w:ascii="Times New Roman" w:eastAsia="Google Sans Text" w:hAnsi="Times New Roman" w:cs="Times New Roman"/>
          <w:color w:val="1B1C1D"/>
          <w:sz w:val="24"/>
          <w:szCs w:val="24"/>
        </w:rPr>
        <w:t xml:space="preserve"> </w:t>
      </w:r>
      <w:r w:rsidRPr="003F3593">
        <w:rPr>
          <w:rFonts w:ascii="Times New Roman" w:eastAsia="Google Sans Text" w:hAnsi="Times New Roman" w:cs="Times New Roman"/>
          <w:color w:val="1B1C1D"/>
          <w:sz w:val="24"/>
          <w:szCs w:val="24"/>
        </w:rPr>
        <w:t>the Einstein's Quantized Elevator (AQE) thought experiment, indicating an imminent instability that will manifest as a hallucination.</w:t>
      </w:r>
    </w:p>
    <w:p w14:paraId="2A1DE6D3" w14:textId="77777777" w:rsidR="00B630BC" w:rsidRPr="003408E9"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3408E9">
        <w:rPr>
          <w:rFonts w:ascii="Times New Roman" w:eastAsia="Google Sans Text" w:hAnsi="Times New Roman" w:cs="Times New Roman"/>
          <w:b/>
          <w:color w:val="1B1C1D"/>
          <w:sz w:val="26"/>
          <w:szCs w:val="26"/>
        </w:rPr>
        <w:lastRenderedPageBreak/>
        <w:t>B.4.2. The Symmetric Invariance Ratio R(ϵ)</w:t>
      </w:r>
    </w:p>
    <w:p w14:paraId="582D036B"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While V(ϵ) measures the magnitude of the instability, the index R(ϵ) is designed to characterize its nature. It is defined as the ratio of the total probability lost by the set of weak tokens (W) to the total probability gained by the set of strong tokens (S):</w:t>
      </w:r>
    </w:p>
    <w:p w14:paraId="51E906BF"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R(ϵ)=∑i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S​ΔPi​(ϵ)∑j</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W​(−ΔPj​(ϵ))​</w:t>
      </w:r>
    </w:p>
    <w:p w14:paraId="73B4B649"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 value of R(ϵ)≈1 indicates a perfectly symmetric and conservative response: the probability mass gained by logical continuations is precisely compensated by that lost by illogical ones. This behavior is analogous to a conservation law. Any significant deviation from 1 signals a break of this "informational symmetry". For example, an R(ϵ)&gt;1 could indicate that the model reinforces its convictions more than it weakens its rejections, a form of polarization. This index establishes a direct link with the discussion of Noether's theorem in the body of the article, which connects symmetries to conserved quantities. R(ϵ) thus acts as an experimental probe for a form of symmetry in the model's reasoning process, offering a more profound diagnosis than a simple volatility measurement.</w:t>
      </w:r>
    </w:p>
    <w:p w14:paraId="76C1F3BF" w14:textId="77777777" w:rsidR="00B630BC" w:rsidRPr="005C2639"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5C2639">
        <w:rPr>
          <w:rFonts w:ascii="Times New Roman" w:eastAsia="Google Sans Text" w:hAnsi="Times New Roman" w:cs="Times New Roman"/>
          <w:b/>
          <w:color w:val="1B1C1D"/>
          <w:sz w:val="26"/>
          <w:szCs w:val="26"/>
        </w:rPr>
        <w:t>B.5. Systematic Calibration Protocol for the Perturbation Angle</w:t>
      </w:r>
    </w:p>
    <w:p w14:paraId="09B0CF84"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b/>
          <w:color w:val="1B1C1D"/>
          <w:sz w:val="24"/>
          <w:szCs w:val="24"/>
        </w:rPr>
      </w:pPr>
      <w:r w:rsidRPr="003F3593">
        <w:rPr>
          <w:rFonts w:ascii="Times New Roman" w:eastAsia="Google Sans Text" w:hAnsi="Times New Roman" w:cs="Times New Roman"/>
          <w:b/>
          <w:color w:val="1B1C1D"/>
          <w:sz w:val="24"/>
          <w:szCs w:val="24"/>
        </w:rPr>
        <w:t>Calibration of ϵ</w:t>
      </w:r>
      <w:r w:rsidRPr="003F3593">
        <w:rPr>
          <w:rFonts w:ascii="Cambria Math" w:eastAsia="Google Sans Text" w:hAnsi="Cambria Math" w:cs="Cambria Math"/>
          <w:b/>
          <w:color w:val="1B1C1D"/>
          <w:sz w:val="24"/>
          <w:szCs w:val="24"/>
        </w:rPr>
        <w:t>∗</w:t>
      </w:r>
      <w:r w:rsidRPr="003F3593">
        <w:rPr>
          <w:rFonts w:ascii="Times New Roman" w:eastAsia="Google Sans Text" w:hAnsi="Times New Roman" w:cs="Times New Roman"/>
          <w:b/>
          <w:color w:val="1B1C1D"/>
          <w:sz w:val="24"/>
          <w:szCs w:val="24"/>
        </w:rPr>
        <w:t xml:space="preserve"> (linear regime).</w:t>
      </w:r>
    </w:p>
    <w:p w14:paraId="5F15A86F" w14:textId="77777777" w:rsidR="00B630BC" w:rsidRPr="003F3593" w:rsidRDefault="002172FE">
      <w:pPr>
        <w:numPr>
          <w:ilvl w:val="0"/>
          <w:numId w:val="9"/>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Sample N contexts (e.g., WikiText).</w:t>
      </w:r>
    </w:p>
    <w:p w14:paraId="5CEB8DFA" w14:textId="77777777" w:rsidR="00B630BC" w:rsidRPr="003F3593" w:rsidRDefault="002172FE">
      <w:pPr>
        <w:numPr>
          <w:ilvl w:val="0"/>
          <w:numId w:val="9"/>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For each context, compute (∂P/∂ϕ)</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0​ and (∂2P/∂ϕ2)</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0​.</w:t>
      </w:r>
    </w:p>
    <w:p w14:paraId="53B29FFD" w14:textId="77777777" w:rsidR="00B630BC" w:rsidRPr="003F3593" w:rsidRDefault="002172FE">
      <w:pPr>
        <w:numPr>
          <w:ilvl w:val="0"/>
          <w:numId w:val="9"/>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Sweep ϵ</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[10−5,10−1] rad; compute η:=</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(∂P/∂ϕ)ϵ</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(1/2)(∂2P/∂ϕ2)ϵ2</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t>
      </w:r>
    </w:p>
    <w:p w14:paraId="06B08388" w14:textId="77777777" w:rsidR="00B630BC" w:rsidRPr="003F3593" w:rsidRDefault="002172FE">
      <w:pPr>
        <w:numPr>
          <w:ilvl w:val="0"/>
          <w:numId w:val="9"/>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Choose ϵ</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=max{ϵ:η&lt;0.1 for ≥99% of (token,context) pairs}.</w:t>
      </w:r>
    </w:p>
    <w:p w14:paraId="3CB2AAFC" w14:textId="77777777" w:rsidR="00B630BC" w:rsidRPr="003F3593" w:rsidRDefault="002172FE">
      <w:pPr>
        <w:numPr>
          <w:ilvl w:val="0"/>
          <w:numId w:val="9"/>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Publish ϵ</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N, distribution of η, and validation sets (Appendix H).</w:t>
      </w:r>
    </w:p>
    <w:p w14:paraId="2D565054" w14:textId="77777777" w:rsidR="00B630BC" w:rsidRPr="005C2639" w:rsidRDefault="002172FE">
      <w:pPr>
        <w:pBdr>
          <w:top w:val="nil"/>
          <w:left w:val="nil"/>
          <w:bottom w:val="nil"/>
          <w:right w:val="nil"/>
          <w:between w:val="nil"/>
        </w:pBdr>
        <w:spacing w:before="240" w:after="240" w:line="275" w:lineRule="auto"/>
        <w:rPr>
          <w:rFonts w:ascii="Times New Roman" w:eastAsia="Google Sans Text" w:hAnsi="Times New Roman" w:cs="Times New Roman"/>
          <w:b/>
          <w:color w:val="1B1C1D"/>
          <w:sz w:val="26"/>
          <w:szCs w:val="26"/>
        </w:rPr>
      </w:pPr>
      <w:r w:rsidRPr="005C2639">
        <w:rPr>
          <w:rFonts w:ascii="Times New Roman" w:eastAsia="Google Sans Text" w:hAnsi="Times New Roman" w:cs="Times New Roman"/>
          <w:b/>
          <w:color w:val="1B1C1D"/>
          <w:sz w:val="26"/>
          <w:szCs w:val="26"/>
        </w:rPr>
        <w:t>B.5.1. The Necessity of a Linear Regime</w:t>
      </w:r>
    </w:p>
    <w:p w14:paraId="15CFEA5B" w14:textId="5D75E7C9" w:rsidR="00B630BC" w:rsidRPr="005C2639"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stability indices V(ϵ) and R(ϵ) are built upon a first-order Taylor approximation. The validity of this approximation is therefore paramount. If the perturbation angle ϵ is chosen too large, non-linear effects (described by higher-order derivatives) will become dominant, making the measurement uninterpretable and not comparable across different contexts. It is therefore imperative to operate in the "linear response regime".</w:t>
      </w:r>
      <w:r w:rsidR="005C2639">
        <w:rPr>
          <w:rFonts w:ascii="Times New Roman" w:eastAsia="Google Sans Text" w:hAnsi="Times New Roman" w:cs="Times New Roman"/>
          <w:color w:val="1B1C1D"/>
          <w:sz w:val="24"/>
          <w:szCs w:val="24"/>
        </w:rPr>
        <w:br/>
      </w:r>
    </w:p>
    <w:p w14:paraId="645E6F76" w14:textId="77777777" w:rsidR="00B630BC" w:rsidRPr="005C2639"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5C2639">
        <w:rPr>
          <w:rFonts w:ascii="Times New Roman" w:eastAsia="Google Sans Text" w:hAnsi="Times New Roman" w:cs="Times New Roman"/>
          <w:b/>
          <w:color w:val="1B1C1D"/>
          <w:sz w:val="26"/>
          <w:szCs w:val="26"/>
        </w:rPr>
        <w:t>B.5.2. Formalization of the Linearity Constraint η</w:t>
      </w:r>
    </w:p>
    <w:p w14:paraId="15E6E9DF"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To ensure we remain in this regime, we introduce a linearity constraint, η. This constraint stipulates that, for any token, the magnitude of the second-order term in the Taylor expansion must be significantly smaller than that of the first-order term. Formally, for a small threshold (e.g., 0.1), we require:</w:t>
      </w:r>
    </w:p>
    <w:p w14:paraId="56A6C7FB"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lastRenderedPageBreak/>
        <w:t>η=​∂ϕ∂Pi​​​ϕ=0​ϵ​​21​∂ϕ2∂2Pi​​​ϕ=0​ϵ2​​</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1</w:t>
      </w:r>
    </w:p>
    <w:p w14:paraId="5752DC52"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Adherence to this constraint is not a mere technical formality; it is the guarantee of the scientific validity of the measurement. It ensures that the DAP instrument operates under standardized conditions, just as a physicist ensures that a probe's energy is not so high as to destroy the sample being studied. This calibration protocol transforms the DAP method from a mathematical curiosity into a reliable scientific instrument.</w:t>
      </w:r>
    </w:p>
    <w:p w14:paraId="20DB2476" w14:textId="77777777" w:rsidR="00B630BC" w:rsidRPr="00B058E6"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6"/>
          <w:szCs w:val="26"/>
        </w:rPr>
      </w:pPr>
      <w:r w:rsidRPr="00B058E6">
        <w:rPr>
          <w:rFonts w:ascii="Times New Roman" w:eastAsia="Google Sans Text" w:hAnsi="Times New Roman" w:cs="Times New Roman"/>
          <w:b/>
          <w:color w:val="1B1C1D"/>
          <w:sz w:val="26"/>
          <w:szCs w:val="26"/>
        </w:rPr>
        <w:t>B.5.3. Algorithm for Determining ϵ</w:t>
      </w:r>
      <w:r w:rsidRPr="00B058E6">
        <w:rPr>
          <w:rFonts w:ascii="Times New Roman" w:eastAsia="Google Sans Text" w:hAnsi="Times New Roman" w:cs="Times New Roman"/>
          <w:color w:val="1B1C1D"/>
          <w:sz w:val="26"/>
          <w:szCs w:val="26"/>
        </w:rPr>
        <w:t>*</w:t>
      </w:r>
    </w:p>
    <w:p w14:paraId="12128136"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determination of the optimal angle, ϵ*, is performed via a data-driven algorithm that aims to find the largest value of ϵ that respects the linearity constraint for the vast majority of cases. The protocol is as follows:</w:t>
      </w:r>
    </w:p>
    <w:p w14:paraId="6AF3ACE3" w14:textId="77777777" w:rsidR="00B630BC" w:rsidRPr="003F3593" w:rsidRDefault="002172FE">
      <w:pPr>
        <w:numPr>
          <w:ilvl w:val="0"/>
          <w:numId w:val="10"/>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Sampling:</w:t>
      </w:r>
      <w:r w:rsidRPr="003F3593">
        <w:rPr>
          <w:rFonts w:ascii="Times New Roman" w:eastAsia="Google Sans Text" w:hAnsi="Times New Roman" w:cs="Times New Roman"/>
          <w:color w:val="1B1C1D"/>
          <w:sz w:val="24"/>
          <w:szCs w:val="24"/>
        </w:rPr>
        <w:t xml:space="preserve"> Select a set of N diverse and representative contexts from a reference corpus (e.g., WikiText).</w:t>
      </w:r>
    </w:p>
    <w:p w14:paraId="213C6A1E" w14:textId="77777777" w:rsidR="00B630BC" w:rsidRPr="003F3593" w:rsidRDefault="002172FE">
      <w:pPr>
        <w:numPr>
          <w:ilvl w:val="0"/>
          <w:numId w:val="10"/>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Derivative Calculation:</w:t>
      </w:r>
      <w:r w:rsidRPr="003F3593">
        <w:rPr>
          <w:rFonts w:ascii="Times New Roman" w:eastAsia="Google Sans Text" w:hAnsi="Times New Roman" w:cs="Times New Roman"/>
          <w:color w:val="1B1C1D"/>
          <w:sz w:val="24"/>
          <w:szCs w:val="24"/>
        </w:rPr>
        <w:t xml:space="preserve"> For each context, calculate the first and second derivatives, ∂Pi​/∂ϕ and ∂2Pi​/∂ϕ2, for all tokens i in the vocabulary.</w:t>
      </w:r>
    </w:p>
    <w:p w14:paraId="25BFB8DF" w14:textId="77777777" w:rsidR="00B630BC" w:rsidRPr="003F3593" w:rsidRDefault="002172FE">
      <w:pPr>
        <w:numPr>
          <w:ilvl w:val="0"/>
          <w:numId w:val="10"/>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Iterative Search:</w:t>
      </w:r>
      <w:r w:rsidRPr="003F3593">
        <w:rPr>
          <w:rFonts w:ascii="Times New Roman" w:eastAsia="Google Sans Text" w:hAnsi="Times New Roman" w:cs="Times New Roman"/>
          <w:color w:val="1B1C1D"/>
          <w:sz w:val="24"/>
          <w:szCs w:val="24"/>
        </w:rPr>
        <w:t xml:space="preserve"> Test a range of candidate values for ϵ (e.g., from 10−5 to 10−1 radians). For each value, calculate the distribution of η values over the set of all tokens and contexts.</w:t>
      </w:r>
    </w:p>
    <w:p w14:paraId="472410CA" w14:textId="77777777" w:rsidR="00B630BC" w:rsidRPr="003F3593" w:rsidRDefault="002172FE">
      <w:pPr>
        <w:numPr>
          <w:ilvl w:val="0"/>
          <w:numId w:val="10"/>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Selection of ϵ</w:t>
      </w:r>
      <w:r w:rsidRPr="003F3593">
        <w:rPr>
          <w:rFonts w:ascii="Times New Roman" w:eastAsia="Google Sans Text" w:hAnsi="Times New Roman" w:cs="Times New Roman"/>
          <w:color w:val="1B1C1D"/>
          <w:sz w:val="24"/>
          <w:szCs w:val="24"/>
        </w:rPr>
        <w:t>: Define ϵ* as the largest value of ϵ for which the constraint η&lt;threshold (e.g., η&lt;0.1) is satisfied for at least 99% of all (token, context) pairs.</w:t>
      </w:r>
    </w:p>
    <w:p w14:paraId="4DA4DDB0" w14:textId="77777777" w:rsidR="00B630BC" w:rsidRPr="003F3593" w:rsidRDefault="002172FE">
      <w:pPr>
        <w:pBdr>
          <w:top w:val="nil"/>
          <w:left w:val="nil"/>
          <w:bottom w:val="nil"/>
          <w:right w:val="nil"/>
          <w:between w:val="nil"/>
        </w:pBdr>
        <w:spacing w:before="240"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angle ϵ* is then fixed and used as a constant for all subsequent analyses performed with this model and corpus type, thus ensuring the comparability and robustness of the calculated stability indices.</w:t>
      </w:r>
    </w:p>
    <w:p w14:paraId="09842045"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2CD6AEE4" w14:textId="77777777" w:rsidR="00B630BC" w:rsidRPr="00B058E6"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8"/>
          <w:szCs w:val="28"/>
        </w:rPr>
      </w:pPr>
      <w:r w:rsidRPr="00B058E6">
        <w:rPr>
          <w:rFonts w:ascii="Times New Roman" w:eastAsia="Google Sans Text" w:hAnsi="Times New Roman" w:cs="Times New Roman"/>
          <w:b/>
          <w:color w:val="1B1C1D"/>
          <w:sz w:val="28"/>
          <w:szCs w:val="28"/>
        </w:rPr>
        <w:t>Appendix C: Robustness of the ISI principle against indefinite causality and coherence with black hole thermodynamics (from ISI).</w:t>
      </w:r>
    </w:p>
    <w:p w14:paraId="430020AB"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appendix provides a formal proof that the central result of our work, the Information-Surface Inaccessibility (ISI) Principle, remains valid even when we relax the assumption of a fixed background causal structure. We will employ the process matrix formalism, the most general framework for describing quantum processes without a definite causal order, to demonstrate that the physical mechanism of gravitational collapse identified in the Einstein's Quantized Elevator (AQE) thought experiment is indifferent to the causal ordering of the information encoding operations.</w:t>
      </w:r>
    </w:p>
    <w:p w14:paraId="398442BB" w14:textId="35353C41" w:rsidR="00B630BC" w:rsidRPr="003F3593" w:rsidRDefault="00BD7B8F">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r>
        <w:rPr>
          <w:rFonts w:ascii="Times New Roman" w:hAnsi="Times New Roman" w:cs="Times New Roman"/>
          <w:sz w:val="24"/>
          <w:szCs w:val="24"/>
        </w:rPr>
        <w:br/>
      </w:r>
    </w:p>
    <w:p w14:paraId="2200D401" w14:textId="77777777" w:rsidR="00B630BC" w:rsidRPr="00BD7B8F"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BD7B8F">
        <w:rPr>
          <w:rFonts w:ascii="Times New Roman" w:eastAsia="Google Sans Text" w:hAnsi="Times New Roman" w:cs="Times New Roman"/>
          <w:b/>
          <w:color w:val="1B1C1D"/>
          <w:sz w:val="26"/>
          <w:szCs w:val="26"/>
        </w:rPr>
        <w:lastRenderedPageBreak/>
        <w:t>C.1 Preamble: The Challenge of Indefinite Causality at Physical Limits</w:t>
      </w:r>
    </w:p>
    <w:p w14:paraId="14D1FC90"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We begin by situating the problem in the broader context of quantum gravity research. An essential feature of many approaches to quantum gravity is the notion that spacetime is not a fixed backdrop but a dynamic entity. This leads to the possibility of processes where the causal order of events is not well-defined or is even in a quantum superposition. Standard proofs of physical limits, which often rely on a clear temporal sequence of operations, may not hold in such scenarios.</w:t>
      </w:r>
    </w:p>
    <w:p w14:paraId="56D2DDC1"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objective of this appendix is to proactively meet this challenge. We will prove that the ISI theorem is not a victim of this quantum causal complexity. We will demonstrate that its physical foundation—gravitational collapse induced by information densification—is a more primitive constraint than the causal structure of the operations themselves. This elevates the ISI theorem from the status of a semi-classical result to that of a robust principle that must be respected by any viable theory of quantum gravity. This approach aligns with the article's central epistemological argument in favor of seeking axiomatic principles that transcend specific physical regimes.</w:t>
      </w:r>
    </w:p>
    <w:p w14:paraId="72920CDA" w14:textId="77777777" w:rsidR="00B630BC" w:rsidRPr="00BD7B8F"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BD7B8F">
        <w:rPr>
          <w:rFonts w:ascii="Times New Roman" w:eastAsia="Google Sans Text" w:hAnsi="Times New Roman" w:cs="Times New Roman"/>
          <w:b/>
          <w:color w:val="1B1C1D"/>
          <w:sz w:val="26"/>
          <w:szCs w:val="26"/>
        </w:rPr>
        <w:t>C.2 The Process Matrix Formalism: A Framework for Acausal Correlations</w:t>
      </w:r>
    </w:p>
    <w:p w14:paraId="6803FBEE"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We will provide a mathematically complete but conceptually clear introduction to the process matrix formalism. This is the established mathematical language for describing correlations between local quantum operations in the absence of a global causal structure.</w:t>
      </w:r>
    </w:p>
    <w:p w14:paraId="7BE4D9A9" w14:textId="77777777" w:rsidR="00B630BC" w:rsidRPr="003F3593" w:rsidRDefault="002172FE">
      <w:pPr>
        <w:numPr>
          <w:ilvl w:val="0"/>
          <w:numId w:val="1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C.2.1 Local Laboratories and Operations:</w:t>
      </w:r>
      <w:r w:rsidRPr="003F3593">
        <w:rPr>
          <w:rFonts w:ascii="Times New Roman" w:eastAsia="Google Sans Text" w:hAnsi="Times New Roman" w:cs="Times New Roman"/>
          <w:color w:val="1B1C1D"/>
          <w:sz w:val="24"/>
          <w:szCs w:val="24"/>
        </w:rPr>
        <w:t xml:space="preserve"> We define a set of n local laboratories, labeled A, B, C,.... Each laboratory X has an input Hilbert space HXI​ and an output Hilbert space HXO​. A local operation is described by a quantum instrument, a set of completely positive (CP) maps {Mxi​} where i indexes the outcome.</w:t>
      </w:r>
    </w:p>
    <w:p w14:paraId="157F206F" w14:textId="77777777" w:rsidR="00B630BC" w:rsidRPr="003F3593" w:rsidRDefault="002172FE">
      <w:pPr>
        <w:numPr>
          <w:ilvl w:val="0"/>
          <w:numId w:val="1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C.2.2 The Process Matrix W:</w:t>
      </w:r>
      <w:r w:rsidRPr="003F3593">
        <w:rPr>
          <w:rFonts w:ascii="Times New Roman" w:eastAsia="Google Sans Text" w:hAnsi="Times New Roman" w:cs="Times New Roman"/>
          <w:color w:val="1B1C1D"/>
          <w:sz w:val="24"/>
          <w:szCs w:val="24"/>
        </w:rPr>
        <w:t xml:space="preserve"> The process itself, which dictates the correlations between these laboratories, is described by a positive semi-definite operator W acting on the tensor product of all input and output spaces: W</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L(</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X​HXI​</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HXO​).</w:t>
      </w:r>
    </w:p>
    <w:p w14:paraId="490BF580" w14:textId="77777777" w:rsidR="00B630BC" w:rsidRPr="003F3593" w:rsidRDefault="002172FE">
      <w:pPr>
        <w:numPr>
          <w:ilvl w:val="0"/>
          <w:numId w:val="11"/>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C.2.3 Probability Rule:</w:t>
      </w:r>
      <w:r w:rsidRPr="003F3593">
        <w:rPr>
          <w:rFonts w:ascii="Times New Roman" w:eastAsia="Google Sans Text" w:hAnsi="Times New Roman" w:cs="Times New Roman"/>
          <w:color w:val="1B1C1D"/>
          <w:sz w:val="24"/>
          <w:szCs w:val="24"/>
        </w:rPr>
        <w:t xml:space="preserve"> The probability of a sequence of local outcomes i, j, ... given the local operations {MAi​,MBj​,...} is given by the generalized Born rule: p(i,j,…)=Tr[(MiA​</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MjB​</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w:t>
      </w:r>
    </w:p>
    <w:p w14:paraId="4236EFDE" w14:textId="77777777" w:rsidR="00B630BC" w:rsidRPr="003F3593" w:rsidRDefault="00B630BC">
      <w:pPr>
        <w:pBdr>
          <w:top w:val="nil"/>
          <w:left w:val="nil"/>
          <w:bottom w:val="nil"/>
          <w:right w:val="nil"/>
          <w:between w:val="nil"/>
        </w:pBdr>
        <w:spacing w:after="120" w:line="275" w:lineRule="auto"/>
        <w:rPr>
          <w:rFonts w:ascii="Times New Roman" w:eastAsia="Google Sans" w:hAnsi="Times New Roman" w:cs="Times New Roman"/>
          <w:color w:val="1B1C1D"/>
          <w:sz w:val="24"/>
          <w:szCs w:val="24"/>
        </w:rPr>
      </w:pPr>
    </w:p>
    <w:p w14:paraId="509CF875" w14:textId="77777777" w:rsidR="00B630BC" w:rsidRPr="003F3593" w:rsidRDefault="002172FE">
      <w:pPr>
        <w:numPr>
          <w:ilvl w:val="0"/>
          <w:numId w:val="12"/>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C.2.4 Acausality and the "Quantum Switch":</w:t>
      </w:r>
      <w:r w:rsidRPr="003F3593">
        <w:rPr>
          <w:rFonts w:ascii="Times New Roman" w:eastAsia="Google Sans Text" w:hAnsi="Times New Roman" w:cs="Times New Roman"/>
          <w:color w:val="1B1C1D"/>
          <w:sz w:val="24"/>
          <w:szCs w:val="24"/>
        </w:rPr>
        <w:t xml:space="preserve"> This formalism incorporates acausal scenarios. A process matrix W is considered to represent a process with a definite causal order if it can be decomposed in a specific way. However, valid process matrices exist, such as the one describing the "Quantum Switch", which cannot be decomposed in this manner, representing a true superposition of causal orders. This demonstrates the generality of the framework we are adopting.</w:t>
      </w:r>
    </w:p>
    <w:p w14:paraId="30F46E0E" w14:textId="77777777" w:rsidR="00B630BC" w:rsidRPr="00BD7B8F" w:rsidRDefault="002172FE">
      <w:pPr>
        <w:pBdr>
          <w:top w:val="nil"/>
          <w:left w:val="nil"/>
          <w:bottom w:val="nil"/>
          <w:right w:val="nil"/>
          <w:between w:val="nil"/>
        </w:pBdr>
        <w:spacing w:before="240" w:after="240" w:line="275" w:lineRule="auto"/>
        <w:rPr>
          <w:rFonts w:ascii="Times New Roman" w:eastAsia="Google Sans Text" w:hAnsi="Times New Roman" w:cs="Times New Roman"/>
          <w:b/>
          <w:color w:val="1B1C1D"/>
          <w:sz w:val="26"/>
          <w:szCs w:val="26"/>
        </w:rPr>
      </w:pPr>
      <w:r w:rsidRPr="00BD7B8F">
        <w:rPr>
          <w:rFonts w:ascii="Times New Roman" w:eastAsia="Google Sans Text" w:hAnsi="Times New Roman" w:cs="Times New Roman"/>
          <w:b/>
          <w:color w:val="1B1C1D"/>
          <w:sz w:val="26"/>
          <w:szCs w:val="26"/>
        </w:rPr>
        <w:lastRenderedPageBreak/>
        <w:t>C.3 The AQE Experiment in an Acausal Framework</w:t>
      </w:r>
    </w:p>
    <w:p w14:paraId="2C2EE8DA"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We now reframe the AQE thought experiment within this formalism. The interior of the elevator is the system. The "observer" attempting to store N bits of information is replaced by N local laboratories, each tasked with performing a one-bit encoding operation. The causal relation between these N encoding operations is not assumed; it is described by a general process matrix W.</w:t>
      </w:r>
    </w:p>
    <w:p w14:paraId="1EA7BDE7"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The crucial physical link is then established. Each local operation Mi​ performed by a laboratory inside the accelerating elevator is a physical process. As established in the main body of the article, any such act of information processing has an irreducible thermodynamic cost given by the Landauer principle, evaluated at the Unruh temperature of the accelerating reference frame: Ebit​=kB​TU​ln2=2πcℏaln2​.¹</w:t>
      </w:r>
    </w:p>
    <w:p w14:paraId="242CFE11"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¹This energy must be injected into the system to perform the operation.</w:t>
      </w:r>
    </w:p>
    <w:p w14:paraId="6D1BA006"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step anchors the abstract formalism in the concrete physics of the AQE.</w:t>
      </w:r>
    </w:p>
    <w:p w14:paraId="57D6FBD1" w14:textId="77777777" w:rsidR="00B630BC" w:rsidRPr="000C2660"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0C2660">
        <w:rPr>
          <w:rFonts w:ascii="Times New Roman" w:eastAsia="Google Sans Text" w:hAnsi="Times New Roman" w:cs="Times New Roman"/>
          <w:b/>
          <w:color w:val="1B1C1D"/>
          <w:sz w:val="26"/>
          <w:szCs w:val="26"/>
        </w:rPr>
        <w:t>C.4 The Gravitational Encapsulation Lemma</w:t>
      </w:r>
    </w:p>
    <w:p w14:paraId="6D8761A8"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We formally state the central lemma of this proof:</w:t>
      </w:r>
    </w:p>
    <w:p w14:paraId="7DBA56F9" w14:textId="77777777" w:rsidR="00B630BC" w:rsidRPr="003F3593" w:rsidRDefault="002172FE">
      <w:pPr>
        <w:pBdr>
          <w:top w:val="nil"/>
          <w:left w:val="nil"/>
          <w:bottom w:val="nil"/>
          <w:right w:val="nil"/>
          <w:between w:val="nil"/>
        </w:pBdr>
        <w:spacing w:after="12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Gravitational Encapsulation Lemma:</w:t>
      </w:r>
      <w:r w:rsidRPr="003F3593">
        <w:rPr>
          <w:rFonts w:ascii="Times New Roman" w:eastAsia="Google Sans Text" w:hAnsi="Times New Roman" w:cs="Times New Roman"/>
          <w:color w:val="1B1C1D"/>
          <w:sz w:val="24"/>
          <w:szCs w:val="24"/>
        </w:rPr>
        <w:t xml:space="preserve"> The total mass-energy Mtot​ that sources the gravitational field within the Einstein's Quantized Elevator is determined solely by the sum of the energy costs of all local operations performed, and is independent of the causal structure encoded in the process matrix W that governs these operations.</w:t>
      </w:r>
    </w:p>
    <w:p w14:paraId="70A792DA" w14:textId="77777777" w:rsidR="00B630BC" w:rsidRPr="003F3593" w:rsidRDefault="002172FE">
      <w:pPr>
        <w:numPr>
          <w:ilvl w:val="0"/>
          <w:numId w:val="13"/>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C.4.1 Proof of the Lemma</w:t>
      </w:r>
    </w:p>
    <w:p w14:paraId="67B9B3E6" w14:textId="77777777" w:rsidR="00B630BC" w:rsidRPr="003F3593" w:rsidRDefault="002172FE">
      <w:pPr>
        <w:numPr>
          <w:ilvl w:val="1"/>
          <w:numId w:val="14"/>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Premise 1 (Energy as a Scalar):</w:t>
      </w:r>
      <w:r w:rsidRPr="003F3593">
        <w:rPr>
          <w:rFonts w:ascii="Times New Roman" w:eastAsia="Google Sans Text" w:hAnsi="Times New Roman" w:cs="Times New Roman"/>
          <w:color w:val="1B1C1D"/>
          <w:sz w:val="24"/>
          <w:szCs w:val="24"/>
        </w:rPr>
        <w:t xml:space="preserve"> The energy cost Ei​ associated with a local operation Mi​ is a scalar physical quantity. The total energy injected into the system is the sum of the energies of all operations that occur: Etot​=∑Ei​. This is a direct consequence of the law of conservation of energy.</w:t>
      </w:r>
    </w:p>
    <w:p w14:paraId="5A375E63" w14:textId="77777777" w:rsidR="00B630BC" w:rsidRPr="003F3593" w:rsidRDefault="002172FE">
      <w:pPr>
        <w:numPr>
          <w:ilvl w:val="1"/>
          <w:numId w:val="14"/>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Premise 2 (Equivalence Principle):</w:t>
      </w:r>
      <w:r w:rsidRPr="003F3593">
        <w:rPr>
          <w:rFonts w:ascii="Times New Roman" w:eastAsia="Google Sans Text" w:hAnsi="Times New Roman" w:cs="Times New Roman"/>
          <w:color w:val="1B1C1D"/>
          <w:sz w:val="24"/>
          <w:szCs w:val="24"/>
        </w:rPr>
        <w:t xml:space="preserve"> In accordance with the equivalence principle, this total energy Etot​ contributes to the total mass-energy content of the elevator via E=mc2. It is this total mass-energy that gravitates.</w:t>
      </w:r>
    </w:p>
    <w:p w14:paraId="611DDF19" w14:textId="53FC5080" w:rsidR="00B630BC" w:rsidRPr="00177E8B" w:rsidRDefault="002172FE" w:rsidP="00177E8B">
      <w:pPr>
        <w:numPr>
          <w:ilvl w:val="1"/>
          <w:numId w:val="14"/>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Premise 3 (Source of Gravity):</w:t>
      </w:r>
      <w:r w:rsidRPr="003F3593">
        <w:rPr>
          <w:rFonts w:ascii="Times New Roman" w:eastAsia="Google Sans Text" w:hAnsi="Times New Roman" w:cs="Times New Roman"/>
          <w:color w:val="1B1C1D"/>
          <w:sz w:val="24"/>
          <w:szCs w:val="24"/>
        </w:rPr>
        <w:t xml:space="preserve"> Einstein's field equations, Gμν​=c48πG​Tμν​,</w:t>
      </w:r>
      <w:r w:rsidR="00177E8B">
        <w:rPr>
          <w:rFonts w:ascii="Times New Roman" w:hAnsi="Times New Roman" w:cs="Times New Roman"/>
          <w:sz w:val="24"/>
          <w:szCs w:val="24"/>
        </w:rPr>
        <w:t xml:space="preserve"> </w:t>
      </w:r>
      <w:r w:rsidRPr="00177E8B">
        <w:rPr>
          <w:rFonts w:ascii="Times New Roman" w:eastAsia="Google Sans Text" w:hAnsi="Times New Roman" w:cs="Times New Roman"/>
          <w:color w:val="1B1C1D"/>
          <w:sz w:val="24"/>
          <w:szCs w:val="24"/>
        </w:rPr>
        <w:t>stipulate that the curvature of spacetime is sourced by the stress-energy tensor Tμν​. The relevant component T00​ represents the total energy density.</w:t>
      </w:r>
    </w:p>
    <w:p w14:paraId="5204A656" w14:textId="77777777" w:rsidR="00B630BC" w:rsidRPr="003F3593" w:rsidRDefault="002172FE">
      <w:pPr>
        <w:numPr>
          <w:ilvl w:val="0"/>
          <w:numId w:val="15"/>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Synthesis and status of the proof:</w:t>
      </w:r>
      <w:r w:rsidRPr="003F3593">
        <w:rPr>
          <w:rFonts w:ascii="Times New Roman" w:eastAsia="Google Sans Text" w:hAnsi="Times New Roman" w:cs="Times New Roman"/>
          <w:color w:val="1B1C1D"/>
          <w:sz w:val="24"/>
          <w:szCs w:val="24"/>
        </w:rPr>
        <w:t xml:space="preserve"> It should be clarified that this argument constitutes a physical proof based on the hierarchy of laws, rather than a formal derivation within the process matrix formalism. We argue that the gravitational field, described by general relativity, couples to the total integrated mass-energy (T00​), a macroscopic quantity. It is therefore insensitive to the microscopic causal structure of the events that led to this mass-energy. Gravity "encapsulates" the internal process, responding only to its net energetic </w:t>
      </w:r>
      <w:r w:rsidRPr="003F3593">
        <w:rPr>
          <w:rFonts w:ascii="Times New Roman" w:eastAsia="Google Sans Text" w:hAnsi="Times New Roman" w:cs="Times New Roman"/>
          <w:color w:val="1B1C1D"/>
          <w:sz w:val="24"/>
          <w:szCs w:val="24"/>
        </w:rPr>
        <w:lastRenderedPageBreak/>
        <w:t>effect. Formally demonstrating this independence would require a complete theory of quantum gravity. Our objective here is more pragmatic but no less rigorous: to demonstrate that the ISI principle remains consistent with established fundamental laws (energy conservation, equivalence principle) even when confronted with the most general frameworks of quantum theory.</w:t>
      </w:r>
    </w:p>
    <w:p w14:paraId="176E0C6F" w14:textId="77777777" w:rsidR="00B630BC" w:rsidRPr="003F3593" w:rsidRDefault="002172FE">
      <w:pPr>
        <w:pBdr>
          <w:top w:val="nil"/>
          <w:left w:val="nil"/>
          <w:bottom w:val="nil"/>
          <w:right w:val="nil"/>
          <w:between w:val="nil"/>
        </w:pBdr>
        <w:spacing w:before="240"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The structure of this proof reveals a profound hierarchy. The process matrix formalism describes the "rules of the game" for quantum information at a local level, where causality can be indefinite. However, the laws of thermodynamics (Landauer's principle) and general relativity (conservation of the stress-energy tensor, equivalence principle) operate at a more global, macroscopic level. The lemma demonstrates that these global and semi-classical laws impose an insurmountable constraint on the outcomes of local quantum processes. The attempt to exploit acausal structures to store more information than is classically permitted is ultimately vetoed by the macroscopic law of gravity. Gravitational collapse is therefore a universal "censor" of information density, regardless of the exotic quantum-causal dynamics at play.</w:t>
      </w:r>
    </w:p>
    <w:p w14:paraId="73DFB3F8" w14:textId="77777777" w:rsidR="00B630BC" w:rsidRPr="00146177" w:rsidRDefault="002172FE">
      <w:pPr>
        <w:pBdr>
          <w:top w:val="nil"/>
          <w:left w:val="nil"/>
          <w:bottom w:val="nil"/>
          <w:right w:val="nil"/>
          <w:between w:val="nil"/>
        </w:pBdr>
        <w:spacing w:after="120" w:line="275" w:lineRule="auto"/>
        <w:rPr>
          <w:rFonts w:ascii="Times New Roman" w:eastAsia="Google Sans Text" w:hAnsi="Times New Roman" w:cs="Times New Roman"/>
          <w:b/>
          <w:color w:val="1B1C1D"/>
          <w:sz w:val="26"/>
          <w:szCs w:val="26"/>
        </w:rPr>
      </w:pPr>
      <w:r w:rsidRPr="00146177">
        <w:rPr>
          <w:rFonts w:ascii="Times New Roman" w:eastAsia="Google Sans Text" w:hAnsi="Times New Roman" w:cs="Times New Roman"/>
          <w:b/>
          <w:color w:val="1B1C1D"/>
          <w:sz w:val="26"/>
          <w:szCs w:val="26"/>
        </w:rPr>
        <w:t>C.5 Formal Proof of the Robustness of the ISI Theorem</w:t>
      </w:r>
    </w:p>
    <w:p w14:paraId="68083364" w14:textId="77777777" w:rsidR="00B630BC" w:rsidRPr="003F3593" w:rsidRDefault="002172FE">
      <w:pPr>
        <w:numPr>
          <w:ilvl w:val="0"/>
          <w:numId w:val="16"/>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Step 1: Calculation of Total Energy</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The total energy injected to store N bits is Etot​=N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Ebit​=N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2πcℏaln2​. This expression is valid because, regardless of the causal order, N distinct bit-encoding operations must be performed, each with the same average energy cost. The process matrix W determines the probability that different combinations of operations occur, but the total expected energy is simply the sum over all possibilities.</w:t>
      </w:r>
    </w:p>
    <w:p w14:paraId="073E0048" w14:textId="649C9D81" w:rsidR="00B630BC" w:rsidRPr="00A43D3A" w:rsidRDefault="002172FE" w:rsidP="00A43D3A">
      <w:pPr>
        <w:numPr>
          <w:ilvl w:val="0"/>
          <w:numId w:val="16"/>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Step 2: Invocation of the Lemma</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We apply the Gravitational Encapsulation Lemma. The gravitational field inside and outside the elevator responds to this Etot​, independently of the specific W that describes the encoding process.</w:t>
      </w:r>
    </w:p>
    <w:p w14:paraId="709D911C" w14:textId="77777777" w:rsidR="00B630BC" w:rsidRPr="003F3593" w:rsidRDefault="002172FE">
      <w:pPr>
        <w:numPr>
          <w:ilvl w:val="0"/>
          <w:numId w:val="17"/>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Step 3: The Collapse Condition</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As derived in the main text, the system collapses into a black hole when its total mass-energy equals its Schwarzschild mass for its characteristic radius R. The condition is Etot​≥2Gc4​R.</w:t>
      </w:r>
    </w:p>
    <w:p w14:paraId="67D4DFE6" w14:textId="77777777" w:rsidR="00B630BC" w:rsidRPr="003F3593" w:rsidRDefault="002172FE">
      <w:pPr>
        <w:numPr>
          <w:ilvl w:val="0"/>
          <w:numId w:val="17"/>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Step 4: Derivation of the Bound and Conclusion</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Substituting the expression for Etot​ into the collapse condition yields a maximum number of storable bits, Nmax​, which is proportional to the surface area A of the elevator:</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Nmax​≈4ℓP2​ln2A​.</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Since this derivation for Nmax​ does not depend on any specific property of the process matrix W beyond the number of operations, the bound is universal. The attempt to store information at a density approaching this limit (Cτ→SΩ) triggers a gravitational collapse, making the information inaccessible. Therefore, the strict inequality of the ISI theorem, Cτ&lt;SΩ, is robust and remains true even under conditions of indefinite causality.</w:t>
      </w:r>
    </w:p>
    <w:p w14:paraId="6C9E56CA" w14:textId="77777777" w:rsidR="00B630BC" w:rsidRPr="0074521A" w:rsidRDefault="002172FE">
      <w:pPr>
        <w:pBdr>
          <w:top w:val="nil"/>
          <w:left w:val="nil"/>
          <w:bottom w:val="nil"/>
          <w:right w:val="nil"/>
          <w:between w:val="nil"/>
        </w:pBdr>
        <w:spacing w:before="240" w:after="240" w:line="275" w:lineRule="auto"/>
        <w:rPr>
          <w:rFonts w:ascii="Times New Roman" w:eastAsia="Google Sans Text" w:hAnsi="Times New Roman" w:cs="Times New Roman"/>
          <w:b/>
          <w:color w:val="1B1C1D"/>
          <w:sz w:val="26"/>
          <w:szCs w:val="26"/>
        </w:rPr>
      </w:pPr>
      <w:r w:rsidRPr="0074521A">
        <w:rPr>
          <w:rFonts w:ascii="Times New Roman" w:eastAsia="Google Sans Text" w:hAnsi="Times New Roman" w:cs="Times New Roman"/>
          <w:b/>
          <w:color w:val="1B1C1D"/>
          <w:sz w:val="26"/>
          <w:szCs w:val="26"/>
        </w:rPr>
        <w:lastRenderedPageBreak/>
        <w:t>C.6 Conclusion of the Appendix</w:t>
      </w:r>
    </w:p>
    <w:p w14:paraId="695397BE" w14:textId="3049F7BB" w:rsidR="00B630BC" w:rsidRPr="005C0808"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We have formally demonstrated that the ISI theorem is robust against generalizations of quantum theory that include indefinite causal structures. The proof relies on the "Gravitational Encapsulation Lemma," which establishes that the macroscopic laws of energy conservation and gravity are supervenient to the microscopic causal ordering of quantum operations. This result strengthens the candidacy of the ISI theorem as a fundamental and model-independent principle. It acts as a powerful consistency test that any future theory of quantum gravity must satisfy: any theory that would permit a violation of the ISI bound by exploiting acausal structures would necessarily conflict with the low-energy limit described by general relativity and thermodynamics. The theorem thus provides a firm axiomatic constraint on the path towards a unified theory.</w:t>
      </w:r>
    </w:p>
    <w:p w14:paraId="46F13FEC" w14:textId="77777777" w:rsidR="00B630BC" w:rsidRPr="005C0808" w:rsidRDefault="002172FE">
      <w:pPr>
        <w:pBdr>
          <w:top w:val="nil"/>
          <w:left w:val="nil"/>
          <w:bottom w:val="nil"/>
          <w:right w:val="nil"/>
          <w:between w:val="nil"/>
        </w:pBdr>
        <w:spacing w:after="240" w:line="275" w:lineRule="auto"/>
        <w:rPr>
          <w:rFonts w:ascii="Times New Roman" w:eastAsia="Google Sans Text" w:hAnsi="Times New Roman" w:cs="Times New Roman"/>
          <w:b/>
          <w:color w:val="1B1C1D"/>
          <w:sz w:val="26"/>
          <w:szCs w:val="26"/>
        </w:rPr>
      </w:pPr>
      <w:r w:rsidRPr="005C0808">
        <w:rPr>
          <w:rFonts w:ascii="Times New Roman" w:eastAsia="Google Sans Text" w:hAnsi="Times New Roman" w:cs="Times New Roman"/>
          <w:b/>
          <w:color w:val="1B1C1D"/>
          <w:sz w:val="26"/>
          <w:szCs w:val="26"/>
        </w:rPr>
        <w:t>Appendix C.7-C.12 (Renumbered for clarity): Consistency with Black Hole Thermodynamics</w:t>
      </w:r>
    </w:p>
    <w:p w14:paraId="302E09CA" w14:textId="77777777" w:rsidR="00B630BC" w:rsidRPr="00BD7FC5" w:rsidRDefault="002172FE">
      <w:pPr>
        <w:pBdr>
          <w:top w:val="nil"/>
          <w:left w:val="nil"/>
          <w:bottom w:val="nil"/>
          <w:right w:val="nil"/>
          <w:between w:val="nil"/>
        </w:pBdr>
        <w:spacing w:line="275" w:lineRule="auto"/>
        <w:rPr>
          <w:rFonts w:ascii="Times New Roman" w:eastAsia="Google Sans Text" w:hAnsi="Times New Roman" w:cs="Times New Roman"/>
          <w:b/>
          <w:bCs/>
          <w:sz w:val="24"/>
          <w:szCs w:val="24"/>
        </w:rPr>
      </w:pPr>
      <w:r w:rsidRPr="00BD7FC5">
        <w:rPr>
          <w:rFonts w:ascii="Times New Roman" w:eastAsia="Google Sans Text" w:hAnsi="Times New Roman" w:cs="Times New Roman"/>
          <w:b/>
          <w:bCs/>
          <w:sz w:val="24"/>
          <w:szCs w:val="24"/>
        </w:rPr>
        <w:t>C.7 Introduction: Objective and Framework of the Demonstration</w:t>
      </w:r>
    </w:p>
    <w:p w14:paraId="713A680A" w14:textId="52686CA0"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This appendix aims to demonstrate the internal consistency of the Einstein's Quantized Elevator (AQE) model with the established results of black hole thermodynamics, and more specifically with the form of the first quantum correction to the entropy. The approach is not an ab initio derivation of this correction, but a rigorous consistency test. We will show that if one takes the Bekenstein-Hawking area law as an input postulate, the thermodynamic formalism of the AQE—which unifies the equivalence principle, the Unruh effect, and the Landauer principle—combined with the standard approach of thermal fluctuations in statistical mechanics, correctly reproduces the coefficient k=1/2 of the logarithmic correction.² The success of this demonstration constitutes a strong argument for the validity of the AQE as a unifying physical framework.</w:t>
      </w:r>
      <w:r w:rsidR="00BD7FC5">
        <w:rPr>
          <w:rFonts w:ascii="Times New Roman" w:eastAsia="Google Sans Text" w:hAnsi="Times New Roman" w:cs="Times New Roman"/>
          <w:sz w:val="24"/>
          <w:szCs w:val="24"/>
        </w:rPr>
        <w:br/>
      </w:r>
    </w:p>
    <w:p w14:paraId="68B649C8" w14:textId="77777777" w:rsidR="00B630BC" w:rsidRPr="00BD7FC5" w:rsidRDefault="002172FE">
      <w:pPr>
        <w:pBdr>
          <w:top w:val="nil"/>
          <w:left w:val="nil"/>
          <w:bottom w:val="nil"/>
          <w:right w:val="nil"/>
          <w:between w:val="nil"/>
        </w:pBdr>
        <w:spacing w:line="275" w:lineRule="auto"/>
        <w:rPr>
          <w:rFonts w:ascii="Times New Roman" w:eastAsia="Google Sans Text" w:hAnsi="Times New Roman" w:cs="Times New Roman"/>
          <w:b/>
          <w:bCs/>
          <w:sz w:val="24"/>
          <w:szCs w:val="24"/>
        </w:rPr>
      </w:pPr>
      <w:r w:rsidRPr="00BD7FC5">
        <w:rPr>
          <w:rFonts w:ascii="Times New Roman" w:eastAsia="Google Sans Text" w:hAnsi="Times New Roman" w:cs="Times New Roman"/>
          <w:b/>
          <w:bCs/>
          <w:sz w:val="24"/>
          <w:szCs w:val="24"/>
        </w:rPr>
        <w:t>C.8 The Framework of Statistical Mechanics</w:t>
      </w:r>
    </w:p>
    <w:p w14:paraId="34396B21"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We model the system at the critical point of gravitational collapse via its canonical ensemble. The partition function Z is given by the integral over the energy:</w:t>
      </w:r>
    </w:p>
    <w:p w14:paraId="19CF92EE"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Z(β)=∫Ω(E)e−βEdE</w:t>
      </w:r>
    </w:p>
    <w:p w14:paraId="4B4461F1"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where β=1/(kB​T) and Ω(E) is the density of states. The integral is evaluated by the saddle-point method, where the saddle-point Ec​ corresponds to the critical energy of the collapse. The entropy S is derived from the free energy F=−kB​TlnZ.</w:t>
      </w:r>
    </w:p>
    <w:p w14:paraId="196E3E35"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It is a standard result of statistical mechanics that Gaussian fluctuations around the saddle-point introduce a first-order correction to the entropy, related to the heat capacity CV​ of the system at this critical point:</w:t>
      </w:r>
    </w:p>
    <w:p w14:paraId="3555410F"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ΔS≈−21​kB​ln(CV​)(Eq. C.1)</w:t>
      </w:r>
    </w:p>
    <w:p w14:paraId="22ADB312"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The factor 1/2 is a direct consequence of the Gaussian approximation of the fluctuations. Our objective is therefore to calculate CV​ from the principles of the AQE and to check if this formula leads to the expected result.</w:t>
      </w:r>
    </w:p>
    <w:p w14:paraId="7CBB6C1D" w14:textId="77777777" w:rsidR="00B630BC" w:rsidRPr="00BD7FC5" w:rsidRDefault="002172FE">
      <w:pPr>
        <w:pBdr>
          <w:top w:val="nil"/>
          <w:left w:val="nil"/>
          <w:bottom w:val="nil"/>
          <w:right w:val="nil"/>
          <w:between w:val="nil"/>
        </w:pBdr>
        <w:spacing w:line="275" w:lineRule="auto"/>
        <w:rPr>
          <w:rFonts w:ascii="Times New Roman" w:eastAsia="Google Sans Text" w:hAnsi="Times New Roman" w:cs="Times New Roman"/>
          <w:b/>
          <w:bCs/>
          <w:sz w:val="24"/>
          <w:szCs w:val="24"/>
        </w:rPr>
      </w:pPr>
      <w:r w:rsidRPr="00BD7FC5">
        <w:rPr>
          <w:rFonts w:ascii="Times New Roman" w:eastAsia="Google Sans Text" w:hAnsi="Times New Roman" w:cs="Times New Roman"/>
          <w:b/>
          <w:bCs/>
          <w:sz w:val="24"/>
          <w:szCs w:val="24"/>
        </w:rPr>
        <w:lastRenderedPageBreak/>
        <w:t>C.9 Input Postulate: The Bekenstein-Hawking Area Law</w:t>
      </w:r>
    </w:p>
    <w:p w14:paraId="3D2F85AD"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To calculate the heat capacity, we must relate the system's energy to its geometry. We posit as a starting axiom that the number of accessible microstates at the critical point of collapse is governed by the Bekenstein-Hawking law:</w:t>
      </w:r>
    </w:p>
    <w:p w14:paraId="39744F3D" w14:textId="36274B84" w:rsidR="00B630BC" w:rsidRPr="00BD7FC5" w:rsidRDefault="002172FE" w:rsidP="00BD7FC5">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SBH​=4ℓP2​kB​A​(Eq. C.2)</w:t>
      </w:r>
    </w:p>
    <w:p w14:paraId="3E109A85"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By identifying this entropy with the Shannon entropy for N bits (S=NkB​ln2), we obtain the maximum number of bits that the system can contain as a function of its area A:</w:t>
      </w:r>
    </w:p>
    <w:p w14:paraId="1E04C579"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Nmax​=4ℓP2​ln2A​(Eq. C.3)</w:t>
      </w:r>
    </w:p>
    <w:p w14:paraId="38186EAD" w14:textId="0B1C0D0C"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This equation is not a prediction of the model, but its starting postulate for this consistency calculation.</w:t>
      </w:r>
      <w:r w:rsidR="00BD7FC5">
        <w:rPr>
          <w:rFonts w:ascii="Times New Roman" w:eastAsia="Google Sans Text" w:hAnsi="Times New Roman" w:cs="Times New Roman"/>
          <w:sz w:val="24"/>
          <w:szCs w:val="24"/>
        </w:rPr>
        <w:br/>
      </w:r>
    </w:p>
    <w:p w14:paraId="1C5AB3C6" w14:textId="77777777" w:rsidR="00B630BC" w:rsidRPr="00BD7FC5" w:rsidRDefault="002172FE">
      <w:pPr>
        <w:pBdr>
          <w:top w:val="nil"/>
          <w:left w:val="nil"/>
          <w:bottom w:val="nil"/>
          <w:right w:val="nil"/>
          <w:between w:val="nil"/>
        </w:pBdr>
        <w:spacing w:line="275" w:lineRule="auto"/>
        <w:rPr>
          <w:rFonts w:ascii="Times New Roman" w:eastAsia="Google Sans Text" w:hAnsi="Times New Roman" w:cs="Times New Roman"/>
          <w:b/>
          <w:bCs/>
          <w:sz w:val="24"/>
          <w:szCs w:val="24"/>
        </w:rPr>
      </w:pPr>
      <w:r w:rsidRPr="00BD7FC5">
        <w:rPr>
          <w:rFonts w:ascii="Times New Roman" w:eastAsia="Google Sans Text" w:hAnsi="Times New Roman" w:cs="Times New Roman"/>
          <w:b/>
          <w:bCs/>
          <w:sz w:val="24"/>
          <w:szCs w:val="24"/>
        </w:rPr>
        <w:t>C.10 Calculation of the Heat Capacity CV​ from the Principles of the AQE</w:t>
      </w:r>
    </w:p>
    <w:p w14:paraId="5EAF6CFF"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The task now is to calculate CV​=dE/dT using the physical relations specific to the AQE model.¹</w:t>
      </w:r>
    </w:p>
    <w:p w14:paraId="0AF56A13" w14:textId="77777777" w:rsidR="00B630BC" w:rsidRPr="003F3593" w:rsidRDefault="002172FE">
      <w:pPr>
        <w:numPr>
          <w:ilvl w:val="0"/>
          <w:numId w:val="19"/>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Energy and Temperature in the AQE: The total energy of the system is E=N</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Ebit​. The energy cost per bit Ebit​ and the temperature T are given by the Unruh effect, related to the acceleration a:</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T=TU​=2πckB​ℏa​</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Ebit​=kB​TU​ln2=2πcℏaln2​</w:t>
      </w:r>
    </w:p>
    <w:p w14:paraId="03F322EA" w14:textId="77777777" w:rsidR="00B630BC" w:rsidRPr="003F3593" w:rsidRDefault="002172FE">
      <w:pPr>
        <w:numPr>
          <w:ilvl w:val="0"/>
          <w:numId w:val="19"/>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b/>
          <w:color w:val="1B1C1D"/>
          <w:sz w:val="24"/>
          <w:szCs w:val="24"/>
        </w:rPr>
        <w:t>Expression of Energy as a function of Temperature:</w:t>
      </w:r>
      <w:r w:rsidRPr="003F3593">
        <w:rPr>
          <w:rFonts w:ascii="Times New Roman" w:eastAsia="Google Sans Text" w:hAnsi="Times New Roman" w:cs="Times New Roman"/>
          <w:color w:val="1B1C1D"/>
          <w:sz w:val="24"/>
          <w:szCs w:val="24"/>
        </w:rPr>
        <w:t xml:space="preserve"> We can now express the total energy E as a function of the temperature T at the critical point, using the postulate for Nmax​ (Eq. C.3).</w:t>
      </w:r>
    </w:p>
    <w:p w14:paraId="218F0D7A" w14:textId="77777777" w:rsidR="00B630BC" w:rsidRPr="003F3593" w:rsidRDefault="002172FE">
      <w:pPr>
        <w:numPr>
          <w:ilvl w:val="1"/>
          <w:numId w:val="20"/>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First, substitute Nmax​ into the energy equation:</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E=Nmax​Ebit​=(4ℓP2​ln2A​)(2πcℏaln2​)=8πcℓP2​Aℏa​</w:t>
      </w:r>
    </w:p>
    <w:p w14:paraId="0804CA14" w14:textId="77777777" w:rsidR="00B630BC" w:rsidRPr="003F3593" w:rsidRDefault="002172FE">
      <w:pPr>
        <w:numPr>
          <w:ilvl w:val="1"/>
          <w:numId w:val="20"/>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Next, express the acceleration a as a function of temperature T:</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a=ℏ2πckB​​T</w:t>
      </w:r>
    </w:p>
    <w:p w14:paraId="3AC9230E" w14:textId="77777777" w:rsidR="00B630BC" w:rsidRPr="003F3593" w:rsidRDefault="002172FE">
      <w:pPr>
        <w:numPr>
          <w:ilvl w:val="1"/>
          <w:numId w:val="20"/>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Substitute a into the energy equation:</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E=4ℓP2​AkB​T​(Eq. C.4)</w:t>
      </w:r>
    </w:p>
    <w:p w14:paraId="515295FE" w14:textId="77777777" w:rsidR="00B630BC" w:rsidRPr="003F3593" w:rsidRDefault="002172FE">
      <w:pPr>
        <w:numPr>
          <w:ilvl w:val="0"/>
          <w:numId w:val="19"/>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Calculation of the Heat Capacity: The heat capacity is the derivative of energy with respect to temperature. From equation C.4, the calculation is direct:</w:t>
      </w:r>
      <w:r w:rsidRPr="003F3593">
        <w:rPr>
          <w:rFonts w:ascii="Times New Roman" w:hAnsi="Times New Roman" w:cs="Times New Roman"/>
          <w:color w:val="000000"/>
          <w:sz w:val="24"/>
          <w:szCs w:val="24"/>
        </w:rPr>
        <w:br/>
      </w:r>
      <w:r w:rsidRPr="003F3593">
        <w:rPr>
          <w:rFonts w:ascii="Times New Roman" w:eastAsia="Google Sans Text" w:hAnsi="Times New Roman" w:cs="Times New Roman"/>
          <w:color w:val="1B1C1D"/>
          <w:sz w:val="24"/>
          <w:szCs w:val="24"/>
        </w:rPr>
        <w:t>CV​=dTdE​=4ℓP2​AkB​​(Eq. C.5)</w:t>
      </w:r>
    </w:p>
    <w:p w14:paraId="3E975F4B"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502F9C08"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color w:val="1B1C1D"/>
          <w:sz w:val="24"/>
          <w:szCs w:val="24"/>
        </w:rPr>
        <w:t>This result is a rigorous consequence of the principles of the AQE, conditional on the initial postulate of the area law.</w:t>
      </w:r>
    </w:p>
    <w:p w14:paraId="4D81CC4D" w14:textId="77777777" w:rsidR="00B630BC" w:rsidRPr="00695001" w:rsidRDefault="002172FE">
      <w:pPr>
        <w:pBdr>
          <w:top w:val="nil"/>
          <w:left w:val="nil"/>
          <w:bottom w:val="nil"/>
          <w:right w:val="nil"/>
          <w:between w:val="nil"/>
        </w:pBdr>
        <w:spacing w:line="275" w:lineRule="auto"/>
        <w:rPr>
          <w:rFonts w:ascii="Times New Roman" w:eastAsia="Google Sans Text" w:hAnsi="Times New Roman" w:cs="Times New Roman"/>
          <w:b/>
          <w:bCs/>
          <w:sz w:val="24"/>
          <w:szCs w:val="24"/>
        </w:rPr>
      </w:pPr>
      <w:r w:rsidRPr="00695001">
        <w:rPr>
          <w:rFonts w:ascii="Times New Roman" w:eastAsia="Google Sans Text" w:hAnsi="Times New Roman" w:cs="Times New Roman"/>
          <w:b/>
          <w:bCs/>
          <w:sz w:val="24"/>
          <w:szCs w:val="24"/>
        </w:rPr>
        <w:t>C.11 Result: Coherence with the Logarithmic Correction</w:t>
      </w:r>
    </w:p>
    <w:p w14:paraId="0787874F"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We can now insert our result for CV​ (Eq. C.5) into the standard formula for the entropic correction due to fluctuations (Eq. C.1):</w:t>
      </w:r>
    </w:p>
    <w:p w14:paraId="755E934C"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ΔS≈−21​kB​ln(4ℓP2​AkB​​)</w:t>
      </w:r>
    </w:p>
    <w:p w14:paraId="4845D441"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Separating the terms, we obtain:</w:t>
      </w:r>
    </w:p>
    <w:p w14:paraId="39EC8F04"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ΔS≈−21​kB​[ln(ℓP2​A​)−ln4+lnkB​]</w:t>
      </w:r>
    </w:p>
    <w:p w14:paraId="43375848"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lastRenderedPageBreak/>
        <w:t>The second and third terms are constants independent of the area, which can be absorbed in the redefinition of the theory's constants. The relevant geometry-dependent correction is therefore:</w:t>
      </w:r>
    </w:p>
    <w:p w14:paraId="3D42951A"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ΔSlog​=−21​kB​ln(ℓP2​A​)</w:t>
      </w:r>
    </w:p>
    <w:p w14:paraId="3E5EE335"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Expressing the entropy in natural units (dividing by kB​), the logarithmic correction to the area law is Slog​=−21​ln(ℓP2​A​). The coefficient k is thus indeed 1/2.</w:t>
      </w:r>
    </w:p>
    <w:p w14:paraId="402798B0" w14:textId="103BB903" w:rsidR="00B630BC" w:rsidRPr="00695001"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Hypothesis (H_corr).</w:t>
      </w:r>
      <w:r w:rsidRPr="003F3593">
        <w:rPr>
          <w:rFonts w:ascii="Times New Roman" w:eastAsia="Google Sans Text" w:hAnsi="Times New Roman" w:cs="Times New Roman"/>
          <w:color w:val="1B1C1D"/>
          <w:sz w:val="24"/>
          <w:szCs w:val="24"/>
        </w:rPr>
        <w:t xml:space="preserve"> In what follows, we will use the logarithmic correction obtained above as an </w:t>
      </w:r>
      <w:r w:rsidRPr="003F3593">
        <w:rPr>
          <w:rFonts w:ascii="Times New Roman" w:eastAsia="Google Sans Text" w:hAnsi="Times New Roman" w:cs="Times New Roman"/>
          <w:i/>
          <w:color w:val="1B1C1D"/>
          <w:sz w:val="24"/>
          <w:szCs w:val="24"/>
        </w:rPr>
        <w:t>upper bound</w:t>
      </w:r>
      <w:r w:rsidRPr="003F3593">
        <w:rPr>
          <w:rFonts w:ascii="Times New Roman" w:eastAsia="Google Sans Text" w:hAnsi="Times New Roman" w:cs="Times New Roman"/>
          <w:color w:val="1B1C1D"/>
          <w:sz w:val="24"/>
          <w:szCs w:val="24"/>
        </w:rPr>
        <w:t xml:space="preserve"> on the maximum physically allowed entropy, and therefore on the capacity Cτ​ of the effective channel. In other words, the capacity cannot exceed the entropic bound corrected by Gaussian fluctuations at the critical point. This hypothesis encodes the strict non-saturation of the thermodynamic inequality chains and guarantees a </w:t>
      </w:r>
      <w:r w:rsidRPr="003F3593">
        <w:rPr>
          <w:rFonts w:ascii="Times New Roman" w:eastAsia="Google Sans Text" w:hAnsi="Times New Roman" w:cs="Times New Roman"/>
          <w:i/>
          <w:color w:val="1B1C1D"/>
          <w:sz w:val="24"/>
          <w:szCs w:val="24"/>
        </w:rPr>
        <w:t>minimal non-zero resilience</w:t>
      </w:r>
      <w:r w:rsidRPr="003F3593">
        <w:rPr>
          <w:rFonts w:ascii="Times New Roman" w:eastAsia="Google Sans Text" w:hAnsi="Times New Roman" w:cs="Times New Roman"/>
          <w:color w:val="1B1C1D"/>
          <w:sz w:val="24"/>
          <w:szCs w:val="24"/>
        </w:rPr>
        <w:t>.</w:t>
      </w:r>
    </w:p>
    <w:p w14:paraId="4A196616" w14:textId="77777777" w:rsidR="00B630BC" w:rsidRPr="00695001" w:rsidRDefault="002172FE">
      <w:pPr>
        <w:pBdr>
          <w:top w:val="nil"/>
          <w:left w:val="nil"/>
          <w:bottom w:val="nil"/>
          <w:right w:val="nil"/>
          <w:between w:val="nil"/>
        </w:pBdr>
        <w:spacing w:line="275" w:lineRule="auto"/>
        <w:rPr>
          <w:rFonts w:ascii="Times New Roman" w:eastAsia="Google Sans Text" w:hAnsi="Times New Roman" w:cs="Times New Roman"/>
          <w:b/>
          <w:bCs/>
          <w:sz w:val="24"/>
          <w:szCs w:val="24"/>
        </w:rPr>
      </w:pPr>
      <w:r w:rsidRPr="00695001">
        <w:rPr>
          <w:rFonts w:ascii="Times New Roman" w:eastAsia="Google Sans Text" w:hAnsi="Times New Roman" w:cs="Times New Roman"/>
          <w:b/>
          <w:bCs/>
          <w:sz w:val="24"/>
          <w:szCs w:val="24"/>
        </w:rPr>
        <w:t>C.12 Conclusion of the Appendix</w:t>
      </w:r>
    </w:p>
    <w:p w14:paraId="4B6E4524" w14:textId="3C41C19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This calculation demonstrates that the Einstein's Quantized Elevator model is mathematically and physically coherent with the expected structure of quantum corrections to black hole entropy. The fact that this novel synthesis of physical principles (Equivalence, Unruh, Landauer) reproduces, via a standard statistical mechanics calculation, the coefficient k=1/2 known from other theories² is a non-trivial result. It is not a prediction, but a powerful verification of the internal consistency of the ISI theoretical framework, reinforcing its credibility as a unifying model of the limits of information and gravitation.</w:t>
      </w:r>
      <w:r>
        <w:rPr>
          <w:rFonts w:ascii="Times New Roman" w:eastAsia="Google Sans Text" w:hAnsi="Times New Roman" w:cs="Times New Roman"/>
          <w:sz w:val="24"/>
          <w:szCs w:val="24"/>
        </w:rPr>
        <w:br/>
      </w:r>
    </w:p>
    <w:p w14:paraId="605F462D" w14:textId="77777777" w:rsidR="00B630BC" w:rsidRPr="002172FE" w:rsidRDefault="002172FE">
      <w:pPr>
        <w:pBdr>
          <w:top w:val="nil"/>
          <w:left w:val="nil"/>
          <w:bottom w:val="nil"/>
          <w:right w:val="nil"/>
          <w:between w:val="nil"/>
        </w:pBdr>
        <w:spacing w:line="275" w:lineRule="auto"/>
        <w:rPr>
          <w:rFonts w:ascii="Times New Roman" w:eastAsia="Google Sans Text" w:hAnsi="Times New Roman" w:cs="Times New Roman"/>
          <w:b/>
          <w:bCs/>
          <w:sz w:val="28"/>
          <w:szCs w:val="28"/>
        </w:rPr>
      </w:pPr>
      <w:r w:rsidRPr="002172FE">
        <w:rPr>
          <w:rFonts w:ascii="Times New Roman" w:eastAsia="Google Sans Text" w:hAnsi="Times New Roman" w:cs="Times New Roman"/>
          <w:b/>
          <w:bCs/>
          <w:sz w:val="28"/>
          <w:szCs w:val="28"/>
        </w:rPr>
        <w:t>Appendix E - Detailed proofs of Theorems 3 and 4</w:t>
      </w:r>
    </w:p>
    <w:p w14:paraId="42140CDB"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 xml:space="preserve">Preliminaries. Notations and lemmas as in Appendix A: (i) discrete metric </w:t>
      </w:r>
      <w:r w:rsidRPr="003F3593">
        <w:rPr>
          <w:rFonts w:ascii="Cambria Math" w:eastAsia="Google Sans Text" w:hAnsi="Cambria Math" w:cs="Cambria Math"/>
          <w:sz w:val="24"/>
          <w:szCs w:val="24"/>
        </w:rPr>
        <w:t>⇒</w:t>
      </w:r>
      <w:r w:rsidRPr="003F3593">
        <w:rPr>
          <w:rFonts w:ascii="Times New Roman" w:eastAsia="Google Sans Text" w:hAnsi="Times New Roman" w:cs="Times New Roman"/>
          <w:sz w:val="24"/>
          <w:szCs w:val="24"/>
        </w:rPr>
        <w:t>W1​=21​</w:t>
      </w:r>
      <w:r w:rsidRPr="003F3593">
        <w:rPr>
          <w:rFonts w:ascii="Cambria Math" w:eastAsia="Google Sans Text" w:hAnsi="Cambria Math" w:cs="Cambria Math"/>
          <w:sz w:val="24"/>
          <w:szCs w:val="24"/>
        </w:rPr>
        <w:t>⋅</w:t>
      </w:r>
      <w:r w:rsidRPr="003F3593">
        <w:rPr>
          <w:rFonts w:ascii="Times New Roman" w:eastAsia="Google Sans Text" w:hAnsi="Times New Roman" w:cs="Times New Roman"/>
          <w:sz w:val="24"/>
          <w:szCs w:val="24"/>
        </w:rPr>
        <w:t>TV (Lemma 1); (ii) L1-Lipschitz of the softmax (Lemma 2); (iii) ICA per row (Lemma 3); (iv) Th. 1-2 provide κmin​≥κ0​&gt;0 (global/local).</w:t>
      </w:r>
    </w:p>
    <w:p w14:paraId="163E059A"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Proof of Th. 3 (W1 contraction).</w:t>
      </w:r>
      <w:r w:rsidRPr="003F3593">
        <w:rPr>
          <w:rFonts w:ascii="Times New Roman" w:eastAsia="Google Sans Text" w:hAnsi="Times New Roman" w:cs="Times New Roman"/>
          <w:color w:val="1B1C1D"/>
          <w:sz w:val="24"/>
          <w:szCs w:val="24"/>
        </w:rPr>
        <w:t xml:space="preserve"> By definition κ(x,y)=1−W1​(Px​,Py​)/d(x,y). With κmin​≥κ0​&gt;0, we have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x=y:W1​(Px​,Py​)≤(1−κ0​)d(x,y). By Kantorovich duality and linearity of P, it follows that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μ,ν:W1​(μP,νP)≤(1−κ0​)W1​(μ,ν). In a discrete metric, this implies TV(μP,νP)≤(1−κ0​)TV(μ,ν).</w:t>
      </w:r>
    </w:p>
    <w:p w14:paraId="6469A8D4"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Link with DAP.</w:t>
      </w:r>
      <w:r w:rsidRPr="003F3593">
        <w:rPr>
          <w:rFonts w:ascii="Times New Roman" w:eastAsia="Google Sans Text" w:hAnsi="Times New Roman" w:cs="Times New Roman"/>
          <w:color w:val="1B1C1D"/>
          <w:sz w:val="24"/>
          <w:szCs w:val="24"/>
        </w:rPr>
        <w:t xml:space="preserve"> - Appendix B: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ΔP(ϵ)</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∂P/∂ϕ</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ϵ (1st order), hence TV≤c</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V(ϵ) for a constant c depending on β=1/τ (Lemma 2). Applying Th. 3 gives TV(μP,νP)≤(1−κ0​)c</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V(ϵ). With the Taylor approximation from Appendix B, TV(pϵ​,p0​)≤cV(ϵ), where c=2τmin​1​.</w:t>
      </w:r>
    </w:p>
    <w:p w14:paraId="447EBC95" w14:textId="77777777" w:rsidR="00B630BC" w:rsidRPr="003F3593" w:rsidRDefault="002172FE">
      <w:pPr>
        <w:pBdr>
          <w:top w:val="nil"/>
          <w:left w:val="nil"/>
          <w:bottom w:val="nil"/>
          <w:right w:val="nil"/>
          <w:between w:val="nil"/>
        </w:pBdr>
        <w:spacing w:after="240" w:line="275" w:lineRule="auto"/>
        <w:rPr>
          <w:rFonts w:ascii="Times New Roman" w:eastAsia="Google Sans Text" w:hAnsi="Times New Roman" w:cs="Times New Roman"/>
          <w:color w:val="1B1C1D"/>
          <w:sz w:val="24"/>
          <w:szCs w:val="24"/>
        </w:rPr>
      </w:pPr>
      <w:r w:rsidRPr="003F3593">
        <w:rPr>
          <w:rFonts w:ascii="Times New Roman" w:eastAsia="Google Sans Text" w:hAnsi="Times New Roman" w:cs="Times New Roman"/>
          <w:b/>
          <w:color w:val="1B1C1D"/>
          <w:sz w:val="24"/>
          <w:szCs w:val="24"/>
        </w:rPr>
        <w:t>Proof of Th. 4 (abstention).</w:t>
      </w:r>
      <w:r w:rsidRPr="003F3593">
        <w:rPr>
          <w:rFonts w:ascii="Times New Roman" w:eastAsia="Google Sans Text" w:hAnsi="Times New Roman" w:cs="Times New Roman"/>
          <w:color w:val="1B1C1D"/>
          <w:sz w:val="24"/>
          <w:szCs w:val="24"/>
        </w:rPr>
        <w:t xml:space="preserve"> - The rules (R6-ter/-bis) impose a structural condition: if κ≤0 (or ≤κ0​), the generation operator is short-circuited and no emission is produced; the probability of output in an unstable regime is therefore zero. In a stable regime, combining Th. 3 with the DAP approximation bounds the variation and confers the CLF: (bounded stability) </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xml:space="preserve"> (abstention).</w:t>
      </w:r>
    </w:p>
    <w:p w14:paraId="25F570AF"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53F09D80" w14:textId="77777777" w:rsidR="00B630BC" w:rsidRPr="004D36F1" w:rsidRDefault="002172FE">
      <w:pPr>
        <w:pBdr>
          <w:top w:val="nil"/>
          <w:left w:val="nil"/>
          <w:bottom w:val="nil"/>
          <w:right w:val="nil"/>
          <w:between w:val="nil"/>
        </w:pBdr>
        <w:spacing w:line="275" w:lineRule="auto"/>
        <w:rPr>
          <w:rFonts w:ascii="Times New Roman" w:eastAsia="Google Sans Text" w:hAnsi="Times New Roman" w:cs="Times New Roman"/>
          <w:b/>
          <w:bCs/>
          <w:sz w:val="28"/>
          <w:szCs w:val="28"/>
        </w:rPr>
      </w:pPr>
      <w:r w:rsidRPr="004D36F1">
        <w:rPr>
          <w:rFonts w:ascii="Times New Roman" w:eastAsia="Google Sans Text" w:hAnsi="Times New Roman" w:cs="Times New Roman"/>
          <w:b/>
          <w:bCs/>
          <w:sz w:val="28"/>
          <w:szCs w:val="28"/>
        </w:rPr>
        <w:t>Appendix F - Pseudo-codes and implementation details</w:t>
      </w:r>
    </w:p>
    <w:p w14:paraId="50D70C9E"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lastRenderedPageBreak/>
        <w:t>F.1 DAP (calibration of ϵ). Procedure from B.5 (Appendix B): search for max ϵ</w:t>
      </w:r>
      <w:r w:rsidRPr="003F3593">
        <w:rPr>
          <w:rFonts w:ascii="Cambria Math" w:eastAsia="Google Sans Text" w:hAnsi="Cambria Math" w:cs="Cambria Math"/>
          <w:sz w:val="24"/>
          <w:szCs w:val="24"/>
        </w:rPr>
        <w:t>∗</w:t>
      </w:r>
      <w:r w:rsidRPr="003F3593">
        <w:rPr>
          <w:rFonts w:ascii="Times New Roman" w:eastAsia="Google Sans Text" w:hAnsi="Times New Roman" w:cs="Times New Roman"/>
          <w:sz w:val="24"/>
          <w:szCs w:val="24"/>
        </w:rPr>
        <w:t>.</w:t>
      </w:r>
    </w:p>
    <w:p w14:paraId="650BF06C"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F.2 CLF Policy. - See Algorithm 2 (§3.3): thresholds (η,κ0​,α) published.</w:t>
      </w:r>
    </w:p>
    <w:p w14:paraId="16135613"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F.3 PIQ. - LMRL​, ICA constraint (</w:t>
      </w:r>
      <w:r w:rsidRPr="003F3593">
        <w:rPr>
          <w:rFonts w:ascii="Cambria Math" w:eastAsia="Google Sans Text" w:hAnsi="Cambria Math" w:cs="Cambria Math"/>
          <w:sz w:val="24"/>
          <w:szCs w:val="24"/>
        </w:rPr>
        <w:t>∣∣</w:t>
      </w:r>
      <w:r w:rsidRPr="003F3593">
        <w:rPr>
          <w:rFonts w:ascii="Times New Roman" w:eastAsia="Google Sans Text" w:hAnsi="Times New Roman" w:cs="Times New Roman"/>
          <w:sz w:val="24"/>
          <w:szCs w:val="24"/>
        </w:rPr>
        <w:t>A</w:t>
      </w:r>
      <w:r w:rsidRPr="003F3593">
        <w:rPr>
          <w:rFonts w:ascii="Cambria Math" w:eastAsia="Google Sans Text" w:hAnsi="Cambria Math" w:cs="Cambria Math"/>
          <w:sz w:val="24"/>
          <w:szCs w:val="24"/>
        </w:rPr>
        <w:t>∣∣</w:t>
      </w:r>
      <w:r w:rsidRPr="003F3593">
        <w:rPr>
          <w:rFonts w:ascii="Times New Roman" w:eastAsia="Google Sans Text" w:hAnsi="Times New Roman" w:cs="Times New Roman"/>
          <w:sz w:val="24"/>
          <w:szCs w:val="24"/>
        </w:rPr>
        <w:t>F​≤Cattn​), GTV, QC-Adam (hypersphere projection). Hyper-parameters and tolerances reported (Appendix H).</w:t>
      </w:r>
    </w:p>
    <w:p w14:paraId="7ED9CD86" w14:textId="5499DCA4"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F.4 Logging. - Save (V(ϵ), κ(x), p0​, Tdyn​, fallback flags) per token.</w:t>
      </w:r>
      <w:r w:rsidR="004D36F1">
        <w:rPr>
          <w:rFonts w:ascii="Times New Roman" w:eastAsia="Google Sans Text" w:hAnsi="Times New Roman" w:cs="Times New Roman"/>
          <w:sz w:val="24"/>
          <w:szCs w:val="24"/>
        </w:rPr>
        <w:br/>
      </w:r>
    </w:p>
    <w:p w14:paraId="04AE777B" w14:textId="77777777" w:rsidR="00B630BC" w:rsidRPr="004D36F1" w:rsidRDefault="002172FE">
      <w:pPr>
        <w:pBdr>
          <w:top w:val="nil"/>
          <w:left w:val="nil"/>
          <w:bottom w:val="nil"/>
          <w:right w:val="nil"/>
          <w:between w:val="nil"/>
        </w:pBdr>
        <w:spacing w:line="275" w:lineRule="auto"/>
        <w:rPr>
          <w:rFonts w:ascii="Times New Roman" w:eastAsia="Google Sans Text" w:hAnsi="Times New Roman" w:cs="Times New Roman"/>
          <w:b/>
          <w:bCs/>
          <w:sz w:val="28"/>
          <w:szCs w:val="28"/>
        </w:rPr>
      </w:pPr>
      <w:r w:rsidRPr="004D36F1">
        <w:rPr>
          <w:rFonts w:ascii="Times New Roman" w:eastAsia="Google Sans Text" w:hAnsi="Times New Roman" w:cs="Times New Roman"/>
          <w:b/>
          <w:bCs/>
          <w:sz w:val="28"/>
          <w:szCs w:val="28"/>
        </w:rPr>
        <w:t>Appendix G - Extended Protocols and Result Templates</w:t>
      </w:r>
    </w:p>
    <w:p w14:paraId="342A6F71"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G.1 Datasets, splits, quality filters, contamination checks.</w:t>
      </w:r>
    </w:p>
    <w:p w14:paraId="5B022002"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G.2 Scripts. - Exact commands (inference, scoring, bootstrap, CI).</w:t>
      </w:r>
    </w:p>
    <w:p w14:paraId="7B92E462"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G.3 Human evaluation. - 2 annotators, adjudication, Cohen's κ.</w:t>
      </w:r>
    </w:p>
    <w:p w14:paraId="4D5086E0" w14:textId="2DB25200"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G.4 Templates for tables 5b-1..5b-5 (CSV/LaTeX provided in repository).</w:t>
      </w:r>
      <w:r w:rsidR="004D36F1">
        <w:rPr>
          <w:rFonts w:ascii="Times New Roman" w:eastAsia="Google Sans Text" w:hAnsi="Times New Roman" w:cs="Times New Roman"/>
          <w:sz w:val="24"/>
          <w:szCs w:val="24"/>
        </w:rPr>
        <w:br/>
      </w:r>
    </w:p>
    <w:p w14:paraId="25532235" w14:textId="77777777" w:rsidR="00B630BC" w:rsidRPr="004D36F1" w:rsidRDefault="002172FE">
      <w:pPr>
        <w:pBdr>
          <w:top w:val="nil"/>
          <w:left w:val="nil"/>
          <w:bottom w:val="nil"/>
          <w:right w:val="nil"/>
          <w:between w:val="nil"/>
        </w:pBdr>
        <w:spacing w:line="275" w:lineRule="auto"/>
        <w:rPr>
          <w:rFonts w:ascii="Times New Roman" w:eastAsia="Google Sans Text" w:hAnsi="Times New Roman" w:cs="Times New Roman"/>
          <w:b/>
          <w:bCs/>
          <w:sz w:val="28"/>
          <w:szCs w:val="28"/>
        </w:rPr>
      </w:pPr>
      <w:r w:rsidRPr="004D36F1">
        <w:rPr>
          <w:rFonts w:ascii="Times New Roman" w:eastAsia="Google Sans Text" w:hAnsi="Times New Roman" w:cs="Times New Roman"/>
          <w:b/>
          <w:bCs/>
          <w:sz w:val="28"/>
          <w:szCs w:val="28"/>
        </w:rPr>
        <w:t>Appendix H - Artifacts &amp; Reproducibility</w:t>
      </w:r>
    </w:p>
    <w:p w14:paraId="01541523"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H.1 Dependencies (exact versions). H.2 Hardware (GPU/CPU, RAM).</w:t>
      </w:r>
    </w:p>
    <w:p w14:paraId="11BB96F1"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H.3 Weights/patches (70B/13B). H.4 E2E Commands (TruthfulQA/HaluEval/..).</w:t>
      </w:r>
    </w:p>
    <w:p w14:paraId="649A4A01" w14:textId="77777777" w:rsidR="00B630BC" w:rsidRPr="003F3593" w:rsidRDefault="002172FE">
      <w:pPr>
        <w:pBdr>
          <w:top w:val="nil"/>
          <w:left w:val="nil"/>
          <w:bottom w:val="nil"/>
          <w:right w:val="nil"/>
          <w:between w:val="nil"/>
        </w:pBdr>
        <w:spacing w:line="275" w:lineRule="auto"/>
        <w:rPr>
          <w:rFonts w:ascii="Times New Roman" w:eastAsia="Google Sans Text" w:hAnsi="Times New Roman" w:cs="Times New Roman"/>
          <w:sz w:val="24"/>
          <w:szCs w:val="24"/>
        </w:rPr>
      </w:pPr>
      <w:r w:rsidRPr="003F3593">
        <w:rPr>
          <w:rFonts w:ascii="Times New Roman" w:eastAsia="Google Sans Text" w:hAnsi="Times New Roman" w:cs="Times New Roman"/>
          <w:sz w:val="24"/>
          <w:szCs w:val="24"/>
        </w:rPr>
        <w:t>H.5 Artifacts Checklist (in progress under constrained resources)</w:t>
      </w:r>
    </w:p>
    <w:p w14:paraId="0E160562" w14:textId="77777777" w:rsidR="00B630BC" w:rsidRPr="003F3593" w:rsidRDefault="002172FE">
      <w:pPr>
        <w:numPr>
          <w:ilvl w:val="0"/>
          <w:numId w:val="2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 ] Public code repository (license, CITATION.cff, README).</w:t>
      </w:r>
    </w:p>
    <w:p w14:paraId="7DD949E1" w14:textId="77777777" w:rsidR="00B630BC" w:rsidRPr="003F3593" w:rsidRDefault="002172FE">
      <w:pPr>
        <w:numPr>
          <w:ilvl w:val="0"/>
          <w:numId w:val="2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 ] Seeds, configs (τmin​,Cattn​,R,γ,α,η,κ0​,ϵ</w:t>
      </w:r>
      <w:r w:rsidRPr="003F3593">
        <w:rPr>
          <w:rFonts w:ascii="Cambria Math" w:eastAsia="Google Sans Text" w:hAnsi="Cambria Math" w:cs="Cambria Math"/>
          <w:color w:val="1B1C1D"/>
          <w:sz w:val="24"/>
          <w:szCs w:val="24"/>
        </w:rPr>
        <w:t>∗</w:t>
      </w:r>
      <w:r w:rsidRPr="003F3593">
        <w:rPr>
          <w:rFonts w:ascii="Times New Roman" w:eastAsia="Google Sans Text" w:hAnsi="Times New Roman" w:cs="Times New Roman"/>
          <w:color w:val="1B1C1D"/>
          <w:sz w:val="24"/>
          <w:szCs w:val="24"/>
        </w:rPr>
        <w:t>), exact versions (CUDA, PyTorch, HF).</w:t>
      </w:r>
    </w:p>
    <w:p w14:paraId="13F42F4F" w14:textId="77777777" w:rsidR="00B630BC" w:rsidRPr="003F3593" w:rsidRDefault="002172FE">
      <w:pPr>
        <w:numPr>
          <w:ilvl w:val="0"/>
          <w:numId w:val="2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 ] Prompts &amp; judges (TruthfulQA/HaluEval/LLM-judge), commits and URLs of datasets.</w:t>
      </w:r>
    </w:p>
    <w:p w14:paraId="19C792D6" w14:textId="77777777" w:rsidR="00B630BC" w:rsidRPr="003F3593" w:rsidRDefault="002172FE">
      <w:pPr>
        <w:numPr>
          <w:ilvl w:val="0"/>
          <w:numId w:val="2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 ] E2E scripts (TruthfulQA/HaluEval), time/costs (p50/p95), memory and energy (proxy).</w:t>
      </w:r>
    </w:p>
    <w:p w14:paraId="1858EADF" w14:textId="77777777" w:rsidR="00B630BC" w:rsidRPr="003F3593" w:rsidRDefault="002172FE">
      <w:pPr>
        <w:numPr>
          <w:ilvl w:val="0"/>
          <w:numId w:val="2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 ] CLF logs per token (V, K, p0, T_dyn, R6) - 1% raw + aggregated.</w:t>
      </w:r>
    </w:p>
    <w:p w14:paraId="2637194C" w14:textId="77777777" w:rsidR="00B630BC" w:rsidRPr="003F3593" w:rsidRDefault="002172FE">
      <w:pPr>
        <w:numPr>
          <w:ilvl w:val="0"/>
          <w:numId w:val="2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 ] CSV tables (5b-1..5b-5) with 95% CIs, p-values, h (Cohen).</w:t>
      </w:r>
    </w:p>
    <w:p w14:paraId="2AD23980" w14:textId="77777777" w:rsidR="00B630BC" w:rsidRPr="003F3593" w:rsidRDefault="002172FE">
      <w:pPr>
        <w:numPr>
          <w:ilvl w:val="0"/>
          <w:numId w:val="2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 ] Human annotation report: guide, 3+ annotators, κ (Cohen) ≥0.7, adjudication.</w:t>
      </w:r>
    </w:p>
    <w:p w14:paraId="5DF4A283" w14:textId="77777777" w:rsidR="00B630BC" w:rsidRPr="003F3593" w:rsidRDefault="002172FE">
      <w:pPr>
        <w:numPr>
          <w:ilvl w:val="0"/>
          <w:numId w:val="21"/>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 ] LLM-judge audit: order randomization, verbosity normalization, human-LLM agreement (~80%).</w:t>
      </w:r>
    </w:p>
    <w:p w14:paraId="0D0B7294" w14:textId="77777777" w:rsidR="00B630BC" w:rsidRPr="003F3593" w:rsidRDefault="002172FE">
      <w:pPr>
        <w:numPr>
          <w:ilvl w:val="0"/>
          <w:numId w:val="21"/>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 ] DOI (Zenodo/HF) for frozen versions (code, 13B weights/LoRA patch).</w:t>
      </w:r>
    </w:p>
    <w:p w14:paraId="06C3B5A1" w14:textId="77777777" w:rsidR="00B630BC" w:rsidRPr="003F3593" w:rsidRDefault="00B630BC">
      <w:pPr>
        <w:pBdr>
          <w:top w:val="nil"/>
          <w:left w:val="nil"/>
          <w:bottom w:val="nil"/>
          <w:right w:val="nil"/>
          <w:between w:val="nil"/>
        </w:pBdr>
        <w:spacing w:after="240" w:line="275" w:lineRule="auto"/>
        <w:rPr>
          <w:rFonts w:ascii="Times New Roman" w:eastAsia="Google Sans" w:hAnsi="Times New Roman" w:cs="Times New Roman"/>
          <w:color w:val="1B1C1D"/>
          <w:sz w:val="24"/>
          <w:szCs w:val="24"/>
        </w:rPr>
      </w:pPr>
    </w:p>
    <w:p w14:paraId="1D1B920B" w14:textId="77777777" w:rsidR="00B630BC" w:rsidRPr="004D36F1" w:rsidRDefault="002172FE">
      <w:pPr>
        <w:pBdr>
          <w:top w:val="nil"/>
          <w:left w:val="nil"/>
          <w:bottom w:val="nil"/>
          <w:right w:val="nil"/>
          <w:between w:val="nil"/>
        </w:pBdr>
        <w:spacing w:after="120" w:line="275" w:lineRule="auto"/>
        <w:rPr>
          <w:rFonts w:ascii="Times New Roman" w:eastAsia="Google Sans Text" w:hAnsi="Times New Roman" w:cs="Times New Roman"/>
          <w:b/>
          <w:color w:val="1B1C1D"/>
          <w:sz w:val="28"/>
          <w:szCs w:val="28"/>
        </w:rPr>
      </w:pPr>
      <w:r w:rsidRPr="004D36F1">
        <w:rPr>
          <w:rFonts w:ascii="Times New Roman" w:eastAsia="Google Sans Text" w:hAnsi="Times New Roman" w:cs="Times New Roman"/>
          <w:b/>
          <w:color w:val="1B1C1D"/>
          <w:sz w:val="28"/>
          <w:szCs w:val="28"/>
        </w:rPr>
        <w:t>References</w:t>
      </w:r>
    </w:p>
    <w:p w14:paraId="45BE7E72"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R. Landauer (1961). "Irreversibility and Heat Generation in the Computing Process." IBM Journal of Research and Development 5(3): 183-191.</w:t>
      </w:r>
    </w:p>
    <w:p w14:paraId="3805BC13"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J. D. Bekenstein (1973). "Black Holes and Entropy." Physical Review D 7: 2333-2346.</w:t>
      </w:r>
    </w:p>
    <w:p w14:paraId="4F0CE484"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S. W. Hawking (1974). "Black hole explosions?" Nature 248: 30-31.</w:t>
      </w:r>
    </w:p>
    <w:p w14:paraId="3CA77DF6"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S. W. Hawking (1975). "Particle Creation by Black Holes." Communications in Mathematical Physics 43: 199-220.</w:t>
      </w:r>
    </w:p>
    <w:p w14:paraId="00981053"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W. G. Unruh (1976). "Notes on black-hole evaporation." Physical Review D 14: 870-892.</w:t>
      </w:r>
    </w:p>
    <w:p w14:paraId="64B6FE57"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C. E. Shannon (1948). "A Mathematical Theory of Communication." Bell System Technical Journal 27: 379-423, 623-656.</w:t>
      </w:r>
    </w:p>
    <w:p w14:paraId="5B4846AB"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Y. Ollivier (2009). "Ricci curvature of Markov chains on metric spaces." Journal of Functional Analysis 256: 810-864.</w:t>
      </w:r>
    </w:p>
    <w:p w14:paraId="7ECBE51C"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lastRenderedPageBreak/>
        <w:t>R. Bousso (2002). "The holographic principle." Reviews of Modern Physics 74: 825-874.</w:t>
      </w:r>
    </w:p>
    <w:p w14:paraId="6F215EF3"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L. Susskind (1995). "The World as a Hologram." Journal of Mathematical Physics 36: 6377-6396.</w:t>
      </w:r>
    </w:p>
    <w:p w14:paraId="6E44932D"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A. Vaswani et al. (2017). "Attention Is All You Need." NeurIPS 2017; arXiv:1706.03762.</w:t>
      </w:r>
    </w:p>
    <w:p w14:paraId="57CF0BC6"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J. Devlin et al. (2019). "BERT: Pre-training of Deep Bidirectional Transformers for Language Understanding." NAACL 2019; arXiv:1810.04805.</w:t>
      </w:r>
    </w:p>
    <w:p w14:paraId="3D039075" w14:textId="77777777" w:rsidR="00B630BC" w:rsidRPr="003F3593" w:rsidRDefault="002172FE">
      <w:pPr>
        <w:numPr>
          <w:ilvl w:val="0"/>
          <w:numId w:val="22"/>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T. Brown et al. (2020). "Language Models are Few-Shot Learners." NeurIPS 2020; arXiv:2005.14165.</w:t>
      </w:r>
    </w:p>
    <w:p w14:paraId="57C23418" w14:textId="1FEB24F8" w:rsidR="00B630BC" w:rsidRPr="005B077C" w:rsidRDefault="002172FE" w:rsidP="005B077C">
      <w:pPr>
        <w:numPr>
          <w:ilvl w:val="0"/>
          <w:numId w:val="22"/>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A. Papineni et al. (2002). "BLEU: a Method for Automatic Evaluation of Machine Translation." ACL 2002.</w:t>
      </w:r>
    </w:p>
    <w:p w14:paraId="505550DD" w14:textId="77777777" w:rsidR="00B630BC" w:rsidRPr="003F3593" w:rsidRDefault="002172FE">
      <w:pPr>
        <w:numPr>
          <w:ilvl w:val="0"/>
          <w:numId w:val="23"/>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C.-Y. Lin (2004). "ROUGE: A Package for Automatic Evaluation of Summaries." ACL Workshop 2004.</w:t>
      </w:r>
    </w:p>
    <w:p w14:paraId="740C0772" w14:textId="77777777" w:rsidR="00B630BC" w:rsidRPr="003F3593" w:rsidRDefault="002172FE">
      <w:pPr>
        <w:numPr>
          <w:ilvl w:val="0"/>
          <w:numId w:val="23"/>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Meta AI (2023). "LLAMA 2: Open Foundation and Fine-Tuned Chat Models." arXiv:2307.09288.</w:t>
      </w:r>
    </w:p>
    <w:p w14:paraId="0C86A677" w14:textId="77777777" w:rsidR="00B630BC" w:rsidRPr="003F3593" w:rsidRDefault="002172FE">
      <w:pPr>
        <w:numPr>
          <w:ilvl w:val="0"/>
          <w:numId w:val="23"/>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S. Lin, J. Hilton, O. Evans (2022). "TruthfulQA: Measuring How Models Mimic Human Falsehoods." ACL 2022; arXiv:2109.07958.</w:t>
      </w:r>
    </w:p>
    <w:p w14:paraId="24ACD50F" w14:textId="77777777" w:rsidR="00B630BC" w:rsidRPr="003F3593" w:rsidRDefault="002172FE">
      <w:pPr>
        <w:numPr>
          <w:ilvl w:val="0"/>
          <w:numId w:val="23"/>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"Truth Knows No Language: Evaluating Truthfulness Beyond English", (reference from manuscript).</w:t>
      </w:r>
    </w:p>
    <w:p w14:paraId="15767246" w14:textId="77777777" w:rsidR="00B630BC" w:rsidRPr="003F3593" w:rsidRDefault="002172FE">
      <w:pPr>
        <w:numPr>
          <w:ilvl w:val="0"/>
          <w:numId w:val="23"/>
        </w:numPr>
        <w:pBdr>
          <w:top w:val="nil"/>
          <w:left w:val="nil"/>
          <w:bottom w:val="nil"/>
          <w:right w:val="nil"/>
          <w:between w:val="nil"/>
        </w:pBdr>
        <w:spacing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(Duplicate reference)</w:t>
      </w:r>
    </w:p>
    <w:p w14:paraId="7C0AA864" w14:textId="77777777" w:rsidR="00B630BC" w:rsidRPr="003F3593" w:rsidRDefault="002172FE">
      <w:pPr>
        <w:numPr>
          <w:ilvl w:val="0"/>
          <w:numId w:val="23"/>
        </w:numPr>
        <w:pBdr>
          <w:top w:val="nil"/>
          <w:left w:val="nil"/>
          <w:bottom w:val="nil"/>
          <w:right w:val="nil"/>
          <w:between w:val="nil"/>
        </w:pBdr>
        <w:spacing w:after="120" w:line="275" w:lineRule="auto"/>
        <w:rPr>
          <w:rFonts w:ascii="Times New Roman" w:hAnsi="Times New Roman" w:cs="Times New Roman"/>
          <w:sz w:val="24"/>
          <w:szCs w:val="24"/>
        </w:rPr>
      </w:pPr>
      <w:r w:rsidRPr="003F3593">
        <w:rPr>
          <w:rFonts w:ascii="Times New Roman" w:eastAsia="Google Sans Text" w:hAnsi="Times New Roman" w:cs="Times New Roman"/>
          <w:color w:val="1B1C1D"/>
          <w:sz w:val="24"/>
          <w:szCs w:val="24"/>
        </w:rPr>
        <w:t>A. M. (OpenReview 2025). "The Geometry of Attention: Ricci Curvature and Transformers Training and Robustness." (OpenReview version).</w:t>
      </w:r>
    </w:p>
    <w:sectPr w:rsidR="00B630BC" w:rsidRPr="003F3593">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F9398" w14:textId="77777777" w:rsidR="00226C28" w:rsidRDefault="00226C28" w:rsidP="00226C28">
      <w:r>
        <w:separator/>
      </w:r>
    </w:p>
  </w:endnote>
  <w:endnote w:type="continuationSeparator" w:id="0">
    <w:p w14:paraId="7CCCD9B7" w14:textId="77777777" w:rsidR="00226C28" w:rsidRDefault="00226C28" w:rsidP="0022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FDDB8655-4713-46A8-8F81-B1FCB7437139}"/>
    <w:embedItalic r:id="rId2" w:fontKey="{80D2FD6F-9256-406F-A4FF-7352BC1F8164}"/>
  </w:font>
  <w:font w:name="Google Sans">
    <w:charset w:val="00"/>
    <w:family w:val="auto"/>
    <w:pitch w:val="default"/>
    <w:embedRegular r:id="rId3" w:fontKey="{B9D2E869-2A08-4232-91E7-B07F38B00F31}"/>
  </w:font>
  <w:font w:name="Google Sans Text">
    <w:altName w:val="Calibri"/>
    <w:charset w:val="00"/>
    <w:family w:val="auto"/>
    <w:pitch w:val="default"/>
    <w:embedRegular r:id="rId4" w:fontKey="{FE7B0846-3427-4490-9B84-300892711684}"/>
    <w:embedBold r:id="rId5" w:fontKey="{0B047EF2-FBD9-4B78-B8F4-F5FF18B7A7ED}"/>
    <w:embedItalic r:id="rId6" w:fontKey="{921E83F6-5FA3-4947-BFA0-9ACF97BCAC60}"/>
  </w:font>
  <w:font w:name="Cambria Math">
    <w:panose1 w:val="02040503050406030204"/>
    <w:charset w:val="00"/>
    <w:family w:val="roman"/>
    <w:pitch w:val="variable"/>
    <w:sig w:usb0="E00006FF" w:usb1="420024FF" w:usb2="02000000" w:usb3="00000000" w:csb0="0000019F" w:csb1="00000000"/>
    <w:embedRegular r:id="rId7" w:fontKey="{5560B9FD-04BD-4795-A269-7DBA200D5435}"/>
    <w:embedBold r:id="rId8" w:fontKey="{B8AE1BAA-6AC7-40C4-B926-E569FC8FC649}"/>
  </w:font>
  <w:font w:name="Calibri">
    <w:panose1 w:val="020F0502020204030204"/>
    <w:charset w:val="00"/>
    <w:family w:val="swiss"/>
    <w:pitch w:val="variable"/>
    <w:sig w:usb0="E4002EFF" w:usb1="C200247B" w:usb2="00000009" w:usb3="00000000" w:csb0="000001FF" w:csb1="00000000"/>
    <w:embedRegular r:id="rId9" w:fontKey="{ECAF6803-2BFC-474A-B9F9-830FFF4E8B50}"/>
  </w:font>
  <w:font w:name="Cambria">
    <w:panose1 w:val="02040503050406030204"/>
    <w:charset w:val="00"/>
    <w:family w:val="roman"/>
    <w:pitch w:val="variable"/>
    <w:sig w:usb0="E00006FF" w:usb1="420024FF" w:usb2="02000000" w:usb3="00000000" w:csb0="0000019F" w:csb1="00000000"/>
    <w:embedRegular r:id="rId10" w:fontKey="{8C725C22-9AA8-4215-9B52-986BFA45FB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117451"/>
      <w:docPartObj>
        <w:docPartGallery w:val="Page Numbers (Bottom of Page)"/>
        <w:docPartUnique/>
      </w:docPartObj>
    </w:sdtPr>
    <w:sdtEndPr/>
    <w:sdtContent>
      <w:p w14:paraId="7722FDFB" w14:textId="59B2FAF4" w:rsidR="00226C28" w:rsidRDefault="00226C28">
        <w:pPr>
          <w:pStyle w:val="Pieddepage"/>
          <w:jc w:val="right"/>
        </w:pPr>
        <w:r>
          <w:fldChar w:fldCharType="begin"/>
        </w:r>
        <w:r>
          <w:instrText>PAGE   \* MERGEFORMAT</w:instrText>
        </w:r>
        <w:r>
          <w:fldChar w:fldCharType="separate"/>
        </w:r>
        <w:r>
          <w:t>2</w:t>
        </w:r>
        <w:r>
          <w:fldChar w:fldCharType="end"/>
        </w:r>
      </w:p>
    </w:sdtContent>
  </w:sdt>
  <w:p w14:paraId="02A52544" w14:textId="77777777" w:rsidR="00226C28" w:rsidRDefault="00226C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DA5AE" w14:textId="77777777" w:rsidR="00226C28" w:rsidRDefault="00226C28" w:rsidP="00226C28">
      <w:r>
        <w:separator/>
      </w:r>
    </w:p>
  </w:footnote>
  <w:footnote w:type="continuationSeparator" w:id="0">
    <w:p w14:paraId="5F3A0551" w14:textId="77777777" w:rsidR="00226C28" w:rsidRDefault="00226C28" w:rsidP="00226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7C75"/>
    <w:multiLevelType w:val="multilevel"/>
    <w:tmpl w:val="BB3C97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BFB58DD"/>
    <w:multiLevelType w:val="multilevel"/>
    <w:tmpl w:val="A0BE121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93B2340"/>
    <w:multiLevelType w:val="multilevel"/>
    <w:tmpl w:val="0C74328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CFB70E8"/>
    <w:multiLevelType w:val="multilevel"/>
    <w:tmpl w:val="62805B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1D0338F5"/>
    <w:multiLevelType w:val="multilevel"/>
    <w:tmpl w:val="92DC6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3BB6619"/>
    <w:multiLevelType w:val="multilevel"/>
    <w:tmpl w:val="33C8E7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23FA753E"/>
    <w:multiLevelType w:val="multilevel"/>
    <w:tmpl w:val="5846C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25817669"/>
    <w:multiLevelType w:val="multilevel"/>
    <w:tmpl w:val="C8A855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29794E16"/>
    <w:multiLevelType w:val="multilevel"/>
    <w:tmpl w:val="CAD629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2DB953D9"/>
    <w:multiLevelType w:val="multilevel"/>
    <w:tmpl w:val="0AEECA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2DE850D9"/>
    <w:multiLevelType w:val="multilevel"/>
    <w:tmpl w:val="A816F4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36563811"/>
    <w:multiLevelType w:val="multilevel"/>
    <w:tmpl w:val="56E2B5B0"/>
    <w:lvl w:ilvl="0">
      <w:start w:val="1"/>
      <w:numFmt w:val="bullet"/>
      <w:lvlText w:val="●"/>
      <w:lvlJc w:val="left"/>
      <w:pPr>
        <w:ind w:left="10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39BC1DE0"/>
    <w:multiLevelType w:val="multilevel"/>
    <w:tmpl w:val="9CD4089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3A225B44"/>
    <w:multiLevelType w:val="multilevel"/>
    <w:tmpl w:val="16EA50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3B56237D"/>
    <w:multiLevelType w:val="multilevel"/>
    <w:tmpl w:val="728259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481347EE"/>
    <w:multiLevelType w:val="multilevel"/>
    <w:tmpl w:val="75D02B8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498F2F30"/>
    <w:multiLevelType w:val="multilevel"/>
    <w:tmpl w:val="FB44FB7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4A1B2930"/>
    <w:multiLevelType w:val="multilevel"/>
    <w:tmpl w:val="9552F8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4F105188"/>
    <w:multiLevelType w:val="multilevel"/>
    <w:tmpl w:val="0FA801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529907C0"/>
    <w:multiLevelType w:val="multilevel"/>
    <w:tmpl w:val="153E66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578E2A8D"/>
    <w:multiLevelType w:val="multilevel"/>
    <w:tmpl w:val="187A5C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5A942952"/>
    <w:multiLevelType w:val="multilevel"/>
    <w:tmpl w:val="D27219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5D387449"/>
    <w:multiLevelType w:val="multilevel"/>
    <w:tmpl w:val="C06C60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5D65454A"/>
    <w:multiLevelType w:val="multilevel"/>
    <w:tmpl w:val="B38EEA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65234B72"/>
    <w:multiLevelType w:val="multilevel"/>
    <w:tmpl w:val="373A23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65762D5B"/>
    <w:multiLevelType w:val="multilevel"/>
    <w:tmpl w:val="8C1A538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68166F5C"/>
    <w:multiLevelType w:val="multilevel"/>
    <w:tmpl w:val="EF8C56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15:restartNumberingAfterBreak="0">
    <w:nsid w:val="69110B32"/>
    <w:multiLevelType w:val="multilevel"/>
    <w:tmpl w:val="7E82B59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6B501F74"/>
    <w:multiLevelType w:val="multilevel"/>
    <w:tmpl w:val="32A8AEC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15:restartNumberingAfterBreak="0">
    <w:nsid w:val="737C1A65"/>
    <w:multiLevelType w:val="multilevel"/>
    <w:tmpl w:val="7FAEA9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15:restartNumberingAfterBreak="0">
    <w:nsid w:val="760D320D"/>
    <w:multiLevelType w:val="multilevel"/>
    <w:tmpl w:val="BBBA82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7A4E659A"/>
    <w:multiLevelType w:val="multilevel"/>
    <w:tmpl w:val="444ECD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15:restartNumberingAfterBreak="0">
    <w:nsid w:val="7C436BE1"/>
    <w:multiLevelType w:val="multilevel"/>
    <w:tmpl w:val="B28A0B9C"/>
    <w:lvl w:ilvl="0">
      <w:start w:val="14"/>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15:restartNumberingAfterBreak="0">
    <w:nsid w:val="7CB21BF1"/>
    <w:multiLevelType w:val="multilevel"/>
    <w:tmpl w:val="5328A3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15:restartNumberingAfterBreak="0">
    <w:nsid w:val="7EAE1BCA"/>
    <w:multiLevelType w:val="multilevel"/>
    <w:tmpl w:val="B3D46A1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7EF720F1"/>
    <w:multiLevelType w:val="multilevel"/>
    <w:tmpl w:val="EAC401E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256865482">
    <w:abstractNumId w:val="28"/>
  </w:num>
  <w:num w:numId="2" w16cid:durableId="580406007">
    <w:abstractNumId w:val="13"/>
  </w:num>
  <w:num w:numId="3" w16cid:durableId="992415529">
    <w:abstractNumId w:val="4"/>
  </w:num>
  <w:num w:numId="4" w16cid:durableId="1488126397">
    <w:abstractNumId w:val="22"/>
  </w:num>
  <w:num w:numId="5" w16cid:durableId="1463113455">
    <w:abstractNumId w:val="33"/>
  </w:num>
  <w:num w:numId="6" w16cid:durableId="707753997">
    <w:abstractNumId w:val="17"/>
  </w:num>
  <w:num w:numId="7" w16cid:durableId="677926985">
    <w:abstractNumId w:val="18"/>
  </w:num>
  <w:num w:numId="8" w16cid:durableId="1713462914">
    <w:abstractNumId w:val="30"/>
  </w:num>
  <w:num w:numId="9" w16cid:durableId="408231197">
    <w:abstractNumId w:val="35"/>
  </w:num>
  <w:num w:numId="10" w16cid:durableId="737633949">
    <w:abstractNumId w:val="12"/>
  </w:num>
  <w:num w:numId="11" w16cid:durableId="936015575">
    <w:abstractNumId w:val="9"/>
  </w:num>
  <w:num w:numId="12" w16cid:durableId="284387953">
    <w:abstractNumId w:val="31"/>
  </w:num>
  <w:num w:numId="13" w16cid:durableId="2122608001">
    <w:abstractNumId w:val="0"/>
  </w:num>
  <w:num w:numId="14" w16cid:durableId="267354075">
    <w:abstractNumId w:val="3"/>
  </w:num>
  <w:num w:numId="15" w16cid:durableId="1040327711">
    <w:abstractNumId w:val="26"/>
  </w:num>
  <w:num w:numId="16" w16cid:durableId="1795056253">
    <w:abstractNumId w:val="23"/>
  </w:num>
  <w:num w:numId="17" w16cid:durableId="188686144">
    <w:abstractNumId w:val="6"/>
  </w:num>
  <w:num w:numId="18" w16cid:durableId="1532457456">
    <w:abstractNumId w:val="11"/>
  </w:num>
  <w:num w:numId="19" w16cid:durableId="2078554200">
    <w:abstractNumId w:val="25"/>
  </w:num>
  <w:num w:numId="20" w16cid:durableId="804813049">
    <w:abstractNumId w:val="34"/>
  </w:num>
  <w:num w:numId="21" w16cid:durableId="1560902633">
    <w:abstractNumId w:val="14"/>
  </w:num>
  <w:num w:numId="22" w16cid:durableId="1212884362">
    <w:abstractNumId w:val="2"/>
  </w:num>
  <w:num w:numId="23" w16cid:durableId="1347050507">
    <w:abstractNumId w:val="32"/>
  </w:num>
  <w:num w:numId="24" w16cid:durableId="471169530">
    <w:abstractNumId w:val="20"/>
  </w:num>
  <w:num w:numId="25" w16cid:durableId="264575800">
    <w:abstractNumId w:val="27"/>
  </w:num>
  <w:num w:numId="26" w16cid:durableId="1607036486">
    <w:abstractNumId w:val="24"/>
  </w:num>
  <w:num w:numId="27" w16cid:durableId="1349142671">
    <w:abstractNumId w:val="21"/>
  </w:num>
  <w:num w:numId="28" w16cid:durableId="981082076">
    <w:abstractNumId w:val="10"/>
  </w:num>
  <w:num w:numId="29" w16cid:durableId="578709094">
    <w:abstractNumId w:val="16"/>
  </w:num>
  <w:num w:numId="30" w16cid:durableId="948900786">
    <w:abstractNumId w:val="15"/>
  </w:num>
  <w:num w:numId="31" w16cid:durableId="1216814853">
    <w:abstractNumId w:val="1"/>
  </w:num>
  <w:num w:numId="32" w16cid:durableId="2138527131">
    <w:abstractNumId w:val="8"/>
  </w:num>
  <w:num w:numId="33" w16cid:durableId="1047028609">
    <w:abstractNumId w:val="5"/>
  </w:num>
  <w:num w:numId="34" w16cid:durableId="2043895798">
    <w:abstractNumId w:val="29"/>
  </w:num>
  <w:num w:numId="35" w16cid:durableId="2018386842">
    <w:abstractNumId w:val="7"/>
  </w:num>
  <w:num w:numId="36" w16cid:durableId="4279713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0BC"/>
    <w:rsid w:val="000113A8"/>
    <w:rsid w:val="000C2660"/>
    <w:rsid w:val="000F59B0"/>
    <w:rsid w:val="00124210"/>
    <w:rsid w:val="0013476F"/>
    <w:rsid w:val="00146177"/>
    <w:rsid w:val="00164BDD"/>
    <w:rsid w:val="00177E8B"/>
    <w:rsid w:val="00186E2C"/>
    <w:rsid w:val="001A1B48"/>
    <w:rsid w:val="001D3DA4"/>
    <w:rsid w:val="001F7AFA"/>
    <w:rsid w:val="002172FE"/>
    <w:rsid w:val="00226C28"/>
    <w:rsid w:val="002B784F"/>
    <w:rsid w:val="002D47C5"/>
    <w:rsid w:val="0033698E"/>
    <w:rsid w:val="003408E9"/>
    <w:rsid w:val="003432FB"/>
    <w:rsid w:val="0039654B"/>
    <w:rsid w:val="003B7815"/>
    <w:rsid w:val="003C73AC"/>
    <w:rsid w:val="003D5D6D"/>
    <w:rsid w:val="003F3593"/>
    <w:rsid w:val="004164AB"/>
    <w:rsid w:val="004B6416"/>
    <w:rsid w:val="004D36F1"/>
    <w:rsid w:val="00513FA6"/>
    <w:rsid w:val="00523CAD"/>
    <w:rsid w:val="00541D5E"/>
    <w:rsid w:val="005B077C"/>
    <w:rsid w:val="005C0808"/>
    <w:rsid w:val="005C2639"/>
    <w:rsid w:val="00600C4E"/>
    <w:rsid w:val="006048E8"/>
    <w:rsid w:val="00614A23"/>
    <w:rsid w:val="00673B93"/>
    <w:rsid w:val="00692476"/>
    <w:rsid w:val="00695001"/>
    <w:rsid w:val="006A427A"/>
    <w:rsid w:val="006B40E4"/>
    <w:rsid w:val="006B55FC"/>
    <w:rsid w:val="006D1C63"/>
    <w:rsid w:val="007252C7"/>
    <w:rsid w:val="0074521A"/>
    <w:rsid w:val="00746CAC"/>
    <w:rsid w:val="00763476"/>
    <w:rsid w:val="0078600B"/>
    <w:rsid w:val="00877497"/>
    <w:rsid w:val="008B5149"/>
    <w:rsid w:val="008E0D07"/>
    <w:rsid w:val="009671F5"/>
    <w:rsid w:val="00A06733"/>
    <w:rsid w:val="00A43D3A"/>
    <w:rsid w:val="00B058E6"/>
    <w:rsid w:val="00B630BC"/>
    <w:rsid w:val="00B70FE9"/>
    <w:rsid w:val="00BA1B99"/>
    <w:rsid w:val="00BD7B8F"/>
    <w:rsid w:val="00BD7FC5"/>
    <w:rsid w:val="00C21C57"/>
    <w:rsid w:val="00C27D9D"/>
    <w:rsid w:val="00C34729"/>
    <w:rsid w:val="00C9181A"/>
    <w:rsid w:val="00C936DE"/>
    <w:rsid w:val="00CF75AD"/>
    <w:rsid w:val="00D36ADA"/>
    <w:rsid w:val="00D747CA"/>
    <w:rsid w:val="00DA578B"/>
    <w:rsid w:val="00DB1B04"/>
    <w:rsid w:val="00E046E0"/>
    <w:rsid w:val="00EB18F3"/>
    <w:rsid w:val="00EC4787"/>
    <w:rsid w:val="00FD41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D3FCD"/>
  <w15:docId w15:val="{2A43A8F4-5FE3-4D76-A9D4-9F91218FA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Titre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Titre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Titre4">
    <w:name w:val="heading 4"/>
    <w:basedOn w:val="Normal"/>
    <w:next w:val="Normal"/>
    <w:uiPriority w:val="9"/>
    <w:semiHidden/>
    <w:unhideWhenUsed/>
    <w:qFormat/>
    <w:pPr>
      <w:pBdr>
        <w:top w:val="nil"/>
        <w:left w:val="nil"/>
        <w:bottom w:val="nil"/>
        <w:right w:val="nil"/>
        <w:between w:val="nil"/>
      </w:pBdr>
      <w:spacing w:before="255" w:after="255"/>
      <w:outlineLvl w:val="3"/>
    </w:pPr>
    <w:rPr>
      <w:b/>
      <w:sz w:val="24"/>
      <w:szCs w:val="24"/>
    </w:rPr>
  </w:style>
  <w:style w:type="paragraph" w:styleId="Titre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Titre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En-tte">
    <w:name w:val="header"/>
    <w:basedOn w:val="Normal"/>
    <w:link w:val="En-tteCar"/>
    <w:uiPriority w:val="99"/>
    <w:unhideWhenUsed/>
    <w:rsid w:val="00226C28"/>
    <w:pPr>
      <w:tabs>
        <w:tab w:val="center" w:pos="4536"/>
        <w:tab w:val="right" w:pos="9072"/>
      </w:tabs>
    </w:pPr>
  </w:style>
  <w:style w:type="character" w:customStyle="1" w:styleId="En-tteCar">
    <w:name w:val="En-tête Car"/>
    <w:basedOn w:val="Policepardfaut"/>
    <w:link w:val="En-tte"/>
    <w:uiPriority w:val="99"/>
    <w:rsid w:val="00226C28"/>
  </w:style>
  <w:style w:type="paragraph" w:styleId="Pieddepage">
    <w:name w:val="footer"/>
    <w:basedOn w:val="Normal"/>
    <w:link w:val="PieddepageCar"/>
    <w:uiPriority w:val="99"/>
    <w:unhideWhenUsed/>
    <w:rsid w:val="00226C28"/>
    <w:pPr>
      <w:tabs>
        <w:tab w:val="center" w:pos="4536"/>
        <w:tab w:val="right" w:pos="9072"/>
      </w:tabs>
    </w:pPr>
  </w:style>
  <w:style w:type="character" w:customStyle="1" w:styleId="PieddepageCar">
    <w:name w:val="Pied de page Car"/>
    <w:basedOn w:val="Policepardfaut"/>
    <w:link w:val="Pieddepage"/>
    <w:uiPriority w:val="99"/>
    <w:rsid w:val="00226C28"/>
  </w:style>
  <w:style w:type="character" w:styleId="Lienhypertexte">
    <w:name w:val="Hyperlink"/>
    <w:basedOn w:val="Policepardfaut"/>
    <w:uiPriority w:val="99"/>
    <w:unhideWhenUsed/>
    <w:rsid w:val="00877497"/>
    <w:rPr>
      <w:color w:val="0000FF" w:themeColor="hyperlink"/>
      <w:u w:val="single"/>
    </w:rPr>
  </w:style>
  <w:style w:type="character" w:styleId="Mentionnonrsolue">
    <w:name w:val="Unresolved Mention"/>
    <w:basedOn w:val="Policepardfaut"/>
    <w:uiPriority w:val="99"/>
    <w:semiHidden/>
    <w:unhideWhenUsed/>
    <w:rsid w:val="00877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illes.darrag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34</Pages>
  <Words>10378</Words>
  <Characters>57080</Characters>
  <Application>Microsoft Office Word</Application>
  <DocSecurity>0</DocSecurity>
  <Lines>475</Lines>
  <Paragraphs>134</Paragraphs>
  <ScaleCrop>false</ScaleCrop>
  <Company/>
  <LinksUpToDate>false</LinksUpToDate>
  <CharactersWithSpaces>67324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darragi</dc:creator>
  <cp:lastModifiedBy>Gilles DARRAGI</cp:lastModifiedBy>
  <cp:revision>74</cp:revision>
  <dcterms:created xsi:type="dcterms:W3CDTF">2025-09-10T17:03:00Z</dcterms:created>
  <dcterms:modified xsi:type="dcterms:W3CDTF">2025-09-10T19:05:00Z</dcterms:modified>
</cp:coreProperties>
</file>