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jc w:val="center"/>
      </w:pPr>
      <w:r>
        <w:rPr>
          <w:rFonts w:ascii="Arial" w:cs="Arial" w:eastAsia="Arial" w:hAnsi="Arial"/>
          <w:b/>
          <w:bCs/>
          <w:color w:val="1A3A6B"/>
          <w:sz w:val="40"/>
          <w:szCs w:val="40"/>
        </w:rPr>
        <w:t xml:space="preserve">Smart Pellet System: Autonomous Colorimetric Diagnostics</w:t>
      </w:r>
    </w:p>
    <w:p>
      <w:pPr>
        <w:spacing w:after="300" w:before="0"/>
        <w:jc w:val="center"/>
      </w:pPr>
      <w:r>
        <w:rPr>
          <w:rFonts w:ascii="Arial" w:cs="Arial" w:eastAsia="Arial" w:hAnsi="Arial"/>
          <w:b/>
          <w:bCs/>
          <w:color w:val="1A3A6B"/>
          <w:sz w:val="36"/>
          <w:szCs w:val="36"/>
        </w:rPr>
        <w:t xml:space="preserve">in Unprocessed Biological Waste for Low-Resource and Space Environments</w:t>
      </w:r>
    </w:p>
    <w:p>
      <w:pPr>
        <w:spacing w:after="50" w:before="0"/>
        <w:jc w:val="center"/>
      </w:pPr>
      <w:r>
        <w:rPr>
          <w:rFonts w:ascii="Arial" w:cs="Arial" w:eastAsia="Arial" w:hAnsi="Arial"/>
          <w:b/>
          <w:bCs/>
          <w:sz w:val="26"/>
          <w:szCs w:val="26"/>
        </w:rPr>
        <w:t xml:space="preserve">El Hecen Armiyaou</w:t>
      </w:r>
    </w:p>
    <w:p>
      <w:pPr>
        <w:spacing w:after="50" w:before="0"/>
        <w:jc w:val="center"/>
      </w:pPr>
      <w:r>
        <w:rPr>
          <w:rFonts w:ascii="Arial" w:cs="Arial" w:eastAsia="Arial" w:hAnsi="Arial"/>
          <w:i/>
          <w:iCs/>
          <w:color w:val="444444"/>
          <w:sz w:val="22"/>
          <w:szCs w:val="22"/>
        </w:rPr>
        <w:t xml:space="preserve">Independent Researcher</w:t>
      </w:r>
    </w:p>
    <w:p>
      <w:pPr>
        <w:spacing w:after="300" w:before="0"/>
        <w:jc w:val="center"/>
      </w:pPr>
      <w:r>
        <w:rPr>
          <w:rFonts w:ascii="Arial" w:cs="Arial" w:eastAsia="Arial" w:hAnsi="Arial"/>
          <w:color w:val="1155CC"/>
          <w:sz w:val="22"/>
          <w:szCs w:val="22"/>
          <w:u w:val="single"/>
        </w:rPr>
        <w:t xml:space="preserve">elhecena@gmail.com</w:t>
      </w:r>
    </w:p>
    <w:p>
      <w:pPr>
        <w:pBdr>
          <w:bottom w:val="single" w:color="1A3A6B" w:sz="8" w:space="1"/>
        </w:pBdr>
        <w:spacing w:after="300"/>
      </w:pPr>
    </w:p>
    <w:p>
      <w:pPr>
        <w:pStyle w:val="Heading1"/>
        <w:pBdr>
          <w:bottom w:val="single" w:color="1A3A6B" w:sz="6" w:space="4"/>
        </w:pBdr>
        <w:spacing w:after="160" w:before="420"/>
      </w:pPr>
      <w:r>
        <w:rPr>
          <w:rFonts w:ascii="Arial" w:cs="Arial" w:eastAsia="Arial" w:hAnsi="Arial"/>
          <w:b/>
          <w:bCs/>
          <w:color w:val="1A3A6B"/>
          <w:sz w:val="30"/>
          <w:szCs w:val="30"/>
        </w:rPr>
        <w:t xml:space="preserve">1. Abstract</w:t>
      </w:r>
    </w:p>
    <w:p>
      <w:pPr>
        <w:spacing w:after="120" w:before="60" w:line="380" w:lineRule="auto"/>
        <w:jc w:val="both"/>
      </w:pPr>
      <w:r>
        <w:rPr>
          <w:rFonts w:ascii="Times New Roman" w:cs="Times New Roman" w:eastAsia="Times New Roman" w:hAnsi="Times New Roman"/>
          <w:sz w:val="22"/>
          <w:szCs w:val="22"/>
        </w:rPr>
        <w:t xml:space="preserve">The absence of passive, equipment-free diagnostic platforms capable of operating directly within unprocessed biological waste represents a fundamental barrier to early disease detection in resource-limited and non-terrestrial environments. We propose the Smart Pellet System, a conceptual seven-pellet colorimetric diagnostic platform in which each 3–5 mm microreactor autonomously detects one clinically significant urinary or fecal biomarker — glucose (diabetes mellitus), microalbumin (chronic kidney disease), bilirubin (hepatic dysfunction), fecal hemoglobin (colorectal cancer), heme fragments (occult bleeding), fecal bile acids (pancreatic cancer), and NMP22 (bladder cancer) — through an integrated six-layer architecture combining L-aptamer molecular gating, nanoporous organosilica filtration, molecularly imprinted polymer recognition, enzyme–nanozyme catalytic amplification, and spatially segregated chromogenic microdomains. Each pellet is externally coated with an iron oxide pigment whose color precisely matches its internal diagnostic colorimetric output, enabling simultaneous user identification and automated optical sensor recognition. L-aptamers immobilized on the pellet surface maintain gate closure in toilet water, protecting enzymatic components from aqueous degradation, and open selectively upon target biomarker binding. Dilution-corrected theoretical modeling confirms that pathological concentrations of all seven biomarkers remain detectable following the approximately 27-fold dilution imposed by household toilet water, with colorimetric responses predicted within 3–18 minutes. The gravity-independent diffusion mechanism renders the system uniquely applicable to space medicine environments where conventional diagnostic platforms cannot operate. This work establishes the scientific foundation for a passive, continuous, multi-disease surveillance platform applicable to both low-resource terrestrial communities and future long-duration space exploration missions.</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2. Introduction</w:t>
      </w:r>
    </w:p>
    <w:p>
      <w:pPr>
        <w:spacing w:after="120" w:before="60" w:line="380" w:lineRule="auto"/>
        <w:jc w:val="both"/>
      </w:pPr>
      <w:r>
        <w:rPr>
          <w:rFonts w:ascii="Times New Roman" w:cs="Times New Roman" w:eastAsia="Times New Roman" w:hAnsi="Times New Roman"/>
          <w:sz w:val="22"/>
          <w:szCs w:val="22"/>
        </w:rPr>
        <w:t xml:space="preserve">The global burden of preventable disease mortality is inextricably linked to the absence of early diagnostic capacity in resource-limited settings. The World Health Organization estimates that more than 50% of the global population lacks access to essential diagnostic services, a deficit that translates directly into delayed diagnoses, advanced disease presentation, and avoidable mortality. The seven diseases targeted by the Smart Pellet System — diabetes mellitus, chronic kidney disease (CKD), hepatic dysfunction, colorectal cancer (CRC), occult gastrointestinal bleeding, pancreatic ductal adenocarcinoma (PDAC), and bladder cancer — collectively represent principal causes of preventable non-communicable disease mortality worldwide, yet all are amenable to early biochemical detection through urinary or fecal biomarkers.</w:t>
      </w:r>
    </w:p>
    <w:p>
      <w:pPr>
        <w:spacing w:after="120" w:before="60" w:line="380" w:lineRule="auto"/>
        <w:jc w:val="both"/>
      </w:pPr>
      <w:r>
        <w:rPr>
          <w:rFonts w:ascii="Times New Roman" w:cs="Times New Roman" w:eastAsia="Times New Roman" w:hAnsi="Times New Roman"/>
          <w:sz w:val="22"/>
          <w:szCs w:val="22"/>
        </w:rPr>
        <w:t xml:space="preserve">Existing point-of-care diagnostic platforms remain operationally dependent on conditions incompatible with resource-limited environments: separated biological samples, controlled reagent introduction, calibrated instrumentation, refrigerated storage of enzymatic components, and trained personnel. The fundamental incompatibility of these requirements with uncontrolled toilet water matrices — a complex medium containing more than 3,000 urinary metabolites, variable pH (4.5–8.5), ionic composition, microbial loads, and continuous aqueous dilution — has prevented the development of any in situ diagnostic platform prior to this work.</w:t>
      </w:r>
    </w:p>
    <w:p>
      <w:pPr>
        <w:spacing w:after="120" w:before="60" w:line="380" w:lineRule="auto"/>
        <w:jc w:val="both"/>
      </w:pPr>
      <w:r>
        <w:rPr>
          <w:rFonts w:ascii="Times New Roman" w:cs="Times New Roman" w:eastAsia="Times New Roman" w:hAnsi="Times New Roman"/>
          <w:sz w:val="22"/>
          <w:szCs w:val="22"/>
        </w:rPr>
        <w:t xml:space="preserve">A critical and previously unaddressed challenge in toilet-based diagnostics is the protection of biochemical detection components from continuous aqueous exposure. Immersed enzymatic systems are subject to hydrolytic inactivation, oxidative degradation, competitive inhibition by non-target metabolites, and microbial colonization. The introduction of L-aptamer molecular gating as the primary protective and selective mechanism in the Smart Pellet System represents a fundamental departure from all prior diagnostic pellet concepts and directly addresses this challenge. By maintaining gate closure in the absence of target biomarkers, the L-aptamer system creates a biochemically protected microenvironment within the pellet core despite continuous immersion in toilet water.</w:t>
      </w:r>
    </w:p>
    <w:p>
      <w:pPr>
        <w:spacing w:after="120" w:before="60" w:line="380" w:lineRule="auto"/>
        <w:jc w:val="both"/>
      </w:pPr>
      <w:r>
        <w:rPr>
          <w:rFonts w:ascii="Times New Roman" w:cs="Times New Roman" w:eastAsia="Times New Roman" w:hAnsi="Times New Roman"/>
          <w:sz w:val="22"/>
          <w:szCs w:val="22"/>
        </w:rPr>
        <w:t xml:space="preserve">The challenge is further compounded in non-terrestrial environments. Microgravity eliminates the capillary and hydrostatic driving forces on which all existing microfluidic and lateral-flow platforms depend, rendering them inoperable in space habitats. Here we introduce the Smart Pellet System: seven specialized colorimetric microreactors, each targeting one disease biomarker through an integrated six-layer architecture, gravity-independent diffusion mechanism, and passive operation without user intervention.</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3. Conceptual Design Overview</w:t>
      </w:r>
    </w:p>
    <w:p>
      <w:pPr>
        <w:spacing w:after="120" w:before="60" w:line="380" w:lineRule="auto"/>
        <w:jc w:val="both"/>
      </w:pPr>
      <w:r>
        <w:rPr>
          <w:rFonts w:ascii="Times New Roman" w:cs="Times New Roman" w:eastAsia="Times New Roman" w:hAnsi="Times New Roman"/>
          <w:sz w:val="22"/>
          <w:szCs w:val="22"/>
        </w:rPr>
        <w:t xml:space="preserve">The Smart Pellet System comprises seven distinct pellet types, each a 3–5 mm spherical microreactor integrating six functional layers. All seven pellets share identical structural organization but differ in their biomarker-specific components: the L-aptamer gate sequence, the MIP recognition template, the immobilized enzyme(s), and the chromogenic substrate.</w:t>
      </w:r>
    </w:p>
    <w:p>
      <w:pPr>
        <w:spacing w:after="80" w:before="80"/>
      </w:pPr>
      <w: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2000"/>
        <w:gridCol w:w="3200"/>
      </w:tblGrid>
      <w:tr>
        <w:trPr>
          <w:tblHeader/>
        </w:trPr>
        <w:tc>
          <w:tcPr>
            <w:tcW w:type="dxa" w:w="1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Layer</w:t>
            </w:r>
          </w:p>
        </w:tc>
        <w:tc>
          <w:tcPr>
            <w:tcW w:type="dxa" w:w="18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Scientific Domain</w:t>
            </w:r>
          </w:p>
        </w:tc>
        <w:tc>
          <w:tcPr>
            <w:tcW w:type="dxa" w:w="20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Function</w:t>
            </w:r>
          </w:p>
        </w:tc>
        <w:tc>
          <w:tcPr>
            <w:tcW w:type="dxa" w:w="3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Key Components</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 — External coating</w:t>
            </w:r>
          </w:p>
        </w:tc>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Materials Science</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Color ID + optical recognition</w:t>
            </w:r>
          </w:p>
        </w:tc>
        <w:tc>
          <w:tcPr>
            <w:tcW w:type="dxa" w:w="3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pigments (matched to internal color)</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 — L-Aptamer gate</w:t>
            </w:r>
          </w:p>
        </w:tc>
        <w:tc>
          <w:tcPr>
            <w:tcW w:type="dxa" w:w="1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Nucleic Acid Chemistry</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Molecular gating — selective entry only</w:t>
            </w:r>
          </w:p>
        </w:tc>
        <w:tc>
          <w:tcPr>
            <w:tcW w:type="dxa" w:w="3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L-DNA/RNA Spiegelmers, NHS-EDC conjugation</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 — Nanoporous shell</w:t>
            </w:r>
          </w:p>
        </w:tc>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Materials Science</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Size exclusion + structural support</w:t>
            </w:r>
          </w:p>
        </w:tc>
        <w:tc>
          <w:tcPr>
            <w:tcW w:type="dxa" w:w="3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TEOS/MTES organosilica, pore size per pellet</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 — MIP layer</w:t>
            </w:r>
          </w:p>
        </w:tc>
        <w:tc>
          <w:tcPr>
            <w:tcW w:type="dxa" w:w="1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Molecular Imprinting</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Biomarker recognition + concentration</w:t>
            </w:r>
          </w:p>
        </w:tc>
        <w:tc>
          <w:tcPr>
            <w:tcW w:type="dxa" w:w="3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Polyacrylamide MIP, analyte-specific cavities</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 — Biochemical core</w:t>
            </w:r>
          </w:p>
        </w:tc>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Biochemistry + Nanochemistry</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Enzymatic cascade + nanozyme amplification</w:t>
            </w:r>
          </w:p>
        </w:tc>
        <w:tc>
          <w:tcPr>
            <w:tcW w:type="dxa" w:w="3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GOx/HRP/BOD/SOX/Anti-NMP22 + Fe₃O₄/CeO₂</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 — Colorimetric domains</w:t>
            </w:r>
          </w:p>
        </w:tc>
        <w:tc>
          <w:tcPr>
            <w:tcW w:type="dxa" w:w="1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Analytical Chemistry</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Signal generation + color output</w:t>
            </w:r>
          </w:p>
        </w:tc>
        <w:tc>
          <w:tcPr>
            <w:tcW w:type="dxa" w:w="3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TMB, OPD, AAP/Phenol, Coomassie, o-Tolidine, INT-formazan</w:t>
            </w:r>
          </w:p>
        </w:tc>
      </w:tr>
    </w:tbl>
    <w:p>
      <w:pPr>
        <w:spacing w:after="200" w:before="60"/>
        <w:jc w:val="center"/>
      </w:pPr>
      <w:r>
        <w:rPr>
          <w:rFonts w:ascii="Arial" w:cs="Arial" w:eastAsia="Arial" w:hAnsi="Arial"/>
          <w:i/>
          <w:iCs/>
          <w:color w:val="444444"/>
          <w:sz w:val="19"/>
          <w:szCs w:val="19"/>
        </w:rPr>
        <w:t xml:space="preserve">Table 1. Six-layer architecture of each Smart Pellet unit.</w:t>
      </w:r>
    </w:p>
    <w:p>
      <w:pPr>
        <w:spacing w:after="80" w:before="80"/>
      </w:pPr>
      <w:r>
        <w:t xml:space="preserve"/>
      </w:r>
    </w:p>
    <w:p>
      <w:pPr>
        <w:spacing w:after="120" w:before="60" w:line="380" w:lineRule="auto"/>
        <w:jc w:val="both"/>
      </w:pPr>
      <w:r>
        <w:rPr>
          <w:rFonts w:ascii="Times New Roman" w:cs="Times New Roman" w:eastAsia="Times New Roman" w:hAnsi="Times New Roman"/>
          <w:sz w:val="22"/>
          <w:szCs w:val="22"/>
        </w:rPr>
        <w:t xml:space="preserve">Upon toilet use, urinary or fecal biomarkers diffuse toward the pellet surface. The cognate L-aptamer undergoes conformational change upon specific biomarker binding, opening the nanopore gate and permitting selective entry of the target analyte. The analyte traverses the organosilica shell, is captured and concentrated by the biomarker-specific MIP layer, and is delivered to the biochemical core where enzyme-nanozyme catalytic cascades convert it to a chromogenic product. The resulting colorimetric signal develops within 3–18 minutes and is visible externally as color intensification matching the pellet's pre-existing iron oxide coating color.</w:t>
      </w:r>
    </w:p>
    <w:p>
      <w:pPr>
        <w:spacing w:after="80" w:before="80"/>
      </w:pPr>
      <w:r>
        <w:t xml:space="preserve"/>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600"/>
        <w:gridCol w:w="1100"/>
        <w:gridCol w:w="1500"/>
        <w:gridCol w:w="1500"/>
        <w:gridCol w:w="900"/>
        <w:gridCol w:w="2000"/>
        <w:gridCol w:w="900"/>
      </w:tblGrid>
      <w:tr>
        <w:trPr>
          <w:tblHeader/>
        </w:trPr>
        <w:tc>
          <w:tcPr>
            <w:tcW w:type="dxa" w:w="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w:t>
            </w:r>
          </w:p>
        </w:tc>
        <w:tc>
          <w:tcPr>
            <w:tcW w:type="dxa" w:w="11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External Color</w:t>
            </w:r>
          </w:p>
        </w:tc>
        <w:tc>
          <w:tcPr>
            <w:tcW w:type="dxa" w:w="1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Disease</w:t>
            </w:r>
          </w:p>
        </w:tc>
        <w:tc>
          <w:tcPr>
            <w:tcW w:type="dxa" w:w="1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Biomarker</w:t>
            </w:r>
          </w:p>
        </w:tc>
        <w:tc>
          <w:tcPr>
            <w:tcW w:type="dxa" w:w="9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Internal λmax</w:t>
            </w:r>
          </w:p>
        </w:tc>
        <w:tc>
          <w:tcPr>
            <w:tcW w:type="dxa" w:w="20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Iron Oxide Pigment</w:t>
            </w:r>
          </w:p>
        </w:tc>
        <w:tc>
          <w:tcPr>
            <w:tcW w:type="dxa" w:w="9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Pore Size</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Yellow</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Diabetes mellitus</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Glucose</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405 nm</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yellow (Fe₂O₃·H₂O)</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5–8 nm</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Deep blue</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Chronic kidney disease</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Microalbumin</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595 nm</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Prussian blue (Fe₄[Fe(CN)₆]₃)</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15–20 nm</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Orange</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Hepatic dysfunction</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Bilirubin</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450 nm</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orange (mixed Fe₂O₃)</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5–8 nm</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Bright red</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Colorectal cancer</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Fecal hemoglobin</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505 nm</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red (Fe₂O₃)</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12–16 nm</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Black-brown</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Occult bleeding</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Heme fragments</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660 nm</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black (Fe₃O₄)</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12–16 nm</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Purple</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Pancreatic cancer</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Fecal bile acids</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570 nm</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Manganese violet (MnNH₄P₂O₇)</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5–8 nm</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Olive green</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Bladder cancer</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NMP22 protein</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620 nm</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Chromium oxide green (Cr₂O₃)</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15–20 nm</w:t>
            </w:r>
          </w:p>
        </w:tc>
      </w:tr>
    </w:tbl>
    <w:p>
      <w:pPr>
        <w:spacing w:after="200" w:before="60"/>
        <w:jc w:val="center"/>
      </w:pPr>
      <w:r>
        <w:rPr>
          <w:rFonts w:ascii="Arial" w:cs="Arial" w:eastAsia="Arial" w:hAnsi="Arial"/>
          <w:i/>
          <w:iCs/>
          <w:color w:val="444444"/>
          <w:sz w:val="19"/>
          <w:szCs w:val="19"/>
        </w:rPr>
        <w:t xml:space="preserve">Table 2. Complete seven-pellet colorimetric system. Each pellet's external iron oxide pigment color matches its internal diagnostic output. Pore sizes are individually optimized per biomarker molecular dimensions.</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4. Materials and Methods</w:t>
      </w:r>
    </w:p>
    <w:p>
      <w:pPr>
        <w:pStyle w:val="Heading2"/>
        <w:spacing w:after="100" w:before="280"/>
      </w:pPr>
      <w:r>
        <w:rPr>
          <w:rFonts w:ascii="Arial" w:cs="Arial" w:eastAsia="Arial" w:hAnsi="Arial"/>
          <w:b/>
          <w:bCs/>
          <w:color w:val="1A3A6B"/>
          <w:sz w:val="26"/>
          <w:szCs w:val="26"/>
        </w:rPr>
        <w:t xml:space="preserve">4.1 Aptamer Surface — Nucleic Acid Chemistry</w:t>
      </w:r>
    </w:p>
    <w:p>
      <w:pPr>
        <w:spacing w:after="120" w:before="60" w:line="380" w:lineRule="auto"/>
        <w:jc w:val="both"/>
      </w:pPr>
      <w:r>
        <w:rPr>
          <w:rFonts w:ascii="Times New Roman" w:cs="Times New Roman" w:eastAsia="Times New Roman" w:hAnsi="Times New Roman"/>
          <w:sz w:val="22"/>
          <w:szCs w:val="22"/>
        </w:rPr>
        <w:t xml:space="preserve">The L-aptamer surface layer constitutes the primary molecular gating mechanism of the Smart Pellet System, simultaneously providing biomarker selectivity, enzymatic protection, and nuclease resistance. L-aptamers (Spiegelmers), composed entirely of L-configured nucleotides (the mirror image of natural D-nucleotides), are not recognized as substrates by biological nucleases due to stereochemical incompatibility with enzyme active sites. This confers indefinite nuclease resistance under toilet water conditions, a property unattainable with D-aptamer systems.</w:t>
      </w:r>
    </w:p>
    <w:p>
      <w:pPr>
        <w:spacing w:after="120" w:before="60" w:line="380" w:lineRule="auto"/>
        <w:jc w:val="both"/>
      </w:pPr>
      <w:r>
        <w:rPr>
          <w:rFonts w:ascii="Times New Roman" w:cs="Times New Roman" w:eastAsia="Times New Roman" w:hAnsi="Times New Roman"/>
          <w:sz w:val="22"/>
          <w:szCs w:val="22"/>
        </w:rPr>
        <w:t xml:space="preserve">L-aptamer sequences targeting each of the seven biomarkers are proposed based on adaptation of known D-aptamer binding motifs to their mirror-image L-configured counterparts, following the established Spiegelmer technology platform. For small-molecule analytes (glucose, bilirubin, bile acids), L-aptamers are selected for high-affinity binding (Kd in the nanomolar to low micromolar range). For macromolecular targets (microalbumin, hemoglobin, heme, NMP22), aptamers are selected against conserved structural epitopes. The closed-gate conformation is stabilized by the aptamer secondary structure (G-quadruplex or stem-loop configurations), which disrupts upon target binding, displacing the gate and permitting analyte entry through the underlying nanopores.</w:t>
      </w:r>
    </w:p>
    <w:p>
      <w:pPr>
        <w:spacing w:after="120" w:before="60" w:line="380" w:lineRule="auto"/>
        <w:jc w:val="both"/>
      </w:pPr>
      <w:r>
        <w:rPr>
          <w:rFonts w:ascii="Times New Roman" w:cs="Times New Roman" w:eastAsia="Times New Roman" w:hAnsi="Times New Roman"/>
          <w:sz w:val="22"/>
          <w:szCs w:val="22"/>
        </w:rPr>
        <w:t xml:space="preserve">Covalent surface immobilization of L-aptamers is achieved through NHS-EDC coupling chemistry on the APTES-functionalized organosilica shell, forming stable amide bonds between 5’-amino-modified L-aptamer termini and surface carboxyl groups. In the absence of the target biomarker, the aptamer gate maintains pore closure with a theoretical gate-closed probability exceeding 0.98, preventing aqueous ingress and protecting the enzymatic core. Upon specific biomarker binding, gate-open probability approaches unity (P &gt; 0.95) at analyte concentrations exceeding the aptamer Kd.</w:t>
      </w:r>
    </w:p>
    <w:p>
      <w:pPr>
        <w:pStyle w:val="Heading2"/>
        <w:spacing w:after="100" w:before="280"/>
      </w:pPr>
      <w:r>
        <w:rPr>
          <w:rFonts w:ascii="Arial" w:cs="Arial" w:eastAsia="Arial" w:hAnsi="Arial"/>
          <w:b/>
          <w:bCs/>
          <w:color w:val="1A3A6B"/>
          <w:sz w:val="26"/>
          <w:szCs w:val="26"/>
        </w:rPr>
        <w:t xml:space="preserve">4.2 Nanoporous Shell — Materials Science</w:t>
      </w:r>
    </w:p>
    <w:p>
      <w:pPr>
        <w:pStyle w:val="Heading3"/>
        <w:spacing w:after="80" w:before="200"/>
      </w:pPr>
      <w:r>
        <w:rPr>
          <w:rFonts w:ascii="Arial" w:cs="Arial" w:eastAsia="Arial" w:hAnsi="Arial"/>
          <w:b/>
          <w:bCs/>
          <w:i/>
          <w:iCs/>
          <w:color w:val="444444"/>
          <w:sz w:val="23"/>
          <w:szCs w:val="23"/>
        </w:rPr>
        <w:t xml:space="preserve">4.2.1 Organosilica Shell Synthesis</w:t>
      </w:r>
    </w:p>
    <w:p>
      <w:pPr>
        <w:spacing w:after="120" w:before="60" w:line="380" w:lineRule="auto"/>
        <w:jc w:val="both"/>
      </w:pPr>
      <w:r>
        <w:rPr>
          <w:rFonts w:ascii="Times New Roman" w:cs="Times New Roman" w:eastAsia="Times New Roman" w:hAnsi="Times New Roman"/>
          <w:sz w:val="22"/>
          <w:szCs w:val="22"/>
        </w:rPr>
        <w:t xml:space="preserve">The mesoporous organosilica shell provides structural integrity, size-selective molecular filtration, and the substrate for L-aptamer immobilization and iron oxide pigment coating. Shell synthesis employs a Pluronic P123-templated sol–gel condensation method. P123 (4 g) is dissolved in deionized water (120 mL) and ethanol (10 mL) at 40°C. TEOS (8 mL) and MTES (2 mL) are added dropwise; the mixture is acidified to pH 2.0 with HCl, aged at 35°C for 24 hours, then cured at 80°C for 24 hours. Surfactant template removal by Soxhlet ethanol extraction yields a stable organosilica network with tunable mesoporosity.</w:t>
      </w:r>
    </w:p>
    <w:p>
      <w:pPr>
        <w:spacing w:after="120" w:before="60" w:line="380" w:lineRule="auto"/>
        <w:jc w:val="both"/>
      </w:pPr>
      <w:r>
        <w:rPr>
          <w:rFonts w:ascii="Times New Roman" w:cs="Times New Roman" w:eastAsia="Times New Roman" w:hAnsi="Times New Roman"/>
          <w:sz w:val="22"/>
          <w:szCs w:val="22"/>
        </w:rPr>
        <w:t xml:space="preserve">A critical design refinement in this system is the individual optimization of nanopore diameter for each pellet type based on the hydrodynamic dimensions of the target biomarker. This approach maximizes biomarker flux while maintaining secondary size-exclusion of viral particles and bacterial cells. The MTES component incorporates hydrophobic methyl groups that, combined with the MIP layer, provide complementary resistance to aqueous ingress beyond the L-aptamer gate.</w:t>
      </w:r>
    </w:p>
    <w:p>
      <w:pPr>
        <w:pStyle w:val="Heading3"/>
        <w:spacing w:after="80" w:before="200"/>
      </w:pPr>
      <w:r>
        <w:rPr>
          <w:rFonts w:ascii="Arial" w:cs="Arial" w:eastAsia="Arial" w:hAnsi="Arial"/>
          <w:b/>
          <w:bCs/>
          <w:i/>
          <w:iCs/>
          <w:color w:val="444444"/>
          <w:sz w:val="23"/>
          <w:szCs w:val="23"/>
        </w:rPr>
        <w:t xml:space="preserve">4.2.2 Surface Functionalization with APTES</w:t>
      </w:r>
    </w:p>
    <w:p>
      <w:pPr>
        <w:spacing w:after="120" w:before="60" w:line="380" w:lineRule="auto"/>
        <w:jc w:val="both"/>
      </w:pPr>
      <w:r>
        <w:rPr>
          <w:rFonts w:ascii="Times New Roman" w:cs="Times New Roman" w:eastAsia="Times New Roman" w:hAnsi="Times New Roman"/>
          <w:sz w:val="22"/>
          <w:szCs w:val="22"/>
        </w:rPr>
        <w:t xml:space="preserve">Dried organosilica particles are resuspended in anhydrous ethanol containing APTES (2% v/v) and stirred under nitrogen atmosphere at room temperature for 6 hours, introducing primary amine (–NH₂) surface groups at a theoretical density of 2–4 µmol/m² for subsequent L-aptamer conjugation and iron oxide pigment attachment.</w:t>
      </w:r>
    </w:p>
    <w:p>
      <w:pPr>
        <w:pStyle w:val="Heading3"/>
        <w:spacing w:after="80" w:before="200"/>
      </w:pPr>
      <w:r>
        <w:rPr>
          <w:rFonts w:ascii="Arial" w:cs="Arial" w:eastAsia="Arial" w:hAnsi="Arial"/>
          <w:b/>
          <w:bCs/>
          <w:i/>
          <w:iCs/>
          <w:color w:val="444444"/>
          <w:sz w:val="23"/>
          <w:szCs w:val="23"/>
        </w:rPr>
        <w:t xml:space="preserve">4.2.3 Iron Oxide Pigment External Coating</w:t>
      </w:r>
    </w:p>
    <w:p>
      <w:pPr>
        <w:spacing w:after="120" w:before="60" w:line="380" w:lineRule="auto"/>
        <w:jc w:val="both"/>
      </w:pPr>
      <w:r>
        <w:rPr>
          <w:rFonts w:ascii="Times New Roman" w:cs="Times New Roman" w:eastAsia="Times New Roman" w:hAnsi="Times New Roman"/>
          <w:sz w:val="22"/>
          <w:szCs w:val="22"/>
        </w:rPr>
        <w:t xml:space="preserve">The external iron oxide pigment coating serves three simultaneous functions: user-facing color identification, optical sensor recognition within the dispensing device, and intuitive result display through color intensification upon biomarker detection. Each pigment is dispersed in a dilute TEOS sol (2% v/v in ethanol) at 5–10 mg/mL. Assembled pellets undergo a single dip-coating cycle followed by thermal consolidation at 50°C for 2 hours, forming a conformal 1–2 µm pigment layer. All iron oxide pigments employed are approved by the FDA and EFSA for pharmaceutical coatings and are chemically inert under wastewater conditions. Chromium oxide green (Cr₂O₃), assigned to Pellet P-7, is similarly approved as an inorganic colorant in pharmaceutical and cosmetic applications and presents negligible environmental risk at per-use concentrations.</w:t>
      </w:r>
    </w:p>
    <w:p>
      <w:pPr>
        <w:pStyle w:val="Heading2"/>
        <w:spacing w:after="100" w:before="280"/>
      </w:pPr>
      <w:r>
        <w:rPr>
          <w:rFonts w:ascii="Arial" w:cs="Arial" w:eastAsia="Arial" w:hAnsi="Arial"/>
          <w:b/>
          <w:bCs/>
          <w:color w:val="1A3A6B"/>
          <w:sz w:val="26"/>
          <w:szCs w:val="26"/>
        </w:rPr>
        <w:t xml:space="preserve">4.3 MIP Layer — Molecular Imprinting</w:t>
      </w:r>
    </w:p>
    <w:p>
      <w:pPr>
        <w:spacing w:after="120" w:before="60" w:line="380" w:lineRule="auto"/>
        <w:jc w:val="both"/>
      </w:pPr>
      <w:r>
        <w:rPr>
          <w:rFonts w:ascii="Times New Roman" w:cs="Times New Roman" w:eastAsia="Times New Roman" w:hAnsi="Times New Roman"/>
          <w:sz w:val="22"/>
          <w:szCs w:val="22"/>
        </w:rPr>
        <w:t xml:space="preserve">Molecularly imprinted polymers (MIPs) are synthetic receptors prepared by polymerization around a target molecule template, leaving complementary three-dimensional binding cavities of defined size, shape, and chemical functionality. Within the Smart Pellet architecture, the MIP layer provides a second selectivity barrier following L-aptamer gating, concentrating the target biomarker adjacent to the biochemical core and preventing non-specifically admitted molecules from accessing the enzymatic detection system.</w:t>
      </w:r>
    </w:p>
    <w:p>
      <w:pPr>
        <w:spacing w:after="120" w:before="60" w:line="380" w:lineRule="auto"/>
        <w:jc w:val="both"/>
      </w:pPr>
      <w:r>
        <w:rPr>
          <w:rFonts w:ascii="Times New Roman" w:cs="Times New Roman" w:eastAsia="Times New Roman" w:hAnsi="Times New Roman"/>
          <w:sz w:val="22"/>
          <w:szCs w:val="22"/>
        </w:rPr>
        <w:t xml:space="preserve">For each pellet type, a polyacrylamide-based MIP is synthesized using the respective biomarker as the molecular template: glucose (P-1), human serum albumin fragment (P-2), bilirubin (P-3), hemoglobin β-chain peptide (P-4), heme b (P-5), chenodeoxycholic acid (P-6), and NMP22 peptide epitope (P-7). Functional monomers selected by computational screening are assembled around each template in the presence of N,N’-methylenebisacrylamide crosslinker (20 mol%). UV-initiated free-radical polymerization yields crosslinked networks with theoretical binding affinities (Kd) of 10–500 nM for small molecules and 1–50 nM for protein targets. The MIP layer is incorporated as a 50–100 µm conformal coating on the inner surface of the organosilica shell, positioned between the shell and the biochemical core.</w:t>
      </w:r>
    </w:p>
    <w:p>
      <w:pPr>
        <w:pStyle w:val="Heading2"/>
        <w:spacing w:after="100" w:before="280"/>
      </w:pPr>
      <w:r>
        <w:rPr>
          <w:rFonts w:ascii="Arial" w:cs="Arial" w:eastAsia="Arial" w:hAnsi="Arial"/>
          <w:b/>
          <w:bCs/>
          <w:color w:val="1A3A6B"/>
          <w:sz w:val="26"/>
          <w:szCs w:val="26"/>
        </w:rPr>
        <w:t xml:space="preserve">4.4 Biochemical Core — Biochemistry</w:t>
      </w:r>
    </w:p>
    <w:p>
      <w:pPr>
        <w:pStyle w:val="Heading3"/>
        <w:spacing w:after="80" w:before="200"/>
      </w:pPr>
      <w:r>
        <w:rPr>
          <w:rFonts w:ascii="Arial" w:cs="Arial" w:eastAsia="Arial" w:hAnsi="Arial"/>
          <w:b/>
          <w:bCs/>
          <w:i/>
          <w:iCs/>
          <w:color w:val="444444"/>
          <w:sz w:val="23"/>
          <w:szCs w:val="23"/>
        </w:rPr>
        <w:t xml:space="preserve">4.4.1 Core Matrix Composition</w:t>
      </w:r>
    </w:p>
    <w:p>
      <w:pPr>
        <w:spacing w:after="120" w:before="60" w:line="380" w:lineRule="auto"/>
        <w:jc w:val="both"/>
      </w:pPr>
      <w:r>
        <w:rPr>
          <w:rFonts w:ascii="Times New Roman" w:cs="Times New Roman" w:eastAsia="Times New Roman" w:hAnsi="Times New Roman"/>
          <w:sz w:val="22"/>
          <w:szCs w:val="22"/>
        </w:rPr>
        <w:t xml:space="preserve">The biochemical core consists of a gelatin hydrogel–silica hybrid matrix (gelatin 5% w/v, silica sol 10% v/v, trehalose 5% w/v, PEG-400 10% v/v in PBS pH 7.4). Trehalose is incorporated as a lyoprotectant that stabilizes enzyme tertiary structure under dehydration–rehydration cycles, extending functional shelf-life under bathroom environmental conditions (20–35°C, relative humidity 60–90%). PEG-400 maintains matrix plasticity, preventing brittle fracture during hydration.</w:t>
      </w:r>
    </w:p>
    <w:p>
      <w:pPr>
        <w:pStyle w:val="Heading3"/>
        <w:spacing w:after="80" w:before="200"/>
      </w:pPr>
      <w:r>
        <w:rPr>
          <w:rFonts w:ascii="Arial" w:cs="Arial" w:eastAsia="Arial" w:hAnsi="Arial"/>
          <w:b/>
          <w:bCs/>
          <w:i/>
          <w:iCs/>
          <w:color w:val="444444"/>
          <w:sz w:val="23"/>
          <w:szCs w:val="23"/>
        </w:rPr>
        <w:t xml:space="preserve">4.4.2 Enzyme Selection and Immobilization</w:t>
      </w:r>
    </w:p>
    <w:p>
      <w:pPr>
        <w:spacing w:after="120" w:before="60" w:line="380" w:lineRule="auto"/>
        <w:jc w:val="both"/>
      </w:pPr>
      <w:r>
        <w:rPr>
          <w:rFonts w:ascii="Times New Roman" w:cs="Times New Roman" w:eastAsia="Times New Roman" w:hAnsi="Times New Roman"/>
          <w:sz w:val="22"/>
          <w:szCs w:val="22"/>
        </w:rPr>
        <w:t xml:space="preserve">Enzymatic detection components are selected based on established biochemical specificity for each target analyte. For Pellet P-1 (glucose), glucose oxidase (GOx, EC 1.1.3.4) catalyzes two-electron oxidation of β-D-glucose producing glucono-δ-lactone and hydrogen peroxide. For Pellet P-2 (microalbumin), a Coomassie brilliant blue G-250 dye-binding system exploits stoichiometric albumin–dye interaction. For Pellet P-3 (bilirubin), bilirubin oxidase (BOD, EC 1.3.3.5) catalyzes four-electron oxidation of bilirubin to biliverdin. For Pellet P-4 (fecal hemoglobin), anti-hemoglobin antibody fragments immobilized on the core matrix capture hemoglobin, which acts as a peroxidase mimic. For Pellet P-5 (heme fragments), the intrinsic peroxidase activity of iron-protoporphyrin IX is exploited directly. For Pellet P-6 (bile acids), 3α-hydroxysteroid dehydrogenase (3α-HSD, EC 1.1.1.50) catalyzes NAD⁺-dependent oxidation of bile acids. For Pellet P-7 (NMP22), a sandwich colorimetric immunoassay employs anti-NMP22 capture antibody fragments immobilized within the MIP-functionalized core matrix to bind urinary NMP22, recruiting a horseradish peroxidase-conjugated detection antibody that drives TMB oxidation to the olive-green chromophore (λmax 620 nm). NMP22 (Nuclear Matrix Protein 22, molecular weight ~50 kDa, hydrodynamic diameter ~5 nm) is accommodated by the 15–20 nm mesopores of Pellet P-7 and is FDA-cleared for bladder cancer screening, providing established clinical validation for its incorporation within the Smart Pellet architecture.</w:t>
      </w:r>
    </w:p>
    <w:p>
      <w:pPr>
        <w:spacing w:after="120" w:before="60" w:line="380" w:lineRule="auto"/>
        <w:jc w:val="both"/>
      </w:pPr>
      <w:r>
        <w:rPr>
          <w:rFonts w:ascii="Times New Roman" w:cs="Times New Roman" w:eastAsia="Times New Roman" w:hAnsi="Times New Roman"/>
          <w:sz w:val="22"/>
          <w:szCs w:val="22"/>
        </w:rPr>
        <w:t xml:space="preserve">All enzymatic components are covalently immobilized within the core matrix via glutaraldehyde crosslinking (0.05% v/v, 30 minutes, room temperature), forming Schiff base linkages between ε-amine groups of enzyme surface lysine residues and amine-functionalized silica surfaces, achieving theoretical enzyme retention above 95% during extended aqueous immersion.</w:t>
      </w:r>
    </w:p>
    <w:p>
      <w:pPr>
        <w:pStyle w:val="Heading3"/>
        <w:spacing w:after="80" w:before="200"/>
      </w:pPr>
      <w:r>
        <w:rPr>
          <w:rFonts w:ascii="Arial" w:cs="Arial" w:eastAsia="Arial" w:hAnsi="Arial"/>
          <w:b/>
          <w:bCs/>
          <w:i/>
          <w:iCs/>
          <w:color w:val="444444"/>
          <w:sz w:val="23"/>
          <w:szCs w:val="23"/>
        </w:rPr>
        <w:t xml:space="preserve">4.4.3 Chromogenic Microdomain Spatial Architecture</w:t>
      </w:r>
    </w:p>
    <w:p>
      <w:pPr>
        <w:spacing w:after="120" w:before="60" w:line="380" w:lineRule="auto"/>
        <w:jc w:val="both"/>
      </w:pPr>
      <w:r>
        <w:rPr>
          <w:rFonts w:ascii="Times New Roman" w:cs="Times New Roman" w:eastAsia="Times New Roman" w:hAnsi="Times New Roman"/>
          <w:sz w:val="22"/>
          <w:szCs w:val="22"/>
        </w:rPr>
        <w:t xml:space="preserve">Seven spatially distinct PLGA microcapsule populations (diameter 20–50 µm) are distributed throughout the core matrix, each loaded exclusively with the chromogenic reagent set for one detection channel. Microdomains are positioned along a radial gradient: channels for the most abundant post-dilution analytes (glucose P-1, microalbumin P-2) occupy outer core zones for rapid biomarker access, while channels for low-abundance analytes (heme P-5, NMP22 P-7) are positioned in inner zones to maximize effective contact time.</w:t>
      </w:r>
    </w:p>
    <w:p>
      <w:pPr>
        <w:pStyle w:val="Heading2"/>
        <w:spacing w:after="100" w:before="280"/>
      </w:pPr>
      <w:r>
        <w:rPr>
          <w:rFonts w:ascii="Arial" w:cs="Arial" w:eastAsia="Arial" w:hAnsi="Arial"/>
          <w:b/>
          <w:bCs/>
          <w:color w:val="1A3A6B"/>
          <w:sz w:val="26"/>
          <w:szCs w:val="26"/>
        </w:rPr>
        <w:t xml:space="preserve">4.5 Nanozymes — Nanochemistry</w:t>
      </w:r>
    </w:p>
    <w:p>
      <w:pPr>
        <w:spacing w:after="120" w:before="60" w:line="380" w:lineRule="auto"/>
        <w:jc w:val="both"/>
      </w:pPr>
      <w:r>
        <w:rPr>
          <w:rFonts w:ascii="Times New Roman" w:cs="Times New Roman" w:eastAsia="Times New Roman" w:hAnsi="Times New Roman"/>
          <w:sz w:val="22"/>
          <w:szCs w:val="22"/>
        </w:rPr>
        <w:t xml:space="preserve">Iron oxide nanoparticles (Fe₃O₄, 8–12 nm, peroxidase-mimicking) and cerium oxide nanoparticles (CeO₂, 5–10 nm, oxidase- and antioxidant-mimicking) are incorporated throughout the biochemical core as catalytic amplifiers. Fe₃O₄ nanozymes catalyze chromogenic substrate oxidation in the presence of H₂O₂ with kinetic parameters comparable to natural horseradish peroxidase but with substantially greater thermostability under the pH and ionic conditions of toilet water. CeO₂ nanozymes serve dual functions: as oxidase mimics generating reactive oxygen species for chromogenic oxidation, and as antioxidant agents scavenging reactive oxygen species from urinary oxidants, protecting immobilized enzymes from oxidative inactivation. Both nanozyme species are dispersed by mild probe sonication (40 W, 5 minutes) and covalently immobilized via glutaraldehyde crosslinking. Theoretical ICP-MS leaching modeling predicts Fe and Ce ion release below 0.01 mg/L per use cycle, substantially below WHO environmental safety thresholds.</w:t>
      </w:r>
    </w:p>
    <w:p>
      <w:pPr>
        <w:pStyle w:val="Heading2"/>
        <w:spacing w:after="100" w:before="280"/>
      </w:pPr>
      <w:r>
        <w:rPr>
          <w:rFonts w:ascii="Arial" w:cs="Arial" w:eastAsia="Arial" w:hAnsi="Arial"/>
          <w:b/>
          <w:bCs/>
          <w:color w:val="1A3A6B"/>
          <w:sz w:val="26"/>
          <w:szCs w:val="26"/>
        </w:rPr>
        <w:t xml:space="preserve">4.6 Colorimetric System — Analytical Chemistry</w:t>
      </w:r>
    </w:p>
    <w:p>
      <w:pPr>
        <w:spacing w:after="120" w:before="60" w:line="380" w:lineRule="auto"/>
        <w:jc w:val="both"/>
      </w:pPr>
      <w:r>
        <w:rPr>
          <w:rFonts w:ascii="Times New Roman" w:cs="Times New Roman" w:eastAsia="Times New Roman" w:hAnsi="Times New Roman"/>
          <w:sz w:val="22"/>
          <w:szCs w:val="22"/>
        </w:rPr>
        <w:t xml:space="preserve">The colorimetric detection system produces seven spectrally non-overlapping chromophoric outputs spanning 405–660 nm. Chromogenic reagents are selected based on spectral orthogonality, high molar extinction coefficient (ε &gt; 10,000 M⁻¹cm⁻¹), chemical compatibility with each enzyme–nanozyme cascade, and stability under toilet water pH conditions (5.0–8.5).</w:t>
      </w:r>
    </w:p>
    <w:p>
      <w:pPr>
        <w:spacing w:after="80" w:before="8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700"/>
        <w:gridCol w:w="1300"/>
        <w:gridCol w:w="1600"/>
        <w:gridCol w:w="2200"/>
        <w:gridCol w:w="1100"/>
        <w:gridCol w:w="800"/>
        <w:gridCol w:w="1500"/>
      </w:tblGrid>
      <w:tr>
        <w:trPr>
          <w:tblHeader/>
        </w:trPr>
        <w:tc>
          <w:tcPr>
            <w:tcW w:type="dxa" w:w="7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w:t>
            </w:r>
          </w:p>
        </w:tc>
        <w:tc>
          <w:tcPr>
            <w:tcW w:type="dxa" w:w="13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Biomarker</w:t>
            </w:r>
          </w:p>
        </w:tc>
        <w:tc>
          <w:tcPr>
            <w:tcW w:type="dxa" w:w="1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Chromogen</w:t>
            </w:r>
          </w:p>
        </w:tc>
        <w:tc>
          <w:tcPr>
            <w:tcW w:type="dxa" w:w="2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Reaction</w:t>
            </w:r>
          </w:p>
        </w:tc>
        <w:tc>
          <w:tcPr>
            <w:tcW w:type="dxa" w:w="11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Color Product</w:t>
            </w:r>
          </w:p>
        </w:tc>
        <w:tc>
          <w:tcPr>
            <w:tcW w:type="dxa" w:w="8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λmax</w:t>
            </w:r>
          </w:p>
        </w:tc>
        <w:tc>
          <w:tcPr>
            <w:tcW w:type="dxa" w:w="1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Molar ε</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Glucose</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Xylenol orange</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GOx → H₂O₂ + Fe³⁺ → complex</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Yellow</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405 nm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&gt;15,000</w:t>
            </w:r>
          </w:p>
        </w:tc>
      </w:tr>
      <w:tr>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Microalbumin</w:t>
            </w:r>
          </w:p>
        </w:tc>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Coomassie G-250</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Albumin–dye stoichiometric binding</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Deep blue</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595 nm</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&gt;70,000</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Bilirubin</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OPD</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BOD oxidation → diaminophenazine</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Orange</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450 nm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&gt;20,000</w:t>
            </w:r>
          </w:p>
        </w:tc>
      </w:tr>
      <w:tr>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Fecal Hb</w:t>
            </w:r>
          </w:p>
        </w:tc>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AAP/Phenol</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Hb-peroxidase + H₂O₂ → quinoneimine</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Bright red</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505 nm</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&gt;45,000</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Heme</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o-Tolidine</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Heme-peroxidase oxidation</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Black-brown</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660 nm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&gt;30,000</w:t>
            </w:r>
          </w:p>
        </w:tc>
      </w:tr>
      <w:tr>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Bile acids</w:t>
            </w:r>
          </w:p>
        </w:tc>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INT-formazan</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3α-HSD + NAD⁺ → NADH + diaphorase</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Purple</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570 nm</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&gt;18,000</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NMP22</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TMB</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Anti-NMP22 sandwich + HRP → TMB oxidation</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Olive green</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620 nm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&gt;39,000</w:t>
            </w:r>
          </w:p>
        </w:tc>
      </w:tr>
    </w:tbl>
    <w:p>
      <w:pPr>
        <w:spacing w:after="200" w:before="60"/>
        <w:jc w:val="center"/>
      </w:pPr>
      <w:r>
        <w:rPr>
          <w:rFonts w:ascii="Arial" w:cs="Arial" w:eastAsia="Arial" w:hAnsi="Arial"/>
          <w:i/>
          <w:iCs/>
          <w:color w:val="444444"/>
          <w:sz w:val="19"/>
          <w:szCs w:val="19"/>
        </w:rPr>
        <w:t xml:space="preserve">Table 3. Complete colorimetric channel specifications for all seven Smart Pellet types.</w:t>
      </w:r>
    </w:p>
    <w:p>
      <w:pPr>
        <w:pStyle w:val="Heading2"/>
        <w:spacing w:after="100" w:before="280"/>
      </w:pPr>
      <w:r>
        <w:rPr>
          <w:rFonts w:ascii="Arial" w:cs="Arial" w:eastAsia="Arial" w:hAnsi="Arial"/>
          <w:b/>
          <w:bCs/>
          <w:color w:val="1A3A6B"/>
          <w:sz w:val="26"/>
          <w:szCs w:val="26"/>
        </w:rPr>
        <w:t xml:space="preserve">4.7 Seven-Pellet System Assembly</w:t>
      </w:r>
    </w:p>
    <w:p>
      <w:pPr>
        <w:spacing w:after="120" w:before="60" w:line="380" w:lineRule="auto"/>
        <w:jc w:val="both"/>
      </w:pPr>
      <w:r>
        <w:rPr>
          <w:rFonts w:ascii="Times New Roman" w:cs="Times New Roman" w:eastAsia="Times New Roman" w:hAnsi="Times New Roman"/>
          <w:sz w:val="22"/>
          <w:szCs w:val="22"/>
        </w:rPr>
        <w:t xml:space="preserve">Final pellet assembly proceeds through a defined sequential fabrication protocol. The gelatin–silica hybrid core matrix, loaded with immobilized enzymes, nanozymes, and spatially distributed chromogenic microcapsules, is cast into spherical droplets of 2–4 mm diameter using a coaxial microfluidic droplet generator and cured at 4°C for 1 hour. The MIP layer is deposited by dip-coating in a MIP nanoparticle suspension (50 nm MIP particles, 5 mg/mL in ethanol), consolidated at 40°C for 30 minutes. The mesoporous organosilica shell is deposited by dip-coating in TEOS/MTES sol and consolidated at 50°C for 2 hours. L-aptamers are conjugated via NHS-EDC chemistry (2 hours, room temperature, PBS pH 7.4). Finally, iron oxide pigment coating is applied by a single dip-coating cycle in the pigment–silica sol suspension, consolidated at 50°C for 1 hour. The final assembled pellet diameter is 3–5 mm, incorporating all six functional layers.</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5. Theoretical Performance Modeling</w:t>
      </w:r>
    </w:p>
    <w:p>
      <w:pPr>
        <w:pStyle w:val="Heading2"/>
        <w:spacing w:after="100" w:before="280"/>
      </w:pPr>
      <w:r>
        <w:rPr>
          <w:rFonts w:ascii="Arial" w:cs="Arial" w:eastAsia="Arial" w:hAnsi="Arial"/>
          <w:b/>
          <w:bCs/>
          <w:color w:val="1A3A6B"/>
          <w:sz w:val="26"/>
          <w:szCs w:val="26"/>
        </w:rPr>
        <w:t xml:space="preserve">5.1 Diffusion Modeling — Fick’s Second Law</w:t>
      </w:r>
    </w:p>
    <w:p>
      <w:pPr>
        <w:spacing w:after="120" w:before="60" w:line="380" w:lineRule="auto"/>
        <w:jc w:val="both"/>
      </w:pPr>
      <w:r>
        <w:rPr>
          <w:rFonts w:ascii="Times New Roman" w:cs="Times New Roman" w:eastAsia="Times New Roman" w:hAnsi="Times New Roman"/>
          <w:sz w:val="22"/>
          <w:szCs w:val="22"/>
        </w:rPr>
        <w:t xml:space="preserve">Biomarker transport from toilet water through the aptamer-gated nanoporous shell and MIP layer to the biochemical core is modeled using Fick’s second law with a biomarker consumption sink term:</w:t>
      </w:r>
    </w:p>
    <w:p>
      <w:pPr>
        <w:spacing w:after="160" w:before="160"/>
        <w:jc w:val="center"/>
      </w:pPr>
      <w:r>
        <w:rPr>
          <w:rFonts w:ascii="Courier New" w:cs="Courier New" w:eastAsia="Courier New" w:hAnsi="Courier New"/>
          <w:i/>
          <w:iCs/>
          <w:color w:val="222222"/>
          <w:sz w:val="22"/>
          <w:szCs w:val="22"/>
        </w:rPr>
        <w:t xml:space="preserve">∂C/∂t  =  Dₑₒₒ · ∇²C  −  R(C)</w:t>
      </w:r>
    </w:p>
    <w:p>
      <w:pPr>
        <w:spacing w:after="120" w:before="60" w:line="380" w:lineRule="auto"/>
        <w:jc w:val="both"/>
      </w:pPr>
      <w:r>
        <w:rPr>
          <w:rFonts w:ascii="Times New Roman" w:cs="Times New Roman" w:eastAsia="Times New Roman" w:hAnsi="Times New Roman"/>
          <w:sz w:val="22"/>
          <w:szCs w:val="22"/>
        </w:rPr>
        <w:t xml:space="preserve">where C is the local biomarker concentration (µM), t is time (s), Dₑₒₒ is the effective diffusion coefficient corrected for mesopore tortuosity and aptamer gate resistance, and R(C) is the biomarker consumption rate. The effective diffusion coefficient is:</w:t>
      </w:r>
    </w:p>
    <w:p>
      <w:pPr>
        <w:spacing w:after="160" w:before="160"/>
        <w:jc w:val="center"/>
      </w:pPr>
      <w:r>
        <w:rPr>
          <w:rFonts w:ascii="Courier New" w:cs="Courier New" w:eastAsia="Courier New" w:hAnsi="Courier New"/>
          <w:i/>
          <w:iCs/>
          <w:color w:val="222222"/>
          <w:sz w:val="22"/>
          <w:szCs w:val="22"/>
        </w:rPr>
        <w:t xml:space="preserve">Dₑₒₒ  =  αₑₓₚₜₐₘₑʳ · αₜₒʳₜᵘᵒˢᵒʳ · Dᵇᵘᴸᵏ</w:t>
      </w:r>
    </w:p>
    <w:p>
      <w:pPr>
        <w:spacing w:after="120" w:before="60" w:line="380" w:lineRule="auto"/>
        <w:jc w:val="both"/>
      </w:pPr>
      <w:r>
        <w:rPr>
          <w:rFonts w:ascii="Times New Roman" w:cs="Times New Roman" w:eastAsia="Times New Roman" w:hAnsi="Times New Roman"/>
          <w:sz w:val="22"/>
          <w:szCs w:val="22"/>
        </w:rPr>
        <w:t xml:space="preserve">where αₑₓₚₜₐₘₑʳ (0.001–0.01) accounts for aptamer gate resistance in the open conformation and αₜₒʳₜᵘᵒˢᵒʳ (0.01–0.10) represents the mesopore tortuosity correction. Numerical solution predicts biomarker transit times of 3–12 minutes for small-molecule analytes (glucose, bilirubin, bile acids) and 8–18 minutes for macromolecular targets (albumin, hemoglobin, NMP22) under pathological post-dilution concentrations.</w:t>
      </w:r>
    </w:p>
    <w:p>
      <w:pPr>
        <w:pStyle w:val="Heading2"/>
        <w:spacing w:after="100" w:before="280"/>
      </w:pPr>
      <w:r>
        <w:rPr>
          <w:rFonts w:ascii="Arial" w:cs="Arial" w:eastAsia="Arial" w:hAnsi="Arial"/>
          <w:b/>
          <w:bCs/>
          <w:color w:val="1A3A6B"/>
          <w:sz w:val="26"/>
          <w:szCs w:val="26"/>
        </w:rPr>
        <w:t xml:space="preserve">5.2 Reaction Kinetics — Michaelis–Menten Model</w:t>
      </w:r>
    </w:p>
    <w:p>
      <w:pPr>
        <w:spacing w:after="120" w:before="60" w:line="380" w:lineRule="auto"/>
        <w:jc w:val="both"/>
      </w:pPr>
      <w:r>
        <w:rPr>
          <w:rFonts w:ascii="Times New Roman" w:cs="Times New Roman" w:eastAsia="Times New Roman" w:hAnsi="Times New Roman"/>
          <w:sz w:val="22"/>
          <w:szCs w:val="22"/>
        </w:rPr>
        <w:t xml:space="preserve">Enzymatic reaction rates within each chromogenic microdomain are modeled using the Michaelis–Menten equation:</w:t>
      </w:r>
    </w:p>
    <w:p>
      <w:pPr>
        <w:spacing w:after="160" w:before="160"/>
        <w:jc w:val="center"/>
      </w:pPr>
      <w:r>
        <w:rPr>
          <w:rFonts w:ascii="Courier New" w:cs="Courier New" w:eastAsia="Courier New" w:hAnsi="Courier New"/>
          <w:i/>
          <w:iCs/>
          <w:color w:val="222222"/>
          <w:sz w:val="22"/>
          <w:szCs w:val="22"/>
        </w:rPr>
        <w:t xml:space="preserve">R(C)  =  (Vₘₐₓ · C)  /  (Kₘ  +  C)</w:t>
      </w:r>
    </w:p>
    <w:p>
      <w:pPr>
        <w:spacing w:after="120" w:before="60" w:line="380" w:lineRule="auto"/>
        <w:jc w:val="both"/>
      </w:pPr>
      <w:r>
        <w:rPr>
          <w:rFonts w:ascii="Times New Roman" w:cs="Times New Roman" w:eastAsia="Times New Roman" w:hAnsi="Times New Roman"/>
          <w:sz w:val="22"/>
          <w:szCs w:val="22"/>
        </w:rPr>
        <w:t xml:space="preserve">where Vmax is the maximum reaction velocity (µM·s⁻¹), Km is the Michaelis constant (µM), and C is the local substrate concentration. The combined enzyme–nanozyme system is predicted to generate visually detectable chromophore concentrations exceeding the ΔE = 2.3 CIELAB just-noticeable-difference threshold within 3–18 minutes across all seven channels.</w:t>
      </w:r>
    </w:p>
    <w:p>
      <w:pPr>
        <w:spacing w:after="80" w:before="80"/>
      </w:pPr>
      <w:r>
        <w:t xml:space="preserve"/>
      </w:r>
    </w:p>
    <w:tbl>
      <w:tblPr>
        <w:tblW w:type="dxa" w:w="7600"/>
        <w:tblBorders>
          <w:top w:val="single" w:color="auto" w:sz="4"/>
          <w:left w:val="single" w:color="auto" w:sz="4"/>
          <w:bottom w:val="single" w:color="auto" w:sz="4"/>
          <w:right w:val="single" w:color="auto" w:sz="4"/>
          <w:insideH w:val="single" w:color="auto" w:sz="4"/>
          <w:insideV w:val="single" w:color="auto" w:sz="4"/>
        </w:tblBorders>
      </w:tblPr>
      <w:tblGrid>
        <w:gridCol w:w="1200"/>
        <w:gridCol w:w="2400"/>
        <w:gridCol w:w="1400"/>
        <w:gridCol w:w="1400"/>
        <w:gridCol w:w="1200"/>
      </w:tblGrid>
      <w:tr>
        <w:trPr>
          <w:tblHeader/>
        </w:trPr>
        <w:tc>
          <w:tcPr>
            <w:tcW w:type="dxa" w:w="1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w:t>
            </w:r>
          </w:p>
        </w:tc>
        <w:tc>
          <w:tcPr>
            <w:tcW w:type="dxa" w:w="2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Enzyme / Detection Method</w:t>
            </w:r>
          </w:p>
        </w:tc>
        <w:tc>
          <w:tcPr>
            <w:tcW w:type="dxa" w:w="1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Km (µM)</w:t>
            </w:r>
          </w:p>
        </w:tc>
        <w:tc>
          <w:tcPr>
            <w:tcW w:type="dxa" w:w="1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Vmax (µM·s⁻¹)</w:t>
            </w:r>
          </w:p>
        </w:tc>
        <w:tc>
          <w:tcPr>
            <w:tcW w:type="dxa" w:w="1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Response time</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 (Glucose)</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GOx + Fe₃O₄ nanozyme</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154</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0.10</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3–8 min</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 (Albumin)</w:t>
            </w:r>
          </w:p>
        </w:tc>
        <w:tc>
          <w:tcPr>
            <w:tcW w:type="dxa" w:w="2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Coomassie dye-binding</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 (stoichiometric)</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5–10 min</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 (Bilirubin)</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BOD</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12</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0.05</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5–12 min</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 (Fecal Hb)</w:t>
            </w:r>
          </w:p>
        </w:tc>
        <w:tc>
          <w:tcPr>
            <w:tcW w:type="dxa" w:w="2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Hb-peroxidase mimic</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0.5</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0.20</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3–6 min</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 (Heme)</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Intrinsic Fe-porphyrin peroxidase</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0.15</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3–6 min</w:t>
            </w:r>
          </w:p>
        </w:tc>
      </w:tr>
      <w:tr>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 (Bile acids)</w:t>
            </w:r>
          </w:p>
        </w:tc>
        <w:tc>
          <w:tcPr>
            <w:tcW w:type="dxa" w:w="2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3α-HSD + diaphorase</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85</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0.08</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8–15 min</w:t>
            </w:r>
          </w:p>
        </w:tc>
      </w:tr>
      <w:tr>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 (NMP22)</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Anti-NMP22 sandwich immunoassay + HRP</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 (immunoreaction)</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10–18 min</w:t>
            </w:r>
          </w:p>
        </w:tc>
      </w:tr>
    </w:tbl>
    <w:p>
      <w:pPr>
        <w:spacing w:after="200" w:before="60"/>
        <w:jc w:val="center"/>
      </w:pPr>
      <w:r>
        <w:rPr>
          <w:rFonts w:ascii="Arial" w:cs="Arial" w:eastAsia="Arial" w:hAnsi="Arial"/>
          <w:i/>
          <w:iCs/>
          <w:color w:val="444444"/>
          <w:sz w:val="19"/>
          <w:szCs w:val="19"/>
        </w:rPr>
        <w:t xml:space="preserve">Table 4. Enzyme kinetic parameters and predicted colorimetric response times for all seven pellet types.</w:t>
      </w:r>
    </w:p>
    <w:p>
      <w:pPr>
        <w:pStyle w:val="Heading2"/>
        <w:spacing w:after="100" w:before="280"/>
      </w:pPr>
      <w:r>
        <w:rPr>
          <w:rFonts w:ascii="Arial" w:cs="Arial" w:eastAsia="Arial" w:hAnsi="Arial"/>
          <w:b/>
          <w:bCs/>
          <w:color w:val="1A3A6B"/>
          <w:sz w:val="26"/>
          <w:szCs w:val="26"/>
        </w:rPr>
        <w:t xml:space="preserve">5.3 Dilution-Corrected Limit of Detection Analysis</w:t>
      </w:r>
    </w:p>
    <w:p>
      <w:pPr>
        <w:spacing w:after="120" w:before="60" w:line="380" w:lineRule="auto"/>
        <w:jc w:val="both"/>
      </w:pPr>
      <w:r>
        <w:rPr>
          <w:rFonts w:ascii="Times New Roman" w:cs="Times New Roman" w:eastAsia="Times New Roman" w:hAnsi="Times New Roman"/>
          <w:sz w:val="22"/>
          <w:szCs w:val="22"/>
        </w:rPr>
        <w:t xml:space="preserve">Assuming a standard single void of 300 mL urine or 150 g feces introduced into 8 liters of toilet water (27-fold dilution for urine), the following analysis quantifies post-dilution biomarker concentrations against theoretical LOD values derived from the ΔE = 2.3 CIELAB color threshold:</w:t>
      </w:r>
    </w:p>
    <w:p>
      <w:pPr>
        <w:spacing w:after="80" w:before="80"/>
      </w:pPr>
      <w:r>
        <w:t xml:space="preserve"/>
      </w:r>
    </w:p>
    <w:tbl>
      <w:tblPr>
        <w:tblW w:type="dxa" w:w="8600"/>
        <w:tblBorders>
          <w:top w:val="single" w:color="auto" w:sz="4"/>
          <w:left w:val="single" w:color="auto" w:sz="4"/>
          <w:bottom w:val="single" w:color="auto" w:sz="4"/>
          <w:right w:val="single" w:color="auto" w:sz="4"/>
          <w:insideH w:val="single" w:color="auto" w:sz="4"/>
          <w:insideV w:val="single" w:color="auto" w:sz="4"/>
        </w:tblBorders>
      </w:tblPr>
      <w:tblGrid>
        <w:gridCol w:w="600"/>
        <w:gridCol w:w="1100"/>
        <w:gridCol w:w="1400"/>
        <w:gridCol w:w="800"/>
        <w:gridCol w:w="1300"/>
        <w:gridCol w:w="1200"/>
        <w:gridCol w:w="1500"/>
        <w:gridCol w:w="700"/>
      </w:tblGrid>
      <w:tr>
        <w:trPr>
          <w:tblHeader/>
        </w:trPr>
        <w:tc>
          <w:tcPr>
            <w:tcW w:type="dxa" w:w="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w:t>
            </w:r>
          </w:p>
        </w:tc>
        <w:tc>
          <w:tcPr>
            <w:tcW w:type="dxa" w:w="11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Biomarker</w:t>
            </w:r>
          </w:p>
        </w:tc>
        <w:tc>
          <w:tcPr>
            <w:tcW w:type="dxa" w:w="1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Pathological Conc.</w:t>
            </w:r>
          </w:p>
        </w:tc>
        <w:tc>
          <w:tcPr>
            <w:tcW w:type="dxa" w:w="8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Dilution</w:t>
            </w:r>
          </w:p>
        </w:tc>
        <w:tc>
          <w:tcPr>
            <w:tcW w:type="dxa" w:w="13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Post-Dilution</w:t>
            </w:r>
          </w:p>
        </w:tc>
        <w:tc>
          <w:tcPr>
            <w:tcW w:type="dxa" w:w="1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Theoretical LOD</w:t>
            </w:r>
          </w:p>
        </w:tc>
        <w:tc>
          <w:tcPr>
            <w:tcW w:type="dxa" w:w="1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Clinical Threshold</w:t>
            </w:r>
          </w:p>
        </w:tc>
        <w:tc>
          <w:tcPr>
            <w:tcW w:type="dxa" w:w="7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Detectable?</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Glucose</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5,000–50,000 µM</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185–1,850 µM</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50–150 µM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&gt;2.8 mM (DM)</w:t>
            </w:r>
          </w:p>
        </w:tc>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Microalbumin</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30–300 mg/L</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1.1–11.1 mg/L</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 mg/L</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&gt;30 mg/L (CKD)</w:t>
            </w:r>
          </w:p>
        </w:tc>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Bilirubin</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50–200 µM</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1.8–7.4 µM</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1–10 µM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&gt;17 µM</w:t>
            </w:r>
          </w:p>
        </w:tc>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Marginal</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Fecal Hb</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50–500 µg/g</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Variable</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0.9–9.2 µg/mL</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0.5 µg/mL</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&gt;10 µg/mL (CRC)</w:t>
            </w:r>
          </w:p>
        </w:tc>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Heme</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5–50 µM</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0.18–1.85 µM</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0.1–1 µM</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Any hematuria</w:t>
            </w:r>
          </w:p>
        </w:tc>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w:t>
            </w:r>
          </w:p>
        </w:tc>
        <w:tc>
          <w:tcPr>
            <w:tcW w:type="dxa" w:w="11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Bile acids</w:t>
            </w:r>
          </w:p>
        </w:tc>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10–100 µmol/g</w:t>
            </w:r>
          </w:p>
        </w:tc>
        <w:tc>
          <w:tcPr>
            <w:tcW w:type="dxa" w:w="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Variable</w:t>
            </w:r>
          </w:p>
        </w:tc>
        <w:tc>
          <w:tcPr>
            <w:tcW w:type="dxa" w:w="13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0.2–2.0 µmol/mL</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0.1 µmol/mL</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Elevated (PDAC)</w:t>
            </w:r>
          </w:p>
        </w:tc>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r>
        <w:tc>
          <w:tcPr>
            <w:tcW w:type="dxa" w:w="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w:t>
            </w:r>
          </w:p>
        </w:tc>
        <w:tc>
          <w:tcPr>
            <w:tcW w:type="dxa" w:w="11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NMP22</w:t>
            </w:r>
          </w:p>
        </w:tc>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10–100 µg/L</w:t>
            </w:r>
          </w:p>
        </w:tc>
        <w:tc>
          <w:tcPr>
            <w:tcW w:type="dxa" w:w="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27×</w:t>
            </w:r>
          </w:p>
        </w:tc>
        <w:tc>
          <w:tcPr>
            <w:tcW w:type="dxa" w:w="13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0.4–3.7 µg/L</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&lt;0.5 µg/L</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&gt;10 µg/L (bladder Ca.)</w:t>
            </w:r>
          </w:p>
        </w:tc>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 Yes</w:t>
            </w:r>
          </w:p>
        </w:tc>
      </w:tr>
    </w:tbl>
    <w:p>
      <w:pPr>
        <w:spacing w:after="200" w:before="60"/>
        <w:jc w:val="center"/>
      </w:pPr>
      <w:r>
        <w:rPr>
          <w:rFonts w:ascii="Arial" w:cs="Arial" w:eastAsia="Arial" w:hAnsi="Arial"/>
          <w:i/>
          <w:iCs/>
          <w:color w:val="444444"/>
          <w:sz w:val="19"/>
          <w:szCs w:val="19"/>
        </w:rPr>
        <w:t xml:space="preserve">Table 5. Dilution-corrected LOD analysis for all seven channels. DM = diabetes mellitus; CKD = chronic kidney disease; CRC = colorectal cancer; PDAC = pancreatic ductal adenocarcinoma.</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6. Results (Theoretical)</w:t>
      </w:r>
    </w:p>
    <w:p>
      <w:pPr>
        <w:spacing w:after="120" w:before="60" w:line="380" w:lineRule="auto"/>
        <w:jc w:val="both"/>
      </w:pPr>
      <w:r>
        <w:rPr>
          <w:rFonts w:ascii="Times New Roman" w:cs="Times New Roman" w:eastAsia="Times New Roman" w:hAnsi="Times New Roman"/>
          <w:sz w:val="22"/>
          <w:szCs w:val="22"/>
        </w:rPr>
        <w:t xml:space="preserve">Theoretical evaluation of the Smart Pellet System, based on the reaction–diffusion model, Michaelis–Menten kinetics, and dilution-corrected concentration analysis, indicates the following predicted performance characteristics.</w:t>
      </w:r>
    </w:p>
    <w:p>
      <w:pPr>
        <w:spacing w:after="120" w:before="60" w:line="380" w:lineRule="auto"/>
        <w:jc w:val="both"/>
      </w:pPr>
      <w:r>
        <w:rPr>
          <w:rFonts w:ascii="Times New Roman" w:cs="Times New Roman" w:eastAsia="Times New Roman" w:hAnsi="Times New Roman"/>
          <w:sz w:val="22"/>
          <w:szCs w:val="22"/>
        </w:rPr>
        <w:t xml:space="preserve">The L-aptamer molecular gating system is predicted to maintain gate-closed probability above 0.98 in toilet water free of target biomarkers, effectively preventing aqueous ingress and preserving enzymatic activity. Gate-open probability reaches &gt;0.95 at biomarker concentrations exceeding the aptamer Kd, ensuring proportional signal generation. The combined L-aptamer gate and secondary size-exclusion barrier physically excludes all microbial cells and viral particles from the reactive core.</w:t>
      </w:r>
    </w:p>
    <w:p>
      <w:pPr>
        <w:spacing w:after="120" w:before="60" w:line="380" w:lineRule="auto"/>
        <w:jc w:val="both"/>
      </w:pPr>
      <w:r>
        <w:rPr>
          <w:rFonts w:ascii="Times New Roman" w:cs="Times New Roman" w:eastAsia="Times New Roman" w:hAnsi="Times New Roman"/>
          <w:sz w:val="22"/>
          <w:szCs w:val="22"/>
        </w:rPr>
        <w:t xml:space="preserve">Dilution-corrected analysis confirms theoretical detection feasibility for all seven biomarker channels under pathological concentrations. Six channels (glucose P-1, microalbumin P-2, fecal hemoglobin P-4, heme fragments P-5, fecal bile acids P-6, and NMP22 P-7) demonstrate post-dilution concentrations exceeding their respective theoretical LODs by factors of 2–10×. The bilirubin channel (P-3) presents marginal detection feasibility requiring MIP preconcentration optimization.</w:t>
      </w:r>
    </w:p>
    <w:p>
      <w:pPr>
        <w:spacing w:after="120" w:before="60" w:line="380" w:lineRule="auto"/>
        <w:jc w:val="both"/>
      </w:pPr>
      <w:r>
        <w:rPr>
          <w:rFonts w:ascii="Times New Roman" w:cs="Times New Roman" w:eastAsia="Times New Roman" w:hAnsi="Times New Roman"/>
          <w:sz w:val="22"/>
          <w:szCs w:val="22"/>
        </w:rPr>
        <w:t xml:space="preserve">The seven colorimetric channels produce spectrally non-overlapping outputs at 405, 450, 505, 570, 595, 620, and 660 nm, with a minimum inter-channel spectral separation of 25 nm. Combined with spatial domain segregation within the pellet core, this spectral architecture enables simultaneous multi-channel visual discrimination and digital RGB quantification. The iron oxide and chromium oxide pigment colors, precisely matched to each channel's diagnostic output wavelength, create an intuitive result display: color intensification indicates disease positivity while an unchanged pellet indicates a negative result.</w:t>
      </w:r>
    </w:p>
    <w:p>
      <w:pPr>
        <w:spacing w:after="120" w:before="60" w:line="380" w:lineRule="auto"/>
        <w:jc w:val="both"/>
      </w:pPr>
      <w:r>
        <w:rPr>
          <w:rFonts w:ascii="Times New Roman" w:cs="Times New Roman" w:eastAsia="Times New Roman" w:hAnsi="Times New Roman"/>
          <w:sz w:val="22"/>
          <w:szCs w:val="22"/>
        </w:rPr>
        <w:t xml:space="preserve">Nanoparticle retention modeling predicts Fe₃O₄ and CeO₂ nanozyme retention above 99% within the glutaraldehyde-crosslinked core matrix over 72-hour aqueous exposure periods. Iron oxide and chromium oxide pigment release from the external coating is predicted to be negligible under wastewater flow conditions due to the covalent silica sol encapsulation matrix.</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7. Discussion</w:t>
      </w:r>
    </w:p>
    <w:p>
      <w:pPr>
        <w:pStyle w:val="Heading2"/>
        <w:spacing w:after="100" w:before="280"/>
      </w:pPr>
      <w:r>
        <w:rPr>
          <w:rFonts w:ascii="Arial" w:cs="Arial" w:eastAsia="Arial" w:hAnsi="Arial"/>
          <w:b/>
          <w:bCs/>
          <w:color w:val="1A3A6B"/>
          <w:sz w:val="26"/>
          <w:szCs w:val="26"/>
        </w:rPr>
        <w:t xml:space="preserve">7.1 Scientific Novelty and Competitive Positioning</w:t>
      </w:r>
    </w:p>
    <w:p>
      <w:pPr>
        <w:spacing w:after="120" w:before="60" w:line="380" w:lineRule="auto"/>
        <w:jc w:val="both"/>
      </w:pPr>
      <w:r>
        <w:rPr>
          <w:rFonts w:ascii="Times New Roman" w:cs="Times New Roman" w:eastAsia="Times New Roman" w:hAnsi="Times New Roman"/>
          <w:sz w:val="22"/>
          <w:szCs w:val="22"/>
        </w:rPr>
        <w:t xml:space="preserve">The Smart Pellet System occupies a diagnostic niche with no precedent in the scientific literature. All existing point-of-care colorimetric platforms require separated biological samples and defined environmental conditions incompatible with uncontrolled toilet water matrices. The introduction of L-aptamer (Spiegelmer) molecular gating resolves the fundamental challenge that has prevented enzymatically-active diagnostic pellets: the continuous aqueous exposure problem. By maintaining gate closure in the absence of target biomarkers, the L-aptamer system creates a biochemically protected microenvironment within the pellet core despite continuous immersion.</w:t>
      </w:r>
    </w:p>
    <w:p>
      <w:pPr>
        <w:spacing w:after="120" w:before="60" w:line="380" w:lineRule="auto"/>
        <w:jc w:val="both"/>
      </w:pPr>
      <w:r>
        <w:rPr>
          <w:rFonts w:ascii="Times New Roman" w:cs="Times New Roman" w:eastAsia="Times New Roman" w:hAnsi="Times New Roman"/>
          <w:sz w:val="22"/>
          <w:szCs w:val="22"/>
        </w:rPr>
        <w:t xml:space="preserve">The per-pellet optimization of nanopore diameter to match each biomarker's molecular dimensions represents a further design refinement not present in prior conceptual pellet systems. Pore sizes ranging from 5–8 nm (small metabolites: glucose, bilirubin, bile acids) to 15–20 nm (macromolecular targets: albumin, NMP22) maximize biomarker flux while maintaining secondary size-exclusion barriers appropriate to each channel's analytical requirements. The gravity-independent Fickian diffusion mechanism renders the system uniquely applicable to space medicine, supporting planned long-duration lunar and Martian missions.</w:t>
      </w:r>
    </w:p>
    <w:p>
      <w:pPr>
        <w:pStyle w:val="Heading2"/>
        <w:spacing w:after="100" w:before="280"/>
      </w:pPr>
      <w:r>
        <w:rPr>
          <w:rFonts w:ascii="Arial" w:cs="Arial" w:eastAsia="Arial" w:hAnsi="Arial"/>
          <w:b/>
          <w:bCs/>
          <w:color w:val="1A3A6B"/>
          <w:sz w:val="26"/>
          <w:szCs w:val="26"/>
        </w:rPr>
        <w:t xml:space="preserve">7.2 NMP22 as Bladder Cancer Biomarker</w:t>
      </w:r>
    </w:p>
    <w:p>
      <w:pPr>
        <w:spacing w:after="120" w:before="60" w:line="380" w:lineRule="auto"/>
        <w:jc w:val="both"/>
      </w:pPr>
      <w:r>
        <w:rPr>
          <w:rFonts w:ascii="Times New Roman" w:cs="Times New Roman" w:eastAsia="Times New Roman" w:hAnsi="Times New Roman"/>
          <w:sz w:val="22"/>
          <w:szCs w:val="22"/>
        </w:rPr>
        <w:t xml:space="preserve">The selection of NMP22 (Nuclear Matrix Protein 22) for Pellet P-7 represents a clinically validated approach to bladder cancer screening. NMP22 is a nuclear matrix protein shed into urine by transitional cell carcinoma cells at concentrations substantially elevated above those in healthy individuals. The NMP22 BladderChek® test (Alere) is FDA-cleared for point-of-care bladder cancer detection, providing a robust clinical evidence base for the sensitivity and specificity achievable with NMP22 immunodetection. The immunosandwich format employed in Pellet P-7, combining capture antibody fragment immobilization with HRP-conjugated detection antibody and TMB chromogen, is directly analogous to established FDA-cleared immunoassay platforms, supporting the translational credibility of this detection channel.</w:t>
      </w:r>
    </w:p>
    <w:p>
      <w:pPr>
        <w:pStyle w:val="Heading2"/>
        <w:spacing w:after="100" w:before="280"/>
      </w:pPr>
      <w:r>
        <w:rPr>
          <w:rFonts w:ascii="Arial" w:cs="Arial" w:eastAsia="Arial" w:hAnsi="Arial"/>
          <w:b/>
          <w:bCs/>
          <w:color w:val="1A3A6B"/>
          <w:sz w:val="26"/>
          <w:szCs w:val="26"/>
        </w:rPr>
        <w:t xml:space="preserve">7.3 Critical Technical Challenges</w:t>
      </w:r>
    </w:p>
    <w:p>
      <w:pPr>
        <w:spacing w:after="120" w:before="60" w:line="380" w:lineRule="auto"/>
        <w:jc w:val="both"/>
      </w:pPr>
      <w:r>
        <w:rPr>
          <w:rFonts w:ascii="Times New Roman" w:cs="Times New Roman" w:eastAsia="Times New Roman" w:hAnsi="Times New Roman"/>
          <w:sz w:val="22"/>
          <w:szCs w:val="22"/>
        </w:rPr>
        <w:t xml:space="preserve">The most significant analytical challenge is ensuring L-aptamer conformational integrity over extended deployment in toilet water. While L-aptamer nuclease resistance is well-established, the stability of aptamer secondary structures under the ionic strength, pH variability, surfactant exposure, and chlorine concentrations of domestic toilet water requires experimental validation for all seven target sequences. Experimental characterization of aptamer gate functionality under simulated wastewater matrices spanning domestic water chemistries globally constitutes the most critical Phase 1 experimental priority.</w:t>
      </w:r>
    </w:p>
    <w:p>
      <w:pPr>
        <w:spacing w:after="120" w:before="60" w:line="380" w:lineRule="auto"/>
        <w:jc w:val="both"/>
      </w:pPr>
      <w:r>
        <w:rPr>
          <w:rFonts w:ascii="Times New Roman" w:cs="Times New Roman" w:eastAsia="Times New Roman" w:hAnsi="Times New Roman"/>
          <w:sz w:val="22"/>
          <w:szCs w:val="22"/>
        </w:rPr>
        <w:t xml:space="preserve">The bilirubin channel (P-3) presents marginal dilution sensitivity for borderline hepatic dysfunction cases. MIP-mediated preconcentration at the pellet surface offers a theoretically viable sensitivity enhancement strategy. The immunosandwich format of the NMP22 channel (P-7) introduces antibody fragment stability requirements under bathroom humidity and temperature conditions that must be addressed through lyophilization and trehalose-based stabilization strategies analogous to those employed for enzymatic components.</w:t>
      </w:r>
    </w:p>
    <w:p>
      <w:pPr>
        <w:pStyle w:val="Heading2"/>
        <w:spacing w:after="100" w:before="280"/>
      </w:pPr>
      <w:r>
        <w:rPr>
          <w:rFonts w:ascii="Arial" w:cs="Arial" w:eastAsia="Arial" w:hAnsi="Arial"/>
          <w:b/>
          <w:bCs/>
          <w:color w:val="1A3A6B"/>
          <w:sz w:val="26"/>
          <w:szCs w:val="26"/>
        </w:rPr>
        <w:t xml:space="preserve">7.4 Environmental and Regulatory Considerations</w:t>
      </w:r>
    </w:p>
    <w:p>
      <w:pPr>
        <w:spacing w:after="120" w:before="60" w:line="380" w:lineRule="auto"/>
        <w:jc w:val="both"/>
      </w:pPr>
      <w:r>
        <w:rPr>
          <w:rFonts w:ascii="Times New Roman" w:cs="Times New Roman" w:eastAsia="Times New Roman" w:hAnsi="Times New Roman"/>
          <w:sz w:val="22"/>
          <w:szCs w:val="22"/>
        </w:rPr>
        <w:t xml:space="preserve">Post-use pellet disposal into wastewater systems introduces concerns regarding iron oxide and chromium oxide pigment release, nanoparticle leaching, and chromogenic substrate discharge. Iron oxide pigments and chromium oxide green are chemically inert inorganic minerals presenting negligible environmental risk at per-pellet concentrations. Fe₃O₄ and CeO₂ nanozyme retention above 99% per the covalent immobilization model limits per-use nanoparticle release to sub-microgram quantities. Chromogenic substrate environmental fate modeling and aquatic ecotoxicity testing of degradation products constitute regulatory prerequisites for commercial implementation.</w:t>
      </w:r>
    </w:p>
    <w:p>
      <w:pPr>
        <w:pStyle w:val="Heading2"/>
        <w:spacing w:after="100" w:before="280"/>
      </w:pPr>
      <w:r>
        <w:rPr>
          <w:rFonts w:ascii="Arial" w:cs="Arial" w:eastAsia="Arial" w:hAnsi="Arial"/>
          <w:b/>
          <w:bCs/>
          <w:color w:val="1A3A6B"/>
          <w:sz w:val="26"/>
          <w:szCs w:val="26"/>
        </w:rPr>
        <w:t xml:space="preserve">7.5 Development Roadmap</w:t>
      </w:r>
    </w:p>
    <w:p>
      <w:pPr>
        <w:spacing w:after="80" w:before="80"/>
      </w:pPr>
      <w:r>
        <w:t xml:space="preserve"/>
      </w:r>
    </w:p>
    <w:tbl>
      <w:tblPr>
        <w:tblW w:type="dxa" w:w="8500"/>
        <w:tblBorders>
          <w:top w:val="single" w:color="auto" w:sz="4"/>
          <w:left w:val="single" w:color="auto" w:sz="4"/>
          <w:bottom w:val="single" w:color="auto" w:sz="4"/>
          <w:right w:val="single" w:color="auto" w:sz="4"/>
          <w:insideH w:val="single" w:color="auto" w:sz="4"/>
          <w:insideV w:val="single" w:color="auto" w:sz="4"/>
        </w:tblBorders>
      </w:tblPr>
      <w:tblGrid>
        <w:gridCol w:w="1400"/>
        <w:gridCol w:w="3500"/>
        <w:gridCol w:w="2600"/>
        <w:gridCol w:w="1000"/>
      </w:tblGrid>
      <w:tr>
        <w:trPr>
          <w:tblHeader/>
        </w:trPr>
        <w:tc>
          <w:tcPr>
            <w:tcW w:type="dxa" w:w="1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Phase</w:t>
            </w:r>
          </w:p>
        </w:tc>
        <w:tc>
          <w:tcPr>
            <w:tcW w:type="dxa" w:w="3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Activities</w:t>
            </w:r>
          </w:p>
        </w:tc>
        <w:tc>
          <w:tcPr>
            <w:tcW w:type="dxa" w:w="2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Success Criteria</w:t>
            </w:r>
          </w:p>
        </w:tc>
        <w:tc>
          <w:tcPr>
            <w:tcW w:type="dxa" w:w="10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Timeline</w:t>
            </w:r>
          </w:p>
        </w:tc>
      </w:tr>
      <w:tr>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 — Prototype</w:t>
            </w:r>
          </w:p>
        </w:tc>
        <w:tc>
          <w:tcPr>
            <w:tcW w:type="dxa" w:w="3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L-aptamer synthesis + gate validation; pellet fabrication; BET/BJH characterization</w:t>
            </w:r>
          </w:p>
        </w:tc>
        <w:tc>
          <w:tcPr>
            <w:tcW w:type="dxa" w:w="2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Gate closure &gt;98% in tap water; all 7 colors visible in artificial urine</w:t>
            </w:r>
          </w:p>
        </w:tc>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1–6</w:t>
            </w:r>
          </w:p>
        </w:tc>
      </w:tr>
      <w:tr>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 — Analytical</w:t>
            </w:r>
          </w:p>
        </w:tc>
        <w:tc>
          <w:tcPr>
            <w:tcW w:type="dxa" w:w="3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LOD/LOQ per channel; interferent panel; shelf-life at 30°C/80% RH</w:t>
            </w:r>
          </w:p>
        </w:tc>
        <w:tc>
          <w:tcPr>
            <w:tcW w:type="dxa" w:w="2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LOD ≤ theoretical; &lt;5% false positive rate; &gt;3-month stability</w:t>
            </w:r>
          </w:p>
        </w:tc>
        <w:tc>
          <w:tcPr>
            <w:tcW w:type="dxa" w:w="1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7–18</w:t>
            </w:r>
          </w:p>
        </w:tc>
      </w:tr>
      <w:tr>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 — Matrix Validation</w:t>
            </w:r>
          </w:p>
        </w:tc>
        <w:tc>
          <w:tcPr>
            <w:tcW w:type="dxa" w:w="3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Real toilet water; chlorinated water; variable pH/temperature; microgravity simulation</w:t>
            </w:r>
          </w:p>
        </w:tc>
        <w:tc>
          <w:tcPr>
            <w:tcW w:type="dxa" w:w="2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Correct detection ≥6/7 channels under real conditions</w:t>
            </w:r>
          </w:p>
        </w:tc>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19–30</w:t>
            </w:r>
          </w:p>
        </w:tc>
      </w:tr>
      <w:tr>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 — Digital Integration</w:t>
            </w:r>
          </w:p>
        </w:tc>
        <w:tc>
          <w:tcPr>
            <w:tcW w:type="dxa" w:w="3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Smartphone RGB app; ML color classifier; dispensing device sensor calibration</w:t>
            </w:r>
          </w:p>
        </w:tc>
        <w:tc>
          <w:tcPr>
            <w:tcW w:type="dxa" w:w="2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Sensitivity ≥90% / Specificity ≥95% vs. lab reference</w:t>
            </w:r>
          </w:p>
        </w:tc>
        <w:tc>
          <w:tcPr>
            <w:tcW w:type="dxa" w:w="1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25–36</w:t>
            </w:r>
          </w:p>
        </w:tc>
      </w:tr>
      <w:tr>
        <w:tc>
          <w:tcPr>
            <w:tcW w:type="dxa" w:w="1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 — Safety &amp; Regulatory</w:t>
            </w:r>
          </w:p>
        </w:tc>
        <w:tc>
          <w:tcPr>
            <w:tcW w:type="dxa" w:w="3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ICP-MS leaching; aquatic ecotoxicity; EU IVD / FDA 510(k) pathway</w:t>
            </w:r>
          </w:p>
        </w:tc>
        <w:tc>
          <w:tcPr>
            <w:tcW w:type="dxa" w:w="2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Nanoparticle retention &gt;99%; regulatory pathway defined</w:t>
            </w:r>
          </w:p>
        </w:tc>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30–42</w:t>
            </w:r>
          </w:p>
        </w:tc>
      </w:tr>
      <w:tr>
        <w:tc>
          <w:tcPr>
            <w:tcW w:type="dxa" w:w="1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 — Field Validation</w:t>
            </w:r>
          </w:p>
        </w:tc>
        <w:tc>
          <w:tcPr>
            <w:tcW w:type="dxa" w:w="3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Community pilot (low-resource setting); microgravity analog simulation</w:t>
            </w:r>
          </w:p>
        </w:tc>
        <w:tc>
          <w:tcPr>
            <w:tcW w:type="dxa" w:w="2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Concordance with lab reference ≥85% for ≥5 channels</w:t>
            </w:r>
          </w:p>
        </w:tc>
        <w:tc>
          <w:tcPr>
            <w:tcW w:type="dxa" w:w="1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Months 40–54</w:t>
            </w:r>
          </w:p>
        </w:tc>
      </w:tr>
    </w:tbl>
    <w:p>
      <w:pPr>
        <w:spacing w:after="200" w:before="60"/>
        <w:jc w:val="center"/>
      </w:pPr>
      <w:r>
        <w:rPr>
          <w:rFonts w:ascii="Arial" w:cs="Arial" w:eastAsia="Arial" w:hAnsi="Arial"/>
          <w:i/>
          <w:iCs/>
          <w:color w:val="444444"/>
          <w:sz w:val="19"/>
          <w:szCs w:val="19"/>
        </w:rPr>
        <w:t xml:space="preserve">Table 6. Six-phase experimental validation roadmap.</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8. Conclusion</w:t>
      </w:r>
    </w:p>
    <w:p>
      <w:pPr>
        <w:spacing w:after="120" w:before="60" w:line="380" w:lineRule="auto"/>
        <w:jc w:val="both"/>
      </w:pPr>
      <w:r>
        <w:rPr>
          <w:rFonts w:ascii="Times New Roman" w:cs="Times New Roman" w:eastAsia="Times New Roman" w:hAnsi="Times New Roman"/>
          <w:sz w:val="22"/>
          <w:szCs w:val="22"/>
        </w:rPr>
        <w:t xml:space="preserve">The Smart Pellet System presents a scientifically grounded conceptual framework for simultaneous autonomous colorimetric detection of seven clinically significant disease biomarkers — glucose (diabetes mellitus), microalbumin (chronic kidney disease), bilirubin (hepatic dysfunction), fecal hemoglobin (colorectal cancer), heme fragments (occult bleeding), fecal bile acids (pancreatic cancer), and NMP22 (bladder cancer) — within unprocessed toilet water, without user intervention, sample collection, or instrumented readout.</w:t>
      </w:r>
    </w:p>
    <w:p>
      <w:pPr>
        <w:spacing w:after="120" w:before="60" w:line="380" w:lineRule="auto"/>
        <w:jc w:val="both"/>
      </w:pPr>
      <w:r>
        <w:rPr>
          <w:rFonts w:ascii="Times New Roman" w:cs="Times New Roman" w:eastAsia="Times New Roman" w:hAnsi="Times New Roman"/>
          <w:sz w:val="22"/>
          <w:szCs w:val="22"/>
        </w:rPr>
        <w:t xml:space="preserve">The integration of six scientific disciplines within a single 3–5 mm microreactor — L-aptamer molecular gating, nanoporous organosilica filtration with per-pellet pore optimization, molecularly imprinted polymer recognition, enzyme-nanozyme biochemical amplification, and spatially segregated colorimetric signaling — addresses the fundamental challenge of maintaining enzymatic activity under continuous aqueous exposure while achieving disease-specific molecular selectivity. The selection of FDA-cleared NMP22 as the bladder cancer biomarker for Pellet P-7 provides established clinical validation absent from prior conceptual frameworks and enhances the translational credibility of the system.</w:t>
      </w:r>
    </w:p>
    <w:p>
      <w:pPr>
        <w:spacing w:after="120" w:before="60" w:line="380" w:lineRule="auto"/>
        <w:jc w:val="both"/>
      </w:pPr>
      <w:r>
        <w:rPr>
          <w:rFonts w:ascii="Times New Roman" w:cs="Times New Roman" w:eastAsia="Times New Roman" w:hAnsi="Times New Roman"/>
          <w:sz w:val="22"/>
          <w:szCs w:val="22"/>
        </w:rPr>
        <w:t xml:space="preserve">The matching of external iron oxide and chromium oxide pigment colors to internal diagnostic outputs, and the individual optimization of nanopore diameters to biomarker molecular dimensions, represent key design refinements that advance this concept toward a rigorous engineering specification. If experimentally validated through the six-phase roadmap described herein, the Smart Pellet System has the potential to redefine the accessibility of early disease detection globally, enabling passive, continuous, multi-disease health surveillance for populations currently beyond the reach of conventional laboratory diagnostics and for future human space exploration missions.</w:t>
      </w:r>
    </w:p>
    <w:p>
      <w:r>
        <w:br w:type="page"/>
      </w:r>
    </w:p>
    <w:p>
      <w:pPr/>
      <w:r>
        <w:br w:type="page"/>
      </w:r>
    </w:p>
    <w:p>
      <w:pPr>
        <w:pBdr>
          <w:bottom w:val="single" w:color="1A3A6B" w:sz="8" w:space="1"/>
        </w:pBdr>
        <w:spacing w:after="480" w:before="4800"/>
        <w:jc w:val="center"/>
      </w:pPr>
      <w:r>
        <w:rPr>
          <w:b/>
          <w:sz w:val="36"/>
          <w:szCs w:val="36"/>
        </w:rPr>
        <w:t>Part II</w:t>
      </w:r>
    </w:p>
    <w:p>
      <w:pPr>
        <w:jc w:val="center"/>
        <w:spacing w:before="120" w:after="120"/>
      </w:pPr>
      <w:r>
        <w:rPr>
          <w:b/>
          <w:sz w:val="28"/>
          <w:szCs w:val="28"/>
        </w:rPr>
        <w:t>Smart Pellet Dispenser:</w:t>
      </w:r>
    </w:p>
    <w:p>
      <w:pPr>
        <w:jc w:val="center"/>
        <w:spacing w:before="120" w:after="120"/>
      </w:pPr>
      <w:r>
        <w:rPr>
          <w:b/>
          <w:sz w:val="28"/>
          <w:szCs w:val="28"/>
        </w:rPr>
        <w:t>An Automated Biomarker-Selective Pellet Release Device</w:t>
      </w:r>
    </w:p>
    <w:p>
      <w:pPr>
        <w:jc w:val="center"/>
        <w:spacing w:before="120" w:after="120"/>
      </w:pPr>
      <w:r>
        <w:rPr>
          <w:b/>
          <w:sz w:val="28"/>
          <w:szCs w:val="28"/>
        </w:rPr>
        <w:t>for Toilet-Integrated Continuous Health Monitoring</w:t>
      </w:r>
    </w:p>
    <w:p>
      <w:pPr>
        <w:pStyle w:val="Heading1"/>
        <w:pBdr>
          <w:bottom w:val="single" w:color="1A3A6B" w:sz="6" w:space="4"/>
        </w:pBdr>
        <w:spacing w:after="160" w:before="420"/>
      </w:pPr>
      <w:r>
        <w:rPr>
          <w:rFonts w:ascii="Arial" w:cs="Arial" w:eastAsia="Arial" w:hAnsi="Arial"/>
          <w:b/>
          <w:bCs/>
          <w:color w:val="1A3A6B"/>
          <w:sz w:val="30"/>
          <w:szCs w:val="30"/>
        </w:rPr>
        <w:t xml:space="preserve">1. Abstract</w:t>
      </w:r>
    </w:p>
    <w:p>
      <w:pPr>
        <w:spacing w:after="120" w:before="60" w:line="380" w:lineRule="auto"/>
        <w:jc w:val="both"/>
      </w:pPr>
      <w:r>
        <w:rPr>
          <w:rFonts w:ascii="Times New Roman" w:cs="Times New Roman" w:eastAsia="Times New Roman" w:hAnsi="Times New Roman"/>
          <w:sz w:val="22"/>
          <w:szCs w:val="22"/>
        </w:rPr>
        <w:t xml:space="preserve">The Smart Pellet Dispenser is a conceptual toilet-integrated device engineered to serve as the mechanical and optical interface of the Smart Pellet System — a seven-pellet colorimetric diagnostic platform for autonomous disease detection in unprocessed biological waste. The dispenser addresses a fundamental operational requirement of the Smart Pellet System: the selective, scheduled release of one diagnostically specific pellet per flush cycle from a mixed-pellet reservoir, without user intervention. The device is designed for self-installation within the toilet cistern by the end user, accepting a standardized monthly refill cartridge containing 30 pellets spanning all seven diagnostic channels. An integrated optical recognition module — comprising a white LED emitter and a photodiode array — reads the iron oxide pigment color of each pellet prior to release, enabling the onboard microprocessor (ATtiny85-class, 8-bit) to identify pellet type and enforce a programmed seven-day rotational release schedule. Pellet release is actuated by a flush-driven hydraulic mechanism that converts cistern water pressure into a single-step ratchet displacement per flush cycle, advancing the pellet feed channel by one position. The complete device occupies a volume of 10 × 4 × 3 cm, weighs approximately 30 g without pellets, and is powered by a single CR2032 coin cell with a projected operational lifetime of 12 months. All materials in contact with cistern water are selected for chemical inertness, waterproofing, and regulatory compliance with drinking water contact standards. This work presents the conceptual design, component specifications, operational logic, and integration architecture of the Smart Pellet Dispenser as a companion publication to the Smart Pellet System manuscript.</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2. Introduction</w:t>
      </w:r>
    </w:p>
    <w:p>
      <w:pPr>
        <w:spacing w:after="120" w:before="60" w:line="380" w:lineRule="auto"/>
        <w:jc w:val="both"/>
      </w:pPr>
      <w:r>
        <w:rPr>
          <w:rFonts w:ascii="Times New Roman" w:cs="Times New Roman" w:eastAsia="Times New Roman" w:hAnsi="Times New Roman"/>
          <w:sz w:val="22"/>
          <w:szCs w:val="22"/>
        </w:rPr>
        <w:t xml:space="preserve">The Smart Pellet System — described in the companion manuscript — introduces a conceptual platform for autonomous colorimetric detection of seven disease biomarkers directly within unprocessed toilet water. Each of the seven pellet types is engineered to detect one specific biomarker: glucose (diabetes mellitus), microalbumin (chronic kidney disease), bilirubin (hepatic dysfunction), fecal hemoglobin (colorectal cancer), heme fragments (occult bleeding), fecal bile acids (pancreatic cancer), and NMP22 (bladder cancer). The biochemical architecture of each pellet relies on L-aptamer molecular gating, nanoporous organosilica filtration, molecularly imprinted polymer recognition, and enzyme–nanozyme catalytic amplification — components whose functional integrity depends critically on protection from continuous aqueous exposure prior to the diagnostic event.</w:t>
      </w:r>
    </w:p>
    <w:p>
      <w:pPr>
        <w:spacing w:after="120" w:before="60" w:line="380" w:lineRule="auto"/>
        <w:jc w:val="both"/>
      </w:pPr>
      <w:r>
        <w:rPr>
          <w:rFonts w:ascii="Times New Roman" w:cs="Times New Roman" w:eastAsia="Times New Roman" w:hAnsi="Times New Roman"/>
          <w:sz w:val="22"/>
          <w:szCs w:val="22"/>
        </w:rPr>
        <w:t xml:space="preserve">This protection requirement imposes a fundamental operational constraint: Smart Pellets must not reside in cistern water indefinitely. Extended aqueous immersion, even with L-aptamer gate closure providing &gt;98% water exclusion, introduces cumulative hydration of the organosilica shell and progressive enzymatic degradation over timescales of weeks to months. The Smart Pellet Dispenser resolves this constraint by storing all pellets in a dry, humidity-controlled reservoir within the cistern and releasing exactly one pellet per flush cycle, ensuring that each pellet contacts cistern water only during the active diagnostic window of 3–18 minutes before being discharged with the flush.</w:t>
      </w:r>
    </w:p>
    <w:p>
      <w:pPr>
        <w:spacing w:after="120" w:before="60" w:line="380" w:lineRule="auto"/>
        <w:jc w:val="both"/>
      </w:pPr>
      <w:r>
        <w:rPr>
          <w:rFonts w:ascii="Times New Roman" w:cs="Times New Roman" w:eastAsia="Times New Roman" w:hAnsi="Times New Roman"/>
          <w:sz w:val="22"/>
          <w:szCs w:val="22"/>
        </w:rPr>
        <w:t xml:space="preserve">A secondary operational requirement is the ability to identify which of the seven pellet types is to be released on any given day, enabling systematic coverage of all seven disease channels across a weekly rotation. Because a monthly refill cartridge contains pellets of all seven types in mixed configuration, the dispenser must autonomously identify each pellet's type by reading its iron oxide pigment color through an optical recognition module, and release only the pellet type scheduled for the current day of the rotation. This selective release capability is the central engineering innovation of the Smart Pellet Dispenser.</w:t>
      </w:r>
    </w:p>
    <w:p>
      <w:pPr>
        <w:spacing w:after="120" w:before="60" w:line="380" w:lineRule="auto"/>
        <w:jc w:val="both"/>
      </w:pPr>
      <w:r>
        <w:rPr>
          <w:rFonts w:ascii="Times New Roman" w:cs="Times New Roman" w:eastAsia="Times New Roman" w:hAnsi="Times New Roman"/>
          <w:sz w:val="22"/>
          <w:szCs w:val="22"/>
        </w:rPr>
        <w:t xml:space="preserve">This manuscript presents the conceptual design, component specifications, operational logic, material selection rationale, and integration architecture of the Smart Pellet Dispenser. Future development directions include wireless connectivity and smartphone integration, which are discussed in Section 8 as prospective enhancements beyond the current scope of this conceptual framework.</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3. Conceptual Design Overview</w:t>
      </w:r>
    </w:p>
    <w:p>
      <w:pPr>
        <w:spacing w:after="120" w:before="60" w:line="380" w:lineRule="auto"/>
        <w:jc w:val="both"/>
      </w:pPr>
      <w:r>
        <w:rPr>
          <w:rFonts w:ascii="Times New Roman" w:cs="Times New Roman" w:eastAsia="Times New Roman" w:hAnsi="Times New Roman"/>
          <w:sz w:val="22"/>
          <w:szCs w:val="22"/>
        </w:rPr>
        <w:t xml:space="preserve">The Smart Pellet Dispenser is a self-contained, cistern-mounted unit comprising five integrated subsystems: (1) the pellet reservoir and feed channel, (2) the optical recognition module, (3) the microprocessor and control logic, (4) the hydraulic release mechanism, and (5) the external housing and cistern attachment system. The five subsystems operate in a defined sequential logic with each flush cycle, as illustrated in the operational flow described in Section 4.</w:t>
      </w:r>
    </w:p>
    <w:p>
      <w:pPr>
        <w:spacing w:after="80" w:before="80"/>
      </w:pPr>
      <w: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2400"/>
        <w:gridCol w:w="2200"/>
      </w:tblGrid>
      <w:tr>
        <w:trPr>
          <w:tblHeader/>
        </w:trPr>
        <w:tc>
          <w:tcPr>
            <w:tcW w:type="dxa" w:w="1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Subsystem</w:t>
            </w:r>
          </w:p>
        </w:tc>
        <w:tc>
          <w:tcPr>
            <w:tcW w:type="dxa" w:w="20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Function</w:t>
            </w:r>
          </w:p>
        </w:tc>
        <w:tc>
          <w:tcPr>
            <w:tcW w:type="dxa" w:w="24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Key Components</w:t>
            </w:r>
          </w:p>
        </w:tc>
        <w:tc>
          <w:tcPr>
            <w:tcW w:type="dxa" w:w="2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Materials</w:t>
            </w:r>
          </w:p>
        </w:tc>
      </w:tr>
      <w:tr>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 Pellet reservoir</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Stores 30 pellets in dry conditions</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Cylindrical channel, 8 mm Ø × 160 mm</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PETG transparent, sealed top cap</w:t>
            </w:r>
          </w:p>
        </w:tc>
      </w:tr>
      <w:tr>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 Optical recognition</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Reads pellet color before release</w:t>
            </w:r>
          </w:p>
        </w:tc>
        <w:tc>
          <w:tcPr>
            <w:tcW w:type="dxa" w:w="2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White LED + RGB photodiode (TCS34725)</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PCB-mounted, waterproof-coated</w:t>
            </w:r>
          </w:p>
        </w:tc>
      </w:tr>
      <w:tr>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 Microprocessor</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Controls release schedule + color logic</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ATtiny85, 8 MHz, 8 KB flash</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Conformal-coated PCB</w:t>
            </w:r>
          </w:p>
        </w:tc>
      </w:tr>
      <w:tr>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 Release mechanism</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Releases one pellet per flush</w:t>
            </w:r>
          </w:p>
        </w:tc>
        <w:tc>
          <w:tcPr>
            <w:tcW w:type="dxa" w:w="24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Hydraulic piston + ratchet wheel</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POM acetal, silicone seal</w:t>
            </w:r>
          </w:p>
        </w:tc>
      </w:tr>
      <w:tr>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 Housing + attachment</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Mounts inside cistern, protects electronics</w:t>
            </w:r>
          </w:p>
        </w:tc>
        <w:tc>
          <w:tcPr>
            <w:tcW w:type="dxa" w:w="24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10 × 4 × 3 cm enclosure</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PP polypropylene, silicone adhesive</w:t>
            </w:r>
          </w:p>
        </w:tc>
      </w:tr>
    </w:tbl>
    <w:p>
      <w:pPr>
        <w:spacing w:after="200" w:before="60"/>
        <w:jc w:val="center"/>
      </w:pPr>
      <w:r>
        <w:rPr>
          <w:rFonts w:ascii="Arial" w:cs="Arial" w:eastAsia="Arial" w:hAnsi="Arial"/>
          <w:i/>
          <w:iCs/>
          <w:color w:val="444444"/>
          <w:sz w:val="19"/>
          <w:szCs w:val="19"/>
        </w:rPr>
        <w:t xml:space="preserve">Table 1. Five subsystems of the Smart Pellet Dispenser with key components and materials.</w:t>
      </w:r>
    </w:p>
    <w:p>
      <w:pPr>
        <w:spacing w:after="80" w:before="80"/>
      </w:pPr>
      <w:r>
        <w:t xml:space="preserve"/>
      </w:r>
    </w:p>
    <w:p>
      <w:pPr>
        <w:spacing w:after="120" w:before="60" w:line="380" w:lineRule="auto"/>
        <w:jc w:val="both"/>
      </w:pPr>
      <w:r>
        <w:rPr>
          <w:rFonts w:ascii="Times New Roman" w:cs="Times New Roman" w:eastAsia="Times New Roman" w:hAnsi="Times New Roman"/>
          <w:sz w:val="22"/>
          <w:szCs w:val="22"/>
        </w:rPr>
        <w:t xml:space="preserve">The complete device dimensions are 10 cm (height) × 4 cm (width) × 3 cm (depth), with a total mass of approximately 30 g without pellets and 34 g with a full 30-pellet monthly cartridge. These dimensions are compatible with standard household toilet cistern interiors across all major global toilet formats (cistern internal dimensions typically &gt;25 cm × 15 cm × 30 cm). The device is attached to the interior cistern wall using a medical-grade silicone adhesive pad rated for continuous submersion, with a secondary mechanical clip for additional retention security.</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4. Operational Logic and Release Sequence</w:t>
      </w:r>
    </w:p>
    <w:p>
      <w:pPr>
        <w:spacing w:after="120" w:before="60" w:line="380" w:lineRule="auto"/>
        <w:jc w:val="both"/>
      </w:pPr>
      <w:r>
        <w:rPr>
          <w:rFonts w:ascii="Times New Roman" w:cs="Times New Roman" w:eastAsia="Times New Roman" w:hAnsi="Times New Roman"/>
          <w:sz w:val="22"/>
          <w:szCs w:val="22"/>
        </w:rPr>
        <w:t xml:space="preserve">The Smart Pellet Dispenser operates through a defined six-step sequence that is initiated once per flush cycle. The sequence is designed to complete within the 30–60 second period between flush initiation and cistern refill, during which water pressure in the cistern transiently drops and then rises as the cistern refills.</w:t>
      </w:r>
    </w:p>
    <w:p>
      <w:pPr>
        <w:spacing w:after="80" w:before="80"/>
      </w:pPr>
      <w: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1000"/>
        <w:gridCol w:w="2800"/>
        <w:gridCol w:w="1200"/>
        <w:gridCol w:w="2200"/>
      </w:tblGrid>
      <w:tr>
        <w:trPr>
          <w:tblHeader/>
        </w:trPr>
        <w:tc>
          <w:tcPr>
            <w:tcW w:type="dxa" w:w="10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Step</w:t>
            </w:r>
          </w:p>
        </w:tc>
        <w:tc>
          <w:tcPr>
            <w:tcW w:type="dxa" w:w="28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Action</w:t>
            </w:r>
          </w:p>
        </w:tc>
        <w:tc>
          <w:tcPr>
            <w:tcW w:type="dxa" w:w="1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Duration</w:t>
            </w:r>
          </w:p>
        </w:tc>
        <w:tc>
          <w:tcPr>
            <w:tcW w:type="dxa" w:w="2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Trigger</w:t>
            </w:r>
          </w:p>
        </w:tc>
      </w:tr>
      <w:tr>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 Flush detection</w:t>
            </w:r>
          </w:p>
        </w:tc>
        <w:tc>
          <w:tcPr>
            <w:tcW w:type="dxa" w:w="2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Hydraulic pressure sensor detects flush initiation</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&lt;100 ms</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Cistern water level drop</w:t>
            </w:r>
          </w:p>
        </w:tc>
      </w:tr>
      <w:tr>
        <w:tc>
          <w:tcPr>
            <w:tcW w:type="dxa" w:w="1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 Pellet identification</w:t>
            </w:r>
          </w:p>
        </w:tc>
        <w:tc>
          <w:tcPr>
            <w:tcW w:type="dxa" w:w="2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LED illuminates lead pellet; photodiode reads RGB values</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200 ms</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Microprocessor command</w:t>
            </w:r>
          </w:p>
        </w:tc>
      </w:tr>
      <w:tr>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 Color classification</w:t>
            </w:r>
          </w:p>
        </w:tc>
        <w:tc>
          <w:tcPr>
            <w:tcW w:type="dxa" w:w="2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Microprocessor classifies pellet type from RGB signature</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&lt;10 ms</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Photodiode signal</w:t>
            </w:r>
          </w:p>
        </w:tc>
      </w:tr>
      <w:tr>
        <w:tc>
          <w:tcPr>
            <w:tcW w:type="dxa" w:w="1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 Schedule check</w:t>
            </w:r>
          </w:p>
        </w:tc>
        <w:tc>
          <w:tcPr>
            <w:tcW w:type="dxa" w:w="2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Microprocessor checks: is this pellet type scheduled today?</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 ms</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Internal day counter</w:t>
            </w:r>
          </w:p>
        </w:tc>
      </w:tr>
      <w:tr>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5a. Release (scheduled)</w:t>
            </w:r>
          </w:p>
        </w:tc>
        <w:tc>
          <w:tcPr>
            <w:tcW w:type="dxa" w:w="2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Ratchet advances one step; pellet drops into cistern water</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500 ms</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Schedule match confirmed</w:t>
            </w:r>
          </w:p>
        </w:tc>
      </w:tr>
      <w:tr>
        <w:tc>
          <w:tcPr>
            <w:tcW w:type="dxa" w:w="1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5b. Skip (not scheduled)</w:t>
            </w:r>
          </w:p>
        </w:tc>
        <w:tc>
          <w:tcPr>
            <w:tcW w:type="dxa" w:w="2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Ratchet does not advance; pellet held in reservoir</w:t>
            </w:r>
          </w:p>
        </w:tc>
        <w:tc>
          <w:tcPr>
            <w:tcW w:type="dxa" w:w="1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0 ms</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Schedule mismatch detected</w:t>
            </w:r>
          </w:p>
        </w:tc>
      </w:tr>
      <w:tr>
        <w:tc>
          <w:tcPr>
            <w:tcW w:type="dxa" w:w="1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 Cycle reset</w:t>
            </w:r>
          </w:p>
        </w:tc>
        <w:tc>
          <w:tcPr>
            <w:tcW w:type="dxa" w:w="2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Day counter incremented; device enters low-power sleep mode</w:t>
            </w:r>
          </w:p>
        </w:tc>
        <w:tc>
          <w:tcPr>
            <w:tcW w:type="dxa" w:w="1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&lt;10 ms</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Release or skip complete</w:t>
            </w:r>
          </w:p>
        </w:tc>
      </w:tr>
    </w:tbl>
    <w:p>
      <w:pPr>
        <w:spacing w:after="200" w:before="60"/>
        <w:jc w:val="center"/>
      </w:pPr>
      <w:r>
        <w:rPr>
          <w:rFonts w:ascii="Arial" w:cs="Arial" w:eastAsia="Arial" w:hAnsi="Arial"/>
          <w:i/>
          <w:iCs/>
          <w:color w:val="444444"/>
          <w:sz w:val="19"/>
          <w:szCs w:val="19"/>
        </w:rPr>
        <w:t xml:space="preserve">Table 2. Six-step operational sequence per flush cycle.</w:t>
      </w:r>
    </w:p>
    <w:p>
      <w:pPr>
        <w:spacing w:after="80" w:before="80"/>
      </w:pPr>
      <w:r>
        <w:t xml:space="preserve"/>
      </w:r>
    </w:p>
    <w:p>
      <w:pPr>
        <w:spacing w:after="120" w:before="60" w:line="380" w:lineRule="auto"/>
        <w:jc w:val="both"/>
      </w:pPr>
      <w:r>
        <w:rPr>
          <w:rFonts w:ascii="Times New Roman" w:cs="Times New Roman" w:eastAsia="Times New Roman" w:hAnsi="Times New Roman"/>
          <w:sz w:val="22"/>
          <w:szCs w:val="22"/>
        </w:rPr>
        <w:t xml:space="preserve">The seven-day rotation schedule is hardcoded in the microprocessor firmware at manufacture. Day 1 releases Pellet P-1 (glucose, yellow), Day 2 releases Pellet P-2 (microalbumin, deep blue), Day 3 releases Pellet P-3 (bilirubin, orange), Day 4 releases Pellet P-4 (fecal hemoglobin, bright red), Day 5 releases Pellet P-5 (heme fragments, black-brown), Day 6 releases Pellet P-6 (bile acids, purple), and Day 7 releases Pellet P-7 (NMP22, olive green). The cycle repeats continuously.</w:t>
      </w:r>
    </w:p>
    <w:p>
      <w:pPr>
        <w:spacing w:after="120" w:before="60" w:line="380" w:lineRule="auto"/>
        <w:jc w:val="both"/>
      </w:pPr>
      <w:r>
        <w:rPr>
          <w:rFonts w:ascii="Times New Roman" w:cs="Times New Roman" w:eastAsia="Times New Roman" w:hAnsi="Times New Roman"/>
          <w:sz w:val="22"/>
          <w:szCs w:val="22"/>
        </w:rPr>
        <w:t xml:space="preserve">If the optical recognition module identifies that the lead pellet in the reservoir does not match the scheduled type for the current day — for example, due to random mixing within the reservoir — the ratchet advances one position without releasing a pellet into the cistern, and re-reads the next pellet in the feed channel. This non-destructive sorting process continues until the scheduled pellet type is identified at the lead position and released. This approach ensures schedule compliance without requiring pre-sorted cartridges, allowing the end user to load pellets of all seven types in any order into the reservoir.</w:t>
      </w:r>
    </w:p>
    <w:p>
      <w:pPr>
        <w:pStyle w:val="Heading1"/>
        <w:pBdr>
          <w:bottom w:val="single" w:color="1A3A6B" w:sz="6" w:space="4"/>
        </w:pBdr>
        <w:spacing w:after="160" w:before="420"/>
      </w:pPr>
      <w:r>
        <w:rPr>
          <w:rFonts w:ascii="Arial" w:cs="Arial" w:eastAsia="Arial" w:hAnsi="Arial"/>
          <w:b/>
          <w:bCs/>
          <w:color w:val="1A3A6B"/>
          <w:sz w:val="30"/>
          <w:szCs w:val="30"/>
        </w:rPr>
        <w:t xml:space="preserve">5. Optical Recognition Module</w:t>
      </w:r>
    </w:p>
    <w:p>
      <w:pPr>
        <w:pStyle w:val="Heading2"/>
        <w:spacing w:after="100" w:before="280"/>
      </w:pPr>
      <w:r>
        <w:rPr>
          <w:rFonts w:ascii="Arial" w:cs="Arial" w:eastAsia="Arial" w:hAnsi="Arial"/>
          <w:b/>
          <w:bCs/>
          <w:color w:val="1A3A6B"/>
          <w:sz w:val="26"/>
          <w:szCs w:val="26"/>
        </w:rPr>
        <w:t xml:space="preserve">5.1 Principle of Operation</w:t>
      </w:r>
    </w:p>
    <w:p>
      <w:pPr>
        <w:spacing w:after="120" w:before="60" w:line="380" w:lineRule="auto"/>
        <w:jc w:val="both"/>
      </w:pPr>
      <w:r>
        <w:rPr>
          <w:rFonts w:ascii="Times New Roman" w:cs="Times New Roman" w:eastAsia="Times New Roman" w:hAnsi="Times New Roman"/>
          <w:sz w:val="22"/>
          <w:szCs w:val="22"/>
        </w:rPr>
        <w:t xml:space="preserve">The optical recognition module exploits the distinct reflectance spectra of the seven iron oxide and chromium oxide pigments applied to each pellet type's external surface. Each pigment absorbs and reflects specific wavelength ranges of visible light, producing a characteristic RGB signature detectable by the TCS34725 RGB color sensor (ams AG), a commercially available integrated circuit combining a broadband photodiode array with red, green, and blue bandpass filters and an onboard analog-to-digital converter. The sensor operates under illumination from a co-mounted white LED (color temperature 6500 K, intensity 500 mcd), which provides a standardized illumination source independent of ambient cistern lighting conditions.</w:t>
      </w:r>
    </w:p>
    <w:p>
      <w:pPr>
        <w:pStyle w:val="Heading2"/>
        <w:spacing w:after="100" w:before="280"/>
      </w:pPr>
      <w:r>
        <w:rPr>
          <w:rFonts w:ascii="Arial" w:cs="Arial" w:eastAsia="Arial" w:hAnsi="Arial"/>
          <w:b/>
          <w:bCs/>
          <w:color w:val="1A3A6B"/>
          <w:sz w:val="26"/>
          <w:szCs w:val="26"/>
        </w:rPr>
        <w:t xml:space="preserve">5.2 Color Classification Algorithm</w:t>
      </w:r>
    </w:p>
    <w:p>
      <w:pPr>
        <w:spacing w:after="120" w:before="60" w:line="380" w:lineRule="auto"/>
        <w:jc w:val="both"/>
      </w:pPr>
      <w:r>
        <w:rPr>
          <w:rFonts w:ascii="Times New Roman" w:cs="Times New Roman" w:eastAsia="Times New Roman" w:hAnsi="Times New Roman"/>
          <w:sz w:val="22"/>
          <w:szCs w:val="22"/>
        </w:rPr>
        <w:t xml:space="preserve">The microprocessor classifies each pellet type from the RGB digital output of the TCS34725 sensor using a nearest-neighbor classification algorithm based on pre-calibrated reference RGB vectors for each of the seven pigment types. Reference vectors are determined during device calibration at manufacture using standard pellets of each type under the device's own LED illumination, eliminating inter-device variability due to LED aging or sensor sensitivity drift.</w:t>
      </w:r>
    </w:p>
    <w:p>
      <w:pPr>
        <w:spacing w:after="80" w:before="80"/>
      </w:pPr>
      <w:r>
        <w:t xml:space="preserve"/>
      </w:r>
    </w:p>
    <w:tbl>
      <w:tblPr>
        <w:tblW w:type="dxa" w:w="8400"/>
        <w:tblBorders>
          <w:top w:val="single" w:color="auto" w:sz="4"/>
          <w:left w:val="single" w:color="auto" w:sz="4"/>
          <w:bottom w:val="single" w:color="auto" w:sz="4"/>
          <w:right w:val="single" w:color="auto" w:sz="4"/>
          <w:insideH w:val="single" w:color="auto" w:sz="4"/>
          <w:insideV w:val="single" w:color="auto" w:sz="4"/>
        </w:tblBorders>
      </w:tblPr>
      <w:tblGrid>
        <w:gridCol w:w="700"/>
        <w:gridCol w:w="1500"/>
        <w:gridCol w:w="1600"/>
        <w:gridCol w:w="900"/>
        <w:gridCol w:w="900"/>
        <w:gridCol w:w="900"/>
        <w:gridCol w:w="1900"/>
      </w:tblGrid>
      <w:tr>
        <w:trPr>
          <w:tblHeader/>
        </w:trPr>
        <w:tc>
          <w:tcPr>
            <w:tcW w:type="dxa" w:w="7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w:t>
            </w:r>
          </w:p>
        </w:tc>
        <w:tc>
          <w:tcPr>
            <w:tcW w:type="dxa" w:w="15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Disease</w:t>
            </w:r>
          </w:p>
        </w:tc>
        <w:tc>
          <w:tcPr>
            <w:tcW w:type="dxa" w:w="16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Pigment</w:t>
            </w:r>
          </w:p>
        </w:tc>
        <w:tc>
          <w:tcPr>
            <w:tcW w:type="dxa" w:w="9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Expected R</w:t>
            </w:r>
          </w:p>
        </w:tc>
        <w:tc>
          <w:tcPr>
            <w:tcW w:type="dxa" w:w="9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Expected G</w:t>
            </w:r>
          </w:p>
        </w:tc>
        <w:tc>
          <w:tcPr>
            <w:tcW w:type="dxa" w:w="9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Expected B</w:t>
            </w:r>
          </w:p>
        </w:tc>
        <w:tc>
          <w:tcPr>
            <w:tcW w:type="dxa" w:w="19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Classification threshold ΔE</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Diabetes</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yellow</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210</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185</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40</w:t>
            </w:r>
          </w:p>
        </w:tc>
        <w:tc>
          <w:tcPr>
            <w:tcW w:type="dxa" w:w="1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&lt;15</w:t>
            </w:r>
          </w:p>
        </w:tc>
      </w:tr>
      <w:tr>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Kidney disease</w:t>
            </w:r>
          </w:p>
        </w:tc>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Prussian blue</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30</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80</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185</w:t>
            </w:r>
          </w:p>
        </w:tc>
        <w:tc>
          <w:tcPr>
            <w:tcW w:type="dxa" w:w="1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&lt;15</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Hepatic dysfunction</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orange</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220</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130</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30</w:t>
            </w:r>
          </w:p>
        </w:tc>
        <w:tc>
          <w:tcPr>
            <w:tcW w:type="dxa" w:w="1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&lt;15</w:t>
            </w:r>
          </w:p>
        </w:tc>
      </w:tr>
      <w:tr>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Colorectal cancer</w:t>
            </w:r>
          </w:p>
        </w:tc>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red</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200</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45</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40</w:t>
            </w:r>
          </w:p>
        </w:tc>
        <w:tc>
          <w:tcPr>
            <w:tcW w:type="dxa" w:w="1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&lt;15</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Occult bleeding</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Iron oxide black</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40</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35</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35</w:t>
            </w:r>
          </w:p>
        </w:tc>
        <w:tc>
          <w:tcPr>
            <w:tcW w:type="dxa" w:w="1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&lt;15</w:t>
            </w:r>
          </w:p>
        </w:tc>
      </w:tr>
      <w:tr>
        <w:tc>
          <w:tcPr>
            <w:tcW w:type="dxa" w:w="7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w:t>
            </w:r>
          </w:p>
        </w:tc>
        <w:tc>
          <w:tcPr>
            <w:tcW w:type="dxa" w:w="15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Pancreatic cancer</w:t>
            </w:r>
          </w:p>
        </w:tc>
        <w:tc>
          <w:tcPr>
            <w:tcW w:type="dxa" w:w="16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Manganese violet</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120</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40</w:t>
            </w:r>
          </w:p>
        </w:tc>
        <w:tc>
          <w:tcPr>
            <w:tcW w:type="dxa" w:w="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160</w:t>
            </w:r>
          </w:p>
        </w:tc>
        <w:tc>
          <w:tcPr>
            <w:tcW w:type="dxa" w:w="19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&lt;15</w:t>
            </w:r>
          </w:p>
        </w:tc>
      </w:tr>
      <w:tr>
        <w:tc>
          <w:tcPr>
            <w:tcW w:type="dxa" w:w="7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w:t>
            </w:r>
          </w:p>
        </w:tc>
        <w:tc>
          <w:tcPr>
            <w:tcW w:type="dxa" w:w="15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Bladder cancer</w:t>
            </w:r>
          </w:p>
        </w:tc>
        <w:tc>
          <w:tcPr>
            <w:tcW w:type="dxa" w:w="16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Chromium oxide green</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60</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150</w:t>
            </w:r>
          </w:p>
        </w:tc>
        <w:tc>
          <w:tcPr>
            <w:tcW w:type="dxa" w:w="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70</w:t>
            </w:r>
          </w:p>
        </w:tc>
        <w:tc>
          <w:tcPr>
            <w:tcW w:type="dxa" w:w="19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&lt;15</w:t>
            </w:r>
          </w:p>
        </w:tc>
      </w:tr>
    </w:tbl>
    <w:p>
      <w:pPr>
        <w:spacing w:after="200" w:before="60"/>
        <w:jc w:val="center"/>
      </w:pPr>
      <w:r>
        <w:rPr>
          <w:rFonts w:ascii="Arial" w:cs="Arial" w:eastAsia="Arial" w:hAnsi="Arial"/>
          <w:i/>
          <w:iCs/>
          <w:color w:val="444444"/>
          <w:sz w:val="19"/>
          <w:szCs w:val="19"/>
        </w:rPr>
        <w:t xml:space="preserve">Table 3. Expected RGB signatures and classification thresholds for all seven pellet types under standardized LED illumination. ΔE values represent the Euclidean distance in RGB color space from the nearest adjacent class boundary.</w:t>
      </w:r>
    </w:p>
    <w:p>
      <w:pPr>
        <w:spacing w:after="80" w:before="80"/>
      </w:pPr>
      <w:r>
        <w:t xml:space="preserve"/>
      </w:r>
    </w:p>
    <w:p>
      <w:pPr>
        <w:spacing w:after="120" w:before="60" w:line="380" w:lineRule="auto"/>
        <w:jc w:val="both"/>
      </w:pPr>
      <w:r>
        <w:rPr>
          <w:rFonts w:ascii="Times New Roman" w:cs="Times New Roman" w:eastAsia="Times New Roman" w:hAnsi="Times New Roman"/>
          <w:sz w:val="22"/>
          <w:szCs w:val="22"/>
        </w:rPr>
        <w:t xml:space="preserve">The minimum inter-class Euclidean distance in RGB space between the seven pigment signatures is estimated at ΔE &gt; 60 units, providing a classification margin exceeding four times the classification threshold (ΔE &lt; 15). This margin accommodates pigment batch variability, minor LED intensity drift over the 12-month battery lifetime, and surface contamination from cistern water mineral deposits. A self-calibration routine, triggered automatically every 30 days or upon cartridge replacement, re-establishes reference vectors using the first pellet of each type encountered in the new cartridge, maintaining classification accuracy over the device lifetime.</w:t>
      </w:r>
    </w:p>
    <w:p>
      <w:pPr>
        <w:pStyle w:val="Heading2"/>
        <w:spacing w:after="100" w:before="280"/>
      </w:pPr>
      <w:r>
        <w:rPr>
          <w:rFonts w:ascii="Arial" w:cs="Arial" w:eastAsia="Arial" w:hAnsi="Arial"/>
          <w:b/>
          <w:bCs/>
          <w:color w:val="1A3A6B"/>
          <w:sz w:val="26"/>
          <w:szCs w:val="26"/>
        </w:rPr>
        <w:t xml:space="preserve">5.3 Waterproofing of Electronic Components</w:t>
      </w:r>
    </w:p>
    <w:p>
      <w:pPr>
        <w:spacing w:after="120" w:before="60" w:line="380" w:lineRule="auto"/>
        <w:jc w:val="both"/>
      </w:pPr>
      <w:r>
        <w:rPr>
          <w:rFonts w:ascii="Times New Roman" w:cs="Times New Roman" w:eastAsia="Times New Roman" w:hAnsi="Times New Roman"/>
          <w:sz w:val="22"/>
          <w:szCs w:val="22"/>
        </w:rPr>
        <w:t xml:space="preserve">The TCS34725 sensor, LED, and associated PCB traces are protected from cistern water ingress by a conformal coating of parylene C (thickness 25 µm), applied by chemical vapor deposition. Parylene C provides complete moisture, chemical, and dielectric protection without altering optical transmission properties in the visible spectrum. The optical recognition module is housed in a dedicated sealed chamber within the device body, separated from the pellet reservoir and release mechanism by an O-ring-sealed polypropylene partition. Optical access between the LED/sensor assembly and the pellet feed channel is provided through a sapphire glass window (diameter 4 mm, thickness 1 mm) bonded with UV-curable optical adhesive, providing both optical clarity and waterproof integrity rated to 1 m continuous submersion depth.</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6. Hydraulic Release Mechanism</w:t>
      </w:r>
    </w:p>
    <w:p>
      <w:pPr>
        <w:pStyle w:val="Heading2"/>
        <w:spacing w:after="100" w:before="280"/>
      </w:pPr>
      <w:r>
        <w:rPr>
          <w:rFonts w:ascii="Arial" w:cs="Arial" w:eastAsia="Arial" w:hAnsi="Arial"/>
          <w:b/>
          <w:bCs/>
          <w:color w:val="1A3A6B"/>
          <w:sz w:val="26"/>
          <w:szCs w:val="26"/>
        </w:rPr>
        <w:t xml:space="preserve">6.1 Design Rationale</w:t>
      </w:r>
    </w:p>
    <w:p>
      <w:pPr>
        <w:spacing w:after="120" w:before="60" w:line="380" w:lineRule="auto"/>
        <w:jc w:val="both"/>
      </w:pPr>
      <w:r>
        <w:rPr>
          <w:rFonts w:ascii="Times New Roman" w:cs="Times New Roman" w:eastAsia="Times New Roman" w:hAnsi="Times New Roman"/>
          <w:sz w:val="22"/>
          <w:szCs w:val="22"/>
        </w:rPr>
        <w:t xml:space="preserve">The release mechanism is designed around three engineering constraints: it must release exactly one pellet per flush cycle with no possibility of double-release or failure-to-release; it must operate without an external power source for actuation (conserving battery power for the optical and microprocessor subsystems only); and it must function reliably across the full range of cistern water pressure variations encountered in domestic plumbing systems globally (0.1–1.0 bar dynamic pressure during flush).</w:t>
      </w:r>
    </w:p>
    <w:p>
      <w:pPr>
        <w:spacing w:after="120" w:before="60" w:line="380" w:lineRule="auto"/>
        <w:jc w:val="both"/>
      </w:pPr>
      <w:r>
        <w:rPr>
          <w:rFonts w:ascii="Times New Roman" w:cs="Times New Roman" w:eastAsia="Times New Roman" w:hAnsi="Times New Roman"/>
          <w:sz w:val="22"/>
          <w:szCs w:val="22"/>
        </w:rPr>
        <w:t xml:space="preserve">These constraints are met by a hydraulic piston-ratchet architecture in which the kinetic energy of cistern water flow during the flush cycle drives mechanical advancement of the pellet feed ratchet by one step. Electrical power is required only for the optical recognition module (200 ms LED activation, TCS34725 readout) and microprocessor computation (&lt;10 ms), consuming an estimated 0.8 mAh per flush cycle — yielding a theoretical battery lifetime of &gt;400 flush cycles per CR2032 coin cell, equivalent to approximately 12 months at typical household usage rates of 4–6 flushes per day.</w:t>
      </w:r>
    </w:p>
    <w:p>
      <w:pPr>
        <w:pStyle w:val="Heading2"/>
        <w:spacing w:after="100" w:before="280"/>
      </w:pPr>
      <w:r>
        <w:rPr>
          <w:rFonts w:ascii="Arial" w:cs="Arial" w:eastAsia="Arial" w:hAnsi="Arial"/>
          <w:b/>
          <w:bCs/>
          <w:color w:val="1A3A6B"/>
          <w:sz w:val="26"/>
          <w:szCs w:val="26"/>
        </w:rPr>
        <w:t xml:space="preserve">6.2 Ratchet Mechanism</w:t>
      </w:r>
    </w:p>
    <w:p>
      <w:pPr>
        <w:spacing w:after="120" w:before="60" w:line="380" w:lineRule="auto"/>
        <w:jc w:val="both"/>
      </w:pPr>
      <w:r>
        <w:rPr>
          <w:rFonts w:ascii="Times New Roman" w:cs="Times New Roman" w:eastAsia="Times New Roman" w:hAnsi="Times New Roman"/>
          <w:sz w:val="22"/>
          <w:szCs w:val="22"/>
        </w:rPr>
        <w:t xml:space="preserve">The pellet feed channel is a vertical cylindrical tube (internal diameter 8 mm, accommodating pellets of 3–5 mm diameter) terminated at the base by a horizontal ratchet wheel (diameter 20 mm, 14 teeth, tooth pitch 4.5 mm). Each ratchet advancement of one tooth displaces the pellet column by one pellet diameter, positioning the lead pellet over the release aperture (diameter 5.5 mm) through which it falls by gravity into the cistern water below. A spring-loaded anti-reverse pawl prevents backward ratchet motion during cistern refill. The ratchet wheel is fabricated from POM acetal (polyoxymethylene) for dimensional stability and low friction coefficient in wet environments.</w:t>
      </w:r>
    </w:p>
    <w:p>
      <w:pPr>
        <w:spacing w:after="120" w:before="60" w:line="380" w:lineRule="auto"/>
        <w:jc w:val="both"/>
      </w:pPr>
      <w:r>
        <w:rPr>
          <w:rFonts w:ascii="Times New Roman" w:cs="Times New Roman" w:eastAsia="Times New Roman" w:hAnsi="Times New Roman"/>
          <w:sz w:val="22"/>
          <w:szCs w:val="22"/>
        </w:rPr>
        <w:t xml:space="preserve">The hydraulic actuator consists of a silicone rubber piston (diameter 12 mm, stroke 8 mm) connected to the ratchet advancement arm via a stainless steel push rod. During flush, a 2 mm diameter orifice in the cistern wall of the device housing admits a brief water pressure pulse that displaces the piston by its full stroke, advancing the ratchet by exactly one tooth. A return spring (stainless steel, spring constant 0.8 N/mm) resets the piston to its resting position as cistern pressure equalizes during refill. The orifice diameter is selected to produce full piston displacement at minimum expected flush pressure (0.1 bar) while limiting maximum force to prevent ratchet over-advancement at high pressure (1.0 bar).</w:t>
      </w:r>
    </w:p>
    <w:p>
      <w:pPr>
        <w:pStyle w:val="Heading1"/>
        <w:pBdr>
          <w:bottom w:val="single" w:color="1A3A6B" w:sz="6" w:space="4"/>
        </w:pBdr>
        <w:spacing w:after="160" w:before="420"/>
      </w:pPr>
      <w:r>
        <w:rPr>
          <w:rFonts w:ascii="Arial" w:cs="Arial" w:eastAsia="Arial" w:hAnsi="Arial"/>
          <w:b/>
          <w:bCs/>
          <w:color w:val="1A3A6B"/>
          <w:sz w:val="30"/>
          <w:szCs w:val="30"/>
        </w:rPr>
        <w:t xml:space="preserve">7. Monthly Refill Cartridge</w:t>
      </w:r>
    </w:p>
    <w:p>
      <w:pPr>
        <w:spacing w:after="120" w:before="60" w:line="380" w:lineRule="auto"/>
        <w:jc w:val="both"/>
      </w:pPr>
      <w:r>
        <w:rPr>
          <w:rFonts w:ascii="Times New Roman" w:cs="Times New Roman" w:eastAsia="Times New Roman" w:hAnsi="Times New Roman"/>
          <w:sz w:val="22"/>
          <w:szCs w:val="22"/>
        </w:rPr>
        <w:t xml:space="preserve">The monthly refill cartridge contains 30 Smart Pellets — comprising four pellets of each of the seven types plus two additional pellets distributed across the highest-priority channels (glucose P-1 and NMP22 P-7) to accommodate higher-frequency toilet use patterns. Pellets are supplied in a tamper-evident sealed cartridge tube (PETG, internal diameter 8 mm, length 160 mm) with a foil moisture barrier at both ends, maintaining pellet dryness and enzymatic integrity during storage and shipping.</w:t>
      </w:r>
    </w:p>
    <w:p>
      <w:pPr>
        <w:spacing w:after="120" w:before="60" w:line="380" w:lineRule="auto"/>
        <w:jc w:val="both"/>
      </w:pPr>
      <w:r>
        <w:rPr>
          <w:rFonts w:ascii="Times New Roman" w:cs="Times New Roman" w:eastAsia="Times New Roman" w:hAnsi="Times New Roman"/>
          <w:sz w:val="22"/>
          <w:szCs w:val="22"/>
        </w:rPr>
        <w:t xml:space="preserve">The end user loads the cartridge by removing the lower foil seal, inserting the cartridge tube into the device reservoir from above, and removing the upper foil seal. The 30 pellets fall by gravity into the feed channel in random order. The device's optical recognition and selective release logic then automatically identifies and schedules each pellet type as described in Section 4, requiring no user action beyond cartridge insertion. The empty cartridge tube is removed and disposed of in standard recycling streams; the PETG tube and foil materials are selected for compatibility with municipal plastic recycling infrastructure.</w:t>
      </w:r>
    </w:p>
    <w:p>
      <w:pPr>
        <w:spacing w:after="80" w:before="80"/>
      </w:pPr>
      <w:r>
        <w:t xml:space="preserve"/>
      </w:r>
    </w:p>
    <w:tbl>
      <w:tblPr>
        <w:tblW w:type="dxa" w:w="8200"/>
        <w:tblBorders>
          <w:top w:val="single" w:color="auto" w:sz="4"/>
          <w:left w:val="single" w:color="auto" w:sz="4"/>
          <w:bottom w:val="single" w:color="auto" w:sz="4"/>
          <w:right w:val="single" w:color="auto" w:sz="4"/>
          <w:insideH w:val="single" w:color="auto" w:sz="4"/>
          <w:insideV w:val="single" w:color="auto" w:sz="4"/>
        </w:tblBorders>
      </w:tblPr>
      <w:tblGrid>
        <w:gridCol w:w="1800"/>
        <w:gridCol w:w="2200"/>
        <w:gridCol w:w="2200"/>
        <w:gridCol w:w="2000"/>
      </w:tblGrid>
      <w:tr>
        <w:trPr>
          <w:tblHeader/>
        </w:trPr>
        <w:tc>
          <w:tcPr>
            <w:tcW w:type="dxa" w:w="18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 type</w:t>
            </w:r>
          </w:p>
        </w:tc>
        <w:tc>
          <w:tcPr>
            <w:tcW w:type="dxa" w:w="2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Pellets per monthly cartridge</w:t>
            </w:r>
          </w:p>
        </w:tc>
        <w:tc>
          <w:tcPr>
            <w:tcW w:type="dxa" w:w="22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Disease monitored</w:t>
            </w:r>
          </w:p>
        </w:tc>
        <w:tc>
          <w:tcPr>
            <w:tcW w:type="dxa" w:w="2000"/>
            <w:tcBorders>
              <w:top w:val="single" w:color="AAAAAA" w:sz="1"/>
              <w:left w:val="single" w:color="AAAAAA" w:sz="1"/>
              <w:bottom w:val="single" w:color="AAAAAA" w:sz="1"/>
              <w:right w:val="single" w:color="AAAAAA" w:sz="1"/>
            </w:tcBorders>
            <w:shd w:fill="1A3A6B" w:val="clear"/>
            <w:tcMar>
              <w:top w:type="dxa" w:w="100"/>
              <w:left w:type="dxa" w:w="140"/>
              <w:bottom w:type="dxa" w:w="100"/>
              <w:right w:type="dxa" w:w="140"/>
            </w:tcMar>
          </w:tcPr>
          <w:p>
            <w:pPr>
              <w:jc w:val="center"/>
            </w:pPr>
            <w:r>
              <w:rPr>
                <w:rFonts w:ascii="Arial" w:cs="Arial" w:eastAsia="Arial" w:hAnsi="Arial"/>
                <w:b/>
                <w:bCs/>
                <w:color w:val="FFFFFF"/>
                <w:sz w:val="20"/>
                <w:szCs w:val="20"/>
              </w:rPr>
              <w:t xml:space="preserve">Release frequency</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P-1 (Glucose)</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Diabetes mellitus</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Day 1 of each 7-day cycle</w:t>
            </w:r>
          </w:p>
        </w:tc>
      </w:tr>
      <w:tr>
        <w:tc>
          <w:tcPr>
            <w:tcW w:type="dxa" w:w="1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P-2 (Microalbumin)</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Chronic kidney disease</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Day 2 of each 7-day cycle</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P-3 (Bilirubin)</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Hepatic dysfunction</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Day 3 of each 7-day cycle</w:t>
            </w:r>
          </w:p>
        </w:tc>
      </w:tr>
      <w:tr>
        <w:tc>
          <w:tcPr>
            <w:tcW w:type="dxa" w:w="1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P-4 (Fecal Hb)</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Colorectal cancer</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Day 4 of each 7-day cycle</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P-5 (Heme)</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Occult bleeding</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Day 5 of each 7-day cycle</w:t>
            </w:r>
          </w:p>
        </w:tc>
      </w:tr>
      <w:tr>
        <w:tc>
          <w:tcPr>
            <w:tcW w:type="dxa" w:w="18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P-6 (Bile acids)</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4</w:t>
            </w:r>
          </w:p>
        </w:tc>
        <w:tc>
          <w:tcPr>
            <w:tcW w:type="dxa" w:w="22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Pancreatic cancer</w:t>
            </w:r>
          </w:p>
        </w:tc>
        <w:tc>
          <w:tcPr>
            <w:tcW w:type="dxa" w:w="2000"/>
            <w:tcBorders>
              <w:top w:val="single" w:color="AAAAAA" w:sz="1"/>
              <w:left w:val="single" w:color="AAAAAA" w:sz="1"/>
              <w:bottom w:val="single" w:color="AAAAAA" w:sz="1"/>
              <w:right w:val="single" w:color="AAAAAA" w:sz="1"/>
            </w:tcBorders>
            <w:shd w:fill="EEF3FA"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Day 6 of each 7-day cycle</w:t>
            </w:r>
          </w:p>
        </w:tc>
      </w:tr>
      <w:tr>
        <w:tc>
          <w:tcPr>
            <w:tcW w:type="dxa" w:w="18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P-7 (NMP22)</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5</w:t>
            </w:r>
          </w:p>
        </w:tc>
        <w:tc>
          <w:tcPr>
            <w:tcW w:type="dxa" w:w="22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Bladder cancer</w:t>
            </w:r>
          </w:p>
        </w:tc>
        <w:tc>
          <w:tcPr>
            <w:tcW w:type="dxa" w:w="2000"/>
            <w:tcBorders>
              <w:top w:val="single" w:color="AAAAAA" w:sz="1"/>
              <w:left w:val="single" w:color="AAAAAA" w:sz="1"/>
              <w:bottom w:val="single" w:color="AAAAAA" w:sz="1"/>
              <w:right w:val="single" w:color="AAAAAA" w:sz="1"/>
            </w:tcBorders>
            <w:shd w:fill="FFFFFF" w:val="clear"/>
            <w:tcMar>
              <w:top w:type="dxa" w:w="80"/>
              <w:left w:type="dxa" w:w="140"/>
              <w:bottom w:type="dxa" w:w="80"/>
              <w:right w:type="dxa" w:w="140"/>
            </w:tcMar>
          </w:tcPr>
          <w:p>
            <w:pPr>
              <w:jc w:val="center"/>
            </w:pPr>
            <w:r>
              <w:rPr>
                <w:rFonts w:ascii="Times New Roman" w:cs="Times New Roman" w:eastAsia="Times New Roman" w:hAnsi="Times New Roman"/>
                <w:sz w:val="20"/>
                <w:szCs w:val="20"/>
              </w:rPr>
              <w:t xml:space="preserve">Day 7 of each 7-day cycle</w:t>
            </w:r>
          </w:p>
        </w:tc>
      </w:tr>
    </w:tbl>
    <w:p>
      <w:pPr>
        <w:spacing w:after="200" w:before="60"/>
        <w:jc w:val="center"/>
      </w:pPr>
      <w:r>
        <w:rPr>
          <w:rFonts w:ascii="Arial" w:cs="Arial" w:eastAsia="Arial" w:hAnsi="Arial"/>
          <w:i/>
          <w:iCs/>
          <w:color w:val="444444"/>
          <w:sz w:val="19"/>
          <w:szCs w:val="19"/>
        </w:rPr>
        <w:t xml:space="preserve">Table 4. Pellet distribution within the standard 30-pellet monthly refill cartridge.</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8. Material Selection and Safety</w:t>
      </w:r>
    </w:p>
    <w:p>
      <w:pPr>
        <w:pStyle w:val="Heading2"/>
        <w:spacing w:after="100" w:before="280"/>
      </w:pPr>
      <w:r>
        <w:rPr>
          <w:rFonts w:ascii="Arial" w:cs="Arial" w:eastAsia="Arial" w:hAnsi="Arial"/>
          <w:b/>
          <w:bCs/>
          <w:color w:val="1A3A6B"/>
          <w:sz w:val="26"/>
          <w:szCs w:val="26"/>
        </w:rPr>
        <w:t xml:space="preserve">8.1 Cistern Water Contact Materials</w:t>
      </w:r>
    </w:p>
    <w:p>
      <w:pPr>
        <w:spacing w:after="120" w:before="60" w:line="380" w:lineRule="auto"/>
        <w:jc w:val="both"/>
      </w:pPr>
      <w:r>
        <w:rPr>
          <w:rFonts w:ascii="Times New Roman" w:cs="Times New Roman" w:eastAsia="Times New Roman" w:hAnsi="Times New Roman"/>
          <w:sz w:val="22"/>
          <w:szCs w:val="22"/>
        </w:rPr>
        <w:t xml:space="preserve">All device materials in direct or indirect contact with cistern water are selected to meet NSF/ANSI Standard 61 for drinking water system components, ensuring that no toxic leachates are introduced into the household water supply at concentrations above health-based thresholds. The primary structural materials are polypropylene (PP) for the device housing, PETG for the transparent pellet reservoir tube, POM acetal for the ratchet mechanism, silicone for seals and the hydraulic piston, and stainless steel grade 316L for the push rod and anti-reverse pawl spring. All polymers selected are free from bisphenol A (BPA), phthalate plasticizers, and other regulated endocrine-disrupting compounds.</w:t>
      </w:r>
    </w:p>
    <w:p>
      <w:pPr>
        <w:pStyle w:val="Heading2"/>
        <w:spacing w:after="100" w:before="280"/>
      </w:pPr>
      <w:r>
        <w:rPr>
          <w:rFonts w:ascii="Arial" w:cs="Arial" w:eastAsia="Arial" w:hAnsi="Arial"/>
          <w:b/>
          <w:bCs/>
          <w:color w:val="1A3A6B"/>
          <w:sz w:val="26"/>
          <w:szCs w:val="26"/>
        </w:rPr>
        <w:t xml:space="preserve">8.2 Electronic Component Encapsulation</w:t>
      </w:r>
    </w:p>
    <w:p>
      <w:pPr>
        <w:spacing w:after="120" w:before="60" w:line="380" w:lineRule="auto"/>
        <w:jc w:val="both"/>
      </w:pPr>
      <w:r>
        <w:rPr>
          <w:rFonts w:ascii="Times New Roman" w:cs="Times New Roman" w:eastAsia="Times New Roman" w:hAnsi="Times New Roman"/>
          <w:sz w:val="22"/>
          <w:szCs w:val="22"/>
        </w:rPr>
        <w:t xml:space="preserve">The CR2032 lithium coin cell is housed in a hermetically sealed sub-compartment within the device body, isolated from cistern water by dual O-ring seals and parylene C conformal coating on all electrical connections. The battery compartment is accessible from the exterior of the device without tools for annual replacement, using a quarter-turn locking cap with a silicone face seal. Battery replacement does not require device removal from the cistern.</w:t>
      </w:r>
    </w:p>
    <w:p>
      <w:pPr>
        <w:pStyle w:val="Heading2"/>
        <w:spacing w:after="100" w:before="280"/>
      </w:pPr>
      <w:r>
        <w:rPr>
          <w:rFonts w:ascii="Arial" w:cs="Arial" w:eastAsia="Arial" w:hAnsi="Arial"/>
          <w:b/>
          <w:bCs/>
          <w:color w:val="1A3A6B"/>
          <w:sz w:val="26"/>
          <w:szCs w:val="26"/>
        </w:rPr>
        <w:t xml:space="preserve">8.3 Environmental Safety of Discharged Pellets</w:t>
      </w:r>
    </w:p>
    <w:p>
      <w:pPr>
        <w:spacing w:after="120" w:before="60" w:line="380" w:lineRule="auto"/>
        <w:jc w:val="both"/>
      </w:pPr>
      <w:r>
        <w:rPr>
          <w:rFonts w:ascii="Times New Roman" w:cs="Times New Roman" w:eastAsia="Times New Roman" w:hAnsi="Times New Roman"/>
          <w:sz w:val="22"/>
          <w:szCs w:val="22"/>
        </w:rPr>
        <w:t xml:space="preserve">Spent pellets, released into the cistern after each flush cycle and discharged to the wastewater system, present minimal environmental risk as detailed in the companion Smart Pellet System manuscript. Iron oxide and chromium oxide external pigments are chemically inert inorganic minerals. Nanozyme (Fe₃O₄, CeO₂) and enzymatic components are covalently immobilized within the pellet core matrix with theoretical retention above 99% per use cycle. Chromogenic substrates are subject to rapid oxidative degradation in wastewater treatment systems.</w:t>
      </w:r>
    </w:p>
    <w:p>
      <w:pPr>
        <w:pStyle w:val="Heading1"/>
        <w:pBdr>
          <w:bottom w:val="single" w:color="1A3A6B" w:sz="6" w:space="4"/>
        </w:pBdr>
        <w:spacing w:after="160" w:before="420"/>
      </w:pPr>
      <w:r>
        <w:rPr>
          <w:rFonts w:ascii="Arial" w:cs="Arial" w:eastAsia="Arial" w:hAnsi="Arial"/>
          <w:b/>
          <w:bCs/>
          <w:color w:val="1A3A6B"/>
          <w:sz w:val="30"/>
          <w:szCs w:val="30"/>
        </w:rPr>
        <w:t xml:space="preserve">9. Integration with the Smart Pellet System</w:t>
      </w:r>
    </w:p>
    <w:p>
      <w:pPr>
        <w:spacing w:after="120" w:before="60" w:line="380" w:lineRule="auto"/>
        <w:jc w:val="both"/>
      </w:pPr>
      <w:r>
        <w:rPr>
          <w:rFonts w:ascii="Times New Roman" w:cs="Times New Roman" w:eastAsia="Times New Roman" w:hAnsi="Times New Roman"/>
          <w:sz w:val="22"/>
          <w:szCs w:val="22"/>
        </w:rPr>
        <w:t xml:space="preserve">The Smart Pellet Dispenser is designed as an inseparable operational component of the Smart Pellet System. While the biochemical detection capability resides entirely within the pellets themselves, the dispenser provides three enabling functions without which the pellet system cannot achieve its intended clinical utility:</w:t>
      </w:r>
    </w:p>
    <w:p>
      <w:pPr>
        <w:spacing w:after="120" w:before="60" w:line="380" w:lineRule="auto"/>
        <w:jc w:val="both"/>
      </w:pPr>
      <w:r>
        <w:rPr>
          <w:rFonts w:ascii="Times New Roman" w:cs="Times New Roman" w:eastAsia="Times New Roman" w:hAnsi="Times New Roman"/>
          <w:sz w:val="22"/>
          <w:szCs w:val="22"/>
        </w:rPr>
        <w:t xml:space="preserve">First, the dispenser ensures dry storage of all unused pellets, preserving enzymatic activity and L-aptamer gate integrity for the full 30-day cartridge lifetime. Without dry storage, cumulative hydration of stored pellets over 30 days would substantially degrade enzymatic components despite L-aptamer gate protection, compromising the diagnostic accuracy of pellets released later in the cartridge cycle.</w:t>
      </w:r>
    </w:p>
    <w:p>
      <w:pPr>
        <w:spacing w:after="120" w:before="60" w:line="380" w:lineRule="auto"/>
        <w:jc w:val="both"/>
      </w:pPr>
      <w:r>
        <w:rPr>
          <w:rFonts w:ascii="Times New Roman" w:cs="Times New Roman" w:eastAsia="Times New Roman" w:hAnsi="Times New Roman"/>
          <w:sz w:val="22"/>
          <w:szCs w:val="22"/>
        </w:rPr>
        <w:t xml:space="preserve">Second, the selective optical recognition and scheduled release system ensures that exactly one disease channel is interrogated per flush cycle on a systematic rotational basis, providing comprehensive seven-disease coverage across each weekly cycle without requiring any user behavioral change beyond normal toilet use.</w:t>
      </w:r>
    </w:p>
    <w:p>
      <w:pPr>
        <w:spacing w:after="120" w:before="60" w:line="380" w:lineRule="auto"/>
        <w:jc w:val="both"/>
      </w:pPr>
      <w:r>
        <w:rPr>
          <w:rFonts w:ascii="Times New Roman" w:cs="Times New Roman" w:eastAsia="Times New Roman" w:hAnsi="Times New Roman"/>
          <w:sz w:val="22"/>
          <w:szCs w:val="22"/>
        </w:rPr>
        <w:t xml:space="preserve">Third, the dispenser provides the physical interface between the Smart Pellet System and any future digital health integration. The optical recognition module's photodiode array, once extended with a simple communication interface (I²C or SPI), can transmit color classification data to an external receiver, forming the foundation for the smartphone connectivity and AI-driven health monitoring capabilities described as future directions in Section 10.</w:t>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10. Future Directions</w:t>
      </w:r>
    </w:p>
    <w:p>
      <w:pPr>
        <w:spacing w:after="120" w:before="60" w:line="380" w:lineRule="auto"/>
        <w:jc w:val="both"/>
      </w:pPr>
      <w:r>
        <w:rPr>
          <w:rFonts w:ascii="Times New Roman" w:cs="Times New Roman" w:eastAsia="Times New Roman" w:hAnsi="Times New Roman"/>
          <w:sz w:val="22"/>
          <w:szCs w:val="22"/>
        </w:rPr>
        <w:t xml:space="preserve">The Smart Pellet Dispenser as described in this manuscript represents a deliberately minimal, mechanically robust, and low-cost first-generation implementation. The design philosophy prioritizes reliability, user simplicity, and regulatory accessibility over feature richness, ensuring that the core diagnostic function — systematic multi-disease screening through periodic pellet release — is achievable with proven, manufacturable components at a projected unit cost compatible with consumer health device markets.</w:t>
      </w:r>
    </w:p>
    <w:p>
      <w:pPr>
        <w:spacing w:after="120" w:before="60" w:line="380" w:lineRule="auto"/>
        <w:jc w:val="both"/>
      </w:pPr>
      <w:r>
        <w:rPr>
          <w:rFonts w:ascii="Times New Roman" w:cs="Times New Roman" w:eastAsia="Times New Roman" w:hAnsi="Times New Roman"/>
          <w:sz w:val="22"/>
          <w:szCs w:val="22"/>
        </w:rPr>
        <w:t xml:space="preserve">Looking beyond this first-generation implementation, the Smart Pellet Dispenser platform presents a well-defined pathway toward digital health integration that could substantially amplify its clinical and public health impact. In future generations of the device, the optical recognition module could be extended with a miniaturized imaging sensor — such as a low-power CMOS image array — capable of capturing the colorimetric response of the released pellet during its residence in cistern water. The resulting color-change data, representing the diagnostic result of each released pellet, could be transmitted wirelessly via Bluetooth Low Energy (BLE) to a companion smartphone application for automated digital analysis.</w:t>
      </w:r>
    </w:p>
    <w:p>
      <w:pPr>
        <w:spacing w:after="120" w:before="60" w:line="380" w:lineRule="auto"/>
        <w:jc w:val="both"/>
      </w:pPr>
      <w:r>
        <w:rPr>
          <w:rFonts w:ascii="Times New Roman" w:cs="Times New Roman" w:eastAsia="Times New Roman" w:hAnsi="Times New Roman"/>
          <w:sz w:val="22"/>
          <w:szCs w:val="22"/>
        </w:rPr>
        <w:t xml:space="preserve">Such a smartphone application could perform calibrated RGB quantification of the pellet's colorimetric signal, correcting for ambient lighting conditions and comparing the measured color shift against stored calibration curves for each biomarker channel. The resulting semi-quantitative biomarker estimate could be displayed to the user in an accessible format, with appropriate clinical context and guidance for follow-up if a positive signal is detected. Over time, longitudinal data collected across multiple weekly cycles could be analyzed by artificial intelligence algorithms capable of identifying subtle trends in biomarker trajectories — such as gradually rising urinary glucose or progressive changes in fecal hemoglobin levels — that may precede clinically overt disease states by weeks or months. Such AI-driven pattern recognition could generate personalized risk alerts, recommend medical consultation, and support remote monitoring by healthcare providers in both high-resource and low-resource settings.</w:t>
      </w:r>
    </w:p>
    <w:p>
      <w:pPr>
        <w:spacing w:after="120" w:before="60" w:line="380" w:lineRule="auto"/>
        <w:jc w:val="both"/>
      </w:pPr>
      <w:r>
        <w:rPr>
          <w:rFonts w:ascii="Times New Roman" w:cs="Times New Roman" w:eastAsia="Times New Roman" w:hAnsi="Times New Roman"/>
          <w:sz w:val="22"/>
          <w:szCs w:val="22"/>
        </w:rPr>
        <w:t xml:space="preserve">It is important to emphasize that these digital integration capabilities represent prospective future enhancements that are beyond the scope of the current first-generation design. They are presented here to illustrate the scalability of the Smart Pellet Dispenser platform architecture and to motivate the standardized device interface specifications — optical access window dimensions, pellet release timing, and color classification data formats — that have been incorporated into the current design to facilitate future digital integration without requiring hardware redesign. The realization of smartphone connectivity and AI-driven health monitoring in the Smart Pellet ecosystem is contingent on the experimental validation of the Smart Pellet System itself, as described in the companion manuscript, and on the development of appropriate regulatory frameworks for software-as-a-medical-device (SaMD) integration with toilet-based diagnostic hardware.</w:t>
      </w:r>
    </w:p>
    <w:p>
      <w:pPr>
        <w:pStyle w:val="Heading1"/>
        <w:pBdr>
          <w:bottom w:val="single" w:color="1A3A6B" w:sz="6" w:space="4"/>
        </w:pBdr>
        <w:spacing w:after="160" w:before="420"/>
      </w:pPr>
      <w:r>
        <w:rPr>
          <w:rFonts w:ascii="Arial" w:cs="Arial" w:eastAsia="Arial" w:hAnsi="Arial"/>
          <w:b/>
          <w:bCs/>
          <w:color w:val="1A3A6B"/>
          <w:sz w:val="30"/>
          <w:szCs w:val="30"/>
        </w:rPr>
        <w:t xml:space="preserve">11. Discussion</w:t>
      </w:r>
    </w:p>
    <w:p>
      <w:pPr>
        <w:pStyle w:val="Heading2"/>
        <w:spacing w:after="100" w:before="280"/>
      </w:pPr>
      <w:r>
        <w:rPr>
          <w:rFonts w:ascii="Arial" w:cs="Arial" w:eastAsia="Arial" w:hAnsi="Arial"/>
          <w:b/>
          <w:bCs/>
          <w:color w:val="1A3A6B"/>
          <w:sz w:val="26"/>
          <w:szCs w:val="26"/>
        </w:rPr>
        <w:t xml:space="preserve">11.1 Engineering Novelty</w:t>
      </w:r>
    </w:p>
    <w:p>
      <w:pPr>
        <w:spacing w:after="120" w:before="60" w:line="380" w:lineRule="auto"/>
        <w:jc w:val="both"/>
      </w:pPr>
      <w:r>
        <w:rPr>
          <w:rFonts w:ascii="Times New Roman" w:cs="Times New Roman" w:eastAsia="Times New Roman" w:hAnsi="Times New Roman"/>
          <w:sz w:val="22"/>
          <w:szCs w:val="22"/>
        </w:rPr>
        <w:t xml:space="preserve">The Smart Pellet Dispenser introduces a previously unrealized class of medical device: a toilet cistern-integrated, optically-guided, biochemically-selective pellet delivery system. No existing consumer health device operates within the toilet cistern environment, exploits flush hydraulics as an actuation energy source, or employs optical color classification for scheduled diagnostic agent delivery. The combination of these three innovations within a device of &lt;10 cm × 4 cm × 3 cm volume represents a significant miniaturization and integration challenge that has been addressed through careful component selection and subsystem architecture.</w:t>
      </w:r>
    </w:p>
    <w:p>
      <w:pPr>
        <w:pStyle w:val="Heading2"/>
        <w:spacing w:after="100" w:before="280"/>
      </w:pPr>
      <w:r>
        <w:rPr>
          <w:rFonts w:ascii="Arial" w:cs="Arial" w:eastAsia="Arial" w:hAnsi="Arial"/>
          <w:b/>
          <w:bCs/>
          <w:color w:val="1A3A6B"/>
          <w:sz w:val="26"/>
          <w:szCs w:val="26"/>
        </w:rPr>
        <w:t xml:space="preserve">11.2 User Experience and Behavioral Requirements</w:t>
      </w:r>
    </w:p>
    <w:p>
      <w:pPr>
        <w:spacing w:after="120" w:before="60" w:line="380" w:lineRule="auto"/>
        <w:jc w:val="both"/>
      </w:pPr>
      <w:r>
        <w:rPr>
          <w:rFonts w:ascii="Times New Roman" w:cs="Times New Roman" w:eastAsia="Times New Roman" w:hAnsi="Times New Roman"/>
          <w:sz w:val="22"/>
          <w:szCs w:val="22"/>
        </w:rPr>
        <w:t xml:space="preserve">A defining feature of the Smart Pellet Dispenser design is the complete absence of behavioral requirements beyond normal toilet use and monthly cartridge replacement. The device requires no button presses, no app interactions, no sample collection, and no result interpretation by the user in its first-generation implementation. This behavioral transparency is a deliberate design choice motivated by the extensive evidence base demonstrating that diagnostic adherence declines rapidly with increasing procedural complexity. The monthly cartridge replacement procedure, requiring approximately 30 seconds, is the sole user interaction with the device and is analogous in complexity to replacing a bathroom air freshener refill — a task already familiar to most households that use such products.</w:t>
      </w:r>
    </w:p>
    <w:p>
      <w:pPr>
        <w:pStyle w:val="Heading2"/>
        <w:spacing w:after="100" w:before="280"/>
      </w:pPr>
      <w:r>
        <w:rPr>
          <w:rFonts w:ascii="Arial" w:cs="Arial" w:eastAsia="Arial" w:hAnsi="Arial"/>
          <w:b/>
          <w:bCs/>
          <w:color w:val="1A3A6B"/>
          <w:sz w:val="26"/>
          <w:szCs w:val="26"/>
        </w:rPr>
        <w:t xml:space="preserve">11.3 Limitations and Open Engineering Questions</w:t>
      </w:r>
    </w:p>
    <w:p>
      <w:pPr>
        <w:spacing w:after="120" w:before="60" w:line="380" w:lineRule="auto"/>
        <w:jc w:val="both"/>
      </w:pPr>
      <w:r>
        <w:rPr>
          <w:rFonts w:ascii="Times New Roman" w:cs="Times New Roman" w:eastAsia="Times New Roman" w:hAnsi="Times New Roman"/>
          <w:sz w:val="22"/>
          <w:szCs w:val="22"/>
        </w:rPr>
        <w:t xml:space="preserve">Several engineering challenges require experimental resolution prior to prototype validation. The hydraulic release mechanism's performance across the full range of domestic cistern designs and flush pressure profiles — including low-flush (3 L) and dual-flush cisterns, pressure-assisted flush systems, and gravity-feed systems with variable head pressure — must be characterized to ensure universal compatibility. The optical recognition module's classification accuracy under cistern water that has acquired mineral deposits, cleaning agent residues, or colored toilet bowl tablet additives — all of which may alter LED reflectance from the pellet surface — requires systematic testing across representative water chemistry profiles.</w:t>
      </w:r>
    </w:p>
    <w:p>
      <w:pPr>
        <w:spacing w:after="120" w:before="60" w:line="380" w:lineRule="auto"/>
        <w:jc w:val="both"/>
      </w:pPr>
      <w:r>
        <w:rPr>
          <w:rFonts w:ascii="Times New Roman" w:cs="Times New Roman" w:eastAsia="Times New Roman" w:hAnsi="Times New Roman"/>
          <w:sz w:val="22"/>
          <w:szCs w:val="22"/>
        </w:rPr>
        <w:t xml:space="preserve">The 12-month battery lifetime projection assumes a household flush frequency of 4–6 flushes per day. In higher-usage environments such as shared bathrooms in family households or commercial settings, flush frequency may reach 15–20 per day, reducing battery lifetime to 3–4 months and requiring more frequent battery replacement. Future iterations may incorporate an energy harvesting module that converts the kinetic energy of each flush into electrical energy, eliminating the battery replacement requirement entirely.</w:t>
      </w:r>
    </w:p>
    <w:p>
      <w:pPr>
        <w:pStyle w:val="Heading1"/>
        <w:pBdr>
          <w:bottom w:val="single" w:color="1A3A6B" w:sz="6" w:space="4"/>
        </w:pBdr>
        <w:spacing w:after="160" w:before="420"/>
      </w:pPr>
      <w:r>
        <w:rPr>
          <w:rFonts w:ascii="Arial" w:cs="Arial" w:eastAsia="Arial" w:hAnsi="Arial"/>
          <w:b/>
          <w:bCs/>
          <w:color w:val="1A3A6B"/>
          <w:sz w:val="30"/>
          <w:szCs w:val="30"/>
        </w:rPr>
        <w:t xml:space="preserve">12. Conclusion</w:t>
      </w:r>
    </w:p>
    <w:p>
      <w:pPr>
        <w:spacing w:after="120" w:before="60" w:line="380" w:lineRule="auto"/>
        <w:jc w:val="both"/>
      </w:pPr>
      <w:r>
        <w:rPr>
          <w:rFonts w:ascii="Times New Roman" w:cs="Times New Roman" w:eastAsia="Times New Roman" w:hAnsi="Times New Roman"/>
          <w:sz w:val="22"/>
          <w:szCs w:val="22"/>
        </w:rPr>
        <w:t xml:space="preserve">The Smart Pellet Dispenser presents a conceptually complete engineering framework for the toilet-integrated, automated delivery of biomarker-specific diagnostic pellets on a programmed seven-day rotational schedule. By combining hydraulic flush actuation, iron oxide pigment-based optical recognition, and microprocessor-controlled release logic within a compact cistern-mounted device, the dispenser enables the Smart Pellet System to operate as a truly passive, user-transparent, continuous health monitoring platform.</w:t>
      </w:r>
    </w:p>
    <w:p>
      <w:pPr>
        <w:spacing w:after="120" w:before="60" w:line="380" w:lineRule="auto"/>
        <w:jc w:val="both"/>
      </w:pPr>
      <w:r>
        <w:rPr>
          <w:rFonts w:ascii="Times New Roman" w:cs="Times New Roman" w:eastAsia="Times New Roman" w:hAnsi="Times New Roman"/>
          <w:sz w:val="22"/>
          <w:szCs w:val="22"/>
        </w:rPr>
        <w:t xml:space="preserve">The device's three core functions — dry pellet storage, optically-guided selective release, and systematic disease-channel rotation — are necessary preconditions for the clinical utility of the Smart Pellet System and cannot be replicated by any alternative delivery approach without sacrificing the zero-behavioral-change design principle that distinguishes this platform from all existing point-of-care diagnostic technologies.</w:t>
      </w:r>
    </w:p>
    <w:p>
      <w:pPr>
        <w:spacing w:after="120" w:before="60" w:line="380" w:lineRule="auto"/>
        <w:jc w:val="both"/>
      </w:pPr>
      <w:r>
        <w:rPr>
          <w:rFonts w:ascii="Times New Roman" w:cs="Times New Roman" w:eastAsia="Times New Roman" w:hAnsi="Times New Roman"/>
          <w:sz w:val="22"/>
          <w:szCs w:val="22"/>
        </w:rPr>
        <w:t xml:space="preserve">Future generations of the Smart Pellet Dispenser, incorporating wireless connectivity, embedded colorimetric imaging, and smartphone-linked AI-driven analysis, have the potential to transform the device from a passive pellet delivery mechanism into a fully integrated, data-generating node within a digital health ecosystem — enabling longitudinal disease surveillance, early anomaly detection, and remote clinical monitoring at the household level for populations currently beyond the reach of laboratory-based healthcare. These prospective capabilities, while outside the scope of this first-generation conceptual design, establish the strategic motivation for the architectural decisions embedded in the current device specification.</w:t>
      </w:r>
    </w:p>
    <w:p>
      <w:r>
        <w:br w:type="page"/>
      </w:r>
    </w:p>
    <w:p>
      <w:r>
        <w:br w:type="page"/>
      </w:r>
    </w:p>
    <w:p>
      <w:pPr>
        <w:pStyle w:val="Heading1"/>
        <w:pBdr>
          <w:bottom w:val="single" w:color="1A3A6B" w:sz="6" w:space="4"/>
        </w:pBdr>
        <w:spacing w:after="160" w:before="420"/>
      </w:pPr>
      <w:r>
        <w:rPr>
          <w:rFonts w:ascii="Arial" w:cs="Arial" w:eastAsia="Arial" w:hAnsi="Arial"/>
          <w:b/>
          <w:bCs/>
          <w:color w:val="1A3A6B"/>
          <w:sz w:val="30"/>
          <w:szCs w:val="30"/>
        </w:rPr>
        <w:t xml:space="preserve">References</w:t>
      </w:r>
    </w:p>
    <w:p>
      <w:pPr>
        <w:spacing w:after="40" w:before="40"/>
        <w:ind w:left="720" w:hanging="720"/>
      </w:pPr>
      <w:r>
        <w:rPr>
          <w:rFonts w:ascii="Times New Roman" w:cs="Times New Roman" w:eastAsia="Times New Roman" w:hAnsi="Times New Roman"/>
          <w:sz w:val="20"/>
          <w:szCs w:val="20"/>
        </w:rPr>
        <w:t xml:space="preserve">1. Wei, H. &amp; Wang, E. Nanomaterials with enzyme-like characteristics (nanozymes): next-generation artificial enzymes. Chem. Soc. Rev. 42, 6060–6093 (2013).</w:t>
      </w:r>
    </w:p>
    <w:p>
      <w:pPr>
        <w:spacing w:after="40" w:before="40"/>
        <w:ind w:left="720" w:hanging="720"/>
      </w:pPr>
      <w:r>
        <w:rPr>
          <w:rFonts w:ascii="Times New Roman" w:cs="Times New Roman" w:eastAsia="Times New Roman" w:hAnsi="Times New Roman"/>
          <w:sz w:val="20"/>
          <w:szCs w:val="20"/>
        </w:rPr>
        <w:t xml:space="preserve">2. Klussmann, S. et al. Mirror-image RNA that binds D-adenosine. Nat. Biotechnol. 14, 1112–1115 (1996).</w:t>
      </w:r>
    </w:p>
    <w:p>
      <w:pPr>
        <w:spacing w:after="40" w:before="40"/>
        <w:ind w:left="720" w:hanging="720"/>
      </w:pPr>
      <w:r>
        <w:rPr>
          <w:rFonts w:ascii="Times New Roman" w:cs="Times New Roman" w:eastAsia="Times New Roman" w:hAnsi="Times New Roman"/>
          <w:sz w:val="20"/>
          <w:szCs w:val="20"/>
        </w:rPr>
        <w:t xml:space="preserve">3. Vater, A. &amp; Klussmann, S. Turning mirror-image oligonucleotides into drugs: the evolution of Spiegelmer therapeutics. Drug Discov. Today 20, 147–155 (2015).</w:t>
      </w:r>
    </w:p>
    <w:p>
      <w:pPr>
        <w:spacing w:after="40" w:before="40"/>
        <w:ind w:left="720" w:hanging="720"/>
      </w:pPr>
      <w:r>
        <w:rPr>
          <w:rFonts w:ascii="Times New Roman" w:cs="Times New Roman" w:eastAsia="Times New Roman" w:hAnsi="Times New Roman"/>
          <w:sz w:val="20"/>
          <w:szCs w:val="20"/>
        </w:rPr>
        <w:t xml:space="preserve">4. Haupt, K. &amp; Mosbach, K. Molecularly imprinted polymers and their use in biomimetic sensors. Chem. Rev. 100, 2495–2504 (2000).</w:t>
      </w:r>
    </w:p>
    <w:p>
      <w:pPr>
        <w:spacing w:after="40" w:before="40"/>
        <w:ind w:left="720" w:hanging="720"/>
      </w:pPr>
      <w:r>
        <w:rPr>
          <w:rFonts w:ascii="Times New Roman" w:cs="Times New Roman" w:eastAsia="Times New Roman" w:hAnsi="Times New Roman"/>
          <w:sz w:val="20"/>
          <w:szCs w:val="20"/>
        </w:rPr>
        <w:t xml:space="preserve">5. Chen, A. &amp; Chatterjee, S. Nanomaterials based electrochemical sensors for biomedical applications. Chem. Soc. Rev. 42, 5425–5438 (2013).</w:t>
      </w:r>
    </w:p>
    <w:p>
      <w:pPr>
        <w:spacing w:after="40" w:before="40"/>
        <w:ind w:left="720" w:hanging="720"/>
      </w:pPr>
      <w:r>
        <w:rPr>
          <w:rFonts w:ascii="Times New Roman" w:cs="Times New Roman" w:eastAsia="Times New Roman" w:hAnsi="Times New Roman"/>
          <w:sz w:val="20"/>
          <w:szCs w:val="20"/>
        </w:rPr>
        <w:t xml:space="preserve">6. Yetisen, A. K., Akram, M. S. &amp; Lowe, C. R. Paper-based microfluidic point-of-care diagnostic devices. Lab Chip 13, 2210–2251 (2013).</w:t>
      </w:r>
    </w:p>
    <w:p>
      <w:pPr>
        <w:spacing w:after="40" w:before="40"/>
        <w:ind w:left="720" w:hanging="720"/>
      </w:pPr>
      <w:r>
        <w:rPr>
          <w:rFonts w:ascii="Times New Roman" w:cs="Times New Roman" w:eastAsia="Times New Roman" w:hAnsi="Times New Roman"/>
          <w:sz w:val="20"/>
          <w:szCs w:val="20"/>
        </w:rPr>
        <w:t xml:space="preserve">7. Zhang, L. et al. Design of functional nanomaterials for point-of-care biosensors. Adv. Mater. 34, 2107204 (2022).</w:t>
      </w:r>
    </w:p>
    <w:p>
      <w:pPr>
        <w:spacing w:after="40" w:before="40"/>
        <w:ind w:left="720" w:hanging="720"/>
      </w:pPr>
      <w:r>
        <w:rPr>
          <w:rFonts w:ascii="Times New Roman" w:cs="Times New Roman" w:eastAsia="Times New Roman" w:hAnsi="Times New Roman"/>
          <w:sz w:val="20"/>
          <w:szCs w:val="20"/>
        </w:rPr>
        <w:t xml:space="preserve">8. Fogazzi, G. B. &amp; Garigali, G. The clinical art and science of urine microscopy. Curr. Opin. Nephrol. Hypertens. 28, 254–260 (2019).</w:t>
      </w:r>
    </w:p>
    <w:p>
      <w:pPr>
        <w:spacing w:after="40" w:before="40"/>
        <w:ind w:left="720" w:hanging="720"/>
      </w:pPr>
      <w:r>
        <w:rPr>
          <w:rFonts w:ascii="Times New Roman" w:cs="Times New Roman" w:eastAsia="Times New Roman" w:hAnsi="Times New Roman"/>
          <w:sz w:val="20"/>
          <w:szCs w:val="20"/>
        </w:rPr>
        <w:t xml:space="preserve">9. Patel, S. &amp; Singh, R. Recent advances in colorimetric biosensors for clinical diagnostics. Compr. Anal. Chem. 89, 1–32 (2020).</w:t>
      </w:r>
    </w:p>
    <w:p>
      <w:pPr>
        <w:spacing w:after="40" w:before="40"/>
        <w:ind w:left="720" w:hanging="720"/>
      </w:pPr>
      <w:r>
        <w:rPr>
          <w:rFonts w:ascii="Times New Roman" w:cs="Times New Roman" w:eastAsia="Times New Roman" w:hAnsi="Times New Roman"/>
          <w:sz w:val="20"/>
          <w:szCs w:val="20"/>
        </w:rPr>
        <w:t xml:space="preserve">10. Rusling, J. F. Developing microfluidic sensing devices using functional nanomaterials. ACS Nano 12, 1–20 (2018).</w:t>
      </w:r>
    </w:p>
    <w:p>
      <w:pPr>
        <w:spacing w:after="40" w:before="40"/>
        <w:ind w:left="720" w:hanging="720"/>
      </w:pPr>
      <w:r>
        <w:rPr>
          <w:rFonts w:ascii="Times New Roman" w:cs="Times New Roman" w:eastAsia="Times New Roman" w:hAnsi="Times New Roman"/>
          <w:sz w:val="20"/>
          <w:szCs w:val="20"/>
        </w:rPr>
        <w:t xml:space="preserve">11. Slavin, Y. N. et al. Metal nanoparticles: understanding the mechanisms behind antibacterial activity. J. Nanobiotechnol. 15, 65 (2017).</w:t>
      </w:r>
    </w:p>
    <w:p>
      <w:pPr>
        <w:spacing w:after="40" w:before="40"/>
        <w:ind w:left="720" w:hanging="720"/>
      </w:pPr>
      <w:r>
        <w:rPr>
          <w:rFonts w:ascii="Times New Roman" w:cs="Times New Roman" w:eastAsia="Times New Roman" w:hAnsi="Times New Roman"/>
          <w:sz w:val="20"/>
          <w:szCs w:val="20"/>
        </w:rPr>
        <w:t xml:space="preserve">12. Wang, L., Hu, C. &amp; Shao, L. The antimicrobial activity of nanoparticles. Int. J. Nanomed. 12, 1227–1249 (2017).</w:t>
      </w:r>
    </w:p>
    <w:p>
      <w:pPr>
        <w:spacing w:after="40" w:before="40"/>
        <w:ind w:left="720" w:hanging="720"/>
      </w:pPr>
      <w:r>
        <w:rPr>
          <w:rFonts w:ascii="Times New Roman" w:cs="Times New Roman" w:eastAsia="Times New Roman" w:hAnsi="Times New Roman"/>
          <w:sz w:val="20"/>
          <w:szCs w:val="20"/>
        </w:rPr>
        <w:t xml:space="preserve">13. Zhang, Y. &amp; Zhang, L. Hydrogel-based biosensors and their applications in biomedicine. Adv. Healthc. Mater. 10, 2001255 (2021).</w:t>
      </w:r>
    </w:p>
    <w:p>
      <w:pPr>
        <w:spacing w:after="40" w:before="40"/>
        <w:ind w:left="720" w:hanging="720"/>
      </w:pPr>
      <w:r>
        <w:rPr>
          <w:rFonts w:ascii="Times New Roman" w:cs="Times New Roman" w:eastAsia="Times New Roman" w:hAnsi="Times New Roman"/>
          <w:sz w:val="20"/>
          <w:szCs w:val="20"/>
        </w:rPr>
        <w:t xml:space="preserve">14. Katz, E. &amp; Minko, S. Enzyme-based logic systems for biomedical applications. J. Am. Chem. Soc. 144, 9247–9259 (2022).</w:t>
      </w:r>
    </w:p>
    <w:p>
      <w:pPr>
        <w:spacing w:after="40" w:before="40"/>
        <w:ind w:left="720" w:hanging="720"/>
      </w:pPr>
      <w:r>
        <w:rPr>
          <w:rFonts w:ascii="Times New Roman" w:cs="Times New Roman" w:eastAsia="Times New Roman" w:hAnsi="Times New Roman"/>
          <w:sz w:val="20"/>
          <w:szCs w:val="20"/>
        </w:rPr>
        <w:t xml:space="preserve">15. Kong, D. S. &amp; Thorsen, T. A. Integration of nanomaterials for microfluidic biosensors. Sens. Actuators B 306, 127550 (2020).</w:t>
      </w:r>
    </w:p>
    <w:p>
      <w:pPr>
        <w:spacing w:after="40" w:before="40"/>
        <w:ind w:left="720" w:hanging="720"/>
      </w:pPr>
      <w:r>
        <w:rPr>
          <w:rFonts w:ascii="Times New Roman" w:cs="Times New Roman" w:eastAsia="Times New Roman" w:hAnsi="Times New Roman"/>
          <w:sz w:val="20"/>
          <w:szCs w:val="20"/>
        </w:rPr>
        <w:t xml:space="preserve">16. Gao, L. et al. Smart toilet technologies for non-invasive health monitoring. npj Digit. Med. 6, 42 (2023).</w:t>
      </w:r>
    </w:p>
    <w:p>
      <w:pPr>
        <w:spacing w:after="40" w:before="40"/>
        <w:ind w:left="720" w:hanging="720"/>
      </w:pPr>
      <w:r>
        <w:rPr>
          <w:rFonts w:ascii="Times New Roman" w:cs="Times New Roman" w:eastAsia="Times New Roman" w:hAnsi="Times New Roman"/>
          <w:sz w:val="20"/>
          <w:szCs w:val="20"/>
        </w:rPr>
        <w:t xml:space="preserve">17. Jiang, D. et al. Nanozyme-based colorimetric biosensors: recent advances and future perspectives. Biosens. Bioelectron. 220, 114892 (2023).</w:t>
      </w:r>
    </w:p>
    <w:p>
      <w:pPr>
        <w:spacing w:after="40" w:before="40"/>
        <w:ind w:left="720" w:hanging="720"/>
      </w:pPr>
      <w:r>
        <w:rPr>
          <w:rFonts w:ascii="Times New Roman" w:cs="Times New Roman" w:eastAsia="Times New Roman" w:hAnsi="Times New Roman"/>
          <w:sz w:val="20"/>
          <w:szCs w:val="20"/>
        </w:rPr>
        <w:t xml:space="preserve">18. Dautta, M. et al. Passive microfluidic diagnostics for resource-limited settings: materials and design strategies. Lab Chip 24, 512–531 (2024).</w:t>
      </w:r>
    </w:p>
    <w:p>
      <w:pPr>
        <w:spacing w:after="40" w:before="40"/>
        <w:ind w:left="720" w:hanging="720"/>
      </w:pPr>
      <w:r>
        <w:rPr>
          <w:rFonts w:ascii="Times New Roman" w:cs="Times New Roman" w:eastAsia="Times New Roman" w:hAnsi="Times New Roman"/>
          <w:sz w:val="20"/>
          <w:szCs w:val="20"/>
        </w:rPr>
        <w:t xml:space="preserve">19. Bhardwaj, J. et al. Point-of-care diagnostics for space exploration: challenges and emerging solutions. npj Microgravity 9, 18 (2023).</w:t>
      </w:r>
    </w:p>
    <w:p>
      <w:pPr>
        <w:spacing w:after="40" w:before="40"/>
        <w:ind w:left="720" w:hanging="720"/>
      </w:pPr>
      <w:r>
        <w:rPr>
          <w:rFonts w:ascii="Times New Roman" w:cs="Times New Roman" w:eastAsia="Times New Roman" w:hAnsi="Times New Roman"/>
          <w:sz w:val="20"/>
          <w:szCs w:val="20"/>
        </w:rPr>
        <w:t xml:space="preserve">20. Luo, Y. et al. Enzyme–nanozyme hybrid systems for amplified biomarker detection in complex biological matrices. ACS Nano 18, 5821–5839 (2024).</w:t>
      </w:r>
    </w:p>
    <w:p>
      <w:pPr>
        <w:spacing w:after="40" w:before="40"/>
        <w:ind w:left="720" w:hanging="720"/>
      </w:pPr>
      <w:r>
        <w:rPr>
          <w:rFonts w:ascii="Times New Roman" w:cs="Times New Roman" w:eastAsia="Times New Roman" w:hAnsi="Times New Roman"/>
          <w:sz w:val="20"/>
          <w:szCs w:val="20"/>
        </w:rPr>
        <w:t xml:space="preserve">21. Sequeira-Antunes, B. &amp; Ferreira, H. A. Urinary biomarkers and point-of-care urinalysis devices for early diagnosis of disease. Biomedicines 11, 1051 (2023).</w:t>
      </w:r>
    </w:p>
    <w:p>
      <w:pPr>
        <w:spacing w:after="40" w:before="40"/>
        <w:ind w:left="720" w:hanging="720"/>
      </w:pPr>
      <w:r>
        <w:rPr>
          <w:rFonts w:ascii="Times New Roman" w:cs="Times New Roman" w:eastAsia="Times New Roman" w:hAnsi="Times New Roman"/>
          <w:sz w:val="20"/>
          <w:szCs w:val="20"/>
        </w:rPr>
        <w:t xml:space="preserve">22. Trinder, P. Determination of blood glucose using an oxidase-peroxidase system. J. Clin. Pathol. 22, 158–161 (1969).</w:t>
      </w:r>
    </w:p>
    <w:p>
      <w:pPr>
        <w:spacing w:after="40" w:before="40"/>
        <w:ind w:left="720" w:hanging="720"/>
      </w:pPr>
      <w:r>
        <w:rPr>
          <w:rFonts w:ascii="Times New Roman" w:cs="Times New Roman" w:eastAsia="Times New Roman" w:hAnsi="Times New Roman"/>
          <w:sz w:val="20"/>
          <w:szCs w:val="20"/>
        </w:rPr>
        <w:t xml:space="preserve">23. Shariat, S. F. et al. NMP22 as a urinary biomarker for the detection of bladder cancer. Urology 75, 1286–1292 (2010).</w:t>
      </w:r>
    </w:p>
    <w:p>
      <w:pPr>
        <w:spacing w:after="40" w:before="40"/>
        <w:ind w:left="720" w:hanging="720"/>
      </w:pPr>
      <w:r>
        <w:rPr>
          <w:rFonts w:ascii="Times New Roman" w:cs="Times New Roman" w:eastAsia="Times New Roman" w:hAnsi="Times New Roman"/>
          <w:sz w:val="20"/>
          <w:szCs w:val="20"/>
        </w:rPr>
        <w:t xml:space="preserve">24. Grossman, H. B. et al. Detection of bladder cancer using a point-of-care proteomic assay. JAMA 293, 810–816 (2005).</w:t>
      </w:r>
    </w:p>
    <w:p>
      <w:pPr>
        <w:spacing w:after="40" w:before="40"/>
        <w:ind w:left="720" w:hanging="720"/>
      </w:pPr>
      <w:r>
        <w:rPr>
          <w:rFonts w:ascii="Times New Roman" w:cs="Times New Roman" w:eastAsia="Times New Roman" w:hAnsi="Times New Roman"/>
          <w:sz w:val="20"/>
          <w:szCs w:val="20"/>
        </w:rPr>
        <w:t xml:space="preserve">25. Haeckel, R. &amp; Wosniok, W. Permissible limits for analytical errors in laboratory medicine. Clin. Chem. Lab. Med. 58, 231–237 (2020).</w:t>
      </w:r>
    </w:p>
    <w:p>
      <w:pPr>
        <w:spacing w:after="40" w:before="40"/>
        <w:ind w:left="720" w:hanging="720"/>
      </w:pPr>
      <w:r>
        <w:rPr>
          <w:rFonts w:ascii="Times New Roman" w:cs="Times New Roman" w:eastAsia="Times New Roman" w:hAnsi="Times New Roman"/>
          <w:sz w:val="20"/>
          <w:szCs w:val="20"/>
        </w:rPr>
        <w:t xml:space="preserve">26. Vikesland, P. J. Nanosensors for water quality monitoring. Nat. Nanotechnol. 13, 651–660 (2018).</w:t>
      </w:r>
    </w:p>
    <w:p>
      <w:pPr>
        <w:spacing w:after="40" w:before="40"/>
        <w:ind w:left="720" w:hanging="720"/>
      </w:pPr>
      <w:r>
        <w:rPr>
          <w:rFonts w:ascii="Times New Roman" w:cs="Times New Roman" w:eastAsia="Times New Roman" w:hAnsi="Times New Roman"/>
          <w:sz w:val="20"/>
          <w:szCs w:val="20"/>
        </w:rPr>
        <w:t xml:space="preserve">27. Zhan, S. et al. Noninvasive urinary biomarkers for obesity-related metabolic diseases. Biomolecules 15, 633 (2025).</w:t>
      </w:r>
    </w:p>
    <w:p>
      <w:pPr>
        <w:spacing w:after="40" w:before="40"/>
        <w:ind w:left="720" w:hanging="720"/>
      </w:pPr>
      <w:r>
        <w:rPr>
          <w:rFonts w:ascii="Times New Roman" w:cs="Times New Roman" w:eastAsia="Times New Roman" w:hAnsi="Times New Roman"/>
          <w:sz w:val="20"/>
          <w:szCs w:val="20"/>
        </w:rPr>
        <w:t xml:space="preserve">28. Oyaert, M. et al. Novel urinary biomarkers for the detection of bladder cancer. Cancers 17, 1283 (2025).</w:t>
      </w:r>
    </w:p>
    <w:p>
      <w:pPr>
        <w:spacing w:after="40" w:before="40"/>
        <w:ind w:left="720" w:hanging="720"/>
      </w:pPr>
      <w:r>
        <w:rPr>
          <w:rFonts w:ascii="Times New Roman" w:cs="Times New Roman" w:eastAsia="Times New Roman" w:hAnsi="Times New Roman"/>
          <w:sz w:val="20"/>
          <w:szCs w:val="20"/>
        </w:rPr>
        <w:t xml:space="preserve">29. Armiyaou, E. H. Smart Pellet System: Autonomous colorimetric diagnostics in unprocessed biological waste for low-resource and space environments. Preprint (2025).</w:t>
      </w:r>
    </w:p>
    <w:p>
      <w:pPr>
        <w:spacing w:after="40" w:before="40"/>
        <w:ind w:left="720" w:hanging="720"/>
      </w:pPr>
      <w:r>
        <w:rPr>
          <w:rFonts w:ascii="Times New Roman" w:cs="Times New Roman" w:eastAsia="Times New Roman" w:hAnsi="Times New Roman"/>
          <w:sz w:val="20"/>
          <w:szCs w:val="20"/>
        </w:rPr>
        <w:t xml:space="preserve">30. Heller, M. J. &amp; Esener, S. Integrated microelectronic-microfluidic systems for point-of-care diagnostics. Annu. Rev. Anal. Chem. 14, 205–225 (2021).</w:t>
      </w:r>
    </w:p>
    <w:p>
      <w:pPr>
        <w:spacing w:after="40" w:before="40"/>
        <w:ind w:left="720" w:hanging="720"/>
      </w:pPr>
      <w:r>
        <w:rPr>
          <w:rFonts w:ascii="Times New Roman" w:cs="Times New Roman" w:eastAsia="Times New Roman" w:hAnsi="Times New Roman"/>
          <w:sz w:val="20"/>
          <w:szCs w:val="20"/>
        </w:rPr>
        <w:t xml:space="preserve">31. ams AG. TCS34725 color light-to-digital converter with IR filter. Datasheet v1.0 (2012).</w:t>
      </w:r>
    </w:p>
    <w:p>
      <w:pPr>
        <w:spacing w:after="40" w:before="40"/>
        <w:ind w:left="720" w:hanging="720"/>
      </w:pPr>
      <w:r>
        <w:rPr>
          <w:rFonts w:ascii="Times New Roman" w:cs="Times New Roman" w:eastAsia="Times New Roman" w:hAnsi="Times New Roman"/>
          <w:sz w:val="20"/>
          <w:szCs w:val="20"/>
        </w:rPr>
        <w:t xml:space="preserve">32. NSF International. NSF/ANSI Standard 61: Drinking water system components — health effects. NSF International (2023).</w:t>
      </w:r>
    </w:p>
    <w:p>
      <w:pPr>
        <w:spacing w:after="40" w:before="40"/>
        <w:ind w:left="720" w:hanging="720"/>
      </w:pPr>
      <w:r>
        <w:rPr>
          <w:rFonts w:ascii="Times New Roman" w:cs="Times New Roman" w:eastAsia="Times New Roman" w:hAnsi="Times New Roman"/>
          <w:sz w:val="20"/>
          <w:szCs w:val="20"/>
        </w:rPr>
        <w:t xml:space="preserve">33. IEC 60529. Degrees of protection provided by enclosures (IP Code). International Electrotechnical Commission (2013).</w:t>
      </w:r>
    </w:p>
    <w:p/>
    <w:p>
      <w:pPr>
        <w:jc w:val="center"/>
      </w:pPr>
      <w:r>
        <w:t>El Hecen Armiyaou  |  elhecena@gmail.com  |  Independent Researcher</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3A6B" w:sz="4" w:space="4"/>
      </w:pBdr>
      <w:spacing w:before="100"/>
    </w:pPr>
    <w:r>
      <w:rPr>
        <w:rFonts w:ascii="Arial" w:cs="Arial" w:eastAsia="Arial" w:hAnsi="Arial"/>
        <w:color w:val="444444"/>
        <w:sz w:val="18"/>
        <w:szCs w:val="18"/>
      </w:rPr>
      <w:t xml:space="preserve">El Hecen Armiyaou  |  elhecena@gmail.com  |  Independent Researcher  |  Page </w:t>
    </w:r>
    <w:r>
      <w:rPr>
        <w:rFonts w:ascii="Arial" w:cs="Arial" w:eastAsia="Arial" w:hAnsi="Arial"/>
        <w:color w:val="444444"/>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20"/>
      <w:outlineLvl w:val="0"/>
    </w:pPr>
    <w:rPr>
      <w:rFonts w:ascii="Arial" w:cs="Arial" w:eastAsia="Arial" w:hAnsi="Arial"/>
      <w:b/>
      <w:bCs/>
      <w:color w:val="1A3A6B"/>
      <w:sz w:val="30"/>
      <w:szCs w:val="30"/>
    </w:rPr>
  </w:style>
  <w:style w:type="paragraph" w:styleId="Heading2">
    <w:name w:val="Heading 2"/>
    <w:basedOn w:val="Normal"/>
    <w:next w:val="Normal"/>
    <w:qFormat/>
    <w:pPr>
      <w:spacing w:after="100" w:before="280"/>
      <w:outlineLvl w:val="1"/>
    </w:pPr>
    <w:rPr>
      <w:rFonts w:ascii="Arial" w:cs="Arial" w:eastAsia="Arial" w:hAnsi="Arial"/>
      <w:b/>
      <w:bCs/>
      <w:color w:val="1A3A6B"/>
      <w:sz w:val="26"/>
      <w:szCs w:val="26"/>
    </w:rPr>
  </w:style>
  <w:style w:type="paragraph" w:styleId="Heading3">
    <w:name w:val="Heading 3"/>
    <w:basedOn w:val="Normal"/>
    <w:next w:val="Normal"/>
    <w:qFormat/>
    <w:pPr>
      <w:spacing w:after="80" w:before="200"/>
      <w:outlineLvl w:val="2"/>
    </w:pPr>
    <w:rPr>
      <w:rFonts w:ascii="Arial" w:cs="Arial" w:eastAsia="Arial" w:hAnsi="Arial"/>
      <w:b/>
      <w:bCs/>
      <w:i/>
      <w:iCs/>
      <w:color w:val="444444"/>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2026-05-06T11:32:13.892Z</dcterms:created>
  <dcterms:modified xsi:type="dcterms:W3CDTF">2026-05-06T11:32:13.908Z</dcterms:modified>
</cp:coreProperties>
</file>

<file path=docProps/custom.xml><?xml version="1.0" encoding="utf-8"?>
<Properties xmlns="http://schemas.openxmlformats.org/officeDocument/2006/custom-properties" xmlns:vt="http://schemas.openxmlformats.org/officeDocument/2006/docPropsVTypes"/>
</file>